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697D10">
      <w:pPr>
        <w:pStyle w:val="AERtitle1"/>
        <w:jc w:val="both"/>
      </w:pPr>
      <w:bookmarkStart w:id="0" w:name="_GoBack"/>
      <w:bookmarkEnd w:id="0"/>
      <w:r w:rsidRPr="00824CC8">
        <w:rPr>
          <w:noProof/>
        </w:rPr>
        <w:drawing>
          <wp:anchor distT="0" distB="0" distL="114300" distR="114300" simplePos="0" relativeHeight="251664384" behindDoc="1" locked="0" layoutInCell="1" allowOverlap="1" wp14:anchorId="2E18E926" wp14:editId="0CB52A34">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AE7D34" w:rsidRDefault="00AE7D34" w:rsidP="00EF0E19">
      <w:pPr>
        <w:pStyle w:val="AERtitle1"/>
      </w:pPr>
    </w:p>
    <w:p w:rsidR="007F5354" w:rsidRDefault="000D4047" w:rsidP="007F5354">
      <w:pPr>
        <w:pStyle w:val="AERtitle1"/>
      </w:pPr>
      <w:r>
        <w:t>P</w:t>
      </w:r>
      <w:r w:rsidR="00AE7D34">
        <w:t>reliminary positions on replacement framework and approach (for consultation)</w:t>
      </w:r>
    </w:p>
    <w:p w:rsidR="000D4047" w:rsidRDefault="00C40968" w:rsidP="007F5354">
      <w:pPr>
        <w:pStyle w:val="AERtitle1"/>
      </w:pPr>
      <w:r>
        <w:t xml:space="preserve">for </w:t>
      </w:r>
    </w:p>
    <w:p w:rsidR="007F5354" w:rsidRDefault="00D4557C" w:rsidP="007F5354">
      <w:pPr>
        <w:pStyle w:val="AERtitle1"/>
      </w:pPr>
      <w:r>
        <w:t>CitiPower, Jemena, Powercor, SP AusNet, United Energy</w:t>
      </w:r>
    </w:p>
    <w:p w:rsidR="001F3C68" w:rsidRDefault="000D4047" w:rsidP="007F5354">
      <w:pPr>
        <w:pStyle w:val="AERtitle1"/>
      </w:pPr>
      <w:r>
        <w:t>for the</w:t>
      </w:r>
    </w:p>
    <w:p w:rsidR="007F5354" w:rsidRDefault="007F5354" w:rsidP="007F5354">
      <w:pPr>
        <w:pStyle w:val="AERtitle1"/>
      </w:pPr>
      <w:r>
        <w:t xml:space="preserve">Regulatory control period commencing </w:t>
      </w:r>
      <w:r w:rsidR="00C40968">
        <w:t>1 January 2016</w:t>
      </w:r>
    </w:p>
    <w:p w:rsidR="00EF0E19" w:rsidRDefault="00EF0E19" w:rsidP="00EF0E19"/>
    <w:p w:rsidR="00EF0E19" w:rsidRDefault="00EF0E19" w:rsidP="00EF0E19"/>
    <w:p w:rsidR="00EF0E19" w:rsidRPr="00F6235D" w:rsidRDefault="00EF0E19" w:rsidP="00EF0E19"/>
    <w:p w:rsidR="00EF0E19" w:rsidRPr="00F6235D" w:rsidRDefault="00C40968" w:rsidP="00AE7D34">
      <w:pPr>
        <w:pStyle w:val="AERtitle2"/>
      </w:pPr>
      <w:r>
        <w:rPr>
          <w:rStyle w:val="AERtextbold"/>
        </w:rPr>
        <w:t>May</w:t>
      </w:r>
      <w:r w:rsidR="007F5354" w:rsidRPr="00C40968">
        <w:rPr>
          <w:rStyle w:val="AERtextbold"/>
        </w:rPr>
        <w:t xml:space="preserve"> 201</w:t>
      </w:r>
      <w:r>
        <w:rPr>
          <w:rStyle w:val="AERtextbold"/>
        </w:rPr>
        <w:t>4</w:t>
      </w:r>
      <w:r w:rsidR="00EF0E19" w:rsidRPr="00F6235D">
        <w:t xml:space="preserve"> </w:t>
      </w:r>
    </w:p>
    <w:p w:rsidR="00EF0E19" w:rsidRPr="00EF0E19" w:rsidRDefault="00EF0E19" w:rsidP="00EF0E19">
      <w:pPr>
        <w:rPr>
          <w:rStyle w:val="AERtextbold"/>
        </w:rPr>
      </w:pPr>
      <w:r>
        <w:rPr>
          <w:rStyle w:val="AERtextbold"/>
        </w:rPr>
        <w:br w:type="page"/>
      </w:r>
    </w:p>
    <w:p w:rsidR="00EF0E19" w:rsidRPr="008F1A4A" w:rsidRDefault="00B51C83" w:rsidP="00F97CD9">
      <w:pPr>
        <w:pStyle w:val="AERbodytextnospace"/>
        <w:rPr>
          <w:rStyle w:val="AERtextbold"/>
        </w:rPr>
      </w:pPr>
      <w:r>
        <w:rPr>
          <w:rStyle w:val="AERtextbold"/>
        </w:rPr>
        <w:lastRenderedPageBreak/>
        <w:t xml:space="preserve">© Commonwealth of Australia </w:t>
      </w:r>
      <w:r w:rsidR="00EF0E19" w:rsidRPr="008F1A4A">
        <w:rPr>
          <w:rStyle w:val="AERtextbold"/>
        </w:rPr>
        <w:t>201</w:t>
      </w:r>
      <w:r w:rsidR="00C40968">
        <w:rPr>
          <w:rStyle w:val="AERtextbold"/>
        </w:rPr>
        <w:t>4</w:t>
      </w:r>
    </w:p>
    <w:p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F0E19" w:rsidRDefault="00EF0E19" w:rsidP="00EF0E19">
      <w:r>
        <w:t>Inquiries about this document should be addressed to:</w:t>
      </w:r>
    </w:p>
    <w:p w:rsidR="00EF0E19" w:rsidRDefault="00EF0E19" w:rsidP="00F97CD9">
      <w:pPr>
        <w:pStyle w:val="AERbodytextnospace"/>
      </w:pPr>
      <w:r>
        <w:t>Australian Energy Regulator</w:t>
      </w:r>
    </w:p>
    <w:p w:rsidR="00EF0E19" w:rsidRDefault="00EF0E19" w:rsidP="00F97CD9">
      <w:pPr>
        <w:pStyle w:val="AERbodytextnospace"/>
      </w:pPr>
      <w:r>
        <w:t>GPO Box 520</w:t>
      </w:r>
    </w:p>
    <w:p w:rsidR="00EF0E19" w:rsidRDefault="00EF0E19" w:rsidP="00F97CD9">
      <w:pPr>
        <w:pStyle w:val="AERbodytextnospace"/>
      </w:pPr>
      <w:r>
        <w:t xml:space="preserve">Melbourne  </w:t>
      </w:r>
      <w:r w:rsidR="00850953">
        <w:t xml:space="preserve">Victorian </w:t>
      </w:r>
      <w:r>
        <w:t xml:space="preserve">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3324F7" w:rsidRDefault="00EF0E19" w:rsidP="00B51C83">
      <w:r>
        <w:t xml:space="preserve">AER reference:   </w:t>
      </w:r>
      <w:r w:rsidR="00B51C83">
        <w:t>5</w:t>
      </w:r>
      <w:r w:rsidR="00D4557C">
        <w:t>4251</w:t>
      </w:r>
      <w:r>
        <w:t xml:space="preserve">      </w:t>
      </w: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3B4DE1" w:rsidRDefault="003B4DE1" w:rsidP="003B4DE1">
      <w:pPr>
        <w:pStyle w:val="AERbodytext"/>
        <w:numPr>
          <w:ilvl w:val="0"/>
          <w:numId w:val="0"/>
        </w:numPr>
      </w:pPr>
    </w:p>
    <w:p w:rsidR="00C66E11" w:rsidRDefault="00C66E11" w:rsidP="00C66E11">
      <w:pPr>
        <w:pStyle w:val="UnnumberedHeading"/>
        <w:numPr>
          <w:ilvl w:val="0"/>
          <w:numId w:val="2"/>
        </w:numPr>
      </w:pPr>
      <w:bookmarkStart w:id="1" w:name="_Toc388976492"/>
      <w:r>
        <w:lastRenderedPageBreak/>
        <w:t>Decision to replac</w:t>
      </w:r>
      <w:r w:rsidR="00A56F37">
        <w:t>e f</w:t>
      </w:r>
      <w:r w:rsidR="00BF38F1">
        <w:t xml:space="preserve">ramework &amp; </w:t>
      </w:r>
      <w:r w:rsidR="00A56F37">
        <w:t>a</w:t>
      </w:r>
      <w:r w:rsidR="00BF38F1">
        <w:t>pproach</w:t>
      </w:r>
      <w:bookmarkEnd w:id="1"/>
      <w:r>
        <w:t xml:space="preserve"> </w:t>
      </w:r>
    </w:p>
    <w:p w:rsidR="00BF38F1" w:rsidRDefault="0009725D" w:rsidP="00BF38F1">
      <w:r>
        <w:t xml:space="preserve">On </w:t>
      </w:r>
      <w:r w:rsidR="00FA23DC">
        <w:t>7 April 2014</w:t>
      </w:r>
      <w:r>
        <w:t xml:space="preserve"> w</w:t>
      </w:r>
      <w:r w:rsidRPr="00B3486A">
        <w:t>e issued a notice under the Rules,</w:t>
      </w:r>
      <w:r w:rsidRPr="00B3486A">
        <w:rPr>
          <w:rStyle w:val="AERsuperscript"/>
        </w:rPr>
        <w:footnoteReference w:id="1"/>
      </w:r>
      <w:r w:rsidRPr="00B3486A">
        <w:t xml:space="preserve"> inviting submissions on whether it is necessary or desirable to amend or replace the</w:t>
      </w:r>
      <w:r>
        <w:t xml:space="preserve"> current</w:t>
      </w:r>
      <w:r w:rsidRPr="00B3486A">
        <w:t xml:space="preserve"> </w:t>
      </w:r>
      <w:r>
        <w:t>Framework &amp; Approach (</w:t>
      </w:r>
      <w:r w:rsidRPr="00B3486A">
        <w:t>F&amp;A</w:t>
      </w:r>
      <w:r>
        <w:t>) papers</w:t>
      </w:r>
      <w:r w:rsidRPr="00B3486A">
        <w:t xml:space="preserve"> for </w:t>
      </w:r>
      <w:r>
        <w:t>Victoria</w:t>
      </w:r>
      <w:r w:rsidRPr="00B3486A">
        <w:t xml:space="preserve">. Submissions closed on </w:t>
      </w:r>
      <w:r>
        <w:t>18 April</w:t>
      </w:r>
      <w:r w:rsidRPr="00B3486A">
        <w:t xml:space="preserve"> 201</w:t>
      </w:r>
      <w:r>
        <w:t>4</w:t>
      </w:r>
      <w:r w:rsidRPr="00B3486A">
        <w:t xml:space="preserve"> and we received </w:t>
      </w:r>
      <w:r>
        <w:t>eleven</w:t>
      </w:r>
      <w:r w:rsidRPr="00B3486A">
        <w:t xml:space="preserve"> responses.</w:t>
      </w:r>
      <w:r w:rsidRPr="00B3486A">
        <w:rPr>
          <w:rStyle w:val="AERsuperscript"/>
        </w:rPr>
        <w:footnoteReference w:id="2"/>
      </w:r>
    </w:p>
    <w:p w:rsidR="0009725D" w:rsidRDefault="00BF38F1" w:rsidP="00BF38F1">
      <w:r>
        <w:t xml:space="preserve">We consider it necessary to replace the Victorian F&amp;A papers </w:t>
      </w:r>
      <w:r w:rsidR="0009725D">
        <w:t>due to the extent of the issues with the current F&amp;A</w:t>
      </w:r>
      <w:r w:rsidR="00EE2429">
        <w:t>.</w:t>
      </w:r>
      <w:r w:rsidR="0009725D">
        <w:t xml:space="preserve"> </w:t>
      </w:r>
      <w:r w:rsidR="00EE2429">
        <w:t>W</w:t>
      </w:r>
      <w:r w:rsidR="0009725D">
        <w:t xml:space="preserve">e consider </w:t>
      </w:r>
      <w:r w:rsidR="00850953">
        <w:t xml:space="preserve">issues which need to be reviewed </w:t>
      </w:r>
      <w:r w:rsidR="0009725D">
        <w:t>are:</w:t>
      </w:r>
    </w:p>
    <w:p w:rsidR="002D3C7C" w:rsidRDefault="002D3C7C" w:rsidP="00BF38F1">
      <w:pPr>
        <w:pStyle w:val="AERbulletlistfirststyle"/>
      </w:pPr>
      <w:r>
        <w:t>the classification of metering services following the end of regulation of these services under the Advanced Metering Infrastructure Order In Council</w:t>
      </w:r>
      <w:r w:rsidR="00A56F37">
        <w:t>, and in light of the submissions by Vector Ltd and AGL</w:t>
      </w:r>
    </w:p>
    <w:p w:rsidR="002D3C7C" w:rsidRDefault="002D3C7C" w:rsidP="00BF38F1">
      <w:pPr>
        <w:pStyle w:val="AERbulletlistfirststyle"/>
      </w:pPr>
      <w:r>
        <w:t>the classification of connection services in light of the possible adoption of the National Energy Customer Framework in Victoria</w:t>
      </w:r>
    </w:p>
    <w:p w:rsidR="00A56F37" w:rsidRDefault="00A56F37" w:rsidP="00BF38F1">
      <w:pPr>
        <w:pStyle w:val="AERbulletlistfirststyle"/>
      </w:pPr>
      <w:r>
        <w:t xml:space="preserve">the classification of public lighting services in light of submissions received from Citelum, LED Innovations Ltd, Eye Lighting, Trans Tasman Energy Group, and LED Roadway Lighting Ltd regarding </w:t>
      </w:r>
      <w:r w:rsidR="00850953">
        <w:t xml:space="preserve">the effectiveness of </w:t>
      </w:r>
      <w:r>
        <w:t>competition in service provision</w:t>
      </w:r>
    </w:p>
    <w:p w:rsidR="002D3C7C" w:rsidRDefault="002D3C7C" w:rsidP="00BF38F1">
      <w:pPr>
        <w:pStyle w:val="AERbulletlistfirststyle"/>
      </w:pPr>
      <w:r>
        <w:t>the need to review the form of control for direct control services in light of requests from CitiPower and Powercor to move from a weighted average price cap to a revenue cap form of control</w:t>
      </w:r>
      <w:r>
        <w:rPr>
          <w:rStyle w:val="FootnoteReference"/>
        </w:rPr>
        <w:footnoteReference w:id="3"/>
      </w:r>
    </w:p>
    <w:p w:rsidR="00BF38F1" w:rsidRDefault="00BF38F1" w:rsidP="00BF38F1">
      <w:pPr>
        <w:pStyle w:val="AERbulletlistfirststyle"/>
      </w:pPr>
      <w:r>
        <w:t>the need to include formulae that give effect to the control mechanisms (that is, how price and/or revenues are to be determined during the regulatory control period)</w:t>
      </w:r>
    </w:p>
    <w:p w:rsidR="002D3C7C" w:rsidRDefault="002D3C7C" w:rsidP="00BF38F1">
      <w:pPr>
        <w:pStyle w:val="AERbulletlistfirststyle"/>
      </w:pPr>
      <w:r>
        <w:t xml:space="preserve">the </w:t>
      </w:r>
      <w:r w:rsidR="00A56F37">
        <w:t xml:space="preserve">need to outline the </w:t>
      </w:r>
      <w:r>
        <w:t>applicat</w:t>
      </w:r>
      <w:r w:rsidR="00A56F37">
        <w:t>ion of our</w:t>
      </w:r>
      <w:r>
        <w:t xml:space="preserve"> revised efficiency benefit sharing scheme</w:t>
      </w:r>
    </w:p>
    <w:p w:rsidR="00BF38F1" w:rsidRDefault="00BF38F1" w:rsidP="00BF38F1">
      <w:pPr>
        <w:pStyle w:val="AERbulletlistfirststyle"/>
      </w:pPr>
      <w:r>
        <w:t>the likely inclusion of a capital expenditure sharing scheme (to incentivise network service providers to undertake efficient capital expenditure)</w:t>
      </w:r>
    </w:p>
    <w:p w:rsidR="00BF38F1" w:rsidRDefault="00BF38F1" w:rsidP="00BF38F1">
      <w:pPr>
        <w:pStyle w:val="AERbulletlistfirststyle"/>
      </w:pPr>
      <w:r>
        <w:t>the possible inclusion of a small-scale incentive scheme (</w:t>
      </w:r>
      <w:r w:rsidRPr="00A11762">
        <w:t>pilot or test incentive schemes within an</w:t>
      </w:r>
      <w:r>
        <w:t xml:space="preserve"> </w:t>
      </w:r>
      <w:r w:rsidRPr="00A11762">
        <w:t>environment that limits the sum of money at risk and the length of time of the</w:t>
      </w:r>
      <w:r>
        <w:t xml:space="preserve"> </w:t>
      </w:r>
      <w:r w:rsidRPr="00A11762">
        <w:t>scheme</w:t>
      </w:r>
      <w:r>
        <w:t>)</w:t>
      </w:r>
    </w:p>
    <w:p w:rsidR="00BF38F1" w:rsidRDefault="00BF38F1" w:rsidP="00BF38F1">
      <w:pPr>
        <w:pStyle w:val="AERbulletlistfirststyle"/>
      </w:pPr>
      <w:r>
        <w:t>the application of the Expenditure Forecast Assessment Guidelines (</w:t>
      </w:r>
      <w:r w:rsidRPr="00BF38F1">
        <w:t xml:space="preserve">a nationally consistent reporting framework </w:t>
      </w:r>
      <w:r>
        <w:t xml:space="preserve">which allows </w:t>
      </w:r>
      <w:r w:rsidRPr="00BF38F1">
        <w:t xml:space="preserve">us to compare the relative efficiencies of network </w:t>
      </w:r>
      <w:r>
        <w:t>service providers</w:t>
      </w:r>
      <w:r w:rsidRPr="00BF38F1">
        <w:t>, and decide upon efficient expenditure allowances</w:t>
      </w:r>
      <w:r>
        <w:t>)</w:t>
      </w:r>
    </w:p>
    <w:p w:rsidR="00BF38F1" w:rsidRDefault="00BF38F1" w:rsidP="00BF38F1">
      <w:pPr>
        <w:pStyle w:val="AERbulletlistfirststyle"/>
      </w:pPr>
      <w:r>
        <w:t>whether depreciation for establishing the network service providers opening regulatory asset base for the 2021</w:t>
      </w:r>
      <w:r w:rsidRPr="00BF38F1">
        <w:t>–</w:t>
      </w:r>
      <w:r>
        <w:t>2025 regulatory control period is to be based on actual or forecast depreciation.</w:t>
      </w:r>
      <w:r>
        <w:rPr>
          <w:rStyle w:val="FootnoteReference"/>
        </w:rPr>
        <w:footnoteReference w:id="4"/>
      </w:r>
    </w:p>
    <w:p w:rsidR="00BF38F1" w:rsidRDefault="002D3C7C" w:rsidP="00BF38F1">
      <w:pPr>
        <w:pStyle w:val="AERbodytext"/>
        <w:numPr>
          <w:ilvl w:val="0"/>
          <w:numId w:val="0"/>
        </w:numPr>
      </w:pPr>
      <w:r>
        <w:t xml:space="preserve">The remainder of this paper sets out—for discussion—our preliminary positions on </w:t>
      </w:r>
      <w:r w:rsidR="00DB6F44">
        <w:t xml:space="preserve">a replacement F&amp;A for </w:t>
      </w:r>
      <w:r>
        <w:t xml:space="preserve">these issues and </w:t>
      </w:r>
      <w:r w:rsidR="00DB6F44">
        <w:t xml:space="preserve">for </w:t>
      </w:r>
      <w:r>
        <w:t>other matters to be addressed in the F&amp;A papers.</w:t>
      </w:r>
    </w:p>
    <w:p w:rsidR="00BF38F1" w:rsidRDefault="00BF38F1" w:rsidP="00C66E11">
      <w:pPr>
        <w:pStyle w:val="AERbodytext"/>
      </w:pPr>
    </w:p>
    <w:p w:rsidR="00C66E11" w:rsidRDefault="00C66E11" w:rsidP="00C66E11">
      <w:pPr>
        <w:pStyle w:val="AERbodytext"/>
      </w:pPr>
      <w:r>
        <w:t xml:space="preserve"> </w:t>
      </w:r>
    </w:p>
    <w:p w:rsidR="003B4DE1" w:rsidRDefault="003B4DE1" w:rsidP="003B4DE1">
      <w:pPr>
        <w:pStyle w:val="UnnumberedHeading"/>
        <w:numPr>
          <w:ilvl w:val="0"/>
          <w:numId w:val="2"/>
        </w:numPr>
      </w:pPr>
      <w:bookmarkStart w:id="2" w:name="_Toc388976493"/>
      <w:r>
        <w:lastRenderedPageBreak/>
        <w:t>Request for submissions</w:t>
      </w:r>
      <w:bookmarkEnd w:id="2"/>
    </w:p>
    <w:p w:rsidR="003B4DE1" w:rsidRDefault="003B4DE1" w:rsidP="003B4DE1">
      <w:pPr>
        <w:pStyle w:val="AERbodytext"/>
      </w:pPr>
      <w:r>
        <w:t xml:space="preserve">Interested parties are invited to make written submissions to the Australian Energy Regulator (AER) regarding this paper by the close of business, </w:t>
      </w:r>
      <w:r w:rsidR="006E65D3">
        <w:t>21</w:t>
      </w:r>
      <w:r w:rsidRPr="006E65D3">
        <w:rPr>
          <w:rStyle w:val="AERbody"/>
        </w:rPr>
        <w:t xml:space="preserve"> </w:t>
      </w:r>
      <w:r w:rsidR="00E02F41" w:rsidRPr="006E65D3">
        <w:rPr>
          <w:rStyle w:val="AERbody"/>
        </w:rPr>
        <w:t>July</w:t>
      </w:r>
      <w:r w:rsidRPr="006E65D3">
        <w:rPr>
          <w:rStyle w:val="AERbody"/>
        </w:rPr>
        <w:t xml:space="preserve"> 2014</w:t>
      </w:r>
      <w:r>
        <w:t xml:space="preserve">. </w:t>
      </w:r>
    </w:p>
    <w:p w:rsidR="003B4DE1" w:rsidRPr="003B4DE1" w:rsidRDefault="003B4DE1" w:rsidP="003B4DE1">
      <w:pPr>
        <w:pStyle w:val="AERbodytext"/>
      </w:pPr>
      <w:r>
        <w:t xml:space="preserve">Submissions should be sent electronically to: </w:t>
      </w:r>
      <w:hyperlink r:id="rId11" w:history="1">
        <w:r w:rsidR="00A511B4" w:rsidRPr="00A511B4">
          <w:rPr>
            <w:rStyle w:val="Hyperlink"/>
          </w:rPr>
          <w:t>VICelectricity2016@aer.gov.au</w:t>
        </w:r>
      </w:hyperlink>
      <w:r w:rsidR="00A511B4" w:rsidRPr="003B4DE1">
        <w:t xml:space="preserve"> </w:t>
      </w:r>
    </w:p>
    <w:p w:rsidR="003B4DE1" w:rsidRPr="003B4DE1" w:rsidRDefault="003B4DE1" w:rsidP="003B4DE1">
      <w:pPr>
        <w:pStyle w:val="AERbodytext"/>
      </w:pPr>
      <w:r>
        <w:t>Alternatively, submissions can be mailed to:</w:t>
      </w:r>
    </w:p>
    <w:p w:rsidR="003B4DE1" w:rsidRPr="00DA69C8" w:rsidRDefault="003B4DE1" w:rsidP="003B4DE1">
      <w:pPr>
        <w:pStyle w:val="AERbodytextnospace"/>
        <w:rPr>
          <w:rStyle w:val="AERbody"/>
        </w:rPr>
      </w:pPr>
      <w:r w:rsidRPr="00DA69C8">
        <w:rPr>
          <w:rStyle w:val="AERbody"/>
        </w:rPr>
        <w:t xml:space="preserve">Mr </w:t>
      </w:r>
      <w:r w:rsidR="00D4557C">
        <w:rPr>
          <w:rStyle w:val="AERbody"/>
        </w:rPr>
        <w:t>Chris Pattas</w:t>
      </w:r>
    </w:p>
    <w:p w:rsidR="003B4DE1" w:rsidRPr="00DA69C8" w:rsidRDefault="00D4557C" w:rsidP="003B4DE1">
      <w:pPr>
        <w:pStyle w:val="AERbodytextnospace"/>
        <w:rPr>
          <w:rStyle w:val="AERbody"/>
        </w:rPr>
      </w:pPr>
      <w:r>
        <w:rPr>
          <w:rStyle w:val="AERbody"/>
        </w:rPr>
        <w:t>General Manager, Networks</w:t>
      </w:r>
    </w:p>
    <w:p w:rsidR="003B4DE1" w:rsidRPr="00DA69C8" w:rsidRDefault="003B4DE1" w:rsidP="003B4DE1">
      <w:pPr>
        <w:pStyle w:val="AERbodytextnospace"/>
        <w:rPr>
          <w:rStyle w:val="AERbody"/>
        </w:rPr>
      </w:pPr>
      <w:r w:rsidRPr="00DA69C8">
        <w:rPr>
          <w:rStyle w:val="AERbody"/>
        </w:rPr>
        <w:t>Australian Energy Regulator</w:t>
      </w:r>
    </w:p>
    <w:p w:rsidR="003B4DE1" w:rsidRPr="00DA69C8" w:rsidRDefault="003B4DE1" w:rsidP="003B4DE1">
      <w:pPr>
        <w:pStyle w:val="AERbodytextnospace"/>
        <w:rPr>
          <w:rStyle w:val="AERbody"/>
        </w:rPr>
      </w:pPr>
      <w:r w:rsidRPr="00DA69C8">
        <w:rPr>
          <w:rStyle w:val="AERbody"/>
        </w:rPr>
        <w:t xml:space="preserve">GPO Box </w:t>
      </w:r>
      <w:r w:rsidR="00D4557C">
        <w:rPr>
          <w:rStyle w:val="AERbody"/>
        </w:rPr>
        <w:t>520</w:t>
      </w:r>
    </w:p>
    <w:p w:rsidR="003B4DE1" w:rsidRDefault="00D4557C" w:rsidP="003B4DE1">
      <w:pPr>
        <w:pStyle w:val="AERbodytextnospace"/>
        <w:rPr>
          <w:rStyle w:val="AERbody"/>
        </w:rPr>
      </w:pPr>
      <w:r>
        <w:rPr>
          <w:rStyle w:val="AERbody"/>
        </w:rPr>
        <w:t>Melbourne</w:t>
      </w:r>
      <w:r w:rsidR="003B4DE1" w:rsidRPr="00DA69C8">
        <w:rPr>
          <w:rStyle w:val="AERbody"/>
        </w:rPr>
        <w:t xml:space="preserve"> </w:t>
      </w:r>
      <w:r w:rsidR="00850953">
        <w:rPr>
          <w:rStyle w:val="AERbody"/>
        </w:rPr>
        <w:t xml:space="preserve">VICTORIAN </w:t>
      </w:r>
      <w:r>
        <w:rPr>
          <w:rStyle w:val="AERbody"/>
        </w:rPr>
        <w:t>3000</w:t>
      </w:r>
    </w:p>
    <w:p w:rsidR="003B4DE1" w:rsidRDefault="003B4DE1" w:rsidP="003B4DE1">
      <w:pPr>
        <w:pStyle w:val="AERbodytextnospace"/>
        <w:rPr>
          <w:rStyle w:val="AERbody"/>
        </w:rPr>
      </w:pPr>
    </w:p>
    <w:p w:rsidR="003B4DE1" w:rsidRPr="003B4DE1" w:rsidRDefault="003B4DE1" w:rsidP="003B4DE1">
      <w:pPr>
        <w:pStyle w:val="AERbodytextnospace"/>
        <w:rPr>
          <w:rStyle w:val="AERbody"/>
        </w:rPr>
      </w:pPr>
      <w:r>
        <w:rPr>
          <w:rStyle w:val="AERbody"/>
        </w:rPr>
        <w:t xml:space="preserve">The AER prefers that all submissions be publicly available to facilitate an informed and transparent consultative process. Submissions will be treated as public documents unless otherwise requested. Parties wishing to </w:t>
      </w:r>
      <w:r w:rsidRPr="003B4DE1">
        <w:rPr>
          <w:rStyle w:val="AERbody"/>
        </w:rPr>
        <w:t>submit confidential information are requested to:</w:t>
      </w:r>
    </w:p>
    <w:p w:rsidR="003B4DE1" w:rsidRDefault="003B4DE1" w:rsidP="003B4DE1">
      <w:pPr>
        <w:pStyle w:val="AERbodytextnospace"/>
        <w:rPr>
          <w:rStyle w:val="AERbody"/>
        </w:rPr>
      </w:pPr>
    </w:p>
    <w:p w:rsidR="003B4DE1" w:rsidRDefault="003B4DE1" w:rsidP="003B4DE1">
      <w:pPr>
        <w:pStyle w:val="AERbulletlistfirststyle"/>
        <w:rPr>
          <w:rStyle w:val="AERbody"/>
        </w:rPr>
      </w:pPr>
      <w:r>
        <w:rPr>
          <w:rStyle w:val="AERbody"/>
        </w:rPr>
        <w:t>clearly identify the information that is the subject of the confidentiality claim</w:t>
      </w:r>
    </w:p>
    <w:p w:rsidR="003B4DE1" w:rsidRDefault="003B4DE1" w:rsidP="003B4DE1">
      <w:pPr>
        <w:pStyle w:val="AERbulletlistfirststyle"/>
        <w:rPr>
          <w:rStyle w:val="AERbody"/>
        </w:rPr>
      </w:pPr>
      <w:r>
        <w:rPr>
          <w:rStyle w:val="AERbody"/>
        </w:rPr>
        <w:t>provide a non-confidential version of the submission in a form suitable for publication.</w:t>
      </w:r>
    </w:p>
    <w:p w:rsidR="003B4DE1" w:rsidRDefault="003B4DE1" w:rsidP="003B4DE1">
      <w:pPr>
        <w:pStyle w:val="AERbodytext"/>
        <w:rPr>
          <w:rStyle w:val="AERbody"/>
        </w:rPr>
      </w:pPr>
      <w:r w:rsidRPr="00DA69C8">
        <w:rPr>
          <w:rStyle w:val="AERbody"/>
        </w:rPr>
        <w:t xml:space="preserve">All non-confidential submissions will be placed on the AER's website at </w:t>
      </w:r>
      <w:hyperlink r:id="rId12" w:history="1">
        <w:r w:rsidRPr="00DA69C8">
          <w:rPr>
            <w:rStyle w:val="AERbody"/>
          </w:rPr>
          <w:t>www.aer.gov.au</w:t>
        </w:r>
      </w:hyperlink>
      <w:r w:rsidRPr="00DA69C8">
        <w:rPr>
          <w:rStyle w:val="AERbody"/>
        </w:rPr>
        <w:t>. For further i</w:t>
      </w:r>
      <w:r>
        <w:rPr>
          <w:rStyle w:val="AERbody"/>
        </w:rPr>
        <w:t xml:space="preserve">nformation regarding the AER's use and disclosure of information provided to it, see the </w:t>
      </w:r>
      <w:r w:rsidRPr="00DA69C8">
        <w:rPr>
          <w:rStyle w:val="AERtextitalic"/>
        </w:rPr>
        <w:t>ACCC/AER Information Policy</w:t>
      </w:r>
      <w:r>
        <w:rPr>
          <w:rStyle w:val="AERbody"/>
        </w:rPr>
        <w:t>, October 2008 available on the AER's website.</w:t>
      </w:r>
    </w:p>
    <w:p w:rsidR="003B4DE1" w:rsidRPr="00DA69C8" w:rsidRDefault="003B4DE1" w:rsidP="003B4DE1">
      <w:pPr>
        <w:pStyle w:val="AERbodytext"/>
        <w:rPr>
          <w:rStyle w:val="AERbody"/>
        </w:rPr>
      </w:pPr>
      <w:r>
        <w:rPr>
          <w:rStyle w:val="AERbody"/>
        </w:rPr>
        <w:t>Enquiries about this paper, or about lodging submissions, should be directed to the Network</w:t>
      </w:r>
      <w:r w:rsidR="000C3173">
        <w:rPr>
          <w:rStyle w:val="AERbody"/>
        </w:rPr>
        <w:t>s</w:t>
      </w:r>
      <w:r>
        <w:rPr>
          <w:rStyle w:val="AERbody"/>
        </w:rPr>
        <w:t xml:space="preserve"> </w:t>
      </w:r>
      <w:r w:rsidR="000C3173">
        <w:rPr>
          <w:rStyle w:val="AERbody"/>
        </w:rPr>
        <w:t>B</w:t>
      </w:r>
      <w:r>
        <w:rPr>
          <w:rStyle w:val="AERbody"/>
        </w:rPr>
        <w:t>ranch of the AER on (0</w:t>
      </w:r>
      <w:r w:rsidR="00D4557C">
        <w:rPr>
          <w:rStyle w:val="AERbody"/>
        </w:rPr>
        <w:t>3</w:t>
      </w:r>
      <w:r>
        <w:rPr>
          <w:rStyle w:val="AERbody"/>
        </w:rPr>
        <w:t>) 92</w:t>
      </w:r>
      <w:r w:rsidR="00D4557C">
        <w:rPr>
          <w:rStyle w:val="AERbody"/>
        </w:rPr>
        <w:t>9</w:t>
      </w:r>
      <w:r>
        <w:rPr>
          <w:rStyle w:val="AERbody"/>
        </w:rPr>
        <w:t xml:space="preserve">0 </w:t>
      </w:r>
      <w:r w:rsidR="00D4557C">
        <w:rPr>
          <w:rStyle w:val="AERbody"/>
        </w:rPr>
        <w:t>1426</w:t>
      </w:r>
      <w:r>
        <w:rPr>
          <w:rStyle w:val="AERbody"/>
        </w:rPr>
        <w:t>.</w:t>
      </w:r>
    </w:p>
    <w:p w:rsidR="003B4DE1" w:rsidRPr="00DA69C8" w:rsidRDefault="003B4DE1" w:rsidP="00B51C83">
      <w:pPr>
        <w:pStyle w:val="AERbulletlistfirststyle"/>
        <w:numPr>
          <w:ilvl w:val="0"/>
          <w:numId w:val="0"/>
        </w:numPr>
        <w:ind w:left="357"/>
        <w:rPr>
          <w:rStyle w:val="AERbody"/>
        </w:rPr>
      </w:pPr>
    </w:p>
    <w:p w:rsidR="003B4DE1" w:rsidRDefault="003B4DE1" w:rsidP="003B4DE1">
      <w:pPr>
        <w:pStyle w:val="UnnumberedHeading"/>
        <w:numPr>
          <w:ilvl w:val="0"/>
          <w:numId w:val="2"/>
        </w:numPr>
      </w:pPr>
      <w:bookmarkStart w:id="3" w:name="_Toc388976494"/>
      <w:r>
        <w:lastRenderedPageBreak/>
        <w:t>Contents</w:t>
      </w:r>
      <w:bookmarkEnd w:id="3"/>
    </w:p>
    <w:sdt>
      <w:sdtPr>
        <w:rPr>
          <w:rFonts w:ascii="Gautami" w:eastAsia="Calibri" w:hAnsi="Gautami"/>
          <w:b w:val="0"/>
          <w:bCs w:val="0"/>
          <w:color w:val="auto"/>
          <w:sz w:val="20"/>
          <w:szCs w:val="20"/>
          <w:lang w:val="en-AU"/>
        </w:rPr>
        <w:id w:val="525144245"/>
        <w:docPartObj>
          <w:docPartGallery w:val="Table of Contents"/>
          <w:docPartUnique/>
        </w:docPartObj>
      </w:sdtPr>
      <w:sdtEndPr/>
      <w:sdtContent>
        <w:p w:rsidR="007B177B" w:rsidRPr="007B177B" w:rsidRDefault="00295919" w:rsidP="00295919">
          <w:pPr>
            <w:pStyle w:val="TOCHeading"/>
            <w:tabs>
              <w:tab w:val="left" w:pos="2919"/>
            </w:tabs>
          </w:pPr>
          <w:r>
            <w:rPr>
              <w:rFonts w:ascii="Gautami" w:eastAsia="Calibri" w:hAnsi="Gautami"/>
              <w:b w:val="0"/>
              <w:bCs w:val="0"/>
              <w:color w:val="auto"/>
              <w:sz w:val="20"/>
              <w:szCs w:val="20"/>
              <w:lang w:val="en-AU"/>
            </w:rPr>
            <w:tab/>
          </w:r>
        </w:p>
        <w:p w:rsidR="00872FDE" w:rsidRDefault="007B177B">
          <w:pPr>
            <w:pStyle w:val="TOC1"/>
            <w:tabs>
              <w:tab w:val="right" w:leader="dot" w:pos="9016"/>
            </w:tabs>
            <w:rPr>
              <w:rFonts w:asciiTheme="minorHAnsi" w:eastAsiaTheme="minorEastAsia" w:hAnsiTheme="minorHAnsi" w:cstheme="minorBidi"/>
              <w:b w:val="0"/>
              <w:bCs w:val="0"/>
              <w:noProof/>
              <w:sz w:val="22"/>
              <w:szCs w:val="22"/>
              <w:lang w:eastAsia="en-AU"/>
            </w:rPr>
          </w:pPr>
          <w:r w:rsidRPr="007B177B">
            <w:fldChar w:fldCharType="begin"/>
          </w:r>
          <w:r w:rsidRPr="007B177B">
            <w:instrText xml:space="preserve"> TOC \o "1-3" \h \z \u </w:instrText>
          </w:r>
          <w:r w:rsidRPr="007B177B">
            <w:fldChar w:fldCharType="separate"/>
          </w:r>
          <w:hyperlink w:anchor="_Toc388976492" w:history="1">
            <w:r w:rsidR="00872FDE" w:rsidRPr="00957D4D">
              <w:rPr>
                <w:rStyle w:val="Hyperlink"/>
                <w:noProof/>
              </w:rPr>
              <w:t>Decision to replace framework &amp; approach</w:t>
            </w:r>
            <w:r w:rsidR="00872FDE">
              <w:rPr>
                <w:noProof/>
                <w:webHidden/>
              </w:rPr>
              <w:tab/>
            </w:r>
            <w:r w:rsidR="00872FDE">
              <w:rPr>
                <w:noProof/>
                <w:webHidden/>
              </w:rPr>
              <w:fldChar w:fldCharType="begin"/>
            </w:r>
            <w:r w:rsidR="00872FDE">
              <w:rPr>
                <w:noProof/>
                <w:webHidden/>
              </w:rPr>
              <w:instrText xml:space="preserve"> PAGEREF _Toc388976492 \h </w:instrText>
            </w:r>
            <w:r w:rsidR="00872FDE">
              <w:rPr>
                <w:noProof/>
                <w:webHidden/>
              </w:rPr>
            </w:r>
            <w:r w:rsidR="00872FDE">
              <w:rPr>
                <w:noProof/>
                <w:webHidden/>
              </w:rPr>
              <w:fldChar w:fldCharType="separate"/>
            </w:r>
            <w:r w:rsidR="00105E06">
              <w:rPr>
                <w:noProof/>
                <w:webHidden/>
              </w:rPr>
              <w:t>3</w:t>
            </w:r>
            <w:r w:rsidR="00872FDE">
              <w:rPr>
                <w:noProof/>
                <w:webHidden/>
              </w:rPr>
              <w:fldChar w:fldCharType="end"/>
            </w:r>
          </w:hyperlink>
        </w:p>
        <w:p w:rsidR="00872FDE" w:rsidRDefault="00BB34B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8976493" w:history="1">
            <w:r w:rsidR="00872FDE" w:rsidRPr="00957D4D">
              <w:rPr>
                <w:rStyle w:val="Hyperlink"/>
                <w:noProof/>
              </w:rPr>
              <w:t>Request for submissions</w:t>
            </w:r>
            <w:r w:rsidR="00872FDE">
              <w:rPr>
                <w:noProof/>
                <w:webHidden/>
              </w:rPr>
              <w:tab/>
            </w:r>
            <w:r w:rsidR="00872FDE">
              <w:rPr>
                <w:noProof/>
                <w:webHidden/>
              </w:rPr>
              <w:fldChar w:fldCharType="begin"/>
            </w:r>
            <w:r w:rsidR="00872FDE">
              <w:rPr>
                <w:noProof/>
                <w:webHidden/>
              </w:rPr>
              <w:instrText xml:space="preserve"> PAGEREF _Toc388976493 \h </w:instrText>
            </w:r>
            <w:r w:rsidR="00872FDE">
              <w:rPr>
                <w:noProof/>
                <w:webHidden/>
              </w:rPr>
            </w:r>
            <w:r w:rsidR="00872FDE">
              <w:rPr>
                <w:noProof/>
                <w:webHidden/>
              </w:rPr>
              <w:fldChar w:fldCharType="separate"/>
            </w:r>
            <w:r w:rsidR="00105E06">
              <w:rPr>
                <w:noProof/>
                <w:webHidden/>
              </w:rPr>
              <w:t>4</w:t>
            </w:r>
            <w:r w:rsidR="00872FDE">
              <w:rPr>
                <w:noProof/>
                <w:webHidden/>
              </w:rPr>
              <w:fldChar w:fldCharType="end"/>
            </w:r>
          </w:hyperlink>
        </w:p>
        <w:p w:rsidR="00872FDE" w:rsidRDefault="00BB34B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8976494" w:history="1">
            <w:r w:rsidR="00872FDE" w:rsidRPr="00957D4D">
              <w:rPr>
                <w:rStyle w:val="Hyperlink"/>
                <w:noProof/>
              </w:rPr>
              <w:t>Contents</w:t>
            </w:r>
            <w:r w:rsidR="00872FDE">
              <w:rPr>
                <w:noProof/>
                <w:webHidden/>
              </w:rPr>
              <w:tab/>
            </w:r>
            <w:r w:rsidR="00872FDE">
              <w:rPr>
                <w:noProof/>
                <w:webHidden/>
              </w:rPr>
              <w:fldChar w:fldCharType="begin"/>
            </w:r>
            <w:r w:rsidR="00872FDE">
              <w:rPr>
                <w:noProof/>
                <w:webHidden/>
              </w:rPr>
              <w:instrText xml:space="preserve"> PAGEREF _Toc388976494 \h </w:instrText>
            </w:r>
            <w:r w:rsidR="00872FDE">
              <w:rPr>
                <w:noProof/>
                <w:webHidden/>
              </w:rPr>
            </w:r>
            <w:r w:rsidR="00872FDE">
              <w:rPr>
                <w:noProof/>
                <w:webHidden/>
              </w:rPr>
              <w:fldChar w:fldCharType="separate"/>
            </w:r>
            <w:r w:rsidR="00105E06">
              <w:rPr>
                <w:noProof/>
                <w:webHidden/>
              </w:rPr>
              <w:t>5</w:t>
            </w:r>
            <w:r w:rsidR="00872FDE">
              <w:rPr>
                <w:noProof/>
                <w:webHidden/>
              </w:rPr>
              <w:fldChar w:fldCharType="end"/>
            </w:r>
          </w:hyperlink>
        </w:p>
        <w:p w:rsidR="00872FDE" w:rsidRDefault="00BB34B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8976495" w:history="1">
            <w:r w:rsidR="00872FDE" w:rsidRPr="00957D4D">
              <w:rPr>
                <w:rStyle w:val="Hyperlink"/>
                <w:noProof/>
              </w:rPr>
              <w:t>About the framework and approach</w:t>
            </w:r>
            <w:r w:rsidR="00872FDE">
              <w:rPr>
                <w:noProof/>
                <w:webHidden/>
              </w:rPr>
              <w:tab/>
            </w:r>
            <w:r w:rsidR="00872FDE">
              <w:rPr>
                <w:noProof/>
                <w:webHidden/>
              </w:rPr>
              <w:fldChar w:fldCharType="begin"/>
            </w:r>
            <w:r w:rsidR="00872FDE">
              <w:rPr>
                <w:noProof/>
                <w:webHidden/>
              </w:rPr>
              <w:instrText xml:space="preserve"> PAGEREF _Toc388976495 \h </w:instrText>
            </w:r>
            <w:r w:rsidR="00872FDE">
              <w:rPr>
                <w:noProof/>
                <w:webHidden/>
              </w:rPr>
            </w:r>
            <w:r w:rsidR="00872FDE">
              <w:rPr>
                <w:noProof/>
                <w:webHidden/>
              </w:rPr>
              <w:fldChar w:fldCharType="separate"/>
            </w:r>
            <w:r w:rsidR="00105E06">
              <w:rPr>
                <w:noProof/>
                <w:webHidden/>
              </w:rPr>
              <w:t>7</w:t>
            </w:r>
            <w:r w:rsidR="00872FDE">
              <w:rPr>
                <w:noProof/>
                <w:webHidden/>
              </w:rPr>
              <w:fldChar w:fldCharType="end"/>
            </w:r>
          </w:hyperlink>
        </w:p>
        <w:p w:rsidR="00872FDE" w:rsidRDefault="00BB34B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8976496" w:history="1">
            <w:r w:rsidR="00872FDE" w:rsidRPr="00957D4D">
              <w:rPr>
                <w:rStyle w:val="Hyperlink"/>
                <w:noProof/>
              </w:rPr>
              <w:t>Overview</w:t>
            </w:r>
            <w:r w:rsidR="00872FDE">
              <w:rPr>
                <w:noProof/>
                <w:webHidden/>
              </w:rPr>
              <w:tab/>
            </w:r>
            <w:r w:rsidR="00872FDE">
              <w:rPr>
                <w:noProof/>
                <w:webHidden/>
              </w:rPr>
              <w:fldChar w:fldCharType="begin"/>
            </w:r>
            <w:r w:rsidR="00872FDE">
              <w:rPr>
                <w:noProof/>
                <w:webHidden/>
              </w:rPr>
              <w:instrText xml:space="preserve"> PAGEREF _Toc388976496 \h </w:instrText>
            </w:r>
            <w:r w:rsidR="00872FDE">
              <w:rPr>
                <w:noProof/>
                <w:webHidden/>
              </w:rPr>
            </w:r>
            <w:r w:rsidR="00872FDE">
              <w:rPr>
                <w:noProof/>
                <w:webHidden/>
              </w:rPr>
              <w:fldChar w:fldCharType="separate"/>
            </w:r>
            <w:r w:rsidR="00105E06">
              <w:rPr>
                <w:noProof/>
                <w:webHidden/>
              </w:rPr>
              <w:t>9</w:t>
            </w:r>
            <w:r w:rsidR="00872FDE">
              <w:rPr>
                <w:noProof/>
                <w:webHidden/>
              </w:rPr>
              <w:fldChar w:fldCharType="end"/>
            </w:r>
          </w:hyperlink>
        </w:p>
        <w:p w:rsidR="00872FDE" w:rsidRDefault="00BB34B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8976497" w:history="1">
            <w:r w:rsidR="00872FDE" w:rsidRPr="00957D4D">
              <w:rPr>
                <w:rStyle w:val="Hyperlink"/>
                <w:noProof/>
              </w:rPr>
              <w:t>1</w:t>
            </w:r>
            <w:r w:rsidR="00872FDE">
              <w:rPr>
                <w:rFonts w:asciiTheme="minorHAnsi" w:eastAsiaTheme="minorEastAsia" w:hAnsiTheme="minorHAnsi" w:cstheme="minorBidi"/>
                <w:b w:val="0"/>
                <w:bCs w:val="0"/>
                <w:noProof/>
                <w:sz w:val="22"/>
                <w:szCs w:val="22"/>
                <w:lang w:eastAsia="en-AU"/>
              </w:rPr>
              <w:tab/>
            </w:r>
            <w:r w:rsidR="00872FDE" w:rsidRPr="00957D4D">
              <w:rPr>
                <w:rStyle w:val="Hyperlink"/>
                <w:noProof/>
              </w:rPr>
              <w:t>Classification of distribution services</w:t>
            </w:r>
            <w:r w:rsidR="00872FDE">
              <w:rPr>
                <w:noProof/>
                <w:webHidden/>
              </w:rPr>
              <w:tab/>
            </w:r>
            <w:r w:rsidR="00872FDE">
              <w:rPr>
                <w:noProof/>
                <w:webHidden/>
              </w:rPr>
              <w:fldChar w:fldCharType="begin"/>
            </w:r>
            <w:r w:rsidR="00872FDE">
              <w:rPr>
                <w:noProof/>
                <w:webHidden/>
              </w:rPr>
              <w:instrText xml:space="preserve"> PAGEREF _Toc388976497 \h </w:instrText>
            </w:r>
            <w:r w:rsidR="00872FDE">
              <w:rPr>
                <w:noProof/>
                <w:webHidden/>
              </w:rPr>
            </w:r>
            <w:r w:rsidR="00872FDE">
              <w:rPr>
                <w:noProof/>
                <w:webHidden/>
              </w:rPr>
              <w:fldChar w:fldCharType="separate"/>
            </w:r>
            <w:r w:rsidR="00105E06">
              <w:rPr>
                <w:noProof/>
                <w:webHidden/>
              </w:rPr>
              <w:t>18</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498" w:history="1">
            <w:r w:rsidR="00872FDE" w:rsidRPr="00957D4D">
              <w:rPr>
                <w:rStyle w:val="Hyperlink"/>
                <w:noProof/>
              </w:rPr>
              <w:t>1.1</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AER's preliminary position</w:t>
            </w:r>
            <w:r w:rsidR="00872FDE">
              <w:rPr>
                <w:noProof/>
                <w:webHidden/>
              </w:rPr>
              <w:tab/>
            </w:r>
            <w:r w:rsidR="00872FDE">
              <w:rPr>
                <w:noProof/>
                <w:webHidden/>
              </w:rPr>
              <w:fldChar w:fldCharType="begin"/>
            </w:r>
            <w:r w:rsidR="00872FDE">
              <w:rPr>
                <w:noProof/>
                <w:webHidden/>
              </w:rPr>
              <w:instrText xml:space="preserve"> PAGEREF _Toc388976498 \h </w:instrText>
            </w:r>
            <w:r w:rsidR="00872FDE">
              <w:rPr>
                <w:noProof/>
                <w:webHidden/>
              </w:rPr>
            </w:r>
            <w:r w:rsidR="00872FDE">
              <w:rPr>
                <w:noProof/>
                <w:webHidden/>
              </w:rPr>
              <w:fldChar w:fldCharType="separate"/>
            </w:r>
            <w:r w:rsidR="00105E06">
              <w:rPr>
                <w:noProof/>
                <w:webHidden/>
              </w:rPr>
              <w:t>19</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499" w:history="1">
            <w:r w:rsidR="00872FDE" w:rsidRPr="00957D4D">
              <w:rPr>
                <w:rStyle w:val="Hyperlink"/>
                <w:noProof/>
              </w:rPr>
              <w:t>1.2</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AER's assessment approach</w:t>
            </w:r>
            <w:r w:rsidR="00872FDE">
              <w:rPr>
                <w:noProof/>
                <w:webHidden/>
              </w:rPr>
              <w:tab/>
            </w:r>
            <w:r w:rsidR="00872FDE">
              <w:rPr>
                <w:noProof/>
                <w:webHidden/>
              </w:rPr>
              <w:fldChar w:fldCharType="begin"/>
            </w:r>
            <w:r w:rsidR="00872FDE">
              <w:rPr>
                <w:noProof/>
                <w:webHidden/>
              </w:rPr>
              <w:instrText xml:space="preserve"> PAGEREF _Toc388976499 \h </w:instrText>
            </w:r>
            <w:r w:rsidR="00872FDE">
              <w:rPr>
                <w:noProof/>
                <w:webHidden/>
              </w:rPr>
            </w:r>
            <w:r w:rsidR="00872FDE">
              <w:rPr>
                <w:noProof/>
                <w:webHidden/>
              </w:rPr>
              <w:fldChar w:fldCharType="separate"/>
            </w:r>
            <w:r w:rsidR="00105E06">
              <w:rPr>
                <w:noProof/>
                <w:webHidden/>
              </w:rPr>
              <w:t>22</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00" w:history="1">
            <w:r w:rsidR="00872FDE" w:rsidRPr="00957D4D">
              <w:rPr>
                <w:rStyle w:val="Hyperlink"/>
                <w:noProof/>
              </w:rPr>
              <w:t>1.3</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Reasons for AER's preliminary position</w:t>
            </w:r>
            <w:r w:rsidR="00872FDE">
              <w:rPr>
                <w:noProof/>
                <w:webHidden/>
              </w:rPr>
              <w:tab/>
            </w:r>
            <w:r w:rsidR="00872FDE">
              <w:rPr>
                <w:noProof/>
                <w:webHidden/>
              </w:rPr>
              <w:fldChar w:fldCharType="begin"/>
            </w:r>
            <w:r w:rsidR="00872FDE">
              <w:rPr>
                <w:noProof/>
                <w:webHidden/>
              </w:rPr>
              <w:instrText xml:space="preserve"> PAGEREF _Toc388976500 \h </w:instrText>
            </w:r>
            <w:r w:rsidR="00872FDE">
              <w:rPr>
                <w:noProof/>
                <w:webHidden/>
              </w:rPr>
            </w:r>
            <w:r w:rsidR="00872FDE">
              <w:rPr>
                <w:noProof/>
                <w:webHidden/>
              </w:rPr>
              <w:fldChar w:fldCharType="separate"/>
            </w:r>
            <w:r w:rsidR="00105E06">
              <w:rPr>
                <w:noProof/>
                <w:webHidden/>
              </w:rPr>
              <w:t>22</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01" w:history="1">
            <w:r w:rsidR="00872FDE" w:rsidRPr="00957D4D">
              <w:rPr>
                <w:rStyle w:val="Hyperlink"/>
                <w:noProof/>
              </w:rPr>
              <w:t>1.3.1</w:t>
            </w:r>
            <w:r w:rsidR="00872FDE">
              <w:rPr>
                <w:rFonts w:asciiTheme="minorHAnsi" w:eastAsiaTheme="minorEastAsia" w:hAnsiTheme="minorHAnsi" w:cstheme="minorBidi"/>
                <w:noProof/>
                <w:sz w:val="22"/>
                <w:szCs w:val="22"/>
                <w:lang w:eastAsia="en-AU"/>
              </w:rPr>
              <w:tab/>
            </w:r>
            <w:r w:rsidR="00872FDE" w:rsidRPr="00957D4D">
              <w:rPr>
                <w:rStyle w:val="Hyperlink"/>
                <w:noProof/>
              </w:rPr>
              <w:t>Network services</w:t>
            </w:r>
            <w:r w:rsidR="00872FDE">
              <w:rPr>
                <w:noProof/>
                <w:webHidden/>
              </w:rPr>
              <w:tab/>
            </w:r>
            <w:r w:rsidR="00872FDE">
              <w:rPr>
                <w:noProof/>
                <w:webHidden/>
              </w:rPr>
              <w:fldChar w:fldCharType="begin"/>
            </w:r>
            <w:r w:rsidR="00872FDE">
              <w:rPr>
                <w:noProof/>
                <w:webHidden/>
              </w:rPr>
              <w:instrText xml:space="preserve"> PAGEREF _Toc388976501 \h </w:instrText>
            </w:r>
            <w:r w:rsidR="00872FDE">
              <w:rPr>
                <w:noProof/>
                <w:webHidden/>
              </w:rPr>
            </w:r>
            <w:r w:rsidR="00872FDE">
              <w:rPr>
                <w:noProof/>
                <w:webHidden/>
              </w:rPr>
              <w:fldChar w:fldCharType="separate"/>
            </w:r>
            <w:r w:rsidR="00105E06">
              <w:rPr>
                <w:noProof/>
                <w:webHidden/>
              </w:rPr>
              <w:t>23</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02" w:history="1">
            <w:r w:rsidR="00872FDE" w:rsidRPr="00957D4D">
              <w:rPr>
                <w:rStyle w:val="Hyperlink"/>
                <w:noProof/>
              </w:rPr>
              <w:t>1.3.2</w:t>
            </w:r>
            <w:r w:rsidR="00872FDE">
              <w:rPr>
                <w:rFonts w:asciiTheme="minorHAnsi" w:eastAsiaTheme="minorEastAsia" w:hAnsiTheme="minorHAnsi" w:cstheme="minorBidi"/>
                <w:noProof/>
                <w:sz w:val="22"/>
                <w:szCs w:val="22"/>
                <w:lang w:eastAsia="en-AU"/>
              </w:rPr>
              <w:tab/>
            </w:r>
            <w:r w:rsidR="00872FDE" w:rsidRPr="00957D4D">
              <w:rPr>
                <w:rStyle w:val="Hyperlink"/>
                <w:noProof/>
              </w:rPr>
              <w:t>Connection services</w:t>
            </w:r>
            <w:r w:rsidR="00872FDE">
              <w:rPr>
                <w:noProof/>
                <w:webHidden/>
              </w:rPr>
              <w:tab/>
            </w:r>
            <w:r w:rsidR="00872FDE">
              <w:rPr>
                <w:noProof/>
                <w:webHidden/>
              </w:rPr>
              <w:fldChar w:fldCharType="begin"/>
            </w:r>
            <w:r w:rsidR="00872FDE">
              <w:rPr>
                <w:noProof/>
                <w:webHidden/>
              </w:rPr>
              <w:instrText xml:space="preserve"> PAGEREF _Toc388976502 \h </w:instrText>
            </w:r>
            <w:r w:rsidR="00872FDE">
              <w:rPr>
                <w:noProof/>
                <w:webHidden/>
              </w:rPr>
            </w:r>
            <w:r w:rsidR="00872FDE">
              <w:rPr>
                <w:noProof/>
                <w:webHidden/>
              </w:rPr>
              <w:fldChar w:fldCharType="separate"/>
            </w:r>
            <w:r w:rsidR="00105E06">
              <w:rPr>
                <w:noProof/>
                <w:webHidden/>
              </w:rPr>
              <w:t>24</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03" w:history="1">
            <w:r w:rsidR="00872FDE" w:rsidRPr="00957D4D">
              <w:rPr>
                <w:rStyle w:val="Hyperlink"/>
                <w:noProof/>
              </w:rPr>
              <w:t>1.3.3</w:t>
            </w:r>
            <w:r w:rsidR="00872FDE">
              <w:rPr>
                <w:rFonts w:asciiTheme="minorHAnsi" w:eastAsiaTheme="minorEastAsia" w:hAnsiTheme="minorHAnsi" w:cstheme="minorBidi"/>
                <w:noProof/>
                <w:sz w:val="22"/>
                <w:szCs w:val="22"/>
                <w:lang w:eastAsia="en-AU"/>
              </w:rPr>
              <w:tab/>
            </w:r>
            <w:r w:rsidR="00872FDE" w:rsidRPr="00957D4D">
              <w:rPr>
                <w:rStyle w:val="Hyperlink"/>
                <w:noProof/>
              </w:rPr>
              <w:t>Metering services</w:t>
            </w:r>
            <w:r w:rsidR="00872FDE">
              <w:rPr>
                <w:noProof/>
                <w:webHidden/>
              </w:rPr>
              <w:tab/>
            </w:r>
            <w:r w:rsidR="00872FDE">
              <w:rPr>
                <w:noProof/>
                <w:webHidden/>
              </w:rPr>
              <w:fldChar w:fldCharType="begin"/>
            </w:r>
            <w:r w:rsidR="00872FDE">
              <w:rPr>
                <w:noProof/>
                <w:webHidden/>
              </w:rPr>
              <w:instrText xml:space="preserve"> PAGEREF _Toc388976503 \h </w:instrText>
            </w:r>
            <w:r w:rsidR="00872FDE">
              <w:rPr>
                <w:noProof/>
                <w:webHidden/>
              </w:rPr>
            </w:r>
            <w:r w:rsidR="00872FDE">
              <w:rPr>
                <w:noProof/>
                <w:webHidden/>
              </w:rPr>
              <w:fldChar w:fldCharType="separate"/>
            </w:r>
            <w:r w:rsidR="00105E06">
              <w:rPr>
                <w:noProof/>
                <w:webHidden/>
              </w:rPr>
              <w:t>29</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04" w:history="1">
            <w:r w:rsidR="00872FDE" w:rsidRPr="00957D4D">
              <w:rPr>
                <w:rStyle w:val="Hyperlink"/>
                <w:noProof/>
              </w:rPr>
              <w:t>1.3.4</w:t>
            </w:r>
            <w:r w:rsidR="00872FDE">
              <w:rPr>
                <w:rFonts w:asciiTheme="minorHAnsi" w:eastAsiaTheme="minorEastAsia" w:hAnsiTheme="minorHAnsi" w:cstheme="minorBidi"/>
                <w:noProof/>
                <w:sz w:val="22"/>
                <w:szCs w:val="22"/>
                <w:lang w:eastAsia="en-AU"/>
              </w:rPr>
              <w:tab/>
            </w:r>
            <w:r w:rsidR="00872FDE" w:rsidRPr="00957D4D">
              <w:rPr>
                <w:rStyle w:val="Hyperlink"/>
                <w:noProof/>
              </w:rPr>
              <w:t>Ancillary network services</w:t>
            </w:r>
            <w:r w:rsidR="00872FDE">
              <w:rPr>
                <w:noProof/>
                <w:webHidden/>
              </w:rPr>
              <w:tab/>
            </w:r>
            <w:r w:rsidR="00872FDE">
              <w:rPr>
                <w:noProof/>
                <w:webHidden/>
              </w:rPr>
              <w:fldChar w:fldCharType="begin"/>
            </w:r>
            <w:r w:rsidR="00872FDE">
              <w:rPr>
                <w:noProof/>
                <w:webHidden/>
              </w:rPr>
              <w:instrText xml:space="preserve"> PAGEREF _Toc388976504 \h </w:instrText>
            </w:r>
            <w:r w:rsidR="00872FDE">
              <w:rPr>
                <w:noProof/>
                <w:webHidden/>
              </w:rPr>
            </w:r>
            <w:r w:rsidR="00872FDE">
              <w:rPr>
                <w:noProof/>
                <w:webHidden/>
              </w:rPr>
              <w:fldChar w:fldCharType="separate"/>
            </w:r>
            <w:r w:rsidR="00105E06">
              <w:rPr>
                <w:noProof/>
                <w:webHidden/>
              </w:rPr>
              <w:t>35</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05" w:history="1">
            <w:r w:rsidR="00872FDE" w:rsidRPr="00957D4D">
              <w:rPr>
                <w:rStyle w:val="Hyperlink"/>
                <w:noProof/>
              </w:rPr>
              <w:t>1.3.5</w:t>
            </w:r>
            <w:r w:rsidR="00872FDE">
              <w:rPr>
                <w:rFonts w:asciiTheme="minorHAnsi" w:eastAsiaTheme="minorEastAsia" w:hAnsiTheme="minorHAnsi" w:cstheme="minorBidi"/>
                <w:noProof/>
                <w:sz w:val="22"/>
                <w:szCs w:val="22"/>
                <w:lang w:eastAsia="en-AU"/>
              </w:rPr>
              <w:tab/>
            </w:r>
            <w:r w:rsidR="00872FDE" w:rsidRPr="00957D4D">
              <w:rPr>
                <w:rStyle w:val="Hyperlink"/>
                <w:noProof/>
              </w:rPr>
              <w:t>Public lighting</w:t>
            </w:r>
            <w:r w:rsidR="00872FDE">
              <w:rPr>
                <w:noProof/>
                <w:webHidden/>
              </w:rPr>
              <w:tab/>
            </w:r>
            <w:r w:rsidR="00872FDE">
              <w:rPr>
                <w:noProof/>
                <w:webHidden/>
              </w:rPr>
              <w:fldChar w:fldCharType="begin"/>
            </w:r>
            <w:r w:rsidR="00872FDE">
              <w:rPr>
                <w:noProof/>
                <w:webHidden/>
              </w:rPr>
              <w:instrText xml:space="preserve"> PAGEREF _Toc388976505 \h </w:instrText>
            </w:r>
            <w:r w:rsidR="00872FDE">
              <w:rPr>
                <w:noProof/>
                <w:webHidden/>
              </w:rPr>
            </w:r>
            <w:r w:rsidR="00872FDE">
              <w:rPr>
                <w:noProof/>
                <w:webHidden/>
              </w:rPr>
              <w:fldChar w:fldCharType="separate"/>
            </w:r>
            <w:r w:rsidR="00105E06">
              <w:rPr>
                <w:noProof/>
                <w:webHidden/>
              </w:rPr>
              <w:t>36</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06" w:history="1">
            <w:r w:rsidR="00872FDE" w:rsidRPr="00957D4D">
              <w:rPr>
                <w:rStyle w:val="Hyperlink"/>
                <w:noProof/>
              </w:rPr>
              <w:t>1.4</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AER's preliminary approach to service classification</w:t>
            </w:r>
            <w:r w:rsidR="00872FDE">
              <w:rPr>
                <w:noProof/>
                <w:webHidden/>
              </w:rPr>
              <w:tab/>
            </w:r>
            <w:r w:rsidR="00872FDE">
              <w:rPr>
                <w:noProof/>
                <w:webHidden/>
              </w:rPr>
              <w:fldChar w:fldCharType="begin"/>
            </w:r>
            <w:r w:rsidR="00872FDE">
              <w:rPr>
                <w:noProof/>
                <w:webHidden/>
              </w:rPr>
              <w:instrText xml:space="preserve"> PAGEREF _Toc388976506 \h </w:instrText>
            </w:r>
            <w:r w:rsidR="00872FDE">
              <w:rPr>
                <w:noProof/>
                <w:webHidden/>
              </w:rPr>
            </w:r>
            <w:r w:rsidR="00872FDE">
              <w:rPr>
                <w:noProof/>
                <w:webHidden/>
              </w:rPr>
              <w:fldChar w:fldCharType="separate"/>
            </w:r>
            <w:r w:rsidR="00105E06">
              <w:rPr>
                <w:noProof/>
                <w:webHidden/>
              </w:rPr>
              <w:t>39</w:t>
            </w:r>
            <w:r w:rsidR="00872FDE">
              <w:rPr>
                <w:noProof/>
                <w:webHidden/>
              </w:rPr>
              <w:fldChar w:fldCharType="end"/>
            </w:r>
          </w:hyperlink>
        </w:p>
        <w:p w:rsidR="00872FDE" w:rsidRDefault="00BB34B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8976507" w:history="1">
            <w:r w:rsidR="00872FDE" w:rsidRPr="00957D4D">
              <w:rPr>
                <w:rStyle w:val="Hyperlink"/>
                <w:noProof/>
              </w:rPr>
              <w:t>2</w:t>
            </w:r>
            <w:r w:rsidR="00872FDE">
              <w:rPr>
                <w:rFonts w:asciiTheme="minorHAnsi" w:eastAsiaTheme="minorEastAsia" w:hAnsiTheme="minorHAnsi" w:cstheme="minorBidi"/>
                <w:b w:val="0"/>
                <w:bCs w:val="0"/>
                <w:noProof/>
                <w:sz w:val="22"/>
                <w:szCs w:val="22"/>
                <w:lang w:eastAsia="en-AU"/>
              </w:rPr>
              <w:tab/>
            </w:r>
            <w:r w:rsidR="00872FDE" w:rsidRPr="00957D4D">
              <w:rPr>
                <w:rStyle w:val="Hyperlink"/>
                <w:noProof/>
              </w:rPr>
              <w:t>Control mechanisms</w:t>
            </w:r>
            <w:r w:rsidR="00872FDE">
              <w:rPr>
                <w:noProof/>
                <w:webHidden/>
              </w:rPr>
              <w:tab/>
            </w:r>
            <w:r w:rsidR="00872FDE">
              <w:rPr>
                <w:noProof/>
                <w:webHidden/>
              </w:rPr>
              <w:fldChar w:fldCharType="begin"/>
            </w:r>
            <w:r w:rsidR="00872FDE">
              <w:rPr>
                <w:noProof/>
                <w:webHidden/>
              </w:rPr>
              <w:instrText xml:space="preserve"> PAGEREF _Toc388976507 \h </w:instrText>
            </w:r>
            <w:r w:rsidR="00872FDE">
              <w:rPr>
                <w:noProof/>
                <w:webHidden/>
              </w:rPr>
            </w:r>
            <w:r w:rsidR="00872FDE">
              <w:rPr>
                <w:noProof/>
                <w:webHidden/>
              </w:rPr>
              <w:fldChar w:fldCharType="separate"/>
            </w:r>
            <w:r w:rsidR="00105E06">
              <w:rPr>
                <w:noProof/>
                <w:webHidden/>
              </w:rPr>
              <w:t>40</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08" w:history="1">
            <w:r w:rsidR="00872FDE" w:rsidRPr="00957D4D">
              <w:rPr>
                <w:rStyle w:val="Hyperlink"/>
                <w:noProof/>
              </w:rPr>
              <w:t>2.1</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AER's preliminary position</w:t>
            </w:r>
            <w:r w:rsidR="00872FDE">
              <w:rPr>
                <w:noProof/>
                <w:webHidden/>
              </w:rPr>
              <w:tab/>
            </w:r>
            <w:r w:rsidR="00872FDE">
              <w:rPr>
                <w:noProof/>
                <w:webHidden/>
              </w:rPr>
              <w:fldChar w:fldCharType="begin"/>
            </w:r>
            <w:r w:rsidR="00872FDE">
              <w:rPr>
                <w:noProof/>
                <w:webHidden/>
              </w:rPr>
              <w:instrText xml:space="preserve"> PAGEREF _Toc388976508 \h </w:instrText>
            </w:r>
            <w:r w:rsidR="00872FDE">
              <w:rPr>
                <w:noProof/>
                <w:webHidden/>
              </w:rPr>
            </w:r>
            <w:r w:rsidR="00872FDE">
              <w:rPr>
                <w:noProof/>
                <w:webHidden/>
              </w:rPr>
              <w:fldChar w:fldCharType="separate"/>
            </w:r>
            <w:r w:rsidR="00105E06">
              <w:rPr>
                <w:noProof/>
                <w:webHidden/>
              </w:rPr>
              <w:t>40</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09" w:history="1">
            <w:r w:rsidR="00872FDE" w:rsidRPr="00957D4D">
              <w:rPr>
                <w:rStyle w:val="Hyperlink"/>
                <w:noProof/>
              </w:rPr>
              <w:t>2.2</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AER's assessment approach</w:t>
            </w:r>
            <w:r w:rsidR="00872FDE">
              <w:rPr>
                <w:noProof/>
                <w:webHidden/>
              </w:rPr>
              <w:tab/>
            </w:r>
            <w:r w:rsidR="00872FDE">
              <w:rPr>
                <w:noProof/>
                <w:webHidden/>
              </w:rPr>
              <w:fldChar w:fldCharType="begin"/>
            </w:r>
            <w:r w:rsidR="00872FDE">
              <w:rPr>
                <w:noProof/>
                <w:webHidden/>
              </w:rPr>
              <w:instrText xml:space="preserve"> PAGEREF _Toc388976509 \h </w:instrText>
            </w:r>
            <w:r w:rsidR="00872FDE">
              <w:rPr>
                <w:noProof/>
                <w:webHidden/>
              </w:rPr>
            </w:r>
            <w:r w:rsidR="00872FDE">
              <w:rPr>
                <w:noProof/>
                <w:webHidden/>
              </w:rPr>
              <w:fldChar w:fldCharType="separate"/>
            </w:r>
            <w:r w:rsidR="00105E06">
              <w:rPr>
                <w:noProof/>
                <w:webHidden/>
              </w:rPr>
              <w:t>40</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10" w:history="1">
            <w:r w:rsidR="00872FDE" w:rsidRPr="00957D4D">
              <w:rPr>
                <w:rStyle w:val="Hyperlink"/>
                <w:noProof/>
              </w:rPr>
              <w:t>2.2.1</w:t>
            </w:r>
            <w:r w:rsidR="00872FDE">
              <w:rPr>
                <w:rFonts w:asciiTheme="minorHAnsi" w:eastAsiaTheme="minorEastAsia" w:hAnsiTheme="minorHAnsi" w:cstheme="minorBidi"/>
                <w:noProof/>
                <w:sz w:val="22"/>
                <w:szCs w:val="22"/>
                <w:lang w:eastAsia="en-AU"/>
              </w:rPr>
              <w:tab/>
            </w:r>
            <w:r w:rsidR="00872FDE" w:rsidRPr="00957D4D">
              <w:rPr>
                <w:rStyle w:val="Hyperlink"/>
                <w:noProof/>
              </w:rPr>
              <w:t>Standard control services</w:t>
            </w:r>
            <w:r w:rsidR="00872FDE">
              <w:rPr>
                <w:noProof/>
                <w:webHidden/>
              </w:rPr>
              <w:tab/>
            </w:r>
            <w:r w:rsidR="00872FDE">
              <w:rPr>
                <w:noProof/>
                <w:webHidden/>
              </w:rPr>
              <w:fldChar w:fldCharType="begin"/>
            </w:r>
            <w:r w:rsidR="00872FDE">
              <w:rPr>
                <w:noProof/>
                <w:webHidden/>
              </w:rPr>
              <w:instrText xml:space="preserve"> PAGEREF _Toc388976510 \h </w:instrText>
            </w:r>
            <w:r w:rsidR="00872FDE">
              <w:rPr>
                <w:noProof/>
                <w:webHidden/>
              </w:rPr>
            </w:r>
            <w:r w:rsidR="00872FDE">
              <w:rPr>
                <w:noProof/>
                <w:webHidden/>
              </w:rPr>
              <w:fldChar w:fldCharType="separate"/>
            </w:r>
            <w:r w:rsidR="00105E06">
              <w:rPr>
                <w:noProof/>
                <w:webHidden/>
              </w:rPr>
              <w:t>42</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11" w:history="1">
            <w:r w:rsidR="00872FDE" w:rsidRPr="00957D4D">
              <w:rPr>
                <w:rStyle w:val="Hyperlink"/>
                <w:noProof/>
              </w:rPr>
              <w:t>2.2.2</w:t>
            </w:r>
            <w:r w:rsidR="00872FDE">
              <w:rPr>
                <w:rFonts w:asciiTheme="minorHAnsi" w:eastAsiaTheme="minorEastAsia" w:hAnsiTheme="minorHAnsi" w:cstheme="minorBidi"/>
                <w:noProof/>
                <w:sz w:val="22"/>
                <w:szCs w:val="22"/>
                <w:lang w:eastAsia="en-AU"/>
              </w:rPr>
              <w:tab/>
            </w:r>
            <w:r w:rsidR="00872FDE" w:rsidRPr="00957D4D">
              <w:rPr>
                <w:rStyle w:val="Hyperlink"/>
                <w:noProof/>
              </w:rPr>
              <w:t>Alternative control services</w:t>
            </w:r>
            <w:r w:rsidR="00872FDE">
              <w:rPr>
                <w:noProof/>
                <w:webHidden/>
              </w:rPr>
              <w:tab/>
            </w:r>
            <w:r w:rsidR="00872FDE">
              <w:rPr>
                <w:noProof/>
                <w:webHidden/>
              </w:rPr>
              <w:fldChar w:fldCharType="begin"/>
            </w:r>
            <w:r w:rsidR="00872FDE">
              <w:rPr>
                <w:noProof/>
                <w:webHidden/>
              </w:rPr>
              <w:instrText xml:space="preserve"> PAGEREF _Toc388976511 \h </w:instrText>
            </w:r>
            <w:r w:rsidR="00872FDE">
              <w:rPr>
                <w:noProof/>
                <w:webHidden/>
              </w:rPr>
            </w:r>
            <w:r w:rsidR="00872FDE">
              <w:rPr>
                <w:noProof/>
                <w:webHidden/>
              </w:rPr>
              <w:fldChar w:fldCharType="separate"/>
            </w:r>
            <w:r w:rsidR="00105E06">
              <w:rPr>
                <w:noProof/>
                <w:webHidden/>
              </w:rPr>
              <w:t>43</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12" w:history="1">
            <w:r w:rsidR="00872FDE" w:rsidRPr="00957D4D">
              <w:rPr>
                <w:rStyle w:val="Hyperlink"/>
                <w:noProof/>
              </w:rPr>
              <w:t>2.3</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AER's reasons — control mechanism and formulae for standard control services</w:t>
            </w:r>
            <w:r w:rsidR="00872FDE">
              <w:rPr>
                <w:noProof/>
                <w:webHidden/>
              </w:rPr>
              <w:tab/>
            </w:r>
            <w:r w:rsidR="00872FDE">
              <w:rPr>
                <w:noProof/>
                <w:webHidden/>
              </w:rPr>
              <w:fldChar w:fldCharType="begin"/>
            </w:r>
            <w:r w:rsidR="00872FDE">
              <w:rPr>
                <w:noProof/>
                <w:webHidden/>
              </w:rPr>
              <w:instrText xml:space="preserve"> PAGEREF _Toc388976512 \h </w:instrText>
            </w:r>
            <w:r w:rsidR="00872FDE">
              <w:rPr>
                <w:noProof/>
                <w:webHidden/>
              </w:rPr>
            </w:r>
            <w:r w:rsidR="00872FDE">
              <w:rPr>
                <w:noProof/>
                <w:webHidden/>
              </w:rPr>
              <w:fldChar w:fldCharType="separate"/>
            </w:r>
            <w:r w:rsidR="00105E06">
              <w:rPr>
                <w:noProof/>
                <w:webHidden/>
              </w:rPr>
              <w:t>44</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13" w:history="1">
            <w:r w:rsidR="00872FDE" w:rsidRPr="00957D4D">
              <w:rPr>
                <w:rStyle w:val="Hyperlink"/>
                <w:noProof/>
              </w:rPr>
              <w:t>2.3.1</w:t>
            </w:r>
            <w:r w:rsidR="00872FDE">
              <w:rPr>
                <w:rFonts w:asciiTheme="minorHAnsi" w:eastAsiaTheme="minorEastAsia" w:hAnsiTheme="minorHAnsi" w:cstheme="minorBidi"/>
                <w:noProof/>
                <w:sz w:val="22"/>
                <w:szCs w:val="22"/>
                <w:lang w:eastAsia="en-AU"/>
              </w:rPr>
              <w:tab/>
            </w:r>
            <w:r w:rsidR="00872FDE" w:rsidRPr="00957D4D">
              <w:rPr>
                <w:rStyle w:val="Hyperlink"/>
                <w:noProof/>
              </w:rPr>
              <w:t>Efficient tariff structures</w:t>
            </w:r>
            <w:r w:rsidR="00872FDE">
              <w:rPr>
                <w:noProof/>
                <w:webHidden/>
              </w:rPr>
              <w:tab/>
            </w:r>
            <w:r w:rsidR="00872FDE">
              <w:rPr>
                <w:noProof/>
                <w:webHidden/>
              </w:rPr>
              <w:fldChar w:fldCharType="begin"/>
            </w:r>
            <w:r w:rsidR="00872FDE">
              <w:rPr>
                <w:noProof/>
                <w:webHidden/>
              </w:rPr>
              <w:instrText xml:space="preserve"> PAGEREF _Toc388976513 \h </w:instrText>
            </w:r>
            <w:r w:rsidR="00872FDE">
              <w:rPr>
                <w:noProof/>
                <w:webHidden/>
              </w:rPr>
            </w:r>
            <w:r w:rsidR="00872FDE">
              <w:rPr>
                <w:noProof/>
                <w:webHidden/>
              </w:rPr>
              <w:fldChar w:fldCharType="separate"/>
            </w:r>
            <w:r w:rsidR="00105E06">
              <w:rPr>
                <w:noProof/>
                <w:webHidden/>
              </w:rPr>
              <w:t>44</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14" w:history="1">
            <w:r w:rsidR="00872FDE" w:rsidRPr="00957D4D">
              <w:rPr>
                <w:rStyle w:val="Hyperlink"/>
                <w:noProof/>
              </w:rPr>
              <w:t>2.3.2</w:t>
            </w:r>
            <w:r w:rsidR="00872FDE">
              <w:rPr>
                <w:rFonts w:asciiTheme="minorHAnsi" w:eastAsiaTheme="minorEastAsia" w:hAnsiTheme="minorHAnsi" w:cstheme="minorBidi"/>
                <w:noProof/>
                <w:sz w:val="22"/>
                <w:szCs w:val="22"/>
                <w:lang w:eastAsia="en-AU"/>
              </w:rPr>
              <w:tab/>
            </w:r>
            <w:r w:rsidR="00872FDE" w:rsidRPr="00957D4D">
              <w:rPr>
                <w:rStyle w:val="Hyperlink"/>
                <w:noProof/>
              </w:rPr>
              <w:t>Administrative costs</w:t>
            </w:r>
            <w:r w:rsidR="00872FDE">
              <w:rPr>
                <w:noProof/>
                <w:webHidden/>
              </w:rPr>
              <w:tab/>
            </w:r>
            <w:r w:rsidR="00872FDE">
              <w:rPr>
                <w:noProof/>
                <w:webHidden/>
              </w:rPr>
              <w:fldChar w:fldCharType="begin"/>
            </w:r>
            <w:r w:rsidR="00872FDE">
              <w:rPr>
                <w:noProof/>
                <w:webHidden/>
              </w:rPr>
              <w:instrText xml:space="preserve"> PAGEREF _Toc388976514 \h </w:instrText>
            </w:r>
            <w:r w:rsidR="00872FDE">
              <w:rPr>
                <w:noProof/>
                <w:webHidden/>
              </w:rPr>
            </w:r>
            <w:r w:rsidR="00872FDE">
              <w:rPr>
                <w:noProof/>
                <w:webHidden/>
              </w:rPr>
              <w:fldChar w:fldCharType="separate"/>
            </w:r>
            <w:r w:rsidR="00105E06">
              <w:rPr>
                <w:noProof/>
                <w:webHidden/>
              </w:rPr>
              <w:t>46</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15" w:history="1">
            <w:r w:rsidR="00872FDE" w:rsidRPr="00957D4D">
              <w:rPr>
                <w:rStyle w:val="Hyperlink"/>
                <w:noProof/>
              </w:rPr>
              <w:t>2.3.3</w:t>
            </w:r>
            <w:r w:rsidR="00872FDE">
              <w:rPr>
                <w:rFonts w:asciiTheme="minorHAnsi" w:eastAsiaTheme="minorEastAsia" w:hAnsiTheme="minorHAnsi" w:cstheme="minorBidi"/>
                <w:noProof/>
                <w:sz w:val="22"/>
                <w:szCs w:val="22"/>
                <w:lang w:eastAsia="en-AU"/>
              </w:rPr>
              <w:tab/>
            </w:r>
            <w:r w:rsidR="00872FDE" w:rsidRPr="00957D4D">
              <w:rPr>
                <w:rStyle w:val="Hyperlink"/>
                <w:noProof/>
              </w:rPr>
              <w:t>Existing regulatory arrangements</w:t>
            </w:r>
            <w:r w:rsidR="00872FDE">
              <w:rPr>
                <w:noProof/>
                <w:webHidden/>
              </w:rPr>
              <w:tab/>
            </w:r>
            <w:r w:rsidR="00872FDE">
              <w:rPr>
                <w:noProof/>
                <w:webHidden/>
              </w:rPr>
              <w:fldChar w:fldCharType="begin"/>
            </w:r>
            <w:r w:rsidR="00872FDE">
              <w:rPr>
                <w:noProof/>
                <w:webHidden/>
              </w:rPr>
              <w:instrText xml:space="preserve"> PAGEREF _Toc388976515 \h </w:instrText>
            </w:r>
            <w:r w:rsidR="00872FDE">
              <w:rPr>
                <w:noProof/>
                <w:webHidden/>
              </w:rPr>
            </w:r>
            <w:r w:rsidR="00872FDE">
              <w:rPr>
                <w:noProof/>
                <w:webHidden/>
              </w:rPr>
              <w:fldChar w:fldCharType="separate"/>
            </w:r>
            <w:r w:rsidR="00105E06">
              <w:rPr>
                <w:noProof/>
                <w:webHidden/>
              </w:rPr>
              <w:t>47</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16" w:history="1">
            <w:r w:rsidR="00872FDE" w:rsidRPr="00957D4D">
              <w:rPr>
                <w:rStyle w:val="Hyperlink"/>
                <w:noProof/>
              </w:rPr>
              <w:t>2.3.4</w:t>
            </w:r>
            <w:r w:rsidR="00872FDE">
              <w:rPr>
                <w:rFonts w:asciiTheme="minorHAnsi" w:eastAsiaTheme="minorEastAsia" w:hAnsiTheme="minorHAnsi" w:cstheme="minorBidi"/>
                <w:noProof/>
                <w:sz w:val="22"/>
                <w:szCs w:val="22"/>
                <w:lang w:eastAsia="en-AU"/>
              </w:rPr>
              <w:tab/>
            </w:r>
            <w:r w:rsidR="00872FDE" w:rsidRPr="00957D4D">
              <w:rPr>
                <w:rStyle w:val="Hyperlink"/>
                <w:noProof/>
              </w:rPr>
              <w:t>Desirability of consistency between regulatory arrangements</w:t>
            </w:r>
            <w:r w:rsidR="00872FDE">
              <w:rPr>
                <w:noProof/>
                <w:webHidden/>
              </w:rPr>
              <w:tab/>
            </w:r>
            <w:r w:rsidR="00872FDE">
              <w:rPr>
                <w:noProof/>
                <w:webHidden/>
              </w:rPr>
              <w:fldChar w:fldCharType="begin"/>
            </w:r>
            <w:r w:rsidR="00872FDE">
              <w:rPr>
                <w:noProof/>
                <w:webHidden/>
              </w:rPr>
              <w:instrText xml:space="preserve"> PAGEREF _Toc388976516 \h </w:instrText>
            </w:r>
            <w:r w:rsidR="00872FDE">
              <w:rPr>
                <w:noProof/>
                <w:webHidden/>
              </w:rPr>
            </w:r>
            <w:r w:rsidR="00872FDE">
              <w:rPr>
                <w:noProof/>
                <w:webHidden/>
              </w:rPr>
              <w:fldChar w:fldCharType="separate"/>
            </w:r>
            <w:r w:rsidR="00105E06">
              <w:rPr>
                <w:noProof/>
                <w:webHidden/>
              </w:rPr>
              <w:t>47</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17" w:history="1">
            <w:r w:rsidR="00872FDE" w:rsidRPr="00957D4D">
              <w:rPr>
                <w:rStyle w:val="Hyperlink"/>
                <w:noProof/>
              </w:rPr>
              <w:t>2.3.5</w:t>
            </w:r>
            <w:r w:rsidR="00872FDE">
              <w:rPr>
                <w:rFonts w:asciiTheme="minorHAnsi" w:eastAsiaTheme="minorEastAsia" w:hAnsiTheme="minorHAnsi" w:cstheme="minorBidi"/>
                <w:noProof/>
                <w:sz w:val="22"/>
                <w:szCs w:val="22"/>
                <w:lang w:eastAsia="en-AU"/>
              </w:rPr>
              <w:tab/>
            </w:r>
            <w:r w:rsidR="00872FDE" w:rsidRPr="00957D4D">
              <w:rPr>
                <w:rStyle w:val="Hyperlink"/>
                <w:noProof/>
              </w:rPr>
              <w:t>Revenue recovery</w:t>
            </w:r>
            <w:r w:rsidR="00872FDE">
              <w:rPr>
                <w:noProof/>
                <w:webHidden/>
              </w:rPr>
              <w:tab/>
            </w:r>
            <w:r w:rsidR="00872FDE">
              <w:rPr>
                <w:noProof/>
                <w:webHidden/>
              </w:rPr>
              <w:fldChar w:fldCharType="begin"/>
            </w:r>
            <w:r w:rsidR="00872FDE">
              <w:rPr>
                <w:noProof/>
                <w:webHidden/>
              </w:rPr>
              <w:instrText xml:space="preserve"> PAGEREF _Toc388976517 \h </w:instrText>
            </w:r>
            <w:r w:rsidR="00872FDE">
              <w:rPr>
                <w:noProof/>
                <w:webHidden/>
              </w:rPr>
            </w:r>
            <w:r w:rsidR="00872FDE">
              <w:rPr>
                <w:noProof/>
                <w:webHidden/>
              </w:rPr>
              <w:fldChar w:fldCharType="separate"/>
            </w:r>
            <w:r w:rsidR="00105E06">
              <w:rPr>
                <w:noProof/>
                <w:webHidden/>
              </w:rPr>
              <w:t>47</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18" w:history="1">
            <w:r w:rsidR="00872FDE" w:rsidRPr="00957D4D">
              <w:rPr>
                <w:rStyle w:val="Hyperlink"/>
                <w:noProof/>
              </w:rPr>
              <w:t>2.3.6</w:t>
            </w:r>
            <w:r w:rsidR="00872FDE">
              <w:rPr>
                <w:rFonts w:asciiTheme="minorHAnsi" w:eastAsiaTheme="minorEastAsia" w:hAnsiTheme="minorHAnsi" w:cstheme="minorBidi"/>
                <w:noProof/>
                <w:sz w:val="22"/>
                <w:szCs w:val="22"/>
                <w:lang w:eastAsia="en-AU"/>
              </w:rPr>
              <w:tab/>
            </w:r>
            <w:r w:rsidR="00872FDE" w:rsidRPr="00957D4D">
              <w:rPr>
                <w:rStyle w:val="Hyperlink"/>
                <w:noProof/>
              </w:rPr>
              <w:t>Pricing flexibility and stability</w:t>
            </w:r>
            <w:r w:rsidR="00872FDE">
              <w:rPr>
                <w:noProof/>
                <w:webHidden/>
              </w:rPr>
              <w:tab/>
            </w:r>
            <w:r w:rsidR="00872FDE">
              <w:rPr>
                <w:noProof/>
                <w:webHidden/>
              </w:rPr>
              <w:fldChar w:fldCharType="begin"/>
            </w:r>
            <w:r w:rsidR="00872FDE">
              <w:rPr>
                <w:noProof/>
                <w:webHidden/>
              </w:rPr>
              <w:instrText xml:space="preserve"> PAGEREF _Toc388976518 \h </w:instrText>
            </w:r>
            <w:r w:rsidR="00872FDE">
              <w:rPr>
                <w:noProof/>
                <w:webHidden/>
              </w:rPr>
            </w:r>
            <w:r w:rsidR="00872FDE">
              <w:rPr>
                <w:noProof/>
                <w:webHidden/>
              </w:rPr>
              <w:fldChar w:fldCharType="separate"/>
            </w:r>
            <w:r w:rsidR="00105E06">
              <w:rPr>
                <w:noProof/>
                <w:webHidden/>
              </w:rPr>
              <w:t>47</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19" w:history="1">
            <w:r w:rsidR="00872FDE" w:rsidRPr="00957D4D">
              <w:rPr>
                <w:rStyle w:val="Hyperlink"/>
                <w:noProof/>
              </w:rPr>
              <w:t>2.3.7</w:t>
            </w:r>
            <w:r w:rsidR="00872FDE">
              <w:rPr>
                <w:rFonts w:asciiTheme="minorHAnsi" w:eastAsiaTheme="minorEastAsia" w:hAnsiTheme="minorHAnsi" w:cstheme="minorBidi"/>
                <w:noProof/>
                <w:sz w:val="22"/>
                <w:szCs w:val="22"/>
                <w:lang w:eastAsia="en-AU"/>
              </w:rPr>
              <w:tab/>
            </w:r>
            <w:r w:rsidR="00872FDE" w:rsidRPr="00957D4D">
              <w:rPr>
                <w:rStyle w:val="Hyperlink"/>
                <w:noProof/>
              </w:rPr>
              <w:t>Pricing stability</w:t>
            </w:r>
            <w:r w:rsidR="00872FDE">
              <w:rPr>
                <w:noProof/>
                <w:webHidden/>
              </w:rPr>
              <w:tab/>
            </w:r>
            <w:r w:rsidR="00872FDE">
              <w:rPr>
                <w:noProof/>
                <w:webHidden/>
              </w:rPr>
              <w:fldChar w:fldCharType="begin"/>
            </w:r>
            <w:r w:rsidR="00872FDE">
              <w:rPr>
                <w:noProof/>
                <w:webHidden/>
              </w:rPr>
              <w:instrText xml:space="preserve"> PAGEREF _Toc388976519 \h </w:instrText>
            </w:r>
            <w:r w:rsidR="00872FDE">
              <w:rPr>
                <w:noProof/>
                <w:webHidden/>
              </w:rPr>
            </w:r>
            <w:r w:rsidR="00872FDE">
              <w:rPr>
                <w:noProof/>
                <w:webHidden/>
              </w:rPr>
              <w:fldChar w:fldCharType="separate"/>
            </w:r>
            <w:r w:rsidR="00105E06">
              <w:rPr>
                <w:noProof/>
                <w:webHidden/>
              </w:rPr>
              <w:t>48</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20" w:history="1">
            <w:r w:rsidR="00872FDE" w:rsidRPr="00957D4D">
              <w:rPr>
                <w:rStyle w:val="Hyperlink"/>
                <w:noProof/>
              </w:rPr>
              <w:t>2.3.8</w:t>
            </w:r>
            <w:r w:rsidR="00872FDE">
              <w:rPr>
                <w:rFonts w:asciiTheme="minorHAnsi" w:eastAsiaTheme="minorEastAsia" w:hAnsiTheme="minorHAnsi" w:cstheme="minorBidi"/>
                <w:noProof/>
                <w:sz w:val="22"/>
                <w:szCs w:val="22"/>
                <w:lang w:eastAsia="en-AU"/>
              </w:rPr>
              <w:tab/>
            </w:r>
            <w:r w:rsidR="00872FDE" w:rsidRPr="00957D4D">
              <w:rPr>
                <w:rStyle w:val="Hyperlink"/>
                <w:noProof/>
              </w:rPr>
              <w:t>Incentives for demand side management</w:t>
            </w:r>
            <w:r w:rsidR="00872FDE">
              <w:rPr>
                <w:noProof/>
                <w:webHidden/>
              </w:rPr>
              <w:tab/>
            </w:r>
            <w:r w:rsidR="00872FDE">
              <w:rPr>
                <w:noProof/>
                <w:webHidden/>
              </w:rPr>
              <w:fldChar w:fldCharType="begin"/>
            </w:r>
            <w:r w:rsidR="00872FDE">
              <w:rPr>
                <w:noProof/>
                <w:webHidden/>
              </w:rPr>
              <w:instrText xml:space="preserve"> PAGEREF _Toc388976520 \h </w:instrText>
            </w:r>
            <w:r w:rsidR="00872FDE">
              <w:rPr>
                <w:noProof/>
                <w:webHidden/>
              </w:rPr>
            </w:r>
            <w:r w:rsidR="00872FDE">
              <w:rPr>
                <w:noProof/>
                <w:webHidden/>
              </w:rPr>
              <w:fldChar w:fldCharType="separate"/>
            </w:r>
            <w:r w:rsidR="00105E06">
              <w:rPr>
                <w:noProof/>
                <w:webHidden/>
              </w:rPr>
              <w:t>49</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21" w:history="1">
            <w:r w:rsidR="00872FDE" w:rsidRPr="00957D4D">
              <w:rPr>
                <w:rStyle w:val="Hyperlink"/>
                <w:noProof/>
              </w:rPr>
              <w:t>2.3.9</w:t>
            </w:r>
            <w:r w:rsidR="00872FDE">
              <w:rPr>
                <w:rFonts w:asciiTheme="minorHAnsi" w:eastAsiaTheme="minorEastAsia" w:hAnsiTheme="minorHAnsi" w:cstheme="minorBidi"/>
                <w:noProof/>
                <w:sz w:val="22"/>
                <w:szCs w:val="22"/>
                <w:lang w:eastAsia="en-AU"/>
              </w:rPr>
              <w:tab/>
            </w:r>
            <w:r w:rsidR="00872FDE" w:rsidRPr="00957D4D">
              <w:rPr>
                <w:rStyle w:val="Hyperlink"/>
                <w:noProof/>
              </w:rPr>
              <w:t>Hybrid form of control</w:t>
            </w:r>
            <w:r w:rsidR="00872FDE">
              <w:rPr>
                <w:noProof/>
                <w:webHidden/>
              </w:rPr>
              <w:tab/>
            </w:r>
            <w:r w:rsidR="00872FDE">
              <w:rPr>
                <w:noProof/>
                <w:webHidden/>
              </w:rPr>
              <w:fldChar w:fldCharType="begin"/>
            </w:r>
            <w:r w:rsidR="00872FDE">
              <w:rPr>
                <w:noProof/>
                <w:webHidden/>
              </w:rPr>
              <w:instrText xml:space="preserve"> PAGEREF _Toc388976521 \h </w:instrText>
            </w:r>
            <w:r w:rsidR="00872FDE">
              <w:rPr>
                <w:noProof/>
                <w:webHidden/>
              </w:rPr>
            </w:r>
            <w:r w:rsidR="00872FDE">
              <w:rPr>
                <w:noProof/>
                <w:webHidden/>
              </w:rPr>
              <w:fldChar w:fldCharType="separate"/>
            </w:r>
            <w:r w:rsidR="00105E06">
              <w:rPr>
                <w:noProof/>
                <w:webHidden/>
              </w:rPr>
              <w:t>49</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22" w:history="1">
            <w:r w:rsidR="00872FDE" w:rsidRPr="00957D4D">
              <w:rPr>
                <w:rStyle w:val="Hyperlink"/>
                <w:noProof/>
              </w:rPr>
              <w:t>2.3.10</w:t>
            </w:r>
            <w:r w:rsidR="00872FDE">
              <w:rPr>
                <w:rFonts w:asciiTheme="minorHAnsi" w:eastAsiaTheme="minorEastAsia" w:hAnsiTheme="minorHAnsi" w:cstheme="minorBidi"/>
                <w:noProof/>
                <w:sz w:val="22"/>
                <w:szCs w:val="22"/>
                <w:lang w:eastAsia="en-AU"/>
              </w:rPr>
              <w:tab/>
            </w:r>
            <w:r w:rsidR="00872FDE" w:rsidRPr="00957D4D">
              <w:rPr>
                <w:rStyle w:val="Hyperlink"/>
                <w:noProof/>
              </w:rPr>
              <w:t>Formulae for control mechanism</w:t>
            </w:r>
            <w:r w:rsidR="00872FDE">
              <w:rPr>
                <w:noProof/>
                <w:webHidden/>
              </w:rPr>
              <w:tab/>
            </w:r>
            <w:r w:rsidR="00872FDE">
              <w:rPr>
                <w:noProof/>
                <w:webHidden/>
              </w:rPr>
              <w:fldChar w:fldCharType="begin"/>
            </w:r>
            <w:r w:rsidR="00872FDE">
              <w:rPr>
                <w:noProof/>
                <w:webHidden/>
              </w:rPr>
              <w:instrText xml:space="preserve"> PAGEREF _Toc388976522 \h </w:instrText>
            </w:r>
            <w:r w:rsidR="00872FDE">
              <w:rPr>
                <w:noProof/>
                <w:webHidden/>
              </w:rPr>
            </w:r>
            <w:r w:rsidR="00872FDE">
              <w:rPr>
                <w:noProof/>
                <w:webHidden/>
              </w:rPr>
              <w:fldChar w:fldCharType="separate"/>
            </w:r>
            <w:r w:rsidR="00105E06">
              <w:rPr>
                <w:noProof/>
                <w:webHidden/>
              </w:rPr>
              <w:t>50</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23" w:history="1">
            <w:r w:rsidR="00872FDE" w:rsidRPr="00957D4D">
              <w:rPr>
                <w:rStyle w:val="Hyperlink"/>
                <w:noProof/>
              </w:rPr>
              <w:t>2.4</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AER's reasons — control mechanism for alternative control services</w:t>
            </w:r>
            <w:r w:rsidR="00872FDE">
              <w:rPr>
                <w:noProof/>
                <w:webHidden/>
              </w:rPr>
              <w:tab/>
            </w:r>
            <w:r w:rsidR="00872FDE">
              <w:rPr>
                <w:noProof/>
                <w:webHidden/>
              </w:rPr>
              <w:fldChar w:fldCharType="begin"/>
            </w:r>
            <w:r w:rsidR="00872FDE">
              <w:rPr>
                <w:noProof/>
                <w:webHidden/>
              </w:rPr>
              <w:instrText xml:space="preserve"> PAGEREF _Toc388976523 \h </w:instrText>
            </w:r>
            <w:r w:rsidR="00872FDE">
              <w:rPr>
                <w:noProof/>
                <w:webHidden/>
              </w:rPr>
            </w:r>
            <w:r w:rsidR="00872FDE">
              <w:rPr>
                <w:noProof/>
                <w:webHidden/>
              </w:rPr>
              <w:fldChar w:fldCharType="separate"/>
            </w:r>
            <w:r w:rsidR="00105E06">
              <w:rPr>
                <w:noProof/>
                <w:webHidden/>
              </w:rPr>
              <w:t>51</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24" w:history="1">
            <w:r w:rsidR="00872FDE" w:rsidRPr="00957D4D">
              <w:rPr>
                <w:rStyle w:val="Hyperlink"/>
                <w:noProof/>
              </w:rPr>
              <w:t>2.4.1</w:t>
            </w:r>
            <w:r w:rsidR="00872FDE">
              <w:rPr>
                <w:rFonts w:asciiTheme="minorHAnsi" w:eastAsiaTheme="minorEastAsia" w:hAnsiTheme="minorHAnsi" w:cstheme="minorBidi"/>
                <w:noProof/>
                <w:sz w:val="22"/>
                <w:szCs w:val="22"/>
                <w:lang w:eastAsia="en-AU"/>
              </w:rPr>
              <w:tab/>
            </w:r>
            <w:r w:rsidR="00872FDE" w:rsidRPr="00957D4D">
              <w:rPr>
                <w:rStyle w:val="Hyperlink"/>
                <w:noProof/>
              </w:rPr>
              <w:t>Influence on the potential to develop competition</w:t>
            </w:r>
            <w:r w:rsidR="00872FDE">
              <w:rPr>
                <w:noProof/>
                <w:webHidden/>
              </w:rPr>
              <w:tab/>
            </w:r>
            <w:r w:rsidR="00872FDE">
              <w:rPr>
                <w:noProof/>
                <w:webHidden/>
              </w:rPr>
              <w:fldChar w:fldCharType="begin"/>
            </w:r>
            <w:r w:rsidR="00872FDE">
              <w:rPr>
                <w:noProof/>
                <w:webHidden/>
              </w:rPr>
              <w:instrText xml:space="preserve"> PAGEREF _Toc388976524 \h </w:instrText>
            </w:r>
            <w:r w:rsidR="00872FDE">
              <w:rPr>
                <w:noProof/>
                <w:webHidden/>
              </w:rPr>
            </w:r>
            <w:r w:rsidR="00872FDE">
              <w:rPr>
                <w:noProof/>
                <w:webHidden/>
              </w:rPr>
              <w:fldChar w:fldCharType="separate"/>
            </w:r>
            <w:r w:rsidR="00105E06">
              <w:rPr>
                <w:noProof/>
                <w:webHidden/>
              </w:rPr>
              <w:t>51</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25" w:history="1">
            <w:r w:rsidR="00872FDE" w:rsidRPr="00957D4D">
              <w:rPr>
                <w:rStyle w:val="Hyperlink"/>
                <w:noProof/>
              </w:rPr>
              <w:t>2.4.2</w:t>
            </w:r>
            <w:r w:rsidR="00872FDE">
              <w:rPr>
                <w:rFonts w:asciiTheme="minorHAnsi" w:eastAsiaTheme="minorEastAsia" w:hAnsiTheme="minorHAnsi" w:cstheme="minorBidi"/>
                <w:noProof/>
                <w:sz w:val="22"/>
                <w:szCs w:val="22"/>
                <w:lang w:eastAsia="en-AU"/>
              </w:rPr>
              <w:tab/>
            </w:r>
            <w:r w:rsidR="00872FDE" w:rsidRPr="00957D4D">
              <w:rPr>
                <w:rStyle w:val="Hyperlink"/>
                <w:noProof/>
              </w:rPr>
              <w:t>Administrative costs</w:t>
            </w:r>
            <w:r w:rsidR="00872FDE">
              <w:rPr>
                <w:noProof/>
                <w:webHidden/>
              </w:rPr>
              <w:tab/>
            </w:r>
            <w:r w:rsidR="00872FDE">
              <w:rPr>
                <w:noProof/>
                <w:webHidden/>
              </w:rPr>
              <w:fldChar w:fldCharType="begin"/>
            </w:r>
            <w:r w:rsidR="00872FDE">
              <w:rPr>
                <w:noProof/>
                <w:webHidden/>
              </w:rPr>
              <w:instrText xml:space="preserve"> PAGEREF _Toc388976525 \h </w:instrText>
            </w:r>
            <w:r w:rsidR="00872FDE">
              <w:rPr>
                <w:noProof/>
                <w:webHidden/>
              </w:rPr>
            </w:r>
            <w:r w:rsidR="00872FDE">
              <w:rPr>
                <w:noProof/>
                <w:webHidden/>
              </w:rPr>
              <w:fldChar w:fldCharType="separate"/>
            </w:r>
            <w:r w:rsidR="00105E06">
              <w:rPr>
                <w:noProof/>
                <w:webHidden/>
              </w:rPr>
              <w:t>52</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26" w:history="1">
            <w:r w:rsidR="00872FDE" w:rsidRPr="00957D4D">
              <w:rPr>
                <w:rStyle w:val="Hyperlink"/>
                <w:noProof/>
              </w:rPr>
              <w:t>2.4.3</w:t>
            </w:r>
            <w:r w:rsidR="00872FDE">
              <w:rPr>
                <w:rFonts w:asciiTheme="minorHAnsi" w:eastAsiaTheme="minorEastAsia" w:hAnsiTheme="minorHAnsi" w:cstheme="minorBidi"/>
                <w:noProof/>
                <w:sz w:val="22"/>
                <w:szCs w:val="22"/>
                <w:lang w:eastAsia="en-AU"/>
              </w:rPr>
              <w:tab/>
            </w:r>
            <w:r w:rsidR="00872FDE" w:rsidRPr="00957D4D">
              <w:rPr>
                <w:rStyle w:val="Hyperlink"/>
                <w:noProof/>
              </w:rPr>
              <w:t>Existing regulatory arrangements</w:t>
            </w:r>
            <w:r w:rsidR="00872FDE">
              <w:rPr>
                <w:noProof/>
                <w:webHidden/>
              </w:rPr>
              <w:tab/>
            </w:r>
            <w:r w:rsidR="00872FDE">
              <w:rPr>
                <w:noProof/>
                <w:webHidden/>
              </w:rPr>
              <w:fldChar w:fldCharType="begin"/>
            </w:r>
            <w:r w:rsidR="00872FDE">
              <w:rPr>
                <w:noProof/>
                <w:webHidden/>
              </w:rPr>
              <w:instrText xml:space="preserve"> PAGEREF _Toc388976526 \h </w:instrText>
            </w:r>
            <w:r w:rsidR="00872FDE">
              <w:rPr>
                <w:noProof/>
                <w:webHidden/>
              </w:rPr>
            </w:r>
            <w:r w:rsidR="00872FDE">
              <w:rPr>
                <w:noProof/>
                <w:webHidden/>
              </w:rPr>
              <w:fldChar w:fldCharType="separate"/>
            </w:r>
            <w:r w:rsidR="00105E06">
              <w:rPr>
                <w:noProof/>
                <w:webHidden/>
              </w:rPr>
              <w:t>52</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27" w:history="1">
            <w:r w:rsidR="00872FDE" w:rsidRPr="00957D4D">
              <w:rPr>
                <w:rStyle w:val="Hyperlink"/>
                <w:noProof/>
              </w:rPr>
              <w:t>2.4.4</w:t>
            </w:r>
            <w:r w:rsidR="00872FDE">
              <w:rPr>
                <w:rFonts w:asciiTheme="minorHAnsi" w:eastAsiaTheme="minorEastAsia" w:hAnsiTheme="minorHAnsi" w:cstheme="minorBidi"/>
                <w:noProof/>
                <w:sz w:val="22"/>
                <w:szCs w:val="22"/>
                <w:lang w:eastAsia="en-AU"/>
              </w:rPr>
              <w:tab/>
            </w:r>
            <w:r w:rsidR="00872FDE" w:rsidRPr="00957D4D">
              <w:rPr>
                <w:rStyle w:val="Hyperlink"/>
                <w:noProof/>
              </w:rPr>
              <w:t>Desirability of consistency between regulatory arrangements</w:t>
            </w:r>
            <w:r w:rsidR="00872FDE">
              <w:rPr>
                <w:noProof/>
                <w:webHidden/>
              </w:rPr>
              <w:tab/>
            </w:r>
            <w:r w:rsidR="00872FDE">
              <w:rPr>
                <w:noProof/>
                <w:webHidden/>
              </w:rPr>
              <w:fldChar w:fldCharType="begin"/>
            </w:r>
            <w:r w:rsidR="00872FDE">
              <w:rPr>
                <w:noProof/>
                <w:webHidden/>
              </w:rPr>
              <w:instrText xml:space="preserve"> PAGEREF _Toc388976527 \h </w:instrText>
            </w:r>
            <w:r w:rsidR="00872FDE">
              <w:rPr>
                <w:noProof/>
                <w:webHidden/>
              </w:rPr>
            </w:r>
            <w:r w:rsidR="00872FDE">
              <w:rPr>
                <w:noProof/>
                <w:webHidden/>
              </w:rPr>
              <w:fldChar w:fldCharType="separate"/>
            </w:r>
            <w:r w:rsidR="00105E06">
              <w:rPr>
                <w:noProof/>
                <w:webHidden/>
              </w:rPr>
              <w:t>52</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28" w:history="1">
            <w:r w:rsidR="00872FDE" w:rsidRPr="00957D4D">
              <w:rPr>
                <w:rStyle w:val="Hyperlink"/>
                <w:noProof/>
              </w:rPr>
              <w:t>2.4.5</w:t>
            </w:r>
            <w:r w:rsidR="00872FDE">
              <w:rPr>
                <w:rFonts w:asciiTheme="minorHAnsi" w:eastAsiaTheme="minorEastAsia" w:hAnsiTheme="minorHAnsi" w:cstheme="minorBidi"/>
                <w:noProof/>
                <w:sz w:val="22"/>
                <w:szCs w:val="22"/>
                <w:lang w:eastAsia="en-AU"/>
              </w:rPr>
              <w:tab/>
            </w:r>
            <w:r w:rsidR="00872FDE" w:rsidRPr="00957D4D">
              <w:rPr>
                <w:rStyle w:val="Hyperlink"/>
                <w:noProof/>
              </w:rPr>
              <w:t>Cost reflective prices</w:t>
            </w:r>
            <w:r w:rsidR="00872FDE">
              <w:rPr>
                <w:noProof/>
                <w:webHidden/>
              </w:rPr>
              <w:tab/>
            </w:r>
            <w:r w:rsidR="00872FDE">
              <w:rPr>
                <w:noProof/>
                <w:webHidden/>
              </w:rPr>
              <w:fldChar w:fldCharType="begin"/>
            </w:r>
            <w:r w:rsidR="00872FDE">
              <w:rPr>
                <w:noProof/>
                <w:webHidden/>
              </w:rPr>
              <w:instrText xml:space="preserve"> PAGEREF _Toc388976528 \h </w:instrText>
            </w:r>
            <w:r w:rsidR="00872FDE">
              <w:rPr>
                <w:noProof/>
                <w:webHidden/>
              </w:rPr>
            </w:r>
            <w:r w:rsidR="00872FDE">
              <w:rPr>
                <w:noProof/>
                <w:webHidden/>
              </w:rPr>
              <w:fldChar w:fldCharType="separate"/>
            </w:r>
            <w:r w:rsidR="00105E06">
              <w:rPr>
                <w:noProof/>
                <w:webHidden/>
              </w:rPr>
              <w:t>52</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29" w:history="1">
            <w:r w:rsidR="00872FDE" w:rsidRPr="00957D4D">
              <w:rPr>
                <w:rStyle w:val="Hyperlink"/>
                <w:noProof/>
              </w:rPr>
              <w:t>2.4.6</w:t>
            </w:r>
            <w:r w:rsidR="00872FDE">
              <w:rPr>
                <w:rFonts w:asciiTheme="minorHAnsi" w:eastAsiaTheme="minorEastAsia" w:hAnsiTheme="minorHAnsi" w:cstheme="minorBidi"/>
                <w:noProof/>
                <w:sz w:val="22"/>
                <w:szCs w:val="22"/>
                <w:lang w:eastAsia="en-AU"/>
              </w:rPr>
              <w:tab/>
            </w:r>
            <w:r w:rsidR="00872FDE" w:rsidRPr="00957D4D">
              <w:rPr>
                <w:rStyle w:val="Hyperlink"/>
                <w:noProof/>
              </w:rPr>
              <w:t>Formulae for alternative control services</w:t>
            </w:r>
            <w:r w:rsidR="00872FDE">
              <w:rPr>
                <w:noProof/>
                <w:webHidden/>
              </w:rPr>
              <w:tab/>
            </w:r>
            <w:r w:rsidR="00872FDE">
              <w:rPr>
                <w:noProof/>
                <w:webHidden/>
              </w:rPr>
              <w:fldChar w:fldCharType="begin"/>
            </w:r>
            <w:r w:rsidR="00872FDE">
              <w:rPr>
                <w:noProof/>
                <w:webHidden/>
              </w:rPr>
              <w:instrText xml:space="preserve"> PAGEREF _Toc388976529 \h </w:instrText>
            </w:r>
            <w:r w:rsidR="00872FDE">
              <w:rPr>
                <w:noProof/>
                <w:webHidden/>
              </w:rPr>
            </w:r>
            <w:r w:rsidR="00872FDE">
              <w:rPr>
                <w:noProof/>
                <w:webHidden/>
              </w:rPr>
              <w:fldChar w:fldCharType="separate"/>
            </w:r>
            <w:r w:rsidR="00105E06">
              <w:rPr>
                <w:noProof/>
                <w:webHidden/>
              </w:rPr>
              <w:t>52</w:t>
            </w:r>
            <w:r w:rsidR="00872FDE">
              <w:rPr>
                <w:noProof/>
                <w:webHidden/>
              </w:rPr>
              <w:fldChar w:fldCharType="end"/>
            </w:r>
          </w:hyperlink>
        </w:p>
        <w:p w:rsidR="00872FDE" w:rsidRDefault="00BB34B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8976530" w:history="1">
            <w:r w:rsidR="00872FDE" w:rsidRPr="00957D4D">
              <w:rPr>
                <w:rStyle w:val="Hyperlink"/>
                <w:noProof/>
              </w:rPr>
              <w:t>3</w:t>
            </w:r>
            <w:r w:rsidR="00872FDE">
              <w:rPr>
                <w:rFonts w:asciiTheme="minorHAnsi" w:eastAsiaTheme="minorEastAsia" w:hAnsiTheme="minorHAnsi" w:cstheme="minorBidi"/>
                <w:b w:val="0"/>
                <w:bCs w:val="0"/>
                <w:noProof/>
                <w:sz w:val="22"/>
                <w:szCs w:val="22"/>
                <w:lang w:eastAsia="en-AU"/>
              </w:rPr>
              <w:tab/>
            </w:r>
            <w:r w:rsidR="00872FDE" w:rsidRPr="00957D4D">
              <w:rPr>
                <w:rStyle w:val="Hyperlink"/>
                <w:noProof/>
              </w:rPr>
              <w:t>Incentive schemes</w:t>
            </w:r>
            <w:r w:rsidR="00872FDE">
              <w:rPr>
                <w:noProof/>
                <w:webHidden/>
              </w:rPr>
              <w:tab/>
            </w:r>
            <w:r w:rsidR="00872FDE">
              <w:rPr>
                <w:noProof/>
                <w:webHidden/>
              </w:rPr>
              <w:fldChar w:fldCharType="begin"/>
            </w:r>
            <w:r w:rsidR="00872FDE">
              <w:rPr>
                <w:noProof/>
                <w:webHidden/>
              </w:rPr>
              <w:instrText xml:space="preserve"> PAGEREF _Toc388976530 \h </w:instrText>
            </w:r>
            <w:r w:rsidR="00872FDE">
              <w:rPr>
                <w:noProof/>
                <w:webHidden/>
              </w:rPr>
            </w:r>
            <w:r w:rsidR="00872FDE">
              <w:rPr>
                <w:noProof/>
                <w:webHidden/>
              </w:rPr>
              <w:fldChar w:fldCharType="separate"/>
            </w:r>
            <w:r w:rsidR="00105E06">
              <w:rPr>
                <w:noProof/>
                <w:webHidden/>
              </w:rPr>
              <w:t>54</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31" w:history="1">
            <w:r w:rsidR="00872FDE" w:rsidRPr="00957D4D">
              <w:rPr>
                <w:rStyle w:val="Hyperlink"/>
                <w:noProof/>
              </w:rPr>
              <w:t>3.1</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Service target performance incentive scheme</w:t>
            </w:r>
            <w:r w:rsidR="00872FDE">
              <w:rPr>
                <w:noProof/>
                <w:webHidden/>
              </w:rPr>
              <w:tab/>
            </w:r>
            <w:r w:rsidR="00872FDE">
              <w:rPr>
                <w:noProof/>
                <w:webHidden/>
              </w:rPr>
              <w:fldChar w:fldCharType="begin"/>
            </w:r>
            <w:r w:rsidR="00872FDE">
              <w:rPr>
                <w:noProof/>
                <w:webHidden/>
              </w:rPr>
              <w:instrText xml:space="preserve"> PAGEREF _Toc388976531 \h </w:instrText>
            </w:r>
            <w:r w:rsidR="00872FDE">
              <w:rPr>
                <w:noProof/>
                <w:webHidden/>
              </w:rPr>
            </w:r>
            <w:r w:rsidR="00872FDE">
              <w:rPr>
                <w:noProof/>
                <w:webHidden/>
              </w:rPr>
              <w:fldChar w:fldCharType="separate"/>
            </w:r>
            <w:r w:rsidR="00105E06">
              <w:rPr>
                <w:noProof/>
                <w:webHidden/>
              </w:rPr>
              <w:t>54</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32" w:history="1">
            <w:r w:rsidR="00872FDE" w:rsidRPr="00957D4D">
              <w:rPr>
                <w:rStyle w:val="Hyperlink"/>
                <w:noProof/>
              </w:rPr>
              <w:t>3.1.1</w:t>
            </w:r>
            <w:r w:rsidR="00872FDE">
              <w:rPr>
                <w:rFonts w:asciiTheme="minorHAnsi" w:eastAsiaTheme="minorEastAsia" w:hAnsiTheme="minorHAnsi" w:cstheme="minorBidi"/>
                <w:noProof/>
                <w:sz w:val="22"/>
                <w:szCs w:val="22"/>
                <w:lang w:eastAsia="en-AU"/>
              </w:rPr>
              <w:tab/>
            </w:r>
            <w:r w:rsidR="00872FDE" w:rsidRPr="00957D4D">
              <w:rPr>
                <w:rStyle w:val="Hyperlink"/>
                <w:noProof/>
              </w:rPr>
              <w:t>AER's preliminary position</w:t>
            </w:r>
            <w:r w:rsidR="00872FDE">
              <w:rPr>
                <w:noProof/>
                <w:webHidden/>
              </w:rPr>
              <w:tab/>
            </w:r>
            <w:r w:rsidR="00872FDE">
              <w:rPr>
                <w:noProof/>
                <w:webHidden/>
              </w:rPr>
              <w:fldChar w:fldCharType="begin"/>
            </w:r>
            <w:r w:rsidR="00872FDE">
              <w:rPr>
                <w:noProof/>
                <w:webHidden/>
              </w:rPr>
              <w:instrText xml:space="preserve"> PAGEREF _Toc388976532 \h </w:instrText>
            </w:r>
            <w:r w:rsidR="00872FDE">
              <w:rPr>
                <w:noProof/>
                <w:webHidden/>
              </w:rPr>
            </w:r>
            <w:r w:rsidR="00872FDE">
              <w:rPr>
                <w:noProof/>
                <w:webHidden/>
              </w:rPr>
              <w:fldChar w:fldCharType="separate"/>
            </w:r>
            <w:r w:rsidR="00105E06">
              <w:rPr>
                <w:noProof/>
                <w:webHidden/>
              </w:rPr>
              <w:t>55</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33" w:history="1">
            <w:r w:rsidR="00872FDE" w:rsidRPr="00957D4D">
              <w:rPr>
                <w:rStyle w:val="Hyperlink"/>
                <w:noProof/>
              </w:rPr>
              <w:t>3.1.2</w:t>
            </w:r>
            <w:r w:rsidR="00872FDE">
              <w:rPr>
                <w:rFonts w:asciiTheme="minorHAnsi" w:eastAsiaTheme="minorEastAsia" w:hAnsiTheme="minorHAnsi" w:cstheme="minorBidi"/>
                <w:noProof/>
                <w:sz w:val="22"/>
                <w:szCs w:val="22"/>
                <w:lang w:eastAsia="en-AU"/>
              </w:rPr>
              <w:tab/>
            </w:r>
            <w:r w:rsidR="00872FDE" w:rsidRPr="00957D4D">
              <w:rPr>
                <w:rStyle w:val="Hyperlink"/>
                <w:noProof/>
              </w:rPr>
              <w:t>AER's assessment approach</w:t>
            </w:r>
            <w:r w:rsidR="00872FDE">
              <w:rPr>
                <w:noProof/>
                <w:webHidden/>
              </w:rPr>
              <w:tab/>
            </w:r>
            <w:r w:rsidR="00872FDE">
              <w:rPr>
                <w:noProof/>
                <w:webHidden/>
              </w:rPr>
              <w:fldChar w:fldCharType="begin"/>
            </w:r>
            <w:r w:rsidR="00872FDE">
              <w:rPr>
                <w:noProof/>
                <w:webHidden/>
              </w:rPr>
              <w:instrText xml:space="preserve"> PAGEREF _Toc388976533 \h </w:instrText>
            </w:r>
            <w:r w:rsidR="00872FDE">
              <w:rPr>
                <w:noProof/>
                <w:webHidden/>
              </w:rPr>
            </w:r>
            <w:r w:rsidR="00872FDE">
              <w:rPr>
                <w:noProof/>
                <w:webHidden/>
              </w:rPr>
              <w:fldChar w:fldCharType="separate"/>
            </w:r>
            <w:r w:rsidR="00105E06">
              <w:rPr>
                <w:noProof/>
                <w:webHidden/>
              </w:rPr>
              <w:t>56</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34" w:history="1">
            <w:r w:rsidR="00872FDE" w:rsidRPr="00957D4D">
              <w:rPr>
                <w:rStyle w:val="Hyperlink"/>
                <w:noProof/>
              </w:rPr>
              <w:t>3.1.3</w:t>
            </w:r>
            <w:r w:rsidR="00872FDE">
              <w:rPr>
                <w:rFonts w:asciiTheme="minorHAnsi" w:eastAsiaTheme="minorEastAsia" w:hAnsiTheme="minorHAnsi" w:cstheme="minorBidi"/>
                <w:noProof/>
                <w:sz w:val="22"/>
                <w:szCs w:val="22"/>
                <w:lang w:eastAsia="en-AU"/>
              </w:rPr>
              <w:tab/>
            </w:r>
            <w:r w:rsidR="00872FDE" w:rsidRPr="00957D4D">
              <w:rPr>
                <w:rStyle w:val="Hyperlink"/>
                <w:noProof/>
              </w:rPr>
              <w:t>Reasons for AER's preliminary position</w:t>
            </w:r>
            <w:r w:rsidR="00872FDE">
              <w:rPr>
                <w:noProof/>
                <w:webHidden/>
              </w:rPr>
              <w:tab/>
            </w:r>
            <w:r w:rsidR="00872FDE">
              <w:rPr>
                <w:noProof/>
                <w:webHidden/>
              </w:rPr>
              <w:fldChar w:fldCharType="begin"/>
            </w:r>
            <w:r w:rsidR="00872FDE">
              <w:rPr>
                <w:noProof/>
                <w:webHidden/>
              </w:rPr>
              <w:instrText xml:space="preserve"> PAGEREF _Toc388976534 \h </w:instrText>
            </w:r>
            <w:r w:rsidR="00872FDE">
              <w:rPr>
                <w:noProof/>
                <w:webHidden/>
              </w:rPr>
            </w:r>
            <w:r w:rsidR="00872FDE">
              <w:rPr>
                <w:noProof/>
                <w:webHidden/>
              </w:rPr>
              <w:fldChar w:fldCharType="separate"/>
            </w:r>
            <w:r w:rsidR="00105E06">
              <w:rPr>
                <w:noProof/>
                <w:webHidden/>
              </w:rPr>
              <w:t>57</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35" w:history="1">
            <w:r w:rsidR="00872FDE" w:rsidRPr="00957D4D">
              <w:rPr>
                <w:rStyle w:val="Hyperlink"/>
                <w:noProof/>
              </w:rPr>
              <w:t>3.2</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Efficiency benefit sharing scheme</w:t>
            </w:r>
            <w:r w:rsidR="00872FDE">
              <w:rPr>
                <w:noProof/>
                <w:webHidden/>
              </w:rPr>
              <w:tab/>
            </w:r>
            <w:r w:rsidR="00872FDE">
              <w:rPr>
                <w:noProof/>
                <w:webHidden/>
              </w:rPr>
              <w:fldChar w:fldCharType="begin"/>
            </w:r>
            <w:r w:rsidR="00872FDE">
              <w:rPr>
                <w:noProof/>
                <w:webHidden/>
              </w:rPr>
              <w:instrText xml:space="preserve"> PAGEREF _Toc388976535 \h </w:instrText>
            </w:r>
            <w:r w:rsidR="00872FDE">
              <w:rPr>
                <w:noProof/>
                <w:webHidden/>
              </w:rPr>
            </w:r>
            <w:r w:rsidR="00872FDE">
              <w:rPr>
                <w:noProof/>
                <w:webHidden/>
              </w:rPr>
              <w:fldChar w:fldCharType="separate"/>
            </w:r>
            <w:r w:rsidR="00105E06">
              <w:rPr>
                <w:noProof/>
                <w:webHidden/>
              </w:rPr>
              <w:t>59</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36" w:history="1">
            <w:r w:rsidR="00872FDE" w:rsidRPr="00957D4D">
              <w:rPr>
                <w:rStyle w:val="Hyperlink"/>
                <w:noProof/>
              </w:rPr>
              <w:t>3.2.1</w:t>
            </w:r>
            <w:r w:rsidR="00872FDE">
              <w:rPr>
                <w:rFonts w:asciiTheme="minorHAnsi" w:eastAsiaTheme="minorEastAsia" w:hAnsiTheme="minorHAnsi" w:cstheme="minorBidi"/>
                <w:noProof/>
                <w:sz w:val="22"/>
                <w:szCs w:val="22"/>
                <w:lang w:eastAsia="en-AU"/>
              </w:rPr>
              <w:tab/>
            </w:r>
            <w:r w:rsidR="00872FDE" w:rsidRPr="00957D4D">
              <w:rPr>
                <w:rStyle w:val="Hyperlink"/>
                <w:noProof/>
              </w:rPr>
              <w:t>AER's preliminary position</w:t>
            </w:r>
            <w:r w:rsidR="00872FDE">
              <w:rPr>
                <w:noProof/>
                <w:webHidden/>
              </w:rPr>
              <w:tab/>
            </w:r>
            <w:r w:rsidR="00872FDE">
              <w:rPr>
                <w:noProof/>
                <w:webHidden/>
              </w:rPr>
              <w:fldChar w:fldCharType="begin"/>
            </w:r>
            <w:r w:rsidR="00872FDE">
              <w:rPr>
                <w:noProof/>
                <w:webHidden/>
              </w:rPr>
              <w:instrText xml:space="preserve"> PAGEREF _Toc388976536 \h </w:instrText>
            </w:r>
            <w:r w:rsidR="00872FDE">
              <w:rPr>
                <w:noProof/>
                <w:webHidden/>
              </w:rPr>
            </w:r>
            <w:r w:rsidR="00872FDE">
              <w:rPr>
                <w:noProof/>
                <w:webHidden/>
              </w:rPr>
              <w:fldChar w:fldCharType="separate"/>
            </w:r>
            <w:r w:rsidR="00105E06">
              <w:rPr>
                <w:noProof/>
                <w:webHidden/>
              </w:rPr>
              <w:t>59</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37" w:history="1">
            <w:r w:rsidR="00872FDE" w:rsidRPr="00957D4D">
              <w:rPr>
                <w:rStyle w:val="Hyperlink"/>
                <w:noProof/>
              </w:rPr>
              <w:t>3.2.2</w:t>
            </w:r>
            <w:r w:rsidR="00872FDE">
              <w:rPr>
                <w:rFonts w:asciiTheme="minorHAnsi" w:eastAsiaTheme="minorEastAsia" w:hAnsiTheme="minorHAnsi" w:cstheme="minorBidi"/>
                <w:noProof/>
                <w:sz w:val="22"/>
                <w:szCs w:val="22"/>
                <w:lang w:eastAsia="en-AU"/>
              </w:rPr>
              <w:tab/>
            </w:r>
            <w:r w:rsidR="00872FDE" w:rsidRPr="00957D4D">
              <w:rPr>
                <w:rStyle w:val="Hyperlink"/>
                <w:noProof/>
              </w:rPr>
              <w:t>AER's assessment approach</w:t>
            </w:r>
            <w:r w:rsidR="00872FDE">
              <w:rPr>
                <w:noProof/>
                <w:webHidden/>
              </w:rPr>
              <w:tab/>
            </w:r>
            <w:r w:rsidR="00872FDE">
              <w:rPr>
                <w:noProof/>
                <w:webHidden/>
              </w:rPr>
              <w:fldChar w:fldCharType="begin"/>
            </w:r>
            <w:r w:rsidR="00872FDE">
              <w:rPr>
                <w:noProof/>
                <w:webHidden/>
              </w:rPr>
              <w:instrText xml:space="preserve"> PAGEREF _Toc388976537 \h </w:instrText>
            </w:r>
            <w:r w:rsidR="00872FDE">
              <w:rPr>
                <w:noProof/>
                <w:webHidden/>
              </w:rPr>
            </w:r>
            <w:r w:rsidR="00872FDE">
              <w:rPr>
                <w:noProof/>
                <w:webHidden/>
              </w:rPr>
              <w:fldChar w:fldCharType="separate"/>
            </w:r>
            <w:r w:rsidR="00105E06">
              <w:rPr>
                <w:noProof/>
                <w:webHidden/>
              </w:rPr>
              <w:t>59</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38" w:history="1">
            <w:r w:rsidR="00872FDE" w:rsidRPr="00957D4D">
              <w:rPr>
                <w:rStyle w:val="Hyperlink"/>
                <w:noProof/>
              </w:rPr>
              <w:t>3.2.3</w:t>
            </w:r>
            <w:r w:rsidR="00872FDE">
              <w:rPr>
                <w:rFonts w:asciiTheme="minorHAnsi" w:eastAsiaTheme="minorEastAsia" w:hAnsiTheme="minorHAnsi" w:cstheme="minorBidi"/>
                <w:noProof/>
                <w:sz w:val="22"/>
                <w:szCs w:val="22"/>
                <w:lang w:eastAsia="en-AU"/>
              </w:rPr>
              <w:tab/>
            </w:r>
            <w:r w:rsidR="00872FDE" w:rsidRPr="00957D4D">
              <w:rPr>
                <w:rStyle w:val="Hyperlink"/>
                <w:noProof/>
              </w:rPr>
              <w:t>Reasons for AER's preliminary position</w:t>
            </w:r>
            <w:r w:rsidR="00872FDE">
              <w:rPr>
                <w:noProof/>
                <w:webHidden/>
              </w:rPr>
              <w:tab/>
            </w:r>
            <w:r w:rsidR="00872FDE">
              <w:rPr>
                <w:noProof/>
                <w:webHidden/>
              </w:rPr>
              <w:fldChar w:fldCharType="begin"/>
            </w:r>
            <w:r w:rsidR="00872FDE">
              <w:rPr>
                <w:noProof/>
                <w:webHidden/>
              </w:rPr>
              <w:instrText xml:space="preserve"> PAGEREF _Toc388976538 \h </w:instrText>
            </w:r>
            <w:r w:rsidR="00872FDE">
              <w:rPr>
                <w:noProof/>
                <w:webHidden/>
              </w:rPr>
            </w:r>
            <w:r w:rsidR="00872FDE">
              <w:rPr>
                <w:noProof/>
                <w:webHidden/>
              </w:rPr>
              <w:fldChar w:fldCharType="separate"/>
            </w:r>
            <w:r w:rsidR="00105E06">
              <w:rPr>
                <w:noProof/>
                <w:webHidden/>
              </w:rPr>
              <w:t>60</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39" w:history="1">
            <w:r w:rsidR="00872FDE" w:rsidRPr="00957D4D">
              <w:rPr>
                <w:rStyle w:val="Hyperlink"/>
                <w:noProof/>
              </w:rPr>
              <w:t>3.3</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Capital expenditure sharing scheme</w:t>
            </w:r>
            <w:r w:rsidR="00872FDE">
              <w:rPr>
                <w:noProof/>
                <w:webHidden/>
              </w:rPr>
              <w:tab/>
            </w:r>
            <w:r w:rsidR="00872FDE">
              <w:rPr>
                <w:noProof/>
                <w:webHidden/>
              </w:rPr>
              <w:fldChar w:fldCharType="begin"/>
            </w:r>
            <w:r w:rsidR="00872FDE">
              <w:rPr>
                <w:noProof/>
                <w:webHidden/>
              </w:rPr>
              <w:instrText xml:space="preserve"> PAGEREF _Toc388976539 \h </w:instrText>
            </w:r>
            <w:r w:rsidR="00872FDE">
              <w:rPr>
                <w:noProof/>
                <w:webHidden/>
              </w:rPr>
            </w:r>
            <w:r w:rsidR="00872FDE">
              <w:rPr>
                <w:noProof/>
                <w:webHidden/>
              </w:rPr>
              <w:fldChar w:fldCharType="separate"/>
            </w:r>
            <w:r w:rsidR="00105E06">
              <w:rPr>
                <w:noProof/>
                <w:webHidden/>
              </w:rPr>
              <w:t>63</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40" w:history="1">
            <w:r w:rsidR="00872FDE" w:rsidRPr="00957D4D">
              <w:rPr>
                <w:rStyle w:val="Hyperlink"/>
                <w:noProof/>
              </w:rPr>
              <w:t>3.3.1</w:t>
            </w:r>
            <w:r w:rsidR="00872FDE">
              <w:rPr>
                <w:rFonts w:asciiTheme="minorHAnsi" w:eastAsiaTheme="minorEastAsia" w:hAnsiTheme="minorHAnsi" w:cstheme="minorBidi"/>
                <w:noProof/>
                <w:sz w:val="22"/>
                <w:szCs w:val="22"/>
                <w:lang w:eastAsia="en-AU"/>
              </w:rPr>
              <w:tab/>
            </w:r>
            <w:r w:rsidR="00872FDE" w:rsidRPr="00957D4D">
              <w:rPr>
                <w:rStyle w:val="Hyperlink"/>
                <w:noProof/>
              </w:rPr>
              <w:t>AER's preliminary position</w:t>
            </w:r>
            <w:r w:rsidR="00872FDE">
              <w:rPr>
                <w:noProof/>
                <w:webHidden/>
              </w:rPr>
              <w:tab/>
            </w:r>
            <w:r w:rsidR="00872FDE">
              <w:rPr>
                <w:noProof/>
                <w:webHidden/>
              </w:rPr>
              <w:fldChar w:fldCharType="begin"/>
            </w:r>
            <w:r w:rsidR="00872FDE">
              <w:rPr>
                <w:noProof/>
                <w:webHidden/>
              </w:rPr>
              <w:instrText xml:space="preserve"> PAGEREF _Toc388976540 \h </w:instrText>
            </w:r>
            <w:r w:rsidR="00872FDE">
              <w:rPr>
                <w:noProof/>
                <w:webHidden/>
              </w:rPr>
            </w:r>
            <w:r w:rsidR="00872FDE">
              <w:rPr>
                <w:noProof/>
                <w:webHidden/>
              </w:rPr>
              <w:fldChar w:fldCharType="separate"/>
            </w:r>
            <w:r w:rsidR="00105E06">
              <w:rPr>
                <w:noProof/>
                <w:webHidden/>
              </w:rPr>
              <w:t>64</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41" w:history="1">
            <w:r w:rsidR="00872FDE" w:rsidRPr="00957D4D">
              <w:rPr>
                <w:rStyle w:val="Hyperlink"/>
                <w:noProof/>
              </w:rPr>
              <w:t>3.3.2</w:t>
            </w:r>
            <w:r w:rsidR="00872FDE">
              <w:rPr>
                <w:rFonts w:asciiTheme="minorHAnsi" w:eastAsiaTheme="minorEastAsia" w:hAnsiTheme="minorHAnsi" w:cstheme="minorBidi"/>
                <w:noProof/>
                <w:sz w:val="22"/>
                <w:szCs w:val="22"/>
                <w:lang w:eastAsia="en-AU"/>
              </w:rPr>
              <w:tab/>
            </w:r>
            <w:r w:rsidR="00872FDE" w:rsidRPr="00957D4D">
              <w:rPr>
                <w:rStyle w:val="Hyperlink"/>
                <w:noProof/>
              </w:rPr>
              <w:t>AER's assessment approach</w:t>
            </w:r>
            <w:r w:rsidR="00872FDE">
              <w:rPr>
                <w:noProof/>
                <w:webHidden/>
              </w:rPr>
              <w:tab/>
            </w:r>
            <w:r w:rsidR="00872FDE">
              <w:rPr>
                <w:noProof/>
                <w:webHidden/>
              </w:rPr>
              <w:fldChar w:fldCharType="begin"/>
            </w:r>
            <w:r w:rsidR="00872FDE">
              <w:rPr>
                <w:noProof/>
                <w:webHidden/>
              </w:rPr>
              <w:instrText xml:space="preserve"> PAGEREF _Toc388976541 \h </w:instrText>
            </w:r>
            <w:r w:rsidR="00872FDE">
              <w:rPr>
                <w:noProof/>
                <w:webHidden/>
              </w:rPr>
            </w:r>
            <w:r w:rsidR="00872FDE">
              <w:rPr>
                <w:noProof/>
                <w:webHidden/>
              </w:rPr>
              <w:fldChar w:fldCharType="separate"/>
            </w:r>
            <w:r w:rsidR="00105E06">
              <w:rPr>
                <w:noProof/>
                <w:webHidden/>
              </w:rPr>
              <w:t>64</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42" w:history="1">
            <w:r w:rsidR="00872FDE" w:rsidRPr="00957D4D">
              <w:rPr>
                <w:rStyle w:val="Hyperlink"/>
                <w:noProof/>
              </w:rPr>
              <w:t>3.3.3</w:t>
            </w:r>
            <w:r w:rsidR="00872FDE">
              <w:rPr>
                <w:rFonts w:asciiTheme="minorHAnsi" w:eastAsiaTheme="minorEastAsia" w:hAnsiTheme="minorHAnsi" w:cstheme="minorBidi"/>
                <w:noProof/>
                <w:sz w:val="22"/>
                <w:szCs w:val="22"/>
                <w:lang w:eastAsia="en-AU"/>
              </w:rPr>
              <w:tab/>
            </w:r>
            <w:r w:rsidR="00872FDE" w:rsidRPr="00957D4D">
              <w:rPr>
                <w:rStyle w:val="Hyperlink"/>
                <w:noProof/>
              </w:rPr>
              <w:t>Reasons for AER's preliminary position</w:t>
            </w:r>
            <w:r w:rsidR="00872FDE">
              <w:rPr>
                <w:noProof/>
                <w:webHidden/>
              </w:rPr>
              <w:tab/>
            </w:r>
            <w:r w:rsidR="00872FDE">
              <w:rPr>
                <w:noProof/>
                <w:webHidden/>
              </w:rPr>
              <w:fldChar w:fldCharType="begin"/>
            </w:r>
            <w:r w:rsidR="00872FDE">
              <w:rPr>
                <w:noProof/>
                <w:webHidden/>
              </w:rPr>
              <w:instrText xml:space="preserve"> PAGEREF _Toc388976542 \h </w:instrText>
            </w:r>
            <w:r w:rsidR="00872FDE">
              <w:rPr>
                <w:noProof/>
                <w:webHidden/>
              </w:rPr>
            </w:r>
            <w:r w:rsidR="00872FDE">
              <w:rPr>
                <w:noProof/>
                <w:webHidden/>
              </w:rPr>
              <w:fldChar w:fldCharType="separate"/>
            </w:r>
            <w:r w:rsidR="00105E06">
              <w:rPr>
                <w:noProof/>
                <w:webHidden/>
              </w:rPr>
              <w:t>64</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43" w:history="1">
            <w:r w:rsidR="00872FDE" w:rsidRPr="00957D4D">
              <w:rPr>
                <w:rStyle w:val="Hyperlink"/>
                <w:noProof/>
              </w:rPr>
              <w:t>3.4</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Demand management incentive scheme</w:t>
            </w:r>
            <w:r w:rsidR="00872FDE">
              <w:rPr>
                <w:noProof/>
                <w:webHidden/>
              </w:rPr>
              <w:tab/>
            </w:r>
            <w:r w:rsidR="00872FDE">
              <w:rPr>
                <w:noProof/>
                <w:webHidden/>
              </w:rPr>
              <w:fldChar w:fldCharType="begin"/>
            </w:r>
            <w:r w:rsidR="00872FDE">
              <w:rPr>
                <w:noProof/>
                <w:webHidden/>
              </w:rPr>
              <w:instrText xml:space="preserve"> PAGEREF _Toc388976543 \h </w:instrText>
            </w:r>
            <w:r w:rsidR="00872FDE">
              <w:rPr>
                <w:noProof/>
                <w:webHidden/>
              </w:rPr>
            </w:r>
            <w:r w:rsidR="00872FDE">
              <w:rPr>
                <w:noProof/>
                <w:webHidden/>
              </w:rPr>
              <w:fldChar w:fldCharType="separate"/>
            </w:r>
            <w:r w:rsidR="00105E06">
              <w:rPr>
                <w:noProof/>
                <w:webHidden/>
              </w:rPr>
              <w:t>65</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44" w:history="1">
            <w:r w:rsidR="00872FDE" w:rsidRPr="00957D4D">
              <w:rPr>
                <w:rStyle w:val="Hyperlink"/>
                <w:noProof/>
              </w:rPr>
              <w:t>3.4.1</w:t>
            </w:r>
            <w:r w:rsidR="00872FDE">
              <w:rPr>
                <w:rFonts w:asciiTheme="minorHAnsi" w:eastAsiaTheme="minorEastAsia" w:hAnsiTheme="minorHAnsi" w:cstheme="minorBidi"/>
                <w:noProof/>
                <w:sz w:val="22"/>
                <w:szCs w:val="22"/>
                <w:lang w:eastAsia="en-AU"/>
              </w:rPr>
              <w:tab/>
            </w:r>
            <w:r w:rsidR="00872FDE" w:rsidRPr="00957D4D">
              <w:rPr>
                <w:rStyle w:val="Hyperlink"/>
                <w:noProof/>
              </w:rPr>
              <w:t>AER's preliminary position</w:t>
            </w:r>
            <w:r w:rsidR="00872FDE">
              <w:rPr>
                <w:noProof/>
                <w:webHidden/>
              </w:rPr>
              <w:tab/>
            </w:r>
            <w:r w:rsidR="00872FDE">
              <w:rPr>
                <w:noProof/>
                <w:webHidden/>
              </w:rPr>
              <w:fldChar w:fldCharType="begin"/>
            </w:r>
            <w:r w:rsidR="00872FDE">
              <w:rPr>
                <w:noProof/>
                <w:webHidden/>
              </w:rPr>
              <w:instrText xml:space="preserve"> PAGEREF _Toc388976544 \h </w:instrText>
            </w:r>
            <w:r w:rsidR="00872FDE">
              <w:rPr>
                <w:noProof/>
                <w:webHidden/>
              </w:rPr>
            </w:r>
            <w:r w:rsidR="00872FDE">
              <w:rPr>
                <w:noProof/>
                <w:webHidden/>
              </w:rPr>
              <w:fldChar w:fldCharType="separate"/>
            </w:r>
            <w:r w:rsidR="00105E06">
              <w:rPr>
                <w:noProof/>
                <w:webHidden/>
              </w:rPr>
              <w:t>66</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45" w:history="1">
            <w:r w:rsidR="00872FDE" w:rsidRPr="00957D4D">
              <w:rPr>
                <w:rStyle w:val="Hyperlink"/>
                <w:noProof/>
              </w:rPr>
              <w:t>3.4.2</w:t>
            </w:r>
            <w:r w:rsidR="00872FDE">
              <w:rPr>
                <w:rFonts w:asciiTheme="minorHAnsi" w:eastAsiaTheme="minorEastAsia" w:hAnsiTheme="minorHAnsi" w:cstheme="minorBidi"/>
                <w:noProof/>
                <w:sz w:val="22"/>
                <w:szCs w:val="22"/>
                <w:lang w:eastAsia="en-AU"/>
              </w:rPr>
              <w:tab/>
            </w:r>
            <w:r w:rsidR="00872FDE" w:rsidRPr="00957D4D">
              <w:rPr>
                <w:rStyle w:val="Hyperlink"/>
                <w:noProof/>
              </w:rPr>
              <w:t>AER's assessment approach</w:t>
            </w:r>
            <w:r w:rsidR="00872FDE">
              <w:rPr>
                <w:noProof/>
                <w:webHidden/>
              </w:rPr>
              <w:tab/>
            </w:r>
            <w:r w:rsidR="00872FDE">
              <w:rPr>
                <w:noProof/>
                <w:webHidden/>
              </w:rPr>
              <w:fldChar w:fldCharType="begin"/>
            </w:r>
            <w:r w:rsidR="00872FDE">
              <w:rPr>
                <w:noProof/>
                <w:webHidden/>
              </w:rPr>
              <w:instrText xml:space="preserve"> PAGEREF _Toc388976545 \h </w:instrText>
            </w:r>
            <w:r w:rsidR="00872FDE">
              <w:rPr>
                <w:noProof/>
                <w:webHidden/>
              </w:rPr>
            </w:r>
            <w:r w:rsidR="00872FDE">
              <w:rPr>
                <w:noProof/>
                <w:webHidden/>
              </w:rPr>
              <w:fldChar w:fldCharType="separate"/>
            </w:r>
            <w:r w:rsidR="00105E06">
              <w:rPr>
                <w:noProof/>
                <w:webHidden/>
              </w:rPr>
              <w:t>66</w:t>
            </w:r>
            <w:r w:rsidR="00872FDE">
              <w:rPr>
                <w:noProof/>
                <w:webHidden/>
              </w:rPr>
              <w:fldChar w:fldCharType="end"/>
            </w:r>
          </w:hyperlink>
        </w:p>
        <w:p w:rsidR="00872FDE" w:rsidRDefault="00BB34B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8976546" w:history="1">
            <w:r w:rsidR="00872FDE" w:rsidRPr="00957D4D">
              <w:rPr>
                <w:rStyle w:val="Hyperlink"/>
                <w:noProof/>
              </w:rPr>
              <w:t>3.4.3</w:t>
            </w:r>
            <w:r w:rsidR="00872FDE">
              <w:rPr>
                <w:rFonts w:asciiTheme="minorHAnsi" w:eastAsiaTheme="minorEastAsia" w:hAnsiTheme="minorHAnsi" w:cstheme="minorBidi"/>
                <w:noProof/>
                <w:sz w:val="22"/>
                <w:szCs w:val="22"/>
                <w:lang w:eastAsia="en-AU"/>
              </w:rPr>
              <w:tab/>
            </w:r>
            <w:r w:rsidR="00872FDE" w:rsidRPr="00957D4D">
              <w:rPr>
                <w:rStyle w:val="Hyperlink"/>
                <w:noProof/>
              </w:rPr>
              <w:t>Reasons for AER's preliminary position</w:t>
            </w:r>
            <w:r w:rsidR="00872FDE">
              <w:rPr>
                <w:noProof/>
                <w:webHidden/>
              </w:rPr>
              <w:tab/>
            </w:r>
            <w:r w:rsidR="00872FDE">
              <w:rPr>
                <w:noProof/>
                <w:webHidden/>
              </w:rPr>
              <w:fldChar w:fldCharType="begin"/>
            </w:r>
            <w:r w:rsidR="00872FDE">
              <w:rPr>
                <w:noProof/>
                <w:webHidden/>
              </w:rPr>
              <w:instrText xml:space="preserve"> PAGEREF _Toc388976546 \h </w:instrText>
            </w:r>
            <w:r w:rsidR="00872FDE">
              <w:rPr>
                <w:noProof/>
                <w:webHidden/>
              </w:rPr>
            </w:r>
            <w:r w:rsidR="00872FDE">
              <w:rPr>
                <w:noProof/>
                <w:webHidden/>
              </w:rPr>
              <w:fldChar w:fldCharType="separate"/>
            </w:r>
            <w:r w:rsidR="00105E06">
              <w:rPr>
                <w:noProof/>
                <w:webHidden/>
              </w:rPr>
              <w:t>67</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47" w:history="1">
            <w:r w:rsidR="00872FDE" w:rsidRPr="00957D4D">
              <w:rPr>
                <w:rStyle w:val="Hyperlink"/>
                <w:noProof/>
              </w:rPr>
              <w:t>3.5</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Incentive scheme benchmarks for the 2016 regulatory year</w:t>
            </w:r>
            <w:r w:rsidR="00872FDE">
              <w:rPr>
                <w:noProof/>
                <w:webHidden/>
              </w:rPr>
              <w:tab/>
            </w:r>
            <w:r w:rsidR="00872FDE">
              <w:rPr>
                <w:noProof/>
                <w:webHidden/>
              </w:rPr>
              <w:fldChar w:fldCharType="begin"/>
            </w:r>
            <w:r w:rsidR="00872FDE">
              <w:rPr>
                <w:noProof/>
                <w:webHidden/>
              </w:rPr>
              <w:instrText xml:space="preserve"> PAGEREF _Toc388976547 \h </w:instrText>
            </w:r>
            <w:r w:rsidR="00872FDE">
              <w:rPr>
                <w:noProof/>
                <w:webHidden/>
              </w:rPr>
            </w:r>
            <w:r w:rsidR="00872FDE">
              <w:rPr>
                <w:noProof/>
                <w:webHidden/>
              </w:rPr>
              <w:fldChar w:fldCharType="separate"/>
            </w:r>
            <w:r w:rsidR="00105E06">
              <w:rPr>
                <w:noProof/>
                <w:webHidden/>
              </w:rPr>
              <w:t>69</w:t>
            </w:r>
            <w:r w:rsidR="00872FDE">
              <w:rPr>
                <w:noProof/>
                <w:webHidden/>
              </w:rPr>
              <w:fldChar w:fldCharType="end"/>
            </w:r>
          </w:hyperlink>
        </w:p>
        <w:p w:rsidR="00872FDE" w:rsidRDefault="00BB34B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8976548" w:history="1">
            <w:r w:rsidR="00872FDE" w:rsidRPr="00957D4D">
              <w:rPr>
                <w:rStyle w:val="Hyperlink"/>
                <w:noProof/>
              </w:rPr>
              <w:t>4</w:t>
            </w:r>
            <w:r w:rsidR="00872FDE">
              <w:rPr>
                <w:rFonts w:asciiTheme="minorHAnsi" w:eastAsiaTheme="minorEastAsia" w:hAnsiTheme="minorHAnsi" w:cstheme="minorBidi"/>
                <w:b w:val="0"/>
                <w:bCs w:val="0"/>
                <w:noProof/>
                <w:sz w:val="22"/>
                <w:szCs w:val="22"/>
                <w:lang w:eastAsia="en-AU"/>
              </w:rPr>
              <w:tab/>
            </w:r>
            <w:r w:rsidR="00872FDE" w:rsidRPr="00957D4D">
              <w:rPr>
                <w:rStyle w:val="Hyperlink"/>
                <w:noProof/>
              </w:rPr>
              <w:t>Expenditure forecast assessment guideline</w:t>
            </w:r>
            <w:r w:rsidR="00872FDE">
              <w:rPr>
                <w:noProof/>
                <w:webHidden/>
              </w:rPr>
              <w:tab/>
            </w:r>
            <w:r w:rsidR="00872FDE">
              <w:rPr>
                <w:noProof/>
                <w:webHidden/>
              </w:rPr>
              <w:fldChar w:fldCharType="begin"/>
            </w:r>
            <w:r w:rsidR="00872FDE">
              <w:rPr>
                <w:noProof/>
                <w:webHidden/>
              </w:rPr>
              <w:instrText xml:space="preserve"> PAGEREF _Toc388976548 \h </w:instrText>
            </w:r>
            <w:r w:rsidR="00872FDE">
              <w:rPr>
                <w:noProof/>
                <w:webHidden/>
              </w:rPr>
            </w:r>
            <w:r w:rsidR="00872FDE">
              <w:rPr>
                <w:noProof/>
                <w:webHidden/>
              </w:rPr>
              <w:fldChar w:fldCharType="separate"/>
            </w:r>
            <w:r w:rsidR="00105E06">
              <w:rPr>
                <w:noProof/>
                <w:webHidden/>
              </w:rPr>
              <w:t>70</w:t>
            </w:r>
            <w:r w:rsidR="00872FDE">
              <w:rPr>
                <w:noProof/>
                <w:webHidden/>
              </w:rPr>
              <w:fldChar w:fldCharType="end"/>
            </w:r>
          </w:hyperlink>
        </w:p>
        <w:p w:rsidR="00872FDE" w:rsidRDefault="00BB34B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8976549" w:history="1">
            <w:r w:rsidR="00872FDE" w:rsidRPr="00957D4D">
              <w:rPr>
                <w:rStyle w:val="Hyperlink"/>
                <w:noProof/>
              </w:rPr>
              <w:t>5</w:t>
            </w:r>
            <w:r w:rsidR="00872FDE">
              <w:rPr>
                <w:rFonts w:asciiTheme="minorHAnsi" w:eastAsiaTheme="minorEastAsia" w:hAnsiTheme="minorHAnsi" w:cstheme="minorBidi"/>
                <w:b w:val="0"/>
                <w:bCs w:val="0"/>
                <w:noProof/>
                <w:sz w:val="22"/>
                <w:szCs w:val="22"/>
                <w:lang w:eastAsia="en-AU"/>
              </w:rPr>
              <w:tab/>
            </w:r>
            <w:r w:rsidR="00872FDE" w:rsidRPr="00957D4D">
              <w:rPr>
                <w:rStyle w:val="Hyperlink"/>
                <w:noProof/>
              </w:rPr>
              <w:t>Depreciation</w:t>
            </w:r>
            <w:r w:rsidR="00872FDE">
              <w:rPr>
                <w:noProof/>
                <w:webHidden/>
              </w:rPr>
              <w:tab/>
            </w:r>
            <w:r w:rsidR="00872FDE">
              <w:rPr>
                <w:noProof/>
                <w:webHidden/>
              </w:rPr>
              <w:fldChar w:fldCharType="begin"/>
            </w:r>
            <w:r w:rsidR="00872FDE">
              <w:rPr>
                <w:noProof/>
                <w:webHidden/>
              </w:rPr>
              <w:instrText xml:space="preserve"> PAGEREF _Toc388976549 \h </w:instrText>
            </w:r>
            <w:r w:rsidR="00872FDE">
              <w:rPr>
                <w:noProof/>
                <w:webHidden/>
              </w:rPr>
            </w:r>
            <w:r w:rsidR="00872FDE">
              <w:rPr>
                <w:noProof/>
                <w:webHidden/>
              </w:rPr>
              <w:fldChar w:fldCharType="separate"/>
            </w:r>
            <w:r w:rsidR="00105E06">
              <w:rPr>
                <w:noProof/>
                <w:webHidden/>
              </w:rPr>
              <w:t>71</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50" w:history="1">
            <w:r w:rsidR="00872FDE" w:rsidRPr="00957D4D">
              <w:rPr>
                <w:rStyle w:val="Hyperlink"/>
                <w:noProof/>
              </w:rPr>
              <w:t>5.1</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AER's preliminary position</w:t>
            </w:r>
            <w:r w:rsidR="00872FDE">
              <w:rPr>
                <w:noProof/>
                <w:webHidden/>
              </w:rPr>
              <w:tab/>
            </w:r>
            <w:r w:rsidR="00872FDE">
              <w:rPr>
                <w:noProof/>
                <w:webHidden/>
              </w:rPr>
              <w:fldChar w:fldCharType="begin"/>
            </w:r>
            <w:r w:rsidR="00872FDE">
              <w:rPr>
                <w:noProof/>
                <w:webHidden/>
              </w:rPr>
              <w:instrText xml:space="preserve"> PAGEREF _Toc388976550 \h </w:instrText>
            </w:r>
            <w:r w:rsidR="00872FDE">
              <w:rPr>
                <w:noProof/>
                <w:webHidden/>
              </w:rPr>
            </w:r>
            <w:r w:rsidR="00872FDE">
              <w:rPr>
                <w:noProof/>
                <w:webHidden/>
              </w:rPr>
              <w:fldChar w:fldCharType="separate"/>
            </w:r>
            <w:r w:rsidR="00105E06">
              <w:rPr>
                <w:noProof/>
                <w:webHidden/>
              </w:rPr>
              <w:t>71</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51" w:history="1">
            <w:r w:rsidR="00872FDE" w:rsidRPr="00957D4D">
              <w:rPr>
                <w:rStyle w:val="Hyperlink"/>
                <w:noProof/>
              </w:rPr>
              <w:t>5.2</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AER's assessment approach</w:t>
            </w:r>
            <w:r w:rsidR="00872FDE">
              <w:rPr>
                <w:noProof/>
                <w:webHidden/>
              </w:rPr>
              <w:tab/>
            </w:r>
            <w:r w:rsidR="00872FDE">
              <w:rPr>
                <w:noProof/>
                <w:webHidden/>
              </w:rPr>
              <w:fldChar w:fldCharType="begin"/>
            </w:r>
            <w:r w:rsidR="00872FDE">
              <w:rPr>
                <w:noProof/>
                <w:webHidden/>
              </w:rPr>
              <w:instrText xml:space="preserve"> PAGEREF _Toc388976551 \h </w:instrText>
            </w:r>
            <w:r w:rsidR="00872FDE">
              <w:rPr>
                <w:noProof/>
                <w:webHidden/>
              </w:rPr>
            </w:r>
            <w:r w:rsidR="00872FDE">
              <w:rPr>
                <w:noProof/>
                <w:webHidden/>
              </w:rPr>
              <w:fldChar w:fldCharType="separate"/>
            </w:r>
            <w:r w:rsidR="00105E06">
              <w:rPr>
                <w:noProof/>
                <w:webHidden/>
              </w:rPr>
              <w:t>72</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52" w:history="1">
            <w:r w:rsidR="00872FDE" w:rsidRPr="00957D4D">
              <w:rPr>
                <w:rStyle w:val="Hyperlink"/>
                <w:noProof/>
              </w:rPr>
              <w:t>5.3</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Reasons for AER's preliminary position</w:t>
            </w:r>
            <w:r w:rsidR="00872FDE">
              <w:rPr>
                <w:noProof/>
                <w:webHidden/>
              </w:rPr>
              <w:tab/>
            </w:r>
            <w:r w:rsidR="00872FDE">
              <w:rPr>
                <w:noProof/>
                <w:webHidden/>
              </w:rPr>
              <w:fldChar w:fldCharType="begin"/>
            </w:r>
            <w:r w:rsidR="00872FDE">
              <w:rPr>
                <w:noProof/>
                <w:webHidden/>
              </w:rPr>
              <w:instrText xml:space="preserve"> PAGEREF _Toc388976552 \h </w:instrText>
            </w:r>
            <w:r w:rsidR="00872FDE">
              <w:rPr>
                <w:noProof/>
                <w:webHidden/>
              </w:rPr>
            </w:r>
            <w:r w:rsidR="00872FDE">
              <w:rPr>
                <w:noProof/>
                <w:webHidden/>
              </w:rPr>
              <w:fldChar w:fldCharType="separate"/>
            </w:r>
            <w:r w:rsidR="00105E06">
              <w:rPr>
                <w:noProof/>
                <w:webHidden/>
              </w:rPr>
              <w:t>72</w:t>
            </w:r>
            <w:r w:rsidR="00872FDE">
              <w:rPr>
                <w:noProof/>
                <w:webHidden/>
              </w:rPr>
              <w:fldChar w:fldCharType="end"/>
            </w:r>
          </w:hyperlink>
        </w:p>
        <w:p w:rsidR="00872FDE" w:rsidRDefault="00BB34B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8976553" w:history="1">
            <w:r w:rsidR="00872FDE" w:rsidRPr="00957D4D">
              <w:rPr>
                <w:rStyle w:val="Hyperlink"/>
                <w:noProof/>
              </w:rPr>
              <w:t>6</w:t>
            </w:r>
            <w:r w:rsidR="00872FDE">
              <w:rPr>
                <w:rFonts w:asciiTheme="minorHAnsi" w:eastAsiaTheme="minorEastAsia" w:hAnsiTheme="minorHAnsi" w:cstheme="minorBidi"/>
                <w:b w:val="0"/>
                <w:bCs w:val="0"/>
                <w:noProof/>
                <w:sz w:val="22"/>
                <w:szCs w:val="22"/>
                <w:lang w:eastAsia="en-AU"/>
              </w:rPr>
              <w:tab/>
            </w:r>
            <w:r w:rsidR="00872FDE" w:rsidRPr="00957D4D">
              <w:rPr>
                <w:rStyle w:val="Hyperlink"/>
                <w:noProof/>
              </w:rPr>
              <w:t>Jurisdictional and legacy issues</w:t>
            </w:r>
            <w:r w:rsidR="00872FDE">
              <w:rPr>
                <w:noProof/>
                <w:webHidden/>
              </w:rPr>
              <w:tab/>
            </w:r>
            <w:r w:rsidR="00872FDE">
              <w:rPr>
                <w:noProof/>
                <w:webHidden/>
              </w:rPr>
              <w:fldChar w:fldCharType="begin"/>
            </w:r>
            <w:r w:rsidR="00872FDE">
              <w:rPr>
                <w:noProof/>
                <w:webHidden/>
              </w:rPr>
              <w:instrText xml:space="preserve"> PAGEREF _Toc388976553 \h </w:instrText>
            </w:r>
            <w:r w:rsidR="00872FDE">
              <w:rPr>
                <w:noProof/>
                <w:webHidden/>
              </w:rPr>
            </w:r>
            <w:r w:rsidR="00872FDE">
              <w:rPr>
                <w:noProof/>
                <w:webHidden/>
              </w:rPr>
              <w:fldChar w:fldCharType="separate"/>
            </w:r>
            <w:r w:rsidR="00105E06">
              <w:rPr>
                <w:noProof/>
                <w:webHidden/>
              </w:rPr>
              <w:t>74</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54" w:history="1">
            <w:r w:rsidR="00872FDE" w:rsidRPr="00957D4D">
              <w:rPr>
                <w:rStyle w:val="Hyperlink"/>
                <w:noProof/>
              </w:rPr>
              <w:t>6.1</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Dual function assets</w:t>
            </w:r>
            <w:r w:rsidR="00872FDE">
              <w:rPr>
                <w:noProof/>
                <w:webHidden/>
              </w:rPr>
              <w:tab/>
            </w:r>
            <w:r w:rsidR="00872FDE">
              <w:rPr>
                <w:noProof/>
                <w:webHidden/>
              </w:rPr>
              <w:fldChar w:fldCharType="begin"/>
            </w:r>
            <w:r w:rsidR="00872FDE">
              <w:rPr>
                <w:noProof/>
                <w:webHidden/>
              </w:rPr>
              <w:instrText xml:space="preserve"> PAGEREF _Toc388976554 \h </w:instrText>
            </w:r>
            <w:r w:rsidR="00872FDE">
              <w:rPr>
                <w:noProof/>
                <w:webHidden/>
              </w:rPr>
            </w:r>
            <w:r w:rsidR="00872FDE">
              <w:rPr>
                <w:noProof/>
                <w:webHidden/>
              </w:rPr>
              <w:fldChar w:fldCharType="separate"/>
            </w:r>
            <w:r w:rsidR="00105E06">
              <w:rPr>
                <w:noProof/>
                <w:webHidden/>
              </w:rPr>
              <w:t>74</w:t>
            </w:r>
            <w:r w:rsidR="00872FDE">
              <w:rPr>
                <w:noProof/>
                <w:webHidden/>
              </w:rPr>
              <w:fldChar w:fldCharType="end"/>
            </w:r>
          </w:hyperlink>
        </w:p>
        <w:p w:rsidR="00872FDE" w:rsidRDefault="00BB34B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8976555" w:history="1">
            <w:r w:rsidR="00872FDE" w:rsidRPr="00957D4D">
              <w:rPr>
                <w:rStyle w:val="Hyperlink"/>
                <w:noProof/>
              </w:rPr>
              <w:t>6.2</w:t>
            </w:r>
            <w:r w:rsidR="00872FDE">
              <w:rPr>
                <w:rFonts w:asciiTheme="minorHAnsi" w:eastAsiaTheme="minorEastAsia" w:hAnsiTheme="minorHAnsi" w:cstheme="minorBidi"/>
                <w:iCs w:val="0"/>
                <w:noProof/>
                <w:sz w:val="22"/>
                <w:szCs w:val="22"/>
                <w:lang w:eastAsia="en-AU"/>
              </w:rPr>
              <w:tab/>
            </w:r>
            <w:r w:rsidR="00872FDE" w:rsidRPr="00957D4D">
              <w:rPr>
                <w:rStyle w:val="Hyperlink"/>
                <w:noProof/>
              </w:rPr>
              <w:t>F-factor scheme</w:t>
            </w:r>
            <w:r w:rsidR="00872FDE">
              <w:rPr>
                <w:noProof/>
                <w:webHidden/>
              </w:rPr>
              <w:tab/>
            </w:r>
            <w:r w:rsidR="00872FDE">
              <w:rPr>
                <w:noProof/>
                <w:webHidden/>
              </w:rPr>
              <w:fldChar w:fldCharType="begin"/>
            </w:r>
            <w:r w:rsidR="00872FDE">
              <w:rPr>
                <w:noProof/>
                <w:webHidden/>
              </w:rPr>
              <w:instrText xml:space="preserve"> PAGEREF _Toc388976555 \h </w:instrText>
            </w:r>
            <w:r w:rsidR="00872FDE">
              <w:rPr>
                <w:noProof/>
                <w:webHidden/>
              </w:rPr>
            </w:r>
            <w:r w:rsidR="00872FDE">
              <w:rPr>
                <w:noProof/>
                <w:webHidden/>
              </w:rPr>
              <w:fldChar w:fldCharType="separate"/>
            </w:r>
            <w:r w:rsidR="00105E06">
              <w:rPr>
                <w:noProof/>
                <w:webHidden/>
              </w:rPr>
              <w:t>74</w:t>
            </w:r>
            <w:r w:rsidR="00872FDE">
              <w:rPr>
                <w:noProof/>
                <w:webHidden/>
              </w:rPr>
              <w:fldChar w:fldCharType="end"/>
            </w:r>
          </w:hyperlink>
        </w:p>
        <w:p w:rsidR="00872FDE" w:rsidRDefault="00BB34B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8976556" w:history="1">
            <w:r w:rsidR="00872FDE" w:rsidRPr="00957D4D">
              <w:rPr>
                <w:rStyle w:val="Hyperlink"/>
                <w:noProof/>
              </w:rPr>
              <w:t>Appendix A: Rule requirements for classification</w:t>
            </w:r>
            <w:r w:rsidR="00872FDE">
              <w:rPr>
                <w:noProof/>
                <w:webHidden/>
              </w:rPr>
              <w:tab/>
            </w:r>
            <w:r w:rsidR="00872FDE">
              <w:rPr>
                <w:noProof/>
                <w:webHidden/>
              </w:rPr>
              <w:fldChar w:fldCharType="begin"/>
            </w:r>
            <w:r w:rsidR="00872FDE">
              <w:rPr>
                <w:noProof/>
                <w:webHidden/>
              </w:rPr>
              <w:instrText xml:space="preserve"> PAGEREF _Toc388976556 \h </w:instrText>
            </w:r>
            <w:r w:rsidR="00872FDE">
              <w:rPr>
                <w:noProof/>
                <w:webHidden/>
              </w:rPr>
            </w:r>
            <w:r w:rsidR="00872FDE">
              <w:rPr>
                <w:noProof/>
                <w:webHidden/>
              </w:rPr>
              <w:fldChar w:fldCharType="separate"/>
            </w:r>
            <w:r w:rsidR="00105E06">
              <w:rPr>
                <w:noProof/>
                <w:webHidden/>
              </w:rPr>
              <w:t>76</w:t>
            </w:r>
            <w:r w:rsidR="00872FDE">
              <w:rPr>
                <w:noProof/>
                <w:webHidden/>
              </w:rPr>
              <w:fldChar w:fldCharType="end"/>
            </w:r>
          </w:hyperlink>
        </w:p>
        <w:p w:rsidR="00872FDE" w:rsidRDefault="00BB34B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8976557" w:history="1">
            <w:r w:rsidR="00872FDE" w:rsidRPr="00957D4D">
              <w:rPr>
                <w:rStyle w:val="Hyperlink"/>
                <w:noProof/>
              </w:rPr>
              <w:t>Appendix B: Proposed classification of Victorian distributors' distribution services</w:t>
            </w:r>
            <w:r w:rsidR="00872FDE">
              <w:rPr>
                <w:noProof/>
                <w:webHidden/>
              </w:rPr>
              <w:tab/>
            </w:r>
            <w:r w:rsidR="00872FDE">
              <w:rPr>
                <w:noProof/>
                <w:webHidden/>
              </w:rPr>
              <w:fldChar w:fldCharType="begin"/>
            </w:r>
            <w:r w:rsidR="00872FDE">
              <w:rPr>
                <w:noProof/>
                <w:webHidden/>
              </w:rPr>
              <w:instrText xml:space="preserve"> PAGEREF _Toc388976557 \h </w:instrText>
            </w:r>
            <w:r w:rsidR="00872FDE">
              <w:rPr>
                <w:noProof/>
                <w:webHidden/>
              </w:rPr>
            </w:r>
            <w:r w:rsidR="00872FDE">
              <w:rPr>
                <w:noProof/>
                <w:webHidden/>
              </w:rPr>
              <w:fldChar w:fldCharType="separate"/>
            </w:r>
            <w:r w:rsidR="00105E06">
              <w:rPr>
                <w:noProof/>
                <w:webHidden/>
              </w:rPr>
              <w:t>78</w:t>
            </w:r>
            <w:r w:rsidR="00872FDE">
              <w:rPr>
                <w:noProof/>
                <w:webHidden/>
              </w:rPr>
              <w:fldChar w:fldCharType="end"/>
            </w:r>
          </w:hyperlink>
        </w:p>
        <w:p w:rsidR="00872FDE" w:rsidRDefault="00BB34B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8976558" w:history="1">
            <w:r w:rsidR="00872FDE" w:rsidRPr="00957D4D">
              <w:rPr>
                <w:rStyle w:val="Hyperlink"/>
                <w:noProof/>
              </w:rPr>
              <w:t>Appendix C: Shortened forms</w:t>
            </w:r>
            <w:r w:rsidR="00872FDE">
              <w:rPr>
                <w:noProof/>
                <w:webHidden/>
              </w:rPr>
              <w:tab/>
            </w:r>
            <w:r w:rsidR="00872FDE">
              <w:rPr>
                <w:noProof/>
                <w:webHidden/>
              </w:rPr>
              <w:fldChar w:fldCharType="begin"/>
            </w:r>
            <w:r w:rsidR="00872FDE">
              <w:rPr>
                <w:noProof/>
                <w:webHidden/>
              </w:rPr>
              <w:instrText xml:space="preserve"> PAGEREF _Toc388976558 \h </w:instrText>
            </w:r>
            <w:r w:rsidR="00872FDE">
              <w:rPr>
                <w:noProof/>
                <w:webHidden/>
              </w:rPr>
            </w:r>
            <w:r w:rsidR="00872FDE">
              <w:rPr>
                <w:noProof/>
                <w:webHidden/>
              </w:rPr>
              <w:fldChar w:fldCharType="separate"/>
            </w:r>
            <w:r w:rsidR="00105E06">
              <w:rPr>
                <w:noProof/>
                <w:webHidden/>
              </w:rPr>
              <w:t>83</w:t>
            </w:r>
            <w:r w:rsidR="00872FDE">
              <w:rPr>
                <w:noProof/>
                <w:webHidden/>
              </w:rPr>
              <w:fldChar w:fldCharType="end"/>
            </w:r>
          </w:hyperlink>
        </w:p>
        <w:p w:rsidR="007B177B" w:rsidRPr="007B177B" w:rsidRDefault="007B177B">
          <w:r w:rsidRPr="007B177B">
            <w:fldChar w:fldCharType="end"/>
          </w:r>
        </w:p>
      </w:sdtContent>
    </w:sdt>
    <w:p w:rsidR="003B4DE1" w:rsidRPr="003B4DE1" w:rsidRDefault="003B4DE1" w:rsidP="003B4DE1"/>
    <w:p w:rsidR="003B4DE1" w:rsidRDefault="003B4DE1" w:rsidP="003B4DE1">
      <w:pPr>
        <w:pStyle w:val="UnnumberedHeading"/>
        <w:numPr>
          <w:ilvl w:val="0"/>
          <w:numId w:val="2"/>
        </w:numPr>
      </w:pPr>
      <w:bookmarkStart w:id="4" w:name="_Toc388976495"/>
      <w:r>
        <w:lastRenderedPageBreak/>
        <w:t>About the framework and approach</w:t>
      </w:r>
      <w:bookmarkEnd w:id="4"/>
    </w:p>
    <w:p w:rsidR="003B4DE1" w:rsidRDefault="003B4DE1" w:rsidP="003B4DE1">
      <w:pPr>
        <w:pStyle w:val="AERbodytext"/>
      </w:pPr>
      <w:r w:rsidRPr="00A619E3">
        <w:t xml:space="preserve">The </w:t>
      </w:r>
      <w:r w:rsidRPr="00B20A4A">
        <w:t>Australian Energy Regulator (AER)</w:t>
      </w:r>
      <w:r w:rsidRPr="00A619E3">
        <w:t xml:space="preserve"> </w:t>
      </w:r>
      <w:r>
        <w:t>is the economic regulator for transmission and distribution services in Australia's national electricity</w:t>
      </w:r>
      <w:r w:rsidRPr="00B20A4A">
        <w:t xml:space="preserve"> market </w:t>
      </w:r>
      <w:r>
        <w:t>(NEM)</w:t>
      </w:r>
      <w:r w:rsidRPr="00B20A4A">
        <w:t>.</w:t>
      </w:r>
      <w:r>
        <w:rPr>
          <w:rStyle w:val="FootnoteReference"/>
        </w:rPr>
        <w:footnoteReference w:id="5"/>
      </w:r>
      <w:r w:rsidRPr="00B20A4A">
        <w:t xml:space="preserve"> </w:t>
      </w:r>
      <w:r>
        <w:t>We are</w:t>
      </w:r>
      <w:r w:rsidRPr="00B20A4A">
        <w:t xml:space="preserve"> </w:t>
      </w:r>
      <w:r>
        <w:t>an independent statutory authority, funded by the Australian Government. Our</w:t>
      </w:r>
      <w:r w:rsidRPr="00772502">
        <w:t xml:space="preserve"> powers and functions are </w:t>
      </w:r>
      <w:r>
        <w:t xml:space="preserve">set out </w:t>
      </w:r>
      <w:r w:rsidRPr="00772502">
        <w:t>in the National Electricity Law (NEL) and</w:t>
      </w:r>
      <w:r>
        <w:t xml:space="preserve"> National Electricity Rules (the </w:t>
      </w:r>
      <w:r w:rsidR="00D845CA">
        <w:t>r</w:t>
      </w:r>
      <w:r>
        <w:t xml:space="preserve">ules or NER). </w:t>
      </w:r>
    </w:p>
    <w:p w:rsidR="003B4DE1" w:rsidRDefault="003B4DE1" w:rsidP="003B4DE1">
      <w:pPr>
        <w:pStyle w:val="AERbodytext"/>
      </w:pPr>
      <w:r>
        <w:t>The preliminary positions paper for the framework and approach (F&amp;A) is the first step in a process to determine efficient prices for electricity</w:t>
      </w:r>
      <w:r w:rsidDel="007106BB">
        <w:t xml:space="preserve"> </w:t>
      </w:r>
      <w:r>
        <w:t xml:space="preserve">distribution services. This paper sets out our preliminary positions on which services we will regulate and </w:t>
      </w:r>
      <w:r w:rsidR="00EF33EF">
        <w:t>how we propose to apply the relevant incentive schemes</w:t>
      </w:r>
      <w:r>
        <w:t xml:space="preserve">. It also </w:t>
      </w:r>
      <w:r w:rsidRPr="005F21F3">
        <w:t xml:space="preserve">facilitates </w:t>
      </w:r>
      <w:r>
        <w:t xml:space="preserve">early </w:t>
      </w:r>
      <w:r w:rsidRPr="005F21F3">
        <w:t xml:space="preserve">public consultation and assists </w:t>
      </w:r>
      <w:r>
        <w:t xml:space="preserve">network service providers </w:t>
      </w:r>
      <w:r w:rsidRPr="005F21F3">
        <w:t>prepare regulatory proposals</w:t>
      </w:r>
      <w:r>
        <w:t xml:space="preserve">. </w:t>
      </w:r>
    </w:p>
    <w:p w:rsidR="003B4DE1" w:rsidRDefault="007745EA" w:rsidP="003B4DE1">
      <w:pPr>
        <w:pStyle w:val="AERbodytext"/>
      </w:pPr>
      <w:r>
        <w:t>CitiPower, Jemena, Powercor, SP AusNet,</w:t>
      </w:r>
      <w:r w:rsidR="003B4DE1">
        <w:t xml:space="preserve"> and </w:t>
      </w:r>
      <w:r>
        <w:t>United</w:t>
      </w:r>
      <w:r w:rsidR="003B4DE1">
        <w:t xml:space="preserve"> Energy</w:t>
      </w:r>
      <w:r w:rsidR="003B4DE1" w:rsidRPr="00AB3AC8">
        <w:t xml:space="preserve"> </w:t>
      </w:r>
      <w:r w:rsidR="00E85D2A">
        <w:t>(</w:t>
      </w:r>
      <w:r w:rsidR="00850953">
        <w:t xml:space="preserve">Victorian </w:t>
      </w:r>
      <w:r w:rsidR="00E85D2A">
        <w:t xml:space="preserve">distributors) </w:t>
      </w:r>
      <w:r w:rsidR="003B4DE1" w:rsidRPr="00AB3AC8">
        <w:t xml:space="preserve">are </w:t>
      </w:r>
      <w:r w:rsidR="003B4DE1" w:rsidRPr="00AB3AC8">
        <w:rPr>
          <w:rStyle w:val="AERbody"/>
        </w:rPr>
        <w:t xml:space="preserve">licensed regulated operators of </w:t>
      </w:r>
      <w:r>
        <w:rPr>
          <w:rStyle w:val="AERbody"/>
        </w:rPr>
        <w:t>Victorian</w:t>
      </w:r>
      <w:r w:rsidR="003B4DE1" w:rsidRPr="00AB3AC8">
        <w:rPr>
          <w:rStyle w:val="AERbody"/>
        </w:rPr>
        <w:t xml:space="preserve"> (</w:t>
      </w:r>
      <w:r>
        <w:rPr>
          <w:rStyle w:val="AERbody"/>
        </w:rPr>
        <w:t>Vic</w:t>
      </w:r>
      <w:r w:rsidR="003B4DE1" w:rsidRPr="00AB3AC8">
        <w:rPr>
          <w:rStyle w:val="AERbody"/>
        </w:rPr>
        <w:t xml:space="preserve">) </w:t>
      </w:r>
      <w:r w:rsidR="003B4DE1">
        <w:rPr>
          <w:rStyle w:val="AERbody"/>
        </w:rPr>
        <w:t xml:space="preserve">monopoly </w:t>
      </w:r>
      <w:r w:rsidR="003B4DE1" w:rsidRPr="00AB3AC8">
        <w:rPr>
          <w:rStyle w:val="AERbody"/>
        </w:rPr>
        <w:t>electricity distribution networks</w:t>
      </w:r>
      <w:r w:rsidR="003B4DE1" w:rsidRPr="00AB3AC8">
        <w:t xml:space="preserve">. </w:t>
      </w:r>
      <w:r w:rsidR="003B4DE1">
        <w:t xml:space="preserve">The networks comprise the poles, wires and transformers used for transporting electricity across urban and rural population centres to homes and businesses. </w:t>
      </w:r>
      <w:r w:rsidR="003B4DE1" w:rsidRPr="00AB3AC8">
        <w:t xml:space="preserve">These distribution network service providers (distributors) design, construct, operate and maintain distribution networks for </w:t>
      </w:r>
      <w:r w:rsidR="00850953">
        <w:t xml:space="preserve">Victorian </w:t>
      </w:r>
      <w:r w:rsidR="003B4DE1" w:rsidRPr="00AB3AC8">
        <w:t xml:space="preserve">electricity consumers. </w:t>
      </w:r>
    </w:p>
    <w:p w:rsidR="003B4DE1" w:rsidRDefault="003B4DE1" w:rsidP="003B4DE1">
      <w:r>
        <w:rPr>
          <w:rStyle w:val="AERbody"/>
        </w:rPr>
        <w:t xml:space="preserve">We regulate a variety of services provided by the </w:t>
      </w:r>
      <w:r w:rsidR="00850953">
        <w:rPr>
          <w:rStyle w:val="AERbody"/>
        </w:rPr>
        <w:t xml:space="preserve">Victorian </w:t>
      </w:r>
      <w:r>
        <w:rPr>
          <w:rStyle w:val="AERbody"/>
        </w:rPr>
        <w:t>distributors</w:t>
      </w:r>
      <w:r w:rsidRPr="00A619E3">
        <w:rPr>
          <w:rStyle w:val="AERbody"/>
        </w:rPr>
        <w:t xml:space="preserve">. </w:t>
      </w:r>
      <w:r w:rsidRPr="00772502">
        <w:t xml:space="preserve">Where there is considerable scope to take advantage of market power, </w:t>
      </w:r>
      <w:r>
        <w:t xml:space="preserve">our </w:t>
      </w:r>
      <w:r w:rsidRPr="00772502">
        <w:t xml:space="preserve">regulation </w:t>
      </w:r>
      <w:r>
        <w:t xml:space="preserve">is more prescriptive. Less prescriptive regulation is required </w:t>
      </w:r>
      <w:r w:rsidRPr="00772502">
        <w:t xml:space="preserve">where prospect of competition </w:t>
      </w:r>
      <w:r>
        <w:t>exists. In some situations we may remove r</w:t>
      </w:r>
      <w:r w:rsidRPr="00772502">
        <w:t xml:space="preserve">egulation </w:t>
      </w:r>
      <w:r>
        <w:t>altogether</w:t>
      </w:r>
      <w:r w:rsidRPr="00772502">
        <w:t>.</w:t>
      </w:r>
    </w:p>
    <w:p w:rsidR="004232C3" w:rsidRPr="004232C3" w:rsidRDefault="001F3C68" w:rsidP="00850953">
      <w:pPr>
        <w:pStyle w:val="AERbodytext"/>
      </w:pPr>
      <w:r>
        <w:t xml:space="preserve">We have </w:t>
      </w:r>
      <w:r w:rsidR="004232C3" w:rsidRPr="004232C3">
        <w:t>deci</w:t>
      </w:r>
      <w:r>
        <w:t>ded</w:t>
      </w:r>
      <w:r w:rsidR="004232C3" w:rsidRPr="004232C3">
        <w:t xml:space="preserve"> to re</w:t>
      </w:r>
      <w:r w:rsidR="006B4D49">
        <w:t>place</w:t>
      </w:r>
      <w:r w:rsidR="004232C3" w:rsidRPr="004232C3">
        <w:t xml:space="preserve"> the current </w:t>
      </w:r>
      <w:r w:rsidR="00850953">
        <w:t xml:space="preserve">Victorian </w:t>
      </w:r>
      <w:r w:rsidR="004232C3" w:rsidRPr="004232C3">
        <w:t>F&amp;A for the next regulatory control period. This decision arose following consultation with stakeholders.</w:t>
      </w:r>
      <w:r w:rsidR="004232C3" w:rsidRPr="000B54A9">
        <w:rPr>
          <w:rStyle w:val="AERsuperscript"/>
        </w:rPr>
        <w:footnoteReference w:id="6"/>
      </w:r>
      <w:r w:rsidR="004232C3" w:rsidRPr="004232C3">
        <w:t xml:space="preserve"> </w:t>
      </w:r>
      <w:r w:rsidR="004232C3" w:rsidRPr="007562D4">
        <w:rPr>
          <w:rStyle w:val="AERtexthighlight"/>
          <w:shd w:val="clear" w:color="auto" w:fill="auto"/>
        </w:rPr>
        <w:t xml:space="preserve">Our main reason for this decision was because of significant changes to the rules, making </w:t>
      </w:r>
      <w:r w:rsidR="007562D4" w:rsidRPr="007562D4">
        <w:rPr>
          <w:rStyle w:val="AERtexthighlight"/>
          <w:shd w:val="clear" w:color="auto" w:fill="auto"/>
        </w:rPr>
        <w:t>elements</w:t>
      </w:r>
      <w:r w:rsidR="004232C3" w:rsidRPr="007562D4">
        <w:rPr>
          <w:rStyle w:val="AERtexthighlight"/>
          <w:shd w:val="clear" w:color="auto" w:fill="auto"/>
        </w:rPr>
        <w:t xml:space="preserve"> of the </w:t>
      </w:r>
      <w:r w:rsidR="004232C3" w:rsidRPr="00850953">
        <w:rPr>
          <w:rStyle w:val="AERtexthighlight"/>
          <w:shd w:val="clear" w:color="auto" w:fill="auto"/>
        </w:rPr>
        <w:t xml:space="preserve">current F&amp;A </w:t>
      </w:r>
      <w:r w:rsidR="00850953" w:rsidRPr="00850953">
        <w:rPr>
          <w:rStyle w:val="AERtexthighlight"/>
          <w:shd w:val="clear" w:color="auto" w:fill="auto"/>
        </w:rPr>
        <w:t xml:space="preserve">no longer </w:t>
      </w:r>
      <w:r w:rsidR="004232C3" w:rsidRPr="00850953">
        <w:rPr>
          <w:rStyle w:val="AERtexthighlight"/>
          <w:shd w:val="clear" w:color="auto" w:fill="auto"/>
        </w:rPr>
        <w:t>relevant</w:t>
      </w:r>
      <w:r w:rsidR="004232C3" w:rsidRPr="007562D4">
        <w:t>.</w:t>
      </w:r>
      <w:r w:rsidR="006B4D49">
        <w:t xml:space="preserve"> All five distributors sought a new or amended F&amp;A. None of the public submissions received opposed the replacement of the current F&amp;A though most submissions did not address this question.</w:t>
      </w:r>
    </w:p>
    <w:p w:rsidR="003B4DE1" w:rsidRDefault="003B4DE1" w:rsidP="00E22993">
      <w:pPr>
        <w:pStyle w:val="AERbodytext"/>
      </w:pPr>
      <w:r>
        <w:t xml:space="preserve">The current five year </w:t>
      </w:r>
      <w:r w:rsidR="00850953">
        <w:t xml:space="preserve">Victorian </w:t>
      </w:r>
      <w:r>
        <w:t xml:space="preserve">distribution regulatory control period concludes on </w:t>
      </w:r>
      <w:r w:rsidR="007745EA">
        <w:t>31</w:t>
      </w:r>
      <w:r>
        <w:t xml:space="preserve"> </w:t>
      </w:r>
      <w:r w:rsidR="007745EA">
        <w:t>December</w:t>
      </w:r>
      <w:r>
        <w:t xml:space="preserve"> 2015. </w:t>
      </w:r>
      <w:r w:rsidRPr="00DD3C20">
        <w:t xml:space="preserve">This paper </w:t>
      </w:r>
      <w:r w:rsidR="00C7159B">
        <w:t xml:space="preserve">relates to the regulatory control period commencing 1 January 2016 and </w:t>
      </w:r>
      <w:r w:rsidRPr="00DD3C20">
        <w:t xml:space="preserve">sets out </w:t>
      </w:r>
      <w:r w:rsidR="00062B8B" w:rsidRPr="00E22993">
        <w:t>our</w:t>
      </w:r>
      <w:r w:rsidRPr="00E22993">
        <w:t xml:space="preserve"> preliminary positions</w:t>
      </w:r>
      <w:r>
        <w:t xml:space="preserve"> on: </w:t>
      </w:r>
      <w:r w:rsidRPr="00DD3C20">
        <w:t xml:space="preserve"> </w:t>
      </w:r>
    </w:p>
    <w:p w:rsidR="003B4DE1" w:rsidRDefault="003B4DE1" w:rsidP="003B4DE1">
      <w:pPr>
        <w:pStyle w:val="AERbulletlistfirststyle"/>
      </w:pPr>
      <w:r>
        <w:t>distribution service classification (which services are to be regulated)</w:t>
      </w:r>
    </w:p>
    <w:p w:rsidR="003B4DE1" w:rsidRDefault="003B4DE1" w:rsidP="003B4DE1">
      <w:pPr>
        <w:pStyle w:val="AERbulletlistfirststyle"/>
      </w:pPr>
      <w:r>
        <w:t>control mechanisms (how will prices be determined) and the formulae that give effect to the control mechanisms</w:t>
      </w:r>
    </w:p>
    <w:p w:rsidR="003B4DE1" w:rsidRDefault="003B4DE1" w:rsidP="003B4DE1">
      <w:pPr>
        <w:pStyle w:val="AERbulletlistfirststyle"/>
      </w:pPr>
      <w:r>
        <w:t>service target performance incentive scheme</w:t>
      </w:r>
    </w:p>
    <w:p w:rsidR="003B4DE1" w:rsidRDefault="003B4DE1" w:rsidP="003B4DE1">
      <w:pPr>
        <w:pStyle w:val="AERbulletlistfirststyle"/>
      </w:pPr>
      <w:r>
        <w:t>efficiency benefit sharing scheme</w:t>
      </w:r>
    </w:p>
    <w:p w:rsidR="003B4DE1" w:rsidRDefault="003B4DE1" w:rsidP="003B4DE1">
      <w:pPr>
        <w:pStyle w:val="AERbulletlistfirststyle"/>
        <w:rPr>
          <w:rStyle w:val="AERbody"/>
        </w:rPr>
      </w:pPr>
      <w:r>
        <w:t xml:space="preserve">capital </w:t>
      </w:r>
      <w:r>
        <w:rPr>
          <w:rStyle w:val="AERbody"/>
        </w:rPr>
        <w:t xml:space="preserve">expenditure </w:t>
      </w:r>
      <w:r w:rsidR="006026DA">
        <w:rPr>
          <w:rStyle w:val="AERbody"/>
        </w:rPr>
        <w:t>sharing</w:t>
      </w:r>
      <w:r>
        <w:rPr>
          <w:rStyle w:val="AERbody"/>
        </w:rPr>
        <w:t xml:space="preserve"> scheme</w:t>
      </w:r>
    </w:p>
    <w:p w:rsidR="003B4DE1" w:rsidRDefault="003B4DE1" w:rsidP="003B4DE1">
      <w:pPr>
        <w:pStyle w:val="AERbulletlistfirststyle"/>
        <w:rPr>
          <w:rStyle w:val="AERbody"/>
        </w:rPr>
      </w:pPr>
      <w:r>
        <w:rPr>
          <w:rStyle w:val="AERbody"/>
        </w:rPr>
        <w:t>demand management incentive scheme</w:t>
      </w:r>
    </w:p>
    <w:p w:rsidR="003B4DE1" w:rsidRDefault="006026DA" w:rsidP="003B4DE1">
      <w:pPr>
        <w:pStyle w:val="AERbulletlistfirststyle"/>
        <w:rPr>
          <w:rStyle w:val="AERbody"/>
        </w:rPr>
      </w:pPr>
      <w:r>
        <w:rPr>
          <w:rStyle w:val="AERbody"/>
        </w:rPr>
        <w:t xml:space="preserve">application of the </w:t>
      </w:r>
      <w:r w:rsidR="003B4DE1">
        <w:rPr>
          <w:rStyle w:val="AERbody"/>
        </w:rPr>
        <w:t>expenditure forecast assessment guidelines</w:t>
      </w:r>
    </w:p>
    <w:p w:rsidR="003B4DE1" w:rsidRDefault="003B4DE1" w:rsidP="003B4DE1">
      <w:pPr>
        <w:pStyle w:val="AERbulletlistfirststyle"/>
        <w:rPr>
          <w:rStyle w:val="AERbody"/>
        </w:rPr>
      </w:pPr>
      <w:r>
        <w:rPr>
          <w:rStyle w:val="AERbody"/>
        </w:rPr>
        <w:lastRenderedPageBreak/>
        <w:t xml:space="preserve">whether depreciation will be based on forecast or actual capital expenditure  </w:t>
      </w:r>
    </w:p>
    <w:p w:rsidR="00385C80" w:rsidRPr="006D6C1B" w:rsidRDefault="00385C80" w:rsidP="006D6C1B">
      <w:pPr>
        <w:pStyle w:val="AERbulletlistfirststyle"/>
        <w:rPr>
          <w:rStyle w:val="AERbody"/>
        </w:rPr>
      </w:pPr>
      <w:r w:rsidRPr="006D6C1B">
        <w:rPr>
          <w:rStyle w:val="AERtexthighlight"/>
          <w:shd w:val="clear" w:color="auto" w:fill="auto"/>
        </w:rPr>
        <w:t>jurisdictional and legacy issues</w:t>
      </w:r>
      <w:r w:rsidR="00644B5D" w:rsidRPr="006D6C1B">
        <w:rPr>
          <w:rStyle w:val="AERbody"/>
        </w:rPr>
        <w:t>.</w:t>
      </w:r>
    </w:p>
    <w:p w:rsidR="004232C3" w:rsidRDefault="004232C3" w:rsidP="004232C3">
      <w:pPr>
        <w:pStyle w:val="AERbodytext"/>
        <w:rPr>
          <w:rStyle w:val="AERbody"/>
        </w:rPr>
      </w:pPr>
      <w:r>
        <w:rPr>
          <w:rStyle w:val="AERbody"/>
        </w:rPr>
        <w:t xml:space="preserve">We will use the F&amp;A process to commence discussions with the </w:t>
      </w:r>
      <w:r w:rsidR="00850953">
        <w:rPr>
          <w:rStyle w:val="AERbody"/>
        </w:rPr>
        <w:t xml:space="preserve">Victorian </w:t>
      </w:r>
      <w:r>
        <w:rPr>
          <w:rStyle w:val="AERbody"/>
        </w:rPr>
        <w:t xml:space="preserve">distributors about </w:t>
      </w:r>
      <w:r w:rsidR="006026DA">
        <w:rPr>
          <w:rStyle w:val="AERbody"/>
        </w:rPr>
        <w:t xml:space="preserve">the treatment </w:t>
      </w:r>
      <w:r w:rsidR="0009397F">
        <w:rPr>
          <w:rStyle w:val="AERbody"/>
        </w:rPr>
        <w:t xml:space="preserve">of </w:t>
      </w:r>
      <w:r>
        <w:rPr>
          <w:rStyle w:val="AERbody"/>
        </w:rPr>
        <w:t>confidential information as set out in our confidentiality guideline.</w:t>
      </w:r>
      <w:r>
        <w:rPr>
          <w:rStyle w:val="FootnoteReference"/>
        </w:rPr>
        <w:footnoteReference w:id="7"/>
      </w:r>
      <w:r>
        <w:rPr>
          <w:rStyle w:val="AERbody"/>
        </w:rPr>
        <w:t xml:space="preserve"> We encourage the </w:t>
      </w:r>
      <w:r w:rsidR="00850953">
        <w:rPr>
          <w:rStyle w:val="AERbody"/>
        </w:rPr>
        <w:t xml:space="preserve">Victorian </w:t>
      </w:r>
      <w:r>
        <w:rPr>
          <w:rStyle w:val="AERbody"/>
        </w:rPr>
        <w:t>distributors to also consult consumers, as part of their consumer engagement, to gain a better understanding of the type of information consumers are interested in accessing.</w:t>
      </w:r>
      <w:r>
        <w:rPr>
          <w:rStyle w:val="FootnoteReference"/>
        </w:rPr>
        <w:footnoteReference w:id="8"/>
      </w:r>
      <w:r>
        <w:rPr>
          <w:rStyle w:val="AERbody"/>
        </w:rPr>
        <w:t xml:space="preserve"> </w:t>
      </w:r>
    </w:p>
    <w:p w:rsidR="003B4DE1" w:rsidRPr="00AA3203" w:rsidRDefault="003B4DE1" w:rsidP="003B4DE1">
      <w:pPr>
        <w:pStyle w:val="AERbodytext"/>
        <w:rPr>
          <w:rStyle w:val="AERbody"/>
        </w:rPr>
      </w:pPr>
      <w:r w:rsidRPr="0078642F">
        <w:t xml:space="preserve">Following release of </w:t>
      </w:r>
      <w:r>
        <w:t>this paper</w:t>
      </w:r>
      <w:r w:rsidRPr="0078642F">
        <w:t xml:space="preserve">, </w:t>
      </w:r>
      <w:r w:rsidR="00E85D2A">
        <w:t>we</w:t>
      </w:r>
      <w:r>
        <w:t xml:space="preserve"> will consult with interested parties before issuing </w:t>
      </w:r>
      <w:r w:rsidR="00E85D2A">
        <w:t xml:space="preserve">our </w:t>
      </w:r>
      <w:r w:rsidR="00062B8B">
        <w:t xml:space="preserve">final </w:t>
      </w:r>
      <w:r>
        <w:t>F&amp;A</w:t>
      </w:r>
      <w:r w:rsidR="00E85D2A">
        <w:t xml:space="preserve"> by 3</w:t>
      </w:r>
      <w:r w:rsidR="007745EA">
        <w:t>1</w:t>
      </w:r>
      <w:r w:rsidR="00E85D2A">
        <w:t xml:space="preserve"> </w:t>
      </w:r>
      <w:r w:rsidR="007745EA">
        <w:t>October</w:t>
      </w:r>
      <w:r w:rsidR="00E85D2A">
        <w:t xml:space="preserve"> 2014</w:t>
      </w:r>
      <w:r>
        <w:t xml:space="preserve">. </w:t>
      </w:r>
      <w:r w:rsidRPr="0078642F">
        <w:t xml:space="preserve">Table </w:t>
      </w:r>
      <w:r w:rsidR="00295919">
        <w:t>1</w:t>
      </w:r>
      <w:r w:rsidRPr="0078642F">
        <w:t xml:space="preserve"> summarises the </w:t>
      </w:r>
      <w:r w:rsidR="00850953">
        <w:t xml:space="preserve">Victorian </w:t>
      </w:r>
      <w:r w:rsidRPr="0078642F">
        <w:t>distribution determination process.</w:t>
      </w:r>
    </w:p>
    <w:p w:rsidR="003B4DE1" w:rsidRPr="00BB0B33" w:rsidRDefault="003B4DE1" w:rsidP="003B4DE1">
      <w:pPr>
        <w:pStyle w:val="Caption"/>
        <w:rPr>
          <w:rStyle w:val="AERbody"/>
        </w:rPr>
      </w:pPr>
      <w:r w:rsidRPr="00BB0B33">
        <w:rPr>
          <w:rStyle w:val="AERbody"/>
        </w:rPr>
        <w:t xml:space="preserve">Table </w:t>
      </w:r>
      <w:r w:rsidR="00295919">
        <w:rPr>
          <w:rStyle w:val="AERbody"/>
        </w:rPr>
        <w:t>1</w:t>
      </w:r>
      <w:r w:rsidRPr="00BB0B33">
        <w:rPr>
          <w:rStyle w:val="AERbody"/>
        </w:rPr>
        <w:t xml:space="preserve">: </w:t>
      </w:r>
      <w:r w:rsidR="00850953">
        <w:rPr>
          <w:rStyle w:val="AERbody"/>
        </w:rPr>
        <w:t xml:space="preserve">Victorian </w:t>
      </w:r>
      <w:r>
        <w:rPr>
          <w:rStyle w:val="AERbody"/>
        </w:rPr>
        <w:t>distribution determination process</w:t>
      </w:r>
    </w:p>
    <w:tbl>
      <w:tblPr>
        <w:tblStyle w:val="AERtable-numbers"/>
        <w:tblW w:w="4878" w:type="pct"/>
        <w:tblLayout w:type="fixed"/>
        <w:tblLook w:val="01E0" w:firstRow="1" w:lastRow="1" w:firstColumn="1" w:lastColumn="1" w:noHBand="0" w:noVBand="0"/>
      </w:tblPr>
      <w:tblGrid>
        <w:gridCol w:w="7067"/>
        <w:gridCol w:w="1949"/>
      </w:tblGrid>
      <w:tr w:rsidR="003B4DE1" w:rsidRPr="003476AD" w:rsidTr="00B51C83">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3B4DE1">
            <w:pPr>
              <w:rPr>
                <w:rStyle w:val="AERtextbold"/>
              </w:rPr>
            </w:pPr>
            <w:r w:rsidRPr="00DD3C20">
              <w:rPr>
                <w:rStyle w:val="AERtextbold"/>
              </w:rPr>
              <w:t>Step</w:t>
            </w:r>
          </w:p>
        </w:tc>
        <w:tc>
          <w:tcPr>
            <w:tcW w:w="1081" w:type="pct"/>
            <w:noWrap/>
          </w:tcPr>
          <w:p w:rsidR="003B4DE1" w:rsidRPr="003B4DE1" w:rsidRDefault="003B4DE1" w:rsidP="003B4DE1">
            <w:pPr>
              <w:cnfStyle w:val="100000000000" w:firstRow="1" w:lastRow="0" w:firstColumn="0" w:lastColumn="0" w:oddVBand="0" w:evenVBand="0" w:oddHBand="0" w:evenHBand="0" w:firstRowFirstColumn="0" w:firstRowLastColumn="0" w:lastRowFirstColumn="0" w:lastRowLastColumn="0"/>
              <w:rPr>
                <w:rStyle w:val="AERtextbold"/>
              </w:rPr>
            </w:pPr>
            <w:r w:rsidRPr="00DD3C20">
              <w:rPr>
                <w:rStyle w:val="AERtextbold"/>
              </w:rPr>
              <w:t>Date</w:t>
            </w:r>
          </w:p>
        </w:tc>
      </w:tr>
      <w:tr w:rsidR="003B4DE1" w:rsidRPr="003476AD" w:rsidTr="00B51C83">
        <w:trPr>
          <w:trHeight w:val="485"/>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7745EA">
            <w:pPr>
              <w:pStyle w:val="AERtabletextleft"/>
            </w:pPr>
            <w:r w:rsidRPr="009F407C">
              <w:t xml:space="preserve">AER </w:t>
            </w:r>
            <w:r w:rsidRPr="003B4DE1">
              <w:t>publishe</w:t>
            </w:r>
            <w:r w:rsidR="004232C3">
              <w:t>s</w:t>
            </w:r>
            <w:r w:rsidRPr="003B4DE1">
              <w:t xml:space="preserve"> preliminary positions F&amp;A for </w:t>
            </w:r>
            <w:r w:rsidR="00850953">
              <w:t xml:space="preserve">Victorian </w:t>
            </w:r>
            <w:r w:rsidRPr="003B4DE1">
              <w:t>distributors</w:t>
            </w:r>
          </w:p>
        </w:tc>
        <w:tc>
          <w:tcPr>
            <w:tcW w:w="1081" w:type="pct"/>
            <w:noWrap/>
          </w:tcPr>
          <w:p w:rsidR="003B4DE1" w:rsidRPr="003B4DE1" w:rsidRDefault="00872FDE" w:rsidP="0010533F">
            <w:pPr>
              <w:pStyle w:val="AERtabletextleft"/>
              <w:cnfStyle w:val="000000000000" w:firstRow="0" w:lastRow="0" w:firstColumn="0" w:lastColumn="0" w:oddVBand="0" w:evenVBand="0" w:oddHBand="0" w:evenHBand="0" w:firstRowFirstColumn="0" w:firstRowLastColumn="0" w:lastRowFirstColumn="0" w:lastRowLastColumn="0"/>
            </w:pPr>
            <w:r>
              <w:t>6</w:t>
            </w:r>
            <w:r w:rsidR="00295919">
              <w:t xml:space="preserve"> </w:t>
            </w:r>
            <w:r w:rsidR="00850953">
              <w:t>June</w:t>
            </w:r>
            <w:r w:rsidR="003B4DE1" w:rsidRPr="00F9736E">
              <w:t xml:space="preserve"> 201</w:t>
            </w:r>
            <w:r w:rsidR="007745EA">
              <w:t>4</w:t>
            </w:r>
          </w:p>
        </w:tc>
      </w:tr>
      <w:tr w:rsidR="003B4DE1" w:rsidRPr="003476AD" w:rsidTr="00B51C83">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7745EA">
            <w:pPr>
              <w:pStyle w:val="AERtabletextleft"/>
            </w:pPr>
            <w:r w:rsidRPr="009F407C">
              <w:t xml:space="preserve">AER to publish </w:t>
            </w:r>
            <w:r w:rsidRPr="003B4DE1">
              <w:t xml:space="preserve">final F&amp;A for </w:t>
            </w:r>
            <w:r w:rsidR="00850953">
              <w:t xml:space="preserve">Victorian </w:t>
            </w:r>
            <w:r w:rsidRPr="003B4DE1">
              <w:t>distributors</w:t>
            </w:r>
          </w:p>
        </w:tc>
        <w:tc>
          <w:tcPr>
            <w:tcW w:w="1081" w:type="pct"/>
            <w:noWrap/>
          </w:tcPr>
          <w:p w:rsidR="003B4DE1" w:rsidRPr="003B4DE1" w:rsidRDefault="003B4DE1" w:rsidP="007745EA">
            <w:pPr>
              <w:pStyle w:val="AERtabletextleft"/>
              <w:cnfStyle w:val="000000010000" w:firstRow="0" w:lastRow="0" w:firstColumn="0" w:lastColumn="0" w:oddVBand="0" w:evenVBand="0" w:oddHBand="0" w:evenHBand="1" w:firstRowFirstColumn="0" w:firstRowLastColumn="0" w:lastRowFirstColumn="0" w:lastRowLastColumn="0"/>
            </w:pPr>
            <w:r w:rsidRPr="00F9736E">
              <w:t>3</w:t>
            </w:r>
            <w:r w:rsidR="007745EA">
              <w:t>1</w:t>
            </w:r>
            <w:r w:rsidRPr="00F9736E">
              <w:t xml:space="preserve"> </w:t>
            </w:r>
            <w:r w:rsidR="007745EA">
              <w:t>October</w:t>
            </w:r>
            <w:r w:rsidRPr="00F9736E">
              <w:t xml:space="preserve"> 2014</w:t>
            </w:r>
          </w:p>
        </w:tc>
      </w:tr>
      <w:tr w:rsidR="003B4DE1" w:rsidRPr="001A3B90" w:rsidTr="00B51C83">
        <w:trPr>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850953" w:rsidP="004232C3">
            <w:pPr>
              <w:pStyle w:val="AERtabletextleft"/>
            </w:pPr>
            <w:r>
              <w:t xml:space="preserve">Victorian </w:t>
            </w:r>
            <w:r w:rsidR="004232C3">
              <w:t>d</w:t>
            </w:r>
            <w:r w:rsidR="003B4DE1">
              <w:t xml:space="preserve">istributors submit </w:t>
            </w:r>
            <w:r w:rsidR="004232C3">
              <w:t>r</w:t>
            </w:r>
            <w:r w:rsidR="003B4DE1">
              <w:t xml:space="preserve">egulatory </w:t>
            </w:r>
            <w:r w:rsidR="004232C3">
              <w:t>p</w:t>
            </w:r>
            <w:r w:rsidR="003B4DE1">
              <w:t>roposal</w:t>
            </w:r>
            <w:r w:rsidR="004232C3">
              <w:t>s</w:t>
            </w:r>
            <w:r w:rsidR="003B4DE1">
              <w:t xml:space="preserve"> to AER</w:t>
            </w:r>
          </w:p>
        </w:tc>
        <w:tc>
          <w:tcPr>
            <w:tcW w:w="1081" w:type="pct"/>
            <w:noWrap/>
          </w:tcPr>
          <w:p w:rsidR="003B4DE1" w:rsidRPr="003B4DE1" w:rsidRDefault="003B4DE1" w:rsidP="004C0C5C">
            <w:pPr>
              <w:pStyle w:val="AERtabletextleft"/>
              <w:cnfStyle w:val="000000000000" w:firstRow="0" w:lastRow="0" w:firstColumn="0" w:lastColumn="0" w:oddVBand="0" w:evenVBand="0" w:oddHBand="0" w:evenHBand="0" w:firstRowFirstColumn="0" w:firstRowLastColumn="0" w:lastRowFirstColumn="0" w:lastRowLastColumn="0"/>
            </w:pPr>
            <w:r>
              <w:t>3</w:t>
            </w:r>
            <w:r w:rsidR="004C0C5C">
              <w:t>0</w:t>
            </w:r>
            <w:r>
              <w:t xml:space="preserve"> </w:t>
            </w:r>
            <w:r w:rsidR="004C0C5C">
              <w:t>April</w:t>
            </w:r>
            <w:r>
              <w:t xml:space="preserve"> 201</w:t>
            </w:r>
            <w:r w:rsidR="004C0C5C">
              <w:t>5</w:t>
            </w:r>
          </w:p>
        </w:tc>
      </w:tr>
      <w:tr w:rsidR="003B4DE1" w:rsidRPr="001A3B90" w:rsidTr="00B51C83">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4232C3">
            <w:pPr>
              <w:pStyle w:val="AERtabletextleft"/>
            </w:pPr>
            <w:r>
              <w:t xml:space="preserve">Submissions on </w:t>
            </w:r>
            <w:r w:rsidR="004232C3">
              <w:t>r</w:t>
            </w:r>
            <w:r>
              <w:t xml:space="preserve">egulatory </w:t>
            </w:r>
            <w:r w:rsidR="004232C3">
              <w:t>p</w:t>
            </w:r>
            <w:r>
              <w:t>roposal close</w:t>
            </w:r>
          </w:p>
        </w:tc>
        <w:tc>
          <w:tcPr>
            <w:tcW w:w="1081" w:type="pct"/>
            <w:noWrap/>
          </w:tcPr>
          <w:p w:rsidR="003B4DE1" w:rsidRPr="003B4DE1" w:rsidRDefault="00E333B1" w:rsidP="00E333B1">
            <w:pPr>
              <w:pStyle w:val="AERtabletextleft"/>
              <w:cnfStyle w:val="000000010000" w:firstRow="0" w:lastRow="0" w:firstColumn="0" w:lastColumn="0" w:oddVBand="0" w:evenVBand="0" w:oddHBand="0" w:evenHBand="1" w:firstRowFirstColumn="0" w:firstRowLastColumn="0" w:lastRowFirstColumn="0" w:lastRowLastColumn="0"/>
            </w:pPr>
            <w:r>
              <w:t xml:space="preserve">21 </w:t>
            </w:r>
            <w:r w:rsidR="004C0C5C">
              <w:t>July</w:t>
            </w:r>
            <w:r w:rsidR="003B4DE1">
              <w:t xml:space="preserve"> 2015</w:t>
            </w:r>
          </w:p>
        </w:tc>
      </w:tr>
      <w:tr w:rsidR="003B4DE1" w:rsidRPr="001A3B90" w:rsidTr="00B51C83">
        <w:trPr>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4C0C5C">
            <w:pPr>
              <w:pStyle w:val="AERtabletextleft"/>
            </w:pPr>
            <w:r>
              <w:t xml:space="preserve">AER to publish </w:t>
            </w:r>
            <w:r w:rsidR="004232C3">
              <w:t>p</w:t>
            </w:r>
            <w:r w:rsidR="00E85D2A">
              <w:t xml:space="preserve">reliminary </w:t>
            </w:r>
            <w:r w:rsidR="004232C3">
              <w:t>d</w:t>
            </w:r>
            <w:r>
              <w:t xml:space="preserve">istribution </w:t>
            </w:r>
            <w:r w:rsidR="004232C3">
              <w:t>d</w:t>
            </w:r>
            <w:r>
              <w:t xml:space="preserve">etermination </w:t>
            </w:r>
            <w:r w:rsidR="00E85D2A">
              <w:t xml:space="preserve"> (prices set here take effect from 1 </w:t>
            </w:r>
            <w:r w:rsidR="004C0C5C">
              <w:t>January</w:t>
            </w:r>
            <w:r w:rsidR="00E85D2A">
              <w:t xml:space="preserve"> 201</w:t>
            </w:r>
            <w:r w:rsidR="004C0C5C">
              <w:t>6</w:t>
            </w:r>
            <w:r w:rsidR="00E85D2A">
              <w:t>)</w:t>
            </w:r>
          </w:p>
        </w:tc>
        <w:tc>
          <w:tcPr>
            <w:tcW w:w="1081" w:type="pct"/>
            <w:noWrap/>
          </w:tcPr>
          <w:p w:rsidR="003B4DE1" w:rsidRPr="003B4DE1" w:rsidRDefault="004C0C5C" w:rsidP="004C0C5C">
            <w:pPr>
              <w:pStyle w:val="AERtabletextleft"/>
              <w:cnfStyle w:val="000000000000" w:firstRow="0" w:lastRow="0" w:firstColumn="0" w:lastColumn="0" w:oddVBand="0" w:evenVBand="0" w:oddHBand="0" w:evenHBand="0" w:firstRowFirstColumn="0" w:firstRowLastColumn="0" w:lastRowFirstColumn="0" w:lastRowLastColumn="0"/>
            </w:pPr>
            <w:r>
              <w:t>31</w:t>
            </w:r>
            <w:r w:rsidR="003B4DE1">
              <w:t xml:space="preserve"> </w:t>
            </w:r>
            <w:r>
              <w:t>October</w:t>
            </w:r>
            <w:r w:rsidR="005C46F7">
              <w:t xml:space="preserve"> 2015</w:t>
            </w:r>
            <w:r w:rsidR="00FA23DC">
              <w:t>*</w:t>
            </w:r>
          </w:p>
        </w:tc>
      </w:tr>
      <w:tr w:rsidR="003B4DE1" w:rsidRPr="001A3B90" w:rsidTr="00B51C83">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4232C3">
            <w:pPr>
              <w:pStyle w:val="AERtabletextleft"/>
            </w:pPr>
            <w:r>
              <w:t xml:space="preserve">AER hold public forum on </w:t>
            </w:r>
            <w:r w:rsidR="004232C3">
              <w:t>p</w:t>
            </w:r>
            <w:r w:rsidR="00E85D2A">
              <w:t xml:space="preserve">reliminary </w:t>
            </w:r>
            <w:r w:rsidR="004232C3">
              <w:t>d</w:t>
            </w:r>
            <w:r>
              <w:t xml:space="preserve">istribution </w:t>
            </w:r>
            <w:r w:rsidR="004232C3">
              <w:t>d</w:t>
            </w:r>
            <w:r>
              <w:t>etermination</w:t>
            </w:r>
          </w:p>
        </w:tc>
        <w:tc>
          <w:tcPr>
            <w:tcW w:w="1081" w:type="pct"/>
            <w:noWrap/>
          </w:tcPr>
          <w:p w:rsidR="003B4DE1" w:rsidRPr="003B4DE1" w:rsidRDefault="004C0C5C" w:rsidP="003B4DE1">
            <w:pPr>
              <w:pStyle w:val="AERtabletextleft"/>
              <w:cnfStyle w:val="000000010000" w:firstRow="0" w:lastRow="0" w:firstColumn="0" w:lastColumn="0" w:oddVBand="0" w:evenVBand="0" w:oddHBand="0" w:evenHBand="1" w:firstRowFirstColumn="0" w:firstRowLastColumn="0" w:lastRowFirstColumn="0" w:lastRowLastColumn="0"/>
            </w:pPr>
            <w:r>
              <w:t>November</w:t>
            </w:r>
            <w:r w:rsidR="00E333B1">
              <w:t xml:space="preserve"> 2015</w:t>
            </w:r>
          </w:p>
        </w:tc>
      </w:tr>
      <w:tr w:rsidR="003B4DE1" w:rsidRPr="003476AD" w:rsidTr="00B51C83">
        <w:trPr>
          <w:trHeight w:val="295"/>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850953" w:rsidP="006002D2">
            <w:pPr>
              <w:pStyle w:val="AERtabletextleft"/>
            </w:pPr>
            <w:r>
              <w:t xml:space="preserve">Victorian </w:t>
            </w:r>
            <w:r w:rsidR="004232C3">
              <w:t>d</w:t>
            </w:r>
            <w:r w:rsidR="003B4DE1">
              <w:t xml:space="preserve">istributors to submit </w:t>
            </w:r>
            <w:r w:rsidR="006002D2">
              <w:t xml:space="preserve">substitute </w:t>
            </w:r>
            <w:r w:rsidR="004232C3">
              <w:t>r</w:t>
            </w:r>
            <w:r w:rsidR="003B4DE1">
              <w:t xml:space="preserve">egulatory </w:t>
            </w:r>
            <w:r w:rsidR="004232C3">
              <w:t>p</w:t>
            </w:r>
            <w:r w:rsidR="003B4DE1">
              <w:t>roposal to AER</w:t>
            </w:r>
          </w:p>
        </w:tc>
        <w:tc>
          <w:tcPr>
            <w:tcW w:w="1081" w:type="pct"/>
            <w:noWrap/>
          </w:tcPr>
          <w:p w:rsidR="003B4DE1" w:rsidRPr="003B4DE1" w:rsidRDefault="004C0C5C" w:rsidP="005C46F7">
            <w:pPr>
              <w:pStyle w:val="AERtabletextleft"/>
              <w:cnfStyle w:val="000000000000" w:firstRow="0" w:lastRow="0" w:firstColumn="0" w:lastColumn="0" w:oddVBand="0" w:evenVBand="0" w:oddHBand="0" w:evenHBand="0" w:firstRowFirstColumn="0" w:firstRowLastColumn="0" w:lastRowFirstColumn="0" w:lastRowLastColumn="0"/>
            </w:pPr>
            <w:r>
              <w:t>January</w:t>
            </w:r>
            <w:r w:rsidR="003B4DE1">
              <w:t xml:space="preserve"> 201</w:t>
            </w:r>
            <w:r>
              <w:t>6</w:t>
            </w:r>
          </w:p>
        </w:tc>
      </w:tr>
      <w:tr w:rsidR="003B4DE1" w:rsidRPr="003476AD" w:rsidTr="00B51C83">
        <w:trPr>
          <w:cnfStyle w:val="000000010000" w:firstRow="0" w:lastRow="0" w:firstColumn="0" w:lastColumn="0" w:oddVBand="0" w:evenVBand="0" w:oddHBand="0" w:evenHBand="1"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6002D2">
            <w:pPr>
              <w:pStyle w:val="AERtabletextleft"/>
            </w:pPr>
            <w:r>
              <w:t xml:space="preserve">Submissions on </w:t>
            </w:r>
            <w:r w:rsidR="006002D2">
              <w:t xml:space="preserve">substitute </w:t>
            </w:r>
            <w:r w:rsidR="004232C3">
              <w:t>r</w:t>
            </w:r>
            <w:r>
              <w:t xml:space="preserve">egulatory </w:t>
            </w:r>
            <w:r w:rsidR="004232C3">
              <w:t>p</w:t>
            </w:r>
            <w:r>
              <w:t xml:space="preserve">roposal and </w:t>
            </w:r>
            <w:r w:rsidR="004232C3">
              <w:t>p</w:t>
            </w:r>
            <w:r w:rsidR="00E85D2A">
              <w:t xml:space="preserve">reliminary </w:t>
            </w:r>
            <w:r w:rsidR="004232C3">
              <w:t>d</w:t>
            </w:r>
            <w:r>
              <w:t>etermination close</w:t>
            </w:r>
          </w:p>
        </w:tc>
        <w:tc>
          <w:tcPr>
            <w:tcW w:w="1081" w:type="pct"/>
            <w:noWrap/>
          </w:tcPr>
          <w:p w:rsidR="003B4DE1" w:rsidRPr="003B4DE1" w:rsidRDefault="006002D2" w:rsidP="004C0C5C">
            <w:pPr>
              <w:pStyle w:val="AERtabletextleft"/>
              <w:cnfStyle w:val="000000010000" w:firstRow="0" w:lastRow="0" w:firstColumn="0" w:lastColumn="0" w:oddVBand="0" w:evenVBand="0" w:oddHBand="0" w:evenHBand="1" w:firstRowFirstColumn="0" w:firstRowLastColumn="0" w:lastRowFirstColumn="0" w:lastRowLastColumn="0"/>
            </w:pPr>
            <w:r>
              <w:t xml:space="preserve">February </w:t>
            </w:r>
            <w:r w:rsidR="003B4DE1">
              <w:t>201</w:t>
            </w:r>
            <w:r w:rsidR="004C0C5C">
              <w:t>6</w:t>
            </w:r>
            <w:r w:rsidR="005C46F7">
              <w:t>*</w:t>
            </w:r>
            <w:r w:rsidR="00FA23DC">
              <w:t>*</w:t>
            </w:r>
          </w:p>
        </w:tc>
      </w:tr>
      <w:tr w:rsidR="003B4DE1" w:rsidRPr="003476AD" w:rsidTr="00B51C83">
        <w:trPr>
          <w:trHeight w:val="96"/>
        </w:trPr>
        <w:tc>
          <w:tcPr>
            <w:cnfStyle w:val="001000000000" w:firstRow="0" w:lastRow="0" w:firstColumn="1" w:lastColumn="0" w:oddVBand="0" w:evenVBand="0" w:oddHBand="0" w:evenHBand="0" w:firstRowFirstColumn="0" w:firstRowLastColumn="0" w:lastRowFirstColumn="0" w:lastRowLastColumn="0"/>
            <w:tcW w:w="3919" w:type="pct"/>
            <w:noWrap/>
          </w:tcPr>
          <w:p w:rsidR="003B4DE1" w:rsidRPr="003B4DE1" w:rsidRDefault="003B4DE1" w:rsidP="004232C3">
            <w:pPr>
              <w:pStyle w:val="AERtabletextleft"/>
            </w:pPr>
            <w:r>
              <w:t xml:space="preserve">AER to </w:t>
            </w:r>
            <w:r w:rsidRPr="003B4DE1">
              <w:t xml:space="preserve">publish distribution determination for </w:t>
            </w:r>
            <w:r w:rsidR="004232C3">
              <w:t>r</w:t>
            </w:r>
            <w:r w:rsidRPr="003B4DE1">
              <w:t xml:space="preserve">egulatory </w:t>
            </w:r>
            <w:r w:rsidR="004232C3">
              <w:t>c</w:t>
            </w:r>
            <w:r w:rsidRPr="003B4DE1">
              <w:t>ontrol period</w:t>
            </w:r>
          </w:p>
        </w:tc>
        <w:tc>
          <w:tcPr>
            <w:tcW w:w="1081" w:type="pct"/>
            <w:noWrap/>
          </w:tcPr>
          <w:p w:rsidR="003B4DE1" w:rsidRPr="003B4DE1" w:rsidRDefault="004C0C5C" w:rsidP="004C0C5C">
            <w:pPr>
              <w:pStyle w:val="AERtabletextleft"/>
              <w:cnfStyle w:val="000000000000" w:firstRow="0" w:lastRow="0" w:firstColumn="0" w:lastColumn="0" w:oddVBand="0" w:evenVBand="0" w:oddHBand="0" w:evenHBand="0" w:firstRowFirstColumn="0" w:firstRowLastColumn="0" w:lastRowFirstColumn="0" w:lastRowLastColumn="0"/>
            </w:pPr>
            <w:r>
              <w:t>30 April</w:t>
            </w:r>
            <w:r w:rsidR="003B4DE1">
              <w:t xml:space="preserve"> 201</w:t>
            </w:r>
            <w:r>
              <w:t>6</w:t>
            </w:r>
          </w:p>
        </w:tc>
      </w:tr>
    </w:tbl>
    <w:p w:rsidR="00FA23DC" w:rsidRDefault="00FA23DC" w:rsidP="00FA23DC">
      <w:pPr>
        <w:pStyle w:val="AERtabletextleft"/>
      </w:pPr>
      <w:r>
        <w:t xml:space="preserve">* Date subject to change. To facilitate network tariff pricing proposals an earlier date has been requested by the DNSPs. </w:t>
      </w:r>
    </w:p>
    <w:p w:rsidR="00FA23DC" w:rsidRPr="00BB0B33" w:rsidRDefault="00FA23DC" w:rsidP="00FA23DC">
      <w:pPr>
        <w:pStyle w:val="AERtabletextleft"/>
      </w:pPr>
      <w:r>
        <w:t xml:space="preserve">** The date provided is based on the AER receiving compliant proposals. The date may alter if we receive non-compliant proposals. </w:t>
      </w:r>
    </w:p>
    <w:p w:rsidR="003B4DE1" w:rsidRPr="00BB0B33" w:rsidRDefault="003B4DE1" w:rsidP="003B4DE1">
      <w:pPr>
        <w:pStyle w:val="AERtablesource"/>
      </w:pPr>
      <w:r w:rsidRPr="00BB0B33">
        <w:t>Source: NER, chapter</w:t>
      </w:r>
      <w:r w:rsidR="005C46F7">
        <w:t>s</w:t>
      </w:r>
      <w:r w:rsidRPr="00BB0B33">
        <w:t xml:space="preserve"> 6,</w:t>
      </w:r>
      <w:r w:rsidR="005C46F7">
        <w:t xml:space="preserve"> 11,</w:t>
      </w:r>
      <w:r w:rsidRPr="00BB0B33">
        <w:t xml:space="preserve"> Part E.</w:t>
      </w:r>
    </w:p>
    <w:p w:rsidR="003B4DE1" w:rsidRPr="003B4DE1" w:rsidRDefault="003B4DE1" w:rsidP="003B4DE1">
      <w:r>
        <w:br w:type="page"/>
      </w:r>
    </w:p>
    <w:p w:rsidR="003B4DE1" w:rsidRDefault="003B4DE1" w:rsidP="003B4DE1">
      <w:pPr>
        <w:pStyle w:val="UnnumberedHeading"/>
        <w:numPr>
          <w:ilvl w:val="0"/>
          <w:numId w:val="2"/>
        </w:numPr>
      </w:pPr>
      <w:bookmarkStart w:id="5" w:name="_Toc388976496"/>
      <w:r>
        <w:lastRenderedPageBreak/>
        <w:t>Overview</w:t>
      </w:r>
      <w:bookmarkEnd w:id="5"/>
    </w:p>
    <w:p w:rsidR="006026DA" w:rsidRDefault="006026DA" w:rsidP="006026DA">
      <w:pPr>
        <w:pStyle w:val="AERbodytext"/>
      </w:pPr>
      <w:r>
        <w:t xml:space="preserve">The F&amp;A provides an opportunity for interested parties, including consumers, to have a say in which services we should regulate and how much control we have over determining the prices for network services. The F&amp;A also sets out information around incentive schemes that will apply to the </w:t>
      </w:r>
      <w:r w:rsidR="00850953">
        <w:t xml:space="preserve">Victorian </w:t>
      </w:r>
      <w:r>
        <w:t>distributors to encourage efficient investment and performance. This overview sets out our preliminary position</w:t>
      </w:r>
      <w:r w:rsidR="00644B5D">
        <w:t>s</w:t>
      </w:r>
      <w:r>
        <w:t xml:space="preserve"> on:</w:t>
      </w:r>
    </w:p>
    <w:p w:rsidR="006026DA" w:rsidRDefault="006026DA" w:rsidP="006026DA">
      <w:pPr>
        <w:pStyle w:val="AERbulletlistfirststyle"/>
      </w:pPr>
      <w:r>
        <w:t>classification of distribution services (which services we will regulate)</w:t>
      </w:r>
    </w:p>
    <w:p w:rsidR="006026DA" w:rsidRDefault="006026DA" w:rsidP="006026DA">
      <w:pPr>
        <w:pStyle w:val="AERbulletlistfirststyle"/>
      </w:pPr>
      <w:r>
        <w:t>control mechanisms (how we will determine prices for regulated services) and the formulae that give effect to the control mechanisms</w:t>
      </w:r>
    </w:p>
    <w:p w:rsidR="006026DA" w:rsidRDefault="006026DA" w:rsidP="006026DA">
      <w:pPr>
        <w:pStyle w:val="AERbulletlistfirststyle"/>
      </w:pPr>
      <w:r>
        <w:t xml:space="preserve">the application of a range of incentives schemes that encourage </w:t>
      </w:r>
      <w:r w:rsidR="006F482A">
        <w:t xml:space="preserve">desired </w:t>
      </w:r>
      <w:r w:rsidR="00740126">
        <w:t>behaviours such as</w:t>
      </w:r>
      <w:r>
        <w:t xml:space="preserve"> improvements in </w:t>
      </w:r>
      <w:r w:rsidR="00740126">
        <w:t>service quality</w:t>
      </w:r>
      <w:r>
        <w:t xml:space="preserve"> or efficient capital and operating expenditure</w:t>
      </w:r>
    </w:p>
    <w:p w:rsidR="006026DA" w:rsidRDefault="006026DA" w:rsidP="006026DA">
      <w:pPr>
        <w:pStyle w:val="AERbulletlistfirststyle"/>
      </w:pPr>
      <w:r>
        <w:t xml:space="preserve">the application of a range of expenditure forecasting expenditure tools used to test the </w:t>
      </w:r>
      <w:r w:rsidR="00850953">
        <w:t xml:space="preserve">Victorian </w:t>
      </w:r>
      <w:r>
        <w:t>distributors' regulatory proposals</w:t>
      </w:r>
    </w:p>
    <w:p w:rsidR="006026DA" w:rsidRDefault="006026DA" w:rsidP="006026DA">
      <w:pPr>
        <w:pStyle w:val="AERbulletlistfirststyle"/>
      </w:pPr>
      <w:r>
        <w:t xml:space="preserve">how we will calculate depreciation of the distributors' regulatory asset base going forward. </w:t>
      </w:r>
    </w:p>
    <w:p w:rsidR="003B4DE1" w:rsidRDefault="003B4DE1" w:rsidP="003B4DE1">
      <w:pPr>
        <w:pStyle w:val="HeadingBoldBlue"/>
      </w:pPr>
      <w:r>
        <w:t>Classification of distribution services</w:t>
      </w:r>
    </w:p>
    <w:p w:rsidR="001A2726" w:rsidRDefault="003B4DE1" w:rsidP="003B4DE1">
      <w:pPr>
        <w:pStyle w:val="AERbodytext"/>
      </w:pPr>
      <w:r w:rsidRPr="000E0034">
        <w:t>Classification is important to electricity customers because it determines the need for and scope of regulation applied to distribution services central to electricity supply. Distribution services include, for example, the provision and maintenance of poles and wires and connection or disconnection to electricity. When we classify distribution services we determine the nature of th</w:t>
      </w:r>
      <w:r w:rsidR="005F099B">
        <w:t>e economic regulation</w:t>
      </w:r>
      <w:r w:rsidRPr="000E0034">
        <w:t xml:space="preserve"> we will apply to those services. </w:t>
      </w:r>
    </w:p>
    <w:p w:rsidR="003B4DE1" w:rsidRDefault="003B4DE1" w:rsidP="003B4DE1">
      <w:pPr>
        <w:pStyle w:val="AERbodytext"/>
      </w:pPr>
      <w:r w:rsidRPr="000E0034">
        <w:t xml:space="preserve">The </w:t>
      </w:r>
      <w:r w:rsidR="00D845CA">
        <w:t>r</w:t>
      </w:r>
      <w:r w:rsidRPr="000E0034">
        <w:t xml:space="preserve">ules establish a limited range of </w:t>
      </w:r>
      <w:r w:rsidR="00ED0C14">
        <w:t>service classification</w:t>
      </w:r>
      <w:r w:rsidRPr="000E0034">
        <w:t>s, to which varying levels of economic regulation apply. When we classify services we therefore determine whether we directly control prices</w:t>
      </w:r>
      <w:r w:rsidR="000D4047">
        <w:t xml:space="preserve"> and in what form</w:t>
      </w:r>
      <w:r w:rsidRPr="000E0034">
        <w:t xml:space="preserve">, become involved only to arbitrate disputes, or do not regulate at all. The classification that we apply to a distribution service also determines whether the </w:t>
      </w:r>
      <w:r w:rsidR="00850953">
        <w:t xml:space="preserve">Victorian </w:t>
      </w:r>
      <w:r w:rsidRPr="000E0034">
        <w:t xml:space="preserve">distributors recover service costs by averaging </w:t>
      </w:r>
      <w:r w:rsidR="004232C3">
        <w:t xml:space="preserve">them </w:t>
      </w:r>
      <w:r w:rsidRPr="000E0034">
        <w:t xml:space="preserve">across all customers or only charging those </w:t>
      </w:r>
      <w:r w:rsidR="004232C3">
        <w:t xml:space="preserve">customers </w:t>
      </w:r>
      <w:r w:rsidRPr="000E0034">
        <w:t>benefiting directly from specific services.</w:t>
      </w:r>
    </w:p>
    <w:p w:rsidR="00CF1B8E" w:rsidRPr="00CF1B8E" w:rsidRDefault="00CF1B8E" w:rsidP="00CF1B8E">
      <w:pPr>
        <w:pStyle w:val="AERbodytext"/>
        <w:rPr>
          <w:rStyle w:val="AERbody"/>
        </w:rPr>
      </w:pPr>
      <w:r w:rsidRPr="00CF1B8E">
        <w:rPr>
          <w:rStyle w:val="AERbody"/>
        </w:rPr>
        <w:t>Our preliminary view is that the classification of most distribution services will not change for the 2016–20 regulatory control period. The majority of services provided by distributors relate to building and maintaining the network and these will remain standard control services. Similarly, we propose public lighting remain an alternative control service. We propose changing the classification of some metering services and a number of ancillary network services that distributors provide to individual customers.</w:t>
      </w:r>
      <w:r w:rsidR="000D4047">
        <w:rPr>
          <w:rStyle w:val="AERbody"/>
        </w:rPr>
        <w:t xml:space="preserve"> Metering services for types 5 and 6 are currently excluded from classification by a derogation from the NER by Victoria which expires on 31 December 2016. The AER is to regulate these metering services under the derogation until 31 December 2016 and from 1 January 2017 under the NER. </w:t>
      </w:r>
      <w:r w:rsidRPr="00CF1B8E">
        <w:rPr>
          <w:rStyle w:val="AERbody"/>
        </w:rPr>
        <w:t xml:space="preserve"> </w:t>
      </w:r>
    </w:p>
    <w:p w:rsidR="00CF1B8E" w:rsidRPr="000C3173" w:rsidRDefault="00CF1B8E" w:rsidP="00CF1B8E">
      <w:pPr>
        <w:pStyle w:val="AERbodytext"/>
        <w:rPr>
          <w:rStyle w:val="AERbody"/>
        </w:rPr>
      </w:pPr>
      <w:r w:rsidRPr="00CF1B8E">
        <w:t>Our preliminary position is to classify metering services as alternative control because sub-clause 11.17.6(b) of the NER mandates the classification. We also note there is a strong expectation that in transitioning from the Victorian Government's Order in Council (OIC)</w:t>
      </w:r>
      <w:r w:rsidR="000D4047">
        <w:t xml:space="preserve"> an exit fee will apply</w:t>
      </w:r>
      <w:r>
        <w:t>.</w:t>
      </w:r>
      <w:r w:rsidRPr="00CF1B8E">
        <w:t xml:space="preserve"> </w:t>
      </w:r>
      <w:r w:rsidRPr="000C3173">
        <w:rPr>
          <w:rStyle w:val="AERbody"/>
        </w:rPr>
        <w:t>We also propose a consolidation of some ancillary network services, removing the need to classify some of these services.</w:t>
      </w:r>
    </w:p>
    <w:p w:rsidR="00CF1B8E" w:rsidRPr="000E0034" w:rsidRDefault="00CF1B8E" w:rsidP="00CF1B8E">
      <w:pPr>
        <w:pStyle w:val="AERbodytext"/>
        <w:rPr>
          <w:rStyle w:val="AERbody"/>
        </w:rPr>
      </w:pPr>
      <w:r w:rsidRPr="000E0034">
        <w:lastRenderedPageBreak/>
        <w:t xml:space="preserve">Our </w:t>
      </w:r>
      <w:r>
        <w:t xml:space="preserve">Victorian </w:t>
      </w:r>
      <w:r w:rsidRPr="000E0034">
        <w:t xml:space="preserve">distribution service classifications represent our </w:t>
      </w:r>
      <w:r>
        <w:t>preliminary position</w:t>
      </w:r>
      <w:r w:rsidRPr="000E0034">
        <w:t xml:space="preserve"> for the </w:t>
      </w:r>
      <w:r>
        <w:t>next</w:t>
      </w:r>
      <w:r w:rsidRPr="000E0034">
        <w:t xml:space="preserve"> regulatory control period. </w:t>
      </w:r>
    </w:p>
    <w:p w:rsidR="00CF1B8E" w:rsidRDefault="00CF1B8E" w:rsidP="00CF1B8E">
      <w:pPr>
        <w:numPr>
          <w:ilvl w:val="0"/>
          <w:numId w:val="13"/>
        </w:numPr>
      </w:pPr>
      <w:r w:rsidRPr="00295919">
        <w:t xml:space="preserve">Table </w:t>
      </w:r>
      <w:r>
        <w:t>2</w:t>
      </w:r>
      <w:r w:rsidRPr="00295919">
        <w:t xml:space="preserve"> provides an overview of the different classes of distribution services for the purposes of economic regulation under the rules.</w:t>
      </w:r>
    </w:p>
    <w:p w:rsidR="00295919" w:rsidRDefault="00295919" w:rsidP="00CF1B8E">
      <w:pPr>
        <w:rPr>
          <w:rStyle w:val="AERtextbold"/>
        </w:rPr>
      </w:pPr>
      <w:r w:rsidRPr="00295919">
        <w:rPr>
          <w:rStyle w:val="AERtextbold"/>
        </w:rPr>
        <w:t xml:space="preserve">Table </w:t>
      </w:r>
      <w:r>
        <w:rPr>
          <w:rStyle w:val="AERtextbold"/>
        </w:rPr>
        <w:t>2</w:t>
      </w:r>
      <w:r w:rsidRPr="00295919">
        <w:rPr>
          <w:rStyle w:val="AERtextbold"/>
        </w:rPr>
        <w:t>: Classifications of distribution services</w:t>
      </w:r>
    </w:p>
    <w:tbl>
      <w:tblPr>
        <w:tblStyle w:val="TableGrid"/>
        <w:tblW w:w="0" w:type="auto"/>
        <w:tblLook w:val="04A0" w:firstRow="1" w:lastRow="0" w:firstColumn="1" w:lastColumn="0" w:noHBand="0" w:noVBand="1"/>
      </w:tblPr>
      <w:tblGrid>
        <w:gridCol w:w="942"/>
        <w:gridCol w:w="1211"/>
        <w:gridCol w:w="3892"/>
        <w:gridCol w:w="3197"/>
      </w:tblGrid>
      <w:tr w:rsidR="00295919" w:rsidRPr="00295919" w:rsidTr="00B328EA">
        <w:trPr>
          <w:trHeight w:val="357"/>
        </w:trPr>
        <w:tc>
          <w:tcPr>
            <w:tcW w:w="0" w:type="auto"/>
            <w:gridSpan w:val="2"/>
          </w:tcPr>
          <w:p w:rsidR="00295919" w:rsidRPr="00295919" w:rsidRDefault="00295919" w:rsidP="00295919">
            <w:pPr>
              <w:pStyle w:val="AERtabletextleft"/>
              <w:rPr>
                <w:rStyle w:val="AERtextbold"/>
              </w:rPr>
            </w:pPr>
            <w:r w:rsidRPr="00295919">
              <w:rPr>
                <w:rStyle w:val="AERtextbold"/>
              </w:rPr>
              <w:t>Classification</w:t>
            </w:r>
          </w:p>
        </w:tc>
        <w:tc>
          <w:tcPr>
            <w:tcW w:w="0" w:type="auto"/>
          </w:tcPr>
          <w:p w:rsidR="00295919" w:rsidRPr="00295919" w:rsidRDefault="00295919" w:rsidP="00295919">
            <w:pPr>
              <w:pStyle w:val="AERtabletextleft"/>
              <w:rPr>
                <w:rStyle w:val="AERtextbold"/>
              </w:rPr>
            </w:pPr>
            <w:r w:rsidRPr="00295919">
              <w:rPr>
                <w:rStyle w:val="AERtextbold"/>
              </w:rPr>
              <w:t>Description</w:t>
            </w:r>
          </w:p>
        </w:tc>
        <w:tc>
          <w:tcPr>
            <w:tcW w:w="0" w:type="auto"/>
          </w:tcPr>
          <w:p w:rsidR="00295919" w:rsidRPr="00295919" w:rsidRDefault="00295919" w:rsidP="00295919">
            <w:pPr>
              <w:pStyle w:val="AERtabletextleft"/>
              <w:rPr>
                <w:rStyle w:val="AERtextbold"/>
              </w:rPr>
            </w:pPr>
            <w:r w:rsidRPr="00295919">
              <w:rPr>
                <w:rStyle w:val="AERtextbold"/>
              </w:rPr>
              <w:t>Regulatory treatment</w:t>
            </w:r>
          </w:p>
        </w:tc>
      </w:tr>
      <w:tr w:rsidR="00295919" w:rsidRPr="00295919" w:rsidTr="00B328EA">
        <w:trPr>
          <w:trHeight w:val="1767"/>
        </w:trPr>
        <w:tc>
          <w:tcPr>
            <w:tcW w:w="0" w:type="auto"/>
            <w:vMerge w:val="restart"/>
          </w:tcPr>
          <w:p w:rsidR="00295919" w:rsidRPr="00295919" w:rsidRDefault="00295919" w:rsidP="00295919">
            <w:pPr>
              <w:pStyle w:val="AERtabletextleft"/>
            </w:pPr>
            <w:r w:rsidRPr="00295919">
              <w:t>Direct control service</w:t>
            </w:r>
          </w:p>
        </w:tc>
        <w:tc>
          <w:tcPr>
            <w:tcW w:w="0" w:type="auto"/>
          </w:tcPr>
          <w:p w:rsidR="00295919" w:rsidRPr="00295919" w:rsidRDefault="00295919" w:rsidP="00295919">
            <w:pPr>
              <w:pStyle w:val="AERtabletextleft"/>
            </w:pPr>
            <w:r w:rsidRPr="00295919">
              <w:t>Standard control service</w:t>
            </w:r>
          </w:p>
        </w:tc>
        <w:tc>
          <w:tcPr>
            <w:tcW w:w="0" w:type="auto"/>
          </w:tcPr>
          <w:p w:rsidR="00295919" w:rsidRPr="00295919" w:rsidRDefault="00295919" w:rsidP="00295919">
            <w:pPr>
              <w:pStyle w:val="AERtabletextleft"/>
            </w:pPr>
            <w:r w:rsidRPr="00295919">
              <w:t xml:space="preserve">Services that are central to electricity supply and therefore relied on by most (if not all) customers such as building and maintaining the shared distribution network. </w:t>
            </w:r>
          </w:p>
          <w:p w:rsidR="00295919" w:rsidRPr="00295919" w:rsidRDefault="00295919" w:rsidP="00295919">
            <w:pPr>
              <w:pStyle w:val="AERtabletextleft"/>
            </w:pPr>
            <w:r w:rsidRPr="00295919">
              <w:t>Most distribution services are classified as standard control.</w:t>
            </w:r>
          </w:p>
        </w:tc>
        <w:tc>
          <w:tcPr>
            <w:tcW w:w="0" w:type="auto"/>
          </w:tcPr>
          <w:p w:rsidR="00295919" w:rsidRPr="00295919" w:rsidRDefault="00295919" w:rsidP="00295919">
            <w:pPr>
              <w:pStyle w:val="AERtabletextleft"/>
            </w:pPr>
            <w:r w:rsidRPr="00295919">
              <w:t>We regulate these services by determining prices or an overall cap on the amount of revenue that may be earned for all standard control services.</w:t>
            </w:r>
          </w:p>
          <w:p w:rsidR="00295919" w:rsidRPr="00295919" w:rsidRDefault="00295919" w:rsidP="00295919">
            <w:pPr>
              <w:pStyle w:val="AERtabletextleft"/>
            </w:pPr>
            <w:r w:rsidRPr="00295919">
              <w:t>The costs associated with these services are shared by all customers via their regular electricity bill.</w:t>
            </w:r>
          </w:p>
        </w:tc>
      </w:tr>
      <w:tr w:rsidR="00295919" w:rsidRPr="00295919" w:rsidTr="00B328EA">
        <w:tc>
          <w:tcPr>
            <w:tcW w:w="0" w:type="auto"/>
            <w:vMerge/>
          </w:tcPr>
          <w:p w:rsidR="00295919" w:rsidRPr="00295919" w:rsidRDefault="00295919" w:rsidP="00295919">
            <w:pPr>
              <w:pStyle w:val="AERtabletextleft"/>
            </w:pPr>
          </w:p>
        </w:tc>
        <w:tc>
          <w:tcPr>
            <w:tcW w:w="0" w:type="auto"/>
          </w:tcPr>
          <w:p w:rsidR="00295919" w:rsidRPr="00295919" w:rsidRDefault="00295919" w:rsidP="00295919">
            <w:pPr>
              <w:pStyle w:val="AERtabletextleft"/>
            </w:pPr>
            <w:r w:rsidRPr="00295919">
              <w:t>Alternative control service</w:t>
            </w:r>
          </w:p>
        </w:tc>
        <w:tc>
          <w:tcPr>
            <w:tcW w:w="0" w:type="auto"/>
          </w:tcPr>
          <w:p w:rsidR="00295919" w:rsidRPr="00295919" w:rsidRDefault="00295919" w:rsidP="00295919">
            <w:pPr>
              <w:pStyle w:val="AERtabletextleft"/>
            </w:pPr>
            <w:r w:rsidRPr="00295919">
              <w:t>Customer specific or customer requested services. These services may also have potential for provision on a competitive basis rather than by the local distributor.</w:t>
            </w:r>
          </w:p>
        </w:tc>
        <w:tc>
          <w:tcPr>
            <w:tcW w:w="0" w:type="auto"/>
          </w:tcPr>
          <w:p w:rsidR="00295919" w:rsidRPr="00295919" w:rsidRDefault="00295919" w:rsidP="00295919">
            <w:pPr>
              <w:pStyle w:val="AERtabletextleft"/>
            </w:pPr>
            <w:r w:rsidRPr="00295919">
              <w:t>We set service specific prices to enable the distributor to recover the full cost of each service from customers using that service.</w:t>
            </w:r>
          </w:p>
        </w:tc>
      </w:tr>
      <w:tr w:rsidR="00295919" w:rsidRPr="00295919" w:rsidTr="00B328EA">
        <w:tc>
          <w:tcPr>
            <w:tcW w:w="0" w:type="auto"/>
            <w:gridSpan w:val="2"/>
          </w:tcPr>
          <w:p w:rsidR="00295919" w:rsidRPr="00295919" w:rsidRDefault="00295919" w:rsidP="00295919">
            <w:pPr>
              <w:pStyle w:val="AERtabletextleft"/>
            </w:pPr>
            <w:r w:rsidRPr="00295919">
              <w:t>Negotiated service</w:t>
            </w:r>
          </w:p>
        </w:tc>
        <w:tc>
          <w:tcPr>
            <w:tcW w:w="0" w:type="auto"/>
          </w:tcPr>
          <w:p w:rsidR="00295919" w:rsidRPr="00295919" w:rsidRDefault="00295919" w:rsidP="00295919">
            <w:pPr>
              <w:pStyle w:val="AERtabletextleft"/>
            </w:pPr>
            <w:r w:rsidRPr="00295919">
              <w:t xml:space="preserve">Services we consider require a less prescriptive regulatory approach because all relevant parties have sufficient </w:t>
            </w:r>
            <w:r w:rsidR="000D4047">
              <w:t xml:space="preserve">countervailing </w:t>
            </w:r>
            <w:r w:rsidRPr="00295919">
              <w:t>market power to negotiate the provision of those services.</w:t>
            </w:r>
          </w:p>
        </w:tc>
        <w:tc>
          <w:tcPr>
            <w:tcW w:w="0" w:type="auto"/>
          </w:tcPr>
          <w:p w:rsidR="00295919" w:rsidRPr="00295919" w:rsidRDefault="00295919" w:rsidP="00295919">
            <w:pPr>
              <w:pStyle w:val="AERtabletextleft"/>
            </w:pPr>
            <w:r w:rsidRPr="00295919">
              <w:t>Distributors and customers are able to negotiate prices according to a framework established by the rules. We are available to arbitrate if necessary.</w:t>
            </w:r>
          </w:p>
        </w:tc>
      </w:tr>
      <w:tr w:rsidR="00295919" w:rsidRPr="00295919" w:rsidTr="00B328EA">
        <w:tc>
          <w:tcPr>
            <w:tcW w:w="0" w:type="auto"/>
            <w:gridSpan w:val="2"/>
          </w:tcPr>
          <w:p w:rsidR="00295919" w:rsidRPr="00295919" w:rsidRDefault="00295919" w:rsidP="00295919">
            <w:pPr>
              <w:pStyle w:val="AERtabletextleft"/>
            </w:pPr>
            <w:r w:rsidRPr="00295919">
              <w:t>Unclassified service</w:t>
            </w:r>
          </w:p>
        </w:tc>
        <w:tc>
          <w:tcPr>
            <w:tcW w:w="0" w:type="auto"/>
          </w:tcPr>
          <w:p w:rsidR="00295919" w:rsidRPr="00295919" w:rsidRDefault="00295919" w:rsidP="00295919">
            <w:pPr>
              <w:pStyle w:val="AERtabletextleft"/>
            </w:pPr>
            <w:r w:rsidRPr="00295919">
              <w:t>Services that are not distribution services</w:t>
            </w:r>
            <w:r w:rsidRPr="006F482A">
              <w:rPr>
                <w:rStyle w:val="AERsuperscript"/>
              </w:rPr>
              <w:footnoteReference w:id="9"/>
            </w:r>
            <w:r w:rsidRPr="00295919">
              <w:t xml:space="preserve"> or services that are contestable.</w:t>
            </w:r>
          </w:p>
        </w:tc>
        <w:tc>
          <w:tcPr>
            <w:tcW w:w="0" w:type="auto"/>
          </w:tcPr>
          <w:p w:rsidR="00295919" w:rsidRPr="00295919" w:rsidRDefault="00295919" w:rsidP="00295919">
            <w:pPr>
              <w:pStyle w:val="AERtabletextleft"/>
            </w:pPr>
            <w:r w:rsidRPr="00295919">
              <w:t>We have no role in regulating these services.</w:t>
            </w:r>
          </w:p>
        </w:tc>
      </w:tr>
    </w:tbl>
    <w:p w:rsidR="00295919" w:rsidRPr="00295919" w:rsidRDefault="00295919" w:rsidP="00295919">
      <w:pPr>
        <w:pStyle w:val="AERtablesource"/>
      </w:pPr>
      <w:r w:rsidRPr="00295919">
        <w:t>Source: AER</w:t>
      </w:r>
    </w:p>
    <w:p w:rsidR="003B4DE1" w:rsidRPr="002F4AE2" w:rsidRDefault="003B4DE1" w:rsidP="000E6995">
      <w:pPr>
        <w:pStyle w:val="HeadingItalic"/>
        <w:rPr>
          <w:rStyle w:val="AERtextbold"/>
          <w:b/>
        </w:rPr>
      </w:pPr>
      <w:r w:rsidRPr="002F4AE2">
        <w:rPr>
          <w:rStyle w:val="AERtextbold"/>
          <w:b/>
        </w:rPr>
        <w:t>Direct control services</w:t>
      </w:r>
    </w:p>
    <w:p w:rsidR="003B4DE1" w:rsidRDefault="003B4DE1" w:rsidP="003B4DE1">
      <w:pPr>
        <w:pStyle w:val="AERbodytext"/>
      </w:pPr>
      <w:r w:rsidRPr="0023075C">
        <w:t xml:space="preserve">The </w:t>
      </w:r>
      <w:r w:rsidR="00D845CA">
        <w:t>r</w:t>
      </w:r>
      <w:r w:rsidRPr="0023075C">
        <w:t xml:space="preserve">ules contain factors we must consider when determining appropriate levels of economic regulation for the range of electricity distribution services. Following consideration of those factors, we may determine </w:t>
      </w:r>
      <w:r w:rsidR="00644B5D">
        <w:t xml:space="preserve">that </w:t>
      </w:r>
      <w:r w:rsidRPr="0023075C">
        <w:t xml:space="preserve">a </w:t>
      </w:r>
      <w:r>
        <w:t>prescriptive</w:t>
      </w:r>
      <w:r w:rsidRPr="0023075C">
        <w:t xml:space="preserve"> approach is required. We will classify such services as </w:t>
      </w:r>
      <w:r w:rsidRPr="00B83529">
        <w:rPr>
          <w:rStyle w:val="AERbody"/>
        </w:rPr>
        <w:t>direct control services</w:t>
      </w:r>
      <w:r w:rsidRPr="0023075C">
        <w:t xml:space="preserve">. </w:t>
      </w:r>
      <w:r>
        <w:t xml:space="preserve">That is, we will directly set </w:t>
      </w:r>
      <w:r w:rsidRPr="0023075C">
        <w:t>prices</w:t>
      </w:r>
      <w:r>
        <w:t xml:space="preserve"> </w:t>
      </w:r>
      <w:r w:rsidRPr="0023075C">
        <w:t>distributors will charge</w:t>
      </w:r>
      <w:r>
        <w:t xml:space="preserve"> </w:t>
      </w:r>
      <w:r w:rsidRPr="0023075C">
        <w:t>customers</w:t>
      </w:r>
      <w:r>
        <w:t>, or set revenues distributors may recover from customers</w:t>
      </w:r>
      <w:r w:rsidRPr="0023075C">
        <w:t>.</w:t>
      </w:r>
      <w:r>
        <w:rPr>
          <w:rStyle w:val="FootnoteReference"/>
        </w:rPr>
        <w:footnoteReference w:id="10"/>
      </w:r>
      <w:r w:rsidRPr="0023075C">
        <w:t xml:space="preserve"> </w:t>
      </w:r>
    </w:p>
    <w:p w:rsidR="003B4DE1" w:rsidRPr="0023075C" w:rsidRDefault="003B4DE1" w:rsidP="003B4DE1">
      <w:r>
        <w:t>Most distribution services fall within the network services group, which include</w:t>
      </w:r>
      <w:r w:rsidR="00644B5D">
        <w:t>s</w:t>
      </w:r>
      <w:r>
        <w:t xml:space="preserve"> poles, wires, and other core infrastructure of a distribution business.</w:t>
      </w:r>
      <w:r>
        <w:rPr>
          <w:rStyle w:val="FootnoteReference"/>
        </w:rPr>
        <w:footnoteReference w:id="11"/>
      </w:r>
      <w:r>
        <w:t xml:space="preserve"> These are central to a distributor's business and </w:t>
      </w:r>
      <w:r w:rsidR="00C31D3A">
        <w:t>the broad c</w:t>
      </w:r>
      <w:r>
        <w:t>ustomer base</w:t>
      </w:r>
      <w:r w:rsidR="00C31D3A">
        <w:t xml:space="preserve"> uses them</w:t>
      </w:r>
      <w:r>
        <w:t xml:space="preserve">. Network services are central to a distributor's monopoly power and are frequently subject to licence restrictions. </w:t>
      </w:r>
      <w:r w:rsidR="00E85D2A">
        <w:t xml:space="preserve">Therefore, our preliminary position is to </w:t>
      </w:r>
      <w:r>
        <w:t xml:space="preserve">classify network services as direct control services. Other distribution services are also subject to limited, or no, </w:t>
      </w:r>
      <w:r w:rsidRPr="005C46F7">
        <w:rPr>
          <w:rStyle w:val="AERbody"/>
        </w:rPr>
        <w:t xml:space="preserve">supply competition. We therefore also </w:t>
      </w:r>
      <w:r w:rsidR="00E85D2A" w:rsidRPr="005C46F7">
        <w:rPr>
          <w:rStyle w:val="AERbody"/>
        </w:rPr>
        <w:t xml:space="preserve">propose to </w:t>
      </w:r>
      <w:r w:rsidRPr="005C46F7">
        <w:rPr>
          <w:rStyle w:val="AERbody"/>
        </w:rPr>
        <w:t xml:space="preserve">classify as direct control: metering, </w:t>
      </w:r>
      <w:r w:rsidR="00C31D3A" w:rsidRPr="005C46F7">
        <w:rPr>
          <w:rStyle w:val="AERbody"/>
        </w:rPr>
        <w:t xml:space="preserve">connections, </w:t>
      </w:r>
      <w:r w:rsidRPr="005C46F7">
        <w:rPr>
          <w:rStyle w:val="AERbody"/>
        </w:rPr>
        <w:t>public lighting and ancillary network services. We</w:t>
      </w:r>
      <w:r w:rsidRPr="0023075C">
        <w:t xml:space="preserve"> must </w:t>
      </w:r>
      <w:r>
        <w:t>further</w:t>
      </w:r>
      <w:r w:rsidRPr="0023075C">
        <w:t xml:space="preserve"> determine whether </w:t>
      </w:r>
      <w:r>
        <w:t>we will classify a direct control service</w:t>
      </w:r>
      <w:r w:rsidRPr="0023075C">
        <w:t xml:space="preserve"> a</w:t>
      </w:r>
      <w:r>
        <w:t>s a</w:t>
      </w:r>
      <w:r w:rsidRPr="0023075C">
        <w:t xml:space="preserve"> </w:t>
      </w:r>
      <w:r w:rsidRPr="00B83529">
        <w:rPr>
          <w:rStyle w:val="AERbody"/>
        </w:rPr>
        <w:t>standard control</w:t>
      </w:r>
      <w:r w:rsidRPr="00B83529">
        <w:t xml:space="preserve"> </w:t>
      </w:r>
      <w:r w:rsidRPr="00022C4F">
        <w:t xml:space="preserve">or </w:t>
      </w:r>
      <w:r w:rsidRPr="00B83529">
        <w:rPr>
          <w:rStyle w:val="AERbody"/>
        </w:rPr>
        <w:t>alternative control</w:t>
      </w:r>
      <w:r w:rsidRPr="00B83529">
        <w:t xml:space="preserve"> </w:t>
      </w:r>
      <w:r>
        <w:t xml:space="preserve">service. </w:t>
      </w:r>
    </w:p>
    <w:p w:rsidR="003B4DE1" w:rsidRPr="002F4AE2" w:rsidRDefault="003B4DE1" w:rsidP="000E6995">
      <w:pPr>
        <w:pStyle w:val="HeadingItalic"/>
        <w:rPr>
          <w:rStyle w:val="AERtextbold"/>
          <w:b/>
        </w:rPr>
      </w:pPr>
      <w:r w:rsidRPr="002F4AE2">
        <w:rPr>
          <w:rStyle w:val="AERtextbold"/>
          <w:b/>
        </w:rPr>
        <w:lastRenderedPageBreak/>
        <w:t>Standard control services</w:t>
      </w:r>
    </w:p>
    <w:p w:rsidR="003B4DE1" w:rsidRDefault="003B4DE1" w:rsidP="003B4DE1">
      <w:r w:rsidRPr="0023075C">
        <w:t>We cla</w:t>
      </w:r>
      <w:r>
        <w:t xml:space="preserve">ssify as </w:t>
      </w:r>
      <w:r w:rsidRPr="00B83529">
        <w:rPr>
          <w:rStyle w:val="AERbody"/>
        </w:rPr>
        <w:t>standard control</w:t>
      </w:r>
      <w:r w:rsidRPr="00B83529">
        <w:t xml:space="preserve"> </w:t>
      </w:r>
      <w:r w:rsidRPr="00022C4F">
        <w:t>services</w:t>
      </w:r>
      <w:r w:rsidRPr="00B83529">
        <w:t xml:space="preserve"> </w:t>
      </w:r>
      <w:r>
        <w:t>those distribution services that are central to electricity supply and therefore relied on by most (if not all) customers</w:t>
      </w:r>
      <w:r w:rsidRPr="0023075C">
        <w:t xml:space="preserve">. </w:t>
      </w:r>
      <w:r w:rsidR="000562AD">
        <w:t xml:space="preserve">We classify most distribution </w:t>
      </w:r>
      <w:r w:rsidR="0091248D">
        <w:t>services as</w:t>
      </w:r>
      <w:r>
        <w:t xml:space="preserve"> standard control, reflecting the integrated nature of an electricity distribution system. We </w:t>
      </w:r>
      <w:r w:rsidR="000D3E6A">
        <w:t xml:space="preserve">typically </w:t>
      </w:r>
      <w:r>
        <w:t>regu</w:t>
      </w:r>
      <w:r w:rsidR="000D3E6A">
        <w:t xml:space="preserve">late these services </w:t>
      </w:r>
      <w:r>
        <w:t xml:space="preserve">by determining prices or an overall cap on the amount of revenue that </w:t>
      </w:r>
      <w:r w:rsidR="00A0564F">
        <w:t>distributors may earn</w:t>
      </w:r>
      <w:r>
        <w:t xml:space="preserve"> for all standard control services. These standard control services form the core </w:t>
      </w:r>
      <w:r w:rsidR="002F0B15">
        <w:t xml:space="preserve">distribution </w:t>
      </w:r>
      <w:r>
        <w:t xml:space="preserve">component of an electricity bill. </w:t>
      </w:r>
    </w:p>
    <w:p w:rsidR="003B4DE1" w:rsidRPr="005C46F7" w:rsidRDefault="00434CCF" w:rsidP="003B4DE1">
      <w:pPr>
        <w:rPr>
          <w:rStyle w:val="AERbody"/>
        </w:rPr>
      </w:pPr>
      <w:r w:rsidRPr="005C46F7">
        <w:rPr>
          <w:rStyle w:val="AERbody"/>
        </w:rPr>
        <w:t>Our preliminary position is that s</w:t>
      </w:r>
      <w:r w:rsidR="003B4DE1" w:rsidRPr="005C46F7">
        <w:rPr>
          <w:rStyle w:val="AERbody"/>
        </w:rPr>
        <w:t>tandard control services include n</w:t>
      </w:r>
      <w:r w:rsidR="00093561" w:rsidRPr="005C46F7">
        <w:rPr>
          <w:rStyle w:val="AERbody"/>
        </w:rPr>
        <w:t>etwork service</w:t>
      </w:r>
      <w:r w:rsidR="008342CA" w:rsidRPr="005C46F7">
        <w:rPr>
          <w:rStyle w:val="AERbody"/>
        </w:rPr>
        <w:t>s</w:t>
      </w:r>
      <w:r w:rsidR="00093561" w:rsidRPr="005C46F7">
        <w:rPr>
          <w:rStyle w:val="AERbody"/>
        </w:rPr>
        <w:t xml:space="preserve"> and </w:t>
      </w:r>
      <w:r w:rsidR="005C46F7" w:rsidRPr="005C46F7">
        <w:rPr>
          <w:rStyle w:val="AERbody"/>
        </w:rPr>
        <w:t>new</w:t>
      </w:r>
      <w:r w:rsidR="00093561" w:rsidRPr="005C46F7">
        <w:rPr>
          <w:rStyle w:val="AERbody"/>
        </w:rPr>
        <w:t xml:space="preserve"> connections</w:t>
      </w:r>
      <w:r w:rsidR="005C46F7" w:rsidRPr="005C46F7">
        <w:rPr>
          <w:rStyle w:val="AERbody"/>
        </w:rPr>
        <w:t xml:space="preserve"> requiring augmentations</w:t>
      </w:r>
      <w:r w:rsidR="003B4DE1" w:rsidRPr="005C46F7">
        <w:rPr>
          <w:rStyle w:val="AERbody"/>
        </w:rPr>
        <w:t>. These services encompass construction, maintenance and repair of the network</w:t>
      </w:r>
      <w:r w:rsidR="008342CA" w:rsidRPr="005C46F7">
        <w:rPr>
          <w:rStyle w:val="AERbody"/>
        </w:rPr>
        <w:t xml:space="preserve">, as well as </w:t>
      </w:r>
      <w:r w:rsidR="005C46F7" w:rsidRPr="005C46F7">
        <w:rPr>
          <w:rStyle w:val="AERbody"/>
        </w:rPr>
        <w:t xml:space="preserve">augmenting the network to facilitate </w:t>
      </w:r>
      <w:r w:rsidR="008342CA" w:rsidRPr="005C46F7">
        <w:rPr>
          <w:rStyle w:val="AERbody"/>
        </w:rPr>
        <w:t>connecting</w:t>
      </w:r>
      <w:r w:rsidR="003B4DE1" w:rsidRPr="005C46F7">
        <w:rPr>
          <w:rStyle w:val="AERbody"/>
        </w:rPr>
        <w:t xml:space="preserve"> new customers. </w:t>
      </w:r>
    </w:p>
    <w:p w:rsidR="003B4DE1" w:rsidRPr="002F4AE2" w:rsidRDefault="003B4DE1" w:rsidP="000E6995">
      <w:pPr>
        <w:pStyle w:val="HeadingItalic"/>
        <w:rPr>
          <w:rStyle w:val="AERtextbold"/>
          <w:b/>
        </w:rPr>
      </w:pPr>
      <w:r w:rsidRPr="002F4AE2">
        <w:rPr>
          <w:rStyle w:val="AERtextbold"/>
          <w:b/>
        </w:rPr>
        <w:t>Alternative control services</w:t>
      </w:r>
    </w:p>
    <w:p w:rsidR="00F74DFF" w:rsidRDefault="003B4DE1" w:rsidP="003B4DE1">
      <w:pPr>
        <w:pStyle w:val="AERbodytext"/>
      </w:pPr>
      <w:r w:rsidRPr="00E50116">
        <w:rPr>
          <w:rStyle w:val="AERbody"/>
        </w:rPr>
        <w:t>Alternative control</w:t>
      </w:r>
      <w:r>
        <w:t xml:space="preserve"> services are customer specific or customer requested services. These services may also have potential for provision on a </w:t>
      </w:r>
      <w:r w:rsidRPr="008078EA">
        <w:t>competiti</w:t>
      </w:r>
      <w:r>
        <w:t xml:space="preserve">ve basis rather than by a single distributor. Alternatively, certain customers may </w:t>
      </w:r>
      <w:r w:rsidR="000B54A9">
        <w:t xml:space="preserve">request </w:t>
      </w:r>
      <w:r>
        <w:t xml:space="preserve">these services. For these services, we set service specific prices to enable the distributor to recover the full cost of each service from customers using that service. We will determine prices for individual alternative control services in a variety of ways, suitable to specific circumstances. For example, only a few customers purchase ancillary network services (like a request to relocate a power pole). It would be </w:t>
      </w:r>
      <w:r w:rsidR="00AD211C">
        <w:t xml:space="preserve">inefficient </w:t>
      </w:r>
      <w:r>
        <w:t xml:space="preserve">for all customers to fund provision of these services. </w:t>
      </w:r>
      <w:r w:rsidR="006A3B83">
        <w:t xml:space="preserve">Therefore our preliminary position is to </w:t>
      </w:r>
      <w:r>
        <w:t xml:space="preserve">classify ancillary network services as alternative control. </w:t>
      </w:r>
    </w:p>
    <w:p w:rsidR="003B4DE1" w:rsidRPr="006B4D49" w:rsidRDefault="00CF1B8E" w:rsidP="006B4D49">
      <w:pPr>
        <w:pStyle w:val="AERbodytext"/>
      </w:pPr>
      <w:r w:rsidRPr="000C3173">
        <w:rPr>
          <w:rStyle w:val="AERbody"/>
        </w:rPr>
        <w:t xml:space="preserve">In Victoria the roll-out of Advanced Metering Infrastructure (AMI) has been conducted under the provisions of their Distribution Licence and regulatory requirements imposed by the Victorian Government. </w:t>
      </w:r>
      <w:r>
        <w:rPr>
          <w:rStyle w:val="AERbody"/>
        </w:rPr>
        <w:t xml:space="preserve">These services are not classified in the current F&amp;A as a consequence. </w:t>
      </w:r>
      <w:r w:rsidRPr="000C3173">
        <w:rPr>
          <w:rStyle w:val="AERbody"/>
        </w:rPr>
        <w:t>These arrangements are scheduled to expire at the end of 2015, subject to 'true-up' provisions which will have effect in the next regulatory control period.</w:t>
      </w:r>
      <w:r w:rsidR="009E229B">
        <w:rPr>
          <w:rStyle w:val="FootnoteReference"/>
        </w:rPr>
        <w:footnoteReference w:id="12"/>
      </w:r>
      <w:r w:rsidRPr="000C3173">
        <w:rPr>
          <w:rStyle w:val="AERbody"/>
        </w:rPr>
        <w:t xml:space="preserve"> Our preliminary position is, subject to giving effect to the true-up provisions, to classify metering services currently regulated under the Victorian AMI </w:t>
      </w:r>
      <w:r>
        <w:rPr>
          <w:rStyle w:val="AERbody"/>
        </w:rPr>
        <w:t xml:space="preserve">OIC </w:t>
      </w:r>
      <w:r w:rsidRPr="000C3173">
        <w:rPr>
          <w:rStyle w:val="AERbody"/>
        </w:rPr>
        <w:t xml:space="preserve">as alternative control services. This is mandated under clause 11.17.6(b) of the NER. This will facilitate more choice for customers. </w:t>
      </w:r>
      <w:r>
        <w:rPr>
          <w:rStyle w:val="AERbody"/>
        </w:rPr>
        <w:t xml:space="preserve">We also note that the </w:t>
      </w:r>
      <w:r w:rsidR="003B4DE1" w:rsidRPr="006B4D49">
        <w:rPr>
          <w:rStyle w:val="AERtexthighlight"/>
          <w:shd w:val="clear" w:color="auto" w:fill="auto"/>
        </w:rPr>
        <w:t>provision of these services is likely to become open to more competition in the near future. Furthermore, the range of metering services customers may wish to use (</w:t>
      </w:r>
      <w:r w:rsidR="003B4DE1" w:rsidRPr="00AE3511">
        <w:rPr>
          <w:rStyle w:val="AERbody"/>
        </w:rPr>
        <w:t xml:space="preserve">for example, increasing use of </w:t>
      </w:r>
      <w:r w:rsidR="00AE3511" w:rsidRPr="00AE3511">
        <w:rPr>
          <w:rStyle w:val="AERbody"/>
        </w:rPr>
        <w:t xml:space="preserve">the services enabled by </w:t>
      </w:r>
      <w:r w:rsidR="003B4DE1" w:rsidRPr="00AE3511">
        <w:rPr>
          <w:rStyle w:val="AERbody"/>
        </w:rPr>
        <w:t>smart</w:t>
      </w:r>
      <w:r w:rsidR="003B4DE1" w:rsidRPr="006B4D49">
        <w:rPr>
          <w:rStyle w:val="AERtexthighlight"/>
          <w:shd w:val="clear" w:color="auto" w:fill="auto"/>
        </w:rPr>
        <w:t xml:space="preserve"> meters) suggests unbundling these services from standard control is appropriate</w:t>
      </w:r>
      <w:r w:rsidR="003B4DE1" w:rsidRPr="006B4D49">
        <w:t>.</w:t>
      </w:r>
    </w:p>
    <w:p w:rsidR="00F74DFF" w:rsidRPr="005C46F7" w:rsidRDefault="00F74DFF" w:rsidP="008342CA">
      <w:pPr>
        <w:pStyle w:val="AERbodytext"/>
        <w:rPr>
          <w:rStyle w:val="AERbody"/>
        </w:rPr>
      </w:pPr>
      <w:r w:rsidRPr="005C46F7">
        <w:rPr>
          <w:rStyle w:val="AERbody"/>
        </w:rPr>
        <w:t xml:space="preserve">We propose to retain the current alternative control classification for </w:t>
      </w:r>
      <w:r w:rsidR="005C46F7" w:rsidRPr="005C46F7">
        <w:rPr>
          <w:rStyle w:val="AERbody"/>
        </w:rPr>
        <w:t>routine</w:t>
      </w:r>
      <w:r w:rsidR="00A300E3" w:rsidRPr="005C46F7">
        <w:rPr>
          <w:rStyle w:val="AERbody"/>
        </w:rPr>
        <w:t xml:space="preserve"> customer connections</w:t>
      </w:r>
      <w:r w:rsidR="008342CA" w:rsidRPr="005C46F7">
        <w:rPr>
          <w:rStyle w:val="AERbody"/>
        </w:rPr>
        <w:t xml:space="preserve">, as this is a contestable service in </w:t>
      </w:r>
      <w:r w:rsidR="00D1003C" w:rsidRPr="005C46F7">
        <w:rPr>
          <w:rStyle w:val="AERbody"/>
        </w:rPr>
        <w:t>Victoria</w:t>
      </w:r>
      <w:r w:rsidR="005C46F7" w:rsidRPr="005C46F7">
        <w:rPr>
          <w:rStyle w:val="AERbody"/>
        </w:rPr>
        <w:t xml:space="preserve"> and costs can be forecast with reasonable certainty</w:t>
      </w:r>
      <w:r w:rsidR="00A300E3" w:rsidRPr="005C46F7">
        <w:rPr>
          <w:rStyle w:val="AERbody"/>
        </w:rPr>
        <w:t>. W</w:t>
      </w:r>
      <w:r w:rsidRPr="005C46F7">
        <w:rPr>
          <w:rStyle w:val="AERbody"/>
        </w:rPr>
        <w:t>e also propose to retain the current alternative control classification for public lighting</w:t>
      </w:r>
      <w:r w:rsidR="006D3937" w:rsidRPr="005C46F7">
        <w:rPr>
          <w:rStyle w:val="AERbody"/>
        </w:rPr>
        <w:t>,</w:t>
      </w:r>
      <w:r w:rsidRPr="005C46F7">
        <w:rPr>
          <w:rStyle w:val="AERbody"/>
        </w:rPr>
        <w:t xml:space="preserve"> because a defined group of customers purchase these service</w:t>
      </w:r>
      <w:r w:rsidR="008342CA" w:rsidRPr="005C46F7">
        <w:rPr>
          <w:rStyle w:val="AERbody"/>
        </w:rPr>
        <w:t>s, for example, local councils.</w:t>
      </w:r>
    </w:p>
    <w:p w:rsidR="003B4DE1" w:rsidRPr="002F4AE2" w:rsidRDefault="003B4DE1" w:rsidP="000E6995">
      <w:pPr>
        <w:pStyle w:val="HeadingItalic"/>
        <w:rPr>
          <w:rStyle w:val="AERtextbold"/>
          <w:b/>
        </w:rPr>
      </w:pPr>
      <w:r w:rsidRPr="002F4AE2">
        <w:rPr>
          <w:rStyle w:val="AERtextbold"/>
          <w:b/>
        </w:rPr>
        <w:t>Negotiated distribution services</w:t>
      </w:r>
    </w:p>
    <w:p w:rsidR="003B4DE1" w:rsidRPr="003B4DE1" w:rsidRDefault="003B4DE1" w:rsidP="003B4DE1">
      <w:pPr>
        <w:pStyle w:val="AERbodytext"/>
      </w:pPr>
      <w:r>
        <w:t xml:space="preserve">Negotiated distribution services are those services we consider require a less prescriptive regulatory approach because all relevant parties have sufficient </w:t>
      </w:r>
      <w:r w:rsidR="00AE3511">
        <w:t xml:space="preserve">countervailing </w:t>
      </w:r>
      <w:r>
        <w:t>market power to negotiate the provision of those services.</w:t>
      </w:r>
      <w:r w:rsidR="000431E2">
        <w:t xml:space="preserve"> </w:t>
      </w:r>
      <w:r>
        <w:t xml:space="preserve">Distributors and customers are able to negotiate </w:t>
      </w:r>
      <w:r w:rsidR="00644B5D">
        <w:t xml:space="preserve">services and </w:t>
      </w:r>
      <w:r>
        <w:t xml:space="preserve">prices according to a framework established by the </w:t>
      </w:r>
      <w:r w:rsidR="006A3B83">
        <w:t>r</w:t>
      </w:r>
      <w:r>
        <w:t xml:space="preserve">ules. We are available to arbitrate if necessary. </w:t>
      </w:r>
    </w:p>
    <w:p w:rsidR="003B4DE1" w:rsidRPr="003B4DE1" w:rsidRDefault="003B4DE1" w:rsidP="003B4DE1">
      <w:pPr>
        <w:pStyle w:val="AERbodytext"/>
      </w:pPr>
      <w:r w:rsidRPr="000C3173">
        <w:rPr>
          <w:rStyle w:val="AERbody"/>
        </w:rPr>
        <w:lastRenderedPageBreak/>
        <w:t xml:space="preserve">Our preliminary position is to </w:t>
      </w:r>
      <w:r w:rsidR="00A94F83" w:rsidRPr="000C3173">
        <w:rPr>
          <w:rStyle w:val="AERbody"/>
        </w:rPr>
        <w:t xml:space="preserve">continue to </w:t>
      </w:r>
      <w:r w:rsidRPr="000C3173">
        <w:rPr>
          <w:rStyle w:val="AERbody"/>
        </w:rPr>
        <w:t>classify service</w:t>
      </w:r>
      <w:r w:rsidR="000431E2" w:rsidRPr="000C3173">
        <w:rPr>
          <w:rStyle w:val="AERbody"/>
        </w:rPr>
        <w:t>s</w:t>
      </w:r>
      <w:r w:rsidRPr="000C3173">
        <w:rPr>
          <w:rStyle w:val="AERbody"/>
        </w:rPr>
        <w:t xml:space="preserve"> </w:t>
      </w:r>
      <w:r w:rsidR="005C46F7" w:rsidRPr="000C3173">
        <w:rPr>
          <w:rStyle w:val="AERbody"/>
        </w:rPr>
        <w:t xml:space="preserve">to install new public lighting technologies </w:t>
      </w:r>
      <w:r w:rsidRPr="000C3173">
        <w:rPr>
          <w:rStyle w:val="AERbody"/>
        </w:rPr>
        <w:t>as</w:t>
      </w:r>
      <w:r w:rsidRPr="005C46F7">
        <w:rPr>
          <w:rStyle w:val="AERbody"/>
        </w:rPr>
        <w:t xml:space="preserve"> negotiated distribution service</w:t>
      </w:r>
      <w:r w:rsidR="006A3B83" w:rsidRPr="005C46F7">
        <w:rPr>
          <w:rStyle w:val="AERbody"/>
        </w:rPr>
        <w:t>s</w:t>
      </w:r>
      <w:r w:rsidRPr="005C46F7">
        <w:rPr>
          <w:rStyle w:val="AERbody"/>
        </w:rPr>
        <w:t>.</w:t>
      </w:r>
      <w:r w:rsidR="005C46F7" w:rsidRPr="005C46F7">
        <w:rPr>
          <w:rStyle w:val="AERbody"/>
        </w:rPr>
        <w:t xml:space="preserve"> W</w:t>
      </w:r>
      <w:r w:rsidR="000431E2" w:rsidRPr="005C46F7">
        <w:rPr>
          <w:rStyle w:val="AERbody"/>
        </w:rPr>
        <w:t xml:space="preserve">e are interested in stakeholder feedback on whether we could classify </w:t>
      </w:r>
      <w:r w:rsidR="005C46F7" w:rsidRPr="005C46F7">
        <w:rPr>
          <w:rStyle w:val="AERbody"/>
        </w:rPr>
        <w:t xml:space="preserve">all public lighting services </w:t>
      </w:r>
      <w:r w:rsidR="000431E2" w:rsidRPr="005C46F7">
        <w:rPr>
          <w:rStyle w:val="AERbody"/>
        </w:rPr>
        <w:t>as negotiated services</w:t>
      </w:r>
      <w:r w:rsidR="005C46F7" w:rsidRPr="005C46F7">
        <w:rPr>
          <w:rStyle w:val="AERbody"/>
        </w:rPr>
        <w:t xml:space="preserve">. We are also interested in whether new connections requiring augmentation could be classified as negotiated services if Victoria adopts </w:t>
      </w:r>
      <w:r w:rsidR="00AE3511">
        <w:rPr>
          <w:rStyle w:val="AERbody"/>
        </w:rPr>
        <w:t xml:space="preserve">chapter 5A of the NER either by adopting </w:t>
      </w:r>
      <w:r w:rsidR="005C46F7" w:rsidRPr="005C46F7">
        <w:rPr>
          <w:rStyle w:val="AERbody"/>
        </w:rPr>
        <w:t>the National Energy Customer Framework (NECF)</w:t>
      </w:r>
      <w:r w:rsidR="00AE3511">
        <w:rPr>
          <w:rStyle w:val="AERbody"/>
        </w:rPr>
        <w:t xml:space="preserve"> or by adopting chapter 5A outright</w:t>
      </w:r>
      <w:r w:rsidR="000431E2" w:rsidRPr="005C46F7">
        <w:rPr>
          <w:rStyle w:val="AERbody"/>
        </w:rPr>
        <w:t>.</w:t>
      </w:r>
    </w:p>
    <w:p w:rsidR="003B4DE1" w:rsidRPr="00DD625A" w:rsidRDefault="003B4DE1" w:rsidP="000E6995">
      <w:pPr>
        <w:pStyle w:val="HeadingItalic"/>
        <w:rPr>
          <w:rStyle w:val="AERtextbold"/>
          <w:b/>
        </w:rPr>
      </w:pPr>
      <w:r w:rsidRPr="002F4AE2">
        <w:rPr>
          <w:rStyle w:val="AERtextbold"/>
          <w:b/>
        </w:rPr>
        <w:t>Unclassified (unregulated)</w:t>
      </w:r>
    </w:p>
    <w:p w:rsidR="003B4DE1" w:rsidRDefault="003B4DE1" w:rsidP="003B4DE1">
      <w:r>
        <w:t xml:space="preserve">In the case of some distribution services, we may determine there is sufficient competition for no regulation at all. We will not classify such services. We refer to these as </w:t>
      </w:r>
      <w:r w:rsidRPr="00B83529">
        <w:rPr>
          <w:rStyle w:val="AERbody"/>
        </w:rPr>
        <w:t>unclassified</w:t>
      </w:r>
      <w:r>
        <w:t xml:space="preserve"> or </w:t>
      </w:r>
      <w:r w:rsidRPr="00B83529">
        <w:rPr>
          <w:rStyle w:val="AERbody"/>
        </w:rPr>
        <w:t>unregulated</w:t>
      </w:r>
      <w:r>
        <w:t xml:space="preserve"> distribution services. </w:t>
      </w:r>
    </w:p>
    <w:p w:rsidR="00847BF1" w:rsidRDefault="00847BF1" w:rsidP="003B4DE1">
      <w:pPr>
        <w:pStyle w:val="AERbodytext"/>
        <w:rPr>
          <w:rStyle w:val="AERbody"/>
        </w:rPr>
      </w:pPr>
      <w:r>
        <w:rPr>
          <w:rStyle w:val="AERbody"/>
        </w:rPr>
        <w:t xml:space="preserve">Our preliminary </w:t>
      </w:r>
      <w:r w:rsidR="00E72625">
        <w:rPr>
          <w:rStyle w:val="AERbody"/>
        </w:rPr>
        <w:t>position</w:t>
      </w:r>
      <w:r>
        <w:rPr>
          <w:rStyle w:val="AERbody"/>
        </w:rPr>
        <w:t xml:space="preserve"> is to not classify emergency recoverable works.</w:t>
      </w:r>
      <w:r w:rsidR="00C477C5">
        <w:rPr>
          <w:rStyle w:val="FootnoteReference"/>
        </w:rPr>
        <w:footnoteReference w:id="13"/>
      </w:r>
      <w:r>
        <w:rPr>
          <w:rStyle w:val="AERbody"/>
        </w:rPr>
        <w:t xml:space="preserve"> This will create the right incentives for distributors to recover the cost of emergency </w:t>
      </w:r>
      <w:r w:rsidR="00E72625">
        <w:rPr>
          <w:rStyle w:val="AERbody"/>
        </w:rPr>
        <w:t xml:space="preserve">recoverable </w:t>
      </w:r>
      <w:r>
        <w:rPr>
          <w:rStyle w:val="AERbody"/>
        </w:rPr>
        <w:t xml:space="preserve">works from </w:t>
      </w:r>
      <w:r w:rsidR="00E72625">
        <w:rPr>
          <w:rStyle w:val="AERbody"/>
        </w:rPr>
        <w:t>third</w:t>
      </w:r>
      <w:r>
        <w:rPr>
          <w:rStyle w:val="AERbody"/>
        </w:rPr>
        <w:t xml:space="preserve"> parties that caused damage to </w:t>
      </w:r>
      <w:r w:rsidR="00E72625">
        <w:rPr>
          <w:rStyle w:val="AERbody"/>
        </w:rPr>
        <w:t xml:space="preserve">the </w:t>
      </w:r>
      <w:r>
        <w:rPr>
          <w:rStyle w:val="AERbody"/>
        </w:rPr>
        <w:t>network.</w:t>
      </w:r>
    </w:p>
    <w:p w:rsidR="003B4DE1" w:rsidRDefault="003B4DE1" w:rsidP="003B4DE1">
      <w:r>
        <w:t xml:space="preserve">We use the above service classifications throughout </w:t>
      </w:r>
      <w:r w:rsidR="000822EC">
        <w:t>this preliminary position</w:t>
      </w:r>
      <w:r>
        <w:t xml:space="preserve"> F&amp;A. Figure 1 sets out our preliminary positions for classification of </w:t>
      </w:r>
      <w:r w:rsidR="00850953">
        <w:t xml:space="preserve">Victorian </w:t>
      </w:r>
      <w:r>
        <w:t xml:space="preserve">distribution services. </w:t>
      </w:r>
    </w:p>
    <w:p w:rsidR="00BC1A48" w:rsidRPr="00BC1A48" w:rsidRDefault="00BC1A48" w:rsidP="00BC1A48">
      <w:pPr>
        <w:pStyle w:val="Caption"/>
        <w:rPr>
          <w:rStyle w:val="AERbody"/>
        </w:rPr>
      </w:pPr>
      <w:r w:rsidRPr="00BC1A48">
        <w:rPr>
          <w:rStyle w:val="AERbody"/>
        </w:rPr>
        <w:t xml:space="preserve">Figure </w:t>
      </w:r>
      <w:r>
        <w:rPr>
          <w:rStyle w:val="AERbody"/>
        </w:rPr>
        <w:t>1</w:t>
      </w:r>
      <w:r w:rsidRPr="00BC1A48">
        <w:rPr>
          <w:rStyle w:val="AERbody"/>
        </w:rPr>
        <w:t xml:space="preserve">: AER's preliminary classification of Victorian distribution services </w:t>
      </w:r>
    </w:p>
    <w:p w:rsidR="006002D2" w:rsidRDefault="00D7517D" w:rsidP="00784A41">
      <w:pPr>
        <w:pStyle w:val="AERtablesource"/>
        <w:rPr>
          <w:rStyle w:val="AERtexthighlight"/>
        </w:rPr>
      </w:pPr>
      <w:r w:rsidRPr="00D7517D">
        <w:rPr>
          <w:noProof/>
          <w:lang w:eastAsia="en-AU"/>
        </w:rPr>
        <w:drawing>
          <wp:inline distT="0" distB="0" distL="0" distR="0" wp14:anchorId="43F68900" wp14:editId="63F2A881">
            <wp:extent cx="5495453" cy="3920151"/>
            <wp:effectExtent l="57150" t="0" r="86360" b="806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94528" w:rsidRPr="00784A41" w:rsidRDefault="00694528" w:rsidP="00784A41">
      <w:pPr>
        <w:pStyle w:val="AERtablesource"/>
        <w:rPr>
          <w:rStyle w:val="AERtexthighlight"/>
          <w:shd w:val="clear" w:color="auto" w:fill="auto"/>
        </w:rPr>
      </w:pPr>
      <w:r w:rsidRPr="00784A41">
        <w:rPr>
          <w:rStyle w:val="AERtexthighlight"/>
          <w:shd w:val="clear" w:color="auto" w:fill="auto"/>
        </w:rPr>
        <w:t>Source: AER</w:t>
      </w:r>
    </w:p>
    <w:p w:rsidR="003B4DE1" w:rsidRPr="00DA4805" w:rsidRDefault="003B4DE1" w:rsidP="00DA4805">
      <w:pPr>
        <w:pStyle w:val="HeadingBoldBlue"/>
        <w:rPr>
          <w:rStyle w:val="AERtextbold"/>
          <w:b/>
        </w:rPr>
      </w:pPr>
      <w:r w:rsidRPr="00DA4805">
        <w:rPr>
          <w:rStyle w:val="AERtextbold"/>
          <w:b/>
        </w:rPr>
        <w:lastRenderedPageBreak/>
        <w:t>Control mechanisms</w:t>
      </w:r>
    </w:p>
    <w:p w:rsidR="003B4DE1" w:rsidRPr="00DF69CE" w:rsidRDefault="003B4DE1" w:rsidP="003B4DE1">
      <w:pPr>
        <w:pStyle w:val="AERbodytext"/>
      </w:pPr>
      <w:r w:rsidRPr="003B4DE1">
        <w:rPr>
          <w:rFonts w:eastAsia="Calibri"/>
        </w:rPr>
        <w:t>Following on from service classifications, our determinations must impose controls on direct control service prices and/or their revenues.</w:t>
      </w:r>
      <w:r w:rsidRPr="003B4DE1">
        <w:rPr>
          <w:rStyle w:val="FootnoteReference"/>
          <w:rFonts w:eastAsia="Calibri"/>
        </w:rPr>
        <w:footnoteReference w:id="14"/>
      </w:r>
      <w:r w:rsidRPr="003B4DE1">
        <w:rPr>
          <w:rFonts w:eastAsia="Calibri"/>
        </w:rPr>
        <w:t xml:space="preserve"> We may only accept or approve control mechanisms in a distributor's regulatory proposal if they are consistent with </w:t>
      </w:r>
      <w:r w:rsidR="00624F86">
        <w:rPr>
          <w:rFonts w:eastAsia="Calibri"/>
        </w:rPr>
        <w:t>our final F&amp;A</w:t>
      </w:r>
      <w:r w:rsidRPr="003B4DE1">
        <w:rPr>
          <w:rFonts w:eastAsia="Calibri"/>
        </w:rPr>
        <w:t>.</w:t>
      </w:r>
      <w:r w:rsidRPr="003B4DE1">
        <w:rPr>
          <w:rStyle w:val="FootnoteReference"/>
          <w:rFonts w:eastAsia="Calibri"/>
        </w:rPr>
        <w:footnoteReference w:id="15"/>
      </w:r>
      <w:r w:rsidRPr="003B4DE1">
        <w:rPr>
          <w:rFonts w:eastAsia="Calibri"/>
        </w:rPr>
        <w:t xml:space="preserve"> </w:t>
      </w:r>
    </w:p>
    <w:p w:rsidR="003B4DE1" w:rsidRPr="00DF69CE" w:rsidRDefault="003B4DE1" w:rsidP="003B4DE1">
      <w:pPr>
        <w:pStyle w:val="AERbodytext"/>
      </w:pPr>
      <w:r>
        <w:t xml:space="preserve">The </w:t>
      </w:r>
      <w:r w:rsidR="00D845CA">
        <w:t>r</w:t>
      </w:r>
      <w:r>
        <w:t>ules require us to</w:t>
      </w:r>
      <w:r w:rsidRPr="003B4DE1">
        <w:rPr>
          <w:rFonts w:eastAsia="Calibri"/>
        </w:rPr>
        <w:t xml:space="preserve"> decide the control mechanism </w:t>
      </w:r>
      <w:r w:rsidRPr="003B4DE1">
        <w:rPr>
          <w:rStyle w:val="AERbody"/>
          <w:rFonts w:eastAsia="Calibri"/>
        </w:rPr>
        <w:t>forms</w:t>
      </w:r>
      <w:r w:rsidRPr="003B4DE1">
        <w:rPr>
          <w:rStyle w:val="FootnoteReference"/>
          <w:rFonts w:eastAsia="Calibri"/>
        </w:rPr>
        <w:footnoteReference w:id="16"/>
      </w:r>
      <w:r w:rsidRPr="003B4DE1">
        <w:rPr>
          <w:rFonts w:eastAsia="Calibri"/>
        </w:rPr>
        <w:t xml:space="preserve"> and the formulae to give effect to the control mechanism, but not the basis of the form of control mechanism</w:t>
      </w:r>
      <w:r w:rsidRPr="003B4DE1">
        <w:rPr>
          <w:rStyle w:val="AERtextitalic"/>
          <w:rFonts w:eastAsia="Calibri"/>
        </w:rPr>
        <w:t>.</w:t>
      </w:r>
      <w:r w:rsidRPr="003B4DE1">
        <w:rPr>
          <w:rFonts w:eastAsia="Calibri"/>
        </w:rPr>
        <w:t xml:space="preserve"> In deciding control mechanism </w:t>
      </w:r>
      <w:r w:rsidRPr="003B4DE1">
        <w:rPr>
          <w:rStyle w:val="AERbody"/>
          <w:rFonts w:eastAsia="Calibri"/>
        </w:rPr>
        <w:t>forms</w:t>
      </w:r>
      <w:r w:rsidRPr="003B4DE1">
        <w:rPr>
          <w:rFonts w:eastAsia="Calibri"/>
        </w:rPr>
        <w:t xml:space="preserve">, we must select one or more from those listed in the </w:t>
      </w:r>
      <w:r w:rsidR="00D845CA">
        <w:rPr>
          <w:rFonts w:eastAsia="Calibri"/>
        </w:rPr>
        <w:t>r</w:t>
      </w:r>
      <w:r w:rsidRPr="003B4DE1">
        <w:rPr>
          <w:rFonts w:eastAsia="Calibri"/>
        </w:rPr>
        <w:t>ules.</w:t>
      </w:r>
      <w:r w:rsidRPr="00DF69CE">
        <w:rPr>
          <w:rStyle w:val="FootnoteReference"/>
        </w:rPr>
        <w:footnoteReference w:id="17"/>
      </w:r>
      <w:r w:rsidRPr="00DF69CE">
        <w:t xml:space="preserve"> These include price schedules, caps on the prices of individual services, weighted average price caps, revenue caps, average revenue caps and hybrid control mechanisms. </w:t>
      </w:r>
    </w:p>
    <w:p w:rsidR="003B4DE1" w:rsidRPr="003B4DE1" w:rsidRDefault="003B4DE1" w:rsidP="003B4DE1">
      <w:pPr>
        <w:pStyle w:val="AERbodytext"/>
        <w:rPr>
          <w:rFonts w:eastAsia="Calibri"/>
        </w:rPr>
      </w:pPr>
      <w:r>
        <w:t xml:space="preserve">In deciding on the form of control mechanism, the </w:t>
      </w:r>
      <w:r w:rsidR="00D845CA">
        <w:t>r</w:t>
      </w:r>
      <w:r>
        <w:t>ules require us to have regard to specified factors.</w:t>
      </w:r>
      <w:r w:rsidRPr="00DF69CE">
        <w:rPr>
          <w:rStyle w:val="FootnoteReference"/>
        </w:rPr>
        <w:footnoteReference w:id="18"/>
      </w:r>
      <w:r w:rsidR="00644B5D">
        <w:t xml:space="preserve"> </w:t>
      </w:r>
      <w:r w:rsidRPr="00DF69CE">
        <w:t xml:space="preserve">These include the need for efficient tariffs, administrative costs, previous regulatory arrangements and consistency. </w:t>
      </w:r>
      <w:r w:rsidRPr="003B4DE1">
        <w:rPr>
          <w:rFonts w:eastAsia="Calibri"/>
        </w:rPr>
        <w:t xml:space="preserve">In light of the above alternatives and considerations, our preliminary position on the form of control mechanisms for the </w:t>
      </w:r>
      <w:r w:rsidR="00850953">
        <w:rPr>
          <w:rFonts w:eastAsia="Calibri"/>
        </w:rPr>
        <w:t xml:space="preserve">Victorian </w:t>
      </w:r>
      <w:r w:rsidRPr="003B4DE1">
        <w:rPr>
          <w:rFonts w:eastAsia="Calibri"/>
        </w:rPr>
        <w:t>distributors are:</w:t>
      </w:r>
    </w:p>
    <w:p w:rsidR="003B4DE1" w:rsidRPr="00784A41" w:rsidRDefault="003B4DE1" w:rsidP="00784A41">
      <w:pPr>
        <w:pStyle w:val="AERbulletlistfirststyle"/>
        <w:rPr>
          <w:rStyle w:val="AERbody"/>
        </w:rPr>
      </w:pPr>
      <w:r w:rsidRPr="00784A41">
        <w:rPr>
          <w:rStyle w:val="AERbody"/>
        </w:rPr>
        <w:t xml:space="preserve">standard control services— </w:t>
      </w:r>
      <w:r w:rsidRPr="00784A41">
        <w:rPr>
          <w:rStyle w:val="AERtexthighlight"/>
          <w:shd w:val="clear" w:color="auto" w:fill="auto"/>
        </w:rPr>
        <w:t>revenue cap</w:t>
      </w:r>
      <w:r w:rsidRPr="00784A41">
        <w:rPr>
          <w:rStyle w:val="AERbody"/>
        </w:rPr>
        <w:t xml:space="preserve"> </w:t>
      </w:r>
    </w:p>
    <w:p w:rsidR="003B4DE1" w:rsidRPr="00784A41" w:rsidRDefault="003B4DE1" w:rsidP="00624F86">
      <w:pPr>
        <w:pStyle w:val="AERbulletlistfirststyle"/>
        <w:numPr>
          <w:ilvl w:val="0"/>
          <w:numId w:val="0"/>
        </w:numPr>
        <w:ind w:left="357"/>
        <w:rPr>
          <w:rStyle w:val="AERbody"/>
        </w:rPr>
      </w:pPr>
      <w:r w:rsidRPr="00784A41">
        <w:rPr>
          <w:rStyle w:val="AERbody"/>
        </w:rPr>
        <w:t xml:space="preserve">We consider that a revenue cap best meets the factors set out under clause 6.2.5(c) of the </w:t>
      </w:r>
      <w:r w:rsidR="00D845CA" w:rsidRPr="00784A41">
        <w:rPr>
          <w:rStyle w:val="AERbody"/>
        </w:rPr>
        <w:t>r</w:t>
      </w:r>
      <w:r w:rsidRPr="00784A41">
        <w:rPr>
          <w:rStyle w:val="AERbody"/>
        </w:rPr>
        <w:t xml:space="preserve">ules. We consider that a revenue cap will result in benefits to consumers through a higher likelihood of revenue recovery at efficient cost, better incentives for demand side management, less reliance on energy forecasts and </w:t>
      </w:r>
      <w:r w:rsidR="00784A41" w:rsidRPr="00784A41">
        <w:rPr>
          <w:rStyle w:val="AERbody"/>
        </w:rPr>
        <w:t>further</w:t>
      </w:r>
      <w:r w:rsidRPr="00784A41">
        <w:rPr>
          <w:rStyle w:val="AERbody"/>
        </w:rPr>
        <w:t xml:space="preserve"> alignment with the </w:t>
      </w:r>
      <w:r w:rsidR="00862E42">
        <w:rPr>
          <w:rStyle w:val="AERbody"/>
        </w:rPr>
        <w:t>development</w:t>
      </w:r>
      <w:r w:rsidRPr="00784A41">
        <w:rPr>
          <w:rStyle w:val="AERbody"/>
        </w:rPr>
        <w:t xml:space="preserve"> of efficient prices. Furthermore, we consider that the detriments of a revenue cap</w:t>
      </w:r>
      <w:r w:rsidR="000822EC" w:rsidRPr="00784A41">
        <w:rPr>
          <w:rStyle w:val="AERbody"/>
        </w:rPr>
        <w:t xml:space="preserve"> </w:t>
      </w:r>
      <w:r w:rsidRPr="00784A41">
        <w:rPr>
          <w:rStyle w:val="AERbody"/>
        </w:rPr>
        <w:t>– within period pricing instability and weak pricing incentives are able to be mitigated.</w:t>
      </w:r>
      <w:r w:rsidR="00255833" w:rsidRPr="00784A41">
        <w:rPr>
          <w:rStyle w:val="AERbody"/>
        </w:rPr>
        <w:t xml:space="preserve"> Therefore our preliminary </w:t>
      </w:r>
      <w:r w:rsidR="00540189" w:rsidRPr="00784A41">
        <w:rPr>
          <w:rStyle w:val="AERbody"/>
        </w:rPr>
        <w:t xml:space="preserve">position is to </w:t>
      </w:r>
      <w:r w:rsidR="00784A41" w:rsidRPr="00784A41">
        <w:rPr>
          <w:rStyle w:val="AERbody"/>
        </w:rPr>
        <w:t>move to</w:t>
      </w:r>
      <w:r w:rsidR="00540189" w:rsidRPr="00784A41">
        <w:rPr>
          <w:rStyle w:val="AERbody"/>
        </w:rPr>
        <w:t xml:space="preserve"> a revenue cap for the </w:t>
      </w:r>
      <w:r w:rsidR="00850953">
        <w:rPr>
          <w:rStyle w:val="AERbody"/>
        </w:rPr>
        <w:t xml:space="preserve">Victorian </w:t>
      </w:r>
      <w:r w:rsidR="00540189" w:rsidRPr="00784A41">
        <w:rPr>
          <w:rStyle w:val="AERbody"/>
        </w:rPr>
        <w:t xml:space="preserve">distributors' standard control services. </w:t>
      </w:r>
    </w:p>
    <w:p w:rsidR="003B4DE1" w:rsidRPr="00DA4805" w:rsidRDefault="003B4DE1" w:rsidP="003B4DE1">
      <w:pPr>
        <w:pStyle w:val="AERbulletlistfirststyle"/>
        <w:rPr>
          <w:rStyle w:val="AERbody"/>
        </w:rPr>
      </w:pPr>
      <w:r w:rsidRPr="00DA4805">
        <w:rPr>
          <w:rStyle w:val="AERbody"/>
        </w:rPr>
        <w:t>alternative control services— caps on the prices of individual services.</w:t>
      </w:r>
      <w:r w:rsidR="00540189">
        <w:rPr>
          <w:rStyle w:val="AERbody"/>
        </w:rPr>
        <w:t xml:space="preserve"> We consider this approach will provide cost reflective price benefits. </w:t>
      </w:r>
    </w:p>
    <w:p w:rsidR="003B4DE1" w:rsidRPr="003B4DE1" w:rsidRDefault="003B4DE1" w:rsidP="003B4DE1">
      <w:pPr>
        <w:pStyle w:val="AERbodytext"/>
        <w:rPr>
          <w:rFonts w:eastAsia="Calibri"/>
        </w:rPr>
      </w:pPr>
      <w:r w:rsidRPr="003B4DE1">
        <w:rPr>
          <w:rFonts w:eastAsia="Calibri"/>
        </w:rPr>
        <w:t xml:space="preserve">For standard control services, the </w:t>
      </w:r>
      <w:r w:rsidR="00D845CA">
        <w:rPr>
          <w:rFonts w:eastAsia="Calibri"/>
        </w:rPr>
        <w:t>r</w:t>
      </w:r>
      <w:r w:rsidRPr="003B4DE1">
        <w:rPr>
          <w:rFonts w:eastAsia="Calibri"/>
        </w:rPr>
        <w:t xml:space="preserve">ules mandate the </w:t>
      </w:r>
      <w:r w:rsidRPr="003B4DE1">
        <w:rPr>
          <w:rStyle w:val="AERbody"/>
          <w:rFonts w:eastAsia="Calibri"/>
        </w:rPr>
        <w:t>basis</w:t>
      </w:r>
      <w:r w:rsidRPr="003B4DE1">
        <w:rPr>
          <w:rStyle w:val="AERtextitalic"/>
          <w:rFonts w:eastAsia="Calibri"/>
        </w:rPr>
        <w:t xml:space="preserve"> </w:t>
      </w:r>
      <w:r w:rsidRPr="003B4DE1">
        <w:rPr>
          <w:rFonts w:eastAsia="Calibri"/>
        </w:rPr>
        <w:t>of the control mechanism must be the prospective CPI–X form, or some incentive-based variant.</w:t>
      </w:r>
      <w:r w:rsidRPr="003B4DE1">
        <w:rPr>
          <w:rStyle w:val="FootnoteReference"/>
          <w:rFonts w:eastAsia="Calibri"/>
        </w:rPr>
        <w:footnoteReference w:id="19"/>
      </w:r>
      <w:r w:rsidRPr="003B4DE1">
        <w:rPr>
          <w:rFonts w:eastAsia="Calibri"/>
        </w:rPr>
        <w:t xml:space="preserve"> For alternative control services, </w:t>
      </w:r>
      <w:r>
        <w:t>we</w:t>
      </w:r>
      <w:r w:rsidRPr="00BD7B24">
        <w:t xml:space="preserve"> will confirm a control mechanism </w:t>
      </w:r>
      <w:r>
        <w:t xml:space="preserve">basis through the distribution determination process.  </w:t>
      </w:r>
    </w:p>
    <w:p w:rsidR="00540189" w:rsidRDefault="00540189" w:rsidP="003B4DE1">
      <w:pPr>
        <w:pStyle w:val="HeadingBoldBlue"/>
      </w:pPr>
      <w:r>
        <w:t>Incentive schemes</w:t>
      </w:r>
    </w:p>
    <w:p w:rsidR="00540189" w:rsidRDefault="00212B44" w:rsidP="00212B44">
      <w:pPr>
        <w:pStyle w:val="AERbodytext"/>
      </w:pPr>
      <w:r>
        <w:t xml:space="preserve">The purpose of incentive schemes is to encourage distributors to manage their businesses in a safe, reliable manner that serves the long term interests of consumers. The schemes provide distributors with incentives to only incur efficient costs and to meet or exceed service quality targets. In some instances, distributors may incur a financial penalty if they fail to meet set targets. These schemes include the service target performance incentive scheme, efficiency benefit sharing scheme, capital expenditure sharing scheme and demand management incentive scheme. </w:t>
      </w:r>
      <w:r w:rsidR="00CF1B8E">
        <w:t xml:space="preserve">A Victorian Government </w:t>
      </w:r>
      <w:r w:rsidR="00CF1B8E">
        <w:lastRenderedPageBreak/>
        <w:t xml:space="preserve">incentive scheme called the F-factor scheme is also administered by the AER. </w:t>
      </w:r>
      <w:r>
        <w:t>The overall objectives of the schemes are to:</w:t>
      </w:r>
      <w:r>
        <w:rPr>
          <w:rStyle w:val="FootnoteReference"/>
        </w:rPr>
        <w:footnoteReference w:id="20"/>
      </w:r>
    </w:p>
    <w:p w:rsidR="00EF33EF" w:rsidRDefault="00EF33EF" w:rsidP="00EF33EF">
      <w:pPr>
        <w:pStyle w:val="AERbulletlistfirststyle"/>
      </w:pPr>
      <w:r>
        <w:t>encourage appropriate levels of service quality</w:t>
      </w:r>
    </w:p>
    <w:p w:rsidR="00EF33EF" w:rsidRDefault="00EF33EF" w:rsidP="00EF33EF">
      <w:pPr>
        <w:pStyle w:val="AERbulletlistfirststyle"/>
      </w:pPr>
      <w:r>
        <w:t>maintain network reliability as appropriate</w:t>
      </w:r>
    </w:p>
    <w:p w:rsidR="00EF33EF" w:rsidRDefault="00EF33EF" w:rsidP="00212B44">
      <w:pPr>
        <w:pStyle w:val="AERbulletlistfirststyle"/>
        <w:rPr>
          <w:rStyle w:val="AERbody"/>
        </w:rPr>
      </w:pPr>
      <w:r w:rsidRPr="00FF2A34">
        <w:rPr>
          <w:rStyle w:val="AERbody"/>
        </w:rPr>
        <w:t>incentivise distributors to consider economically efficient alternatives to building more network</w:t>
      </w:r>
    </w:p>
    <w:p w:rsidR="00212B44" w:rsidRDefault="00212B44" w:rsidP="00212B44">
      <w:pPr>
        <w:pStyle w:val="AERbulletlistfirststyle"/>
      </w:pPr>
      <w:r>
        <w:t>incentivise distributors to spend more efficiently on capital and operating expenditure</w:t>
      </w:r>
      <w:r w:rsidR="0053201E">
        <w:t xml:space="preserve"> (opex)</w:t>
      </w:r>
    </w:p>
    <w:p w:rsidR="00212B44" w:rsidRDefault="00212B44" w:rsidP="00212B44">
      <w:pPr>
        <w:pStyle w:val="AERbulletlistfirststyle"/>
      </w:pPr>
      <w:r>
        <w:t>reduce the risk of consumers paying for unnecessary capital expenditure</w:t>
      </w:r>
      <w:r w:rsidR="0053201E">
        <w:t xml:space="preserve"> (capex)</w:t>
      </w:r>
    </w:p>
    <w:p w:rsidR="00CF1B8E" w:rsidRDefault="00212B44" w:rsidP="00212B44">
      <w:pPr>
        <w:pStyle w:val="AERbulletlistfirststyle"/>
      </w:pPr>
      <w:r>
        <w:t>share efficient improvements and losses between distributors and consumers</w:t>
      </w:r>
    </w:p>
    <w:p w:rsidR="00212B44" w:rsidRDefault="00CF1B8E" w:rsidP="00212B44">
      <w:pPr>
        <w:pStyle w:val="AERbulletlistfirststyle"/>
      </w:pPr>
      <w:r>
        <w:t>(F-factor) reduce the potential for electricity networks to trigger fires</w:t>
      </w:r>
      <w:r w:rsidR="00644B5D">
        <w:t>.</w:t>
      </w:r>
    </w:p>
    <w:p w:rsidR="00212B44" w:rsidRPr="00212B44" w:rsidRDefault="00212B44" w:rsidP="00212B44">
      <w:pPr>
        <w:pStyle w:val="AERbodytext"/>
        <w:rPr>
          <w:rStyle w:val="AERbody"/>
        </w:rPr>
      </w:pPr>
      <w:r>
        <w:rPr>
          <w:rStyle w:val="AERbody"/>
        </w:rPr>
        <w:t xml:space="preserve">We outline below our preliminary position on the application of each scheme to the </w:t>
      </w:r>
      <w:r w:rsidR="00850953">
        <w:rPr>
          <w:rStyle w:val="AERbody"/>
        </w:rPr>
        <w:t xml:space="preserve">Victorian </w:t>
      </w:r>
      <w:r>
        <w:rPr>
          <w:rStyle w:val="AERbody"/>
        </w:rPr>
        <w:t xml:space="preserve">distributors. </w:t>
      </w:r>
    </w:p>
    <w:p w:rsidR="003B4DE1" w:rsidRDefault="003B4DE1" w:rsidP="00540189">
      <w:pPr>
        <w:pStyle w:val="HeadingItalic"/>
      </w:pPr>
      <w:r>
        <w:t>Service target performance incentive scheme</w:t>
      </w:r>
    </w:p>
    <w:p w:rsidR="003B4DE1" w:rsidRDefault="00225092" w:rsidP="003B4DE1">
      <w:pPr>
        <w:pStyle w:val="AERbodytext"/>
      </w:pPr>
      <w:r>
        <w:t xml:space="preserve">Our national service target performance incentive scheme (STPIS) provides a financial incentive to distributors to maintain and improve service performance. The STPIS aims to safeguard service quality for customers against incentives for the distributors to seek out cost efficiencies. </w:t>
      </w:r>
    </w:p>
    <w:p w:rsidR="00225092" w:rsidRPr="00075EAB" w:rsidRDefault="00225092" w:rsidP="002F4AE2">
      <w:pPr>
        <w:pStyle w:val="AERbodytext"/>
        <w:rPr>
          <w:rStyle w:val="AERbody"/>
        </w:rPr>
      </w:pPr>
      <w:r w:rsidRPr="00075EAB">
        <w:rPr>
          <w:rStyle w:val="AERbody"/>
        </w:rPr>
        <w:t xml:space="preserve">Our preliminary position is to continue to apply the national STPIS to the </w:t>
      </w:r>
      <w:r w:rsidR="00850953">
        <w:rPr>
          <w:rStyle w:val="AERbody"/>
        </w:rPr>
        <w:t xml:space="preserve">Victorian </w:t>
      </w:r>
      <w:r w:rsidRPr="00075EAB">
        <w:rPr>
          <w:rStyle w:val="AERbody"/>
        </w:rPr>
        <w:t xml:space="preserve">distributors in the next regulatory control period. We will not apply the GSL component as the </w:t>
      </w:r>
      <w:r w:rsidR="00850953">
        <w:rPr>
          <w:rStyle w:val="AERbody"/>
        </w:rPr>
        <w:t xml:space="preserve">Victorian </w:t>
      </w:r>
      <w:r w:rsidRPr="00075EAB">
        <w:rPr>
          <w:rStyle w:val="AERbody"/>
        </w:rPr>
        <w:t>distributors are subject to a jurisdictional GSL scheme.</w:t>
      </w:r>
      <w:r w:rsidRPr="00075EAB">
        <w:rPr>
          <w:rStyle w:val="AERsuperscript"/>
        </w:rPr>
        <w:footnoteReference w:id="21"/>
      </w:r>
      <w:r w:rsidR="003E0472">
        <w:rPr>
          <w:rStyle w:val="AERbody"/>
        </w:rPr>
        <w:t xml:space="preserve"> Should the Victorian Government move to amend this before the next regulatory control period commences, we will adopt the changed requirements.</w:t>
      </w:r>
    </w:p>
    <w:p w:rsidR="003B4DE1" w:rsidRDefault="003B4DE1" w:rsidP="00540189">
      <w:pPr>
        <w:pStyle w:val="HeadingItalic"/>
      </w:pPr>
      <w:r>
        <w:t>Efficiency benefit sharing scheme</w:t>
      </w:r>
    </w:p>
    <w:p w:rsidR="003D7990" w:rsidRDefault="003D7990" w:rsidP="003D7990">
      <w:pPr>
        <w:pStyle w:val="AERbodytext"/>
      </w:pPr>
      <w:r w:rsidRPr="007E637D">
        <w:t xml:space="preserve">The </w:t>
      </w:r>
      <w:r w:rsidRPr="003739D1">
        <w:t xml:space="preserve">efficiency benefit sharing scheme (EBSS) </w:t>
      </w:r>
      <w:r>
        <w:t>aims</w:t>
      </w:r>
      <w:r w:rsidRPr="007E637D">
        <w:t xml:space="preserve"> to provide a continuous incentive for </w:t>
      </w:r>
      <w:r>
        <w:t xml:space="preserve">distributors </w:t>
      </w:r>
      <w:r w:rsidRPr="007E637D">
        <w:t xml:space="preserve">to pursue efficiency improvements in </w:t>
      </w:r>
      <w:r>
        <w:t>opex</w:t>
      </w:r>
      <w:r w:rsidRPr="007E637D">
        <w:t xml:space="preserve">, and </w:t>
      </w:r>
      <w:r>
        <w:t>provide for a fair sharing of these</w:t>
      </w:r>
      <w:r w:rsidRPr="007E637D">
        <w:t xml:space="preserve"> between </w:t>
      </w:r>
      <w:r>
        <w:t xml:space="preserve">distributors </w:t>
      </w:r>
      <w:r w:rsidRPr="007E637D">
        <w:t xml:space="preserve">and network users. </w:t>
      </w:r>
      <w:r>
        <w:t xml:space="preserve">Consumers benefit from improved efficiencies through lower regulated prices. </w:t>
      </w:r>
    </w:p>
    <w:p w:rsidR="003739D1" w:rsidRDefault="003D7990" w:rsidP="003739D1">
      <w:pPr>
        <w:pStyle w:val="AERbodytext"/>
      </w:pPr>
      <w:r w:rsidRPr="00541F86">
        <w:t xml:space="preserve">As part of </w:t>
      </w:r>
      <w:r>
        <w:t xml:space="preserve">our </w:t>
      </w:r>
      <w:r w:rsidRPr="00541F86">
        <w:t xml:space="preserve">Better Regulation program we </w:t>
      </w:r>
      <w:r>
        <w:t xml:space="preserve">consulted on and published version 2 of the EBSS. </w:t>
      </w:r>
      <w:r w:rsidR="003739D1">
        <w:t xml:space="preserve">Our preliminary position is to apply the new EBSS to the </w:t>
      </w:r>
      <w:r w:rsidR="00850953">
        <w:t xml:space="preserve">Victorian </w:t>
      </w:r>
      <w:r w:rsidR="003739D1">
        <w:t xml:space="preserve">distributors in the next regulatory control period. </w:t>
      </w:r>
    </w:p>
    <w:p w:rsidR="003B4DE1" w:rsidRDefault="003B4DE1" w:rsidP="00540189">
      <w:pPr>
        <w:pStyle w:val="HeadingItalic"/>
      </w:pPr>
      <w:r>
        <w:t>Capital expenditure sharing scheme</w:t>
      </w:r>
    </w:p>
    <w:p w:rsidR="0095196E" w:rsidRPr="00102366" w:rsidRDefault="0095196E" w:rsidP="0095196E">
      <w:pPr>
        <w:pStyle w:val="AERbodytext"/>
        <w:rPr>
          <w:rStyle w:val="AERbody"/>
        </w:rPr>
      </w:pPr>
      <w:r w:rsidRPr="00E07308">
        <w:rPr>
          <w:rStyle w:val="AERbody"/>
        </w:rPr>
        <w:t xml:space="preserve">The capital expenditure sharing scheme (CESS) provides financial rewards for distributors whose capex becomes more efficient and financial penalties for those that become less efficient. Consumers benefit from improved efficiency through lower regulated prices. </w:t>
      </w:r>
    </w:p>
    <w:p w:rsidR="00B62DD4" w:rsidRDefault="0095196E" w:rsidP="00B62DD4">
      <w:pPr>
        <w:pStyle w:val="AERbodytext"/>
      </w:pPr>
      <w:r w:rsidRPr="00541F86">
        <w:t xml:space="preserve">As part of </w:t>
      </w:r>
      <w:r w:rsidRPr="00102366">
        <w:t xml:space="preserve">our Better Regulation program we consulted on and published version 1 of the capital expenditure incentive guideline for electricity network service providers (capex incentive guideline) which sets out the CESS. </w:t>
      </w:r>
      <w:r w:rsidR="00B62DD4">
        <w:t xml:space="preserve">Our preliminary position is to apply the CESS to the </w:t>
      </w:r>
      <w:r w:rsidR="00850953">
        <w:t xml:space="preserve">Victorian </w:t>
      </w:r>
      <w:r w:rsidR="00B62DD4">
        <w:t xml:space="preserve">distributors for the next regulatory control period. </w:t>
      </w:r>
    </w:p>
    <w:p w:rsidR="003B4DE1" w:rsidRDefault="003B4DE1" w:rsidP="00540189">
      <w:pPr>
        <w:pStyle w:val="HeadingItalic"/>
      </w:pPr>
      <w:r>
        <w:lastRenderedPageBreak/>
        <w:t>Demand management incentive scheme</w:t>
      </w:r>
    </w:p>
    <w:p w:rsidR="003B4DE1" w:rsidRDefault="00C6247A" w:rsidP="003B4DE1">
      <w:pPr>
        <w:pStyle w:val="AERbodytext"/>
      </w:pPr>
      <w:r>
        <w:t xml:space="preserve">Distributors have historically planned their network investment to provide sufficient capacity to provide for peak usage periods. As peak demand periods are typically brief and infrequent, network infrastructure often operates with significant </w:t>
      </w:r>
      <w:r w:rsidR="000B54A9">
        <w:t xml:space="preserve">redundant </w:t>
      </w:r>
      <w:r>
        <w:t xml:space="preserve">capacity. This underutilisation means that further investment in network capacity may not always be the most efficient means of catering for increasing peak demand. Demand management by distributors to lower or shift the demand for standard control services is incentivised through </w:t>
      </w:r>
      <w:r w:rsidR="000B54A9">
        <w:t xml:space="preserve">our </w:t>
      </w:r>
      <w:r>
        <w:t>demand management incentive scheme (DMIS).</w:t>
      </w:r>
    </w:p>
    <w:p w:rsidR="00087FD0" w:rsidRDefault="00C6247A" w:rsidP="00690D25">
      <w:pPr>
        <w:pStyle w:val="AERbodytext"/>
      </w:pPr>
      <w:r>
        <w:t xml:space="preserve">Our preliminary position is to continue to apply the DMIS to the </w:t>
      </w:r>
      <w:r w:rsidR="00850953">
        <w:t xml:space="preserve">Victorian </w:t>
      </w:r>
      <w:r>
        <w:t xml:space="preserve">distributors for the next regulatory </w:t>
      </w:r>
      <w:r w:rsidRPr="00075EAB">
        <w:rPr>
          <w:rStyle w:val="AERbody"/>
        </w:rPr>
        <w:t xml:space="preserve">control period. </w:t>
      </w:r>
      <w:r w:rsidR="00AB7918" w:rsidRPr="00075EAB">
        <w:rPr>
          <w:rStyle w:val="AERbody"/>
        </w:rPr>
        <w:t xml:space="preserve">As we intend the </w:t>
      </w:r>
      <w:r w:rsidR="004814F2">
        <w:rPr>
          <w:rStyle w:val="AERbody"/>
        </w:rPr>
        <w:t xml:space="preserve">Victorian </w:t>
      </w:r>
      <w:r w:rsidR="00AB7918" w:rsidRPr="00075EAB">
        <w:rPr>
          <w:rStyle w:val="AERbody"/>
        </w:rPr>
        <w:t>distributors' standard control services to operate under a revenue cap, we only apply Part A of the DMIS. That is, a demand management innovation allowance (DMIA).</w:t>
      </w:r>
      <w:r w:rsidR="00AB7918">
        <w:t xml:space="preserve"> The DMIS adds an innovation allowance to each distributor's revenue each year of the regulatory control period. In calculating the allowance, we must have regard to a range of factors around benefits to consumers and how the DMIS balances against other incentive schemes. </w:t>
      </w:r>
    </w:p>
    <w:p w:rsidR="00690D25" w:rsidRDefault="00087FD0" w:rsidP="00690D25">
      <w:pPr>
        <w:pStyle w:val="AERbodytext"/>
      </w:pPr>
      <w:r>
        <w:t xml:space="preserve">Following the AEMC's </w:t>
      </w:r>
      <w:r w:rsidRPr="00087FD0">
        <w:rPr>
          <w:rStyle w:val="AERtextitalic"/>
        </w:rPr>
        <w:t>Power of Choice Review</w:t>
      </w:r>
      <w:r>
        <w:t xml:space="preserve"> rules changes have been introduced that empower the AER to develop an expanded incentive scheme for Demand Management and Embedded Generation. If this scheme is developed in time, it is our intention to apply it to the Victorian distributors. If so, we would implement this through the determination process.</w:t>
      </w:r>
    </w:p>
    <w:p w:rsidR="00690D25" w:rsidRDefault="00690D25" w:rsidP="00690D25">
      <w:pPr>
        <w:pStyle w:val="HeadingItalic"/>
      </w:pPr>
      <w:r>
        <w:t>Small-scale incentive scheme</w:t>
      </w:r>
    </w:p>
    <w:p w:rsidR="00690D25" w:rsidRDefault="00690D25" w:rsidP="00690D25">
      <w:pPr>
        <w:numPr>
          <w:ilvl w:val="0"/>
          <w:numId w:val="2"/>
        </w:numPr>
      </w:pPr>
      <w:r>
        <w:t>The rules state that we may develop a small-scale incentive scheme.</w:t>
      </w:r>
      <w:r>
        <w:rPr>
          <w:rStyle w:val="FootnoteReference"/>
        </w:rPr>
        <w:footnoteReference w:id="22"/>
      </w:r>
      <w:r>
        <w:t xml:space="preserve"> We have not developed this scheme. Therefore</w:t>
      </w:r>
      <w:r w:rsidR="008E3CA8">
        <w:t xml:space="preserve">, we will not be stating our preliminary position on the application of this scheme to the </w:t>
      </w:r>
      <w:r w:rsidR="00850953">
        <w:t xml:space="preserve">Victorian </w:t>
      </w:r>
      <w:r w:rsidR="008E3CA8">
        <w:t xml:space="preserve">distributors. </w:t>
      </w:r>
    </w:p>
    <w:p w:rsidR="008D227B" w:rsidRDefault="008D227B" w:rsidP="008D227B">
      <w:pPr>
        <w:pStyle w:val="HeadingBoldBlue"/>
      </w:pPr>
      <w:r>
        <w:t>F-factor scheme</w:t>
      </w:r>
    </w:p>
    <w:p w:rsidR="008D227B" w:rsidRDefault="008D227B" w:rsidP="00690D25">
      <w:pPr>
        <w:numPr>
          <w:ilvl w:val="0"/>
          <w:numId w:val="2"/>
        </w:numPr>
      </w:pPr>
      <w:r>
        <w:t>In the current regulatory control period this scheme has been administered as a separate charge under Victorian legislation. Our preliminary position is that whilst the scheme continues we will incorporate the F-factor scheme in the control formula in the next regulatory control period. In doing so we will also give effect to any residual reward or penalty under the scheme that arises due to the lag that arises between actual events and the measurement of performance, should the scheme be modified or cease to operate.</w:t>
      </w:r>
    </w:p>
    <w:p w:rsidR="003B4DE1" w:rsidRDefault="003B4DE1" w:rsidP="003B4DE1">
      <w:pPr>
        <w:pStyle w:val="HeadingBoldBlue"/>
      </w:pPr>
      <w:r>
        <w:t>Application of the expenditure forecast assessment guideline</w:t>
      </w:r>
    </w:p>
    <w:p w:rsidR="003B4DE1" w:rsidRDefault="006C650E" w:rsidP="003B4DE1">
      <w:pPr>
        <w:pStyle w:val="AERbodytext"/>
      </w:pPr>
      <w:r>
        <w:t>We recently published our expenditure forecast assessment guideline (</w:t>
      </w:r>
      <w:r w:rsidR="008F04E3">
        <w:t>expenditure assessment guideline</w:t>
      </w:r>
      <w:r>
        <w:t xml:space="preserve">). The </w:t>
      </w:r>
      <w:r w:rsidR="008F04E3">
        <w:t xml:space="preserve">expenditure assessment </w:t>
      </w:r>
      <w:r>
        <w:t xml:space="preserve">guideline is based on a nationally consistent reporting framework allowing us to compare the relative efficiencies of distributors and decide on efficient expenditure allowances. Our preliminary position is to apply the guideline, including the information requirements to the </w:t>
      </w:r>
      <w:r w:rsidR="00850953">
        <w:t xml:space="preserve">Victorian </w:t>
      </w:r>
      <w:r>
        <w:t xml:space="preserve">distributors in the next regulatory control period. </w:t>
      </w:r>
    </w:p>
    <w:p w:rsidR="006C650E" w:rsidRDefault="006C650E" w:rsidP="006C650E">
      <w:pPr>
        <w:pStyle w:val="AERbodytext"/>
      </w:pPr>
      <w:r>
        <w:t xml:space="preserve">The </w:t>
      </w:r>
      <w:r w:rsidR="00644B5D">
        <w:t xml:space="preserve">expenditure assessment </w:t>
      </w:r>
      <w:r>
        <w:t xml:space="preserve">guideline outlines a suite of assessment/analytical tools and techniques to assist our review of the </w:t>
      </w:r>
      <w:r w:rsidR="00850953">
        <w:t xml:space="preserve">Victorian </w:t>
      </w:r>
      <w:r>
        <w:t xml:space="preserve">distributors' regulatory proposals. We intend to apply all the assessment tools set out in the guideline. </w:t>
      </w:r>
    </w:p>
    <w:p w:rsidR="003B4DE1" w:rsidRDefault="006C650E" w:rsidP="003B4DE1">
      <w:pPr>
        <w:pStyle w:val="HeadingBoldBlue"/>
      </w:pPr>
      <w:r>
        <w:lastRenderedPageBreak/>
        <w:t>D</w:t>
      </w:r>
      <w:r w:rsidR="003B4DE1">
        <w:t xml:space="preserve">epreciation </w:t>
      </w:r>
    </w:p>
    <w:p w:rsidR="000E6995" w:rsidRDefault="000E6995" w:rsidP="000E6995">
      <w:pPr>
        <w:pStyle w:val="AERbodytext"/>
      </w:pPr>
      <w:r>
        <w:t xml:space="preserve">Changes to the rules require us to state our approach to calculating depreciation when we roll forward the </w:t>
      </w:r>
      <w:r w:rsidR="00850953">
        <w:t xml:space="preserve">Victorian </w:t>
      </w:r>
      <w:r>
        <w:t>distributors' regulatory asset base</w:t>
      </w:r>
      <w:r w:rsidR="00F65DCB">
        <w:t xml:space="preserve"> (RAB)</w:t>
      </w:r>
      <w:r>
        <w:t xml:space="preserve"> for the 2020</w:t>
      </w:r>
      <w:r>
        <w:rPr>
          <w:rFonts w:cs="Gautami"/>
        </w:rPr>
        <w:t>–</w:t>
      </w:r>
      <w:r>
        <w:t>202</w:t>
      </w:r>
      <w:r w:rsidR="00FD312C">
        <w:t>4</w:t>
      </w:r>
      <w:r>
        <w:t xml:space="preserve"> regulatory control period. Our preliminary position</w:t>
      </w:r>
      <w:r w:rsidR="00F65DCB">
        <w:t xml:space="preserve"> is to use forecast depreciation to establish the RAB as at 1 J</w:t>
      </w:r>
      <w:r w:rsidR="00FD312C">
        <w:t>anuary</w:t>
      </w:r>
      <w:r w:rsidR="00F65DCB">
        <w:t xml:space="preserve"> 2020. </w:t>
      </w:r>
    </w:p>
    <w:p w:rsidR="00F65DCB" w:rsidRDefault="00F65DCB" w:rsidP="000E6995">
      <w:pPr>
        <w:pStyle w:val="AERbodytext"/>
      </w:pPr>
      <w:r>
        <w:t xml:space="preserve">The depreciation we use to roll forward the RAB can be based on either actual capex incurred during the regulatory control period. Alternatively, we may use the capex allowance forecast as at the start of the regulatory control period. </w:t>
      </w:r>
    </w:p>
    <w:p w:rsidR="00F65DCB" w:rsidRDefault="00F65DCB" w:rsidP="000E6995">
      <w:pPr>
        <w:pStyle w:val="AERbodytext"/>
      </w:pPr>
      <w:r>
        <w:t xml:space="preserve">Our preliminary position to use forecast depreciation, in combination with our proposed application of the CESS will maintain incentives for distributors to pursue capex efficiencies. These improved efficiencies benefit consumers through lower regulated prices. </w:t>
      </w:r>
    </w:p>
    <w:p w:rsidR="003B4DE1" w:rsidRDefault="00616A26" w:rsidP="00624F86">
      <w:pPr>
        <w:pStyle w:val="HeadingBoldBlue"/>
      </w:pPr>
      <w:r>
        <w:t>Jurisdictional and legacy issues</w:t>
      </w:r>
    </w:p>
    <w:p w:rsidR="009518E1" w:rsidRPr="009518E1" w:rsidRDefault="009518E1" w:rsidP="009518E1">
      <w:pPr>
        <w:pStyle w:val="HeadingItalic"/>
      </w:pPr>
      <w:r w:rsidRPr="009518E1">
        <w:t>Dual function assets</w:t>
      </w:r>
    </w:p>
    <w:p w:rsidR="009518E1" w:rsidRPr="009518E1" w:rsidRDefault="009518E1" w:rsidP="009518E1">
      <w:r w:rsidRPr="009518E1">
        <w:t xml:space="preserve">Dual-function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owns, controls or operates dual-function assets, we are required to </w:t>
      </w:r>
    </w:p>
    <w:p w:rsidR="009518E1" w:rsidRDefault="00FD312C" w:rsidP="009518E1">
      <w:pPr>
        <w:pStyle w:val="AERbodytext"/>
      </w:pPr>
      <w:r>
        <w:t xml:space="preserve">None of the </w:t>
      </w:r>
      <w:r w:rsidR="00850953">
        <w:t xml:space="preserve">Victorian </w:t>
      </w:r>
      <w:r>
        <w:t>distributors</w:t>
      </w:r>
      <w:r w:rsidR="009518E1" w:rsidRPr="009518E1">
        <w:t xml:space="preserve"> currently own, control or operate any dual-function assets. Therefore, our preliminary position is that we are not required to, and will not make any determination under the rules regarding dual-function assets.</w:t>
      </w:r>
      <w:r w:rsidR="009518E1" w:rsidRPr="009518E1">
        <w:rPr>
          <w:rStyle w:val="AERsuperscript"/>
        </w:rPr>
        <w:footnoteReference w:id="23"/>
      </w:r>
    </w:p>
    <w:p w:rsidR="00674B91" w:rsidRDefault="00674B91" w:rsidP="00674B91">
      <w:pPr>
        <w:pStyle w:val="HeadingItalic"/>
      </w:pPr>
      <w:r>
        <w:t>F-factor scheme</w:t>
      </w:r>
    </w:p>
    <w:p w:rsidR="00510A67" w:rsidRPr="00510A67" w:rsidRDefault="00510A67" w:rsidP="00510A67">
      <w:pPr>
        <w:pStyle w:val="AERbodytext"/>
      </w:pPr>
      <w:r>
        <w:rPr>
          <w:rStyle w:val="AERbody"/>
        </w:rPr>
        <w:t>T</w:t>
      </w:r>
      <w:r w:rsidRPr="00510A67">
        <w:rPr>
          <w:rStyle w:val="AERbody"/>
        </w:rPr>
        <w:t xml:space="preserve">he Victorian Government </w:t>
      </w:r>
      <w:r>
        <w:rPr>
          <w:rStyle w:val="AERbody"/>
        </w:rPr>
        <w:t xml:space="preserve">has applied the </w:t>
      </w:r>
      <w:r w:rsidRPr="00510A67">
        <w:rPr>
          <w:rStyle w:val="AERbody"/>
        </w:rPr>
        <w:t>f-factor scheme</w:t>
      </w:r>
      <w:r>
        <w:rPr>
          <w:rStyle w:val="AERbody"/>
        </w:rPr>
        <w:t xml:space="preserve"> to</w:t>
      </w:r>
      <w:r w:rsidRPr="00510A67">
        <w:t xml:space="preserve"> provide incentive for Victorian DNSPs to reduce the risk of fire starts due to electricity infrastructure</w:t>
      </w:r>
      <w:r>
        <w:t>.</w:t>
      </w:r>
      <w:r w:rsidRPr="00510A67">
        <w:rPr>
          <w:rStyle w:val="AERsuperscript"/>
        </w:rPr>
        <w:footnoteReference w:id="24"/>
      </w:r>
      <w:r w:rsidRPr="00510A67">
        <w:t xml:space="preserve"> It was implemented by adding s16C to the National Electricity (Victoria) Act 2005 (the NEVA). Section 16C provides that The Governor in Council, </w:t>
      </w:r>
      <w:r>
        <w:t xml:space="preserve">can </w:t>
      </w:r>
      <w:r w:rsidRPr="00510A67">
        <w:t>confer functions and powers, or impose duties on the AER to make determinations on performance targets and incentive mechanisms for the scheme.</w:t>
      </w:r>
    </w:p>
    <w:p w:rsidR="00510A67" w:rsidRPr="00510A67" w:rsidRDefault="00510A67" w:rsidP="00510A67">
      <w:pPr>
        <w:numPr>
          <w:ilvl w:val="0"/>
          <w:numId w:val="13"/>
        </w:numPr>
      </w:pPr>
      <w:r w:rsidRPr="00510A67">
        <w:t>Subsequently, the Victorian Government published the f-factor scheme order 2011 (the Order) on 23 June 2011 under the NEVA. The Order prescribes that:</w:t>
      </w:r>
    </w:p>
    <w:p w:rsidR="00510A67" w:rsidRDefault="00510A67" w:rsidP="00510A67">
      <w:pPr>
        <w:pStyle w:val="AERnumberedlist2first"/>
      </w:pPr>
      <w:r w:rsidRPr="00510A67">
        <w:t>For the first four years of the scheme (2012-15), DNSPs will be either rewarded or penalised at the pre-determined incentive rate of $25,000 per fire for performing better or worse than their respective targets. The reward/penalty amounts will apply to 2014-2016 respectively.</w:t>
      </w:r>
    </w:p>
    <w:p w:rsidR="00510A67" w:rsidRPr="00510A67" w:rsidRDefault="00510A67" w:rsidP="00510A67">
      <w:pPr>
        <w:pStyle w:val="AERnumberedlist2first"/>
      </w:pPr>
      <w:r>
        <w:t>…</w:t>
      </w:r>
    </w:p>
    <w:p w:rsidR="00510A67" w:rsidRPr="00510A67" w:rsidRDefault="00510A67" w:rsidP="00510A67">
      <w:pPr>
        <w:pStyle w:val="AERnumberedlist2first"/>
      </w:pPr>
      <w:r w:rsidRPr="00510A67">
        <w:t>After the current regulatory control period (2011-15), we may vary the incentive rates and mechanism of the scheme, such as applying different targets for different parts of the network.</w:t>
      </w:r>
    </w:p>
    <w:p w:rsidR="00510A67" w:rsidRPr="00510A67" w:rsidRDefault="00510A67" w:rsidP="00510A67">
      <w:r w:rsidRPr="00510A67">
        <w:t xml:space="preserve">Given that we only have two years operation experience of the scheme, our preliminary position is that we will maintain the incentive rate of $25,000 per fire for the forthcoming regulatory control period and continue to monitor the effect of the initial incentive mechanism. </w:t>
      </w:r>
    </w:p>
    <w:p w:rsidR="00313FC6" w:rsidRDefault="00313FC6" w:rsidP="009518E1">
      <w:pPr>
        <w:pStyle w:val="AERbodytext"/>
      </w:pPr>
    </w:p>
    <w:p w:rsidR="00313FC6" w:rsidRPr="009518E1" w:rsidRDefault="00313FC6" w:rsidP="009518E1">
      <w:pPr>
        <w:pStyle w:val="AERbodytext"/>
      </w:pPr>
    </w:p>
    <w:p w:rsidR="003B4DE1" w:rsidRDefault="003B4DE1" w:rsidP="003B4DE1">
      <w:pPr>
        <w:pStyle w:val="AERbodytext"/>
      </w:pPr>
    </w:p>
    <w:p w:rsidR="0064083C" w:rsidRDefault="0064083C" w:rsidP="0064083C">
      <w:pPr>
        <w:pStyle w:val="AERbodytext"/>
        <w:numPr>
          <w:ilvl w:val="0"/>
          <w:numId w:val="0"/>
        </w:numPr>
      </w:pPr>
    </w:p>
    <w:p w:rsidR="0064083C" w:rsidRPr="0064083C" w:rsidRDefault="0064083C" w:rsidP="0064083C">
      <w:pPr>
        <w:pStyle w:val="AERbodytext"/>
        <w:numPr>
          <w:ilvl w:val="0"/>
          <w:numId w:val="0"/>
        </w:numPr>
      </w:pPr>
    </w:p>
    <w:p w:rsidR="00770C24" w:rsidRPr="00323DEF" w:rsidRDefault="00770C24" w:rsidP="00770C24">
      <w:pPr>
        <w:pStyle w:val="Heading1"/>
        <w:numPr>
          <w:ilvl w:val="1"/>
          <w:numId w:val="2"/>
        </w:numPr>
      </w:pPr>
      <w:bookmarkStart w:id="6" w:name="_Toc351729991"/>
      <w:bookmarkStart w:id="7" w:name="_Toc388976497"/>
      <w:r w:rsidRPr="00323DEF">
        <w:lastRenderedPageBreak/>
        <w:t>Classification of distribution services</w:t>
      </w:r>
      <w:bookmarkEnd w:id="6"/>
      <w:bookmarkEnd w:id="7"/>
      <w:r w:rsidRPr="00323DEF">
        <w:t xml:space="preserve"> </w:t>
      </w:r>
    </w:p>
    <w:p w:rsidR="00770C24" w:rsidRDefault="00770C24" w:rsidP="00770C24">
      <w:pPr>
        <w:numPr>
          <w:ilvl w:val="0"/>
          <w:numId w:val="13"/>
        </w:numPr>
      </w:pPr>
      <w:r w:rsidRPr="00323DEF">
        <w:t xml:space="preserve">This attachment sets out our preliminary position on </w:t>
      </w:r>
      <w:r>
        <w:t xml:space="preserve">the </w:t>
      </w:r>
      <w:r w:rsidRPr="00323DEF">
        <w:t xml:space="preserve">classification of distribution services provided by </w:t>
      </w:r>
      <w:r w:rsidR="00850953">
        <w:t xml:space="preserve">Victorian </w:t>
      </w:r>
      <w:r w:rsidR="00F75E67">
        <w:t>distributors in</w:t>
      </w:r>
      <w:r>
        <w:t xml:space="preserve"> the next regulatory control period</w:t>
      </w:r>
      <w:r w:rsidRPr="00323DEF">
        <w:t>. Service classification determines the nature of economic regulation, if any, applicable to specific distribution services. Classification therefore determines whether we</w:t>
      </w:r>
      <w:r>
        <w:t>:</w:t>
      </w:r>
    </w:p>
    <w:p w:rsidR="00770C24" w:rsidRDefault="00770C24" w:rsidP="00770C24">
      <w:pPr>
        <w:pStyle w:val="AERbulletlistfirststyle"/>
      </w:pPr>
      <w:r w:rsidRPr="00323DEF">
        <w:t>directly control prices</w:t>
      </w:r>
      <w:r w:rsidRPr="00F233C3">
        <w:rPr>
          <w:rStyle w:val="AERsuperscript"/>
        </w:rPr>
        <w:footnoteReference w:id="25"/>
      </w:r>
    </w:p>
    <w:p w:rsidR="00770C24" w:rsidRDefault="00770C24" w:rsidP="00770C24">
      <w:pPr>
        <w:pStyle w:val="AERbulletlistfirststyle"/>
      </w:pPr>
      <w:r w:rsidRPr="00323DEF">
        <w:t xml:space="preserve">allow parties to negotiate services and prices and only arbitrate disputes if necessary, or </w:t>
      </w:r>
    </w:p>
    <w:p w:rsidR="00770C24" w:rsidRDefault="00770C24" w:rsidP="00770C24">
      <w:pPr>
        <w:pStyle w:val="AERbulletlistfirststyle"/>
      </w:pPr>
      <w:r w:rsidRPr="00323DEF">
        <w:t xml:space="preserve">do not regulate at all. </w:t>
      </w:r>
    </w:p>
    <w:p w:rsidR="00770C24" w:rsidRPr="00770C24" w:rsidRDefault="00770C24" w:rsidP="00644B5D">
      <w:pPr>
        <w:pStyle w:val="AERbulletlistfirststyle"/>
        <w:numPr>
          <w:ilvl w:val="0"/>
          <w:numId w:val="0"/>
        </w:numPr>
      </w:pPr>
      <w:r w:rsidRPr="00323DEF">
        <w:t xml:space="preserve">If we control prices directly, classification further determines whether distributors recover service costs from all </w:t>
      </w:r>
      <w:r w:rsidRPr="00770C24">
        <w:t>customers or only those benefiting directly from specific services.</w:t>
      </w:r>
      <w:r w:rsidRPr="00770C24">
        <w:rPr>
          <w:rStyle w:val="AERsuperscript"/>
        </w:rPr>
        <w:footnoteReference w:id="26"/>
      </w:r>
      <w:r w:rsidRPr="00770C24">
        <w:t xml:space="preserve"> </w:t>
      </w:r>
    </w:p>
    <w:p w:rsidR="00770C24" w:rsidRPr="00323DEF" w:rsidRDefault="00770C24" w:rsidP="00770C24">
      <w:pPr>
        <w:numPr>
          <w:ilvl w:val="0"/>
          <w:numId w:val="13"/>
        </w:numPr>
      </w:pPr>
      <w:r w:rsidRPr="00323DEF">
        <w:t xml:space="preserve">Classification is important to </w:t>
      </w:r>
      <w:r>
        <w:t>customer</w:t>
      </w:r>
      <w:r w:rsidRPr="00323DEF">
        <w:t>s as it determines which network services are included in basic electricity charges, which are sold as additional services</w:t>
      </w:r>
      <w:r w:rsidR="00F75E67">
        <w:t>,</w:t>
      </w:r>
      <w:r w:rsidRPr="00323DEF">
        <w:t xml:space="preserve"> and which we will not regulate. Our decisions reflect our assessment of </w:t>
      </w:r>
      <w:r>
        <w:t xml:space="preserve">a number of factors, including </w:t>
      </w:r>
      <w:r w:rsidRPr="00323DEF">
        <w:t>competition, or the potential for compe</w:t>
      </w:r>
      <w:r>
        <w:t>tition, of service supply. When necessary</w:t>
      </w:r>
      <w:r w:rsidRPr="00323DEF">
        <w:t xml:space="preserve">, we classify services </w:t>
      </w:r>
      <w:r>
        <w:t>with</w:t>
      </w:r>
      <w:r w:rsidRPr="00323DEF">
        <w:t xml:space="preserve"> a more prescriptive form of regulation. If </w:t>
      </w:r>
      <w:r>
        <w:t>possible</w:t>
      </w:r>
      <w:r w:rsidRPr="00323DEF">
        <w:t xml:space="preserve">, we classify services </w:t>
      </w:r>
      <w:r>
        <w:t>with</w:t>
      </w:r>
      <w:r w:rsidRPr="00323DEF">
        <w:t xml:space="preserve"> less prescriptive forms of regulation or do not regulate at all. If </w:t>
      </w:r>
      <w:r>
        <w:t>specific</w:t>
      </w:r>
      <w:r w:rsidRPr="00323DEF">
        <w:t xml:space="preserve"> </w:t>
      </w:r>
      <w:r>
        <w:t>customers</w:t>
      </w:r>
      <w:r w:rsidRPr="00323DEF">
        <w:t xml:space="preserve"> use a service we may consider classifying it to e</w:t>
      </w:r>
      <w:r>
        <w:t>stablish</w:t>
      </w:r>
      <w:r w:rsidRPr="00323DEF">
        <w:t xml:space="preserve"> a user pays approach to pricing. </w:t>
      </w:r>
    </w:p>
    <w:p w:rsidR="00770C24" w:rsidRDefault="00770C24" w:rsidP="00770C24">
      <w:r w:rsidRPr="00B07C6B">
        <w:t xml:space="preserve">The </w:t>
      </w:r>
      <w:r>
        <w:t xml:space="preserve">preliminary </w:t>
      </w:r>
      <w:r w:rsidRPr="00B07C6B">
        <w:t xml:space="preserve">positions set out in this </w:t>
      </w:r>
      <w:r>
        <w:t>attachment</w:t>
      </w:r>
      <w:r w:rsidRPr="00B07C6B">
        <w:t xml:space="preserve"> are not binding on us or the </w:t>
      </w:r>
      <w:r w:rsidR="00850953">
        <w:t xml:space="preserve">Victorian </w:t>
      </w:r>
      <w:r>
        <w:t>distributors. That is</w:t>
      </w:r>
      <w:r w:rsidRPr="00B07C6B">
        <w:t xml:space="preserve">, we will consider alternative proposals submitted </w:t>
      </w:r>
      <w:r>
        <w:t xml:space="preserve">in response to this preliminary F&amp;A </w:t>
      </w:r>
      <w:r w:rsidRPr="00B07C6B">
        <w:t xml:space="preserve">by a distributor or other interested party. Taking into account submissions received, we will publish our final classification decisions in a final </w:t>
      </w:r>
      <w:r>
        <w:t>F&amp;A</w:t>
      </w:r>
      <w:r w:rsidRPr="00B07C6B">
        <w:t xml:space="preserve">. Once </w:t>
      </w:r>
      <w:r>
        <w:t>we have published our framework and approach paper</w:t>
      </w:r>
      <w:r w:rsidRPr="00B07C6B">
        <w:t>, we may only change our classification de</w:t>
      </w:r>
      <w:r>
        <w:t xml:space="preserve">cisions in response to unforeseen </w:t>
      </w:r>
      <w:r w:rsidRPr="00B07C6B">
        <w:t>circumstances.</w:t>
      </w:r>
      <w:r>
        <w:rPr>
          <w:rStyle w:val="FootnoteReference"/>
        </w:rPr>
        <w:footnoteReference w:id="27"/>
      </w:r>
    </w:p>
    <w:p w:rsidR="00770C24" w:rsidRDefault="00770C24" w:rsidP="00770C24">
      <w:r>
        <w:t>The rules set out a three step</w:t>
      </w:r>
      <w:r w:rsidRPr="00B07C6B">
        <w:t xml:space="preserve"> classification process we must follow. We must consider a number of</w:t>
      </w:r>
      <w:r>
        <w:t xml:space="preserve"> specified factors at each step</w:t>
      </w:r>
      <w:r w:rsidRPr="00B07C6B">
        <w:t xml:space="preserve">. Figure 2 outlines the classification process under the </w:t>
      </w:r>
      <w:r>
        <w:t>r</w:t>
      </w:r>
      <w:r w:rsidRPr="00B07C6B">
        <w:t>ules.</w:t>
      </w:r>
    </w:p>
    <w:p w:rsidR="006002D2" w:rsidRPr="006002D2" w:rsidRDefault="006002D2" w:rsidP="006002D2">
      <w:pPr>
        <w:pStyle w:val="AERbodytext"/>
      </w:pPr>
      <w:r w:rsidRPr="006002D2">
        <w:t>As illustrated by figure 2:</w:t>
      </w:r>
    </w:p>
    <w:p w:rsidR="006002D2" w:rsidRPr="006002D2" w:rsidRDefault="006002D2" w:rsidP="006002D2">
      <w:pPr>
        <w:pStyle w:val="AERbulletlistfirststyle"/>
      </w:pPr>
      <w:r w:rsidRPr="006002D2">
        <w:t>We must first satisfy ourselves that a service is a 'distribution service' (step 1). The rules define a distribution service, as a service provided by means of, or in connection with, a distribution system.</w:t>
      </w:r>
      <w:r w:rsidRPr="006002D2">
        <w:rPr>
          <w:rStyle w:val="FootnoteReference"/>
        </w:rPr>
        <w:footnoteReference w:id="28"/>
      </w:r>
      <w:r w:rsidRPr="006002D2">
        <w:t xml:space="preserve"> A distribution system is a 'distribution network, together with the connection assets associated with the distribution network, which is connected to another transmission or distribution system'.</w:t>
      </w:r>
      <w:r w:rsidRPr="006002D2">
        <w:rPr>
          <w:rStyle w:val="FootnoteReference"/>
        </w:rPr>
        <w:footnoteReference w:id="29"/>
      </w:r>
      <w:r w:rsidRPr="006002D2">
        <w:t xml:space="preserve">  </w:t>
      </w:r>
    </w:p>
    <w:p w:rsidR="00770C24" w:rsidRDefault="00770C24" w:rsidP="00770C24"/>
    <w:p w:rsidR="00770C24" w:rsidRDefault="00770C24" w:rsidP="00770C24"/>
    <w:p w:rsidR="00770C24" w:rsidRPr="00770C24" w:rsidRDefault="00770C24" w:rsidP="00770C24">
      <w:pPr>
        <w:pStyle w:val="Caption"/>
        <w:rPr>
          <w:rStyle w:val="AERbody"/>
        </w:rPr>
      </w:pPr>
      <w:r w:rsidRPr="00770C24">
        <w:rPr>
          <w:rStyle w:val="AERbody"/>
        </w:rPr>
        <w:lastRenderedPageBreak/>
        <w:t>Figure 2: Distribution service classification process</w:t>
      </w:r>
    </w:p>
    <w:p w:rsidR="00770C24" w:rsidRPr="00323DEF" w:rsidRDefault="00770C24" w:rsidP="00770C24">
      <w:pPr>
        <w:numPr>
          <w:ilvl w:val="0"/>
          <w:numId w:val="13"/>
        </w:numPr>
      </w:pPr>
      <w:r w:rsidRPr="00770C24">
        <w:rPr>
          <w:noProof/>
          <w:lang w:eastAsia="en-AU"/>
        </w:rPr>
        <w:drawing>
          <wp:inline distT="0" distB="0" distL="0" distR="0" wp14:anchorId="63E33D2A" wp14:editId="1FAE6866">
            <wp:extent cx="5731510" cy="30414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041497"/>
                    </a:xfrm>
                    <a:prstGeom prst="rect">
                      <a:avLst/>
                    </a:prstGeom>
                  </pic:spPr>
                </pic:pic>
              </a:graphicData>
            </a:graphic>
          </wp:inline>
        </w:drawing>
      </w:r>
    </w:p>
    <w:p w:rsidR="00770C24" w:rsidRPr="00323DEF" w:rsidRDefault="00770C24" w:rsidP="00770C24">
      <w:pPr>
        <w:pStyle w:val="AERtablesource"/>
      </w:pPr>
      <w:r w:rsidRPr="00323DEF">
        <w:t>Source: NER, chapter 6, part B.</w:t>
      </w:r>
    </w:p>
    <w:p w:rsidR="00770C24" w:rsidRPr="002F24F5" w:rsidRDefault="00770C24" w:rsidP="00770C24">
      <w:pPr>
        <w:pStyle w:val="AERbulletlistfirststyle"/>
      </w:pPr>
      <w:r w:rsidRPr="002F24F5">
        <w:t xml:space="preserve">We then consider whether economic regulation of the service is </w:t>
      </w:r>
      <w:r w:rsidRPr="00323F72">
        <w:rPr>
          <w:rStyle w:val="AERbody"/>
        </w:rPr>
        <w:t>necessary</w:t>
      </w:r>
      <w:r w:rsidRPr="002F24F5">
        <w:t xml:space="preserve"> (step 2). When we do not think economic regulation is </w:t>
      </w:r>
      <w:r>
        <w:t xml:space="preserve">warranted </w:t>
      </w:r>
      <w:r w:rsidRPr="002F24F5">
        <w:t>we will not classify the service. If</w:t>
      </w:r>
      <w:r>
        <w:t xml:space="preserve"> economic regulation is necessary</w:t>
      </w:r>
      <w:r w:rsidRPr="002F24F5">
        <w:t xml:space="preserve">, we consider whether to classify the service as either a direct control or negotiated distribution service.  </w:t>
      </w:r>
    </w:p>
    <w:p w:rsidR="00770C24" w:rsidRPr="002F24F5" w:rsidRDefault="00770C24" w:rsidP="00770C24">
      <w:pPr>
        <w:pStyle w:val="AERbulletlistfirststyle"/>
      </w:pPr>
      <w:r w:rsidRPr="002F24F5">
        <w:t xml:space="preserve">When we think we should classify a service as direct control, we further classify it as either a standard control or alternative control service (step 3).  </w:t>
      </w:r>
    </w:p>
    <w:p w:rsidR="00770C24" w:rsidRDefault="00770C24" w:rsidP="00770C24">
      <w:pPr>
        <w:numPr>
          <w:ilvl w:val="0"/>
          <w:numId w:val="13"/>
        </w:numPr>
      </w:pPr>
      <w:r>
        <w:t>Our classification decisions determine how distributors will recover the cost of providing services. D</w:t>
      </w:r>
      <w:r w:rsidRPr="00323DEF">
        <w:t>istri</w:t>
      </w:r>
      <w:r>
        <w:t>butors recover standard control service costs by averaging them across</w:t>
      </w:r>
      <w:r w:rsidRPr="00323DEF">
        <w:t xml:space="preserve"> all </w:t>
      </w:r>
      <w:r>
        <w:t>customers</w:t>
      </w:r>
      <w:r w:rsidRPr="00323DEF">
        <w:t xml:space="preserve"> </w:t>
      </w:r>
      <w:r>
        <w:t xml:space="preserve">using the shared network. In contrast, distributors will charge a specific user benefiting from an alternative control </w:t>
      </w:r>
      <w:r w:rsidRPr="00323DEF">
        <w:t>service</w:t>
      </w:r>
      <w:r>
        <w:t>. Alternative control classification is akin to a 'user-pays' system.</w:t>
      </w:r>
      <w:r w:rsidRPr="00323DEF">
        <w:t xml:space="preserve"> </w:t>
      </w:r>
      <w:r>
        <w:t xml:space="preserve">The whole cost of the service is paid by those customers who benefit from the service. </w:t>
      </w:r>
    </w:p>
    <w:p w:rsidR="00770C24" w:rsidRDefault="00770C24" w:rsidP="00770C24">
      <w:pPr>
        <w:numPr>
          <w:ilvl w:val="0"/>
          <w:numId w:val="13"/>
        </w:numPr>
      </w:pPr>
      <w:r>
        <w:t>For services we classify as negotiated, distributors and customers will negotiate service</w:t>
      </w:r>
      <w:r w:rsidRPr="00323DEF">
        <w:t xml:space="preserve"> provision and price </w:t>
      </w:r>
      <w:r>
        <w:t>under a framework established by the rules. Our role is</w:t>
      </w:r>
      <w:r w:rsidRPr="00323DEF">
        <w:t xml:space="preserve"> to arbitrate </w:t>
      </w:r>
      <w:r>
        <w:t>disputes where distributors and prospective customers cannot agree.</w:t>
      </w:r>
      <w:r w:rsidRPr="00323DEF">
        <w:t xml:space="preserve"> </w:t>
      </w:r>
      <w:r>
        <w:t>Two instruments support the negotiation process:</w:t>
      </w:r>
    </w:p>
    <w:p w:rsidR="00770C24" w:rsidRDefault="00770C24" w:rsidP="00770C24">
      <w:pPr>
        <w:pStyle w:val="AERbulletlistfirststyle"/>
      </w:pPr>
      <w:r>
        <w:t>Negotiating distribution service criteria—sets out the criteria distributors are to apply in negotiating the price, and terms and conditions, under which they supply distribution services. We will also apply the negotiating distribution service criteria in resolving disputes.</w:t>
      </w:r>
    </w:p>
    <w:p w:rsidR="00770C24" w:rsidRDefault="00770C24" w:rsidP="00770C24">
      <w:pPr>
        <w:pStyle w:val="AERbulletlistfirststyle"/>
      </w:pPr>
      <w:r>
        <w:t>Negotiating framework—sets out the procedures a distributor and any person wishing to use a negotiated distribution service must follow in negotiating for provision of the service.</w:t>
      </w:r>
    </w:p>
    <w:p w:rsidR="00770C24" w:rsidRDefault="00770C24" w:rsidP="00770C24">
      <w:pPr>
        <w:numPr>
          <w:ilvl w:val="0"/>
          <w:numId w:val="13"/>
        </w:numPr>
      </w:pPr>
      <w:r>
        <w:t>For services we do not classify, we will have no role at all.</w:t>
      </w:r>
    </w:p>
    <w:p w:rsidR="00770C24" w:rsidRPr="00770C24" w:rsidRDefault="00770C24" w:rsidP="00770C24">
      <w:pPr>
        <w:pStyle w:val="Heading2"/>
      </w:pPr>
      <w:bookmarkStart w:id="8" w:name="_Toc351729992"/>
      <w:bookmarkStart w:id="9" w:name="_Toc374085328"/>
      <w:bookmarkStart w:id="10" w:name="_Toc387418344"/>
      <w:bookmarkStart w:id="11" w:name="_Toc388976498"/>
      <w:r w:rsidRPr="00770C24">
        <w:t>AER's pr</w:t>
      </w:r>
      <w:bookmarkEnd w:id="8"/>
      <w:r w:rsidRPr="00770C24">
        <w:t>eliminary position</w:t>
      </w:r>
      <w:bookmarkEnd w:id="9"/>
      <w:bookmarkEnd w:id="10"/>
      <w:bookmarkEnd w:id="11"/>
    </w:p>
    <w:p w:rsidR="00770C24" w:rsidRPr="002979C8" w:rsidRDefault="00770C24" w:rsidP="00770C24">
      <w:pPr>
        <w:pStyle w:val="AERbodytext"/>
      </w:pPr>
      <w:r>
        <w:t>Before considering how to classify services, we consider how to group them. This allows a more straightforward approach to classification, as o</w:t>
      </w:r>
      <w:r w:rsidRPr="00563DA2">
        <w:t xml:space="preserve">ur classification decisions for a group of services </w:t>
      </w:r>
      <w:r w:rsidRPr="00563DA2">
        <w:lastRenderedPageBreak/>
        <w:t>relates to each service within the group.</w:t>
      </w:r>
      <w:r>
        <w:t xml:space="preserve"> </w:t>
      </w:r>
      <w:r w:rsidRPr="002979C8">
        <w:t xml:space="preserve">Our preliminary position is to group distribution services provided by the </w:t>
      </w:r>
      <w:r w:rsidR="00850953">
        <w:t xml:space="preserve">Victorian </w:t>
      </w:r>
      <w:r w:rsidRPr="002979C8">
        <w:t>distributors as:</w:t>
      </w:r>
    </w:p>
    <w:p w:rsidR="00770C24" w:rsidRPr="002979C8" w:rsidRDefault="00770C24" w:rsidP="00770C24">
      <w:pPr>
        <w:pStyle w:val="AERbulletlistfirststyle"/>
      </w:pPr>
      <w:r w:rsidRPr="002979C8">
        <w:t>network services</w:t>
      </w:r>
    </w:p>
    <w:p w:rsidR="00770C24" w:rsidRPr="002979C8" w:rsidRDefault="00770C24" w:rsidP="00770C24">
      <w:pPr>
        <w:pStyle w:val="AERbulletlistfirststyle"/>
      </w:pPr>
      <w:r w:rsidRPr="002979C8">
        <w:t>connection services</w:t>
      </w:r>
    </w:p>
    <w:p w:rsidR="00770C24" w:rsidRPr="002979C8" w:rsidRDefault="00770C24" w:rsidP="00770C24">
      <w:pPr>
        <w:pStyle w:val="AERbulletlistfirststyle"/>
      </w:pPr>
      <w:r w:rsidRPr="002979C8">
        <w:t>metering services</w:t>
      </w:r>
    </w:p>
    <w:p w:rsidR="00770C24" w:rsidRPr="002979C8" w:rsidRDefault="00770C24" w:rsidP="00770C24">
      <w:pPr>
        <w:pStyle w:val="AERbulletlistfirststyle"/>
      </w:pPr>
      <w:r w:rsidRPr="002979C8">
        <w:t>ancillary network services</w:t>
      </w:r>
    </w:p>
    <w:p w:rsidR="00770C24" w:rsidRPr="002979C8" w:rsidRDefault="00770C24" w:rsidP="00770C24">
      <w:pPr>
        <w:pStyle w:val="AERbulletlistfirststyle"/>
      </w:pPr>
      <w:r w:rsidRPr="002979C8">
        <w:t>public lighting services.</w:t>
      </w:r>
    </w:p>
    <w:p w:rsidR="00770C24" w:rsidRPr="002979C8" w:rsidRDefault="00770C24" w:rsidP="00770C24">
      <w:pPr>
        <w:pStyle w:val="AERbodytext"/>
      </w:pPr>
      <w:r w:rsidRPr="002979C8">
        <w:t xml:space="preserve">We consider </w:t>
      </w:r>
      <w:r>
        <w:t xml:space="preserve">each service falling within </w:t>
      </w:r>
      <w:r w:rsidRPr="002979C8">
        <w:t xml:space="preserve">the above </w:t>
      </w:r>
      <w:r w:rsidR="00644B5D">
        <w:t xml:space="preserve">service groups </w:t>
      </w:r>
      <w:r>
        <w:t>is a</w:t>
      </w:r>
      <w:r w:rsidRPr="002979C8">
        <w:t xml:space="preserve"> distribution service.</w:t>
      </w:r>
      <w:r>
        <w:rPr>
          <w:rStyle w:val="FootnoteReference"/>
        </w:rPr>
        <w:footnoteReference w:id="30"/>
      </w:r>
      <w:r w:rsidRPr="002979C8">
        <w:t xml:space="preserve"> They </w:t>
      </w:r>
      <w:r>
        <w:t>are</w:t>
      </w:r>
      <w:r w:rsidRPr="002979C8">
        <w:t xml:space="preserve"> services </w:t>
      </w:r>
      <w:r>
        <w:t xml:space="preserve">provided </w:t>
      </w:r>
      <w:r w:rsidRPr="002979C8">
        <w:t>by means of, or in connection</w:t>
      </w:r>
      <w:r>
        <w:t xml:space="preserve"> with, a distribution service.</w:t>
      </w:r>
      <w:r>
        <w:rPr>
          <w:rStyle w:val="FootnoteReference"/>
        </w:rPr>
        <w:footnoteReference w:id="31"/>
      </w:r>
      <w:r>
        <w:t xml:space="preserve"> </w:t>
      </w:r>
    </w:p>
    <w:p w:rsidR="00770C24" w:rsidRPr="003959B6" w:rsidRDefault="00770C24" w:rsidP="00770C24">
      <w:pPr>
        <w:pStyle w:val="AERbodytext"/>
      </w:pPr>
      <w:r>
        <w:t>W</w:t>
      </w:r>
      <w:r w:rsidRPr="00323DEF">
        <w:t>e propose to classify distribution services consistently</w:t>
      </w:r>
      <w:r w:rsidR="00F75E67">
        <w:t xml:space="preserve"> across all the </w:t>
      </w:r>
      <w:r w:rsidR="00850953">
        <w:t xml:space="preserve">Victorian </w:t>
      </w:r>
      <w:r w:rsidR="00F75E67">
        <w:t>distributors</w:t>
      </w:r>
      <w:r w:rsidRPr="00323DEF">
        <w:t xml:space="preserve">. </w:t>
      </w:r>
      <w:r>
        <w:t>D</w:t>
      </w:r>
      <w:r w:rsidRPr="00323DEF">
        <w:t xml:space="preserve">istribution services </w:t>
      </w:r>
      <w:r>
        <w:t xml:space="preserve">provided by </w:t>
      </w:r>
      <w:r w:rsidR="00F75E67">
        <w:t>all</w:t>
      </w:r>
      <w:r>
        <w:t xml:space="preserve"> distributors </w:t>
      </w:r>
      <w:r w:rsidRPr="00323DEF">
        <w:t xml:space="preserve">will have the same classification. Figure 3 summarises our </w:t>
      </w:r>
      <w:r>
        <w:t>preliminary</w:t>
      </w:r>
      <w:r w:rsidRPr="00323DEF">
        <w:t xml:space="preserve"> classification of the </w:t>
      </w:r>
      <w:r w:rsidR="00850953">
        <w:t xml:space="preserve">Victorian </w:t>
      </w:r>
      <w:r w:rsidRPr="00323DEF">
        <w:t>distri</w:t>
      </w:r>
      <w:r>
        <w:t xml:space="preserve">butors' distribution services. </w:t>
      </w:r>
      <w:r w:rsidRPr="003959B6">
        <w:t>This section summarises our preliminary positions on the classification of each service group.</w:t>
      </w:r>
    </w:p>
    <w:p w:rsidR="00770C24" w:rsidRDefault="00770C24" w:rsidP="00770C24">
      <w:pPr>
        <w:pStyle w:val="Caption"/>
        <w:rPr>
          <w:rStyle w:val="AERbody"/>
        </w:rPr>
      </w:pPr>
      <w:r w:rsidRPr="00770C24">
        <w:rPr>
          <w:rStyle w:val="AERbody"/>
        </w:rPr>
        <w:t xml:space="preserve">Figure 3: AER's preliminary classification of </w:t>
      </w:r>
      <w:r w:rsidR="004814F2">
        <w:rPr>
          <w:rStyle w:val="AERbody"/>
        </w:rPr>
        <w:t xml:space="preserve">Victorian </w:t>
      </w:r>
      <w:r w:rsidRPr="00770C24">
        <w:rPr>
          <w:rStyle w:val="AERbody"/>
        </w:rPr>
        <w:t xml:space="preserve">distribution services </w:t>
      </w:r>
    </w:p>
    <w:p w:rsidR="000D0FAA" w:rsidRDefault="000D0FAA" w:rsidP="002A39D0">
      <w:pPr>
        <w:pStyle w:val="AERbodytext"/>
        <w:rPr>
          <w:rStyle w:val="AERbody"/>
        </w:rPr>
      </w:pPr>
      <w:r w:rsidRPr="000D0FAA">
        <w:rPr>
          <w:noProof/>
          <w:lang w:eastAsia="en-AU"/>
        </w:rPr>
        <w:drawing>
          <wp:inline distT="0" distB="0" distL="0" distR="0" wp14:anchorId="626610EA" wp14:editId="00A3D9F2">
            <wp:extent cx="5495453" cy="3920151"/>
            <wp:effectExtent l="57150" t="0" r="86360" b="806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D0FAA" w:rsidRDefault="000D0FAA" w:rsidP="000D0FAA">
      <w:pPr>
        <w:pStyle w:val="AERtablesource"/>
        <w:rPr>
          <w:rStyle w:val="AERbody"/>
        </w:rPr>
      </w:pPr>
      <w:r w:rsidRPr="00323DEF">
        <w:t>Source: AER</w:t>
      </w:r>
    </w:p>
    <w:p w:rsidR="006002D2" w:rsidRPr="006002D2" w:rsidRDefault="006002D2" w:rsidP="006002D2">
      <w:pPr>
        <w:numPr>
          <w:ilvl w:val="0"/>
          <w:numId w:val="13"/>
        </w:numPr>
      </w:pPr>
      <w:r w:rsidRPr="006002D2">
        <w:lastRenderedPageBreak/>
        <w:t xml:space="preserve">Most distribution services fall within the network services group. Network services are at the core of what an electricity distributor does, including constructing and maintaining those parts of the electricity network that everyone uses—that is, the shared distribution network. The relatively high fixed costs of providing network services mean that it would be inefficient to have more than one network in the same geographic location. Competition in the provision of network services would not be in the interests of customers because electricity prices would have to be higher, reflecting the higher costs of having to build and maintain more than one distribution network. As competition is absent, we apply the most prescriptive form of regulation to network services—direct control.  </w:t>
      </w:r>
    </w:p>
    <w:p w:rsidR="006002D2" w:rsidRPr="006002D2" w:rsidRDefault="006002D2" w:rsidP="006002D2">
      <w:pPr>
        <w:pStyle w:val="AERbodytext"/>
      </w:pPr>
      <w:r w:rsidRPr="006002D2">
        <w:t xml:space="preserve">A distributor's broad customer base uses network services through a shared network, provided by distributors under monopolistic conditions. Therefore, we classify network services as standard control services so distributors recover the cost of providing network services from across their broad customer base. The lack of effective competition in the provision of network services gives further weight to classifying network services as standard control services. </w:t>
      </w:r>
    </w:p>
    <w:p w:rsidR="006002D2" w:rsidRPr="006002D2" w:rsidRDefault="006002D2" w:rsidP="006002D2">
      <w:pPr>
        <w:pStyle w:val="AERbodytext"/>
        <w:rPr>
          <w:rStyle w:val="AERbody"/>
        </w:rPr>
      </w:pPr>
      <w:r w:rsidRPr="006002D2">
        <w:rPr>
          <w:rStyle w:val="AERbody"/>
        </w:rPr>
        <w:t xml:space="preserve">Connection services relate to connecting new customers to the shared network. In Victoria, we currently classify new connections requiring augmentation as standard control services and routine connections as alternative control services. We propose to retain this approach. However, we may need to re-consider this classification if the Victorian Government were to adopt the National Energy Customer Framework (NECF) or to take steps to adopt the application of Chapter 5A of the National Electricity Rules in the next regulatory control period. </w:t>
      </w:r>
    </w:p>
    <w:p w:rsidR="006002D2" w:rsidRPr="006002D2" w:rsidRDefault="006002D2" w:rsidP="006002D2">
      <w:pPr>
        <w:pStyle w:val="AERbodytext"/>
        <w:rPr>
          <w:rStyle w:val="AERbody"/>
        </w:rPr>
      </w:pPr>
      <w:r w:rsidRPr="006002D2">
        <w:rPr>
          <w:rStyle w:val="AERbody"/>
        </w:rPr>
        <w:t xml:space="preserve">Ancillary network services and some metering services are provided on an 'as needs' basis, requested by specific customers. Therefore, we set charges to allow distributors to recover the full cost of such services from customers using them. Our preliminary approach is to classify these services as alternative control. </w:t>
      </w:r>
    </w:p>
    <w:p w:rsidR="008F6D31" w:rsidRPr="000C3173" w:rsidRDefault="008F6D31" w:rsidP="00770C24">
      <w:pPr>
        <w:pStyle w:val="AERbodytext"/>
        <w:rPr>
          <w:rStyle w:val="AERbody"/>
        </w:rPr>
      </w:pPr>
      <w:r w:rsidRPr="000C3173">
        <w:rPr>
          <w:rStyle w:val="AERbody"/>
        </w:rPr>
        <w:t xml:space="preserve">In Victoria the roll-out of Advanced Metering Infrastructure (AMI) has been conducted </w:t>
      </w:r>
      <w:r w:rsidR="000C3173">
        <w:rPr>
          <w:rStyle w:val="AERbody"/>
        </w:rPr>
        <w:t xml:space="preserve">by the distributors </w:t>
      </w:r>
      <w:r w:rsidRPr="000C3173">
        <w:rPr>
          <w:rStyle w:val="AERbody"/>
        </w:rPr>
        <w:t>under the provisions of their Distribution Licence</w:t>
      </w:r>
      <w:r w:rsidR="000C3173">
        <w:rPr>
          <w:rStyle w:val="AERbody"/>
        </w:rPr>
        <w:t>s</w:t>
      </w:r>
      <w:r w:rsidRPr="000C3173">
        <w:rPr>
          <w:rStyle w:val="AERbody"/>
        </w:rPr>
        <w:t xml:space="preserve"> and regulatory requirements imposed by the Victorian Government. These arrangements are scheduled to expire at the end of 2015, subject to 'true-up' provisions which will have effect in the next regulatory period. Our preliminary position is, subject to giving effect to the true-up provisions</w:t>
      </w:r>
      <w:r w:rsidR="00720654" w:rsidRPr="000C3173">
        <w:rPr>
          <w:rStyle w:val="AERbody"/>
        </w:rPr>
        <w:t xml:space="preserve"> and consistent with clause 11.17.6(</w:t>
      </w:r>
      <w:r w:rsidR="000C3173">
        <w:rPr>
          <w:rStyle w:val="AERbody"/>
        </w:rPr>
        <w:t>b</w:t>
      </w:r>
      <w:r w:rsidR="00720654" w:rsidRPr="000C3173">
        <w:rPr>
          <w:rStyle w:val="AERbody"/>
        </w:rPr>
        <w:t>) of the NER</w:t>
      </w:r>
      <w:r w:rsidRPr="000C3173">
        <w:rPr>
          <w:rStyle w:val="AERbody"/>
        </w:rPr>
        <w:t>, to classify metering services currently regulated under the Victorian AMI Order in Council as alternative control services.</w:t>
      </w:r>
      <w:r w:rsidR="00AE5619">
        <w:rPr>
          <w:rStyle w:val="FootnoteReference"/>
        </w:rPr>
        <w:footnoteReference w:id="32"/>
      </w:r>
      <w:r w:rsidRPr="000C3173">
        <w:rPr>
          <w:rStyle w:val="AERbody"/>
        </w:rPr>
        <w:t xml:space="preserve"> </w:t>
      </w:r>
    </w:p>
    <w:p w:rsidR="00770C24" w:rsidRPr="00323DEF" w:rsidRDefault="00770C24" w:rsidP="00770C24">
      <w:pPr>
        <w:pStyle w:val="AERbodytext"/>
      </w:pPr>
      <w:r>
        <w:t xml:space="preserve">Public lighting </w:t>
      </w:r>
      <w:r w:rsidR="001E76B5">
        <w:t xml:space="preserve">maintenance and like-for-like replacement </w:t>
      </w:r>
      <w:r>
        <w:t xml:space="preserve">is currently an alternative control service in </w:t>
      </w:r>
      <w:r w:rsidR="005B10EA">
        <w:t>Vic</w:t>
      </w:r>
      <w:r w:rsidR="008F6D31">
        <w:t>toria</w:t>
      </w:r>
      <w:r>
        <w:t xml:space="preserve">. </w:t>
      </w:r>
      <w:r w:rsidR="001E76B5">
        <w:t xml:space="preserve">Installation of new public lighting technologies is currently a negotiated service. </w:t>
      </w:r>
      <w:r>
        <w:t>Our preli</w:t>
      </w:r>
      <w:r w:rsidR="001E76B5">
        <w:t>minary position is to retain the</w:t>
      </w:r>
      <w:r>
        <w:t>s</w:t>
      </w:r>
      <w:r w:rsidR="001E76B5">
        <w:t>e</w:t>
      </w:r>
      <w:r>
        <w:t xml:space="preserve"> classification</w:t>
      </w:r>
      <w:r w:rsidR="001E76B5">
        <w:t>s</w:t>
      </w:r>
      <w:r>
        <w:t xml:space="preserve"> because public lighting services are provided to specific customers—usually local government councils. </w:t>
      </w:r>
    </w:p>
    <w:p w:rsidR="00770C24" w:rsidRPr="00323DEF" w:rsidRDefault="00770C24" w:rsidP="00C50805">
      <w:pPr>
        <w:pStyle w:val="AERbodytext"/>
      </w:pPr>
      <w:r>
        <w:t xml:space="preserve">A negotiated distribution service is a classification that reflects </w:t>
      </w:r>
      <w:r w:rsidRPr="00323DEF">
        <w:t xml:space="preserve">a light handed approach to regulation. </w:t>
      </w:r>
      <w:r>
        <w:t>Service providers and prospective users n</w:t>
      </w:r>
      <w:r w:rsidRPr="00323DEF">
        <w:t>egotiate</w:t>
      </w:r>
      <w:r>
        <w:t xml:space="preserve"> services and</w:t>
      </w:r>
      <w:r w:rsidRPr="00323DEF">
        <w:t xml:space="preserve"> prices according to a framework set out in the </w:t>
      </w:r>
      <w:r>
        <w:t>rules</w:t>
      </w:r>
      <w:r w:rsidRPr="00323DEF">
        <w:t xml:space="preserve">. </w:t>
      </w:r>
      <w:r>
        <w:t>We are</w:t>
      </w:r>
      <w:r w:rsidRPr="00323DEF">
        <w:t xml:space="preserve"> available to arbitrate if </w:t>
      </w:r>
      <w:r>
        <w:t>necessary</w:t>
      </w:r>
      <w:r w:rsidRPr="00323DEF">
        <w:t>. This classification relies on both parties possessing sufficient market power</w:t>
      </w:r>
      <w:r>
        <w:t xml:space="preserve"> to effectively negotiate</w:t>
      </w:r>
      <w:r w:rsidRPr="00C50805">
        <w:t xml:space="preserve">. </w:t>
      </w:r>
      <w:r w:rsidRPr="00C50805">
        <w:rPr>
          <w:rStyle w:val="AERtexthighlight"/>
          <w:shd w:val="clear" w:color="auto" w:fill="auto"/>
        </w:rPr>
        <w:t xml:space="preserve">At this time, we propose not to classify any </w:t>
      </w:r>
      <w:r w:rsidR="00850953">
        <w:rPr>
          <w:rStyle w:val="AERtexthighlight"/>
          <w:shd w:val="clear" w:color="auto" w:fill="auto"/>
        </w:rPr>
        <w:t xml:space="preserve">Victorian </w:t>
      </w:r>
      <w:r w:rsidRPr="00C50805">
        <w:rPr>
          <w:rStyle w:val="AERtexthighlight"/>
          <w:shd w:val="clear" w:color="auto" w:fill="auto"/>
        </w:rPr>
        <w:t>distribution services as negotiated services. However, we are interested in stakeholder views on the possibility of classifying public lighting</w:t>
      </w:r>
      <w:r w:rsidR="00C50805" w:rsidRPr="00C50805">
        <w:rPr>
          <w:rStyle w:val="AERtexthighlight"/>
          <w:shd w:val="clear" w:color="auto" w:fill="auto"/>
        </w:rPr>
        <w:t xml:space="preserve"> </w:t>
      </w:r>
      <w:r w:rsidRPr="00C50805">
        <w:rPr>
          <w:rStyle w:val="AERtexthighlight"/>
          <w:shd w:val="clear" w:color="auto" w:fill="auto"/>
        </w:rPr>
        <w:t xml:space="preserve">and </w:t>
      </w:r>
      <w:r w:rsidR="00C50805" w:rsidRPr="00C50805">
        <w:rPr>
          <w:rStyle w:val="AERtexthighlight"/>
          <w:shd w:val="clear" w:color="auto" w:fill="auto"/>
        </w:rPr>
        <w:t>new</w:t>
      </w:r>
      <w:r w:rsidRPr="00C50805">
        <w:rPr>
          <w:rStyle w:val="AERtexthighlight"/>
          <w:shd w:val="clear" w:color="auto" w:fill="auto"/>
        </w:rPr>
        <w:t xml:space="preserve"> connections </w:t>
      </w:r>
      <w:r w:rsidR="00C50805" w:rsidRPr="00C50805">
        <w:rPr>
          <w:rStyle w:val="AERtexthighlight"/>
          <w:shd w:val="clear" w:color="auto" w:fill="auto"/>
        </w:rPr>
        <w:t xml:space="preserve">requiring augmentation </w:t>
      </w:r>
      <w:r w:rsidRPr="00C50805">
        <w:rPr>
          <w:rStyle w:val="AERtexthighlight"/>
          <w:shd w:val="clear" w:color="auto" w:fill="auto"/>
        </w:rPr>
        <w:t>as negotiated services, either now or in the future</w:t>
      </w:r>
      <w:r w:rsidRPr="00C50805">
        <w:t>.</w:t>
      </w:r>
    </w:p>
    <w:p w:rsidR="00770C24" w:rsidRPr="00323DEF" w:rsidRDefault="00770C24" w:rsidP="00770C24">
      <w:pPr>
        <w:numPr>
          <w:ilvl w:val="0"/>
          <w:numId w:val="13"/>
        </w:numPr>
      </w:pPr>
      <w:r>
        <w:lastRenderedPageBreak/>
        <w:t>Finally, some distribution services are</w:t>
      </w:r>
      <w:r w:rsidR="002A39D0">
        <w:t xml:space="preserve"> not classified</w:t>
      </w:r>
      <w:r>
        <w:t xml:space="preserve">. We propose to not classify 'emergency recoverable works', </w:t>
      </w:r>
      <w:r w:rsidR="002A39D0">
        <w:t>the provision of possum guards, and the provision of watchmen lights.</w:t>
      </w:r>
      <w:r>
        <w:t xml:space="preserve"> Emergency recoverable works relate to the repair of the network after an identifiable third party has caused damage. This third party is liable at common law for the costs of repair. We consider that by not classifying this service we will establish the right incentives for distributors to recover costs from responsible parties.</w:t>
      </w:r>
    </w:p>
    <w:p w:rsidR="00770C24" w:rsidRPr="00770C24" w:rsidRDefault="00770C24" w:rsidP="0073432D">
      <w:pPr>
        <w:pStyle w:val="Heading2"/>
      </w:pPr>
      <w:bookmarkStart w:id="12" w:name="_Toc351729993"/>
      <w:bookmarkStart w:id="13" w:name="_Toc374085329"/>
      <w:bookmarkStart w:id="14" w:name="_Toc387418345"/>
      <w:bookmarkStart w:id="15" w:name="_Toc388976499"/>
      <w:r w:rsidRPr="00770C24">
        <w:t>AER's assessment approach</w:t>
      </w:r>
      <w:bookmarkEnd w:id="12"/>
      <w:bookmarkEnd w:id="13"/>
      <w:bookmarkEnd w:id="14"/>
      <w:bookmarkEnd w:id="15"/>
    </w:p>
    <w:p w:rsidR="00770C24" w:rsidRPr="00107D6F" w:rsidRDefault="00770C24" w:rsidP="00770C24">
      <w:pPr>
        <w:pStyle w:val="AERbodytext"/>
      </w:pPr>
      <w:r>
        <w:t xml:space="preserve">The rules </w:t>
      </w:r>
      <w:r w:rsidRPr="00107D6F">
        <w:t>allow us to group distribution services when classifying them. This means we may classify a class of services rather than specific services. This provides distributors with flexibility to alter the exact specification (but not the nature) of a service during a regulatory control period. Where we make a single classification for a group of services, it applies to each service in the group.</w:t>
      </w:r>
    </w:p>
    <w:p w:rsidR="00770C24" w:rsidRDefault="00770C24" w:rsidP="00770C24">
      <w:pPr>
        <w:pStyle w:val="AERbodytext"/>
      </w:pPr>
      <w:r>
        <w:t>When deciding whether to classify services as either direct control or negotiated services, or to not classify them, the rules require us to have regard to the 'form of regulation factors' set out in the NEL.</w:t>
      </w:r>
      <w:r>
        <w:rPr>
          <w:rStyle w:val="FootnoteReference"/>
        </w:rPr>
        <w:footnoteReference w:id="33"/>
      </w:r>
      <w:r>
        <w:t xml:space="preserve"> We have reproduced these at </w:t>
      </w:r>
      <w:r w:rsidRPr="00163811">
        <w:rPr>
          <w:rStyle w:val="AERbody"/>
        </w:rPr>
        <w:t>appendix A. They</w:t>
      </w:r>
      <w:r>
        <w:t xml:space="preserve"> include the presence or extent of barriers to entry by alternative providers and whether distributors possess market power in provision of the services. The rules also require us to consider the previous form of regulation applied to services and the desirability of consistency with the previous approach.</w:t>
      </w:r>
      <w:r>
        <w:rPr>
          <w:rStyle w:val="FootnoteReference"/>
        </w:rPr>
        <w:footnoteReference w:id="34"/>
      </w:r>
      <w:r>
        <w:t xml:space="preserve"> </w:t>
      </w:r>
    </w:p>
    <w:p w:rsidR="00770C24" w:rsidRDefault="00770C24" w:rsidP="00770C24">
      <w:pPr>
        <w:pStyle w:val="AERbodytext"/>
      </w:pPr>
      <w:r>
        <w:t>For services we intend to classify as direct control services, the rules require us to have regard to a further range of factors.</w:t>
      </w:r>
      <w:r>
        <w:rPr>
          <w:rStyle w:val="FootnoteReference"/>
        </w:rPr>
        <w:footnoteReference w:id="35"/>
      </w:r>
      <w:r>
        <w:t xml:space="preserve"> These include the potential to develop competition in provision of a service and how our classification may influence that potential. Also, whether the costs of providing the service are attributable to a specific person. And, the possible effect of the classification on administrative costs.</w:t>
      </w:r>
    </w:p>
    <w:p w:rsidR="00770C24" w:rsidRPr="00323DEF" w:rsidRDefault="00770C24" w:rsidP="00770C24">
      <w:pPr>
        <w:numPr>
          <w:ilvl w:val="0"/>
          <w:numId w:val="13"/>
        </w:numPr>
      </w:pPr>
      <w:r w:rsidRPr="00323DEF">
        <w:t xml:space="preserve">The </w:t>
      </w:r>
      <w:r>
        <w:t>r</w:t>
      </w:r>
      <w:r w:rsidRPr="00323DEF">
        <w:t xml:space="preserve">ules also specify that for </w:t>
      </w:r>
      <w:r>
        <w:t>a service</w:t>
      </w:r>
      <w:r w:rsidRPr="00323DEF">
        <w:t xml:space="preserve"> regulated previously, unless a different classification is clearly more appropriate</w:t>
      </w:r>
      <w:r>
        <w:t>, we must</w:t>
      </w:r>
      <w:r w:rsidRPr="00323DEF">
        <w:t>:</w:t>
      </w:r>
      <w:r>
        <w:rPr>
          <w:rStyle w:val="FootnoteReference"/>
        </w:rPr>
        <w:footnoteReference w:id="36"/>
      </w:r>
    </w:p>
    <w:p w:rsidR="00770C24" w:rsidRPr="00323DEF" w:rsidRDefault="00770C24" w:rsidP="00770C24">
      <w:pPr>
        <w:pStyle w:val="AERbulletlistfirststyle"/>
      </w:pPr>
      <w:r>
        <w:t>not</w:t>
      </w:r>
      <w:r w:rsidRPr="00323DEF">
        <w:t xml:space="preserve"> depart from a previous</w:t>
      </w:r>
      <w:r>
        <w:t xml:space="preserve"> classification (if the services have been previously classified), and</w:t>
      </w:r>
    </w:p>
    <w:p w:rsidR="00770C24" w:rsidRPr="00323DEF" w:rsidRDefault="00770C24" w:rsidP="00770C24">
      <w:pPr>
        <w:pStyle w:val="AERbulletlistfirststyle"/>
      </w:pPr>
      <w:r w:rsidRPr="00323DEF">
        <w:t>if there has b</w:t>
      </w:r>
      <w:r>
        <w:t>een no previous classification—the classification should be consistent with the previously applicable regulatory approach</w:t>
      </w:r>
      <w:r w:rsidRPr="00323DEF">
        <w:t>.</w:t>
      </w:r>
      <w:r w:rsidRPr="00F233C3">
        <w:rPr>
          <w:rStyle w:val="AERsuperscript"/>
        </w:rPr>
        <w:footnoteReference w:id="37"/>
      </w:r>
    </w:p>
    <w:p w:rsidR="00770C24" w:rsidRPr="00770C24" w:rsidRDefault="00770C24" w:rsidP="009E2BB1">
      <w:pPr>
        <w:pStyle w:val="Heading2"/>
      </w:pPr>
      <w:bookmarkStart w:id="16" w:name="_Toc351729994"/>
      <w:bookmarkStart w:id="17" w:name="_Toc374085330"/>
      <w:bookmarkStart w:id="18" w:name="_Toc387418346"/>
      <w:bookmarkStart w:id="19" w:name="_Toc388976500"/>
      <w:bookmarkStart w:id="20" w:name="_Toc328151181"/>
      <w:r w:rsidRPr="00770C24">
        <w:t xml:space="preserve">Reasons for AER's </w:t>
      </w:r>
      <w:bookmarkEnd w:id="16"/>
      <w:r w:rsidRPr="00770C24">
        <w:t>preliminary position</w:t>
      </w:r>
      <w:bookmarkEnd w:id="17"/>
      <w:bookmarkEnd w:id="18"/>
      <w:bookmarkEnd w:id="19"/>
      <w:r w:rsidRPr="00770C24">
        <w:t xml:space="preserve"> </w:t>
      </w:r>
    </w:p>
    <w:p w:rsidR="00770C24" w:rsidRDefault="00770C24" w:rsidP="00770C24">
      <w:pPr>
        <w:numPr>
          <w:ilvl w:val="0"/>
          <w:numId w:val="13"/>
        </w:numPr>
        <w:rPr>
          <w:rStyle w:val="AERbody"/>
        </w:rPr>
      </w:pPr>
      <w:r>
        <w:rPr>
          <w:rStyle w:val="AERbody"/>
        </w:rPr>
        <w:t>This section sets out our preliminary position and reasons for the classifications we propose. I</w:t>
      </w:r>
      <w:r w:rsidR="00644B5D">
        <w:rPr>
          <w:rStyle w:val="AERbody"/>
        </w:rPr>
        <w:t>n turn, this section deals with</w:t>
      </w:r>
      <w:r>
        <w:rPr>
          <w:rStyle w:val="AERbody"/>
        </w:rPr>
        <w:t>:</w:t>
      </w:r>
    </w:p>
    <w:p w:rsidR="00770C24" w:rsidRDefault="00770C24" w:rsidP="00770C24">
      <w:pPr>
        <w:pStyle w:val="AERbulletlistfirststyle"/>
        <w:rPr>
          <w:rStyle w:val="AERbody"/>
        </w:rPr>
      </w:pPr>
      <w:r>
        <w:rPr>
          <w:rStyle w:val="AERbody"/>
        </w:rPr>
        <w:t>network services</w:t>
      </w:r>
      <w:r w:rsidR="00DB625D">
        <w:rPr>
          <w:rStyle w:val="AERbody"/>
        </w:rPr>
        <w:t xml:space="preserve"> </w:t>
      </w:r>
      <w:r w:rsidR="00A978E3">
        <w:rPr>
          <w:rStyle w:val="AERbody"/>
        </w:rPr>
        <w:t xml:space="preserve">(including </w:t>
      </w:r>
      <w:r w:rsidR="00A978E3" w:rsidRPr="00A978E3">
        <w:rPr>
          <w:rStyle w:val="AERbody"/>
        </w:rPr>
        <w:t>emergency recoverable work</w:t>
      </w:r>
      <w:r w:rsidR="00A978E3">
        <w:rPr>
          <w:rStyle w:val="AERbody"/>
        </w:rPr>
        <w:t>s service)</w:t>
      </w:r>
    </w:p>
    <w:p w:rsidR="00770C24" w:rsidRDefault="00770C24" w:rsidP="00770C24">
      <w:pPr>
        <w:pStyle w:val="AERbulletlistfirststyle"/>
        <w:rPr>
          <w:rStyle w:val="AERbody"/>
        </w:rPr>
      </w:pPr>
      <w:r>
        <w:rPr>
          <w:rStyle w:val="AERbody"/>
        </w:rPr>
        <w:t>connection services</w:t>
      </w:r>
    </w:p>
    <w:p w:rsidR="00770C24" w:rsidRDefault="00770C24" w:rsidP="00770C24">
      <w:pPr>
        <w:pStyle w:val="AERbulletlistfirststyle"/>
        <w:rPr>
          <w:rStyle w:val="AERbody"/>
        </w:rPr>
      </w:pPr>
      <w:r>
        <w:rPr>
          <w:rStyle w:val="AERbody"/>
        </w:rPr>
        <w:t>metering services</w:t>
      </w:r>
    </w:p>
    <w:p w:rsidR="00770C24" w:rsidRDefault="00770C24" w:rsidP="00770C24">
      <w:pPr>
        <w:pStyle w:val="AERbulletlistfirststyle"/>
        <w:rPr>
          <w:rStyle w:val="AERbody"/>
        </w:rPr>
      </w:pPr>
      <w:r>
        <w:rPr>
          <w:rStyle w:val="AERbody"/>
        </w:rPr>
        <w:t>ancillary network services</w:t>
      </w:r>
    </w:p>
    <w:p w:rsidR="00770C24" w:rsidRPr="00C30483" w:rsidRDefault="00770C24" w:rsidP="00770C24">
      <w:pPr>
        <w:pStyle w:val="AERbulletlistfirststyle"/>
        <w:rPr>
          <w:rStyle w:val="AERbody"/>
        </w:rPr>
      </w:pPr>
      <w:r>
        <w:rPr>
          <w:rStyle w:val="AERbody"/>
        </w:rPr>
        <w:lastRenderedPageBreak/>
        <w:t>public lighting.</w:t>
      </w:r>
    </w:p>
    <w:p w:rsidR="00770C24" w:rsidRPr="00770C24" w:rsidRDefault="00770C24" w:rsidP="00770C24">
      <w:pPr>
        <w:pStyle w:val="Heading3"/>
      </w:pPr>
      <w:bookmarkStart w:id="21" w:name="_Toc350358134"/>
      <w:bookmarkStart w:id="22" w:name="_Toc350446225"/>
      <w:bookmarkStart w:id="23" w:name="_Toc351729995"/>
      <w:bookmarkStart w:id="24" w:name="_Toc374085331"/>
      <w:bookmarkStart w:id="25" w:name="_Toc387418347"/>
      <w:bookmarkStart w:id="26" w:name="_Toc388976501"/>
      <w:r w:rsidRPr="00770C24">
        <w:t>Network services</w:t>
      </w:r>
      <w:bookmarkEnd w:id="20"/>
      <w:bookmarkEnd w:id="21"/>
      <w:bookmarkEnd w:id="22"/>
      <w:bookmarkEnd w:id="23"/>
      <w:bookmarkEnd w:id="24"/>
      <w:bookmarkEnd w:id="25"/>
      <w:bookmarkEnd w:id="26"/>
      <w:r w:rsidRPr="00770C24">
        <w:t xml:space="preserve"> </w:t>
      </w:r>
    </w:p>
    <w:p w:rsidR="00770C24" w:rsidRPr="0069046F" w:rsidRDefault="00770C24" w:rsidP="00770C24">
      <w:pPr>
        <w:rPr>
          <w:rStyle w:val="AERbody"/>
        </w:rPr>
      </w:pPr>
      <w:r>
        <w:rPr>
          <w:rStyle w:val="AERbody"/>
        </w:rPr>
        <w:t>Distributors provide n</w:t>
      </w:r>
      <w:r w:rsidRPr="0069046F">
        <w:rPr>
          <w:rStyle w:val="AERbody"/>
        </w:rPr>
        <w:t xml:space="preserve">etwork services </w:t>
      </w:r>
      <w:r>
        <w:rPr>
          <w:rStyle w:val="AERbody"/>
        </w:rPr>
        <w:t>over a</w:t>
      </w:r>
      <w:r w:rsidRPr="0069046F">
        <w:rPr>
          <w:rStyle w:val="AERbody"/>
        </w:rPr>
        <w:t xml:space="preserve"> shared distribution network to all </w:t>
      </w:r>
      <w:r>
        <w:rPr>
          <w:rStyle w:val="AERbody"/>
        </w:rPr>
        <w:t>customer</w:t>
      </w:r>
      <w:r w:rsidRPr="0069046F">
        <w:rPr>
          <w:rStyle w:val="AERbody"/>
        </w:rPr>
        <w:t xml:space="preserve">s connected to it. </w:t>
      </w:r>
      <w:r>
        <w:rPr>
          <w:rStyle w:val="AERbody"/>
        </w:rPr>
        <w:t>Network services</w:t>
      </w:r>
      <w:r w:rsidRPr="0069046F">
        <w:rPr>
          <w:rStyle w:val="AERbody"/>
        </w:rPr>
        <w:t xml:space="preserve"> are</w:t>
      </w:r>
      <w:r>
        <w:rPr>
          <w:rStyle w:val="AERbody"/>
        </w:rPr>
        <w:t xml:space="preserve"> associated with safe and reliable electricity supply</w:t>
      </w:r>
      <w:r w:rsidRPr="0069046F">
        <w:rPr>
          <w:rStyle w:val="AERbody"/>
        </w:rPr>
        <w:t>.</w:t>
      </w:r>
      <w:r w:rsidRPr="00663C1A">
        <w:rPr>
          <w:rStyle w:val="AERsuperscript"/>
        </w:rPr>
        <w:footnoteReference w:id="38"/>
      </w:r>
      <w:r w:rsidRPr="00663C1A">
        <w:rPr>
          <w:rStyle w:val="AERsuperscript"/>
        </w:rPr>
        <w:t xml:space="preserve"> </w:t>
      </w:r>
      <w:r>
        <w:rPr>
          <w:rStyle w:val="AERbody"/>
        </w:rPr>
        <w:t>Customer</w:t>
      </w:r>
      <w:r w:rsidRPr="0069046F">
        <w:rPr>
          <w:rStyle w:val="AERbody"/>
        </w:rPr>
        <w:t>s use or rely on network serv</w:t>
      </w:r>
      <w:r>
        <w:rPr>
          <w:rStyle w:val="AERbody"/>
        </w:rPr>
        <w:t xml:space="preserve">ices on a daily basis. Examples include the construction and maintenance of the shared network. </w:t>
      </w:r>
    </w:p>
    <w:p w:rsidR="00770C24" w:rsidRPr="0058743E" w:rsidRDefault="00770C24" w:rsidP="00770C24">
      <w:pPr>
        <w:pStyle w:val="AERbodytext"/>
        <w:rPr>
          <w:rStyle w:val="AERbody"/>
        </w:rPr>
      </w:pPr>
      <w:r>
        <w:rPr>
          <w:rStyle w:val="AERbody"/>
        </w:rPr>
        <w:t>Our preliminary position is to</w:t>
      </w:r>
      <w:r w:rsidRPr="0058743E">
        <w:rPr>
          <w:rStyle w:val="AERbody"/>
        </w:rPr>
        <w:t xml:space="preserve"> classify network services as direct control services and further, as standard control services. </w:t>
      </w:r>
      <w:r w:rsidRPr="002952B7">
        <w:rPr>
          <w:rStyle w:val="AERbody"/>
        </w:rPr>
        <w:t xml:space="preserve">We also propose not to classify emergency recoverable works, even though they are </w:t>
      </w:r>
      <w:r>
        <w:rPr>
          <w:rStyle w:val="AERbody"/>
        </w:rPr>
        <w:t>similar to network services</w:t>
      </w:r>
      <w:r w:rsidRPr="002952B7">
        <w:rPr>
          <w:rStyle w:val="AERbody"/>
        </w:rPr>
        <w:t>.</w:t>
      </w:r>
    </w:p>
    <w:p w:rsidR="00770C24" w:rsidRDefault="00543F32" w:rsidP="00814DBC">
      <w:pPr>
        <w:pStyle w:val="AERbodytext"/>
        <w:rPr>
          <w:rStyle w:val="AERbody"/>
        </w:rPr>
      </w:pPr>
      <w:r>
        <w:rPr>
          <w:rStyle w:val="AERbody"/>
        </w:rPr>
        <w:t xml:space="preserve">The </w:t>
      </w:r>
      <w:r w:rsidR="00850953">
        <w:rPr>
          <w:rStyle w:val="AERbody"/>
        </w:rPr>
        <w:t xml:space="preserve">Victorian </w:t>
      </w:r>
      <w:r>
        <w:rPr>
          <w:rStyle w:val="AERbody"/>
        </w:rPr>
        <w:t>distributors</w:t>
      </w:r>
      <w:r w:rsidR="00770C24" w:rsidRPr="00673D7E">
        <w:rPr>
          <w:rStyle w:val="AERbody"/>
        </w:rPr>
        <w:t xml:space="preserve"> each hold </w:t>
      </w:r>
      <w:r w:rsidR="00814DBC">
        <w:rPr>
          <w:rStyle w:val="AERbody"/>
        </w:rPr>
        <w:t>an</w:t>
      </w:r>
      <w:r w:rsidR="00770C24" w:rsidRPr="00673D7E">
        <w:rPr>
          <w:rStyle w:val="AERbody"/>
        </w:rPr>
        <w:t xml:space="preserve"> electricity </w:t>
      </w:r>
      <w:r w:rsidR="00770C24" w:rsidRPr="00814DBC">
        <w:rPr>
          <w:rStyle w:val="AERbody"/>
        </w:rPr>
        <w:t xml:space="preserve">distribution </w:t>
      </w:r>
      <w:r w:rsidR="00814DBC" w:rsidRPr="00814DBC">
        <w:rPr>
          <w:rStyle w:val="AERtexthighlight"/>
          <w:shd w:val="clear" w:color="auto" w:fill="auto"/>
        </w:rPr>
        <w:t>licence</w:t>
      </w:r>
      <w:r w:rsidR="00770C24" w:rsidRPr="00814DBC">
        <w:rPr>
          <w:rStyle w:val="AERbody"/>
        </w:rPr>
        <w:t xml:space="preserve"> for their</w:t>
      </w:r>
      <w:r w:rsidR="00770C24" w:rsidRPr="00673D7E">
        <w:rPr>
          <w:rStyle w:val="AERbody"/>
        </w:rPr>
        <w:t xml:space="preserve"> respective distribution </w:t>
      </w:r>
      <w:r w:rsidR="00770C24">
        <w:rPr>
          <w:rStyle w:val="AERbody"/>
        </w:rPr>
        <w:t>areas</w:t>
      </w:r>
      <w:r w:rsidR="00770C24" w:rsidRPr="00673D7E">
        <w:rPr>
          <w:rStyle w:val="AERbody"/>
        </w:rPr>
        <w:t>.</w:t>
      </w:r>
      <w:r w:rsidR="00770C24" w:rsidRPr="00BB403D">
        <w:rPr>
          <w:rStyle w:val="AERsuperscript"/>
        </w:rPr>
        <w:footnoteReference w:id="39"/>
      </w:r>
      <w:r w:rsidR="00770C24" w:rsidRPr="00BB403D">
        <w:rPr>
          <w:rStyle w:val="AERsuperscript"/>
        </w:rPr>
        <w:t xml:space="preserve"> </w:t>
      </w:r>
      <w:r w:rsidR="00770C24" w:rsidRPr="00814DBC">
        <w:rPr>
          <w:rStyle w:val="AERbody"/>
        </w:rPr>
        <w:t xml:space="preserve">The </w:t>
      </w:r>
      <w:r w:rsidR="00770C24" w:rsidRPr="00814DBC">
        <w:rPr>
          <w:rStyle w:val="AERtextitalic"/>
        </w:rPr>
        <w:t xml:space="preserve">Electricity </w:t>
      </w:r>
      <w:r w:rsidR="00814DBC" w:rsidRPr="00814DBC">
        <w:rPr>
          <w:rStyle w:val="AERtextitalic"/>
        </w:rPr>
        <w:t xml:space="preserve">Industry </w:t>
      </w:r>
      <w:r w:rsidR="00770C24" w:rsidRPr="00814DBC">
        <w:rPr>
          <w:rStyle w:val="AERtextitalic"/>
        </w:rPr>
        <w:t xml:space="preserve">Act </w:t>
      </w:r>
      <w:r w:rsidR="00814DBC" w:rsidRPr="00814DBC">
        <w:rPr>
          <w:rStyle w:val="AERtextitalic"/>
        </w:rPr>
        <w:t>2000</w:t>
      </w:r>
      <w:r w:rsidR="00770C24" w:rsidRPr="00814DBC">
        <w:rPr>
          <w:rStyle w:val="AERtexthighlight"/>
          <w:shd w:val="clear" w:color="auto" w:fill="auto"/>
        </w:rPr>
        <w:t xml:space="preserve"> (</w:t>
      </w:r>
      <w:r w:rsidR="00814DBC" w:rsidRPr="00814DBC">
        <w:rPr>
          <w:rStyle w:val="AERtexthighlight"/>
          <w:shd w:val="clear" w:color="auto" w:fill="auto"/>
        </w:rPr>
        <w:t>Vic</w:t>
      </w:r>
      <w:r w:rsidR="00770C24" w:rsidRPr="00814DBC">
        <w:rPr>
          <w:rStyle w:val="AERtexthighlight"/>
          <w:shd w:val="clear" w:color="auto" w:fill="auto"/>
        </w:rPr>
        <w:t>)</w:t>
      </w:r>
      <w:r w:rsidR="00770C24" w:rsidRPr="00814DBC">
        <w:rPr>
          <w:rStyle w:val="AERbody"/>
        </w:rPr>
        <w:t xml:space="preserve"> prevents</w:t>
      </w:r>
      <w:r w:rsidR="00770C24" w:rsidRPr="00673D7E">
        <w:rPr>
          <w:rStyle w:val="AERbody"/>
        </w:rPr>
        <w:t xml:space="preserve"> a person from distributing and supplying electricity unless they hold a</w:t>
      </w:r>
      <w:r w:rsidR="00770C24">
        <w:rPr>
          <w:rStyle w:val="AERbody"/>
        </w:rPr>
        <w:t>n authority</w:t>
      </w:r>
      <w:r w:rsidR="00770C24" w:rsidRPr="00673D7E">
        <w:rPr>
          <w:rStyle w:val="AERbody"/>
        </w:rPr>
        <w:t xml:space="preserve"> </w:t>
      </w:r>
      <w:r w:rsidR="00770C24">
        <w:rPr>
          <w:rStyle w:val="AERbody"/>
        </w:rPr>
        <w:t>permitting</w:t>
      </w:r>
      <w:r w:rsidR="00770C24" w:rsidRPr="00673D7E">
        <w:rPr>
          <w:rStyle w:val="AERbody"/>
        </w:rPr>
        <w:t xml:space="preserve"> them to do so.</w:t>
      </w:r>
      <w:r w:rsidR="00770C24" w:rsidRPr="00B7662E">
        <w:rPr>
          <w:rStyle w:val="AERsuperscript"/>
        </w:rPr>
        <w:footnoteReference w:id="40"/>
      </w:r>
      <w:r w:rsidR="00770C24" w:rsidRPr="00BD5720">
        <w:rPr>
          <w:rStyle w:val="AERbody"/>
        </w:rPr>
        <w:t xml:space="preserve"> </w:t>
      </w:r>
      <w:r w:rsidR="00770C24" w:rsidRPr="00A266BB">
        <w:rPr>
          <w:rStyle w:val="AERbody"/>
        </w:rPr>
        <w:t xml:space="preserve">These arrangements </w:t>
      </w:r>
      <w:r w:rsidR="00770C24">
        <w:rPr>
          <w:rStyle w:val="AERbody"/>
        </w:rPr>
        <w:t>provide</w:t>
      </w:r>
      <w:r w:rsidR="00770C24" w:rsidRPr="00A266BB">
        <w:rPr>
          <w:rStyle w:val="AERbody"/>
        </w:rPr>
        <w:t xml:space="preserve"> </w:t>
      </w:r>
      <w:r w:rsidR="00770C24">
        <w:rPr>
          <w:rStyle w:val="AERbody"/>
        </w:rPr>
        <w:t>a</w:t>
      </w:r>
      <w:r w:rsidR="00770C24" w:rsidRPr="00A266BB">
        <w:rPr>
          <w:rStyle w:val="AERbody"/>
        </w:rPr>
        <w:t xml:space="preserve"> regulatory barrier</w:t>
      </w:r>
      <w:r w:rsidR="00770C24">
        <w:rPr>
          <w:rStyle w:val="AERbody"/>
        </w:rPr>
        <w:t>,</w:t>
      </w:r>
      <w:r w:rsidR="00770C24" w:rsidRPr="00A266BB">
        <w:rPr>
          <w:rStyle w:val="AERbody"/>
        </w:rPr>
        <w:t xml:space="preserve"> preventing third parties from providing network services.</w:t>
      </w:r>
      <w:r w:rsidR="00770C24" w:rsidRPr="00A136E2">
        <w:rPr>
          <w:rStyle w:val="AERsuperscript"/>
        </w:rPr>
        <w:footnoteReference w:id="41"/>
      </w:r>
      <w:r w:rsidR="00770C24" w:rsidRPr="00A136E2">
        <w:rPr>
          <w:rStyle w:val="AERsuperscript"/>
        </w:rPr>
        <w:t xml:space="preserve"> </w:t>
      </w:r>
      <w:r w:rsidR="00770C24" w:rsidRPr="00A266BB">
        <w:rPr>
          <w:rStyle w:val="AERbody"/>
        </w:rPr>
        <w:t>Therefore, we consider that there is no market for network services for third parties to compete</w:t>
      </w:r>
      <w:r w:rsidR="00770C24">
        <w:rPr>
          <w:rStyle w:val="AERbody"/>
        </w:rPr>
        <w:t xml:space="preserve"> in</w:t>
      </w:r>
      <w:r w:rsidR="00770C24" w:rsidRPr="00A266BB">
        <w:rPr>
          <w:rStyle w:val="AERbody"/>
        </w:rPr>
        <w:t xml:space="preserve">. </w:t>
      </w:r>
    </w:p>
    <w:p w:rsidR="00770C24" w:rsidRPr="00A266BB" w:rsidRDefault="00770C24" w:rsidP="00770C24">
      <w:pPr>
        <w:pStyle w:val="AERbodytext"/>
        <w:rPr>
          <w:rStyle w:val="AERbody"/>
        </w:rPr>
      </w:pPr>
      <w:r>
        <w:rPr>
          <w:rStyle w:val="AERbody"/>
        </w:rPr>
        <w:t>T</w:t>
      </w:r>
      <w:r w:rsidRPr="00A266BB">
        <w:rPr>
          <w:rStyle w:val="AERbody"/>
        </w:rPr>
        <w:t xml:space="preserve">he </w:t>
      </w:r>
      <w:r w:rsidR="00850953">
        <w:rPr>
          <w:rStyle w:val="AERbody"/>
        </w:rPr>
        <w:t xml:space="preserve">Victorian </w:t>
      </w:r>
      <w:r w:rsidRPr="00A266BB">
        <w:rPr>
          <w:rStyle w:val="AERbody"/>
        </w:rPr>
        <w:t xml:space="preserve">distributors possess </w:t>
      </w:r>
      <w:r>
        <w:rPr>
          <w:rStyle w:val="AERbody"/>
        </w:rPr>
        <w:t xml:space="preserve">significant </w:t>
      </w:r>
      <w:r w:rsidRPr="00A266BB">
        <w:rPr>
          <w:rStyle w:val="AERbody"/>
        </w:rPr>
        <w:t xml:space="preserve">market power due to the </w:t>
      </w:r>
      <w:r>
        <w:rPr>
          <w:rStyle w:val="AERbody"/>
        </w:rPr>
        <w:t>regulatory</w:t>
      </w:r>
      <w:r w:rsidRPr="00A266BB">
        <w:rPr>
          <w:rStyle w:val="AERbody"/>
        </w:rPr>
        <w:t xml:space="preserve"> arrangements in place.</w:t>
      </w:r>
      <w:r w:rsidRPr="00A136E2">
        <w:rPr>
          <w:rStyle w:val="AERsuperscript"/>
        </w:rPr>
        <w:footnoteReference w:id="42"/>
      </w:r>
      <w:r w:rsidRPr="00A136E2">
        <w:rPr>
          <w:rStyle w:val="AERsuperscript"/>
        </w:rPr>
        <w:t xml:space="preserve"> </w:t>
      </w:r>
      <w:r>
        <w:rPr>
          <w:rStyle w:val="AERbody"/>
        </w:rPr>
        <w:t xml:space="preserve">As such, </w:t>
      </w:r>
      <w:r w:rsidRPr="00A266BB">
        <w:rPr>
          <w:rStyle w:val="AERbody"/>
        </w:rPr>
        <w:t xml:space="preserve">we intend to classify network services as direct control services. </w:t>
      </w:r>
    </w:p>
    <w:p w:rsidR="00770C24" w:rsidRPr="00770C24" w:rsidRDefault="00770C24" w:rsidP="00770C24">
      <w:pPr>
        <w:numPr>
          <w:ilvl w:val="0"/>
          <w:numId w:val="13"/>
        </w:numPr>
        <w:rPr>
          <w:rStyle w:val="AERtextsize10"/>
        </w:rPr>
      </w:pPr>
      <w:r>
        <w:rPr>
          <w:rStyle w:val="AERbody"/>
        </w:rPr>
        <w:t>We</w:t>
      </w:r>
      <w:r w:rsidRPr="00A136E2">
        <w:rPr>
          <w:rStyle w:val="AERbody"/>
        </w:rPr>
        <w:t xml:space="preserve"> must further classify direct control services as </w:t>
      </w:r>
      <w:r>
        <w:rPr>
          <w:rStyle w:val="AERbody"/>
        </w:rPr>
        <w:t xml:space="preserve">either </w:t>
      </w:r>
      <w:r w:rsidRPr="00A136E2">
        <w:rPr>
          <w:rStyle w:val="AERbody"/>
        </w:rPr>
        <w:t>standard or alternative control services.</w:t>
      </w:r>
      <w:r w:rsidRPr="00A136E2">
        <w:rPr>
          <w:rStyle w:val="AERsuperscript"/>
        </w:rPr>
        <w:footnoteReference w:id="43"/>
      </w:r>
      <w:r w:rsidRPr="00A136E2">
        <w:rPr>
          <w:rStyle w:val="AERbody"/>
        </w:rPr>
        <w:t xml:space="preserve"> </w:t>
      </w:r>
      <w:r>
        <w:rPr>
          <w:rStyle w:val="AERbody"/>
        </w:rPr>
        <w:t>Our preliminary position is</w:t>
      </w:r>
      <w:r w:rsidRPr="00A136E2">
        <w:rPr>
          <w:rStyle w:val="AERbody"/>
        </w:rPr>
        <w:t xml:space="preserve"> to retain the current </w:t>
      </w:r>
      <w:r>
        <w:rPr>
          <w:rStyle w:val="AERbody"/>
        </w:rPr>
        <w:t xml:space="preserve">standard control classification for network services. </w:t>
      </w:r>
      <w:r w:rsidRPr="00770C24">
        <w:rPr>
          <w:rStyle w:val="AERtextsize10"/>
        </w:rPr>
        <w:t>There is little, if any, potential to develop competition in the market for network services.</w:t>
      </w:r>
      <w:r>
        <w:rPr>
          <w:rStyle w:val="FootnoteReference"/>
        </w:rPr>
        <w:footnoteReference w:id="44"/>
      </w:r>
      <w:r w:rsidRPr="00770C24">
        <w:rPr>
          <w:rStyle w:val="AERtextorange"/>
        </w:rPr>
        <w:t xml:space="preserve"> </w:t>
      </w:r>
      <w:r w:rsidRPr="00770C24">
        <w:rPr>
          <w:rStyle w:val="AERtextsize10"/>
        </w:rPr>
        <w:t>There would be no material effect on ad</w:t>
      </w:r>
      <w:r w:rsidR="00543F32">
        <w:rPr>
          <w:rStyle w:val="AERtextsize10"/>
        </w:rPr>
        <w:t xml:space="preserve">ministrative costs for us, the </w:t>
      </w:r>
      <w:r w:rsidR="00850953">
        <w:rPr>
          <w:rStyle w:val="AERtextsize10"/>
        </w:rPr>
        <w:t xml:space="preserve">Victorian </w:t>
      </w:r>
      <w:r w:rsidRPr="00770C24">
        <w:rPr>
          <w:rStyle w:val="AERtextsize10"/>
        </w:rPr>
        <w:t>distributors, users or potential users.</w:t>
      </w:r>
      <w:r w:rsidRPr="00770C24">
        <w:rPr>
          <w:rStyle w:val="AERsuperscript"/>
        </w:rPr>
        <w:footnoteReference w:id="45"/>
      </w:r>
      <w:r w:rsidRPr="00770C24">
        <w:rPr>
          <w:rStyle w:val="AERtextsize10"/>
        </w:rPr>
        <w:t xml:space="preserve"> This is because classifying network services as standard control services is consistent with the current regulatory approach. We currently classify network services in </w:t>
      </w:r>
      <w:r w:rsidR="00850953">
        <w:rPr>
          <w:rStyle w:val="AERtextsize10"/>
        </w:rPr>
        <w:t xml:space="preserve">Victorian </w:t>
      </w:r>
      <w:r w:rsidRPr="00770C24">
        <w:rPr>
          <w:rStyle w:val="AERtextsize10"/>
        </w:rPr>
        <w:t>and all other NEM jurisdictions as standard control services.</w:t>
      </w:r>
      <w:r w:rsidRPr="00770C24">
        <w:rPr>
          <w:rStyle w:val="AERsuperscript"/>
        </w:rPr>
        <w:footnoteReference w:id="46"/>
      </w:r>
      <w:r w:rsidRPr="00770C24">
        <w:rPr>
          <w:rStyle w:val="AERtextsize10"/>
        </w:rPr>
        <w:t xml:space="preserve"> And finally, distributors provide network services through a shared network and </w:t>
      </w:r>
      <w:r w:rsidR="00644B5D">
        <w:rPr>
          <w:rStyle w:val="AERtextsize10"/>
        </w:rPr>
        <w:t>therefore</w:t>
      </w:r>
      <w:r w:rsidRPr="00770C24">
        <w:rPr>
          <w:rStyle w:val="AERtextsize10"/>
        </w:rPr>
        <w:t xml:space="preserve"> cannot directly attribute the costs of these services to individual customers.</w:t>
      </w:r>
      <w:r w:rsidRPr="00770C24">
        <w:rPr>
          <w:rStyle w:val="AERsuperscript"/>
        </w:rPr>
        <w:footnoteReference w:id="47"/>
      </w:r>
    </w:p>
    <w:p w:rsidR="00770C24" w:rsidRPr="00770C24" w:rsidRDefault="00770C24" w:rsidP="00770C24">
      <w:pPr>
        <w:pStyle w:val="HeadingBoldBlue"/>
        <w:rPr>
          <w:rStyle w:val="AERbody"/>
          <w:color w:val="365F91" w:themeColor="accent1" w:themeShade="BF"/>
          <w:sz w:val="24"/>
        </w:rPr>
      </w:pPr>
      <w:r w:rsidRPr="00770C24">
        <w:rPr>
          <w:rStyle w:val="AERbody"/>
          <w:color w:val="365F91" w:themeColor="accent1" w:themeShade="BF"/>
          <w:sz w:val="24"/>
        </w:rPr>
        <w:t>Emergency recoverable works</w:t>
      </w:r>
    </w:p>
    <w:p w:rsidR="00770C24" w:rsidRDefault="00770C24" w:rsidP="00770C24">
      <w:pPr>
        <w:pStyle w:val="AERbodytext"/>
        <w:rPr>
          <w:rStyle w:val="AERbody"/>
        </w:rPr>
      </w:pPr>
      <w:r>
        <w:rPr>
          <w:rStyle w:val="AERbody"/>
        </w:rPr>
        <w:t xml:space="preserve">Emergency works relate to repairing the distribution network after damage to restore or maintain electricity supply. For example, damage caused by a storm. </w:t>
      </w:r>
      <w:r w:rsidRPr="002952B7">
        <w:rPr>
          <w:rStyle w:val="AERbody"/>
        </w:rPr>
        <w:t>Emergency recoverable works relate to the distributors' emergency work to repair damage following a person's act or omission, for which that person is liable. For example, repairs to a power pole following a motor vehicle accident.</w:t>
      </w:r>
      <w:r w:rsidRPr="00474C43">
        <w:t xml:space="preserve"> </w:t>
      </w:r>
      <w:r w:rsidRPr="00474C43">
        <w:rPr>
          <w:rStyle w:val="AERbody"/>
        </w:rPr>
        <w:t xml:space="preserve">We currently classify </w:t>
      </w:r>
      <w:r w:rsidR="00850953">
        <w:rPr>
          <w:rStyle w:val="AERbody"/>
        </w:rPr>
        <w:t xml:space="preserve">Victorian </w:t>
      </w:r>
      <w:r w:rsidRPr="00474C43">
        <w:rPr>
          <w:rStyle w:val="AERbody"/>
        </w:rPr>
        <w:t>distribution emergency recoverable works as alternative control services.</w:t>
      </w:r>
    </w:p>
    <w:p w:rsidR="00770C24" w:rsidRPr="002952B7" w:rsidRDefault="00770C24" w:rsidP="00770C24">
      <w:pPr>
        <w:pStyle w:val="AERbodytext"/>
        <w:rPr>
          <w:rStyle w:val="AERbody"/>
        </w:rPr>
      </w:pPr>
      <w:r>
        <w:rPr>
          <w:rStyle w:val="AERbody"/>
        </w:rPr>
        <w:t>Di</w:t>
      </w:r>
      <w:r w:rsidRPr="002952B7">
        <w:rPr>
          <w:rStyle w:val="AERbody"/>
        </w:rPr>
        <w:t xml:space="preserve">stributors carry </w:t>
      </w:r>
      <w:r>
        <w:rPr>
          <w:rStyle w:val="AERbody"/>
        </w:rPr>
        <w:t xml:space="preserve">out emergency recoverable works </w:t>
      </w:r>
      <w:r w:rsidRPr="002952B7">
        <w:rPr>
          <w:rStyle w:val="AERbody"/>
        </w:rPr>
        <w:t xml:space="preserve">as part of the normal maintenance and repair to the network to ensure the safe and reliable supply of electricity. Only a distributor may perform these types of repairs on its assets and this creates a monopoly. </w:t>
      </w:r>
    </w:p>
    <w:p w:rsidR="00770C24" w:rsidRDefault="00770C24" w:rsidP="00770C24">
      <w:pPr>
        <w:pStyle w:val="AERbodytext"/>
        <w:rPr>
          <w:rStyle w:val="AERbody"/>
        </w:rPr>
      </w:pPr>
      <w:r>
        <w:rPr>
          <w:rStyle w:val="AERbody"/>
        </w:rPr>
        <w:lastRenderedPageBreak/>
        <w:t xml:space="preserve">Given that these services are provided in connection with a distribution system, we consider </w:t>
      </w:r>
      <w:r w:rsidRPr="002952B7">
        <w:rPr>
          <w:rStyle w:val="AERbody"/>
        </w:rPr>
        <w:t>emergency recoverable works are a distribution service. However, in terms of classification</w:t>
      </w:r>
      <w:r>
        <w:rPr>
          <w:rStyle w:val="AERbody"/>
        </w:rPr>
        <w:t>,</w:t>
      </w:r>
      <w:r w:rsidRPr="002952B7">
        <w:rPr>
          <w:rStyle w:val="AERbody"/>
        </w:rPr>
        <w:t xml:space="preserve"> we consider that emergency recoverable works are distinguishable from other network services. This is because the cost of these works may be recover</w:t>
      </w:r>
      <w:r>
        <w:rPr>
          <w:rStyle w:val="AERbody"/>
        </w:rPr>
        <w:t>ed under</w:t>
      </w:r>
      <w:r w:rsidRPr="002952B7">
        <w:rPr>
          <w:rStyle w:val="AERbody"/>
        </w:rPr>
        <w:t xml:space="preserve"> common law. </w:t>
      </w:r>
      <w:r>
        <w:rPr>
          <w:rStyle w:val="AERbody"/>
        </w:rPr>
        <w:t>That is, the distributors can seek payment of their costs to fix the network from the parties responsible for causing the damage</w:t>
      </w:r>
      <w:r w:rsidR="002E3EF6">
        <w:rPr>
          <w:rStyle w:val="AERbody"/>
        </w:rPr>
        <w:t>,</w:t>
      </w:r>
      <w:r>
        <w:rPr>
          <w:rStyle w:val="AERbody"/>
        </w:rPr>
        <w:t xml:space="preserve"> through the courts if necessary. </w:t>
      </w:r>
    </w:p>
    <w:p w:rsidR="00770C24" w:rsidRDefault="00770C24" w:rsidP="00770C24">
      <w:pPr>
        <w:pStyle w:val="AERbodytext"/>
        <w:rPr>
          <w:rStyle w:val="AERbody"/>
        </w:rPr>
      </w:pPr>
      <w:r w:rsidRPr="002952B7">
        <w:rPr>
          <w:rStyle w:val="AERbody"/>
        </w:rPr>
        <w:t>For this reason, we intend not to classify emergency recoverable works.</w:t>
      </w:r>
      <w:r>
        <w:rPr>
          <w:rStyle w:val="FootnoteReference"/>
        </w:rPr>
        <w:footnoteReference w:id="48"/>
      </w:r>
      <w:r>
        <w:rPr>
          <w:rStyle w:val="AERbody"/>
        </w:rPr>
        <w:t xml:space="preserve"> By not classifying emergency recoverable works, distributors are not able to recover costs for these services from consumers as a whole. Rather, to be compensated for damage to the network caused by an identifiable party, </w:t>
      </w:r>
      <w:r w:rsidR="002E3EF6">
        <w:rPr>
          <w:rStyle w:val="AERbody"/>
        </w:rPr>
        <w:t>distributors</w:t>
      </w:r>
      <w:r>
        <w:rPr>
          <w:rStyle w:val="AERbody"/>
        </w:rPr>
        <w:t xml:space="preserve"> must seek to recover costs from them. We consider this will establish the right incentives for </w:t>
      </w:r>
      <w:r w:rsidR="003971D8">
        <w:rPr>
          <w:rStyle w:val="AERbody"/>
        </w:rPr>
        <w:t xml:space="preserve">the </w:t>
      </w:r>
      <w:r w:rsidR="00850953">
        <w:rPr>
          <w:rStyle w:val="AERbody"/>
        </w:rPr>
        <w:t xml:space="preserve">Victorian </w:t>
      </w:r>
      <w:r w:rsidR="003971D8">
        <w:rPr>
          <w:rStyle w:val="AERbody"/>
        </w:rPr>
        <w:t>distributors</w:t>
      </w:r>
      <w:r>
        <w:rPr>
          <w:rStyle w:val="AERbody"/>
        </w:rPr>
        <w:t xml:space="preserve"> to pursue costs from parties responsible for damage to distribution network assets. Our preliminary approach to this issue is also consistent with our approach to the classification of emergency recoverable works in NSW</w:t>
      </w:r>
      <w:r w:rsidR="003971D8">
        <w:rPr>
          <w:rStyle w:val="AERbody"/>
        </w:rPr>
        <w:t xml:space="preserve"> and Q</w:t>
      </w:r>
      <w:r w:rsidR="00DB21BD">
        <w:rPr>
          <w:rStyle w:val="AERbody"/>
        </w:rPr>
        <w:t>ueenslan</w:t>
      </w:r>
      <w:r w:rsidR="003971D8">
        <w:rPr>
          <w:rStyle w:val="AERbody"/>
        </w:rPr>
        <w:t>d</w:t>
      </w:r>
      <w:r>
        <w:rPr>
          <w:rStyle w:val="AERbody"/>
        </w:rPr>
        <w:t>.</w:t>
      </w:r>
      <w:r w:rsidRPr="00B83F68">
        <w:rPr>
          <w:rStyle w:val="AERsuperscript"/>
        </w:rPr>
        <w:footnoteReference w:id="49"/>
      </w:r>
    </w:p>
    <w:p w:rsidR="00770C24" w:rsidRPr="00770C24" w:rsidRDefault="00770C24" w:rsidP="00770C24">
      <w:pPr>
        <w:pStyle w:val="Heading3"/>
        <w:rPr>
          <w:rStyle w:val="AERtextorange"/>
        </w:rPr>
      </w:pPr>
      <w:bookmarkStart w:id="27" w:name="_Toc328151182"/>
      <w:bookmarkStart w:id="28" w:name="_Toc350358135"/>
      <w:bookmarkStart w:id="29" w:name="_Toc350446226"/>
      <w:bookmarkStart w:id="30" w:name="_Toc351729996"/>
      <w:bookmarkStart w:id="31" w:name="_Toc374085332"/>
      <w:bookmarkStart w:id="32" w:name="_Toc387418348"/>
      <w:bookmarkStart w:id="33" w:name="_Toc388976502"/>
      <w:r w:rsidRPr="00770C24">
        <w:rPr>
          <w:rStyle w:val="AERtextorange"/>
        </w:rPr>
        <w:t>Connection services</w:t>
      </w:r>
      <w:bookmarkEnd w:id="27"/>
      <w:bookmarkEnd w:id="28"/>
      <w:bookmarkEnd w:id="29"/>
      <w:bookmarkEnd w:id="30"/>
      <w:bookmarkEnd w:id="31"/>
      <w:bookmarkEnd w:id="32"/>
      <w:bookmarkEnd w:id="33"/>
    </w:p>
    <w:p w:rsidR="00770C24" w:rsidRPr="00416310" w:rsidRDefault="00770C24" w:rsidP="00770C24">
      <w:pPr>
        <w:numPr>
          <w:ilvl w:val="0"/>
          <w:numId w:val="13"/>
        </w:numPr>
        <w:rPr>
          <w:rStyle w:val="AERbody"/>
        </w:rPr>
      </w:pPr>
      <w:r w:rsidRPr="00416310">
        <w:rPr>
          <w:rStyle w:val="AERbody"/>
        </w:rPr>
        <w:t xml:space="preserve">Chapter 10 of the </w:t>
      </w:r>
      <w:r>
        <w:rPr>
          <w:rStyle w:val="AERbody"/>
        </w:rPr>
        <w:t>r</w:t>
      </w:r>
      <w:r w:rsidRPr="00416310">
        <w:rPr>
          <w:rStyle w:val="AERbody"/>
        </w:rPr>
        <w:t>ules defines connection services.</w:t>
      </w:r>
      <w:r w:rsidRPr="00416310">
        <w:rPr>
          <w:rStyle w:val="AERsuperscript"/>
        </w:rPr>
        <w:footnoteReference w:id="50"/>
      </w:r>
      <w:r w:rsidRPr="00416310">
        <w:rPr>
          <w:rStyle w:val="AERbody"/>
        </w:rPr>
        <w:t xml:space="preserve"> Put simply, a connection service refer</w:t>
      </w:r>
      <w:r>
        <w:rPr>
          <w:rStyle w:val="AERbody"/>
        </w:rPr>
        <w:t>s</w:t>
      </w:r>
      <w:r w:rsidR="00361B51">
        <w:rPr>
          <w:rStyle w:val="AERbody"/>
        </w:rPr>
        <w:t xml:space="preserve"> to the services a distributor </w:t>
      </w:r>
      <w:r w:rsidRPr="00416310">
        <w:rPr>
          <w:rStyle w:val="AERbody"/>
        </w:rPr>
        <w:t>performs to:</w:t>
      </w:r>
    </w:p>
    <w:p w:rsidR="00770C24" w:rsidRPr="00770C24" w:rsidRDefault="00770C24" w:rsidP="00770C24">
      <w:pPr>
        <w:pStyle w:val="AERbulletlistfirststyle"/>
        <w:rPr>
          <w:rStyle w:val="AERtextsize10"/>
        </w:rPr>
      </w:pPr>
      <w:r w:rsidRPr="00770C24">
        <w:rPr>
          <w:rStyle w:val="AERtextsize10"/>
        </w:rPr>
        <w:t>connect a person’s home, business or other premises to the electricity distribution network</w:t>
      </w:r>
    </w:p>
    <w:p w:rsidR="00770C24" w:rsidRPr="00770C24" w:rsidRDefault="003B675B" w:rsidP="00770C24">
      <w:pPr>
        <w:pStyle w:val="AERbulletlistfirststyle"/>
        <w:rPr>
          <w:rStyle w:val="AERtextsize10"/>
        </w:rPr>
      </w:pPr>
      <w:r>
        <w:rPr>
          <w:rStyle w:val="AERtextsize10"/>
        </w:rPr>
        <w:t xml:space="preserve">alter an existing connection to </w:t>
      </w:r>
      <w:r w:rsidR="00770C24" w:rsidRPr="00770C24">
        <w:rPr>
          <w:rStyle w:val="AERtextsize10"/>
        </w:rPr>
        <w:t>get more electricity from the distribution network than is possible at the moment</w:t>
      </w:r>
    </w:p>
    <w:p w:rsidR="00770C24" w:rsidRPr="00770C24" w:rsidRDefault="00770C24" w:rsidP="00770C24">
      <w:pPr>
        <w:pStyle w:val="AERbulletlistfirststyle"/>
        <w:rPr>
          <w:rStyle w:val="AERtextsize10"/>
        </w:rPr>
      </w:pPr>
      <w:r w:rsidRPr="00770C24">
        <w:rPr>
          <w:rStyle w:val="AERtextsize10"/>
        </w:rPr>
        <w:t xml:space="preserve">extend the network to reach a person’s premises. </w:t>
      </w:r>
    </w:p>
    <w:p w:rsidR="00575D34" w:rsidRDefault="00575D34" w:rsidP="00770C24">
      <w:pPr>
        <w:pStyle w:val="AERbodytext"/>
        <w:rPr>
          <w:rStyle w:val="AERbody"/>
        </w:rPr>
      </w:pPr>
      <w:r>
        <w:rPr>
          <w:rStyle w:val="AERbody"/>
        </w:rPr>
        <w:t xml:space="preserve">Victorian licensed electricity distributors are subject to the Victorian Electricity Distribution </w:t>
      </w:r>
      <w:r w:rsidR="003B675B">
        <w:rPr>
          <w:rStyle w:val="AERbody"/>
        </w:rPr>
        <w:t>Licence conditions</w:t>
      </w:r>
      <w:r>
        <w:rPr>
          <w:rStyle w:val="AERbody"/>
        </w:rPr>
        <w:t>. Th</w:t>
      </w:r>
      <w:r w:rsidR="003B675B">
        <w:rPr>
          <w:rStyle w:val="AERbody"/>
        </w:rPr>
        <w:t xml:space="preserve">e Distribution Licence </w:t>
      </w:r>
      <w:r>
        <w:rPr>
          <w:rStyle w:val="AERbody"/>
        </w:rPr>
        <w:t xml:space="preserve">imposes </w:t>
      </w:r>
      <w:r w:rsidR="003B675B">
        <w:rPr>
          <w:rStyle w:val="AERbody"/>
        </w:rPr>
        <w:t xml:space="preserve">conditions </w:t>
      </w:r>
      <w:r>
        <w:rPr>
          <w:rStyle w:val="AERbody"/>
        </w:rPr>
        <w:t xml:space="preserve">on distributors to </w:t>
      </w:r>
      <w:r w:rsidR="003B675B">
        <w:rPr>
          <w:rStyle w:val="AERbody"/>
        </w:rPr>
        <w:t xml:space="preserve">process </w:t>
      </w:r>
      <w:r>
        <w:rPr>
          <w:rStyle w:val="AERbody"/>
        </w:rPr>
        <w:t xml:space="preserve">electricity connection </w:t>
      </w:r>
      <w:r w:rsidR="003B675B">
        <w:rPr>
          <w:rStyle w:val="AERbody"/>
        </w:rPr>
        <w:t xml:space="preserve">applications </w:t>
      </w:r>
      <w:r>
        <w:rPr>
          <w:rStyle w:val="AERbody"/>
        </w:rPr>
        <w:t xml:space="preserve">in accordance with guidelines issued by the Essential Services Commission of Victoria. These are </w:t>
      </w:r>
      <w:r w:rsidRPr="00575D34">
        <w:rPr>
          <w:rStyle w:val="AERbody"/>
        </w:rPr>
        <w:t>Victorian</w:t>
      </w:r>
      <w:r>
        <w:rPr>
          <w:rStyle w:val="AERbody"/>
        </w:rPr>
        <w:t xml:space="preserve"> Electricity Industry Guidelines 14 and 15.</w:t>
      </w:r>
      <w:r w:rsidR="00682C51">
        <w:rPr>
          <w:rStyle w:val="FootnoteReference"/>
        </w:rPr>
        <w:footnoteReference w:id="51"/>
      </w:r>
      <w:r>
        <w:rPr>
          <w:rStyle w:val="AERbody"/>
        </w:rPr>
        <w:t xml:space="preserve"> </w:t>
      </w:r>
      <w:r w:rsidR="00C80AAF">
        <w:rPr>
          <w:rStyle w:val="AERbody"/>
        </w:rPr>
        <w:t xml:space="preserve">Guideline 14 </w:t>
      </w:r>
      <w:r w:rsidR="00E27C6F">
        <w:rPr>
          <w:rStyle w:val="AERbody"/>
        </w:rPr>
        <w:t xml:space="preserve">sets out how </w:t>
      </w:r>
      <w:r w:rsidR="003B675B">
        <w:rPr>
          <w:rStyle w:val="AERbody"/>
        </w:rPr>
        <w:t>much a distribut</w:t>
      </w:r>
      <w:r w:rsidR="00E27C6F">
        <w:rPr>
          <w:rStyle w:val="AERbody"/>
        </w:rPr>
        <w:t>or</w:t>
      </w:r>
      <w:r w:rsidR="003B675B">
        <w:rPr>
          <w:rStyle w:val="AERbody"/>
        </w:rPr>
        <w:t xml:space="preserve"> can charge for new works and augmentation associated </w:t>
      </w:r>
      <w:r w:rsidR="00C80AAF">
        <w:rPr>
          <w:rStyle w:val="AERbody"/>
        </w:rPr>
        <w:t xml:space="preserve">with </w:t>
      </w:r>
      <w:r w:rsidR="003B675B">
        <w:rPr>
          <w:rStyle w:val="AERbody"/>
        </w:rPr>
        <w:t xml:space="preserve">all </w:t>
      </w:r>
      <w:r w:rsidR="00C80AAF">
        <w:rPr>
          <w:rStyle w:val="AERbody"/>
        </w:rPr>
        <w:t>connections to distribution networks</w:t>
      </w:r>
      <w:r w:rsidR="003B675B">
        <w:rPr>
          <w:rStyle w:val="AERbody"/>
        </w:rPr>
        <w:t xml:space="preserve">. </w:t>
      </w:r>
      <w:r w:rsidR="00C80AAF">
        <w:rPr>
          <w:rStyle w:val="AERbody"/>
        </w:rPr>
        <w:t xml:space="preserve">Guideline 15 </w:t>
      </w:r>
      <w:r w:rsidR="00E27C6F">
        <w:rPr>
          <w:rStyle w:val="AERbody"/>
        </w:rPr>
        <w:t xml:space="preserve">imposes </w:t>
      </w:r>
      <w:r w:rsidR="003B675B">
        <w:rPr>
          <w:rStyle w:val="AERbody"/>
        </w:rPr>
        <w:t xml:space="preserve">further conditions on the distributors in processing connection applications from </w:t>
      </w:r>
      <w:r w:rsidR="00C80AAF">
        <w:rPr>
          <w:rStyle w:val="AERbody"/>
        </w:rPr>
        <w:t xml:space="preserve">embedded generators. </w:t>
      </w:r>
      <w:r>
        <w:rPr>
          <w:rStyle w:val="AERbody"/>
        </w:rPr>
        <w:t xml:space="preserve">The operation of these guidelines impacts the connection services offered by Victorian </w:t>
      </w:r>
      <w:r w:rsidR="003C3579">
        <w:rPr>
          <w:rStyle w:val="AERbody"/>
        </w:rPr>
        <w:t xml:space="preserve">electricity </w:t>
      </w:r>
      <w:r>
        <w:rPr>
          <w:rStyle w:val="AERbody"/>
        </w:rPr>
        <w:t>distributors.</w:t>
      </w:r>
    </w:p>
    <w:p w:rsidR="00770C24" w:rsidRDefault="00770C24" w:rsidP="00770C24">
      <w:pPr>
        <w:pStyle w:val="AERbodytext"/>
        <w:rPr>
          <w:rStyle w:val="AERbody"/>
        </w:rPr>
      </w:pPr>
      <w:r>
        <w:rPr>
          <w:rStyle w:val="AERbody"/>
        </w:rPr>
        <w:t>W</w:t>
      </w:r>
      <w:r w:rsidRPr="002010B3">
        <w:rPr>
          <w:rStyle w:val="AERbody"/>
        </w:rPr>
        <w:t>e consider it possible to separate connection</w:t>
      </w:r>
      <w:r>
        <w:rPr>
          <w:rStyle w:val="AERbody"/>
        </w:rPr>
        <w:t xml:space="preserve"> service</w:t>
      </w:r>
      <w:r w:rsidRPr="002010B3">
        <w:rPr>
          <w:rStyle w:val="AERbody"/>
        </w:rPr>
        <w:t xml:space="preserve">s into clearly identifiable </w:t>
      </w:r>
      <w:r>
        <w:rPr>
          <w:rStyle w:val="AERbody"/>
        </w:rPr>
        <w:t>components</w:t>
      </w:r>
      <w:r w:rsidRPr="002010B3">
        <w:rPr>
          <w:rStyle w:val="AERbody"/>
        </w:rPr>
        <w:t xml:space="preserve">. </w:t>
      </w:r>
      <w:r>
        <w:rPr>
          <w:rStyle w:val="AERbody"/>
        </w:rPr>
        <w:t xml:space="preserve">Table </w:t>
      </w:r>
      <w:r w:rsidR="00295919">
        <w:rPr>
          <w:rStyle w:val="AERbody"/>
        </w:rPr>
        <w:t>3</w:t>
      </w:r>
      <w:r w:rsidRPr="002010B3">
        <w:rPr>
          <w:rStyle w:val="AERbody"/>
        </w:rPr>
        <w:t xml:space="preserve"> lists </w:t>
      </w:r>
      <w:r>
        <w:rPr>
          <w:rStyle w:val="AERbody"/>
        </w:rPr>
        <w:t>our preliminary</w:t>
      </w:r>
      <w:r w:rsidRPr="002010B3">
        <w:rPr>
          <w:rStyle w:val="AERbody"/>
        </w:rPr>
        <w:t xml:space="preserve"> definitions of each connection type together with our </w:t>
      </w:r>
      <w:r>
        <w:rPr>
          <w:rStyle w:val="AERbody"/>
        </w:rPr>
        <w:t>preliminary</w:t>
      </w:r>
      <w:r w:rsidRPr="002010B3">
        <w:rPr>
          <w:rStyle w:val="AERbody"/>
        </w:rPr>
        <w:t xml:space="preserve"> clas</w:t>
      </w:r>
      <w:r>
        <w:rPr>
          <w:rStyle w:val="AERbody"/>
        </w:rPr>
        <w:t xml:space="preserve">sification of each type. </w:t>
      </w:r>
    </w:p>
    <w:p w:rsidR="006002D2" w:rsidRDefault="006002D2" w:rsidP="00770C24">
      <w:pPr>
        <w:pStyle w:val="AERbodytext"/>
        <w:rPr>
          <w:rStyle w:val="AERbody"/>
        </w:rPr>
      </w:pPr>
    </w:p>
    <w:p w:rsidR="00770C24" w:rsidRPr="00770C24" w:rsidRDefault="00770C24" w:rsidP="00770C24">
      <w:pPr>
        <w:pStyle w:val="Caption"/>
        <w:rPr>
          <w:rStyle w:val="AERbody"/>
        </w:rPr>
      </w:pPr>
      <w:r w:rsidRPr="00770C24">
        <w:rPr>
          <w:rStyle w:val="AERbody"/>
        </w:rPr>
        <w:lastRenderedPageBreak/>
        <w:t xml:space="preserve">Table </w:t>
      </w:r>
      <w:r w:rsidR="00295919">
        <w:rPr>
          <w:rStyle w:val="AERbody"/>
        </w:rPr>
        <w:t>3</w:t>
      </w:r>
      <w:r w:rsidRPr="00770C24">
        <w:rPr>
          <w:rStyle w:val="AERbody"/>
        </w:rPr>
        <w:t xml:space="preserve">: AER's preliminary position for </w:t>
      </w:r>
      <w:r w:rsidR="00850953">
        <w:rPr>
          <w:rStyle w:val="AERbody"/>
        </w:rPr>
        <w:t xml:space="preserve">Victorian </w:t>
      </w:r>
      <w:r w:rsidRPr="00770C24">
        <w:rPr>
          <w:rStyle w:val="AERbody"/>
        </w:rPr>
        <w:t xml:space="preserve">connection services </w:t>
      </w:r>
    </w:p>
    <w:tbl>
      <w:tblPr>
        <w:tblStyle w:val="AERtable-numbers"/>
        <w:tblW w:w="0" w:type="auto"/>
        <w:tblLook w:val="04A0" w:firstRow="1" w:lastRow="0" w:firstColumn="1" w:lastColumn="0" w:noHBand="0" w:noVBand="1"/>
      </w:tblPr>
      <w:tblGrid>
        <w:gridCol w:w="3532"/>
        <w:gridCol w:w="851"/>
        <w:gridCol w:w="1946"/>
        <w:gridCol w:w="2913"/>
      </w:tblGrid>
      <w:tr w:rsidR="00770C24" w:rsidRPr="00B06A0C" w:rsidTr="00B06A0C">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83" w:type="dxa"/>
            <w:gridSpan w:val="2"/>
          </w:tcPr>
          <w:p w:rsidR="00770C24" w:rsidRPr="0073432D" w:rsidRDefault="00770C24" w:rsidP="0073432D">
            <w:pPr>
              <w:pStyle w:val="AERtabletextleft"/>
              <w:rPr>
                <w:rStyle w:val="AERtextbold"/>
                <w:b/>
              </w:rPr>
            </w:pPr>
            <w:r w:rsidRPr="0073432D">
              <w:rPr>
                <w:rStyle w:val="AERtextbold"/>
                <w:b/>
              </w:rPr>
              <w:t>Service group</w:t>
            </w:r>
          </w:p>
        </w:tc>
        <w:tc>
          <w:tcPr>
            <w:tcW w:w="1946" w:type="dxa"/>
          </w:tcPr>
          <w:p w:rsidR="00770C24" w:rsidRPr="0073432D" w:rsidRDefault="00770C24" w:rsidP="0073432D">
            <w:pPr>
              <w:pStyle w:val="AERtabletextleft"/>
              <w:cnfStyle w:val="100000000000" w:firstRow="1" w:lastRow="0" w:firstColumn="0" w:lastColumn="0" w:oddVBand="0" w:evenVBand="0" w:oddHBand="0" w:evenHBand="0" w:firstRowFirstColumn="0" w:firstRowLastColumn="0" w:lastRowFirstColumn="0" w:lastRowLastColumn="0"/>
              <w:rPr>
                <w:rStyle w:val="AERtextbold"/>
                <w:b/>
              </w:rPr>
            </w:pPr>
            <w:r w:rsidRPr="0073432D">
              <w:rPr>
                <w:rStyle w:val="AERtextbold"/>
                <w:b/>
              </w:rPr>
              <w:t>Current classification</w:t>
            </w:r>
          </w:p>
        </w:tc>
        <w:tc>
          <w:tcPr>
            <w:tcW w:w="2913" w:type="dxa"/>
          </w:tcPr>
          <w:p w:rsidR="00770C24" w:rsidRPr="0073432D" w:rsidRDefault="00770C24" w:rsidP="0073432D">
            <w:pPr>
              <w:pStyle w:val="AERtabletextleft"/>
              <w:cnfStyle w:val="100000000000" w:firstRow="1" w:lastRow="0" w:firstColumn="0" w:lastColumn="0" w:oddVBand="0" w:evenVBand="0" w:oddHBand="0" w:evenHBand="0" w:firstRowFirstColumn="0" w:firstRowLastColumn="0" w:lastRowFirstColumn="0" w:lastRowLastColumn="0"/>
              <w:rPr>
                <w:rStyle w:val="AERtextbold"/>
                <w:b/>
              </w:rPr>
            </w:pPr>
            <w:r w:rsidRPr="0073432D">
              <w:rPr>
                <w:rStyle w:val="AERtextbold"/>
                <w:b/>
              </w:rPr>
              <w:t>AER preliminary classification</w:t>
            </w:r>
          </w:p>
        </w:tc>
      </w:tr>
      <w:tr w:rsidR="00770C24" w:rsidRPr="0026094D" w:rsidTr="00B06A0C">
        <w:trPr>
          <w:trHeight w:val="884"/>
        </w:trPr>
        <w:tc>
          <w:tcPr>
            <w:cnfStyle w:val="001000000000" w:firstRow="0" w:lastRow="0" w:firstColumn="1" w:lastColumn="0" w:oddVBand="0" w:evenVBand="0" w:oddHBand="0" w:evenHBand="0" w:firstRowFirstColumn="0" w:firstRowLastColumn="0" w:lastRowFirstColumn="0" w:lastRowLastColumn="0"/>
            <w:tcW w:w="3532" w:type="dxa"/>
          </w:tcPr>
          <w:p w:rsidR="00770C24" w:rsidRPr="00770C24" w:rsidRDefault="001A019C" w:rsidP="00123C9D">
            <w:pPr>
              <w:pStyle w:val="AERtabletextleft"/>
              <w:rPr>
                <w:rStyle w:val="AERbody"/>
              </w:rPr>
            </w:pPr>
            <w:r>
              <w:rPr>
                <w:rStyle w:val="AERtextbold"/>
              </w:rPr>
              <w:t>Routine</w:t>
            </w:r>
            <w:r w:rsidR="00770C24">
              <w:rPr>
                <w:rStyle w:val="AERtextbold"/>
              </w:rPr>
              <w:t xml:space="preserve"> connections</w:t>
            </w:r>
            <w:r>
              <w:rPr>
                <w:rStyle w:val="AERtextbold"/>
              </w:rPr>
              <w:t xml:space="preserve"> (not requiring augmentation)</w:t>
            </w:r>
          </w:p>
        </w:tc>
        <w:tc>
          <w:tcPr>
            <w:tcW w:w="2797" w:type="dxa"/>
            <w:gridSpan w:val="2"/>
          </w:tcPr>
          <w:p w:rsidR="00770C24" w:rsidRPr="00826A8B" w:rsidRDefault="001A019C" w:rsidP="00826A8B">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826A8B">
              <w:rPr>
                <w:rStyle w:val="AERbody"/>
                <w:sz w:val="16"/>
              </w:rPr>
              <w:t>Alternative control</w:t>
            </w:r>
          </w:p>
        </w:tc>
        <w:tc>
          <w:tcPr>
            <w:tcW w:w="2913" w:type="dxa"/>
          </w:tcPr>
          <w:p w:rsidR="00770C24" w:rsidRPr="00826A8B" w:rsidRDefault="00826A8B" w:rsidP="00826A8B">
            <w:pPr>
              <w:pStyle w:val="AERtabletextleft"/>
              <w:cnfStyle w:val="000000000000" w:firstRow="0" w:lastRow="0" w:firstColumn="0" w:lastColumn="0" w:oddVBand="0" w:evenVBand="0" w:oddHBand="0" w:evenHBand="0" w:firstRowFirstColumn="0" w:firstRowLastColumn="0" w:lastRowFirstColumn="0" w:lastRowLastColumn="0"/>
              <w:rPr>
                <w:rStyle w:val="AERbody"/>
                <w:sz w:val="16"/>
              </w:rPr>
            </w:pPr>
            <w:r w:rsidRPr="00826A8B">
              <w:rPr>
                <w:rStyle w:val="AERbody"/>
                <w:sz w:val="16"/>
              </w:rPr>
              <w:t>Alternative control</w:t>
            </w:r>
          </w:p>
        </w:tc>
      </w:tr>
      <w:tr w:rsidR="00770C24" w:rsidRPr="00FF11FC" w:rsidTr="00B06A0C">
        <w:trPr>
          <w:cnfStyle w:val="000000010000" w:firstRow="0" w:lastRow="0" w:firstColumn="0" w:lastColumn="0" w:oddVBand="0" w:evenVBand="0" w:oddHBand="0" w:evenHBand="1"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532" w:type="dxa"/>
          </w:tcPr>
          <w:p w:rsidR="00770C24" w:rsidRPr="00770C24" w:rsidRDefault="00826A8B" w:rsidP="00123C9D">
            <w:pPr>
              <w:pStyle w:val="AERtabletextleft"/>
              <w:rPr>
                <w:rStyle w:val="AERbody"/>
              </w:rPr>
            </w:pPr>
            <w:r>
              <w:rPr>
                <w:rStyle w:val="AERtextbold"/>
              </w:rPr>
              <w:t>New</w:t>
            </w:r>
            <w:r w:rsidR="00770C24">
              <w:rPr>
                <w:rStyle w:val="AERtextbold"/>
              </w:rPr>
              <w:t xml:space="preserve"> connections</w:t>
            </w:r>
            <w:r>
              <w:rPr>
                <w:rStyle w:val="AERtextbold"/>
              </w:rPr>
              <w:t xml:space="preserve"> requiring augmentation</w:t>
            </w:r>
            <w:r w:rsidR="00770C24" w:rsidRPr="00770C24">
              <w:rPr>
                <w:rStyle w:val="AERbody"/>
                <w:sz w:val="16"/>
              </w:rPr>
              <w:t>.</w:t>
            </w:r>
            <w:r w:rsidR="00123C9D">
              <w:rPr>
                <w:rStyle w:val="CommentReference"/>
                <w:rFonts w:eastAsia="Calibri"/>
              </w:rPr>
              <w:t xml:space="preserve"> </w:t>
            </w:r>
          </w:p>
        </w:tc>
        <w:tc>
          <w:tcPr>
            <w:tcW w:w="2797" w:type="dxa"/>
            <w:gridSpan w:val="2"/>
          </w:tcPr>
          <w:p w:rsidR="00770C24" w:rsidRPr="00826A8B" w:rsidRDefault="00826A8B" w:rsidP="00826A8B">
            <w:pPr>
              <w:pStyle w:val="AERtabletextleft"/>
              <w:cnfStyle w:val="000000010000" w:firstRow="0" w:lastRow="0" w:firstColumn="0" w:lastColumn="0" w:oddVBand="0" w:evenVBand="0" w:oddHBand="0" w:evenHBand="1" w:firstRowFirstColumn="0" w:firstRowLastColumn="0" w:lastRowFirstColumn="0" w:lastRowLastColumn="0"/>
              <w:rPr>
                <w:rStyle w:val="AERbody"/>
                <w:sz w:val="16"/>
              </w:rPr>
            </w:pPr>
            <w:r w:rsidRPr="00826A8B">
              <w:rPr>
                <w:rStyle w:val="AERbody"/>
                <w:sz w:val="16"/>
              </w:rPr>
              <w:t>Standard</w:t>
            </w:r>
            <w:r w:rsidR="00770C24" w:rsidRPr="00826A8B">
              <w:rPr>
                <w:rStyle w:val="AERbody"/>
                <w:sz w:val="16"/>
              </w:rPr>
              <w:t xml:space="preserve"> control</w:t>
            </w:r>
          </w:p>
        </w:tc>
        <w:tc>
          <w:tcPr>
            <w:tcW w:w="2913" w:type="dxa"/>
          </w:tcPr>
          <w:p w:rsidR="00770C24" w:rsidRPr="00826A8B" w:rsidRDefault="00826A8B" w:rsidP="00826A8B">
            <w:pPr>
              <w:pStyle w:val="AERtabletextleft"/>
              <w:cnfStyle w:val="000000010000" w:firstRow="0" w:lastRow="0" w:firstColumn="0" w:lastColumn="0" w:oddVBand="0" w:evenVBand="0" w:oddHBand="0" w:evenHBand="1" w:firstRowFirstColumn="0" w:firstRowLastColumn="0" w:lastRowFirstColumn="0" w:lastRowLastColumn="0"/>
              <w:rPr>
                <w:rStyle w:val="AERbody"/>
                <w:sz w:val="16"/>
              </w:rPr>
            </w:pPr>
            <w:r w:rsidRPr="00826A8B">
              <w:rPr>
                <w:rStyle w:val="AERbody"/>
                <w:sz w:val="16"/>
              </w:rPr>
              <w:t>Standard</w:t>
            </w:r>
            <w:r w:rsidR="00770C24" w:rsidRPr="00826A8B">
              <w:rPr>
                <w:rStyle w:val="AERbody"/>
                <w:sz w:val="16"/>
              </w:rPr>
              <w:t xml:space="preserve"> control</w:t>
            </w:r>
          </w:p>
        </w:tc>
      </w:tr>
      <w:tr w:rsidR="00826A8B" w:rsidRPr="0026094D" w:rsidTr="00B06A0C">
        <w:trPr>
          <w:trHeight w:val="499"/>
        </w:trPr>
        <w:tc>
          <w:tcPr>
            <w:cnfStyle w:val="001000000000" w:firstRow="0" w:lastRow="0" w:firstColumn="1" w:lastColumn="0" w:oddVBand="0" w:evenVBand="0" w:oddHBand="0" w:evenHBand="0" w:firstRowFirstColumn="0" w:firstRowLastColumn="0" w:lastRowFirstColumn="0" w:lastRowLastColumn="0"/>
            <w:tcW w:w="3532" w:type="dxa"/>
          </w:tcPr>
          <w:p w:rsidR="00826A8B" w:rsidRPr="00826A8B" w:rsidRDefault="00826A8B" w:rsidP="00826A8B">
            <w:pPr>
              <w:pStyle w:val="AERtabletextleft"/>
              <w:rPr>
                <w:rStyle w:val="AERtextbold"/>
              </w:rPr>
            </w:pPr>
            <w:r>
              <w:rPr>
                <w:rStyle w:val="AERtextbold"/>
              </w:rPr>
              <w:t>Temporary connections and disconnections</w:t>
            </w:r>
          </w:p>
        </w:tc>
        <w:tc>
          <w:tcPr>
            <w:tcW w:w="2797" w:type="dxa"/>
            <w:gridSpan w:val="2"/>
          </w:tcPr>
          <w:p w:rsidR="00826A8B" w:rsidRPr="00826A8B" w:rsidRDefault="00826A8B" w:rsidP="00826A8B">
            <w:pPr>
              <w:pStyle w:val="AERtabletextleft"/>
              <w:cnfStyle w:val="000000000000" w:firstRow="0" w:lastRow="0" w:firstColumn="0" w:lastColumn="0" w:oddVBand="0" w:evenVBand="0" w:oddHBand="0" w:evenHBand="0" w:firstRowFirstColumn="0" w:firstRowLastColumn="0" w:lastRowFirstColumn="0" w:lastRowLastColumn="0"/>
              <w:rPr>
                <w:rStyle w:val="AERbody"/>
                <w:sz w:val="16"/>
              </w:rPr>
            </w:pPr>
            <w:r w:rsidRPr="00826A8B">
              <w:rPr>
                <w:rStyle w:val="AERbody"/>
                <w:sz w:val="16"/>
              </w:rPr>
              <w:t>Alternative control</w:t>
            </w:r>
          </w:p>
        </w:tc>
        <w:tc>
          <w:tcPr>
            <w:tcW w:w="2913" w:type="dxa"/>
          </w:tcPr>
          <w:p w:rsidR="00826A8B" w:rsidRPr="00826A8B" w:rsidRDefault="00826A8B" w:rsidP="00826A8B">
            <w:pPr>
              <w:pStyle w:val="AERtabletextleft"/>
              <w:cnfStyle w:val="000000000000" w:firstRow="0" w:lastRow="0" w:firstColumn="0" w:lastColumn="0" w:oddVBand="0" w:evenVBand="0" w:oddHBand="0" w:evenHBand="0" w:firstRowFirstColumn="0" w:firstRowLastColumn="0" w:lastRowFirstColumn="0" w:lastRowLastColumn="0"/>
              <w:rPr>
                <w:rStyle w:val="AERbody"/>
                <w:sz w:val="16"/>
              </w:rPr>
            </w:pPr>
            <w:r w:rsidRPr="00826A8B">
              <w:rPr>
                <w:rStyle w:val="AERbody"/>
                <w:sz w:val="16"/>
              </w:rPr>
              <w:t>Alternative control</w:t>
            </w:r>
          </w:p>
        </w:tc>
      </w:tr>
      <w:tr w:rsidR="00826A8B" w:rsidRPr="0026094D" w:rsidTr="00B06A0C">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532" w:type="dxa"/>
          </w:tcPr>
          <w:p w:rsidR="00826A8B" w:rsidRPr="00826A8B" w:rsidRDefault="007D1EDB" w:rsidP="00826A8B">
            <w:pPr>
              <w:pStyle w:val="AERtabletextleft"/>
              <w:rPr>
                <w:rStyle w:val="AERtextbold"/>
              </w:rPr>
            </w:pPr>
            <w:r>
              <w:rPr>
                <w:rStyle w:val="AERtextbold"/>
              </w:rPr>
              <w:t xml:space="preserve">Inspection of </w:t>
            </w:r>
            <w:r w:rsidR="00826A8B">
              <w:rPr>
                <w:rStyle w:val="AERtextbold"/>
              </w:rPr>
              <w:t xml:space="preserve">PV </w:t>
            </w:r>
            <w:r w:rsidR="00826A8B" w:rsidRPr="00826A8B">
              <w:rPr>
                <w:rStyle w:val="AERtextbold"/>
              </w:rPr>
              <w:t>installation</w:t>
            </w:r>
            <w:r>
              <w:rPr>
                <w:rStyle w:val="AERtextbold"/>
              </w:rPr>
              <w:t xml:space="preserve"> site</w:t>
            </w:r>
          </w:p>
        </w:tc>
        <w:tc>
          <w:tcPr>
            <w:tcW w:w="2797" w:type="dxa"/>
            <w:gridSpan w:val="2"/>
          </w:tcPr>
          <w:p w:rsidR="00826A8B" w:rsidRPr="00826A8B" w:rsidRDefault="00826A8B" w:rsidP="00826A8B">
            <w:pPr>
              <w:pStyle w:val="AERtabletextleft"/>
              <w:cnfStyle w:val="000000010000" w:firstRow="0" w:lastRow="0" w:firstColumn="0" w:lastColumn="0" w:oddVBand="0" w:evenVBand="0" w:oddHBand="0" w:evenHBand="1" w:firstRowFirstColumn="0" w:firstRowLastColumn="0" w:lastRowFirstColumn="0" w:lastRowLastColumn="0"/>
              <w:rPr>
                <w:rStyle w:val="AERbody"/>
                <w:sz w:val="16"/>
              </w:rPr>
            </w:pPr>
            <w:r w:rsidRPr="00826A8B">
              <w:rPr>
                <w:rStyle w:val="AERbody"/>
                <w:sz w:val="16"/>
              </w:rPr>
              <w:t>Alternative control</w:t>
            </w:r>
          </w:p>
        </w:tc>
        <w:tc>
          <w:tcPr>
            <w:tcW w:w="2913" w:type="dxa"/>
          </w:tcPr>
          <w:p w:rsidR="00826A8B" w:rsidRPr="00826A8B" w:rsidRDefault="00826A8B" w:rsidP="00826A8B">
            <w:pPr>
              <w:pStyle w:val="AERtabletextleft"/>
              <w:cnfStyle w:val="000000010000" w:firstRow="0" w:lastRow="0" w:firstColumn="0" w:lastColumn="0" w:oddVBand="0" w:evenVBand="0" w:oddHBand="0" w:evenHBand="1" w:firstRowFirstColumn="0" w:firstRowLastColumn="0" w:lastRowFirstColumn="0" w:lastRowLastColumn="0"/>
              <w:rPr>
                <w:rStyle w:val="AERbody"/>
                <w:sz w:val="16"/>
              </w:rPr>
            </w:pPr>
            <w:r w:rsidRPr="00826A8B">
              <w:rPr>
                <w:rStyle w:val="AERbody"/>
                <w:sz w:val="16"/>
              </w:rPr>
              <w:t>Alternative control</w:t>
            </w:r>
          </w:p>
        </w:tc>
      </w:tr>
      <w:tr w:rsidR="00826A8B" w:rsidRPr="0026094D" w:rsidTr="00B06A0C">
        <w:trPr>
          <w:trHeight w:val="499"/>
        </w:trPr>
        <w:tc>
          <w:tcPr>
            <w:cnfStyle w:val="001000000000" w:firstRow="0" w:lastRow="0" w:firstColumn="1" w:lastColumn="0" w:oddVBand="0" w:evenVBand="0" w:oddHBand="0" w:evenHBand="0" w:firstRowFirstColumn="0" w:firstRowLastColumn="0" w:lastRowFirstColumn="0" w:lastRowLastColumn="0"/>
            <w:tcW w:w="3532" w:type="dxa"/>
          </w:tcPr>
          <w:p w:rsidR="00826A8B" w:rsidRPr="00826A8B" w:rsidRDefault="00826A8B" w:rsidP="00826A8B">
            <w:pPr>
              <w:pStyle w:val="AERtabletextleft"/>
              <w:rPr>
                <w:rStyle w:val="AERtextbold"/>
              </w:rPr>
            </w:pPr>
            <w:r>
              <w:rPr>
                <w:rStyle w:val="AERtextbold"/>
              </w:rPr>
              <w:t>Energisation and de-energisation</w:t>
            </w:r>
          </w:p>
        </w:tc>
        <w:tc>
          <w:tcPr>
            <w:tcW w:w="2797" w:type="dxa"/>
            <w:gridSpan w:val="2"/>
          </w:tcPr>
          <w:p w:rsidR="00826A8B" w:rsidRPr="00826A8B" w:rsidRDefault="00826A8B" w:rsidP="00826A8B">
            <w:pPr>
              <w:pStyle w:val="AERtabletextleft"/>
              <w:cnfStyle w:val="000000000000" w:firstRow="0" w:lastRow="0" w:firstColumn="0" w:lastColumn="0" w:oddVBand="0" w:evenVBand="0" w:oddHBand="0" w:evenHBand="0" w:firstRowFirstColumn="0" w:firstRowLastColumn="0" w:lastRowFirstColumn="0" w:lastRowLastColumn="0"/>
              <w:rPr>
                <w:rStyle w:val="AERbody"/>
                <w:sz w:val="16"/>
              </w:rPr>
            </w:pPr>
            <w:r w:rsidRPr="00826A8B">
              <w:rPr>
                <w:rStyle w:val="AERbody"/>
                <w:sz w:val="16"/>
              </w:rPr>
              <w:t>Alternative control</w:t>
            </w:r>
          </w:p>
        </w:tc>
        <w:tc>
          <w:tcPr>
            <w:tcW w:w="2913" w:type="dxa"/>
          </w:tcPr>
          <w:p w:rsidR="00826A8B" w:rsidRPr="00826A8B" w:rsidRDefault="00826A8B" w:rsidP="00826A8B">
            <w:pPr>
              <w:pStyle w:val="AERtabletextleft"/>
              <w:cnfStyle w:val="000000000000" w:firstRow="0" w:lastRow="0" w:firstColumn="0" w:lastColumn="0" w:oddVBand="0" w:evenVBand="0" w:oddHBand="0" w:evenHBand="0" w:firstRowFirstColumn="0" w:firstRowLastColumn="0" w:lastRowFirstColumn="0" w:lastRowLastColumn="0"/>
              <w:rPr>
                <w:rStyle w:val="AERbody"/>
                <w:sz w:val="16"/>
              </w:rPr>
            </w:pPr>
            <w:r w:rsidRPr="00826A8B">
              <w:rPr>
                <w:rStyle w:val="AERbody"/>
                <w:sz w:val="16"/>
              </w:rPr>
              <w:t>Alternative control</w:t>
            </w:r>
          </w:p>
        </w:tc>
      </w:tr>
      <w:tr w:rsidR="00826A8B" w:rsidRPr="0026094D" w:rsidTr="00B06A0C">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3532" w:type="dxa"/>
          </w:tcPr>
          <w:p w:rsidR="00826A8B" w:rsidRPr="00770C24" w:rsidRDefault="00405518" w:rsidP="00D5187F">
            <w:pPr>
              <w:pStyle w:val="AERtabletextleft"/>
              <w:rPr>
                <w:rStyle w:val="AERtextbold"/>
              </w:rPr>
            </w:pPr>
            <w:r>
              <w:rPr>
                <w:rStyle w:val="AERtextbold"/>
              </w:rPr>
              <w:t>Supply enhancement at customer request</w:t>
            </w:r>
          </w:p>
        </w:tc>
        <w:tc>
          <w:tcPr>
            <w:tcW w:w="2797" w:type="dxa"/>
            <w:gridSpan w:val="2"/>
          </w:tcPr>
          <w:p w:rsidR="00826A8B" w:rsidRPr="00405518" w:rsidRDefault="00405518" w:rsidP="00405518">
            <w:pPr>
              <w:pStyle w:val="AERtabletextleft"/>
              <w:cnfStyle w:val="000000010000" w:firstRow="0" w:lastRow="0" w:firstColumn="0" w:lastColumn="0" w:oddVBand="0" w:evenVBand="0" w:oddHBand="0" w:evenHBand="1" w:firstRowFirstColumn="0" w:firstRowLastColumn="0" w:lastRowFirstColumn="0" w:lastRowLastColumn="0"/>
              <w:rPr>
                <w:rStyle w:val="AERbody"/>
                <w:sz w:val="16"/>
              </w:rPr>
            </w:pPr>
            <w:r w:rsidRPr="00405518">
              <w:rPr>
                <w:rStyle w:val="AERbody"/>
                <w:sz w:val="16"/>
              </w:rPr>
              <w:t>Alternative control</w:t>
            </w:r>
          </w:p>
        </w:tc>
        <w:tc>
          <w:tcPr>
            <w:tcW w:w="2913" w:type="dxa"/>
          </w:tcPr>
          <w:p w:rsidR="00826A8B" w:rsidRPr="00432E14" w:rsidRDefault="00405518" w:rsidP="00E27C6F">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432E14">
              <w:rPr>
                <w:rStyle w:val="AERbody"/>
                <w:sz w:val="16"/>
              </w:rPr>
              <w:t>Unclassified</w:t>
            </w:r>
            <w:r w:rsidR="00E27C6F">
              <w:rPr>
                <w:rStyle w:val="FootnoteReference"/>
              </w:rPr>
              <w:footnoteReference w:id="52"/>
            </w:r>
          </w:p>
        </w:tc>
      </w:tr>
      <w:tr w:rsidR="00826A8B" w:rsidRPr="0026094D" w:rsidTr="00B06A0C">
        <w:trPr>
          <w:trHeight w:val="499"/>
        </w:trPr>
        <w:tc>
          <w:tcPr>
            <w:cnfStyle w:val="001000000000" w:firstRow="0" w:lastRow="0" w:firstColumn="1" w:lastColumn="0" w:oddVBand="0" w:evenVBand="0" w:oddHBand="0" w:evenHBand="0" w:firstRowFirstColumn="0" w:firstRowLastColumn="0" w:lastRowFirstColumn="0" w:lastRowLastColumn="0"/>
            <w:tcW w:w="3532" w:type="dxa"/>
          </w:tcPr>
          <w:p w:rsidR="00826A8B" w:rsidRPr="00770C24" w:rsidRDefault="00405518" w:rsidP="00826A8B">
            <w:pPr>
              <w:pStyle w:val="AERtabletextleft"/>
              <w:rPr>
                <w:rStyle w:val="AERtextbold"/>
              </w:rPr>
            </w:pPr>
            <w:r>
              <w:rPr>
                <w:rStyle w:val="AERtextbold"/>
              </w:rPr>
              <w:t>Operate and maintain connection assets (captured as network services)</w:t>
            </w:r>
          </w:p>
        </w:tc>
        <w:tc>
          <w:tcPr>
            <w:tcW w:w="2797" w:type="dxa"/>
            <w:gridSpan w:val="2"/>
          </w:tcPr>
          <w:p w:rsidR="00826A8B" w:rsidRPr="00405518" w:rsidRDefault="00405518" w:rsidP="00405518">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405518">
              <w:rPr>
                <w:rStyle w:val="AERbody"/>
                <w:sz w:val="16"/>
              </w:rPr>
              <w:t>Standard control</w:t>
            </w:r>
          </w:p>
        </w:tc>
        <w:tc>
          <w:tcPr>
            <w:tcW w:w="2913" w:type="dxa"/>
          </w:tcPr>
          <w:p w:rsidR="00826A8B" w:rsidRPr="00405518" w:rsidRDefault="00405518" w:rsidP="00405518">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405518">
              <w:rPr>
                <w:rStyle w:val="AERbody"/>
                <w:sz w:val="16"/>
              </w:rPr>
              <w:t>Standard control</w:t>
            </w:r>
          </w:p>
        </w:tc>
      </w:tr>
    </w:tbl>
    <w:p w:rsidR="0072542C" w:rsidRDefault="00770C24" w:rsidP="00770C24">
      <w:pPr>
        <w:pStyle w:val="AERtabletextleft"/>
        <w:rPr>
          <w:rStyle w:val="AERbody"/>
        </w:rPr>
      </w:pPr>
      <w:r>
        <w:rPr>
          <w:rStyle w:val="AERbody"/>
        </w:rPr>
        <w:t>We</w:t>
      </w:r>
      <w:r w:rsidRPr="00A51E4C">
        <w:rPr>
          <w:rStyle w:val="AERbody"/>
        </w:rPr>
        <w:t xml:space="preserve"> consider each connection type</w:t>
      </w:r>
      <w:r>
        <w:rPr>
          <w:rStyle w:val="AERbody"/>
        </w:rPr>
        <w:t xml:space="preserve"> separately below</w:t>
      </w:r>
      <w:r w:rsidRPr="00A51E4C">
        <w:rPr>
          <w:rStyle w:val="AERbody"/>
        </w:rPr>
        <w:t>.</w:t>
      </w:r>
      <w:r w:rsidRPr="00A51E4C">
        <w:rPr>
          <w:rStyle w:val="AERsuperscript"/>
        </w:rPr>
        <w:footnoteReference w:id="53"/>
      </w:r>
    </w:p>
    <w:p w:rsidR="00770C24" w:rsidRPr="00B06A0C" w:rsidRDefault="00F42CAE" w:rsidP="00F42CAE">
      <w:pPr>
        <w:pStyle w:val="HeadingBoldBlue"/>
        <w:rPr>
          <w:rStyle w:val="AERbody"/>
          <w:color w:val="365F91" w:themeColor="accent1" w:themeShade="BF"/>
          <w:sz w:val="24"/>
        </w:rPr>
      </w:pPr>
      <w:r w:rsidRPr="00F42CAE">
        <w:rPr>
          <w:rStyle w:val="AERbody"/>
          <w:color w:val="365F91" w:themeColor="accent1" w:themeShade="BF"/>
          <w:sz w:val="24"/>
        </w:rPr>
        <w:t>Routine</w:t>
      </w:r>
      <w:r w:rsidR="00770C24" w:rsidRPr="00B06A0C">
        <w:rPr>
          <w:rStyle w:val="AERbody"/>
          <w:color w:val="365F91" w:themeColor="accent1" w:themeShade="BF"/>
          <w:sz w:val="24"/>
        </w:rPr>
        <w:t xml:space="preserve"> connections</w:t>
      </w:r>
    </w:p>
    <w:p w:rsidR="007C2558" w:rsidRDefault="00770C24" w:rsidP="007C2558">
      <w:pPr>
        <w:pStyle w:val="AERbodytext"/>
        <w:numPr>
          <w:ilvl w:val="0"/>
          <w:numId w:val="0"/>
        </w:numPr>
        <w:rPr>
          <w:rStyle w:val="AERbody"/>
        </w:rPr>
      </w:pPr>
      <w:r>
        <w:rPr>
          <w:rStyle w:val="AERbody"/>
        </w:rPr>
        <w:t xml:space="preserve">We currently classify </w:t>
      </w:r>
      <w:r w:rsidR="001A4950">
        <w:rPr>
          <w:rStyle w:val="AERbody"/>
        </w:rPr>
        <w:t>routine</w:t>
      </w:r>
      <w:r>
        <w:rPr>
          <w:rStyle w:val="AERbody"/>
        </w:rPr>
        <w:t xml:space="preserve"> connections</w:t>
      </w:r>
      <w:r w:rsidR="001A4950">
        <w:rPr>
          <w:rStyle w:val="AERbody"/>
        </w:rPr>
        <w:t xml:space="preserve"> </w:t>
      </w:r>
      <w:r w:rsidR="007C2558">
        <w:rPr>
          <w:rStyle w:val="AERbody"/>
        </w:rPr>
        <w:t xml:space="preserve">(that is, connections that do not require augmentation of the shared network) </w:t>
      </w:r>
      <w:r>
        <w:rPr>
          <w:rStyle w:val="AERbody"/>
        </w:rPr>
        <w:t xml:space="preserve">as direct control and </w:t>
      </w:r>
      <w:r w:rsidR="001A4950">
        <w:rPr>
          <w:rStyle w:val="AERbody"/>
        </w:rPr>
        <w:t>alternative</w:t>
      </w:r>
      <w:r>
        <w:rPr>
          <w:rStyle w:val="AERbody"/>
        </w:rPr>
        <w:t xml:space="preserve"> control services</w:t>
      </w:r>
      <w:r w:rsidRPr="00724407">
        <w:rPr>
          <w:rStyle w:val="AERbody"/>
        </w:rPr>
        <w:t>.</w:t>
      </w:r>
      <w:r w:rsidDel="0057689D">
        <w:rPr>
          <w:rStyle w:val="FootnoteReference"/>
        </w:rPr>
        <w:t xml:space="preserve"> </w:t>
      </w:r>
      <w:r w:rsidRPr="00724407">
        <w:rPr>
          <w:rStyle w:val="AERbody"/>
        </w:rPr>
        <w:t xml:space="preserve"> </w:t>
      </w:r>
    </w:p>
    <w:p w:rsidR="007C2558" w:rsidRPr="007C2558" w:rsidRDefault="007C2558" w:rsidP="007C2558">
      <w:pPr>
        <w:pStyle w:val="AERbodytext"/>
        <w:rPr>
          <w:rStyle w:val="AERbody"/>
        </w:rPr>
      </w:pPr>
      <w:r w:rsidRPr="007C2558">
        <w:rPr>
          <w:rStyle w:val="AERbody"/>
        </w:rPr>
        <w:t>New connections requiring augmentation are</w:t>
      </w:r>
      <w:r w:rsidR="003B675B">
        <w:rPr>
          <w:rStyle w:val="AERbody"/>
        </w:rPr>
        <w:t xml:space="preserve"> subject to limited</w:t>
      </w:r>
      <w:r w:rsidRPr="007C2558">
        <w:rPr>
          <w:rStyle w:val="AERbody"/>
        </w:rPr>
        <w:t xml:space="preserve"> contestab</w:t>
      </w:r>
      <w:r w:rsidR="003B675B">
        <w:rPr>
          <w:rStyle w:val="AERbody"/>
        </w:rPr>
        <w:t>ility</w:t>
      </w:r>
      <w:r w:rsidRPr="007C2558">
        <w:rPr>
          <w:rStyle w:val="AERbody"/>
        </w:rPr>
        <w:t xml:space="preserve"> under the Victorian Electricity Industry Guideline 14. </w:t>
      </w:r>
      <w:r w:rsidR="00DB625D">
        <w:rPr>
          <w:rStyle w:val="AERbody"/>
        </w:rPr>
        <w:t xml:space="preserve">This means a process exists under Guideline 14 for the distributor to arrange competitive tenders by an authorised contractor to perform connection works that require components of the distributors system to be upgraded. </w:t>
      </w:r>
      <w:r>
        <w:rPr>
          <w:rStyle w:val="AERbody"/>
        </w:rPr>
        <w:t>Routine connections that do not require augmentation of the shared network are not made contestable under Guideline 14.</w:t>
      </w:r>
    </w:p>
    <w:p w:rsidR="007C2558" w:rsidRDefault="007C2558" w:rsidP="007C2558">
      <w:pPr>
        <w:pStyle w:val="AERbodytext"/>
        <w:numPr>
          <w:ilvl w:val="0"/>
          <w:numId w:val="0"/>
        </w:numPr>
        <w:rPr>
          <w:rStyle w:val="AERbody"/>
        </w:rPr>
      </w:pPr>
      <w:r>
        <w:t xml:space="preserve">The </w:t>
      </w:r>
      <w:r w:rsidR="00850953">
        <w:t xml:space="preserve">Victorian </w:t>
      </w:r>
      <w:r>
        <w:t xml:space="preserve">distributors </w:t>
      </w:r>
      <w:r w:rsidRPr="007C2558">
        <w:t>can identify costs associated with</w:t>
      </w:r>
      <w:r>
        <w:t xml:space="preserve"> </w:t>
      </w:r>
      <w:r w:rsidRPr="007C2558">
        <w:t>the provision of the</w:t>
      </w:r>
      <w:r>
        <w:t>se</w:t>
      </w:r>
      <w:r w:rsidRPr="007C2558">
        <w:t xml:space="preserve"> service</w:t>
      </w:r>
      <w:r>
        <w:t>s</w:t>
      </w:r>
      <w:r w:rsidRPr="007C2558">
        <w:t xml:space="preserve"> and can attribute those costs to individual customers who</w:t>
      </w:r>
      <w:r>
        <w:t xml:space="preserve"> </w:t>
      </w:r>
      <w:r w:rsidRPr="007C2558">
        <w:t>receive those services</w:t>
      </w:r>
      <w:r>
        <w:t>.</w:t>
      </w:r>
      <w:r w:rsidRPr="007C2558">
        <w:t xml:space="preserve"> </w:t>
      </w:r>
      <w:r>
        <w:t>Therefore our</w:t>
      </w:r>
      <w:r>
        <w:rPr>
          <w:rStyle w:val="AERbody"/>
        </w:rPr>
        <w:t xml:space="preserve"> preliminary position is to retain the alternative control classification of these services.</w:t>
      </w:r>
    </w:p>
    <w:p w:rsidR="00770C24" w:rsidRPr="00F42CAE" w:rsidRDefault="00F42CAE" w:rsidP="00F42CAE">
      <w:pPr>
        <w:pStyle w:val="HeadingBoldBlue"/>
        <w:rPr>
          <w:rStyle w:val="AERbody"/>
          <w:color w:val="365F91" w:themeColor="accent1" w:themeShade="BF"/>
          <w:sz w:val="24"/>
        </w:rPr>
      </w:pPr>
      <w:r w:rsidRPr="00F42CAE">
        <w:rPr>
          <w:rStyle w:val="AERbody"/>
          <w:color w:val="365F91" w:themeColor="accent1" w:themeShade="BF"/>
          <w:sz w:val="24"/>
        </w:rPr>
        <w:t>New</w:t>
      </w:r>
      <w:r w:rsidR="00770C24" w:rsidRPr="00F42CAE">
        <w:rPr>
          <w:rStyle w:val="AERbody"/>
          <w:color w:val="365F91" w:themeColor="accent1" w:themeShade="BF"/>
          <w:sz w:val="24"/>
        </w:rPr>
        <w:t xml:space="preserve"> connections</w:t>
      </w:r>
      <w:r w:rsidRPr="00F42CAE">
        <w:rPr>
          <w:rStyle w:val="AERbody"/>
          <w:color w:val="365F91" w:themeColor="accent1" w:themeShade="BF"/>
          <w:sz w:val="24"/>
        </w:rPr>
        <w:t xml:space="preserve"> requiring augmentation</w:t>
      </w:r>
    </w:p>
    <w:p w:rsidR="0083206F" w:rsidRDefault="0083206F" w:rsidP="00770C24">
      <w:pPr>
        <w:pStyle w:val="AERbodytext"/>
        <w:rPr>
          <w:rStyle w:val="AERbody"/>
        </w:rPr>
      </w:pPr>
      <w:r>
        <w:rPr>
          <w:rStyle w:val="AERbody"/>
        </w:rPr>
        <w:t>We currently classify new connections requiring augmentation as direct control and standard control services.</w:t>
      </w:r>
    </w:p>
    <w:p w:rsidR="007F2F9B" w:rsidRDefault="007F2F9B" w:rsidP="00770C24">
      <w:pPr>
        <w:pStyle w:val="AERbodytext"/>
        <w:rPr>
          <w:rStyle w:val="AERbody"/>
        </w:rPr>
      </w:pPr>
      <w:r w:rsidRPr="007C2558">
        <w:rPr>
          <w:rStyle w:val="AERbody"/>
        </w:rPr>
        <w:t xml:space="preserve">New connections requiring augmentation are </w:t>
      </w:r>
      <w:r w:rsidR="00432E14">
        <w:rPr>
          <w:rStyle w:val="AERbody"/>
        </w:rPr>
        <w:t xml:space="preserve">subject to limited </w:t>
      </w:r>
      <w:r w:rsidR="00E27C6F" w:rsidRPr="007C2558">
        <w:rPr>
          <w:rStyle w:val="AERbody"/>
        </w:rPr>
        <w:t>contestab</w:t>
      </w:r>
      <w:r w:rsidR="00E27C6F">
        <w:rPr>
          <w:rStyle w:val="AERbody"/>
        </w:rPr>
        <w:t>ility</w:t>
      </w:r>
      <w:r w:rsidRPr="007C2558">
        <w:rPr>
          <w:rStyle w:val="AERbody"/>
        </w:rPr>
        <w:t xml:space="preserve"> under Guideline 14.</w:t>
      </w:r>
      <w:r>
        <w:rPr>
          <w:rStyle w:val="AERbody"/>
        </w:rPr>
        <w:t xml:space="preserve"> Guideline 14 also limits the amount of the customer's capital contribution that a </w:t>
      </w:r>
      <w:r w:rsidR="00850953">
        <w:rPr>
          <w:rStyle w:val="AERbody"/>
        </w:rPr>
        <w:t xml:space="preserve">Victorian </w:t>
      </w:r>
      <w:r>
        <w:rPr>
          <w:rStyle w:val="AERbody"/>
        </w:rPr>
        <w:t>distributor can charge for a connection requiring augmentation.</w:t>
      </w:r>
      <w:r w:rsidR="0083206F">
        <w:rPr>
          <w:rStyle w:val="AERbody"/>
        </w:rPr>
        <w:t xml:space="preserve"> In some instances the cost incurred by a </w:t>
      </w:r>
      <w:r w:rsidR="00850953">
        <w:rPr>
          <w:rStyle w:val="AERbody"/>
        </w:rPr>
        <w:t xml:space="preserve">Victorian </w:t>
      </w:r>
      <w:r w:rsidR="0083206F">
        <w:rPr>
          <w:rStyle w:val="AERbody"/>
        </w:rPr>
        <w:t xml:space="preserve">distributor of undertaking a connection requiring augmentation may be greater than the revenue recovered from the customer's capital contribution. In such instances, classifying these services as alternative control, negotiated, or unclassified may result in the </w:t>
      </w:r>
      <w:r w:rsidR="00850953">
        <w:rPr>
          <w:rStyle w:val="AERbody"/>
        </w:rPr>
        <w:t xml:space="preserve">Victorian </w:t>
      </w:r>
      <w:r w:rsidR="0083206F">
        <w:rPr>
          <w:rStyle w:val="AERbody"/>
        </w:rPr>
        <w:t xml:space="preserve">distributors being </w:t>
      </w:r>
      <w:r w:rsidR="0083206F">
        <w:rPr>
          <w:rStyle w:val="AERbody"/>
        </w:rPr>
        <w:lastRenderedPageBreak/>
        <w:t>unable to recover the full cost of providing the services.</w:t>
      </w:r>
      <w:r w:rsidR="0018088A">
        <w:rPr>
          <w:rStyle w:val="FootnoteReference"/>
        </w:rPr>
        <w:footnoteReference w:id="54"/>
      </w:r>
      <w:r w:rsidR="000D55E9">
        <w:rPr>
          <w:rStyle w:val="AERbody"/>
        </w:rPr>
        <w:t xml:space="preserve"> This was the rationale behind the current service classification.</w:t>
      </w:r>
    </w:p>
    <w:p w:rsidR="007F2F9B" w:rsidRDefault="000D55E9" w:rsidP="00770C24">
      <w:pPr>
        <w:pStyle w:val="AERbodytext"/>
        <w:rPr>
          <w:rStyle w:val="AERbody"/>
        </w:rPr>
      </w:pPr>
      <w:r>
        <w:rPr>
          <w:rStyle w:val="AERbody"/>
        </w:rPr>
        <w:t xml:space="preserve">As Guideline 14 continues to apply to the </w:t>
      </w:r>
      <w:r w:rsidR="00850953">
        <w:rPr>
          <w:rStyle w:val="AERbody"/>
        </w:rPr>
        <w:t xml:space="preserve">Victorian </w:t>
      </w:r>
      <w:r>
        <w:rPr>
          <w:rStyle w:val="AERbody"/>
        </w:rPr>
        <w:t>distributors, we propose to continue classifying new connections requiring augmentation as direct control and standard control services.</w:t>
      </w:r>
    </w:p>
    <w:p w:rsidR="00770C24" w:rsidRPr="00770C24" w:rsidRDefault="00452440" w:rsidP="00770C24">
      <w:pPr>
        <w:pStyle w:val="HeadingItalic"/>
        <w:rPr>
          <w:rStyle w:val="AERbody"/>
        </w:rPr>
      </w:pPr>
      <w:r>
        <w:t>Transition to NECF</w:t>
      </w:r>
    </w:p>
    <w:p w:rsidR="001F171F" w:rsidRPr="003434F8" w:rsidRDefault="001F171F" w:rsidP="00770C24">
      <w:pPr>
        <w:pStyle w:val="AERbodytext"/>
        <w:rPr>
          <w:rStyle w:val="AERbody"/>
        </w:rPr>
      </w:pPr>
      <w:r w:rsidRPr="003434F8">
        <w:rPr>
          <w:rStyle w:val="AERbody"/>
        </w:rPr>
        <w:t xml:space="preserve">The AER's preference is to maintain a common, nationally consistent approach to the matters we regulate. We also favour the competitive provision of connection services wherever practicable. In relation to connection services this is represented by the National Energy Customer Framework (NECF). The NECF is implemented by the inclusion of chapter 5A in the NER. This chapter does not currently apply in Victoria. </w:t>
      </w:r>
    </w:p>
    <w:p w:rsidR="004A542F" w:rsidRDefault="00E05460" w:rsidP="00770C24">
      <w:pPr>
        <w:pStyle w:val="AERbodytext"/>
        <w:rPr>
          <w:rStyle w:val="AERbody"/>
        </w:rPr>
      </w:pPr>
      <w:r>
        <w:rPr>
          <w:rStyle w:val="AERbody"/>
        </w:rPr>
        <w:t xml:space="preserve">The connection charging provisions of Victorian Electricity Industry Guideline 14 may cease to apply if Victoria adopts the </w:t>
      </w:r>
      <w:r w:rsidR="001F171F">
        <w:rPr>
          <w:rStyle w:val="AERbody"/>
        </w:rPr>
        <w:t xml:space="preserve">NECF </w:t>
      </w:r>
      <w:r w:rsidR="008D0A1C" w:rsidRPr="008D0A1C">
        <w:rPr>
          <w:rStyle w:val="AERbody"/>
        </w:rPr>
        <w:t xml:space="preserve">or if Victoria </w:t>
      </w:r>
      <w:r w:rsidR="00946AF2">
        <w:rPr>
          <w:rStyle w:val="AERbody"/>
        </w:rPr>
        <w:t xml:space="preserve">adopts </w:t>
      </w:r>
      <w:r w:rsidR="008D0A1C" w:rsidRPr="008D0A1C">
        <w:rPr>
          <w:rStyle w:val="AERbody"/>
        </w:rPr>
        <w:t>the application of chapter 5A directly</w:t>
      </w:r>
      <w:r>
        <w:rPr>
          <w:rStyle w:val="AERbody"/>
        </w:rPr>
        <w:t>.</w:t>
      </w:r>
      <w:r w:rsidR="004220A4">
        <w:rPr>
          <w:rStyle w:val="FootnoteReference"/>
        </w:rPr>
        <w:footnoteReference w:id="55"/>
      </w:r>
      <w:r w:rsidR="008D0A1C" w:rsidRPr="008D0A1C">
        <w:rPr>
          <w:rStyle w:val="AERsuperscript"/>
        </w:rPr>
        <w:t>,</w:t>
      </w:r>
      <w:r w:rsidR="008D0A1C" w:rsidRPr="008D0A1C">
        <w:rPr>
          <w:rStyle w:val="FootnoteReference"/>
        </w:rPr>
        <w:footnoteReference w:id="56"/>
      </w:r>
      <w:r w:rsidR="008D0A1C">
        <w:rPr>
          <w:rStyle w:val="AERbody"/>
        </w:rPr>
        <w:t xml:space="preserve"> </w:t>
      </w:r>
      <w:r w:rsidR="004220A4" w:rsidRPr="004220A4">
        <w:rPr>
          <w:rStyle w:val="AERbody"/>
        </w:rPr>
        <w:t xml:space="preserve">Victoria </w:t>
      </w:r>
      <w:r w:rsidR="004A542F">
        <w:rPr>
          <w:rStyle w:val="AERbody"/>
        </w:rPr>
        <w:t>may</w:t>
      </w:r>
      <w:r w:rsidR="004220A4" w:rsidRPr="004220A4">
        <w:rPr>
          <w:rStyle w:val="AERbody"/>
        </w:rPr>
        <w:t xml:space="preserve"> adopt the NECF subject to the resolution of state-specific issues.</w:t>
      </w:r>
      <w:r w:rsidR="004A542F">
        <w:rPr>
          <w:rStyle w:val="AERbody"/>
        </w:rPr>
        <w:t xml:space="preserve"> In either case, the enabling legislation would likely end the reliance on Guidelines 14 and 15 and substitute the adoption of the connections framework contained in </w:t>
      </w:r>
      <w:r w:rsidR="00403D07">
        <w:rPr>
          <w:rStyle w:val="AERbody"/>
        </w:rPr>
        <w:t>Chapter 5A of the</w:t>
      </w:r>
      <w:r w:rsidR="004A542F">
        <w:rPr>
          <w:rStyle w:val="AERbody"/>
        </w:rPr>
        <w:t xml:space="preserve"> NER. </w:t>
      </w:r>
      <w:r w:rsidR="00403D07">
        <w:rPr>
          <w:rStyle w:val="AERbody"/>
        </w:rPr>
        <w:t xml:space="preserve">This would bring the AER's </w:t>
      </w:r>
      <w:r w:rsidR="00873E21">
        <w:rPr>
          <w:rStyle w:val="AERbody"/>
        </w:rPr>
        <w:t>National</w:t>
      </w:r>
      <w:r w:rsidR="00403D07">
        <w:rPr>
          <w:rStyle w:val="AERbody"/>
        </w:rPr>
        <w:t xml:space="preserve"> Electricity Connection Guideline into operation.</w:t>
      </w:r>
      <w:r w:rsidR="00403D07">
        <w:rPr>
          <w:rStyle w:val="FootnoteReference"/>
        </w:rPr>
        <w:footnoteReference w:id="57"/>
      </w:r>
    </w:p>
    <w:p w:rsidR="00EC6B91" w:rsidRDefault="00EC6B91" w:rsidP="00D81F11">
      <w:pPr>
        <w:pStyle w:val="AERbodytext"/>
        <w:rPr>
          <w:rStyle w:val="AERbody"/>
        </w:rPr>
      </w:pPr>
      <w:r>
        <w:rPr>
          <w:rStyle w:val="AERbody"/>
        </w:rPr>
        <w:t xml:space="preserve">Victoria may </w:t>
      </w:r>
      <w:r w:rsidR="004A542F">
        <w:rPr>
          <w:rStyle w:val="AERbody"/>
        </w:rPr>
        <w:t xml:space="preserve">also </w:t>
      </w:r>
      <w:r>
        <w:rPr>
          <w:rStyle w:val="AERbody"/>
        </w:rPr>
        <w:t xml:space="preserve">adopt the NECF </w:t>
      </w:r>
      <w:r w:rsidR="004A542F">
        <w:rPr>
          <w:rStyle w:val="AERbody"/>
        </w:rPr>
        <w:t xml:space="preserve">or chapter 5A </w:t>
      </w:r>
      <w:r>
        <w:rPr>
          <w:rStyle w:val="AERbody"/>
        </w:rPr>
        <w:t xml:space="preserve">while maintaining the application of the charging provisions of Guideline 14. </w:t>
      </w:r>
      <w:r w:rsidR="006C5BB2">
        <w:rPr>
          <w:rStyle w:val="AERbody"/>
        </w:rPr>
        <w:t>Our p</w:t>
      </w:r>
      <w:r w:rsidR="004A542F">
        <w:rPr>
          <w:rStyle w:val="AERbody"/>
        </w:rPr>
        <w:t xml:space="preserve">reliminary </w:t>
      </w:r>
      <w:r w:rsidR="00D81F11">
        <w:rPr>
          <w:rStyle w:val="AERbody"/>
        </w:rPr>
        <w:t>discussions with the Victorian Department of</w:t>
      </w:r>
      <w:r w:rsidR="00D81F11" w:rsidRPr="00D81F11">
        <w:rPr>
          <w:rStyle w:val="AERbody"/>
        </w:rPr>
        <w:t xml:space="preserve"> State Development</w:t>
      </w:r>
      <w:r w:rsidR="00D81F11">
        <w:rPr>
          <w:rStyle w:val="AERbody"/>
        </w:rPr>
        <w:t xml:space="preserve">, </w:t>
      </w:r>
      <w:r w:rsidR="00D81F11" w:rsidRPr="00D81F11">
        <w:rPr>
          <w:rStyle w:val="AERbody"/>
        </w:rPr>
        <w:t>Business</w:t>
      </w:r>
      <w:r w:rsidR="00D81F11">
        <w:rPr>
          <w:rStyle w:val="AERbody"/>
        </w:rPr>
        <w:t xml:space="preserve"> &amp;</w:t>
      </w:r>
      <w:r w:rsidR="00D81F11" w:rsidRPr="00D81F11">
        <w:rPr>
          <w:rStyle w:val="AERbody"/>
        </w:rPr>
        <w:t xml:space="preserve">  Innovation </w:t>
      </w:r>
      <w:r w:rsidR="00D81F11">
        <w:rPr>
          <w:rStyle w:val="AERbody"/>
        </w:rPr>
        <w:t>suggest this</w:t>
      </w:r>
      <w:r w:rsidR="006C5BB2">
        <w:rPr>
          <w:rStyle w:val="AERbody"/>
        </w:rPr>
        <w:t xml:space="preserve"> option</w:t>
      </w:r>
      <w:r w:rsidR="00D81F11">
        <w:rPr>
          <w:rStyle w:val="AERbody"/>
        </w:rPr>
        <w:t xml:space="preserve"> is unlikely to occur. However, i</w:t>
      </w:r>
      <w:r>
        <w:rPr>
          <w:rStyle w:val="AERbody"/>
        </w:rPr>
        <w:t xml:space="preserve">f this </w:t>
      </w:r>
      <w:r w:rsidR="006C5BB2">
        <w:rPr>
          <w:rStyle w:val="AERbody"/>
        </w:rPr>
        <w:t>were to occur</w:t>
      </w:r>
      <w:r>
        <w:rPr>
          <w:rStyle w:val="AERbody"/>
        </w:rPr>
        <w:t xml:space="preserve">, the implications for cost recovery for the </w:t>
      </w:r>
      <w:r w:rsidR="00850953">
        <w:rPr>
          <w:rStyle w:val="AERbody"/>
        </w:rPr>
        <w:t xml:space="preserve">Victorian </w:t>
      </w:r>
      <w:r>
        <w:rPr>
          <w:rStyle w:val="AERbody"/>
        </w:rPr>
        <w:t>distributors remains as stated above.</w:t>
      </w:r>
      <w:r w:rsidR="006C5BB2">
        <w:rPr>
          <w:rStyle w:val="AERbody"/>
        </w:rPr>
        <w:t xml:space="preserve"> </w:t>
      </w:r>
    </w:p>
    <w:p w:rsidR="003177E7" w:rsidRDefault="00E16411" w:rsidP="00770C24">
      <w:pPr>
        <w:pStyle w:val="AERbodytext"/>
        <w:rPr>
          <w:rStyle w:val="AERbody"/>
        </w:rPr>
      </w:pPr>
      <w:r>
        <w:rPr>
          <w:rStyle w:val="AERbody"/>
        </w:rPr>
        <w:t>If Guideline</w:t>
      </w:r>
      <w:r w:rsidR="004A542F">
        <w:rPr>
          <w:rStyle w:val="AERbody"/>
        </w:rPr>
        <w:t>s</w:t>
      </w:r>
      <w:r>
        <w:rPr>
          <w:rStyle w:val="AERbody"/>
        </w:rPr>
        <w:t xml:space="preserve"> 14 </w:t>
      </w:r>
      <w:r w:rsidR="006C5BB2">
        <w:rPr>
          <w:rStyle w:val="AERbody"/>
        </w:rPr>
        <w:t>(</w:t>
      </w:r>
      <w:r w:rsidR="004A542F">
        <w:rPr>
          <w:rStyle w:val="AERbody"/>
        </w:rPr>
        <w:t>and 15</w:t>
      </w:r>
      <w:r w:rsidR="006C5BB2">
        <w:rPr>
          <w:rStyle w:val="AERbody"/>
        </w:rPr>
        <w:t>)</w:t>
      </w:r>
      <w:r w:rsidR="004A542F">
        <w:rPr>
          <w:rStyle w:val="AERbody"/>
        </w:rPr>
        <w:t xml:space="preserve"> </w:t>
      </w:r>
      <w:r>
        <w:rPr>
          <w:rStyle w:val="AERbody"/>
        </w:rPr>
        <w:t>are removed</w:t>
      </w:r>
      <w:r w:rsidR="00C80AAF" w:rsidRPr="00C80AAF">
        <w:t xml:space="preserve"> </w:t>
      </w:r>
      <w:r w:rsidR="00C80AAF">
        <w:t>a</w:t>
      </w:r>
      <w:r w:rsidR="00C80AAF" w:rsidRPr="00C80AAF">
        <w:t>nd not replaced with new jurisdictional charging provisions</w:t>
      </w:r>
      <w:r>
        <w:rPr>
          <w:rStyle w:val="AERbody"/>
        </w:rPr>
        <w:t>,</w:t>
      </w:r>
      <w:r w:rsidR="00C80AAF">
        <w:rPr>
          <w:rStyle w:val="AERbody"/>
        </w:rPr>
        <w:t xml:space="preserve">  </w:t>
      </w:r>
      <w:r>
        <w:rPr>
          <w:rStyle w:val="AERbody"/>
        </w:rPr>
        <w:t>then our intention is to apply the AER</w:t>
      </w:r>
      <w:r w:rsidR="004A542F">
        <w:rPr>
          <w:rStyle w:val="AERbody"/>
        </w:rPr>
        <w:t>'s</w:t>
      </w:r>
      <w:r>
        <w:rPr>
          <w:rStyle w:val="AERbody"/>
        </w:rPr>
        <w:t xml:space="preserve"> connection guideline to the </w:t>
      </w:r>
      <w:r w:rsidR="00850953">
        <w:rPr>
          <w:rStyle w:val="AERbody"/>
        </w:rPr>
        <w:t xml:space="preserve">Victorian </w:t>
      </w:r>
      <w:r>
        <w:rPr>
          <w:rStyle w:val="AERbody"/>
        </w:rPr>
        <w:t xml:space="preserve">distributors. </w:t>
      </w:r>
      <w:r w:rsidR="003177E7">
        <w:rPr>
          <w:rStyle w:val="AERbody"/>
        </w:rPr>
        <w:t xml:space="preserve">Our guideline </w:t>
      </w:r>
      <w:r w:rsidR="00C80AAF" w:rsidRPr="00C80AAF">
        <w:rPr>
          <w:rStyle w:val="AERbody"/>
        </w:rPr>
        <w:t xml:space="preserve">includes </w:t>
      </w:r>
      <w:r w:rsidR="00C80AAF">
        <w:rPr>
          <w:rStyle w:val="AERbody"/>
        </w:rPr>
        <w:t>provision</w:t>
      </w:r>
      <w:r w:rsidR="003177E7">
        <w:rPr>
          <w:rStyle w:val="AERbody"/>
        </w:rPr>
        <w:t>s</w:t>
      </w:r>
      <w:r w:rsidR="00C80AAF">
        <w:rPr>
          <w:rStyle w:val="AERbody"/>
        </w:rPr>
        <w:t xml:space="preserve"> for embedded generation. </w:t>
      </w:r>
      <w:r w:rsidR="00C80AAF" w:rsidRPr="00C80AAF">
        <w:rPr>
          <w:rStyle w:val="AERbody"/>
        </w:rPr>
        <w:t>Rules for connecting embedded generation are contained in the NER and enhancements to those rules are being developed by the AEMC.</w:t>
      </w:r>
      <w:r w:rsidR="00C80AAF" w:rsidRPr="00C80AAF">
        <w:rPr>
          <w:rStyle w:val="FootnoteReference"/>
        </w:rPr>
        <w:footnoteReference w:id="58"/>
      </w:r>
      <w:r w:rsidR="00C80AAF" w:rsidRPr="00C80AAF">
        <w:rPr>
          <w:rStyle w:val="AERbody"/>
        </w:rPr>
        <w:t xml:space="preserve"> </w:t>
      </w:r>
      <w:r w:rsidR="003177E7" w:rsidRPr="003177E7">
        <w:rPr>
          <w:rStyle w:val="AERbody"/>
        </w:rPr>
        <w:t>We will apply the NER framework to embedded generation</w:t>
      </w:r>
      <w:r w:rsidR="003177E7">
        <w:rPr>
          <w:rStyle w:val="AERbody"/>
        </w:rPr>
        <w:t xml:space="preserve"> as it evolves</w:t>
      </w:r>
      <w:r w:rsidR="003177E7" w:rsidRPr="003177E7">
        <w:rPr>
          <w:rStyle w:val="AERbody"/>
        </w:rPr>
        <w:t>.</w:t>
      </w:r>
    </w:p>
    <w:p w:rsidR="00247731" w:rsidRDefault="00DB625D" w:rsidP="00770C24">
      <w:pPr>
        <w:pStyle w:val="AERbodytext"/>
        <w:rPr>
          <w:rStyle w:val="AERbody"/>
        </w:rPr>
      </w:pPr>
      <w:r>
        <w:rPr>
          <w:rStyle w:val="AERbody"/>
        </w:rPr>
        <w:t xml:space="preserve">Our connection guideline operates similar to Guideline 14 in most respects. </w:t>
      </w:r>
      <w:r w:rsidR="003177E7">
        <w:rPr>
          <w:rStyle w:val="AERbody"/>
        </w:rPr>
        <w:t>Although charges are calculated differently in some circumstances</w:t>
      </w:r>
      <w:r w:rsidR="00432E14">
        <w:rPr>
          <w:rStyle w:val="AERbody"/>
        </w:rPr>
        <w:t>,</w:t>
      </w:r>
      <w:r w:rsidR="003177E7">
        <w:rPr>
          <w:rStyle w:val="AERbody"/>
        </w:rPr>
        <w:t xml:space="preserve"> the differences are not large except in an environment where a distributor has an increasing price profile. </w:t>
      </w:r>
      <w:r w:rsidR="00452440">
        <w:rPr>
          <w:rStyle w:val="AERbody"/>
        </w:rPr>
        <w:t xml:space="preserve">Compared to Guideline 14, the AER Guideline does not transfer as large a cost impact of connecting a new customer to other network customers. The AER </w:t>
      </w:r>
      <w:r w:rsidR="001F171F">
        <w:rPr>
          <w:rStyle w:val="AERbody"/>
        </w:rPr>
        <w:t xml:space="preserve">Connection </w:t>
      </w:r>
      <w:r w:rsidR="00452440">
        <w:rPr>
          <w:rStyle w:val="AERbody"/>
        </w:rPr>
        <w:t>Guideline was written with provisions to enable its application if the service classification changes, whereas Guideline 14 is based on an earlier regulatory framework and is inflexible to changes in service category.</w:t>
      </w:r>
    </w:p>
    <w:p w:rsidR="00452440" w:rsidRDefault="00452440" w:rsidP="00452440">
      <w:pPr>
        <w:pStyle w:val="HeadingItalic"/>
        <w:rPr>
          <w:rStyle w:val="AERbody"/>
        </w:rPr>
      </w:pPr>
      <w:r w:rsidRPr="00452440">
        <w:t>Could contestable connections be a negotiated service?</w:t>
      </w:r>
    </w:p>
    <w:p w:rsidR="00F70937" w:rsidRDefault="00F70937" w:rsidP="00770C24">
      <w:pPr>
        <w:pStyle w:val="AERbodytext"/>
        <w:rPr>
          <w:rStyle w:val="AERbody"/>
        </w:rPr>
      </w:pPr>
      <w:r>
        <w:rPr>
          <w:rStyle w:val="AERbody"/>
        </w:rPr>
        <w:t xml:space="preserve">We anticipate that the </w:t>
      </w:r>
      <w:r w:rsidR="00432E14">
        <w:rPr>
          <w:rStyle w:val="AERbody"/>
        </w:rPr>
        <w:t xml:space="preserve">limited </w:t>
      </w:r>
      <w:r>
        <w:rPr>
          <w:rStyle w:val="AERbody"/>
        </w:rPr>
        <w:t xml:space="preserve">contestability provisions </w:t>
      </w:r>
      <w:r w:rsidR="006846C9">
        <w:rPr>
          <w:rStyle w:val="AERbody"/>
        </w:rPr>
        <w:t xml:space="preserve">of Guideline 14 will continue to apply in any case. </w:t>
      </w:r>
      <w:r w:rsidR="00432E14">
        <w:rPr>
          <w:rStyle w:val="AERbody"/>
        </w:rPr>
        <w:t xml:space="preserve">If </w:t>
      </w:r>
      <w:r w:rsidR="00850832">
        <w:rPr>
          <w:rStyle w:val="AERbody"/>
        </w:rPr>
        <w:t xml:space="preserve">a </w:t>
      </w:r>
      <w:r w:rsidR="00432E14">
        <w:rPr>
          <w:rStyle w:val="AERbody"/>
        </w:rPr>
        <w:t xml:space="preserve">further level of </w:t>
      </w:r>
      <w:r w:rsidR="006846C9">
        <w:rPr>
          <w:rStyle w:val="AERbody"/>
        </w:rPr>
        <w:t xml:space="preserve">contestability in connection services </w:t>
      </w:r>
      <w:r w:rsidR="00432E14">
        <w:rPr>
          <w:rStyle w:val="AERbody"/>
        </w:rPr>
        <w:t xml:space="preserve">is introduced, </w:t>
      </w:r>
      <w:r w:rsidR="006846C9">
        <w:rPr>
          <w:rStyle w:val="AERbody"/>
        </w:rPr>
        <w:t xml:space="preserve">there </w:t>
      </w:r>
      <w:r w:rsidR="00432E14">
        <w:rPr>
          <w:rStyle w:val="AERbody"/>
        </w:rPr>
        <w:t>would be</w:t>
      </w:r>
      <w:r w:rsidR="006846C9">
        <w:rPr>
          <w:rStyle w:val="AERbody"/>
        </w:rPr>
        <w:t xml:space="preserve"> a </w:t>
      </w:r>
      <w:r w:rsidR="006846C9">
        <w:rPr>
          <w:rStyle w:val="AERbody"/>
        </w:rPr>
        <w:lastRenderedPageBreak/>
        <w:t>possibility of moving to a more light-handed approach to regulation</w:t>
      </w:r>
      <w:r w:rsidR="008C7E76">
        <w:rPr>
          <w:rStyle w:val="AERbody"/>
        </w:rPr>
        <w:t>. This could mean classifying new connections requiring augmentations as negotiated services or not classifying them at all</w:t>
      </w:r>
      <w:r w:rsidR="006846C9" w:rsidRPr="003434F8">
        <w:rPr>
          <w:rStyle w:val="AERbody"/>
        </w:rPr>
        <w:t xml:space="preserve">. </w:t>
      </w:r>
      <w:r w:rsidR="009A061E" w:rsidRPr="003434F8">
        <w:rPr>
          <w:rStyle w:val="AERbody"/>
        </w:rPr>
        <w:t>Although the AER supports increased competition in connection services,</w:t>
      </w:r>
      <w:r w:rsidR="009A061E">
        <w:rPr>
          <w:rStyle w:val="AERbody"/>
        </w:rPr>
        <w:t xml:space="preserve"> w</w:t>
      </w:r>
      <w:r w:rsidR="004E760A">
        <w:rPr>
          <w:rStyle w:val="AERbody"/>
        </w:rPr>
        <w:t xml:space="preserve">e stress that for this to apply, </w:t>
      </w:r>
      <w:r w:rsidR="00432E14">
        <w:rPr>
          <w:rStyle w:val="AERbody"/>
        </w:rPr>
        <w:t>relevant changes to the current Victorian regulatory framework must be introduce</w:t>
      </w:r>
      <w:r w:rsidR="00850832">
        <w:rPr>
          <w:rStyle w:val="AERbody"/>
        </w:rPr>
        <w:t>d</w:t>
      </w:r>
      <w:r w:rsidR="00432E14">
        <w:rPr>
          <w:rStyle w:val="AERbody"/>
        </w:rPr>
        <w:t xml:space="preserve"> </w:t>
      </w:r>
      <w:r w:rsidR="004E760A">
        <w:rPr>
          <w:rStyle w:val="AERbody"/>
        </w:rPr>
        <w:t>before the next regulatory determination is made in October 2015.</w:t>
      </w:r>
    </w:p>
    <w:p w:rsidR="00B47519" w:rsidRDefault="008C7E76" w:rsidP="00B47519">
      <w:pPr>
        <w:pStyle w:val="AERbodytext"/>
        <w:rPr>
          <w:rStyle w:val="AERbody"/>
        </w:rPr>
      </w:pPr>
      <w:r w:rsidRPr="008C7E76">
        <w:rPr>
          <w:rStyle w:val="AERbody"/>
        </w:rPr>
        <w:t xml:space="preserve">Under a negotiated classification, large customer connections would be subject to a negotiating framework </w:t>
      </w:r>
      <w:r w:rsidR="004E760A">
        <w:rPr>
          <w:rStyle w:val="AERbody"/>
        </w:rPr>
        <w:t xml:space="preserve">as </w:t>
      </w:r>
      <w:r w:rsidRPr="008C7E76">
        <w:rPr>
          <w:rStyle w:val="AERbody"/>
        </w:rPr>
        <w:t>set out in the rules.</w:t>
      </w:r>
      <w:r w:rsidRPr="008C7E76">
        <w:rPr>
          <w:rStyle w:val="AERsuperscript"/>
        </w:rPr>
        <w:footnoteReference w:id="59"/>
      </w:r>
      <w:r w:rsidRPr="008C7E76">
        <w:rPr>
          <w:rStyle w:val="AERbody"/>
        </w:rPr>
        <w:t xml:space="preserve"> </w:t>
      </w:r>
      <w:r w:rsidR="00B47519" w:rsidRPr="00B47519">
        <w:rPr>
          <w:rStyle w:val="AERtexthighlight"/>
          <w:shd w:val="clear" w:color="auto" w:fill="auto"/>
        </w:rPr>
        <w:t xml:space="preserve">The </w:t>
      </w:r>
      <w:r w:rsidR="00850953">
        <w:rPr>
          <w:rStyle w:val="AERtexthighlight"/>
          <w:shd w:val="clear" w:color="auto" w:fill="auto"/>
        </w:rPr>
        <w:t xml:space="preserve">Victorian </w:t>
      </w:r>
      <w:r w:rsidR="00B47519" w:rsidRPr="00B47519">
        <w:rPr>
          <w:rStyle w:val="AERtexthighlight"/>
          <w:shd w:val="clear" w:color="auto" w:fill="auto"/>
        </w:rPr>
        <w:t xml:space="preserve">distributors would need to each prepare a </w:t>
      </w:r>
      <w:r w:rsidR="004E760A" w:rsidRPr="004E760A">
        <w:rPr>
          <w:rStyle w:val="AERbody"/>
        </w:rPr>
        <w:t>detailed</w:t>
      </w:r>
      <w:r w:rsidR="004E760A">
        <w:rPr>
          <w:rStyle w:val="AERtexthighlight"/>
        </w:rPr>
        <w:t xml:space="preserve"> </w:t>
      </w:r>
      <w:r w:rsidR="00B47519" w:rsidRPr="00B47519">
        <w:rPr>
          <w:rStyle w:val="AERtexthighlight"/>
          <w:shd w:val="clear" w:color="auto" w:fill="auto"/>
        </w:rPr>
        <w:t>negotiating framework.</w:t>
      </w:r>
      <w:r w:rsidR="00B47519" w:rsidRPr="00B47519">
        <w:rPr>
          <w:rStyle w:val="AERsuperscript"/>
        </w:rPr>
        <w:footnoteReference w:id="60"/>
      </w:r>
      <w:r w:rsidR="00B47519" w:rsidRPr="00B47519">
        <w:rPr>
          <w:rStyle w:val="AERtexthighlight"/>
          <w:shd w:val="clear" w:color="auto" w:fill="auto"/>
        </w:rPr>
        <w:t xml:space="preserve"> Amongst other things, these would specify that the distributor must negotiate in good faith, provide prospective service users with enough information for them to negotiate and establish a dispute resolution process.</w:t>
      </w:r>
      <w:r w:rsidR="00B47519" w:rsidRPr="00B47519">
        <w:rPr>
          <w:rStyle w:val="AERsuperscript"/>
        </w:rPr>
        <w:footnoteReference w:id="61"/>
      </w:r>
      <w:r w:rsidR="00B47519" w:rsidRPr="00B47519">
        <w:rPr>
          <w:rStyle w:val="AERtexthighlight"/>
          <w:shd w:val="clear" w:color="auto" w:fill="auto"/>
        </w:rPr>
        <w:t xml:space="preserve"> </w:t>
      </w:r>
      <w:r w:rsidRPr="008C7E76">
        <w:rPr>
          <w:rStyle w:val="AERbody"/>
        </w:rPr>
        <w:t xml:space="preserve"> </w:t>
      </w:r>
    </w:p>
    <w:p w:rsidR="00786415" w:rsidRPr="008C7E76" w:rsidRDefault="008C7E76" w:rsidP="00B47519">
      <w:pPr>
        <w:pStyle w:val="AERbodytext"/>
        <w:rPr>
          <w:rStyle w:val="AERbody"/>
        </w:rPr>
      </w:pPr>
      <w:r w:rsidRPr="008C7E76">
        <w:rPr>
          <w:rStyle w:val="AERbody"/>
        </w:rPr>
        <w:t xml:space="preserve">We think </w:t>
      </w:r>
      <w:r w:rsidR="00A172E2">
        <w:rPr>
          <w:rStyle w:val="AERbody"/>
        </w:rPr>
        <w:t>the negotiating framework in the rules</w:t>
      </w:r>
      <w:r w:rsidRPr="008C7E76">
        <w:rPr>
          <w:rStyle w:val="AERbody"/>
        </w:rPr>
        <w:t xml:space="preserve"> may provide prospective customers with sufficient confidence that service parameters and prices offered by distributors will be efficient. However, before changing from the current classification approach we seek stakeholder views on this potential change in our classification approach.</w:t>
      </w:r>
    </w:p>
    <w:p w:rsidR="00770C24" w:rsidRPr="00B47519" w:rsidRDefault="006D5F57" w:rsidP="00B47519">
      <w:pPr>
        <w:pStyle w:val="AERbodytext"/>
        <w:rPr>
          <w:rStyle w:val="AERtexthighlight"/>
          <w:shd w:val="clear" w:color="auto" w:fill="auto"/>
        </w:rPr>
      </w:pPr>
      <w:r w:rsidRPr="00B47519">
        <w:rPr>
          <w:rStyle w:val="AERtexthighlight"/>
          <w:shd w:val="clear" w:color="auto" w:fill="auto"/>
        </w:rPr>
        <w:t xml:space="preserve">The </w:t>
      </w:r>
      <w:r w:rsidR="00850953">
        <w:rPr>
          <w:rStyle w:val="AERtexthighlight"/>
          <w:shd w:val="clear" w:color="auto" w:fill="auto"/>
        </w:rPr>
        <w:t xml:space="preserve">Victorian </w:t>
      </w:r>
      <w:r w:rsidRPr="00B47519">
        <w:rPr>
          <w:rStyle w:val="AERtexthighlight"/>
          <w:shd w:val="clear" w:color="auto" w:fill="auto"/>
        </w:rPr>
        <w:t>distributors</w:t>
      </w:r>
      <w:r w:rsidR="00770C24" w:rsidRPr="00B47519">
        <w:rPr>
          <w:rStyle w:val="AERtexthighlight"/>
          <w:shd w:val="clear" w:color="auto" w:fill="auto"/>
        </w:rPr>
        <w:t xml:space="preserve"> themselves authorise other par</w:t>
      </w:r>
      <w:r w:rsidRPr="00B47519">
        <w:rPr>
          <w:rStyle w:val="AERtexthighlight"/>
          <w:shd w:val="clear" w:color="auto" w:fill="auto"/>
        </w:rPr>
        <w:t>ties to provide these services through tendering arrangements and specifying the accreditation and other pre</w:t>
      </w:r>
      <w:r w:rsidR="00B47519" w:rsidRPr="00B47519">
        <w:rPr>
          <w:rStyle w:val="AERtexthighlight"/>
          <w:shd w:val="clear" w:color="auto" w:fill="auto"/>
        </w:rPr>
        <w:t>-</w:t>
      </w:r>
      <w:r w:rsidRPr="00B47519">
        <w:rPr>
          <w:rStyle w:val="AERtexthighlight"/>
          <w:shd w:val="clear" w:color="auto" w:fill="auto"/>
        </w:rPr>
        <w:t>conditions that a tenderer must satisfy</w:t>
      </w:r>
      <w:r w:rsidR="00770C24" w:rsidRPr="00B47519">
        <w:rPr>
          <w:rStyle w:val="AERtexthighlight"/>
          <w:shd w:val="clear" w:color="auto" w:fill="auto"/>
        </w:rPr>
        <w:t xml:space="preserve">. </w:t>
      </w:r>
      <w:r w:rsidRPr="00B47519">
        <w:rPr>
          <w:rStyle w:val="AERtexthighlight"/>
          <w:shd w:val="clear" w:color="auto" w:fill="auto"/>
        </w:rPr>
        <w:t>We consider that these arrangements</w:t>
      </w:r>
      <w:r w:rsidR="00770C24" w:rsidRPr="00B47519">
        <w:rPr>
          <w:rStyle w:val="AERtexthighlight"/>
          <w:shd w:val="clear" w:color="auto" w:fill="auto"/>
        </w:rPr>
        <w:t xml:space="preserve"> provide a limited barrier to competition.</w:t>
      </w:r>
      <w:r w:rsidR="00770C24" w:rsidRPr="00B47519">
        <w:rPr>
          <w:rStyle w:val="AERsuperscript"/>
        </w:rPr>
        <w:footnoteReference w:id="62"/>
      </w:r>
      <w:r w:rsidR="00770C24" w:rsidRPr="00B47519">
        <w:rPr>
          <w:rStyle w:val="AERtexthighlight"/>
          <w:shd w:val="clear" w:color="auto" w:fill="auto"/>
        </w:rPr>
        <w:t xml:space="preserve"> As such, we </w:t>
      </w:r>
      <w:r w:rsidR="00B47519" w:rsidRPr="00B47519">
        <w:rPr>
          <w:rStyle w:val="AERtexthighlight"/>
          <w:shd w:val="clear" w:color="auto" w:fill="auto"/>
        </w:rPr>
        <w:t>are</w:t>
      </w:r>
      <w:r w:rsidR="00770C24" w:rsidRPr="00B47519">
        <w:rPr>
          <w:rStyle w:val="AERtexthighlight"/>
          <w:shd w:val="clear" w:color="auto" w:fill="auto"/>
        </w:rPr>
        <w:t xml:space="preserve"> comfortable to mo</w:t>
      </w:r>
      <w:r w:rsidR="006846C9" w:rsidRPr="00B47519">
        <w:rPr>
          <w:rStyle w:val="AERtexthighlight"/>
          <w:shd w:val="clear" w:color="auto" w:fill="auto"/>
        </w:rPr>
        <w:t>v</w:t>
      </w:r>
      <w:r w:rsidR="00770C24" w:rsidRPr="00B47519">
        <w:rPr>
          <w:rStyle w:val="AERtexthighlight"/>
          <w:shd w:val="clear" w:color="auto" w:fill="auto"/>
        </w:rPr>
        <w:t xml:space="preserve">e from a standard control classification to alternative control. However, in the context of potentially moving away from a direct control classification we think this barrier is more significant. </w:t>
      </w:r>
    </w:p>
    <w:p w:rsidR="00770C24" w:rsidRPr="00B47519" w:rsidRDefault="00770C24" w:rsidP="00B47519">
      <w:pPr>
        <w:pStyle w:val="AERbodytext"/>
        <w:rPr>
          <w:rStyle w:val="AERtexthighlight"/>
          <w:shd w:val="clear" w:color="auto" w:fill="auto"/>
        </w:rPr>
      </w:pPr>
      <w:r w:rsidRPr="00B47519">
        <w:rPr>
          <w:rStyle w:val="AERtexthighlight"/>
          <w:shd w:val="clear" w:color="auto" w:fill="auto"/>
        </w:rPr>
        <w:t xml:space="preserve">We can contrast the current circumstances with </w:t>
      </w:r>
      <w:r w:rsidR="00B47519" w:rsidRPr="00B47519">
        <w:rPr>
          <w:rStyle w:val="AERtexthighlight"/>
          <w:shd w:val="clear" w:color="auto" w:fill="auto"/>
        </w:rPr>
        <w:t>those in</w:t>
      </w:r>
      <w:r w:rsidRPr="00B47519">
        <w:rPr>
          <w:rStyle w:val="AERtexthighlight"/>
          <w:shd w:val="clear" w:color="auto" w:fill="auto"/>
        </w:rPr>
        <w:t xml:space="preserve"> NSW</w:t>
      </w:r>
      <w:r w:rsidR="00B47519" w:rsidRPr="00B47519">
        <w:rPr>
          <w:rStyle w:val="AERtexthighlight"/>
          <w:shd w:val="clear" w:color="auto" w:fill="auto"/>
        </w:rPr>
        <w:t>. NSW</w:t>
      </w:r>
      <w:r w:rsidRPr="00B47519">
        <w:rPr>
          <w:rStyle w:val="AERtexthighlight"/>
          <w:shd w:val="clear" w:color="auto" w:fill="auto"/>
        </w:rPr>
        <w:t xml:space="preserve"> has a well-developed independent authorisation process for accredited service providers and a competitive environment for the provision of premises connection services.</w:t>
      </w:r>
      <w:r w:rsidRPr="00B47519">
        <w:rPr>
          <w:rStyle w:val="AERsuperscript"/>
        </w:rPr>
        <w:footnoteReference w:id="63"/>
      </w:r>
      <w:r w:rsidRPr="00B47519">
        <w:rPr>
          <w:rStyle w:val="AERtexthighlight"/>
          <w:shd w:val="clear" w:color="auto" w:fill="auto"/>
        </w:rPr>
        <w:t xml:space="preserve"> Moreover, in most circumstances NSW distributors do not perform connections work themselves.</w:t>
      </w:r>
    </w:p>
    <w:p w:rsidR="00770C24" w:rsidRPr="00B47519" w:rsidRDefault="00770C24" w:rsidP="00B47519">
      <w:pPr>
        <w:pStyle w:val="AERbodytext"/>
        <w:rPr>
          <w:rStyle w:val="AERtexthighlight"/>
          <w:shd w:val="clear" w:color="auto" w:fill="auto"/>
        </w:rPr>
      </w:pPr>
      <w:r w:rsidRPr="00B47519">
        <w:rPr>
          <w:rStyle w:val="AERtexthighlight"/>
          <w:shd w:val="clear" w:color="auto" w:fill="auto"/>
        </w:rPr>
        <w:t xml:space="preserve">In </w:t>
      </w:r>
      <w:r w:rsidR="00B47519" w:rsidRPr="004E760A">
        <w:rPr>
          <w:rStyle w:val="AERbody"/>
        </w:rPr>
        <w:t>Vic</w:t>
      </w:r>
      <w:r w:rsidR="00D5187F" w:rsidRPr="004E760A">
        <w:rPr>
          <w:rStyle w:val="AERbody"/>
        </w:rPr>
        <w:t>toria</w:t>
      </w:r>
      <w:r w:rsidRPr="00B47519">
        <w:rPr>
          <w:rStyle w:val="AERtexthighlight"/>
          <w:shd w:val="clear" w:color="auto" w:fill="auto"/>
        </w:rPr>
        <w:t xml:space="preserve">, an independent accreditation system for alternative providers of large customer connections would give significant weight to the case for a negotiated service classification. To date, the </w:t>
      </w:r>
      <w:r w:rsidR="00850953">
        <w:rPr>
          <w:rStyle w:val="AERtexthighlight"/>
          <w:shd w:val="clear" w:color="auto" w:fill="auto"/>
        </w:rPr>
        <w:t xml:space="preserve">Victorian </w:t>
      </w:r>
      <w:r w:rsidRPr="00B47519">
        <w:rPr>
          <w:rStyle w:val="AERtexthighlight"/>
          <w:shd w:val="clear" w:color="auto" w:fill="auto"/>
        </w:rPr>
        <w:t>Government has not indicated it will establish an independent authorisation system.</w:t>
      </w:r>
    </w:p>
    <w:p w:rsidR="0072542C" w:rsidRPr="0072542C" w:rsidRDefault="0072542C" w:rsidP="0072542C">
      <w:pPr>
        <w:pStyle w:val="HeadingBoldBlue"/>
        <w:rPr>
          <w:rStyle w:val="AERbody"/>
          <w:color w:val="365F91" w:themeColor="accent1" w:themeShade="BF"/>
          <w:sz w:val="24"/>
        </w:rPr>
      </w:pPr>
      <w:r w:rsidRPr="0072542C">
        <w:rPr>
          <w:rStyle w:val="AERbody"/>
          <w:color w:val="365F91" w:themeColor="accent1" w:themeShade="BF"/>
          <w:sz w:val="24"/>
        </w:rPr>
        <w:t>Temporary connections and disconnections</w:t>
      </w:r>
    </w:p>
    <w:p w:rsidR="0072542C" w:rsidRDefault="0072542C" w:rsidP="0072542C">
      <w:pPr>
        <w:pStyle w:val="AERbodytext"/>
        <w:rPr>
          <w:rStyle w:val="AERbody"/>
        </w:rPr>
      </w:pPr>
      <w:r>
        <w:rPr>
          <w:rStyle w:val="AERbody"/>
        </w:rPr>
        <w:t>Distributors provide temporary connection and/or disconnection services to specific customers on request. Examples include blood bank vans and school fetes. Because only the distributor may provide temporary connections, our preliminary position is to classify these as direct control services.</w:t>
      </w:r>
      <w:r>
        <w:rPr>
          <w:rStyle w:val="FootnoteReference"/>
        </w:rPr>
        <w:footnoteReference w:id="64"/>
      </w:r>
      <w:r>
        <w:rPr>
          <w:rStyle w:val="AERbody"/>
        </w:rPr>
        <w:t xml:space="preserve"> As they are provided to specific customers, we propose to further classify temporary connections as alternative control services.</w:t>
      </w:r>
      <w:r>
        <w:rPr>
          <w:rStyle w:val="FootnoteReference"/>
        </w:rPr>
        <w:footnoteReference w:id="65"/>
      </w:r>
      <w:r>
        <w:rPr>
          <w:rStyle w:val="AERbody"/>
        </w:rPr>
        <w:t xml:space="preserve"> Our preliminary position is consistent with the current classification. </w:t>
      </w:r>
    </w:p>
    <w:p w:rsidR="007D1EDB" w:rsidRPr="007D1EDB" w:rsidRDefault="007D1EDB" w:rsidP="007D1EDB">
      <w:pPr>
        <w:pStyle w:val="HeadingBoldBlue"/>
        <w:rPr>
          <w:rStyle w:val="AERbody"/>
          <w:color w:val="365F91" w:themeColor="accent1" w:themeShade="BF"/>
          <w:sz w:val="24"/>
        </w:rPr>
      </w:pPr>
      <w:r w:rsidRPr="007D1EDB">
        <w:rPr>
          <w:rStyle w:val="AERbody"/>
          <w:color w:val="365F91" w:themeColor="accent1" w:themeShade="BF"/>
          <w:sz w:val="24"/>
        </w:rPr>
        <w:lastRenderedPageBreak/>
        <w:t>Operating and maintaining connection assets</w:t>
      </w:r>
    </w:p>
    <w:p w:rsidR="007D1EDB" w:rsidRDefault="007D1EDB" w:rsidP="007D1EDB">
      <w:pPr>
        <w:pStyle w:val="AERbodytext"/>
        <w:rPr>
          <w:rStyle w:val="AERbody"/>
        </w:rPr>
      </w:pPr>
      <w:r>
        <w:rPr>
          <w:rStyle w:val="AERbody"/>
        </w:rPr>
        <w:t xml:space="preserve">We consider that once completed, a connection, including large customer connections, becomes part of the shared distribution network. That is, the </w:t>
      </w:r>
      <w:r w:rsidR="00850953">
        <w:rPr>
          <w:rStyle w:val="AERbody"/>
        </w:rPr>
        <w:t xml:space="preserve">Victorian </w:t>
      </w:r>
      <w:r>
        <w:rPr>
          <w:rStyle w:val="AERbody"/>
        </w:rPr>
        <w:t xml:space="preserve">distributors will operate and maintain connection assets as part of their routine maintenance of the shared network. As such, our preliminary position is to classify the operation and maintenance of connection assets as direct control and standard control services.  </w:t>
      </w:r>
    </w:p>
    <w:p w:rsidR="0040596D" w:rsidRPr="007D1EDB" w:rsidRDefault="007D1EDB" w:rsidP="007D1EDB">
      <w:pPr>
        <w:pStyle w:val="HeadingBoldBlue"/>
        <w:rPr>
          <w:rStyle w:val="AERbody"/>
          <w:color w:val="365F91" w:themeColor="accent1" w:themeShade="BF"/>
          <w:sz w:val="24"/>
        </w:rPr>
      </w:pPr>
      <w:r w:rsidRPr="007D1EDB">
        <w:rPr>
          <w:rStyle w:val="AERbody"/>
          <w:color w:val="365F91" w:themeColor="accent1" w:themeShade="BF"/>
          <w:sz w:val="24"/>
        </w:rPr>
        <w:t xml:space="preserve">Inspection of </w:t>
      </w:r>
      <w:r w:rsidR="0040596D" w:rsidRPr="007D1EDB">
        <w:rPr>
          <w:rStyle w:val="AERbody"/>
          <w:color w:val="365F91" w:themeColor="accent1" w:themeShade="BF"/>
          <w:sz w:val="24"/>
        </w:rPr>
        <w:t>PV installation</w:t>
      </w:r>
      <w:r w:rsidRPr="007D1EDB">
        <w:rPr>
          <w:rStyle w:val="AERbody"/>
          <w:color w:val="365F91" w:themeColor="accent1" w:themeShade="BF"/>
          <w:sz w:val="24"/>
        </w:rPr>
        <w:t xml:space="preserve"> site</w:t>
      </w:r>
    </w:p>
    <w:p w:rsidR="0040596D" w:rsidRDefault="007D1EDB" w:rsidP="0040596D">
      <w:pPr>
        <w:pStyle w:val="AERbodytext"/>
        <w:numPr>
          <w:ilvl w:val="0"/>
          <w:numId w:val="0"/>
        </w:numPr>
        <w:rPr>
          <w:rStyle w:val="AERbody"/>
        </w:rPr>
      </w:pPr>
      <w:r>
        <w:rPr>
          <w:rStyle w:val="AERbody"/>
        </w:rPr>
        <w:t>This service covers the site inspection for distribution network users that have installed photovoltaic (PV) units, including testing of the inverter and related equipment. This service is currently classified as a direct control and alternative control service on the basis that:</w:t>
      </w:r>
    </w:p>
    <w:p w:rsidR="007D1EDB" w:rsidRDefault="007D1EDB" w:rsidP="007D1EDB">
      <w:pPr>
        <w:pStyle w:val="AERbulletlistfirststyle"/>
        <w:rPr>
          <w:rStyle w:val="AERbody"/>
        </w:rPr>
      </w:pPr>
      <w:r>
        <w:rPr>
          <w:rStyle w:val="AERbody"/>
        </w:rPr>
        <w:t xml:space="preserve">The </w:t>
      </w:r>
      <w:r w:rsidR="00850953">
        <w:rPr>
          <w:rStyle w:val="AERbody"/>
        </w:rPr>
        <w:t xml:space="preserve">Victorian </w:t>
      </w:r>
      <w:r>
        <w:rPr>
          <w:rStyle w:val="AERbody"/>
        </w:rPr>
        <w:t>distributors are the only parties that can provide this service for electrical safety reasons</w:t>
      </w:r>
    </w:p>
    <w:p w:rsidR="007D1EDB" w:rsidRDefault="007D1EDB" w:rsidP="007D1EDB">
      <w:pPr>
        <w:pStyle w:val="AERbulletlistfirststyle"/>
        <w:rPr>
          <w:rStyle w:val="AERbody"/>
        </w:rPr>
      </w:pPr>
      <w:r>
        <w:rPr>
          <w:rStyle w:val="AERbody"/>
        </w:rPr>
        <w:t>The nature and scope of the works can be known with reasonable certainty</w:t>
      </w:r>
      <w:r w:rsidR="000E07AE">
        <w:rPr>
          <w:rStyle w:val="AERbody"/>
        </w:rPr>
        <w:t>, t</w:t>
      </w:r>
      <w:r>
        <w:rPr>
          <w:rStyle w:val="AERbody"/>
        </w:rPr>
        <w:t>he cost of providing the service can be estimated in advance with reasonable certainty</w:t>
      </w:r>
      <w:r w:rsidR="000E07AE">
        <w:rPr>
          <w:rStyle w:val="AERbody"/>
        </w:rPr>
        <w:t>,</w:t>
      </w:r>
      <w:r>
        <w:rPr>
          <w:rStyle w:val="AERbody"/>
        </w:rPr>
        <w:t xml:space="preserve"> and a generic schedule of prices can be set before the service is requested</w:t>
      </w:r>
    </w:p>
    <w:p w:rsidR="007D1EDB" w:rsidRDefault="007D1EDB" w:rsidP="007D1EDB">
      <w:pPr>
        <w:pStyle w:val="AERbulletlistfirststyle"/>
        <w:rPr>
          <w:rStyle w:val="AERbody"/>
        </w:rPr>
      </w:pPr>
      <w:r>
        <w:rPr>
          <w:rStyle w:val="AERbody"/>
        </w:rPr>
        <w:t>The service, and therefore the cost, can be directly attributed to specific customers.</w:t>
      </w:r>
    </w:p>
    <w:p w:rsidR="00452440" w:rsidRDefault="00AF6463" w:rsidP="0040596D">
      <w:pPr>
        <w:pStyle w:val="AERbodytext"/>
        <w:numPr>
          <w:ilvl w:val="0"/>
          <w:numId w:val="0"/>
        </w:numPr>
        <w:rPr>
          <w:rStyle w:val="AERbody"/>
        </w:rPr>
      </w:pPr>
      <w:r>
        <w:rPr>
          <w:rStyle w:val="AERbody"/>
        </w:rPr>
        <w:t>We consider these factors remain relevant</w:t>
      </w:r>
      <w:r w:rsidR="00986077">
        <w:rPr>
          <w:rStyle w:val="AERbody"/>
        </w:rPr>
        <w:t>. This service is not explicitly listed in the current classifications but has fallen under a broader category of connection services classified as direct control, alternative control services. We</w:t>
      </w:r>
      <w:r>
        <w:rPr>
          <w:rStyle w:val="AERbody"/>
        </w:rPr>
        <w:t xml:space="preserve"> propose to retain the classification of PV inspection services as direct control and alternative control services.</w:t>
      </w:r>
      <w:r w:rsidR="00986077">
        <w:rPr>
          <w:rStyle w:val="AERbody"/>
        </w:rPr>
        <w:t xml:space="preserve"> </w:t>
      </w:r>
    </w:p>
    <w:p w:rsidR="0040596D" w:rsidRPr="0072542C" w:rsidRDefault="00986077" w:rsidP="00452440">
      <w:pPr>
        <w:pStyle w:val="AERrevisionbox"/>
        <w:rPr>
          <w:rStyle w:val="AERbody"/>
        </w:rPr>
      </w:pPr>
      <w:r>
        <w:rPr>
          <w:rStyle w:val="AERbody"/>
        </w:rPr>
        <w:t>We seek comment on whether this classification is appropriate and, if so, whether the service should be a quoted service or a fee based service.</w:t>
      </w:r>
    </w:p>
    <w:p w:rsidR="000D55E9" w:rsidRPr="000D55E9" w:rsidRDefault="000D55E9" w:rsidP="000D55E9">
      <w:pPr>
        <w:pStyle w:val="HeadingBoldBlue"/>
        <w:rPr>
          <w:rStyle w:val="AERbody"/>
          <w:color w:val="365F91" w:themeColor="accent1" w:themeShade="BF"/>
          <w:sz w:val="24"/>
        </w:rPr>
      </w:pPr>
      <w:r w:rsidRPr="000D55E9">
        <w:rPr>
          <w:rStyle w:val="AERbody"/>
          <w:color w:val="365F91" w:themeColor="accent1" w:themeShade="BF"/>
          <w:sz w:val="24"/>
        </w:rPr>
        <w:t>Energisation and de-energisation</w:t>
      </w:r>
    </w:p>
    <w:p w:rsidR="000D55E9" w:rsidRDefault="009A061E" w:rsidP="00AF6463">
      <w:pPr>
        <w:pStyle w:val="AERbodytext"/>
        <w:numPr>
          <w:ilvl w:val="0"/>
          <w:numId w:val="0"/>
        </w:numPr>
        <w:rPr>
          <w:rStyle w:val="AERbody"/>
        </w:rPr>
      </w:pPr>
      <w:r>
        <w:rPr>
          <w:rStyle w:val="AERbody"/>
        </w:rPr>
        <w:t xml:space="preserve">Energisation and de-energisation services are the connection or disconnection of electricity when a customer moves in or vacates premises or the service is disconnected for other reasons such as safety or non-payment of bills. </w:t>
      </w:r>
      <w:r w:rsidR="00AF6463">
        <w:rPr>
          <w:rStyle w:val="AERbody"/>
        </w:rPr>
        <w:t>These services are currently classified as direct control and alternative control services on the basis that:</w:t>
      </w:r>
    </w:p>
    <w:p w:rsidR="00AF6463" w:rsidRDefault="00AF6463" w:rsidP="00AF6463">
      <w:pPr>
        <w:pStyle w:val="AERbulletlistfirststyle"/>
        <w:rPr>
          <w:rStyle w:val="AERbody"/>
        </w:rPr>
      </w:pPr>
      <w:r>
        <w:rPr>
          <w:rStyle w:val="AERbody"/>
        </w:rPr>
        <w:t xml:space="preserve">The </w:t>
      </w:r>
      <w:r w:rsidRPr="00AF6463">
        <w:rPr>
          <w:rStyle w:val="AERtextitalic"/>
        </w:rPr>
        <w:t>Electricity Industry Act 2000 (Vic)</w:t>
      </w:r>
      <w:r>
        <w:rPr>
          <w:rStyle w:val="AERbody"/>
        </w:rPr>
        <w:t xml:space="preserve"> obliges the </w:t>
      </w:r>
      <w:r w:rsidR="00850953">
        <w:rPr>
          <w:rStyle w:val="AERbody"/>
        </w:rPr>
        <w:t xml:space="preserve">Victorian </w:t>
      </w:r>
      <w:r>
        <w:rPr>
          <w:rStyle w:val="AERbody"/>
        </w:rPr>
        <w:t>distributors to provide these services upon request and prevents any other party from providing these services</w:t>
      </w:r>
      <w:r>
        <w:rPr>
          <w:rStyle w:val="FootnoteReference"/>
        </w:rPr>
        <w:footnoteReference w:id="66"/>
      </w:r>
    </w:p>
    <w:p w:rsidR="00AF6463" w:rsidRDefault="000E07AE" w:rsidP="00AF6463">
      <w:pPr>
        <w:pStyle w:val="AERbulletlistfirststyle"/>
        <w:rPr>
          <w:rStyle w:val="AERbody"/>
        </w:rPr>
      </w:pPr>
      <w:r>
        <w:rPr>
          <w:rStyle w:val="AERbody"/>
        </w:rPr>
        <w:t xml:space="preserve">The economies of scale and scope available to the </w:t>
      </w:r>
      <w:r w:rsidR="00850953">
        <w:rPr>
          <w:rStyle w:val="AERbody"/>
        </w:rPr>
        <w:t xml:space="preserve">Victorian </w:t>
      </w:r>
      <w:r>
        <w:rPr>
          <w:rStyle w:val="AERbody"/>
        </w:rPr>
        <w:t>distributors, in particular in relation to network services, are likely to prevent these services being competitively provided by alternative service providers</w:t>
      </w:r>
    </w:p>
    <w:p w:rsidR="000E07AE" w:rsidRDefault="000E07AE" w:rsidP="000E07AE">
      <w:pPr>
        <w:pStyle w:val="AERbulletlistfirststyle"/>
        <w:rPr>
          <w:rStyle w:val="AERbody"/>
        </w:rPr>
      </w:pPr>
      <w:r>
        <w:rPr>
          <w:rStyle w:val="AERbody"/>
        </w:rPr>
        <w:t>The nature and scope of the works can be known with reasonable certainty, the cost of providing the service can be estimated in advance with reasonable certainty, and a generic schedule of prices can be set before the service is requested</w:t>
      </w:r>
    </w:p>
    <w:p w:rsidR="000E07AE" w:rsidRDefault="000E07AE" w:rsidP="00AF6463">
      <w:pPr>
        <w:pStyle w:val="AERbulletlistfirststyle"/>
        <w:rPr>
          <w:rStyle w:val="AERbody"/>
        </w:rPr>
      </w:pPr>
      <w:r>
        <w:rPr>
          <w:rStyle w:val="AERbody"/>
        </w:rPr>
        <w:t>The cost of providing these services can be directly attributed to specific customers</w:t>
      </w:r>
      <w:r w:rsidR="00432E14">
        <w:rPr>
          <w:rStyle w:val="AERbody"/>
        </w:rPr>
        <w:t>.</w:t>
      </w:r>
    </w:p>
    <w:p w:rsidR="000E07AE" w:rsidRPr="000E07AE" w:rsidRDefault="000E07AE" w:rsidP="000E07AE">
      <w:pPr>
        <w:pStyle w:val="AERbodytext"/>
        <w:rPr>
          <w:rStyle w:val="AERbody"/>
        </w:rPr>
      </w:pPr>
      <w:r>
        <w:rPr>
          <w:rStyle w:val="AERbody"/>
        </w:rPr>
        <w:lastRenderedPageBreak/>
        <w:t xml:space="preserve">We consider these factors remain relevant, and propose to retain the classification of energisation and de-energisation services as direct control </w:t>
      </w:r>
      <w:r w:rsidRPr="000E07AE">
        <w:rPr>
          <w:rStyle w:val="AERbody"/>
        </w:rPr>
        <w:t>and alternative control services.</w:t>
      </w:r>
      <w:r w:rsidR="00790A81">
        <w:rPr>
          <w:rStyle w:val="AERbody"/>
        </w:rPr>
        <w:t xml:space="preserve"> These services can now be provided on a remote basis using AMI and at a much lower cost.</w:t>
      </w:r>
    </w:p>
    <w:p w:rsidR="0040596D" w:rsidRPr="0040596D" w:rsidRDefault="0040596D" w:rsidP="0040596D">
      <w:pPr>
        <w:pStyle w:val="HeadingBoldBlue"/>
        <w:rPr>
          <w:rStyle w:val="AERbody"/>
          <w:color w:val="365F91" w:themeColor="accent1" w:themeShade="BF"/>
          <w:sz w:val="24"/>
        </w:rPr>
      </w:pPr>
      <w:r w:rsidRPr="0040596D">
        <w:rPr>
          <w:rStyle w:val="AERbody"/>
          <w:color w:val="365F91" w:themeColor="accent1" w:themeShade="BF"/>
          <w:sz w:val="24"/>
        </w:rPr>
        <w:t>Supply enhancement at customer request</w:t>
      </w:r>
    </w:p>
    <w:p w:rsidR="0040596D" w:rsidRPr="00770C24" w:rsidRDefault="00123517" w:rsidP="0040596D">
      <w:pPr>
        <w:pStyle w:val="AERbodytext"/>
        <w:numPr>
          <w:ilvl w:val="0"/>
          <w:numId w:val="0"/>
        </w:numPr>
        <w:rPr>
          <w:rStyle w:val="AERbody"/>
        </w:rPr>
      </w:pPr>
      <w:r>
        <w:rPr>
          <w:rStyle w:val="AERbody"/>
        </w:rPr>
        <w:t>This service is currently classified as a direct control</w:t>
      </w:r>
      <w:r w:rsidR="006C5BB2">
        <w:rPr>
          <w:rStyle w:val="AERbody"/>
        </w:rPr>
        <w:t xml:space="preserve">, </w:t>
      </w:r>
      <w:r>
        <w:rPr>
          <w:rStyle w:val="AERbody"/>
        </w:rPr>
        <w:t xml:space="preserve">alternative control service. However, the </w:t>
      </w:r>
      <w:r w:rsidR="00850953">
        <w:rPr>
          <w:rStyle w:val="AERbody"/>
        </w:rPr>
        <w:t xml:space="preserve">Victorian </w:t>
      </w:r>
      <w:r>
        <w:rPr>
          <w:rStyle w:val="AERbody"/>
        </w:rPr>
        <w:t>distributors submitted that the service has not been provided in the current regulatory control period, with the activities instead being provided as a routine connection or new connection requiring augmentation.</w:t>
      </w:r>
      <w:r>
        <w:rPr>
          <w:rStyle w:val="FootnoteReference"/>
        </w:rPr>
        <w:footnoteReference w:id="67"/>
      </w:r>
      <w:r w:rsidR="00DF31E5">
        <w:rPr>
          <w:rStyle w:val="AERbody"/>
        </w:rPr>
        <w:t xml:space="preserve"> Accordingly, we do not consider that this service requires </w:t>
      </w:r>
      <w:r w:rsidR="00DF31E5" w:rsidRPr="00682C51">
        <w:rPr>
          <w:rStyle w:val="AERbody"/>
        </w:rPr>
        <w:t>classification</w:t>
      </w:r>
      <w:r w:rsidR="00C95E15" w:rsidRPr="00682C51">
        <w:rPr>
          <w:rStyle w:val="AERbody"/>
        </w:rPr>
        <w:t xml:space="preserve"> in Victoria</w:t>
      </w:r>
      <w:r w:rsidR="00DF31E5" w:rsidRPr="00682C51">
        <w:rPr>
          <w:rStyle w:val="AERbody"/>
        </w:rPr>
        <w:t>.</w:t>
      </w:r>
    </w:p>
    <w:p w:rsidR="00770C24" w:rsidRPr="00B06A0C" w:rsidRDefault="00770C24" w:rsidP="00B06A0C">
      <w:pPr>
        <w:pStyle w:val="Heading3"/>
        <w:rPr>
          <w:rStyle w:val="AERtextorange"/>
        </w:rPr>
      </w:pPr>
      <w:bookmarkStart w:id="34" w:name="_Toc350358136"/>
      <w:bookmarkStart w:id="35" w:name="_Toc350446227"/>
      <w:bookmarkStart w:id="36" w:name="_Toc351729997"/>
      <w:bookmarkStart w:id="37" w:name="_Toc374085333"/>
      <w:bookmarkStart w:id="38" w:name="_Toc387418349"/>
      <w:bookmarkStart w:id="39" w:name="_Toc388976503"/>
      <w:r w:rsidRPr="00B06A0C">
        <w:rPr>
          <w:rStyle w:val="AERtextorange"/>
        </w:rPr>
        <w:t>Metering services</w:t>
      </w:r>
      <w:bookmarkEnd w:id="34"/>
      <w:bookmarkEnd w:id="35"/>
      <w:bookmarkEnd w:id="36"/>
      <w:bookmarkEnd w:id="37"/>
      <w:bookmarkEnd w:id="38"/>
      <w:bookmarkEnd w:id="39"/>
    </w:p>
    <w:p w:rsidR="00770C24" w:rsidRPr="00770C24" w:rsidRDefault="00770C24" w:rsidP="00770C24">
      <w:pPr>
        <w:pStyle w:val="AERbodytext"/>
        <w:rPr>
          <w:rStyle w:val="AERbody"/>
        </w:rPr>
      </w:pPr>
      <w:r>
        <w:rPr>
          <w:rStyle w:val="AERbody"/>
        </w:rPr>
        <w:t xml:space="preserve">This section first introduces metering services by explaining the different metering types and different metering services. In doing so, we summarise the categories of metering services we propose to apply and our preliminary classification of the different metering types. Second, we set out our reasons for our preliminary </w:t>
      </w:r>
      <w:r w:rsidR="00644B5D">
        <w:rPr>
          <w:rStyle w:val="AERbody"/>
        </w:rPr>
        <w:t>position</w:t>
      </w:r>
      <w:r>
        <w:rPr>
          <w:rStyle w:val="AERbody"/>
        </w:rPr>
        <w:t xml:space="preserve"> to the classification of metering services. </w:t>
      </w:r>
    </w:p>
    <w:p w:rsidR="00770C24" w:rsidRPr="00B06A0C" w:rsidRDefault="00770C24" w:rsidP="00B06A0C">
      <w:pPr>
        <w:pStyle w:val="HeadingBoldBlue"/>
        <w:rPr>
          <w:rStyle w:val="AERbody"/>
          <w:color w:val="365F91" w:themeColor="accent1" w:themeShade="BF"/>
          <w:sz w:val="24"/>
        </w:rPr>
      </w:pPr>
      <w:r w:rsidRPr="00B06A0C">
        <w:rPr>
          <w:rStyle w:val="AERbody"/>
          <w:color w:val="365F91" w:themeColor="accent1" w:themeShade="BF"/>
          <w:sz w:val="24"/>
        </w:rPr>
        <w:t>Introduction to metering services</w:t>
      </w:r>
    </w:p>
    <w:p w:rsidR="00770C24" w:rsidRPr="000854FF" w:rsidRDefault="00770C24" w:rsidP="00770C24">
      <w:pPr>
        <w:numPr>
          <w:ilvl w:val="0"/>
          <w:numId w:val="13"/>
        </w:numPr>
        <w:rPr>
          <w:rStyle w:val="AERbody"/>
        </w:rPr>
      </w:pPr>
      <w:r w:rsidRPr="000854FF">
        <w:rPr>
          <w:rStyle w:val="AERbody"/>
        </w:rPr>
        <w:t xml:space="preserve">All electricity </w:t>
      </w:r>
      <w:r>
        <w:rPr>
          <w:rStyle w:val="AERbody"/>
        </w:rPr>
        <w:t>customer</w:t>
      </w:r>
      <w:r w:rsidRPr="000854FF">
        <w:rPr>
          <w:rStyle w:val="AERbody"/>
        </w:rPr>
        <w:t>s have a meter that measures the amount of electricity they use.</w:t>
      </w:r>
      <w:r w:rsidRPr="000854FF">
        <w:rPr>
          <w:rStyle w:val="AERsuperscript"/>
        </w:rPr>
        <w:footnoteReference w:id="68"/>
      </w:r>
      <w:r w:rsidRPr="000854FF">
        <w:rPr>
          <w:rStyle w:val="AERbody"/>
        </w:rPr>
        <w:t xml:space="preserve"> However, not all </w:t>
      </w:r>
      <w:r>
        <w:rPr>
          <w:rStyle w:val="AERbody"/>
        </w:rPr>
        <w:t>customer</w:t>
      </w:r>
      <w:r w:rsidRPr="000854FF">
        <w:rPr>
          <w:rStyle w:val="AERbody"/>
        </w:rPr>
        <w:t>s have the same type of meter. There are</w:t>
      </w:r>
      <w:r>
        <w:rPr>
          <w:rStyle w:val="AERbody"/>
        </w:rPr>
        <w:t xml:space="preserve"> different types of meters,</w:t>
      </w:r>
      <w:r w:rsidRPr="000854FF">
        <w:rPr>
          <w:rStyle w:val="AERbody"/>
        </w:rPr>
        <w:t xml:space="preserve"> measuring electricity usage in different ways. </w:t>
      </w:r>
      <w:r w:rsidR="00DB28B1">
        <w:rPr>
          <w:rStyle w:val="AERbody"/>
        </w:rPr>
        <w:t>The metering installation types are defined in schedule 7.2 of the NER.</w:t>
      </w:r>
    </w:p>
    <w:p w:rsidR="006C5BB2" w:rsidRDefault="001B1E76" w:rsidP="001B1E76">
      <w:pPr>
        <w:numPr>
          <w:ilvl w:val="0"/>
          <w:numId w:val="13"/>
        </w:numPr>
        <w:rPr>
          <w:rStyle w:val="AERbody"/>
        </w:rPr>
      </w:pPr>
      <w:r w:rsidRPr="00FA34D0">
        <w:rPr>
          <w:rStyle w:val="AERbody"/>
        </w:rPr>
        <w:t xml:space="preserve">Large customers use type 1 to 4 meters which provide a range of additional functions compared to </w:t>
      </w:r>
      <w:r w:rsidR="00790A81">
        <w:rPr>
          <w:rStyle w:val="AERbody"/>
        </w:rPr>
        <w:t>other</w:t>
      </w:r>
      <w:r w:rsidRPr="00FA34D0">
        <w:rPr>
          <w:rStyle w:val="AERbody"/>
        </w:rPr>
        <w:t xml:space="preserve"> meters. </w:t>
      </w:r>
      <w:r w:rsidR="00DC36D7" w:rsidRPr="003F32CF">
        <w:rPr>
          <w:rStyle w:val="AERbody"/>
        </w:rPr>
        <w:t>In particular, these types h</w:t>
      </w:r>
      <w:r w:rsidR="00DC36D7" w:rsidRPr="00105460">
        <w:rPr>
          <w:rStyle w:val="AERbody"/>
        </w:rPr>
        <w:t xml:space="preserve">ave </w:t>
      </w:r>
      <w:r w:rsidR="004E760A">
        <w:rPr>
          <w:rStyle w:val="AERbody"/>
        </w:rPr>
        <w:t xml:space="preserve">a </w:t>
      </w:r>
      <w:r w:rsidR="00DC36D7" w:rsidRPr="00105460">
        <w:rPr>
          <w:rStyle w:val="AERbody"/>
        </w:rPr>
        <w:t xml:space="preserve">remote communication ability. </w:t>
      </w:r>
      <w:r w:rsidRPr="00105460">
        <w:rPr>
          <w:rStyle w:val="AERbody"/>
        </w:rPr>
        <w:t xml:space="preserve">Type 1 to </w:t>
      </w:r>
      <w:r w:rsidRPr="00FA34D0">
        <w:rPr>
          <w:rStyle w:val="AERbody"/>
        </w:rPr>
        <w:t xml:space="preserve">4 meters are competitively available and we do not currently regulate them—they are unclassified. </w:t>
      </w:r>
    </w:p>
    <w:p w:rsidR="001B1E76" w:rsidRPr="00FA34D0" w:rsidRDefault="006C5BB2" w:rsidP="001B1E76">
      <w:pPr>
        <w:numPr>
          <w:ilvl w:val="0"/>
          <w:numId w:val="13"/>
        </w:numPr>
        <w:rPr>
          <w:rStyle w:val="AERbody"/>
        </w:rPr>
      </w:pPr>
      <w:r>
        <w:rPr>
          <w:rStyle w:val="AERbody"/>
        </w:rPr>
        <w:t>T</w:t>
      </w:r>
      <w:r w:rsidR="001B1E76" w:rsidRPr="00FA34D0">
        <w:rPr>
          <w:rStyle w:val="AERbody"/>
        </w:rPr>
        <w:t xml:space="preserve">he </w:t>
      </w:r>
      <w:r w:rsidR="00F42C77" w:rsidRPr="00FA34D0">
        <w:rPr>
          <w:rStyle w:val="AERbody"/>
        </w:rPr>
        <w:t>Victoria</w:t>
      </w:r>
      <w:r w:rsidR="00790A81">
        <w:rPr>
          <w:rStyle w:val="AERbody"/>
        </w:rPr>
        <w:t>n</w:t>
      </w:r>
      <w:r w:rsidR="00F42C77" w:rsidRPr="00FA34D0">
        <w:rPr>
          <w:rStyle w:val="AERbody"/>
        </w:rPr>
        <w:t xml:space="preserve"> </w:t>
      </w:r>
      <w:r w:rsidR="001B1E76" w:rsidRPr="00FA34D0">
        <w:rPr>
          <w:rStyle w:val="AERbody"/>
        </w:rPr>
        <w:t>Government mandated a roll-out of 'smart meters' by the five regulated electricity distributors</w:t>
      </w:r>
      <w:r>
        <w:rPr>
          <w:rStyle w:val="AERbody"/>
        </w:rPr>
        <w:t xml:space="preserve"> using Victorian regulatory instruments, notably the OIC discussed in chapter 1</w:t>
      </w:r>
      <w:r w:rsidR="001B1E76" w:rsidRPr="00FA34D0">
        <w:rPr>
          <w:rStyle w:val="AERbody"/>
        </w:rPr>
        <w:t xml:space="preserve">. </w:t>
      </w:r>
      <w:r>
        <w:rPr>
          <w:rStyle w:val="AERbody"/>
        </w:rPr>
        <w:t xml:space="preserve">Smart meters </w:t>
      </w:r>
      <w:r w:rsidR="001B1E76" w:rsidRPr="00FA34D0">
        <w:rPr>
          <w:rStyle w:val="AERbody"/>
        </w:rPr>
        <w:t xml:space="preserve">are interval meters with a communications capability allowing distributors or a third party to read them remotely. </w:t>
      </w:r>
      <w:r w:rsidR="00DC36D7" w:rsidRPr="00FA34D0">
        <w:rPr>
          <w:rStyle w:val="AERbody"/>
        </w:rPr>
        <w:t xml:space="preserve">Thus, smart meters currently </w:t>
      </w:r>
      <w:r w:rsidR="0013033D">
        <w:rPr>
          <w:rStyle w:val="AERbody"/>
        </w:rPr>
        <w:t xml:space="preserve">strictly </w:t>
      </w:r>
      <w:r w:rsidR="00DC36D7" w:rsidRPr="00FA34D0">
        <w:rPr>
          <w:rStyle w:val="AERbody"/>
        </w:rPr>
        <w:t>fall within the definition of type 4 meter</w:t>
      </w:r>
      <w:r w:rsidR="00DC36D7" w:rsidRPr="003F32CF">
        <w:rPr>
          <w:rStyle w:val="AERbody"/>
        </w:rPr>
        <w:t>ing</w:t>
      </w:r>
      <w:r w:rsidR="00DC36D7" w:rsidRPr="00105460">
        <w:rPr>
          <w:rStyle w:val="AERbody"/>
        </w:rPr>
        <w:t>.</w:t>
      </w:r>
      <w:r w:rsidR="00632843">
        <w:rPr>
          <w:rStyle w:val="FootnoteReference"/>
        </w:rPr>
        <w:footnoteReference w:id="69"/>
      </w:r>
      <w:r w:rsidR="00DC36D7" w:rsidRPr="00105460">
        <w:rPr>
          <w:rStyle w:val="AERbody"/>
        </w:rPr>
        <w:t xml:space="preserve"> </w:t>
      </w:r>
      <w:r w:rsidR="001B1E76" w:rsidRPr="00105460">
        <w:rPr>
          <w:rStyle w:val="AERbody"/>
        </w:rPr>
        <w:t>Smart</w:t>
      </w:r>
      <w:r w:rsidR="001B1E76" w:rsidRPr="00042E15">
        <w:rPr>
          <w:rStyle w:val="AERbody"/>
        </w:rPr>
        <w:t xml:space="preserve"> meters offer frequent information about usage and facilitate a range of other services.</w:t>
      </w:r>
      <w:r w:rsidR="001B1E76" w:rsidRPr="00FA34D0">
        <w:rPr>
          <w:rStyle w:val="FootnoteReference"/>
        </w:rPr>
        <w:footnoteReference w:id="70"/>
      </w:r>
      <w:r w:rsidR="001B1E76" w:rsidRPr="00FA34D0">
        <w:rPr>
          <w:rStyle w:val="AERbody"/>
        </w:rPr>
        <w:t xml:space="preserve"> This allows customers to manage their electricity use better. </w:t>
      </w:r>
    </w:p>
    <w:p w:rsidR="00632843" w:rsidRDefault="003A4705" w:rsidP="00632843">
      <w:pPr>
        <w:pStyle w:val="AERbodytext"/>
        <w:rPr>
          <w:rStyle w:val="AERbody"/>
        </w:rPr>
      </w:pPr>
      <w:r w:rsidRPr="003434F8">
        <w:rPr>
          <w:rStyle w:val="AERbody"/>
        </w:rPr>
        <w:t>Type 5 metering is defined in the NER as a manually read interval meter whilst type 6 is a manually read accumulation meter.</w:t>
      </w:r>
      <w:r>
        <w:rPr>
          <w:rStyle w:val="AERbody"/>
        </w:rPr>
        <w:t xml:space="preserve"> </w:t>
      </w:r>
      <w:r w:rsidR="00632843" w:rsidRPr="00632843">
        <w:rPr>
          <w:rStyle w:val="AERbody"/>
        </w:rPr>
        <w:t>Metering services for types 5 and 6 are currently excluded from classification by a derogation from the NER by Victoria which expires on 31 December 2016. The AER is to regulate these metering services under the derogation until 31 December 2016 and from 1</w:t>
      </w:r>
      <w:r>
        <w:rPr>
          <w:rStyle w:val="AERbody"/>
        </w:rPr>
        <w:t> </w:t>
      </w:r>
      <w:r w:rsidR="00632843" w:rsidRPr="00632843">
        <w:rPr>
          <w:rStyle w:val="AERbody"/>
        </w:rPr>
        <w:t xml:space="preserve">January 2017 under the NER. </w:t>
      </w:r>
      <w:r w:rsidR="00632843">
        <w:rPr>
          <w:rStyle w:val="AERbody"/>
        </w:rPr>
        <w:t>This discussion of metering is wholly based on the Victorian specific arrangements continuing to apply under the derogation and transitional rule 11.17.6 of the NER for the next regulatory control period. If the AEMC enacts new rules to introduce competition in metering we expect the enabling Rules will make provision for the transition in Victoria to the new framework.</w:t>
      </w:r>
      <w:r w:rsidR="00632843" w:rsidRPr="00632843">
        <w:rPr>
          <w:rStyle w:val="FootnoteReference"/>
        </w:rPr>
        <w:t xml:space="preserve"> </w:t>
      </w:r>
      <w:r w:rsidR="00632843" w:rsidRPr="00632843">
        <w:rPr>
          <w:rStyle w:val="FootnoteReference"/>
        </w:rPr>
        <w:footnoteReference w:id="71"/>
      </w:r>
    </w:p>
    <w:p w:rsidR="00770C24" w:rsidRPr="00D40BBF" w:rsidRDefault="00770C24" w:rsidP="00632843">
      <w:pPr>
        <w:pStyle w:val="AERbodytext"/>
        <w:rPr>
          <w:rStyle w:val="AERbody"/>
        </w:rPr>
      </w:pPr>
      <w:r w:rsidRPr="00FA34D0">
        <w:rPr>
          <w:rStyle w:val="AERbody"/>
        </w:rPr>
        <w:lastRenderedPageBreak/>
        <w:t xml:space="preserve">The </w:t>
      </w:r>
      <w:r w:rsidR="00850953" w:rsidRPr="00FA34D0">
        <w:rPr>
          <w:rStyle w:val="AERbody"/>
        </w:rPr>
        <w:t xml:space="preserve">Victorian </w:t>
      </w:r>
      <w:r w:rsidRPr="00FA34D0">
        <w:rPr>
          <w:rStyle w:val="AERbody"/>
        </w:rPr>
        <w:t xml:space="preserve">distributors are the monopoly providers of type 5 (interval) </w:t>
      </w:r>
      <w:r w:rsidRPr="003F32CF">
        <w:rPr>
          <w:rStyle w:val="AERbody"/>
        </w:rPr>
        <w:t xml:space="preserve">and 6 </w:t>
      </w:r>
      <w:r w:rsidRPr="00105460">
        <w:rPr>
          <w:rStyle w:val="AERbody"/>
        </w:rPr>
        <w:t>(accumulation)</w:t>
      </w:r>
      <w:r>
        <w:rPr>
          <w:rStyle w:val="AERbody"/>
        </w:rPr>
        <w:t xml:space="preserve"> </w:t>
      </w:r>
      <w:r w:rsidRPr="00D40BBF">
        <w:rPr>
          <w:rStyle w:val="AERbody"/>
        </w:rPr>
        <w:t>meters.</w:t>
      </w:r>
      <w:r w:rsidRPr="00D40BBF">
        <w:rPr>
          <w:rStyle w:val="AERsuperscript"/>
        </w:rPr>
        <w:footnoteReference w:id="72"/>
      </w:r>
      <w:r w:rsidRPr="00D40BBF">
        <w:rPr>
          <w:rStyle w:val="AERsuperscript"/>
        </w:rPr>
        <w:t xml:space="preserve"> </w:t>
      </w:r>
      <w:r w:rsidR="006336FA">
        <w:rPr>
          <w:rStyle w:val="AERbody"/>
        </w:rPr>
        <w:t>H</w:t>
      </w:r>
      <w:r w:rsidRPr="00D40BBF">
        <w:rPr>
          <w:rStyle w:val="AERbody"/>
        </w:rPr>
        <w:t xml:space="preserve">ouseholds and other small </w:t>
      </w:r>
      <w:r>
        <w:rPr>
          <w:rStyle w:val="AERbody"/>
        </w:rPr>
        <w:t>customers</w:t>
      </w:r>
      <w:r w:rsidR="006336FA">
        <w:rPr>
          <w:rStyle w:val="AERbody"/>
        </w:rPr>
        <w:t xml:space="preserve"> </w:t>
      </w:r>
      <w:r w:rsidR="00F42C77">
        <w:rPr>
          <w:rStyle w:val="AERbody"/>
        </w:rPr>
        <w:t xml:space="preserve">traditionally </w:t>
      </w:r>
      <w:r w:rsidR="006336FA">
        <w:rPr>
          <w:rStyle w:val="AERbody"/>
        </w:rPr>
        <w:t>use</w:t>
      </w:r>
      <w:r w:rsidR="00F42C77">
        <w:rPr>
          <w:rStyle w:val="AERbody"/>
        </w:rPr>
        <w:t>d</w:t>
      </w:r>
      <w:r w:rsidR="006336FA">
        <w:rPr>
          <w:rStyle w:val="AERbody"/>
        </w:rPr>
        <w:t xml:space="preserve"> these default meter types</w:t>
      </w:r>
      <w:r w:rsidRPr="00D40BBF">
        <w:rPr>
          <w:rStyle w:val="AERbody"/>
        </w:rPr>
        <w:t>. Type 6 meters simply record total electricity usage over a period of time. Type 5 meters can record electricity usage and time of use.</w:t>
      </w:r>
      <w:r w:rsidRPr="00D40BBF">
        <w:rPr>
          <w:rStyle w:val="AERsuperscript"/>
        </w:rPr>
        <w:footnoteReference w:id="73"/>
      </w:r>
      <w:r w:rsidRPr="00D40BBF">
        <w:rPr>
          <w:rStyle w:val="AERbody"/>
        </w:rPr>
        <w:t xml:space="preserve"> </w:t>
      </w:r>
      <w:r w:rsidR="00DC36D7">
        <w:rPr>
          <w:rStyle w:val="AERbody"/>
        </w:rPr>
        <w:t xml:space="preserve">These meters are manually read. Smart meters have almost entirely replaced type 5 and 6 metering installations in Victoria. This creates a </w:t>
      </w:r>
      <w:r w:rsidR="00F42C77">
        <w:rPr>
          <w:rStyle w:val="AERbody"/>
        </w:rPr>
        <w:t xml:space="preserve">service </w:t>
      </w:r>
      <w:r w:rsidR="00DC36D7">
        <w:rPr>
          <w:rStyle w:val="AERbody"/>
        </w:rPr>
        <w:t xml:space="preserve">classification issue in Victoria </w:t>
      </w:r>
      <w:r w:rsidR="00F42C77">
        <w:rPr>
          <w:rStyle w:val="AERbody"/>
        </w:rPr>
        <w:t xml:space="preserve">while </w:t>
      </w:r>
      <w:r w:rsidR="00DC36D7">
        <w:rPr>
          <w:rStyle w:val="AERbody"/>
        </w:rPr>
        <w:t xml:space="preserve">current </w:t>
      </w:r>
      <w:r w:rsidR="006C5BB2">
        <w:rPr>
          <w:rStyle w:val="AERbody"/>
        </w:rPr>
        <w:t xml:space="preserve">NER metering definitions </w:t>
      </w:r>
      <w:r w:rsidR="00F42C77">
        <w:rPr>
          <w:rStyle w:val="AERbody"/>
        </w:rPr>
        <w:t>continue to apply</w:t>
      </w:r>
      <w:r w:rsidR="00DC36D7">
        <w:rPr>
          <w:rStyle w:val="AERbody"/>
        </w:rPr>
        <w:t xml:space="preserve">. </w:t>
      </w:r>
      <w:r w:rsidR="0013033D">
        <w:rPr>
          <w:rStyle w:val="AERbody"/>
        </w:rPr>
        <w:t xml:space="preserve">This is discussed further in the following sections. </w:t>
      </w:r>
      <w:r w:rsidR="00DC36D7">
        <w:rPr>
          <w:rStyle w:val="AERbody"/>
        </w:rPr>
        <w:t xml:space="preserve">The Victorian Government has mandated that smart meters must continue to be regulated by the AER </w:t>
      </w:r>
      <w:r w:rsidR="00FA34D0">
        <w:rPr>
          <w:rStyle w:val="AERbody"/>
        </w:rPr>
        <w:t>in the next regulatory control period</w:t>
      </w:r>
      <w:r w:rsidR="006C5BB2">
        <w:rPr>
          <w:rStyle w:val="AERbody"/>
        </w:rPr>
        <w:t>, on a basis consistent with the OIC</w:t>
      </w:r>
      <w:r w:rsidR="00FA34D0">
        <w:rPr>
          <w:rStyle w:val="AERbody"/>
        </w:rPr>
        <w:t>.</w:t>
      </w:r>
    </w:p>
    <w:p w:rsidR="00770C24" w:rsidRDefault="00770C24" w:rsidP="00770C24">
      <w:pPr>
        <w:numPr>
          <w:ilvl w:val="0"/>
          <w:numId w:val="13"/>
        </w:numPr>
        <w:rPr>
          <w:rStyle w:val="AERbody"/>
        </w:rPr>
      </w:pPr>
      <w:r>
        <w:rPr>
          <w:rStyle w:val="AERbody"/>
        </w:rPr>
        <w:t xml:space="preserve">The </w:t>
      </w:r>
      <w:r w:rsidR="00850953">
        <w:rPr>
          <w:rStyle w:val="AERbody"/>
        </w:rPr>
        <w:t xml:space="preserve">Victorian </w:t>
      </w:r>
      <w:r w:rsidRPr="001F17F6">
        <w:rPr>
          <w:rStyle w:val="AERbody"/>
        </w:rPr>
        <w:t xml:space="preserve">distributors are the monopoly providers of type 7 metering services, which are unmetered connections </w:t>
      </w:r>
      <w:r w:rsidR="00F42C77" w:rsidRPr="00DC36D7">
        <w:rPr>
          <w:rStyle w:val="AERbody"/>
        </w:rPr>
        <w:t>with a predictable energy consumption pattern</w:t>
      </w:r>
      <w:r w:rsidR="00F42C77" w:rsidRPr="001F17F6">
        <w:rPr>
          <w:rStyle w:val="AERbody"/>
        </w:rPr>
        <w:t xml:space="preserve"> </w:t>
      </w:r>
      <w:r w:rsidRPr="001F17F6">
        <w:rPr>
          <w:rStyle w:val="AERbody"/>
        </w:rPr>
        <w:t>(for example, public lighting connections).</w:t>
      </w:r>
      <w:r w:rsidRPr="00784B19">
        <w:rPr>
          <w:rStyle w:val="AERsuperscript"/>
        </w:rPr>
        <w:footnoteReference w:id="74"/>
      </w:r>
      <w:r>
        <w:rPr>
          <w:rStyle w:val="AERbody"/>
        </w:rPr>
        <w:t xml:space="preserve"> Such connections do not include a meter that measures electricity use. Rather, electricity use by these connections is estimated. Charges associated with type 7 metering services relate to the process of estimating electricity use.</w:t>
      </w:r>
    </w:p>
    <w:p w:rsidR="00770C24" w:rsidRDefault="00770C24" w:rsidP="00770C24">
      <w:pPr>
        <w:pStyle w:val="AERbodytext"/>
        <w:rPr>
          <w:rStyle w:val="AERbody"/>
        </w:rPr>
      </w:pPr>
      <w:r>
        <w:rPr>
          <w:rStyle w:val="AERbody"/>
        </w:rPr>
        <w:t xml:space="preserve">Auxiliary metering services are a range of other metering related services provided to specific customers. These </w:t>
      </w:r>
      <w:r w:rsidRPr="00C04AC4">
        <w:rPr>
          <w:rStyle w:val="AERbody"/>
        </w:rPr>
        <w:t>include customer requested meter tests, additional meter reads or equipment alterations</w:t>
      </w:r>
      <w:r>
        <w:rPr>
          <w:rStyle w:val="AERbody"/>
        </w:rPr>
        <w:t>.</w:t>
      </w:r>
    </w:p>
    <w:p w:rsidR="007E52B7" w:rsidRDefault="00770C24" w:rsidP="00770C24">
      <w:pPr>
        <w:numPr>
          <w:ilvl w:val="0"/>
          <w:numId w:val="13"/>
        </w:numPr>
        <w:rPr>
          <w:rStyle w:val="AERbody"/>
        </w:rPr>
      </w:pPr>
      <w:r w:rsidRPr="00052DFA">
        <w:rPr>
          <w:rStyle w:val="AERbody"/>
        </w:rPr>
        <w:t xml:space="preserve">Type 5 and 6 metering services are currently bundled together and </w:t>
      </w:r>
      <w:r w:rsidR="00DB28B1">
        <w:rPr>
          <w:rStyle w:val="AERbody"/>
        </w:rPr>
        <w:t xml:space="preserve">treated </w:t>
      </w:r>
      <w:r w:rsidRPr="00052DFA">
        <w:rPr>
          <w:rStyle w:val="AERbody"/>
        </w:rPr>
        <w:t>as standard control services</w:t>
      </w:r>
      <w:r w:rsidR="00DB28B1">
        <w:rPr>
          <w:rStyle w:val="AERbody"/>
        </w:rPr>
        <w:t xml:space="preserve"> but are subject to the AMI </w:t>
      </w:r>
      <w:r w:rsidR="006C5BB2">
        <w:rPr>
          <w:rStyle w:val="AERbody"/>
        </w:rPr>
        <w:t>OIC</w:t>
      </w:r>
      <w:r w:rsidRPr="00052DFA">
        <w:rPr>
          <w:rStyle w:val="AERbody"/>
        </w:rPr>
        <w:t xml:space="preserve">. This means the current classification of metering services applies to meter installation, provision, maintenance, reading and data management. We consider it useful to separate type 5 and 6 metering services into components. </w:t>
      </w:r>
      <w:r w:rsidR="004E760A">
        <w:rPr>
          <w:rStyle w:val="AERbody"/>
        </w:rPr>
        <w:t>Where we identify a service that refers to a type 5 or 6 metering installation, we also intend that classification to apply to a</w:t>
      </w:r>
      <w:r w:rsidR="00DB28B1">
        <w:rPr>
          <w:rStyle w:val="AERbody"/>
        </w:rPr>
        <w:t>n equivalent</w:t>
      </w:r>
      <w:r w:rsidR="004E760A">
        <w:rPr>
          <w:rStyle w:val="AERbody"/>
        </w:rPr>
        <w:t xml:space="preserve"> service applicable to a smart meter</w:t>
      </w:r>
      <w:r w:rsidR="006C5BB2">
        <w:rPr>
          <w:rStyle w:val="AERbody"/>
        </w:rPr>
        <w:t xml:space="preserve"> but only those smart meters which replace</w:t>
      </w:r>
      <w:r w:rsidR="00080E80">
        <w:rPr>
          <w:rStyle w:val="AERbody"/>
        </w:rPr>
        <w:t>d</w:t>
      </w:r>
      <w:r w:rsidR="006C5BB2">
        <w:rPr>
          <w:rStyle w:val="AERbody"/>
        </w:rPr>
        <w:t xml:space="preserve"> a type 5 or 6 meter under the OIC.</w:t>
      </w:r>
    </w:p>
    <w:p w:rsidR="00770C24" w:rsidRPr="00052DFA" w:rsidRDefault="00770C24" w:rsidP="00770C24">
      <w:pPr>
        <w:numPr>
          <w:ilvl w:val="0"/>
          <w:numId w:val="13"/>
        </w:numPr>
        <w:rPr>
          <w:rStyle w:val="AERbody"/>
        </w:rPr>
      </w:pPr>
      <w:r w:rsidRPr="00052DFA">
        <w:rPr>
          <w:rStyle w:val="AERbody"/>
        </w:rPr>
        <w:t xml:space="preserve">We propose to separate type 5 and 6 metering into the following components: </w:t>
      </w:r>
    </w:p>
    <w:p w:rsidR="00770C24" w:rsidRDefault="00770C24" w:rsidP="00770C24">
      <w:pPr>
        <w:pStyle w:val="AERbulletlistfirststyle"/>
        <w:rPr>
          <w:rStyle w:val="AERbody"/>
        </w:rPr>
      </w:pPr>
      <w:r>
        <w:rPr>
          <w:rStyle w:val="AERbody"/>
        </w:rPr>
        <w:t xml:space="preserve">type 5 and 6 </w:t>
      </w:r>
      <w:r w:rsidR="007E52B7">
        <w:rPr>
          <w:rStyle w:val="AERbody"/>
        </w:rPr>
        <w:t xml:space="preserve">and smart </w:t>
      </w:r>
      <w:r>
        <w:rPr>
          <w:rStyle w:val="AERbody"/>
        </w:rPr>
        <w:t>meter installation services</w:t>
      </w:r>
    </w:p>
    <w:p w:rsidR="00770C24" w:rsidRDefault="00770C24" w:rsidP="00770C24">
      <w:pPr>
        <w:pStyle w:val="AERbulletlistfirststyle"/>
        <w:rPr>
          <w:rStyle w:val="AERbody"/>
        </w:rPr>
      </w:pPr>
      <w:r>
        <w:rPr>
          <w:rStyle w:val="AERbody"/>
        </w:rPr>
        <w:t xml:space="preserve">type 5 and 6 </w:t>
      </w:r>
      <w:r w:rsidR="007E52B7">
        <w:rPr>
          <w:rStyle w:val="AERbody"/>
        </w:rPr>
        <w:t xml:space="preserve">and smart </w:t>
      </w:r>
      <w:r>
        <w:rPr>
          <w:rStyle w:val="AERbody"/>
        </w:rPr>
        <w:t>meter provision</w:t>
      </w:r>
      <w:r w:rsidR="006D5F68">
        <w:rPr>
          <w:rStyle w:val="AERbody"/>
        </w:rPr>
        <w:t xml:space="preserve"> and </w:t>
      </w:r>
      <w:r>
        <w:rPr>
          <w:rStyle w:val="AERbody"/>
        </w:rPr>
        <w:t>maintenance</w:t>
      </w:r>
      <w:r w:rsidRPr="00C86218">
        <w:rPr>
          <w:rStyle w:val="AERbody"/>
        </w:rPr>
        <w:t xml:space="preserve">. </w:t>
      </w:r>
    </w:p>
    <w:p w:rsidR="00770C24" w:rsidRDefault="00770C24" w:rsidP="00770C24">
      <w:pPr>
        <w:numPr>
          <w:ilvl w:val="0"/>
          <w:numId w:val="13"/>
        </w:numPr>
        <w:rPr>
          <w:rStyle w:val="AERbody"/>
        </w:rPr>
      </w:pPr>
      <w:r w:rsidRPr="00C86218">
        <w:rPr>
          <w:rStyle w:val="AERbody"/>
        </w:rPr>
        <w:t xml:space="preserve">Table </w:t>
      </w:r>
      <w:r w:rsidR="00295919">
        <w:rPr>
          <w:rStyle w:val="AERbody"/>
        </w:rPr>
        <w:t>4</w:t>
      </w:r>
      <w:r w:rsidRPr="00C86218">
        <w:rPr>
          <w:rStyle w:val="AERbody"/>
        </w:rPr>
        <w:t xml:space="preserve"> summarises </w:t>
      </w:r>
      <w:r>
        <w:rPr>
          <w:rStyle w:val="AERbody"/>
        </w:rPr>
        <w:t>the current classification</w:t>
      </w:r>
      <w:r w:rsidRPr="00C86218">
        <w:rPr>
          <w:rStyle w:val="AERbody"/>
        </w:rPr>
        <w:t xml:space="preserve"> and </w:t>
      </w:r>
      <w:r>
        <w:rPr>
          <w:rStyle w:val="AERbody"/>
        </w:rPr>
        <w:t>our preliminary</w:t>
      </w:r>
      <w:r w:rsidRPr="00C86218">
        <w:rPr>
          <w:rStyle w:val="AERbody"/>
        </w:rPr>
        <w:t xml:space="preserve"> </w:t>
      </w:r>
      <w:r w:rsidR="00644B5D">
        <w:rPr>
          <w:rStyle w:val="AERbody"/>
        </w:rPr>
        <w:t>position</w:t>
      </w:r>
      <w:r w:rsidRPr="00C86218">
        <w:rPr>
          <w:rStyle w:val="AERbody"/>
        </w:rPr>
        <w:t xml:space="preserve"> on the classification of metering services. </w:t>
      </w:r>
    </w:p>
    <w:p w:rsidR="0013033D" w:rsidRDefault="0013033D" w:rsidP="00CE24D6">
      <w:pPr>
        <w:rPr>
          <w:rStyle w:val="AERbody"/>
        </w:rPr>
      </w:pPr>
    </w:p>
    <w:p w:rsidR="00CE24D6" w:rsidRDefault="00CE24D6" w:rsidP="00CE24D6">
      <w:pPr>
        <w:rPr>
          <w:rStyle w:val="AERbody"/>
        </w:rPr>
      </w:pPr>
    </w:p>
    <w:p w:rsidR="00CE24D6" w:rsidRDefault="00CE24D6" w:rsidP="00CE24D6">
      <w:pPr>
        <w:rPr>
          <w:rStyle w:val="AERbody"/>
        </w:rPr>
      </w:pPr>
    </w:p>
    <w:p w:rsidR="00770C24" w:rsidRPr="00AC37D6" w:rsidRDefault="00770C24" w:rsidP="00770C24">
      <w:pPr>
        <w:pStyle w:val="Caption"/>
        <w:rPr>
          <w:rStyle w:val="AERbody"/>
        </w:rPr>
      </w:pPr>
      <w:r w:rsidRPr="00AC37D6">
        <w:rPr>
          <w:rStyle w:val="AERbody"/>
        </w:rPr>
        <w:t xml:space="preserve">Table </w:t>
      </w:r>
      <w:r w:rsidR="00295919">
        <w:rPr>
          <w:rStyle w:val="AERbody"/>
        </w:rPr>
        <w:t>4</w:t>
      </w:r>
      <w:r w:rsidRPr="00AC37D6">
        <w:rPr>
          <w:rStyle w:val="AERbody"/>
        </w:rPr>
        <w:t xml:space="preserve">: AER's </w:t>
      </w:r>
      <w:r w:rsidR="00644B5D">
        <w:rPr>
          <w:rStyle w:val="AERbody"/>
        </w:rPr>
        <w:t xml:space="preserve">current and </w:t>
      </w:r>
      <w:r w:rsidRPr="00AC37D6">
        <w:rPr>
          <w:rStyle w:val="AERbody"/>
        </w:rPr>
        <w:t xml:space="preserve">preliminary </w:t>
      </w:r>
      <w:r w:rsidR="00644B5D">
        <w:rPr>
          <w:rStyle w:val="AERbody"/>
        </w:rPr>
        <w:t xml:space="preserve">classification </w:t>
      </w:r>
      <w:r w:rsidR="00DB6131">
        <w:rPr>
          <w:rStyle w:val="AERbody"/>
        </w:rPr>
        <w:t xml:space="preserve">of </w:t>
      </w:r>
      <w:r w:rsidR="00DB6131" w:rsidRPr="00AC37D6">
        <w:rPr>
          <w:rStyle w:val="AERbody"/>
        </w:rPr>
        <w:t>metering</w:t>
      </w:r>
      <w:r w:rsidRPr="00AC37D6">
        <w:rPr>
          <w:rStyle w:val="AERbody"/>
        </w:rPr>
        <w:t xml:space="preserve"> services</w:t>
      </w:r>
    </w:p>
    <w:tbl>
      <w:tblPr>
        <w:tblStyle w:val="AERtable-numbers"/>
        <w:tblW w:w="0" w:type="auto"/>
        <w:tblLook w:val="04A0" w:firstRow="1" w:lastRow="0" w:firstColumn="1" w:lastColumn="0" w:noHBand="0" w:noVBand="1"/>
      </w:tblPr>
      <w:tblGrid>
        <w:gridCol w:w="2660"/>
        <w:gridCol w:w="6582"/>
      </w:tblGrid>
      <w:tr w:rsidR="00770C24" w:rsidRPr="001D773A" w:rsidTr="0077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770C24" w:rsidRPr="00770C24" w:rsidRDefault="00770C24" w:rsidP="00770C24">
            <w:pPr>
              <w:pStyle w:val="Caption"/>
              <w:rPr>
                <w:rStyle w:val="AERtextbold"/>
              </w:rPr>
            </w:pPr>
            <w:r w:rsidRPr="003C78E0">
              <w:rPr>
                <w:rStyle w:val="AERtextbold"/>
              </w:rPr>
              <w:t>Current classification</w:t>
            </w:r>
          </w:p>
        </w:tc>
        <w:tc>
          <w:tcPr>
            <w:tcW w:w="6582" w:type="dxa"/>
          </w:tcPr>
          <w:p w:rsidR="00770C24" w:rsidRPr="00770C24" w:rsidRDefault="00770C24" w:rsidP="00770C24">
            <w:pPr>
              <w:pStyle w:val="Caption"/>
              <w:cnfStyle w:val="100000000000" w:firstRow="1" w:lastRow="0" w:firstColumn="0" w:lastColumn="0" w:oddVBand="0" w:evenVBand="0" w:oddHBand="0" w:evenHBand="0" w:firstRowFirstColumn="0" w:firstRowLastColumn="0" w:lastRowFirstColumn="0" w:lastRowLastColumn="0"/>
              <w:rPr>
                <w:rStyle w:val="AERtextbold"/>
              </w:rPr>
            </w:pPr>
            <w:r w:rsidRPr="003C78E0">
              <w:rPr>
                <w:rStyle w:val="AERtextbold"/>
              </w:rPr>
              <w:t>AER’s pr</w:t>
            </w:r>
            <w:r w:rsidRPr="00770C24">
              <w:rPr>
                <w:rStyle w:val="AERtextbold"/>
              </w:rPr>
              <w:t>eliminary classification</w:t>
            </w:r>
          </w:p>
        </w:tc>
      </w:tr>
      <w:tr w:rsidR="00770C24" w:rsidRPr="00B06A0C" w:rsidTr="00770C24">
        <w:tc>
          <w:tcPr>
            <w:cnfStyle w:val="001000000000" w:firstRow="0" w:lastRow="0" w:firstColumn="1" w:lastColumn="0" w:oddVBand="0" w:evenVBand="0" w:oddHBand="0" w:evenHBand="0" w:firstRowFirstColumn="0" w:firstRowLastColumn="0" w:lastRowFirstColumn="0" w:lastRowLastColumn="0"/>
            <w:tcW w:w="2660" w:type="dxa"/>
          </w:tcPr>
          <w:p w:rsidR="00770C24" w:rsidRPr="00B06A0C" w:rsidRDefault="00770C24" w:rsidP="00B06A0C">
            <w:pPr>
              <w:pStyle w:val="AERtabletextleft"/>
              <w:rPr>
                <w:rStyle w:val="AERbody"/>
                <w:sz w:val="16"/>
              </w:rPr>
            </w:pPr>
            <w:r w:rsidRPr="00B06A0C">
              <w:rPr>
                <w:rStyle w:val="AERbody"/>
                <w:sz w:val="16"/>
              </w:rPr>
              <w:t>Metering types 1 to 4 – unclassified</w:t>
            </w:r>
          </w:p>
        </w:tc>
        <w:tc>
          <w:tcPr>
            <w:tcW w:w="6582" w:type="dxa"/>
          </w:tcPr>
          <w:p w:rsidR="00770C24" w:rsidRPr="00B06A0C" w:rsidRDefault="00770C24" w:rsidP="00A10159">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B06A0C">
              <w:rPr>
                <w:rStyle w:val="AERbody"/>
                <w:sz w:val="16"/>
              </w:rPr>
              <w:t xml:space="preserve">Metering types 1 to 4 </w:t>
            </w:r>
            <w:r w:rsidRPr="00B06A0C">
              <w:rPr>
                <w:rStyle w:val="AERtextbold"/>
                <w:b w:val="0"/>
              </w:rPr>
              <w:t>unclassified</w:t>
            </w:r>
            <w:r w:rsidR="00A10159">
              <w:rPr>
                <w:rStyle w:val="AERtextbold"/>
              </w:rPr>
              <w:t xml:space="preserve"> (excluding smart meters)</w:t>
            </w:r>
          </w:p>
        </w:tc>
      </w:tr>
      <w:tr w:rsidR="00770C24" w:rsidRPr="00B06A0C" w:rsidTr="00770C24">
        <w:trPr>
          <w:cnfStyle w:val="000000010000" w:firstRow="0" w:lastRow="0" w:firstColumn="0" w:lastColumn="0" w:oddVBand="0" w:evenVBand="0" w:oddHBand="0" w:evenHBand="1"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660" w:type="dxa"/>
          </w:tcPr>
          <w:p w:rsidR="00770C24" w:rsidRPr="00B06A0C" w:rsidRDefault="00770C24" w:rsidP="0013033D">
            <w:pPr>
              <w:pStyle w:val="AERtabletextleft"/>
              <w:rPr>
                <w:rStyle w:val="AERbody"/>
                <w:sz w:val="16"/>
              </w:rPr>
            </w:pPr>
            <w:r w:rsidRPr="00B06A0C">
              <w:rPr>
                <w:rStyle w:val="AERbody"/>
                <w:sz w:val="16"/>
              </w:rPr>
              <w:lastRenderedPageBreak/>
              <w:t xml:space="preserve">Metering types 5 and 6 </w:t>
            </w:r>
            <w:r w:rsidR="0013033D">
              <w:rPr>
                <w:rStyle w:val="AERbody"/>
              </w:rPr>
              <w:t xml:space="preserve"> </w:t>
            </w:r>
            <w:r w:rsidR="0013033D" w:rsidRPr="0013033D">
              <w:rPr>
                <w:rStyle w:val="AERbody"/>
                <w:sz w:val="16"/>
              </w:rPr>
              <w:t>and smart meters</w:t>
            </w:r>
            <w:r w:rsidR="0013033D">
              <w:rPr>
                <w:rStyle w:val="AERbody"/>
              </w:rPr>
              <w:t xml:space="preserve"> </w:t>
            </w:r>
            <w:r w:rsidRPr="00B06A0C">
              <w:rPr>
                <w:rStyle w:val="AERbody"/>
                <w:sz w:val="16"/>
              </w:rPr>
              <w:t xml:space="preserve">– standard </w:t>
            </w:r>
            <w:r w:rsidRPr="00265962">
              <w:rPr>
                <w:rStyle w:val="AERbody"/>
                <w:sz w:val="16"/>
              </w:rPr>
              <w:t>control</w:t>
            </w:r>
            <w:r w:rsidR="00265962" w:rsidRPr="00265962">
              <w:rPr>
                <w:rStyle w:val="AERbody"/>
                <w:sz w:val="16"/>
              </w:rPr>
              <w:t xml:space="preserve"> but subject to the AMI Order in Council</w:t>
            </w:r>
          </w:p>
        </w:tc>
        <w:tc>
          <w:tcPr>
            <w:tcW w:w="6582" w:type="dxa"/>
          </w:tcPr>
          <w:p w:rsidR="00770C24" w:rsidRPr="00B06A0C" w:rsidRDefault="00770C24" w:rsidP="0013033D">
            <w:pPr>
              <w:pStyle w:val="AERtabletextleft"/>
              <w:cnfStyle w:val="000000010000" w:firstRow="0" w:lastRow="0" w:firstColumn="0" w:lastColumn="0" w:oddVBand="0" w:evenVBand="0" w:oddHBand="0" w:evenHBand="1" w:firstRowFirstColumn="0" w:firstRowLastColumn="0" w:lastRowFirstColumn="0" w:lastRowLastColumn="0"/>
              <w:rPr>
                <w:rStyle w:val="AERbody"/>
                <w:sz w:val="16"/>
              </w:rPr>
            </w:pPr>
            <w:r w:rsidRPr="00B06A0C">
              <w:rPr>
                <w:rStyle w:val="AERbody"/>
                <w:sz w:val="16"/>
              </w:rPr>
              <w:t xml:space="preserve">The AER intends to classify type 5 &amp; 6 </w:t>
            </w:r>
            <w:r w:rsidR="0013033D">
              <w:rPr>
                <w:rStyle w:val="AERbody"/>
              </w:rPr>
              <w:t xml:space="preserve">and </w:t>
            </w:r>
            <w:r w:rsidR="0013033D" w:rsidRPr="0013033D">
              <w:rPr>
                <w:rStyle w:val="AERbody"/>
                <w:sz w:val="16"/>
              </w:rPr>
              <w:t>smart</w:t>
            </w:r>
            <w:r w:rsidR="0013033D">
              <w:rPr>
                <w:rStyle w:val="AERbody"/>
              </w:rPr>
              <w:t xml:space="preserve"> </w:t>
            </w:r>
            <w:r w:rsidRPr="00B06A0C">
              <w:rPr>
                <w:rStyle w:val="AERbody"/>
                <w:sz w:val="16"/>
              </w:rPr>
              <w:t>metering services by components:</w:t>
            </w:r>
          </w:p>
        </w:tc>
      </w:tr>
      <w:tr w:rsidR="00770C24" w:rsidRPr="00B06A0C" w:rsidTr="00770C24">
        <w:tc>
          <w:tcPr>
            <w:cnfStyle w:val="001000000000" w:firstRow="0" w:lastRow="0" w:firstColumn="1" w:lastColumn="0" w:oddVBand="0" w:evenVBand="0" w:oddHBand="0" w:evenHBand="0" w:firstRowFirstColumn="0" w:firstRowLastColumn="0" w:lastRowFirstColumn="0" w:lastRowLastColumn="0"/>
            <w:tcW w:w="2660" w:type="dxa"/>
          </w:tcPr>
          <w:p w:rsidR="00770C24" w:rsidRPr="00B06A0C" w:rsidRDefault="00770C24" w:rsidP="00B06A0C">
            <w:pPr>
              <w:pStyle w:val="AERtabletextleft"/>
              <w:rPr>
                <w:rStyle w:val="AERbody"/>
                <w:sz w:val="16"/>
              </w:rPr>
            </w:pPr>
          </w:p>
        </w:tc>
        <w:tc>
          <w:tcPr>
            <w:tcW w:w="6582" w:type="dxa"/>
          </w:tcPr>
          <w:p w:rsidR="00770C24" w:rsidRPr="00B06A0C" w:rsidRDefault="00770C24" w:rsidP="00B06A0C">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B06A0C">
              <w:rPr>
                <w:rStyle w:val="AERbody"/>
                <w:sz w:val="16"/>
              </w:rPr>
              <w:t xml:space="preserve">a. Metering installation services which include on site connection of a meter at a customer’s premises, and on site connection of an upgraded  meter at a customer's premises where the upgrade was initiated by the customer - </w:t>
            </w:r>
            <w:r w:rsidRPr="00B06A0C">
              <w:rPr>
                <w:rStyle w:val="AERtextbold"/>
              </w:rPr>
              <w:t>alternative control</w:t>
            </w:r>
          </w:p>
        </w:tc>
      </w:tr>
      <w:tr w:rsidR="00770C24" w:rsidRPr="001D773A" w:rsidTr="00770C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770C24" w:rsidRPr="001D773A" w:rsidRDefault="00770C24" w:rsidP="00770C24">
            <w:pPr>
              <w:pStyle w:val="AERtablesource"/>
              <w:rPr>
                <w:rStyle w:val="AERbody"/>
              </w:rPr>
            </w:pPr>
          </w:p>
        </w:tc>
        <w:tc>
          <w:tcPr>
            <w:tcW w:w="6582" w:type="dxa"/>
          </w:tcPr>
          <w:p w:rsidR="00770C24" w:rsidRPr="00B06A0C" w:rsidRDefault="00770C24" w:rsidP="00080E80">
            <w:pPr>
              <w:pStyle w:val="AERbodytext"/>
              <w:cnfStyle w:val="000000010000" w:firstRow="0" w:lastRow="0" w:firstColumn="0" w:lastColumn="0" w:oddVBand="0" w:evenVBand="0" w:oddHBand="0" w:evenHBand="1" w:firstRowFirstColumn="0" w:firstRowLastColumn="0" w:lastRowFirstColumn="0" w:lastRowLastColumn="0"/>
              <w:rPr>
                <w:rStyle w:val="AERbody"/>
                <w:sz w:val="16"/>
              </w:rPr>
            </w:pPr>
            <w:r w:rsidRPr="00B06A0C">
              <w:rPr>
                <w:rStyle w:val="AERbody"/>
                <w:sz w:val="16"/>
              </w:rPr>
              <w:t xml:space="preserve">b. </w:t>
            </w:r>
            <w:r w:rsidRPr="00080E80">
              <w:rPr>
                <w:rStyle w:val="AERbody"/>
                <w:sz w:val="16"/>
              </w:rPr>
              <w:t>Metering provision</w:t>
            </w:r>
            <w:r w:rsidR="006150A8" w:rsidRPr="00080E80">
              <w:rPr>
                <w:rStyle w:val="AERbody"/>
                <w:sz w:val="16"/>
              </w:rPr>
              <w:t>,</w:t>
            </w:r>
            <w:r w:rsidR="00707481" w:rsidRPr="00080E80">
              <w:t xml:space="preserve"> </w:t>
            </w:r>
            <w:r w:rsidRPr="00080E80">
              <w:rPr>
                <w:rStyle w:val="AERbody"/>
                <w:sz w:val="16"/>
              </w:rPr>
              <w:t>maintenance</w:t>
            </w:r>
            <w:r w:rsidR="006150A8" w:rsidRPr="00080E80">
              <w:rPr>
                <w:rStyle w:val="AERbody"/>
                <w:sz w:val="16"/>
              </w:rPr>
              <w:t>, reading and data services</w:t>
            </w:r>
            <w:r w:rsidR="00707481" w:rsidRPr="00080E80">
              <w:rPr>
                <w:rStyle w:val="AERbody"/>
                <w:sz w:val="16"/>
              </w:rPr>
              <w:t>.</w:t>
            </w:r>
            <w:r w:rsidRPr="00080E80">
              <w:rPr>
                <w:rStyle w:val="AERbody"/>
                <w:sz w:val="16"/>
              </w:rPr>
              <w:t xml:space="preserve"> Meter provision refers to the capital cost of purchasing the metering equipment to be installed. Meter maintenance covers works to inspect, test, maintain, repair and replace meters</w:t>
            </w:r>
            <w:r w:rsidR="00707481" w:rsidRPr="00080E80">
              <w:rPr>
                <w:rStyle w:val="AERbody"/>
                <w:sz w:val="16"/>
              </w:rPr>
              <w:t xml:space="preserve">. </w:t>
            </w:r>
            <w:r w:rsidR="00080E80" w:rsidRPr="00080E80">
              <w:t xml:space="preserve">Meter reading refers to quarterly or other regular reading of a meter. Metering data services involve the collection, processing, storage, delivery and management of metering data </w:t>
            </w:r>
            <w:r w:rsidRPr="00B06A0C">
              <w:rPr>
                <w:rStyle w:val="AERbody"/>
                <w:sz w:val="16"/>
              </w:rPr>
              <w:t xml:space="preserve">– </w:t>
            </w:r>
            <w:r w:rsidRPr="00B06A0C">
              <w:rPr>
                <w:rStyle w:val="AERtextbold"/>
              </w:rPr>
              <w:t>alternative control</w:t>
            </w:r>
          </w:p>
        </w:tc>
      </w:tr>
      <w:tr w:rsidR="00770C24" w:rsidRPr="00B06A0C" w:rsidTr="00770C24">
        <w:tc>
          <w:tcPr>
            <w:cnfStyle w:val="001000000000" w:firstRow="0" w:lastRow="0" w:firstColumn="1" w:lastColumn="0" w:oddVBand="0" w:evenVBand="0" w:oddHBand="0" w:evenHBand="0" w:firstRowFirstColumn="0" w:firstRowLastColumn="0" w:lastRowFirstColumn="0" w:lastRowLastColumn="0"/>
            <w:tcW w:w="2660" w:type="dxa"/>
          </w:tcPr>
          <w:p w:rsidR="00770C24" w:rsidRPr="00B06A0C" w:rsidRDefault="00770C24" w:rsidP="00B06A0C">
            <w:pPr>
              <w:pStyle w:val="AERtabletextleft"/>
              <w:rPr>
                <w:rStyle w:val="AERbody"/>
                <w:sz w:val="16"/>
              </w:rPr>
            </w:pPr>
            <w:r w:rsidRPr="00B06A0C">
              <w:rPr>
                <w:rStyle w:val="AERbody"/>
                <w:sz w:val="16"/>
              </w:rPr>
              <w:t>Meter type 7 – standard control</w:t>
            </w:r>
          </w:p>
        </w:tc>
        <w:tc>
          <w:tcPr>
            <w:tcW w:w="6582" w:type="dxa"/>
          </w:tcPr>
          <w:p w:rsidR="00770C24" w:rsidRPr="00B06A0C" w:rsidRDefault="00770C24" w:rsidP="00B06A0C">
            <w:pPr>
              <w:pStyle w:val="AERtabletextleft"/>
              <w:jc w:val="left"/>
              <w:cnfStyle w:val="000000000000" w:firstRow="0" w:lastRow="0" w:firstColumn="0" w:lastColumn="0" w:oddVBand="0" w:evenVBand="0" w:oddHBand="0" w:evenHBand="0" w:firstRowFirstColumn="0" w:firstRowLastColumn="0" w:lastRowFirstColumn="0" w:lastRowLastColumn="0"/>
              <w:rPr>
                <w:rStyle w:val="AERbody"/>
                <w:sz w:val="16"/>
              </w:rPr>
            </w:pPr>
            <w:r w:rsidRPr="00B06A0C">
              <w:rPr>
                <w:rStyle w:val="AERbody"/>
                <w:sz w:val="16"/>
              </w:rPr>
              <w:t xml:space="preserve">Meter type 7 – </w:t>
            </w:r>
            <w:r w:rsidRPr="00B06A0C">
              <w:rPr>
                <w:rStyle w:val="AERtextbold"/>
              </w:rPr>
              <w:t>standard control</w:t>
            </w:r>
          </w:p>
        </w:tc>
      </w:tr>
      <w:tr w:rsidR="00770C24" w:rsidRPr="00B06A0C" w:rsidTr="00770C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770C24" w:rsidRPr="00B06A0C" w:rsidRDefault="00770C24" w:rsidP="00B06A0C">
            <w:pPr>
              <w:pStyle w:val="AERtabletextleft"/>
              <w:rPr>
                <w:rStyle w:val="AERbody"/>
                <w:sz w:val="16"/>
              </w:rPr>
            </w:pPr>
            <w:r w:rsidRPr="00B06A0C">
              <w:rPr>
                <w:rStyle w:val="AERbody"/>
                <w:sz w:val="16"/>
              </w:rPr>
              <w:t>Auxiliary metering services</w:t>
            </w:r>
          </w:p>
        </w:tc>
        <w:tc>
          <w:tcPr>
            <w:tcW w:w="6582" w:type="dxa"/>
          </w:tcPr>
          <w:p w:rsidR="00770C24" w:rsidRPr="00B06A0C" w:rsidRDefault="00770C24" w:rsidP="00B06A0C">
            <w:pPr>
              <w:pStyle w:val="AERtabletextleft"/>
              <w:jc w:val="left"/>
              <w:cnfStyle w:val="000000010000" w:firstRow="0" w:lastRow="0" w:firstColumn="0" w:lastColumn="0" w:oddVBand="0" w:evenVBand="0" w:oddHBand="0" w:evenHBand="1" w:firstRowFirstColumn="0" w:firstRowLastColumn="0" w:lastRowFirstColumn="0" w:lastRowLastColumn="0"/>
              <w:rPr>
                <w:rStyle w:val="AERtextbold"/>
              </w:rPr>
            </w:pPr>
            <w:r w:rsidRPr="00B06A0C">
              <w:rPr>
                <w:rStyle w:val="AERtextbold"/>
              </w:rPr>
              <w:t>Alternative control</w:t>
            </w:r>
          </w:p>
        </w:tc>
      </w:tr>
    </w:tbl>
    <w:p w:rsidR="00770C24" w:rsidRPr="00B06A0C" w:rsidRDefault="00770C24" w:rsidP="00B06A0C">
      <w:pPr>
        <w:pStyle w:val="AERtablesource"/>
        <w:rPr>
          <w:rStyle w:val="AERtextsize10"/>
          <w:sz w:val="16"/>
        </w:rPr>
      </w:pPr>
      <w:r w:rsidRPr="00B06A0C">
        <w:rPr>
          <w:rStyle w:val="AERtextsize10"/>
          <w:sz w:val="16"/>
        </w:rPr>
        <w:t xml:space="preserve">Source: AER </w:t>
      </w:r>
    </w:p>
    <w:p w:rsidR="00770C24" w:rsidRPr="00970B3B" w:rsidRDefault="00770C24" w:rsidP="00770C24">
      <w:pPr>
        <w:numPr>
          <w:ilvl w:val="0"/>
          <w:numId w:val="13"/>
        </w:numPr>
        <w:rPr>
          <w:rStyle w:val="AERbody"/>
        </w:rPr>
      </w:pPr>
      <w:r>
        <w:rPr>
          <w:rStyle w:val="AERbody"/>
        </w:rPr>
        <w:t>Customer</w:t>
      </w:r>
      <w:r w:rsidRPr="00970B3B">
        <w:rPr>
          <w:rStyle w:val="AERbody"/>
        </w:rPr>
        <w:t>s pay for metering services, as they do for all other electricity services</w:t>
      </w:r>
      <w:r w:rsidR="00DC36D7">
        <w:rPr>
          <w:rStyle w:val="AERbody"/>
        </w:rPr>
        <w:t>.</w:t>
      </w:r>
    </w:p>
    <w:p w:rsidR="00770C24" w:rsidRPr="00B06A0C" w:rsidRDefault="00770C24" w:rsidP="00B06A0C">
      <w:pPr>
        <w:pStyle w:val="HeadingBoldBlue"/>
        <w:rPr>
          <w:rStyle w:val="AERtextorange"/>
          <w:color w:val="365F91" w:themeColor="accent1" w:themeShade="BF"/>
        </w:rPr>
      </w:pPr>
      <w:bookmarkStart w:id="40" w:name="_Toc335036870"/>
      <w:bookmarkStart w:id="41" w:name="_Toc335036871"/>
      <w:bookmarkStart w:id="42" w:name="_Toc335036875"/>
      <w:bookmarkStart w:id="43" w:name="_Toc335036876"/>
      <w:bookmarkStart w:id="44" w:name="_Toc332900861"/>
      <w:bookmarkStart w:id="45" w:name="_Toc332907158"/>
      <w:bookmarkStart w:id="46" w:name="_Toc333591313"/>
      <w:bookmarkEnd w:id="40"/>
      <w:bookmarkEnd w:id="41"/>
      <w:bookmarkEnd w:id="42"/>
      <w:bookmarkEnd w:id="43"/>
      <w:bookmarkEnd w:id="44"/>
      <w:bookmarkEnd w:id="45"/>
      <w:bookmarkEnd w:id="46"/>
      <w:r w:rsidRPr="00B06A0C">
        <w:rPr>
          <w:rStyle w:val="AERtextorange"/>
          <w:color w:val="365F91" w:themeColor="accent1" w:themeShade="BF"/>
        </w:rPr>
        <w:t>Type 1 to 4 metering services</w:t>
      </w:r>
    </w:p>
    <w:p w:rsidR="00105460" w:rsidRDefault="00770C24" w:rsidP="00770C24">
      <w:pPr>
        <w:numPr>
          <w:ilvl w:val="0"/>
          <w:numId w:val="13"/>
        </w:numPr>
        <w:rPr>
          <w:rStyle w:val="AERbody"/>
        </w:rPr>
      </w:pPr>
      <w:r>
        <w:rPr>
          <w:rStyle w:val="AERbody"/>
        </w:rPr>
        <w:t>Type</w:t>
      </w:r>
      <w:r w:rsidRPr="00F459E2">
        <w:rPr>
          <w:rStyle w:val="AERbody"/>
        </w:rPr>
        <w:t xml:space="preserve"> 1 to 4 metering services are contestable in </w:t>
      </w:r>
      <w:r w:rsidR="00942402">
        <w:rPr>
          <w:rStyle w:val="AERbody"/>
        </w:rPr>
        <w:t>Victoria</w:t>
      </w:r>
      <w:r>
        <w:rPr>
          <w:rStyle w:val="AERbody"/>
        </w:rPr>
        <w:t xml:space="preserve"> and competitively available</w:t>
      </w:r>
      <w:r w:rsidRPr="00F459E2">
        <w:rPr>
          <w:rStyle w:val="AERbody"/>
        </w:rPr>
        <w:t>.</w:t>
      </w:r>
      <w:r w:rsidRPr="00F459E2">
        <w:rPr>
          <w:rStyle w:val="AERsuperscript"/>
        </w:rPr>
        <w:footnoteReference w:id="75"/>
      </w:r>
      <w:r w:rsidRPr="00F459E2">
        <w:rPr>
          <w:rStyle w:val="AERsuperscript"/>
        </w:rPr>
        <w:t xml:space="preserve"> </w:t>
      </w:r>
      <w:r w:rsidRPr="00F459E2">
        <w:rPr>
          <w:rStyle w:val="AERbody"/>
        </w:rPr>
        <w:t xml:space="preserve">For this reason, </w:t>
      </w:r>
      <w:r>
        <w:rPr>
          <w:rStyle w:val="AERbody"/>
        </w:rPr>
        <w:t xml:space="preserve">our preliminary position is </w:t>
      </w:r>
      <w:r w:rsidRPr="00F459E2">
        <w:rPr>
          <w:rStyle w:val="AERbody"/>
        </w:rPr>
        <w:t>not to classify these services</w:t>
      </w:r>
      <w:r w:rsidR="00D10773">
        <w:rPr>
          <w:rStyle w:val="AERbody"/>
        </w:rPr>
        <w:t>,</w:t>
      </w:r>
      <w:r w:rsidR="00042E15" w:rsidRPr="00042E15">
        <w:rPr>
          <w:rStyle w:val="AERbody"/>
        </w:rPr>
        <w:t xml:space="preserve"> save for the special case of </w:t>
      </w:r>
      <w:r w:rsidR="0091249E">
        <w:rPr>
          <w:rStyle w:val="AERbody"/>
        </w:rPr>
        <w:t xml:space="preserve">type 4 where it involves </w:t>
      </w:r>
      <w:r w:rsidR="00042E15" w:rsidRPr="00042E15">
        <w:rPr>
          <w:rStyle w:val="AERbody"/>
        </w:rPr>
        <w:t>smart meters</w:t>
      </w:r>
      <w:r w:rsidRPr="00F459E2">
        <w:rPr>
          <w:rStyle w:val="AERbody"/>
        </w:rPr>
        <w:t>.</w:t>
      </w:r>
      <w:r>
        <w:rPr>
          <w:rStyle w:val="FootnoteReference"/>
        </w:rPr>
        <w:footnoteReference w:id="76"/>
      </w:r>
      <w:r w:rsidRPr="00F459E2">
        <w:rPr>
          <w:rStyle w:val="AERbody"/>
        </w:rPr>
        <w:t xml:space="preserve"> Consequently, we will not regulate</w:t>
      </w:r>
      <w:r w:rsidR="0091249E">
        <w:rPr>
          <w:rStyle w:val="AERbody"/>
        </w:rPr>
        <w:t xml:space="preserve"> types 1-3 or type 4 meters which were not installed under the </w:t>
      </w:r>
      <w:r w:rsidR="0091249E" w:rsidRPr="0091249E">
        <w:rPr>
          <w:rStyle w:val="AERbody"/>
        </w:rPr>
        <w:t xml:space="preserve">Victorian Government's </w:t>
      </w:r>
      <w:r w:rsidR="0091249E">
        <w:rPr>
          <w:rStyle w:val="AERbody"/>
        </w:rPr>
        <w:t xml:space="preserve">AMI </w:t>
      </w:r>
      <w:r w:rsidR="00392581">
        <w:rPr>
          <w:rStyle w:val="AERbody"/>
        </w:rPr>
        <w:t>OIC</w:t>
      </w:r>
      <w:r w:rsidRPr="00F459E2">
        <w:rPr>
          <w:rStyle w:val="AERbody"/>
        </w:rPr>
        <w:t>.</w:t>
      </w:r>
      <w:r w:rsidR="0091249E" w:rsidRPr="0091249E">
        <w:rPr>
          <w:rStyle w:val="FootnoteReference"/>
        </w:rPr>
        <w:footnoteReference w:id="77"/>
      </w:r>
      <w:r w:rsidRPr="00F459E2">
        <w:rPr>
          <w:rStyle w:val="AERbody"/>
        </w:rPr>
        <w:t xml:space="preserve"> This is consistent with the current regulatory approach</w:t>
      </w:r>
      <w:r>
        <w:rPr>
          <w:rStyle w:val="AERbody"/>
        </w:rPr>
        <w:t xml:space="preserve"> in </w:t>
      </w:r>
      <w:r w:rsidR="00942402">
        <w:rPr>
          <w:rStyle w:val="AERbody"/>
        </w:rPr>
        <w:t xml:space="preserve">Victoria </w:t>
      </w:r>
      <w:r>
        <w:rPr>
          <w:rStyle w:val="AERbody"/>
        </w:rPr>
        <w:t>and in other jurisdictions</w:t>
      </w:r>
      <w:r w:rsidRPr="00F459E2">
        <w:rPr>
          <w:rStyle w:val="AERbody"/>
        </w:rPr>
        <w:t>.</w:t>
      </w:r>
      <w:r>
        <w:rPr>
          <w:rStyle w:val="FootnoteReference"/>
        </w:rPr>
        <w:footnoteReference w:id="78"/>
      </w:r>
      <w:r w:rsidRPr="00F459E2">
        <w:rPr>
          <w:rStyle w:val="AERbody"/>
        </w:rPr>
        <w:t xml:space="preserve"> </w:t>
      </w:r>
    </w:p>
    <w:p w:rsidR="00B45378" w:rsidRDefault="00042E15" w:rsidP="00770C24">
      <w:pPr>
        <w:numPr>
          <w:ilvl w:val="0"/>
          <w:numId w:val="13"/>
        </w:numPr>
        <w:rPr>
          <w:rStyle w:val="AERbody"/>
        </w:rPr>
      </w:pPr>
      <w:r w:rsidRPr="00042E15">
        <w:rPr>
          <w:rStyle w:val="AERbody"/>
        </w:rPr>
        <w:t xml:space="preserve">Type 4 metering installations </w:t>
      </w:r>
      <w:r w:rsidR="0091249E">
        <w:rPr>
          <w:rStyle w:val="AERbody"/>
        </w:rPr>
        <w:t>are remotely read interval meters and</w:t>
      </w:r>
      <w:r>
        <w:rPr>
          <w:rStyle w:val="AERbody"/>
        </w:rPr>
        <w:t xml:space="preserve"> </w:t>
      </w:r>
      <w:r w:rsidRPr="00042E15">
        <w:rPr>
          <w:rStyle w:val="AERbody"/>
        </w:rPr>
        <w:t xml:space="preserve">apply to any situation with an energy consumption less than 750 MWhrs per annum. </w:t>
      </w:r>
      <w:r w:rsidR="00B45378" w:rsidRPr="00B45378">
        <w:rPr>
          <w:rStyle w:val="AERbody"/>
        </w:rPr>
        <w:t>Smart meters are remotely read interval meters installed to replace type 5 and 6 metering installations</w:t>
      </w:r>
      <w:r w:rsidR="00DB28B1">
        <w:rPr>
          <w:rStyle w:val="AERbody"/>
        </w:rPr>
        <w:t xml:space="preserve"> for customers consuming up to 160 MWhrs per annum</w:t>
      </w:r>
      <w:r w:rsidR="00B45378" w:rsidRPr="00B45378">
        <w:rPr>
          <w:rStyle w:val="AERbody"/>
        </w:rPr>
        <w:t xml:space="preserve">. Thus, they fall under the type 4 metering definition and not the type 5 definition, which </w:t>
      </w:r>
      <w:r w:rsidR="00D10773">
        <w:rPr>
          <w:rStyle w:val="AERbody"/>
        </w:rPr>
        <w:t xml:space="preserve">applies </w:t>
      </w:r>
      <w:r w:rsidR="00B45378" w:rsidRPr="00B45378">
        <w:rPr>
          <w:rStyle w:val="AERbody"/>
        </w:rPr>
        <w:t>to manually read interval meters.</w:t>
      </w:r>
      <w:r w:rsidR="007E52B7">
        <w:rPr>
          <w:rStyle w:val="AERbody"/>
        </w:rPr>
        <w:t xml:space="preserve"> </w:t>
      </w:r>
    </w:p>
    <w:p w:rsidR="00392581" w:rsidRDefault="00B45378" w:rsidP="00770C24">
      <w:pPr>
        <w:numPr>
          <w:ilvl w:val="0"/>
          <w:numId w:val="13"/>
        </w:numPr>
        <w:rPr>
          <w:rStyle w:val="AERbody"/>
        </w:rPr>
      </w:pPr>
      <w:r>
        <w:rPr>
          <w:rStyle w:val="AERbody"/>
        </w:rPr>
        <w:t>W</w:t>
      </w:r>
      <w:r w:rsidR="003F32CF">
        <w:rPr>
          <w:rStyle w:val="AERbody"/>
        </w:rPr>
        <w:t xml:space="preserve">hile the current metering definitions remain in place in schedule 7.2 of the NER </w:t>
      </w:r>
      <w:r w:rsidR="00A10159">
        <w:rPr>
          <w:rStyle w:val="AERbody"/>
        </w:rPr>
        <w:t>a</w:t>
      </w:r>
      <w:r w:rsidR="00D10773">
        <w:rPr>
          <w:rStyle w:val="AERbody"/>
        </w:rPr>
        <w:t xml:space="preserve"> distinction</w:t>
      </w:r>
      <w:r w:rsidR="00A10159">
        <w:rPr>
          <w:rStyle w:val="AERbody"/>
        </w:rPr>
        <w:t xml:space="preserve"> must be made </w:t>
      </w:r>
      <w:r w:rsidR="00265962">
        <w:rPr>
          <w:rStyle w:val="AERbody"/>
        </w:rPr>
        <w:t xml:space="preserve">between </w:t>
      </w:r>
      <w:r w:rsidR="00A10159">
        <w:rPr>
          <w:rStyle w:val="AERbody"/>
        </w:rPr>
        <w:t xml:space="preserve">smart meters </w:t>
      </w:r>
      <w:r w:rsidR="007E52B7">
        <w:rPr>
          <w:rStyle w:val="AERbody"/>
        </w:rPr>
        <w:t xml:space="preserve">which were </w:t>
      </w:r>
      <w:r w:rsidR="00105460">
        <w:rPr>
          <w:rStyle w:val="AERbody"/>
        </w:rPr>
        <w:t xml:space="preserve">installed </w:t>
      </w:r>
      <w:r w:rsidR="00105460" w:rsidRPr="00105460">
        <w:rPr>
          <w:rStyle w:val="AERbody"/>
        </w:rPr>
        <w:t xml:space="preserve">in accordance with the AMI </w:t>
      </w:r>
      <w:r w:rsidR="00392581">
        <w:rPr>
          <w:rStyle w:val="AERbody"/>
        </w:rPr>
        <w:t>OIC</w:t>
      </w:r>
      <w:r w:rsidR="00265962">
        <w:rPr>
          <w:rStyle w:val="AERbody"/>
        </w:rPr>
        <w:t xml:space="preserve"> and all other type 4 installations</w:t>
      </w:r>
      <w:r w:rsidR="00105460" w:rsidRPr="00105460">
        <w:rPr>
          <w:rStyle w:val="AERbody"/>
        </w:rPr>
        <w:t>.</w:t>
      </w:r>
      <w:r w:rsidR="00105460">
        <w:rPr>
          <w:rStyle w:val="AERbody"/>
        </w:rPr>
        <w:t xml:space="preserve"> </w:t>
      </w:r>
      <w:r w:rsidR="003F32CF">
        <w:rPr>
          <w:rStyle w:val="AERbody"/>
        </w:rPr>
        <w:t xml:space="preserve">The AMI </w:t>
      </w:r>
      <w:r w:rsidR="00392581">
        <w:rPr>
          <w:rStyle w:val="AERbody"/>
        </w:rPr>
        <w:t xml:space="preserve">OIC </w:t>
      </w:r>
      <w:r w:rsidR="003F32CF">
        <w:rPr>
          <w:rStyle w:val="AERbody"/>
        </w:rPr>
        <w:t xml:space="preserve">refers only to installations with a capacity </w:t>
      </w:r>
      <w:r w:rsidR="00105460">
        <w:rPr>
          <w:rStyle w:val="AERbody"/>
        </w:rPr>
        <w:t xml:space="preserve">of </w:t>
      </w:r>
      <w:r w:rsidR="003F32CF">
        <w:rPr>
          <w:rStyle w:val="AERbody"/>
        </w:rPr>
        <w:t>less than 160 MWhrs per annum.</w:t>
      </w:r>
      <w:r w:rsidR="00105460">
        <w:rPr>
          <w:rStyle w:val="AERbody"/>
        </w:rPr>
        <w:t xml:space="preserve"> Clause 11.17.6(b) of the NER requires the AER to regulate </w:t>
      </w:r>
      <w:r w:rsidR="00042E15">
        <w:rPr>
          <w:rStyle w:val="AERbody"/>
        </w:rPr>
        <w:t xml:space="preserve">smart </w:t>
      </w:r>
      <w:r w:rsidR="00105460">
        <w:rPr>
          <w:rStyle w:val="AERbody"/>
        </w:rPr>
        <w:t xml:space="preserve">meters and associated equipment in the next regulatory control period on the same basis as the AMI </w:t>
      </w:r>
      <w:r w:rsidR="00392581">
        <w:rPr>
          <w:rStyle w:val="AERbody"/>
        </w:rPr>
        <w:t>OIC</w:t>
      </w:r>
      <w:r w:rsidR="00105460">
        <w:rPr>
          <w:rStyle w:val="AERbody"/>
        </w:rPr>
        <w:t xml:space="preserve"> and to classify the service </w:t>
      </w:r>
      <w:r w:rsidR="00265962">
        <w:rPr>
          <w:rStyle w:val="AERbody"/>
        </w:rPr>
        <w:t xml:space="preserve">these meters provide </w:t>
      </w:r>
      <w:r w:rsidR="00105460">
        <w:rPr>
          <w:rStyle w:val="AERbody"/>
        </w:rPr>
        <w:t>as an alternative control service.</w:t>
      </w:r>
      <w:r w:rsidRPr="00B45378">
        <w:rPr>
          <w:rStyle w:val="AERbody"/>
        </w:rPr>
        <w:t xml:space="preserve"> </w:t>
      </w:r>
    </w:p>
    <w:p w:rsidR="00770C24" w:rsidRPr="00F459E2" w:rsidRDefault="007E52B7" w:rsidP="00770C24">
      <w:pPr>
        <w:numPr>
          <w:ilvl w:val="0"/>
          <w:numId w:val="13"/>
        </w:numPr>
        <w:rPr>
          <w:rStyle w:val="AERbody"/>
        </w:rPr>
      </w:pPr>
      <w:r>
        <w:rPr>
          <w:rStyle w:val="AERbody"/>
        </w:rPr>
        <w:t xml:space="preserve">In this preliminary positions paper </w:t>
      </w:r>
      <w:r w:rsidR="00DB28B1">
        <w:rPr>
          <w:rStyle w:val="AERbody"/>
        </w:rPr>
        <w:t xml:space="preserve">a </w:t>
      </w:r>
      <w:r>
        <w:rPr>
          <w:rStyle w:val="AERbody"/>
        </w:rPr>
        <w:t>refer</w:t>
      </w:r>
      <w:r w:rsidR="00DB28B1">
        <w:rPr>
          <w:rStyle w:val="AERbody"/>
        </w:rPr>
        <w:t>ence</w:t>
      </w:r>
      <w:r>
        <w:rPr>
          <w:rStyle w:val="AERbody"/>
        </w:rPr>
        <w:t xml:space="preserve"> to a smart meter </w:t>
      </w:r>
      <w:r w:rsidR="006D5F68">
        <w:rPr>
          <w:rStyle w:val="AERbody"/>
        </w:rPr>
        <w:t xml:space="preserve">is a reference to those meters </w:t>
      </w:r>
      <w:r w:rsidR="0013033D">
        <w:rPr>
          <w:rStyle w:val="AERbody"/>
        </w:rPr>
        <w:t>installed under</w:t>
      </w:r>
      <w:r w:rsidR="006D5F68">
        <w:rPr>
          <w:rStyle w:val="AERbody"/>
        </w:rPr>
        <w:t xml:space="preserve"> the AMI </w:t>
      </w:r>
      <w:r w:rsidR="00392581">
        <w:rPr>
          <w:rStyle w:val="AERbody"/>
        </w:rPr>
        <w:t>OIC</w:t>
      </w:r>
      <w:r w:rsidR="0013033D">
        <w:rPr>
          <w:rStyle w:val="AERbody"/>
        </w:rPr>
        <w:t xml:space="preserve"> and similar meters installed subsequent to the expiry </w:t>
      </w:r>
      <w:r w:rsidR="009E72CB">
        <w:rPr>
          <w:rStyle w:val="AERbody"/>
        </w:rPr>
        <w:t>of the derogation as a monopoly service</w:t>
      </w:r>
      <w:r w:rsidR="006D5F68">
        <w:rPr>
          <w:rStyle w:val="AERbody"/>
        </w:rPr>
        <w:t>.</w:t>
      </w:r>
      <w:r>
        <w:rPr>
          <w:rStyle w:val="AERbody"/>
        </w:rPr>
        <w:t xml:space="preserve"> </w:t>
      </w:r>
      <w:r w:rsidR="00B45378" w:rsidRPr="00B45378">
        <w:rPr>
          <w:rStyle w:val="AERbody"/>
        </w:rPr>
        <w:t>If the</w:t>
      </w:r>
      <w:r w:rsidR="00B45378">
        <w:rPr>
          <w:rStyle w:val="AERbody"/>
        </w:rPr>
        <w:t xml:space="preserve"> metering</w:t>
      </w:r>
      <w:r w:rsidR="00B45378" w:rsidRPr="00B45378">
        <w:rPr>
          <w:rStyle w:val="AERbody"/>
        </w:rPr>
        <w:t xml:space="preserve"> definitions </w:t>
      </w:r>
      <w:r w:rsidR="00B45378">
        <w:rPr>
          <w:rStyle w:val="AERbody"/>
        </w:rPr>
        <w:t xml:space="preserve">in the </w:t>
      </w:r>
      <w:r w:rsidR="00B45378" w:rsidRPr="00B45378">
        <w:rPr>
          <w:rStyle w:val="AERbody"/>
        </w:rPr>
        <w:t xml:space="preserve">NER were to be amended to classify smart </w:t>
      </w:r>
      <w:r w:rsidR="00B45378" w:rsidRPr="00B45378">
        <w:rPr>
          <w:rStyle w:val="AERbody"/>
        </w:rPr>
        <w:lastRenderedPageBreak/>
        <w:t xml:space="preserve">meters as type 5 </w:t>
      </w:r>
      <w:r w:rsidR="00B45378">
        <w:rPr>
          <w:rStyle w:val="AERbody"/>
        </w:rPr>
        <w:t xml:space="preserve">or as some other </w:t>
      </w:r>
      <w:r w:rsidR="00D10773">
        <w:rPr>
          <w:rStyle w:val="AERbody"/>
        </w:rPr>
        <w:t xml:space="preserve">(new) </w:t>
      </w:r>
      <w:r w:rsidR="00B45378">
        <w:rPr>
          <w:rStyle w:val="AERbody"/>
        </w:rPr>
        <w:t xml:space="preserve">type this distinction </w:t>
      </w:r>
      <w:r w:rsidR="006D5F68">
        <w:rPr>
          <w:rStyle w:val="AERbody"/>
        </w:rPr>
        <w:t xml:space="preserve">may </w:t>
      </w:r>
      <w:r w:rsidR="00B45378">
        <w:rPr>
          <w:rStyle w:val="AERbody"/>
        </w:rPr>
        <w:t>be</w:t>
      </w:r>
      <w:r w:rsidR="006D5F68">
        <w:rPr>
          <w:rStyle w:val="AERbody"/>
        </w:rPr>
        <w:t>come</w:t>
      </w:r>
      <w:r w:rsidR="00B45378">
        <w:rPr>
          <w:rStyle w:val="AERbody"/>
        </w:rPr>
        <w:t xml:space="preserve"> unnecessary.</w:t>
      </w:r>
      <w:r>
        <w:rPr>
          <w:rStyle w:val="AERbody"/>
        </w:rPr>
        <w:t xml:space="preserve"> We do not consider </w:t>
      </w:r>
      <w:r w:rsidR="00392581">
        <w:rPr>
          <w:rStyle w:val="AERbody"/>
        </w:rPr>
        <w:t xml:space="preserve">such an amendment is </w:t>
      </w:r>
      <w:r>
        <w:rPr>
          <w:rStyle w:val="AERbody"/>
        </w:rPr>
        <w:t>likely in the immediate future.</w:t>
      </w:r>
    </w:p>
    <w:p w:rsidR="00770C24" w:rsidRPr="00B06A0C" w:rsidRDefault="00770C24" w:rsidP="008A0367">
      <w:pPr>
        <w:pStyle w:val="HeadingBoldBlue"/>
        <w:rPr>
          <w:rStyle w:val="AERtextorange"/>
          <w:color w:val="365F91" w:themeColor="accent1" w:themeShade="BF"/>
        </w:rPr>
      </w:pPr>
      <w:r w:rsidRPr="00B06A0C">
        <w:rPr>
          <w:rStyle w:val="AERtextorange"/>
          <w:color w:val="365F91" w:themeColor="accent1" w:themeShade="BF"/>
        </w:rPr>
        <w:t xml:space="preserve">Type 5 and </w:t>
      </w:r>
      <w:r w:rsidRPr="008A0367">
        <w:rPr>
          <w:rStyle w:val="AERtextorange"/>
          <w:color w:val="365F91" w:themeColor="accent1" w:themeShade="BF"/>
        </w:rPr>
        <w:t xml:space="preserve">6 </w:t>
      </w:r>
      <w:r w:rsidR="008A0367" w:rsidRPr="008A0367">
        <w:rPr>
          <w:rStyle w:val="AERtextorange"/>
          <w:color w:val="365F91" w:themeColor="accent1" w:themeShade="BF"/>
        </w:rPr>
        <w:t xml:space="preserve">and smart </w:t>
      </w:r>
      <w:r w:rsidRPr="008A0367">
        <w:rPr>
          <w:rStyle w:val="AERtextorange"/>
          <w:color w:val="365F91" w:themeColor="accent1" w:themeShade="BF"/>
        </w:rPr>
        <w:t xml:space="preserve">metering </w:t>
      </w:r>
      <w:r w:rsidRPr="00B06A0C">
        <w:rPr>
          <w:rStyle w:val="AERtextorange"/>
          <w:color w:val="365F91" w:themeColor="accent1" w:themeShade="BF"/>
        </w:rPr>
        <w:t>services</w:t>
      </w:r>
    </w:p>
    <w:p w:rsidR="007E52B7" w:rsidRDefault="00042E15" w:rsidP="00770C24">
      <w:pPr>
        <w:pStyle w:val="AERbodytext"/>
        <w:rPr>
          <w:rStyle w:val="AERbody"/>
        </w:rPr>
      </w:pPr>
      <w:r>
        <w:rPr>
          <w:rStyle w:val="AERbody"/>
        </w:rPr>
        <w:t>The Victorian distributors are</w:t>
      </w:r>
      <w:r w:rsidR="00770C24">
        <w:rPr>
          <w:rStyle w:val="AERbody"/>
        </w:rPr>
        <w:t xml:space="preserve"> the monopoly providers of type 5 and 6 </w:t>
      </w:r>
      <w:r w:rsidR="007E52B7">
        <w:rPr>
          <w:rStyle w:val="AERbody"/>
        </w:rPr>
        <w:t xml:space="preserve">and smart </w:t>
      </w:r>
      <w:r w:rsidR="00770C24">
        <w:rPr>
          <w:rStyle w:val="AERbody"/>
        </w:rPr>
        <w:t>meters</w:t>
      </w:r>
      <w:r w:rsidR="00392581">
        <w:rPr>
          <w:rStyle w:val="AERbody"/>
        </w:rPr>
        <w:t xml:space="preserve"> where they are used to replace a type 5 or 6 meter</w:t>
      </w:r>
      <w:r w:rsidR="00770C24">
        <w:rPr>
          <w:rStyle w:val="AERbody"/>
        </w:rPr>
        <w:t xml:space="preserve">. Therefore, we propose to </w:t>
      </w:r>
      <w:r w:rsidR="00570A9F">
        <w:rPr>
          <w:rStyle w:val="AERbody"/>
        </w:rPr>
        <w:t xml:space="preserve">apply </w:t>
      </w:r>
      <w:r w:rsidR="00770C24">
        <w:rPr>
          <w:rStyle w:val="AERbody"/>
        </w:rPr>
        <w:t>the direct control classification for these services.</w:t>
      </w:r>
      <w:r w:rsidR="00770C24">
        <w:rPr>
          <w:rStyle w:val="FootnoteReference"/>
        </w:rPr>
        <w:footnoteReference w:id="79"/>
      </w:r>
      <w:r w:rsidR="00227351">
        <w:rPr>
          <w:rStyle w:val="AERbody"/>
        </w:rPr>
        <w:t xml:space="preserve"> </w:t>
      </w:r>
    </w:p>
    <w:p w:rsidR="00770C24" w:rsidRDefault="00770C24" w:rsidP="00B45378">
      <w:pPr>
        <w:pStyle w:val="AERbodytext"/>
        <w:rPr>
          <w:rStyle w:val="AERbody"/>
        </w:rPr>
      </w:pPr>
      <w:r>
        <w:rPr>
          <w:rStyle w:val="AERbody"/>
        </w:rPr>
        <w:t xml:space="preserve">Our preliminary position is to </w:t>
      </w:r>
      <w:r w:rsidRPr="00A76A56">
        <w:rPr>
          <w:rStyle w:val="AERbody"/>
        </w:rPr>
        <w:t>classify</w:t>
      </w:r>
      <w:r>
        <w:rPr>
          <w:rStyle w:val="AERbody"/>
        </w:rPr>
        <w:t xml:space="preserve"> </w:t>
      </w:r>
      <w:r w:rsidR="00570A9F">
        <w:rPr>
          <w:rStyle w:val="AERbody"/>
        </w:rPr>
        <w:t xml:space="preserve">new </w:t>
      </w:r>
      <w:r>
        <w:rPr>
          <w:rStyle w:val="AERbody"/>
        </w:rPr>
        <w:t>type</w:t>
      </w:r>
      <w:r w:rsidRPr="00A76A56">
        <w:rPr>
          <w:rStyle w:val="AERbody"/>
        </w:rPr>
        <w:t xml:space="preserve"> 5 and 6 </w:t>
      </w:r>
      <w:r w:rsidR="00570A9F">
        <w:rPr>
          <w:rStyle w:val="AERbody"/>
        </w:rPr>
        <w:t xml:space="preserve">and smart </w:t>
      </w:r>
      <w:r w:rsidRPr="00A76A56">
        <w:rPr>
          <w:rStyle w:val="AERbody"/>
        </w:rPr>
        <w:t>metering services as</w:t>
      </w:r>
      <w:r>
        <w:rPr>
          <w:rStyle w:val="AERbody"/>
        </w:rPr>
        <w:t xml:space="preserve"> alternative control</w:t>
      </w:r>
      <w:r w:rsidRPr="00A76A56">
        <w:rPr>
          <w:rStyle w:val="AERbody"/>
        </w:rPr>
        <w:t xml:space="preserve">, </w:t>
      </w:r>
      <w:r w:rsidR="00BB4CA4">
        <w:rPr>
          <w:rStyle w:val="AERbody"/>
        </w:rPr>
        <w:t xml:space="preserve">as distinct </w:t>
      </w:r>
      <w:r w:rsidRPr="00A76A56">
        <w:rPr>
          <w:rStyle w:val="AERbody"/>
        </w:rPr>
        <w:t>from</w:t>
      </w:r>
      <w:r>
        <w:rPr>
          <w:rStyle w:val="AERbody"/>
        </w:rPr>
        <w:t xml:space="preserve"> the </w:t>
      </w:r>
      <w:r w:rsidRPr="00A76A56">
        <w:rPr>
          <w:rStyle w:val="AERbody"/>
        </w:rPr>
        <w:t>standard control</w:t>
      </w:r>
      <w:r>
        <w:rPr>
          <w:rStyle w:val="AERbody"/>
        </w:rPr>
        <w:t xml:space="preserve"> classification</w:t>
      </w:r>
      <w:r w:rsidR="00570A9F">
        <w:rPr>
          <w:rStyle w:val="AERbody"/>
        </w:rPr>
        <w:t xml:space="preserve"> which </w:t>
      </w:r>
      <w:r w:rsidR="00BB4CA4">
        <w:rPr>
          <w:rStyle w:val="AERbody"/>
        </w:rPr>
        <w:t xml:space="preserve">could otherwise </w:t>
      </w:r>
      <w:r w:rsidR="00570A9F">
        <w:rPr>
          <w:rStyle w:val="AERbody"/>
        </w:rPr>
        <w:t xml:space="preserve">apply to the metering services subject to the AMI </w:t>
      </w:r>
      <w:r w:rsidR="00392581">
        <w:rPr>
          <w:rStyle w:val="AERbody"/>
        </w:rPr>
        <w:t>OIC</w:t>
      </w:r>
      <w:r w:rsidRPr="00A76A56">
        <w:rPr>
          <w:rStyle w:val="AERbody"/>
        </w:rPr>
        <w:t>.</w:t>
      </w:r>
      <w:r w:rsidR="00BB4CA4">
        <w:rPr>
          <w:rStyle w:val="AERbody"/>
        </w:rPr>
        <w:t xml:space="preserve"> T</w:t>
      </w:r>
      <w:r w:rsidRPr="00966C89">
        <w:rPr>
          <w:rStyle w:val="AERbody"/>
        </w:rPr>
        <w:t xml:space="preserve">he costs of type 5 and 6 </w:t>
      </w:r>
      <w:r w:rsidR="00570A9F">
        <w:rPr>
          <w:rStyle w:val="AERbody"/>
        </w:rPr>
        <w:t xml:space="preserve">and AMI </w:t>
      </w:r>
      <w:r w:rsidRPr="00966C89">
        <w:rPr>
          <w:rStyle w:val="AERbody"/>
        </w:rPr>
        <w:t xml:space="preserve">metering services are currently included in the basic electricity network charges all </w:t>
      </w:r>
      <w:r>
        <w:rPr>
          <w:rStyle w:val="AERbody"/>
        </w:rPr>
        <w:t>customer</w:t>
      </w:r>
      <w:r w:rsidRPr="00966C89">
        <w:rPr>
          <w:rStyle w:val="AERbody"/>
        </w:rPr>
        <w:t>s pay</w:t>
      </w:r>
      <w:r w:rsidR="002C7A3C">
        <w:rPr>
          <w:rStyle w:val="AERbody"/>
        </w:rPr>
        <w:t>, although separate annual charges are made</w:t>
      </w:r>
      <w:r w:rsidRPr="00966C89">
        <w:rPr>
          <w:rStyle w:val="AERbody"/>
        </w:rPr>
        <w:t xml:space="preserve">. </w:t>
      </w:r>
      <w:r w:rsidR="00392581">
        <w:rPr>
          <w:rStyle w:val="AERbody"/>
        </w:rPr>
        <w:t xml:space="preserve">This is consistent with a standard control classification. As noted earlier, smart meters must be classified as alternative control under clause 11.17.6(b). </w:t>
      </w:r>
      <w:r>
        <w:rPr>
          <w:rStyle w:val="AERbody"/>
        </w:rPr>
        <w:t>By changing the classification to alternative control</w:t>
      </w:r>
      <w:r w:rsidR="002C7A3C">
        <w:rPr>
          <w:rStyle w:val="AERbody"/>
        </w:rPr>
        <w:t xml:space="preserve"> and assuming the market in metering services is opened up to competition</w:t>
      </w:r>
      <w:r>
        <w:rPr>
          <w:rStyle w:val="AERbody"/>
        </w:rPr>
        <w:t xml:space="preserve">, </w:t>
      </w:r>
      <w:r w:rsidR="00B45378">
        <w:rPr>
          <w:rStyle w:val="AERbody"/>
        </w:rPr>
        <w:t>c</w:t>
      </w:r>
      <w:r w:rsidR="00B45378" w:rsidRPr="00B45378">
        <w:rPr>
          <w:rStyle w:val="AERbody"/>
        </w:rPr>
        <w:t xml:space="preserve">ustomers who have a </w:t>
      </w:r>
      <w:r w:rsidR="00265962">
        <w:rPr>
          <w:rStyle w:val="AERbody"/>
        </w:rPr>
        <w:t xml:space="preserve">new </w:t>
      </w:r>
      <w:r w:rsidR="00B45378" w:rsidRPr="00B45378">
        <w:rPr>
          <w:rStyle w:val="AERbody"/>
        </w:rPr>
        <w:t xml:space="preserve">smart meter </w:t>
      </w:r>
      <w:r w:rsidR="00265962">
        <w:rPr>
          <w:rStyle w:val="AERbody"/>
        </w:rPr>
        <w:t xml:space="preserve">installed </w:t>
      </w:r>
      <w:r w:rsidR="00B45378" w:rsidRPr="00B45378">
        <w:rPr>
          <w:rStyle w:val="AERbody"/>
        </w:rPr>
        <w:t>would not have to pay an ongoing charge for a type 5 or 6 meter they no longer use.</w:t>
      </w:r>
      <w:r w:rsidR="008A0367">
        <w:rPr>
          <w:rStyle w:val="AERbody"/>
        </w:rPr>
        <w:t xml:space="preserve"> </w:t>
      </w:r>
      <w:r w:rsidR="00265962">
        <w:rPr>
          <w:rStyle w:val="AERbody"/>
        </w:rPr>
        <w:t xml:space="preserve">However, this would result in the unrecovered cost of the past service being transferred to other customers through higher regulated charges. The AMI </w:t>
      </w:r>
      <w:r w:rsidR="00392581">
        <w:rPr>
          <w:rStyle w:val="AERbody"/>
        </w:rPr>
        <w:t>OIC</w:t>
      </w:r>
      <w:r w:rsidR="00265962">
        <w:rPr>
          <w:rStyle w:val="AERbody"/>
        </w:rPr>
        <w:t xml:space="preserve"> provides for an exit fee to be recovered from such customers. The AER also </w:t>
      </w:r>
      <w:r w:rsidR="00BB4CA4">
        <w:rPr>
          <w:rStyle w:val="AERbody"/>
        </w:rPr>
        <w:t xml:space="preserve">proposes to </w:t>
      </w:r>
      <w:r w:rsidR="00265962">
        <w:rPr>
          <w:rStyle w:val="AERbody"/>
        </w:rPr>
        <w:t xml:space="preserve">apply </w:t>
      </w:r>
      <w:r w:rsidR="00BB4CA4">
        <w:rPr>
          <w:rStyle w:val="AERbody"/>
        </w:rPr>
        <w:t xml:space="preserve">an exit fee </w:t>
      </w:r>
      <w:r w:rsidR="00392581">
        <w:rPr>
          <w:rStyle w:val="AERbody"/>
        </w:rPr>
        <w:t xml:space="preserve">component </w:t>
      </w:r>
      <w:r w:rsidR="00BB4CA4">
        <w:rPr>
          <w:rStyle w:val="AERbody"/>
        </w:rPr>
        <w:t xml:space="preserve">to compensate the distributors for the unrecovered cost of the sunk investment. </w:t>
      </w:r>
    </w:p>
    <w:p w:rsidR="00770C24" w:rsidRPr="00B06A0C" w:rsidRDefault="00770C24" w:rsidP="00B06A0C">
      <w:pPr>
        <w:pStyle w:val="HeadingBoldBlue"/>
        <w:rPr>
          <w:rStyle w:val="AERtextbold"/>
          <w:b/>
        </w:rPr>
      </w:pPr>
      <w:r w:rsidRPr="00B06A0C">
        <w:rPr>
          <w:rStyle w:val="AERtextbold"/>
          <w:b/>
        </w:rPr>
        <w:t>Meter installation services</w:t>
      </w:r>
    </w:p>
    <w:p w:rsidR="00770C24" w:rsidRPr="00A13BC7" w:rsidRDefault="00770C24" w:rsidP="00770C24">
      <w:pPr>
        <w:numPr>
          <w:ilvl w:val="0"/>
          <w:numId w:val="13"/>
        </w:numPr>
        <w:rPr>
          <w:rStyle w:val="AERbody"/>
        </w:rPr>
      </w:pPr>
      <w:r w:rsidRPr="00A13BC7">
        <w:rPr>
          <w:rStyle w:val="AERbody"/>
        </w:rPr>
        <w:t>In</w:t>
      </w:r>
      <w:r w:rsidR="007E52B7">
        <w:rPr>
          <w:rStyle w:val="AERbody"/>
        </w:rPr>
        <w:t xml:space="preserve"> Victoria</w:t>
      </w:r>
      <w:r w:rsidRPr="00A13BC7">
        <w:rPr>
          <w:rStyle w:val="AERbody"/>
        </w:rPr>
        <w:t xml:space="preserve">, installation of type 5 and 6 </w:t>
      </w:r>
      <w:r w:rsidR="007E52B7">
        <w:rPr>
          <w:rStyle w:val="AERbody"/>
        </w:rPr>
        <w:t xml:space="preserve">and smart </w:t>
      </w:r>
      <w:r w:rsidRPr="00A13BC7">
        <w:rPr>
          <w:rStyle w:val="AERbody"/>
        </w:rPr>
        <w:t>metering is not</w:t>
      </w:r>
      <w:r>
        <w:rPr>
          <w:rStyle w:val="AERbody"/>
        </w:rPr>
        <w:t xml:space="preserve"> currently</w:t>
      </w:r>
      <w:r w:rsidRPr="00A13BC7">
        <w:rPr>
          <w:rStyle w:val="AERbody"/>
        </w:rPr>
        <w:t xml:space="preserve"> </w:t>
      </w:r>
      <w:r>
        <w:rPr>
          <w:rStyle w:val="AERbody"/>
        </w:rPr>
        <w:t>contestable.</w:t>
      </w:r>
      <w:r w:rsidRPr="00313B09">
        <w:rPr>
          <w:rStyle w:val="AERsuperscript"/>
        </w:rPr>
        <w:footnoteReference w:id="80"/>
      </w:r>
      <w:r>
        <w:rPr>
          <w:rStyle w:val="AERbody"/>
        </w:rPr>
        <w:t xml:space="preserve"> However, we think it possible that contestability in the installation of these metering types may be permitted in future. Unbundling these installation services and separately classifying them as direct control services and further</w:t>
      </w:r>
      <w:r w:rsidR="00BB4CA4">
        <w:rPr>
          <w:rStyle w:val="AERbody"/>
        </w:rPr>
        <w:t>,</w:t>
      </w:r>
      <w:r>
        <w:rPr>
          <w:rStyle w:val="AERbody"/>
        </w:rPr>
        <w:t xml:space="preserve"> as alternative control</w:t>
      </w:r>
      <w:r w:rsidR="00BB4CA4">
        <w:rPr>
          <w:rStyle w:val="AERbody"/>
        </w:rPr>
        <w:t>,</w:t>
      </w:r>
      <w:r>
        <w:rPr>
          <w:rStyle w:val="AERbody"/>
        </w:rPr>
        <w:t xml:space="preserve"> will facilitate future contestability.</w:t>
      </w:r>
      <w:r>
        <w:rPr>
          <w:rStyle w:val="FootnoteReference"/>
        </w:rPr>
        <w:footnoteReference w:id="81"/>
      </w:r>
      <w:r w:rsidR="00BB4CA4">
        <w:rPr>
          <w:rStyle w:val="AERbody"/>
        </w:rPr>
        <w:t xml:space="preserve"> By implementing the proposed exit fee the distributors can be compensated for the sunk cost of the current investment in smart metering technology without imposing a cross subsidy burden on the remaining customers with distributor supplied metering.</w:t>
      </w:r>
    </w:p>
    <w:p w:rsidR="00770C24" w:rsidRPr="006150A8" w:rsidRDefault="00770C24" w:rsidP="006150A8">
      <w:pPr>
        <w:pStyle w:val="HeadingBoldBlue"/>
        <w:rPr>
          <w:rStyle w:val="AERtextbold"/>
          <w:rFonts w:eastAsia="Calibri"/>
          <w:b/>
        </w:rPr>
      </w:pPr>
      <w:r w:rsidRPr="006150A8">
        <w:rPr>
          <w:rStyle w:val="AERtextbold"/>
          <w:b/>
        </w:rPr>
        <w:t>Meter provision</w:t>
      </w:r>
      <w:r w:rsidR="006150A8" w:rsidRPr="006150A8">
        <w:rPr>
          <w:rStyle w:val="AERtextbold"/>
          <w:b/>
        </w:rPr>
        <w:t>,</w:t>
      </w:r>
      <w:r w:rsidRPr="006150A8">
        <w:rPr>
          <w:rStyle w:val="AERtextbold"/>
          <w:b/>
        </w:rPr>
        <w:t xml:space="preserve"> maintenance</w:t>
      </w:r>
      <w:r w:rsidR="006150A8" w:rsidRPr="006150A8">
        <w:rPr>
          <w:rStyle w:val="AERtextbold"/>
          <w:b/>
        </w:rPr>
        <w:t xml:space="preserve"> reading and data services</w:t>
      </w:r>
    </w:p>
    <w:p w:rsidR="00770C24" w:rsidRPr="00EA05A6" w:rsidRDefault="00770C24" w:rsidP="00770C24">
      <w:pPr>
        <w:numPr>
          <w:ilvl w:val="0"/>
          <w:numId w:val="13"/>
        </w:numPr>
        <w:rPr>
          <w:rStyle w:val="AERbody"/>
        </w:rPr>
      </w:pPr>
      <w:r w:rsidRPr="00EA05A6">
        <w:rPr>
          <w:rStyle w:val="AERbody"/>
        </w:rPr>
        <w:t>We propose to classify metering provision</w:t>
      </w:r>
      <w:r w:rsidR="00707481">
        <w:rPr>
          <w:rStyle w:val="AERbody"/>
        </w:rPr>
        <w:t xml:space="preserve"> and </w:t>
      </w:r>
      <w:r w:rsidRPr="00EA05A6">
        <w:rPr>
          <w:rStyle w:val="AERbody"/>
        </w:rPr>
        <w:t>maintenance as direct control services and further as alternative control services. We consider it necessary to apply a direct form of regulation for the following reasons</w:t>
      </w:r>
      <w:r>
        <w:rPr>
          <w:rStyle w:val="AERbody"/>
        </w:rPr>
        <w:t>:</w:t>
      </w:r>
      <w:r w:rsidRPr="00755C66">
        <w:rPr>
          <w:rStyle w:val="AERsuperscript"/>
        </w:rPr>
        <w:footnoteReference w:id="82"/>
      </w:r>
      <w:r w:rsidRPr="00EA05A6">
        <w:rPr>
          <w:rStyle w:val="AERbody"/>
        </w:rPr>
        <w:t xml:space="preserve"> </w:t>
      </w:r>
    </w:p>
    <w:p w:rsidR="00770C24" w:rsidRDefault="00770C24" w:rsidP="00B06A0C">
      <w:pPr>
        <w:pStyle w:val="AERbulletlistfirststyle"/>
        <w:rPr>
          <w:rStyle w:val="AERbody"/>
        </w:rPr>
      </w:pPr>
      <w:r>
        <w:rPr>
          <w:rStyle w:val="AERbody"/>
        </w:rPr>
        <w:t>T</w:t>
      </w:r>
      <w:r w:rsidRPr="00EA05A6">
        <w:rPr>
          <w:rStyle w:val="AERbody"/>
        </w:rPr>
        <w:t xml:space="preserve">here is currently a regulatory barrier to any party other than the </w:t>
      </w:r>
      <w:r w:rsidR="006D5F68">
        <w:rPr>
          <w:rStyle w:val="AERbody"/>
        </w:rPr>
        <w:t xml:space="preserve">Victorian </w:t>
      </w:r>
      <w:r w:rsidRPr="00EA05A6">
        <w:rPr>
          <w:rStyle w:val="AERbody"/>
        </w:rPr>
        <w:t xml:space="preserve">distributors providing type 5 and 6 </w:t>
      </w:r>
      <w:r w:rsidR="00707481">
        <w:rPr>
          <w:rStyle w:val="AERbody"/>
        </w:rPr>
        <w:t xml:space="preserve">and </w:t>
      </w:r>
      <w:r w:rsidR="006D5F68">
        <w:rPr>
          <w:rStyle w:val="AERbody"/>
        </w:rPr>
        <w:t xml:space="preserve">smart </w:t>
      </w:r>
      <w:r w:rsidRPr="00EA05A6">
        <w:rPr>
          <w:rStyle w:val="AERbody"/>
        </w:rPr>
        <w:t>metering provision</w:t>
      </w:r>
      <w:r w:rsidR="006150A8">
        <w:rPr>
          <w:rStyle w:val="AERbody"/>
        </w:rPr>
        <w:t xml:space="preserve">, </w:t>
      </w:r>
      <w:r w:rsidRPr="00EA05A6">
        <w:rPr>
          <w:rStyle w:val="AERbody"/>
        </w:rPr>
        <w:t>maintenance</w:t>
      </w:r>
      <w:r w:rsidR="006150A8">
        <w:rPr>
          <w:rStyle w:val="AERbody"/>
        </w:rPr>
        <w:t xml:space="preserve">, reading and </w:t>
      </w:r>
      <w:r w:rsidRPr="00EA05A6">
        <w:rPr>
          <w:rStyle w:val="AERbody"/>
        </w:rPr>
        <w:t>data services.</w:t>
      </w:r>
      <w:r>
        <w:rPr>
          <w:rStyle w:val="FootnoteReference"/>
        </w:rPr>
        <w:footnoteReference w:id="83"/>
      </w:r>
      <w:r w:rsidRPr="00EA05A6">
        <w:rPr>
          <w:rStyle w:val="AERbody"/>
        </w:rPr>
        <w:t xml:space="preserve"> </w:t>
      </w:r>
      <w:r>
        <w:rPr>
          <w:rStyle w:val="AERbody"/>
        </w:rPr>
        <w:t>Under the rules</w:t>
      </w:r>
      <w:r w:rsidR="009E72CB">
        <w:rPr>
          <w:rStyle w:val="AERbody"/>
        </w:rPr>
        <w:t xml:space="preserve"> as they currently stand</w:t>
      </w:r>
      <w:r>
        <w:rPr>
          <w:rStyle w:val="AERbody"/>
        </w:rPr>
        <w:t xml:space="preserve">, only the relevant distributor may install a type 5 or 6 </w:t>
      </w:r>
      <w:r w:rsidR="00707481">
        <w:rPr>
          <w:rStyle w:val="AERbody"/>
        </w:rPr>
        <w:t xml:space="preserve">or smart </w:t>
      </w:r>
      <w:r>
        <w:rPr>
          <w:rStyle w:val="AERbody"/>
        </w:rPr>
        <w:t>meter in its distribution service area.</w:t>
      </w:r>
      <w:r>
        <w:rPr>
          <w:rStyle w:val="FootnoteReference"/>
        </w:rPr>
        <w:footnoteReference w:id="84"/>
      </w:r>
      <w:r>
        <w:rPr>
          <w:rStyle w:val="AERbody"/>
        </w:rPr>
        <w:t xml:space="preserve"> </w:t>
      </w:r>
    </w:p>
    <w:p w:rsidR="00770C24" w:rsidRDefault="00770C24" w:rsidP="00B06A0C">
      <w:pPr>
        <w:pStyle w:val="AERbulletlistfirststyle"/>
        <w:rPr>
          <w:rStyle w:val="AERbody"/>
        </w:rPr>
      </w:pPr>
      <w:r w:rsidRPr="00196C92">
        <w:rPr>
          <w:rStyle w:val="AERbody"/>
        </w:rPr>
        <w:lastRenderedPageBreak/>
        <w:t>Type 5 and 6 metering services are subject to a direct form of regulation in other NEM jurisdictions.</w:t>
      </w:r>
      <w:r>
        <w:rPr>
          <w:rStyle w:val="FootnoteReference"/>
        </w:rPr>
        <w:footnoteReference w:id="85"/>
      </w:r>
    </w:p>
    <w:p w:rsidR="00770C24" w:rsidRPr="00196C92" w:rsidRDefault="00770C24" w:rsidP="00B06A0C">
      <w:pPr>
        <w:pStyle w:val="AERbulletlistfirststyle"/>
        <w:rPr>
          <w:rStyle w:val="AERbody"/>
        </w:rPr>
      </w:pPr>
      <w:r>
        <w:rPr>
          <w:rStyle w:val="AERbody"/>
        </w:rPr>
        <w:t xml:space="preserve">There is </w:t>
      </w:r>
      <w:r w:rsidRPr="00FF4D13">
        <w:rPr>
          <w:rStyle w:val="AERbody"/>
        </w:rPr>
        <w:t>competition available f</w:t>
      </w:r>
      <w:r w:rsidR="00707481">
        <w:rPr>
          <w:rStyle w:val="AERbody"/>
        </w:rPr>
        <w:t>or</w:t>
      </w:r>
      <w:r w:rsidRPr="00FF4D13">
        <w:rPr>
          <w:rStyle w:val="AERbody"/>
        </w:rPr>
        <w:t xml:space="preserve"> type 4 meters</w:t>
      </w:r>
      <w:r w:rsidR="00707481">
        <w:rPr>
          <w:rStyle w:val="AERbody"/>
        </w:rPr>
        <w:t xml:space="preserve"> but not smart meters</w:t>
      </w:r>
      <w:r>
        <w:rPr>
          <w:rStyle w:val="AERbody"/>
        </w:rPr>
        <w:t>.</w:t>
      </w:r>
      <w:r>
        <w:rPr>
          <w:rStyle w:val="FootnoteReference"/>
        </w:rPr>
        <w:footnoteReference w:id="86"/>
      </w:r>
    </w:p>
    <w:p w:rsidR="00770C24" w:rsidRDefault="00770C24" w:rsidP="00770C24">
      <w:pPr>
        <w:numPr>
          <w:ilvl w:val="0"/>
          <w:numId w:val="13"/>
        </w:numPr>
        <w:rPr>
          <w:rStyle w:val="AERbody"/>
        </w:rPr>
      </w:pPr>
      <w:r>
        <w:rPr>
          <w:rStyle w:val="AERbody"/>
        </w:rPr>
        <w:t>W</w:t>
      </w:r>
      <w:r w:rsidRPr="00476A9C">
        <w:rPr>
          <w:rStyle w:val="AERbody"/>
        </w:rPr>
        <w:t xml:space="preserve">e must further classify </w:t>
      </w:r>
      <w:r>
        <w:rPr>
          <w:rStyle w:val="AERbody"/>
        </w:rPr>
        <w:t xml:space="preserve">type 5 and 6 </w:t>
      </w:r>
      <w:r w:rsidR="006150A8">
        <w:rPr>
          <w:rStyle w:val="AERbody"/>
        </w:rPr>
        <w:t xml:space="preserve">and smart </w:t>
      </w:r>
      <w:r w:rsidRPr="00476A9C">
        <w:rPr>
          <w:rStyle w:val="AERbody"/>
        </w:rPr>
        <w:t>meter provision</w:t>
      </w:r>
      <w:r w:rsidR="006150A8">
        <w:rPr>
          <w:rStyle w:val="AERbody"/>
        </w:rPr>
        <w:t>,</w:t>
      </w:r>
      <w:r w:rsidRPr="00476A9C">
        <w:rPr>
          <w:rStyle w:val="AERbody"/>
        </w:rPr>
        <w:t xml:space="preserve"> maintenance</w:t>
      </w:r>
      <w:r w:rsidR="006150A8">
        <w:rPr>
          <w:rStyle w:val="AERbody"/>
        </w:rPr>
        <w:t>, reading and data</w:t>
      </w:r>
      <w:r w:rsidRPr="00476A9C">
        <w:rPr>
          <w:rStyle w:val="AERbody"/>
        </w:rPr>
        <w:t xml:space="preserve"> services as standard or alternative control services.</w:t>
      </w:r>
      <w:r w:rsidRPr="00092EB4">
        <w:rPr>
          <w:rStyle w:val="AERsuperscript"/>
        </w:rPr>
        <w:footnoteReference w:id="87"/>
      </w:r>
      <w:r>
        <w:rPr>
          <w:rStyle w:val="AERbody"/>
        </w:rPr>
        <w:t xml:space="preserve"> We consider </w:t>
      </w:r>
      <w:r w:rsidRPr="00476A9C">
        <w:rPr>
          <w:rStyle w:val="AERbody"/>
        </w:rPr>
        <w:t>these services should be altern</w:t>
      </w:r>
      <w:r>
        <w:rPr>
          <w:rStyle w:val="AERbody"/>
        </w:rPr>
        <w:t>ative control services because they are provided to specific customers</w:t>
      </w:r>
      <w:r>
        <w:rPr>
          <w:rStyle w:val="FootnoteReference"/>
        </w:rPr>
        <w:footnoteReference w:id="88"/>
      </w:r>
      <w:r>
        <w:rPr>
          <w:rStyle w:val="AERbody"/>
        </w:rPr>
        <w:t xml:space="preserve"> and there is </w:t>
      </w:r>
      <w:r w:rsidRPr="00F9668F">
        <w:rPr>
          <w:rStyle w:val="AERbody"/>
        </w:rPr>
        <w:t xml:space="preserve">potential for contestability </w:t>
      </w:r>
      <w:r>
        <w:rPr>
          <w:rStyle w:val="AERbody"/>
        </w:rPr>
        <w:t xml:space="preserve">in type 5 and 6 </w:t>
      </w:r>
      <w:r w:rsidR="00707481">
        <w:rPr>
          <w:rStyle w:val="AERbody"/>
        </w:rPr>
        <w:t xml:space="preserve">and smart </w:t>
      </w:r>
      <w:r w:rsidRPr="00F9668F">
        <w:rPr>
          <w:rStyle w:val="AERbody"/>
        </w:rPr>
        <w:t>metering provision</w:t>
      </w:r>
      <w:r w:rsidR="00707481">
        <w:rPr>
          <w:rStyle w:val="AERbody"/>
        </w:rPr>
        <w:t xml:space="preserve"> and </w:t>
      </w:r>
      <w:r w:rsidRPr="00F9668F">
        <w:rPr>
          <w:rStyle w:val="AERbody"/>
        </w:rPr>
        <w:t>maintenance s</w:t>
      </w:r>
      <w:r>
        <w:rPr>
          <w:rStyle w:val="AERbody"/>
        </w:rPr>
        <w:t xml:space="preserve">ervices in </w:t>
      </w:r>
      <w:r w:rsidRPr="00F9668F">
        <w:rPr>
          <w:rStyle w:val="AERbody"/>
        </w:rPr>
        <w:t>future.</w:t>
      </w:r>
      <w:r>
        <w:rPr>
          <w:rStyle w:val="FootnoteReference"/>
        </w:rPr>
        <w:footnoteReference w:id="89"/>
      </w:r>
      <w:r w:rsidRPr="00F9668F">
        <w:rPr>
          <w:rStyle w:val="AERbody"/>
        </w:rPr>
        <w:t xml:space="preserve"> </w:t>
      </w:r>
    </w:p>
    <w:p w:rsidR="00770C24" w:rsidRPr="00F9668F" w:rsidRDefault="00770C24" w:rsidP="00770C24">
      <w:pPr>
        <w:numPr>
          <w:ilvl w:val="0"/>
          <w:numId w:val="13"/>
        </w:numPr>
        <w:rPr>
          <w:rStyle w:val="AERbody"/>
        </w:rPr>
      </w:pPr>
      <w:r w:rsidRPr="00F9668F">
        <w:rPr>
          <w:rStyle w:val="AERbody"/>
        </w:rPr>
        <w:t xml:space="preserve">We recognise that the </w:t>
      </w:r>
      <w:r w:rsidR="00707481">
        <w:rPr>
          <w:rStyle w:val="AERbody"/>
        </w:rPr>
        <w:t xml:space="preserve">Victorian </w:t>
      </w:r>
      <w:r w:rsidRPr="00F9668F">
        <w:rPr>
          <w:rStyle w:val="AERbody"/>
        </w:rPr>
        <w:t xml:space="preserve">distributors are currently the monopoly providers of type 5 and 6 </w:t>
      </w:r>
      <w:r w:rsidR="006150A8">
        <w:rPr>
          <w:rStyle w:val="AERbody"/>
        </w:rPr>
        <w:t xml:space="preserve">and </w:t>
      </w:r>
      <w:r w:rsidR="00707481">
        <w:rPr>
          <w:rStyle w:val="AERbody"/>
        </w:rPr>
        <w:t xml:space="preserve">smart </w:t>
      </w:r>
      <w:r w:rsidRPr="00F9668F">
        <w:rPr>
          <w:rStyle w:val="AERbody"/>
        </w:rPr>
        <w:t>metering services.</w:t>
      </w:r>
      <w:r w:rsidRPr="001D5620">
        <w:rPr>
          <w:rStyle w:val="AERsuperscript"/>
        </w:rPr>
        <w:footnoteReference w:id="90"/>
      </w:r>
      <w:r w:rsidRPr="00F9668F">
        <w:rPr>
          <w:rStyle w:val="AERbody"/>
        </w:rPr>
        <w:t xml:space="preserve"> However, separating the costs of meter provision</w:t>
      </w:r>
      <w:r w:rsidR="00707481">
        <w:rPr>
          <w:rStyle w:val="AERbody"/>
        </w:rPr>
        <w:t xml:space="preserve"> and</w:t>
      </w:r>
      <w:r w:rsidRPr="00F9668F">
        <w:rPr>
          <w:rStyle w:val="AERbody"/>
        </w:rPr>
        <w:t xml:space="preserve"> maintenance, reading and data services from shared network charges will enhance competition should contestability for these services change.</w:t>
      </w:r>
      <w:r w:rsidRPr="001D5620">
        <w:rPr>
          <w:rStyle w:val="AERsuperscript"/>
        </w:rPr>
        <w:footnoteReference w:id="91"/>
      </w:r>
      <w:r w:rsidRPr="001D5620">
        <w:rPr>
          <w:rStyle w:val="AERsuperscript"/>
        </w:rPr>
        <w:t xml:space="preserve"> </w:t>
      </w:r>
      <w:r w:rsidRPr="00F9668F">
        <w:rPr>
          <w:rStyle w:val="AERbody"/>
        </w:rPr>
        <w:t>If charges for these services remain bundled in distribution charges, any future changes in contestability may be far less effective.</w:t>
      </w:r>
      <w:r w:rsidRPr="006D4A5F">
        <w:rPr>
          <w:rStyle w:val="AERbody"/>
        </w:rPr>
        <w:t xml:space="preserve">  </w:t>
      </w:r>
    </w:p>
    <w:p w:rsidR="00770C24" w:rsidRPr="000F1CEB" w:rsidRDefault="00770C24" w:rsidP="00770C24">
      <w:pPr>
        <w:rPr>
          <w:rStyle w:val="AERbody"/>
        </w:rPr>
      </w:pPr>
      <w:r w:rsidRPr="000F1CEB">
        <w:rPr>
          <w:rStyle w:val="AERbody"/>
        </w:rPr>
        <w:t>Another relevant factor</w:t>
      </w:r>
      <w:r w:rsidRPr="00011FDE">
        <w:rPr>
          <w:rStyle w:val="AERsuperscript"/>
        </w:rPr>
        <w:footnoteReference w:id="92"/>
      </w:r>
      <w:r w:rsidRPr="00011FDE">
        <w:rPr>
          <w:rStyle w:val="AERsuperscript"/>
        </w:rPr>
        <w:t xml:space="preserve"> </w:t>
      </w:r>
      <w:r>
        <w:rPr>
          <w:rStyle w:val="AERbody"/>
        </w:rPr>
        <w:t>to be</w:t>
      </w:r>
      <w:r w:rsidRPr="000F1CEB">
        <w:rPr>
          <w:rStyle w:val="AERbody"/>
        </w:rPr>
        <w:t xml:space="preserve"> considered is creating a more transparent and accurate way of providing </w:t>
      </w:r>
      <w:r>
        <w:rPr>
          <w:rStyle w:val="AERbody"/>
        </w:rPr>
        <w:t>customer</w:t>
      </w:r>
      <w:r w:rsidRPr="000F1CEB">
        <w:rPr>
          <w:rStyle w:val="AERbody"/>
        </w:rPr>
        <w:t xml:space="preserve">s with costing information. </w:t>
      </w:r>
      <w:r>
        <w:rPr>
          <w:rStyle w:val="AERbody"/>
        </w:rPr>
        <w:t>Making metering</w:t>
      </w:r>
      <w:r w:rsidRPr="000F1CEB">
        <w:rPr>
          <w:rStyle w:val="AERbody"/>
        </w:rPr>
        <w:t xml:space="preserve"> costs </w:t>
      </w:r>
      <w:r>
        <w:rPr>
          <w:rStyle w:val="AERbody"/>
        </w:rPr>
        <w:t xml:space="preserve">transparent </w:t>
      </w:r>
      <w:r w:rsidRPr="000F1CEB">
        <w:rPr>
          <w:rStyle w:val="AERbody"/>
        </w:rPr>
        <w:t xml:space="preserve">under an alternative control classification would allow </w:t>
      </w:r>
      <w:r>
        <w:rPr>
          <w:rStyle w:val="AERbody"/>
        </w:rPr>
        <w:t>customer</w:t>
      </w:r>
      <w:r w:rsidRPr="000F1CEB">
        <w:rPr>
          <w:rStyle w:val="AERbody"/>
        </w:rPr>
        <w:t xml:space="preserve">s to make more informed choices on metering provision, maintenance, reading and data services. </w:t>
      </w:r>
    </w:p>
    <w:p w:rsidR="00770C24" w:rsidRPr="00657F0A" w:rsidRDefault="00770C24" w:rsidP="00657F0A">
      <w:pPr>
        <w:pStyle w:val="HeadingItalic"/>
        <w:rPr>
          <w:rStyle w:val="AERtextunderline"/>
          <w:rFonts w:eastAsia="Calibri"/>
          <w:u w:val="none"/>
        </w:rPr>
      </w:pPr>
      <w:r w:rsidRPr="00657F0A">
        <w:rPr>
          <w:rStyle w:val="AERtextunderline"/>
          <w:u w:val="none"/>
        </w:rPr>
        <w:t>Power of Choice review</w:t>
      </w:r>
    </w:p>
    <w:p w:rsidR="00770C24" w:rsidRPr="000F1CEB" w:rsidRDefault="00770C24" w:rsidP="00770C24">
      <w:pPr>
        <w:pStyle w:val="AERbodytext"/>
        <w:rPr>
          <w:rStyle w:val="AERbody"/>
        </w:rPr>
      </w:pPr>
      <w:r>
        <w:rPr>
          <w:rStyle w:val="AERbody"/>
        </w:rPr>
        <w:t>As set out above, we propose</w:t>
      </w:r>
      <w:r w:rsidRPr="000F1CEB">
        <w:rPr>
          <w:rStyle w:val="AERbody"/>
        </w:rPr>
        <w:t xml:space="preserve"> to unbundle </w:t>
      </w:r>
      <w:r>
        <w:rPr>
          <w:rStyle w:val="AERbody"/>
        </w:rPr>
        <w:t xml:space="preserve">type 5 and 6 </w:t>
      </w:r>
      <w:r w:rsidR="009B0A9A">
        <w:rPr>
          <w:rStyle w:val="AERbody"/>
        </w:rPr>
        <w:t xml:space="preserve">and smart </w:t>
      </w:r>
      <w:r w:rsidRPr="000F1CEB">
        <w:rPr>
          <w:rStyle w:val="AERbody"/>
        </w:rPr>
        <w:t xml:space="preserve">metering services from standard network charges, separate them into different categories of metering services and classify each </w:t>
      </w:r>
      <w:r>
        <w:rPr>
          <w:rStyle w:val="AERbody"/>
        </w:rPr>
        <w:t xml:space="preserve">component </w:t>
      </w:r>
      <w:r w:rsidRPr="000F1CEB">
        <w:rPr>
          <w:rStyle w:val="AERbody"/>
        </w:rPr>
        <w:t>as alternative control</w:t>
      </w:r>
      <w:r>
        <w:rPr>
          <w:rStyle w:val="AERbody"/>
        </w:rPr>
        <w:t>. Our preliminary approach</w:t>
      </w:r>
      <w:r w:rsidRPr="000F1CEB">
        <w:rPr>
          <w:rStyle w:val="AERbody"/>
        </w:rPr>
        <w:t xml:space="preserve"> is consistent with the Australian Energy Market Commission's (AEMC) final report for its Power of Choice Review.</w:t>
      </w:r>
      <w:r>
        <w:rPr>
          <w:rStyle w:val="FootnoteReference"/>
        </w:rPr>
        <w:footnoteReference w:id="93"/>
      </w:r>
      <w:r w:rsidRPr="000F1CEB">
        <w:rPr>
          <w:rStyle w:val="AERbody"/>
        </w:rPr>
        <w:t xml:space="preserve"> The AEMC designed its recommendations to promote the investment in, and use of, advanced metering infrastructure (‘smart’ metering). It considers there will be demand management benefits for </w:t>
      </w:r>
      <w:r>
        <w:rPr>
          <w:rStyle w:val="AERbody"/>
        </w:rPr>
        <w:t>customer</w:t>
      </w:r>
      <w:r w:rsidRPr="000F1CEB">
        <w:rPr>
          <w:rStyle w:val="AERbody"/>
        </w:rPr>
        <w:t>s, retailers and distributors.</w:t>
      </w:r>
    </w:p>
    <w:p w:rsidR="00770C24" w:rsidRPr="000F1CEB" w:rsidRDefault="00770C24" w:rsidP="00770C24">
      <w:pPr>
        <w:pStyle w:val="AERbodytext"/>
        <w:rPr>
          <w:rStyle w:val="AERbody"/>
        </w:rPr>
      </w:pPr>
      <w:r w:rsidRPr="000F1CEB">
        <w:rPr>
          <w:rStyle w:val="AERbody"/>
        </w:rPr>
        <w:t>The AEMC recommended metering costs be unbundled from shared network charges.</w:t>
      </w:r>
      <w:r>
        <w:rPr>
          <w:rStyle w:val="FootnoteReference"/>
        </w:rPr>
        <w:footnoteReference w:id="94"/>
      </w:r>
      <w:r w:rsidRPr="000F1CEB">
        <w:rPr>
          <w:rStyle w:val="AERbody"/>
        </w:rPr>
        <w:t xml:space="preserve"> Also, that provision of metering services be contestable. While </w:t>
      </w:r>
      <w:r>
        <w:rPr>
          <w:rStyle w:val="AERbody"/>
        </w:rPr>
        <w:t>we do not</w:t>
      </w:r>
      <w:r w:rsidRPr="000F1CEB">
        <w:rPr>
          <w:rStyle w:val="AERbody"/>
        </w:rPr>
        <w:t xml:space="preserve"> determine the contestability of meteri</w:t>
      </w:r>
      <w:r>
        <w:rPr>
          <w:rStyle w:val="AERbody"/>
        </w:rPr>
        <w:t>ng services, our preliminary approa</w:t>
      </w:r>
      <w:r w:rsidRPr="000F1CEB">
        <w:rPr>
          <w:rStyle w:val="AERbody"/>
        </w:rPr>
        <w:t xml:space="preserve">ch </w:t>
      </w:r>
      <w:r>
        <w:rPr>
          <w:rStyle w:val="AERbody"/>
        </w:rPr>
        <w:t xml:space="preserve">to classification </w:t>
      </w:r>
      <w:r w:rsidRPr="000F1CEB">
        <w:rPr>
          <w:rStyle w:val="AERbody"/>
        </w:rPr>
        <w:t>w</w:t>
      </w:r>
      <w:r>
        <w:rPr>
          <w:rStyle w:val="AERbody"/>
        </w:rPr>
        <w:t xml:space="preserve">ould </w:t>
      </w:r>
      <w:r w:rsidRPr="000F1CEB">
        <w:rPr>
          <w:rStyle w:val="AERbody"/>
        </w:rPr>
        <w:t>facilitate contestability</w:t>
      </w:r>
      <w:r>
        <w:rPr>
          <w:rStyle w:val="AERbody"/>
        </w:rPr>
        <w:t xml:space="preserve"> should legislative changes occur to open up the market</w:t>
      </w:r>
      <w:r w:rsidRPr="000F1CEB">
        <w:rPr>
          <w:rStyle w:val="AERbody"/>
        </w:rPr>
        <w:t>.</w:t>
      </w:r>
      <w:r w:rsidR="00836768">
        <w:rPr>
          <w:rStyle w:val="AERbody"/>
        </w:rPr>
        <w:t xml:space="preserve"> The AEMC has commenced consultation on rule changes to introduce competition in metering services.</w:t>
      </w:r>
      <w:r w:rsidR="00836768">
        <w:rPr>
          <w:rStyle w:val="FootnoteReference"/>
        </w:rPr>
        <w:footnoteReference w:id="95"/>
      </w:r>
    </w:p>
    <w:p w:rsidR="00F75AE4" w:rsidRDefault="00770C24" w:rsidP="00F75AE4">
      <w:pPr>
        <w:numPr>
          <w:ilvl w:val="0"/>
          <w:numId w:val="13"/>
        </w:numPr>
        <w:rPr>
          <w:rStyle w:val="AERbody"/>
        </w:rPr>
      </w:pPr>
      <w:r w:rsidRPr="000F1CEB">
        <w:rPr>
          <w:rStyle w:val="AERbody"/>
        </w:rPr>
        <w:t xml:space="preserve">Based on the analysis above, </w:t>
      </w:r>
      <w:r>
        <w:rPr>
          <w:rStyle w:val="AERbody"/>
        </w:rPr>
        <w:t xml:space="preserve">our preliminary position is that </w:t>
      </w:r>
      <w:r w:rsidRPr="000F1CEB">
        <w:rPr>
          <w:rStyle w:val="AERbody"/>
        </w:rPr>
        <w:t xml:space="preserve">it </w:t>
      </w:r>
      <w:r>
        <w:rPr>
          <w:rStyle w:val="AERbody"/>
        </w:rPr>
        <w:t xml:space="preserve">is </w:t>
      </w:r>
      <w:r w:rsidRPr="000F1CEB">
        <w:rPr>
          <w:rStyle w:val="AERbody"/>
        </w:rPr>
        <w:t xml:space="preserve">clearly more appropriate to classify type 5 and 6 </w:t>
      </w:r>
      <w:r w:rsidR="008A0367">
        <w:rPr>
          <w:rStyle w:val="AERbody"/>
        </w:rPr>
        <w:t xml:space="preserve">and smart </w:t>
      </w:r>
      <w:r w:rsidRPr="000F1CEB">
        <w:rPr>
          <w:rStyle w:val="AERbody"/>
        </w:rPr>
        <w:t>metering provision</w:t>
      </w:r>
      <w:r w:rsidR="008A0367">
        <w:rPr>
          <w:rStyle w:val="AERbody"/>
        </w:rPr>
        <w:t>,</w:t>
      </w:r>
      <w:r w:rsidR="006150A8">
        <w:rPr>
          <w:rStyle w:val="AERbody"/>
        </w:rPr>
        <w:t xml:space="preserve"> </w:t>
      </w:r>
      <w:r w:rsidRPr="000F1CEB">
        <w:rPr>
          <w:rStyle w:val="AERbody"/>
        </w:rPr>
        <w:t>maintenance</w:t>
      </w:r>
      <w:r w:rsidR="008A0367">
        <w:rPr>
          <w:rStyle w:val="AERbody"/>
        </w:rPr>
        <w:t>, reading</w:t>
      </w:r>
      <w:r w:rsidR="006150A8">
        <w:rPr>
          <w:rStyle w:val="AERbody"/>
        </w:rPr>
        <w:t xml:space="preserve"> and </w:t>
      </w:r>
      <w:r w:rsidRPr="000F1CEB">
        <w:rPr>
          <w:rStyle w:val="AERbody"/>
        </w:rPr>
        <w:t xml:space="preserve">data services as alternative </w:t>
      </w:r>
      <w:r w:rsidRPr="000F1CEB">
        <w:rPr>
          <w:rStyle w:val="AERbody"/>
        </w:rPr>
        <w:lastRenderedPageBreak/>
        <w:t>control services.</w:t>
      </w:r>
      <w:r w:rsidR="00EC4960">
        <w:rPr>
          <w:rStyle w:val="AERbody"/>
        </w:rPr>
        <w:t xml:space="preserve"> The AER may revise this position in its determination if necessary to achieve a position consistent with Rule changes adopted by the AEMC.</w:t>
      </w:r>
    </w:p>
    <w:p w:rsidR="00F75AE4" w:rsidRPr="00697D10" w:rsidRDefault="00F75AE4" w:rsidP="00BD2FBA">
      <w:pPr>
        <w:pStyle w:val="HeadingBoldBlue"/>
        <w:rPr>
          <w:rStyle w:val="AERbody"/>
          <w:color w:val="365F91" w:themeColor="accent1" w:themeShade="BF"/>
          <w:sz w:val="24"/>
        </w:rPr>
      </w:pPr>
      <w:r w:rsidRPr="00F75AE4">
        <w:rPr>
          <w:rStyle w:val="AERbody"/>
          <w:color w:val="365F91" w:themeColor="accent1" w:themeShade="BF"/>
          <w:sz w:val="24"/>
        </w:rPr>
        <w:t>Exit fees</w:t>
      </w:r>
    </w:p>
    <w:p w:rsidR="00F75AE4" w:rsidRDefault="009B0A9A" w:rsidP="00F75AE4">
      <w:pPr>
        <w:numPr>
          <w:ilvl w:val="0"/>
          <w:numId w:val="13"/>
        </w:numPr>
        <w:rPr>
          <w:rStyle w:val="AERbody"/>
        </w:rPr>
      </w:pPr>
      <w:r>
        <w:rPr>
          <w:rStyle w:val="AERbody"/>
        </w:rPr>
        <w:t xml:space="preserve">We welcome submissions on the form and scope of an exit fee. Our expectation is that a fee would be based on the unrecovered cost of existing regulated monopoly provided metering costs and IT systems that would be stranded if a customer elects to obtain a new, competitively supplied meter. As it would be a difficult task to identify the individual cost to be applied in an individual situation as a significant proportion of costs are common to all users we anticipate this will be an average charge. </w:t>
      </w:r>
    </w:p>
    <w:p w:rsidR="00A43CC1" w:rsidRPr="000F1CEB" w:rsidRDefault="00A43CC1" w:rsidP="00A43CC1">
      <w:pPr>
        <w:pStyle w:val="AERrevisionbox"/>
        <w:rPr>
          <w:rStyle w:val="AERbody"/>
        </w:rPr>
      </w:pPr>
      <w:r>
        <w:rPr>
          <w:rStyle w:val="AERbody"/>
        </w:rPr>
        <w:t>We welcome submissions on the form and scope of an exit fee.</w:t>
      </w:r>
      <w:r w:rsidRPr="00A43CC1">
        <w:rPr>
          <w:rStyle w:val="AERbody"/>
        </w:rPr>
        <w:t xml:space="preserve"> </w:t>
      </w:r>
      <w:r>
        <w:rPr>
          <w:rStyle w:val="AERbody"/>
        </w:rPr>
        <w:t>Submissions should address how this charge should be calculated.</w:t>
      </w:r>
    </w:p>
    <w:p w:rsidR="00770C24" w:rsidRPr="00657F0A" w:rsidRDefault="00770C24" w:rsidP="00657F0A">
      <w:pPr>
        <w:pStyle w:val="HeadingBoldBlue"/>
        <w:rPr>
          <w:rStyle w:val="AERtextorange"/>
          <w:color w:val="365F91" w:themeColor="accent1" w:themeShade="BF"/>
        </w:rPr>
      </w:pPr>
      <w:r w:rsidRPr="00657F0A">
        <w:rPr>
          <w:rStyle w:val="AERtextorange"/>
          <w:color w:val="365F91" w:themeColor="accent1" w:themeShade="BF"/>
        </w:rPr>
        <w:t>Type 7 metering services</w:t>
      </w:r>
    </w:p>
    <w:p w:rsidR="00770C24" w:rsidRPr="00EE4423" w:rsidRDefault="00770C24" w:rsidP="00770C24">
      <w:pPr>
        <w:numPr>
          <w:ilvl w:val="0"/>
          <w:numId w:val="13"/>
        </w:numPr>
        <w:rPr>
          <w:rStyle w:val="AERbody"/>
        </w:rPr>
      </w:pPr>
      <w:r w:rsidRPr="00EE4423">
        <w:rPr>
          <w:rStyle w:val="AERbody"/>
        </w:rPr>
        <w:t xml:space="preserve">A type 7 metering service is a metering installation that does not measure the flow of electricity. Examples include </w:t>
      </w:r>
      <w:r>
        <w:rPr>
          <w:rStyle w:val="AERbody"/>
        </w:rPr>
        <w:t xml:space="preserve">public </w:t>
      </w:r>
      <w:r w:rsidRPr="00EE4423">
        <w:rPr>
          <w:rStyle w:val="AERbody"/>
        </w:rPr>
        <w:t xml:space="preserve">lights or </w:t>
      </w:r>
      <w:r w:rsidR="00227351">
        <w:rPr>
          <w:rStyle w:val="AERbody"/>
        </w:rPr>
        <w:t xml:space="preserve">security </w:t>
      </w:r>
      <w:r w:rsidRPr="00EE4423">
        <w:rPr>
          <w:rStyle w:val="AERbody"/>
        </w:rPr>
        <w:t xml:space="preserve">lights. Distributors charge </w:t>
      </w:r>
      <w:r>
        <w:rPr>
          <w:rStyle w:val="AERbody"/>
        </w:rPr>
        <w:t>customer</w:t>
      </w:r>
      <w:r w:rsidRPr="00EE4423">
        <w:rPr>
          <w:rStyle w:val="AERbody"/>
        </w:rPr>
        <w:t xml:space="preserve">s, usually councils or government agencies, for unmetered connections by estimating the usage using standard data. For example, the distributor estimates </w:t>
      </w:r>
      <w:r>
        <w:rPr>
          <w:rStyle w:val="AERbody"/>
        </w:rPr>
        <w:t xml:space="preserve">public </w:t>
      </w:r>
      <w:r w:rsidRPr="00EE4423">
        <w:rPr>
          <w:rStyle w:val="AERbody"/>
        </w:rPr>
        <w:t xml:space="preserve">light usage using the total time the lights were on, the number of lights in operation, and the light bulb wattage. As only distributors estimate usage, only they can bill </w:t>
      </w:r>
      <w:r>
        <w:rPr>
          <w:rStyle w:val="AERbody"/>
        </w:rPr>
        <w:t>customer</w:t>
      </w:r>
      <w:r w:rsidRPr="00EE4423">
        <w:rPr>
          <w:rStyle w:val="AERbody"/>
        </w:rPr>
        <w:t xml:space="preserve">s.  </w:t>
      </w:r>
    </w:p>
    <w:p w:rsidR="00770C24" w:rsidRPr="00EE4423" w:rsidRDefault="00F75AE4" w:rsidP="00770C24">
      <w:pPr>
        <w:numPr>
          <w:ilvl w:val="0"/>
          <w:numId w:val="13"/>
        </w:numPr>
        <w:rPr>
          <w:rStyle w:val="AERbody"/>
        </w:rPr>
      </w:pPr>
      <w:r>
        <w:rPr>
          <w:rStyle w:val="AERbody"/>
        </w:rPr>
        <w:t>The Vic</w:t>
      </w:r>
      <w:r w:rsidR="00227351">
        <w:rPr>
          <w:rStyle w:val="AERbody"/>
        </w:rPr>
        <w:t>torian</w:t>
      </w:r>
      <w:r>
        <w:rPr>
          <w:rStyle w:val="AERbody"/>
        </w:rPr>
        <w:t xml:space="preserve"> distributors</w:t>
      </w:r>
      <w:r w:rsidR="00770C24" w:rsidRPr="00EE4423">
        <w:rPr>
          <w:rStyle w:val="AERbody"/>
        </w:rPr>
        <w:t xml:space="preserve"> are the monopoly providers of type 7 metering services. This is because as indicated above, the cost of providing type 7 metering services is nominal.</w:t>
      </w:r>
      <w:r w:rsidR="00770C24" w:rsidRPr="00D53C61">
        <w:rPr>
          <w:rStyle w:val="AERsuperscript"/>
        </w:rPr>
        <w:footnoteReference w:id="96"/>
      </w:r>
      <w:r w:rsidR="00770C24" w:rsidRPr="00EE4423">
        <w:rPr>
          <w:rStyle w:val="AERbody"/>
        </w:rPr>
        <w:t xml:space="preserve"> For this reason, an alternative provider has limited incentive to enter the market for the provision of t</w:t>
      </w:r>
      <w:r w:rsidR="00770C24">
        <w:rPr>
          <w:rStyle w:val="AERbody"/>
        </w:rPr>
        <w:t xml:space="preserve">ype 7 metering services. </w:t>
      </w:r>
      <w:r w:rsidR="00227351">
        <w:rPr>
          <w:rStyle w:val="AERbody"/>
        </w:rPr>
        <w:t xml:space="preserve">The Victorian </w:t>
      </w:r>
      <w:r w:rsidR="00770C24" w:rsidRPr="00EE4423">
        <w:rPr>
          <w:rStyle w:val="AERbody"/>
        </w:rPr>
        <w:t>distributors are already performing data management services for type 5 and 6 meters. Providing type 7 metering services is</w:t>
      </w:r>
      <w:r w:rsidR="00770C24">
        <w:rPr>
          <w:rStyle w:val="AERbody"/>
        </w:rPr>
        <w:t xml:space="preserve"> a logical extension for </w:t>
      </w:r>
      <w:r w:rsidR="00227351">
        <w:rPr>
          <w:rStyle w:val="AERbody"/>
        </w:rPr>
        <w:t xml:space="preserve">the Victorian </w:t>
      </w:r>
      <w:r w:rsidR="00770C24" w:rsidRPr="00EE4423">
        <w:rPr>
          <w:rStyle w:val="AERbody"/>
        </w:rPr>
        <w:t xml:space="preserve">distributors to undertake. </w:t>
      </w:r>
    </w:p>
    <w:p w:rsidR="00770C24" w:rsidRDefault="00770C24" w:rsidP="00770C24">
      <w:pPr>
        <w:numPr>
          <w:ilvl w:val="0"/>
          <w:numId w:val="13"/>
        </w:numPr>
        <w:rPr>
          <w:rStyle w:val="AERbody"/>
        </w:rPr>
      </w:pPr>
      <w:r w:rsidRPr="00EE4423">
        <w:rPr>
          <w:rStyle w:val="AERbody"/>
        </w:rPr>
        <w:t>We consider that there is no potential to develop competition in the provision of type 7 metering services.</w:t>
      </w:r>
      <w:r>
        <w:rPr>
          <w:rStyle w:val="FootnoteReference"/>
        </w:rPr>
        <w:footnoteReference w:id="97"/>
      </w:r>
      <w:r w:rsidRPr="00EE4423">
        <w:rPr>
          <w:rStyle w:val="AERbody"/>
        </w:rPr>
        <w:t xml:space="preserve"> Therefore, we intend to classify type 7 metering services as direct control services</w:t>
      </w:r>
      <w:r>
        <w:rPr>
          <w:rStyle w:val="AERbody"/>
        </w:rPr>
        <w:t>. In terms of our</w:t>
      </w:r>
      <w:r w:rsidRPr="00EE4423">
        <w:rPr>
          <w:rStyle w:val="AERbody"/>
        </w:rPr>
        <w:t xml:space="preserve"> further</w:t>
      </w:r>
      <w:r>
        <w:rPr>
          <w:rStyle w:val="AERbody"/>
        </w:rPr>
        <w:t xml:space="preserve"> classification </w:t>
      </w:r>
      <w:r w:rsidRPr="00EE4423">
        <w:rPr>
          <w:rStyle w:val="AERbody"/>
        </w:rPr>
        <w:t xml:space="preserve">as </w:t>
      </w:r>
      <w:r>
        <w:rPr>
          <w:rStyle w:val="AERbody"/>
        </w:rPr>
        <w:t xml:space="preserve">either </w:t>
      </w:r>
      <w:r w:rsidRPr="00EE4423">
        <w:rPr>
          <w:rStyle w:val="AERbody"/>
        </w:rPr>
        <w:t xml:space="preserve">standard control </w:t>
      </w:r>
      <w:r>
        <w:rPr>
          <w:rStyle w:val="AERbody"/>
        </w:rPr>
        <w:t xml:space="preserve">or alternative control </w:t>
      </w:r>
      <w:r w:rsidRPr="00EE4423">
        <w:rPr>
          <w:rStyle w:val="AERbody"/>
        </w:rPr>
        <w:t>services</w:t>
      </w:r>
      <w:r>
        <w:rPr>
          <w:rStyle w:val="AERbody"/>
        </w:rPr>
        <w:t>, we can see no reason to change from the current classification—standard control. Any costs associated with type 7 metering services are minimal. As such, we consider a different approach to the current classification is not clearly more appropriate.</w:t>
      </w:r>
      <w:r>
        <w:rPr>
          <w:rStyle w:val="FootnoteReference"/>
        </w:rPr>
        <w:footnoteReference w:id="98"/>
      </w:r>
      <w:r>
        <w:rPr>
          <w:rStyle w:val="AERbody"/>
        </w:rPr>
        <w:t xml:space="preserve"> Therefore, our preliminary position is to continue to classify type 7 metering services as standard control services.</w:t>
      </w:r>
    </w:p>
    <w:p w:rsidR="00770C24" w:rsidRPr="00657F0A" w:rsidRDefault="00770C24" w:rsidP="00657F0A">
      <w:pPr>
        <w:pStyle w:val="HeadingBoldBlue"/>
        <w:rPr>
          <w:rStyle w:val="AERbody"/>
          <w:color w:val="365F91" w:themeColor="accent1" w:themeShade="BF"/>
          <w:sz w:val="24"/>
        </w:rPr>
      </w:pPr>
      <w:r w:rsidRPr="00657F0A">
        <w:rPr>
          <w:rStyle w:val="AERbody"/>
          <w:color w:val="365F91" w:themeColor="accent1" w:themeShade="BF"/>
          <w:sz w:val="24"/>
        </w:rPr>
        <w:t xml:space="preserve">Auxiliary metering services </w:t>
      </w:r>
    </w:p>
    <w:p w:rsidR="00770C24" w:rsidRDefault="00227351" w:rsidP="00770C24">
      <w:pPr>
        <w:pStyle w:val="AERbodytext"/>
        <w:rPr>
          <w:rStyle w:val="AERbody"/>
        </w:rPr>
      </w:pPr>
      <w:r>
        <w:rPr>
          <w:rStyle w:val="AERbody"/>
        </w:rPr>
        <w:t xml:space="preserve">The Victorian </w:t>
      </w:r>
      <w:r w:rsidR="00504001">
        <w:rPr>
          <w:rStyle w:val="AERbody"/>
        </w:rPr>
        <w:t>distributors</w:t>
      </w:r>
      <w:r w:rsidR="00770C24">
        <w:rPr>
          <w:rStyle w:val="AERbody"/>
        </w:rPr>
        <w:t xml:space="preserve"> also provide a range of metering related services to customers on request. Examples include customer requested meter tests, additional meter reads or equipment alterations. We propose to group these metering services together as 'auxiliary metering services'. </w:t>
      </w:r>
    </w:p>
    <w:p w:rsidR="00770C24" w:rsidRDefault="00770C24" w:rsidP="00770C24">
      <w:pPr>
        <w:numPr>
          <w:ilvl w:val="0"/>
          <w:numId w:val="13"/>
        </w:numPr>
        <w:rPr>
          <w:rStyle w:val="AERbody"/>
        </w:rPr>
      </w:pPr>
      <w:r>
        <w:rPr>
          <w:rStyle w:val="AERbody"/>
        </w:rPr>
        <w:t>We think contestability in auxiliary metering services is limited by the monopoly nature of the provision of type 5 and 6 metering services, to which most auxiliary metering services relate.</w:t>
      </w:r>
      <w:r>
        <w:rPr>
          <w:rStyle w:val="FootnoteReference"/>
        </w:rPr>
        <w:footnoteReference w:id="99"/>
      </w:r>
      <w:r>
        <w:rPr>
          <w:rStyle w:val="AERbody"/>
        </w:rPr>
        <w:t xml:space="preserve"> For example, only </w:t>
      </w:r>
      <w:r w:rsidR="00227351">
        <w:rPr>
          <w:rStyle w:val="AERbody"/>
        </w:rPr>
        <w:t xml:space="preserve">the Victorian </w:t>
      </w:r>
      <w:r w:rsidR="00504001">
        <w:rPr>
          <w:rStyle w:val="AERbody"/>
        </w:rPr>
        <w:t>distributors</w:t>
      </w:r>
      <w:r>
        <w:rPr>
          <w:rStyle w:val="AERbody"/>
        </w:rPr>
        <w:t xml:space="preserve"> can perform an additional meter read as the monopoly provider of type </w:t>
      </w:r>
      <w:r>
        <w:rPr>
          <w:rStyle w:val="AERbody"/>
        </w:rPr>
        <w:lastRenderedPageBreak/>
        <w:t>5 and 6 meter reading services.</w:t>
      </w:r>
      <w:r>
        <w:rPr>
          <w:rStyle w:val="FootnoteReference"/>
        </w:rPr>
        <w:footnoteReference w:id="100"/>
      </w:r>
      <w:r>
        <w:rPr>
          <w:rStyle w:val="AERbody"/>
        </w:rPr>
        <w:t xml:space="preserve"> For this reason, we propose to classify auxiliary metering services as direct control services. </w:t>
      </w:r>
    </w:p>
    <w:p w:rsidR="00770C24" w:rsidRDefault="00770C24" w:rsidP="00770C24">
      <w:pPr>
        <w:numPr>
          <w:ilvl w:val="0"/>
          <w:numId w:val="13"/>
        </w:numPr>
        <w:rPr>
          <w:rStyle w:val="AERbody"/>
        </w:rPr>
      </w:pPr>
      <w:r>
        <w:rPr>
          <w:rStyle w:val="AERbody"/>
        </w:rPr>
        <w:t xml:space="preserve">Having decided to apply a direct control classification, we must further classify auxiliary metering services as either standard control or alternative control. Because </w:t>
      </w:r>
      <w:r w:rsidR="00227351">
        <w:rPr>
          <w:rStyle w:val="AERbody"/>
        </w:rPr>
        <w:t xml:space="preserve">the Victorian </w:t>
      </w:r>
      <w:r>
        <w:rPr>
          <w:rStyle w:val="AERbody"/>
        </w:rPr>
        <w:t>distributors provide auxiliary metering services to specific customers, we propose to classify them as alternative control services.</w:t>
      </w:r>
      <w:r>
        <w:rPr>
          <w:rStyle w:val="FootnoteReference"/>
        </w:rPr>
        <w:footnoteReference w:id="101"/>
      </w:r>
      <w:r>
        <w:rPr>
          <w:rStyle w:val="AERbody"/>
        </w:rPr>
        <w:t xml:space="preserve"> </w:t>
      </w:r>
    </w:p>
    <w:p w:rsidR="00770C24" w:rsidRDefault="00770C24" w:rsidP="00770C24">
      <w:pPr>
        <w:pStyle w:val="AERbodytext"/>
        <w:rPr>
          <w:rStyle w:val="AERbody"/>
        </w:rPr>
      </w:pPr>
      <w:r>
        <w:rPr>
          <w:rStyle w:val="AERbody"/>
        </w:rPr>
        <w:t>Under our preliminary approach, customers using auxiliary metering services will pay for the services they use. To the extent that</w:t>
      </w:r>
      <w:r w:rsidRPr="00677CAE">
        <w:rPr>
          <w:rStyle w:val="AERbody"/>
        </w:rPr>
        <w:t xml:space="preserve"> the provision of auxiliary metering services </w:t>
      </w:r>
      <w:r>
        <w:rPr>
          <w:rStyle w:val="AERbody"/>
        </w:rPr>
        <w:t xml:space="preserve">is contestable, or may become contestable, our preliminary approach would facilitate this. </w:t>
      </w:r>
    </w:p>
    <w:p w:rsidR="00770C24" w:rsidRPr="00657F0A" w:rsidRDefault="00770C24" w:rsidP="00657F0A">
      <w:pPr>
        <w:pStyle w:val="HeadingBoldBlue"/>
        <w:rPr>
          <w:rStyle w:val="AERbody"/>
          <w:color w:val="365F91" w:themeColor="accent1" w:themeShade="BF"/>
          <w:sz w:val="24"/>
        </w:rPr>
      </w:pPr>
      <w:r w:rsidRPr="00657F0A">
        <w:rPr>
          <w:rStyle w:val="AERbody"/>
          <w:color w:val="365F91" w:themeColor="accent1" w:themeShade="BF"/>
          <w:sz w:val="24"/>
        </w:rPr>
        <w:t>Metering classification summary</w:t>
      </w:r>
    </w:p>
    <w:p w:rsidR="00770C24" w:rsidRDefault="00770C24" w:rsidP="00770C24">
      <w:pPr>
        <w:numPr>
          <w:ilvl w:val="0"/>
          <w:numId w:val="13"/>
        </w:numPr>
        <w:rPr>
          <w:rStyle w:val="AERbody"/>
        </w:rPr>
      </w:pPr>
      <w:r w:rsidRPr="00EE4423">
        <w:rPr>
          <w:rStyle w:val="AERbody"/>
        </w:rPr>
        <w:t xml:space="preserve">On the basis of our </w:t>
      </w:r>
      <w:r>
        <w:rPr>
          <w:rStyle w:val="AERbody"/>
        </w:rPr>
        <w:t xml:space="preserve">above </w:t>
      </w:r>
      <w:r w:rsidRPr="00EE4423">
        <w:rPr>
          <w:rStyle w:val="AERbody"/>
        </w:rPr>
        <w:t>analysis</w:t>
      </w:r>
      <w:r>
        <w:rPr>
          <w:rStyle w:val="AERbody"/>
        </w:rPr>
        <w:t xml:space="preserve">, </w:t>
      </w:r>
      <w:r w:rsidRPr="00EE4423">
        <w:rPr>
          <w:rStyle w:val="AERbody"/>
        </w:rPr>
        <w:t xml:space="preserve">our </w:t>
      </w:r>
      <w:r>
        <w:rPr>
          <w:rStyle w:val="AERbody"/>
        </w:rPr>
        <w:t xml:space="preserve">preliminary position </w:t>
      </w:r>
      <w:r w:rsidRPr="00EE4423">
        <w:rPr>
          <w:rStyle w:val="AERbody"/>
        </w:rPr>
        <w:t>is to classi</w:t>
      </w:r>
      <w:r>
        <w:rPr>
          <w:rStyle w:val="AERbody"/>
        </w:rPr>
        <w:t>fy metering serv</w:t>
      </w:r>
      <w:r w:rsidR="00657F0A">
        <w:rPr>
          <w:rStyle w:val="AERbody"/>
        </w:rPr>
        <w:t xml:space="preserve">ices as summarised in table </w:t>
      </w:r>
      <w:r w:rsidR="00295919">
        <w:rPr>
          <w:rStyle w:val="AERbody"/>
        </w:rPr>
        <w:t>5</w:t>
      </w:r>
      <w:r>
        <w:rPr>
          <w:rStyle w:val="AERbody"/>
        </w:rPr>
        <w:t>.</w:t>
      </w:r>
    </w:p>
    <w:p w:rsidR="00770C24" w:rsidRDefault="00770C24" w:rsidP="00657F0A">
      <w:pPr>
        <w:pStyle w:val="AERbodytext"/>
        <w:rPr>
          <w:rStyle w:val="AERtextbold"/>
        </w:rPr>
      </w:pPr>
      <w:r w:rsidRPr="00657F0A">
        <w:rPr>
          <w:rStyle w:val="AERtextbold"/>
        </w:rPr>
        <w:t xml:space="preserve">Table </w:t>
      </w:r>
      <w:r w:rsidR="00295919">
        <w:rPr>
          <w:rStyle w:val="AERtextbold"/>
        </w:rPr>
        <w:t>5</w:t>
      </w:r>
      <w:r w:rsidRPr="00657F0A">
        <w:rPr>
          <w:rStyle w:val="AERtextbold"/>
        </w:rPr>
        <w:t xml:space="preserve">: AER's preliminary </w:t>
      </w:r>
      <w:r w:rsidR="00644B5D">
        <w:rPr>
          <w:rStyle w:val="AERtextbold"/>
        </w:rPr>
        <w:t>position</w:t>
      </w:r>
      <w:r w:rsidRPr="00657F0A">
        <w:rPr>
          <w:rStyle w:val="AERtextbold"/>
        </w:rPr>
        <w:t xml:space="preserve"> to classifying metering services</w:t>
      </w:r>
    </w:p>
    <w:tbl>
      <w:tblPr>
        <w:tblStyle w:val="AERtable-text"/>
        <w:tblW w:w="0" w:type="auto"/>
        <w:tblLook w:val="04A0" w:firstRow="1" w:lastRow="0" w:firstColumn="1" w:lastColumn="0" w:noHBand="0" w:noVBand="1"/>
      </w:tblPr>
      <w:tblGrid>
        <w:gridCol w:w="5211"/>
        <w:gridCol w:w="3402"/>
        <w:gridCol w:w="629"/>
      </w:tblGrid>
      <w:tr w:rsidR="001A5F4C" w:rsidTr="001A5F4C">
        <w:trPr>
          <w:gridAfter w:val="1"/>
          <w:cnfStyle w:val="100000000000" w:firstRow="1" w:lastRow="0" w:firstColumn="0" w:lastColumn="0" w:oddVBand="0" w:evenVBand="0" w:oddHBand="0" w:evenHBand="0" w:firstRowFirstColumn="0" w:firstRowLastColumn="0" w:lastRowFirstColumn="0" w:lastRowLastColumn="0"/>
          <w:wAfter w:w="629" w:type="dxa"/>
        </w:trPr>
        <w:tc>
          <w:tcPr>
            <w:tcW w:w="5211" w:type="dxa"/>
          </w:tcPr>
          <w:p w:rsidR="001A5F4C" w:rsidRDefault="001A5F4C" w:rsidP="00644B5D">
            <w:pPr>
              <w:pStyle w:val="AERbodytext"/>
              <w:numPr>
                <w:ilvl w:val="0"/>
                <w:numId w:val="0"/>
              </w:numPr>
              <w:rPr>
                <w:rStyle w:val="AERtextbold"/>
              </w:rPr>
            </w:pPr>
            <w:r>
              <w:rPr>
                <w:rStyle w:val="AERtextbold"/>
              </w:rPr>
              <w:t xml:space="preserve">AER's preliminary </w:t>
            </w:r>
            <w:r w:rsidR="00644B5D">
              <w:rPr>
                <w:rStyle w:val="AERtextbold"/>
              </w:rPr>
              <w:t>position</w:t>
            </w:r>
          </w:p>
        </w:tc>
        <w:tc>
          <w:tcPr>
            <w:tcW w:w="3402" w:type="dxa"/>
          </w:tcPr>
          <w:p w:rsidR="001A5F4C" w:rsidRDefault="001A5F4C" w:rsidP="001A5F4C">
            <w:pPr>
              <w:pStyle w:val="AERbodytext"/>
              <w:numPr>
                <w:ilvl w:val="0"/>
                <w:numId w:val="0"/>
              </w:numPr>
              <w:rPr>
                <w:rStyle w:val="AERtextbold"/>
              </w:rPr>
            </w:pPr>
          </w:p>
        </w:tc>
      </w:tr>
      <w:tr w:rsidR="001A5F4C" w:rsidTr="001A5F4C">
        <w:tc>
          <w:tcPr>
            <w:tcW w:w="5211" w:type="dxa"/>
          </w:tcPr>
          <w:p w:rsidR="001A5F4C" w:rsidRDefault="001A5F4C" w:rsidP="001A5F4C">
            <w:pPr>
              <w:pStyle w:val="AERbodytext"/>
              <w:numPr>
                <w:ilvl w:val="0"/>
                <w:numId w:val="0"/>
              </w:numPr>
              <w:rPr>
                <w:rStyle w:val="AERtextbold"/>
              </w:rPr>
            </w:pPr>
            <w:r>
              <w:rPr>
                <w:rStyle w:val="AERtextbold"/>
              </w:rPr>
              <w:t>Service</w:t>
            </w:r>
          </w:p>
        </w:tc>
        <w:tc>
          <w:tcPr>
            <w:tcW w:w="4031" w:type="dxa"/>
            <w:gridSpan w:val="2"/>
          </w:tcPr>
          <w:p w:rsidR="001A5F4C" w:rsidRDefault="001A5F4C" w:rsidP="001A5F4C">
            <w:pPr>
              <w:pStyle w:val="AERbodytext"/>
              <w:numPr>
                <w:ilvl w:val="0"/>
                <w:numId w:val="0"/>
              </w:numPr>
              <w:rPr>
                <w:rStyle w:val="AERtextbold"/>
              </w:rPr>
            </w:pPr>
            <w:r>
              <w:rPr>
                <w:rStyle w:val="AERtextbold"/>
              </w:rPr>
              <w:t>Preliminary classification</w:t>
            </w:r>
          </w:p>
        </w:tc>
      </w:tr>
      <w:tr w:rsidR="001A5F4C" w:rsidRPr="001A5F4C" w:rsidTr="001A5F4C">
        <w:trPr>
          <w:gridAfter w:val="1"/>
          <w:cnfStyle w:val="000000010000" w:firstRow="0" w:lastRow="0" w:firstColumn="0" w:lastColumn="0" w:oddVBand="0" w:evenVBand="0" w:oddHBand="0" w:evenHBand="1" w:firstRowFirstColumn="0" w:firstRowLastColumn="0" w:lastRowFirstColumn="0" w:lastRowLastColumn="0"/>
          <w:wAfter w:w="629" w:type="dxa"/>
          <w:trHeight w:val="513"/>
        </w:trPr>
        <w:tc>
          <w:tcPr>
            <w:tcW w:w="5211" w:type="dxa"/>
          </w:tcPr>
          <w:p w:rsidR="001A5F4C" w:rsidRPr="00504001" w:rsidRDefault="00293D8F" w:rsidP="004E28D8">
            <w:pPr>
              <w:pStyle w:val="AERtabletextleft"/>
              <w:rPr>
                <w:rStyle w:val="AERbody"/>
                <w:sz w:val="16"/>
              </w:rPr>
            </w:pPr>
            <w:r w:rsidRPr="00504001">
              <w:rPr>
                <w:rStyle w:val="AERbody"/>
                <w:sz w:val="16"/>
              </w:rPr>
              <w:t>Type 1 to 4 metering services</w:t>
            </w:r>
            <w:r w:rsidR="00392581">
              <w:rPr>
                <w:rStyle w:val="AERbody"/>
              </w:rPr>
              <w:t xml:space="preserve"> </w:t>
            </w:r>
            <w:r w:rsidR="00392581" w:rsidRPr="004E28D8">
              <w:rPr>
                <w:rStyle w:val="AERbody"/>
                <w:sz w:val="16"/>
              </w:rPr>
              <w:t>(excluding smart meters)</w:t>
            </w:r>
          </w:p>
        </w:tc>
        <w:tc>
          <w:tcPr>
            <w:tcW w:w="3402" w:type="dxa"/>
          </w:tcPr>
          <w:p w:rsidR="001A5F4C" w:rsidRPr="00504001" w:rsidRDefault="001A5F4C" w:rsidP="00504001">
            <w:pPr>
              <w:pStyle w:val="AERtabletextleft"/>
              <w:rPr>
                <w:rStyle w:val="AERbody"/>
                <w:sz w:val="16"/>
              </w:rPr>
            </w:pPr>
            <w:r w:rsidRPr="00504001">
              <w:rPr>
                <w:rStyle w:val="AERbody"/>
                <w:sz w:val="16"/>
              </w:rPr>
              <w:t>Unclassified</w:t>
            </w:r>
          </w:p>
        </w:tc>
      </w:tr>
      <w:tr w:rsidR="001A5F4C" w:rsidRPr="001A5F4C" w:rsidTr="001A5F4C">
        <w:trPr>
          <w:gridAfter w:val="1"/>
          <w:wAfter w:w="629" w:type="dxa"/>
          <w:trHeight w:val="634"/>
        </w:trPr>
        <w:tc>
          <w:tcPr>
            <w:tcW w:w="5211" w:type="dxa"/>
          </w:tcPr>
          <w:p w:rsidR="001A5F4C" w:rsidRPr="00504001" w:rsidRDefault="001A5F4C" w:rsidP="00504001">
            <w:pPr>
              <w:pStyle w:val="AERtabletextleft"/>
              <w:rPr>
                <w:rStyle w:val="AERbody"/>
                <w:sz w:val="16"/>
              </w:rPr>
            </w:pPr>
            <w:r w:rsidRPr="00504001">
              <w:rPr>
                <w:rStyle w:val="AERbody"/>
                <w:sz w:val="16"/>
              </w:rPr>
              <w:t xml:space="preserve">Type 5 </w:t>
            </w:r>
            <w:r w:rsidR="00504001" w:rsidRPr="00504001">
              <w:rPr>
                <w:rStyle w:val="AERbody"/>
                <w:sz w:val="16"/>
              </w:rPr>
              <w:t>to</w:t>
            </w:r>
            <w:r w:rsidRPr="00504001">
              <w:rPr>
                <w:rStyle w:val="AERbody"/>
                <w:sz w:val="16"/>
              </w:rPr>
              <w:t xml:space="preserve"> 6 metering services</w:t>
            </w:r>
            <w:r w:rsidR="00504001" w:rsidRPr="00504001">
              <w:rPr>
                <w:rStyle w:val="AERbody"/>
                <w:sz w:val="16"/>
              </w:rPr>
              <w:t xml:space="preserve"> - before AMI expiry</w:t>
            </w:r>
          </w:p>
        </w:tc>
        <w:tc>
          <w:tcPr>
            <w:tcW w:w="3402" w:type="dxa"/>
          </w:tcPr>
          <w:p w:rsidR="001A5F4C" w:rsidRPr="00504001" w:rsidRDefault="00504001" w:rsidP="00504001">
            <w:pPr>
              <w:pStyle w:val="AERtabletextleft"/>
              <w:rPr>
                <w:rStyle w:val="AERbody"/>
                <w:sz w:val="16"/>
              </w:rPr>
            </w:pPr>
            <w:r w:rsidRPr="00504001">
              <w:rPr>
                <w:rStyle w:val="AERbody"/>
                <w:sz w:val="16"/>
              </w:rPr>
              <w:t>Unclassified</w:t>
            </w:r>
          </w:p>
        </w:tc>
      </w:tr>
      <w:tr w:rsidR="001A5F4C" w:rsidRPr="001A5F4C" w:rsidTr="001A5F4C">
        <w:trPr>
          <w:gridAfter w:val="1"/>
          <w:cnfStyle w:val="000000010000" w:firstRow="0" w:lastRow="0" w:firstColumn="0" w:lastColumn="0" w:oddVBand="0" w:evenVBand="0" w:oddHBand="0" w:evenHBand="1" w:firstRowFirstColumn="0" w:firstRowLastColumn="0" w:lastRowFirstColumn="0" w:lastRowLastColumn="0"/>
          <w:wAfter w:w="629" w:type="dxa"/>
          <w:trHeight w:val="417"/>
        </w:trPr>
        <w:tc>
          <w:tcPr>
            <w:tcW w:w="5211" w:type="dxa"/>
          </w:tcPr>
          <w:p w:rsidR="001A5F4C" w:rsidRPr="00504001" w:rsidRDefault="00504001" w:rsidP="008A0367">
            <w:pPr>
              <w:pStyle w:val="AERtabletextleft"/>
              <w:rPr>
                <w:rStyle w:val="AERbody"/>
                <w:sz w:val="16"/>
              </w:rPr>
            </w:pPr>
            <w:r w:rsidRPr="008A0367">
              <w:rPr>
                <w:rStyle w:val="AERbody"/>
                <w:sz w:val="16"/>
              </w:rPr>
              <w:t xml:space="preserve">Type 5 to 6 </w:t>
            </w:r>
            <w:r w:rsidR="008A0367" w:rsidRPr="008A0367">
              <w:rPr>
                <w:rStyle w:val="AERbody"/>
                <w:sz w:val="16"/>
              </w:rPr>
              <w:t xml:space="preserve">and smart </w:t>
            </w:r>
            <w:r w:rsidRPr="008A0367">
              <w:rPr>
                <w:rStyle w:val="AERbody"/>
                <w:sz w:val="16"/>
              </w:rPr>
              <w:t>metering services</w:t>
            </w:r>
            <w:r w:rsidRPr="00504001">
              <w:rPr>
                <w:rStyle w:val="AERbody"/>
                <w:sz w:val="16"/>
              </w:rPr>
              <w:t xml:space="preserve"> - after AMI expiry</w:t>
            </w:r>
          </w:p>
        </w:tc>
        <w:tc>
          <w:tcPr>
            <w:tcW w:w="3402" w:type="dxa"/>
          </w:tcPr>
          <w:p w:rsidR="001A5F4C" w:rsidRPr="00504001" w:rsidRDefault="001A5F4C" w:rsidP="00504001">
            <w:pPr>
              <w:pStyle w:val="AERtabletextleft"/>
              <w:rPr>
                <w:rStyle w:val="AERbody"/>
                <w:sz w:val="16"/>
              </w:rPr>
            </w:pPr>
            <w:r w:rsidRPr="00504001">
              <w:rPr>
                <w:rStyle w:val="AERbody"/>
                <w:sz w:val="16"/>
              </w:rPr>
              <w:t>Alternative control</w:t>
            </w:r>
          </w:p>
        </w:tc>
      </w:tr>
      <w:tr w:rsidR="001A5F4C" w:rsidRPr="001A5F4C" w:rsidTr="001A5F4C">
        <w:trPr>
          <w:gridAfter w:val="1"/>
          <w:wAfter w:w="629" w:type="dxa"/>
          <w:trHeight w:val="420"/>
        </w:trPr>
        <w:tc>
          <w:tcPr>
            <w:tcW w:w="5211" w:type="dxa"/>
          </w:tcPr>
          <w:p w:rsidR="001A5F4C" w:rsidRPr="00504001" w:rsidRDefault="001A5F4C" w:rsidP="00504001">
            <w:pPr>
              <w:pStyle w:val="AERtabletextleft"/>
              <w:rPr>
                <w:rStyle w:val="AERbody"/>
                <w:sz w:val="16"/>
              </w:rPr>
            </w:pPr>
            <w:r w:rsidRPr="00504001">
              <w:rPr>
                <w:rStyle w:val="AERbody"/>
                <w:sz w:val="16"/>
              </w:rPr>
              <w:t>Metering provision, maintenance, reading and data services</w:t>
            </w:r>
          </w:p>
        </w:tc>
        <w:tc>
          <w:tcPr>
            <w:tcW w:w="3402" w:type="dxa"/>
          </w:tcPr>
          <w:p w:rsidR="001A5F4C" w:rsidRPr="00504001" w:rsidRDefault="001A5F4C" w:rsidP="00504001">
            <w:pPr>
              <w:pStyle w:val="AERtabletextleft"/>
              <w:rPr>
                <w:rStyle w:val="AERbody"/>
                <w:sz w:val="16"/>
              </w:rPr>
            </w:pPr>
            <w:r w:rsidRPr="00504001">
              <w:rPr>
                <w:rStyle w:val="AERbody"/>
                <w:sz w:val="16"/>
              </w:rPr>
              <w:t>Alternative control</w:t>
            </w:r>
          </w:p>
        </w:tc>
      </w:tr>
      <w:tr w:rsidR="001A5F4C" w:rsidRPr="001A5F4C" w:rsidTr="001A5F4C">
        <w:trPr>
          <w:gridAfter w:val="1"/>
          <w:cnfStyle w:val="000000010000" w:firstRow="0" w:lastRow="0" w:firstColumn="0" w:lastColumn="0" w:oddVBand="0" w:evenVBand="0" w:oddHBand="0" w:evenHBand="1" w:firstRowFirstColumn="0" w:firstRowLastColumn="0" w:lastRowFirstColumn="0" w:lastRowLastColumn="0"/>
          <w:wAfter w:w="629" w:type="dxa"/>
          <w:trHeight w:val="567"/>
        </w:trPr>
        <w:tc>
          <w:tcPr>
            <w:tcW w:w="5211" w:type="dxa"/>
          </w:tcPr>
          <w:p w:rsidR="001A5F4C" w:rsidRPr="00504001" w:rsidRDefault="00504001" w:rsidP="00504001">
            <w:pPr>
              <w:pStyle w:val="AERtabletextleft"/>
              <w:rPr>
                <w:rStyle w:val="AERbody"/>
                <w:sz w:val="16"/>
              </w:rPr>
            </w:pPr>
            <w:r w:rsidRPr="00504001">
              <w:rPr>
                <w:rStyle w:val="AERbody"/>
                <w:sz w:val="16"/>
              </w:rPr>
              <w:t>Type 7 metering services</w:t>
            </w:r>
          </w:p>
        </w:tc>
        <w:tc>
          <w:tcPr>
            <w:tcW w:w="3402" w:type="dxa"/>
          </w:tcPr>
          <w:p w:rsidR="001A5F4C" w:rsidRPr="00504001" w:rsidRDefault="001A5F4C" w:rsidP="00504001">
            <w:pPr>
              <w:pStyle w:val="AERtabletextleft"/>
              <w:rPr>
                <w:rStyle w:val="AERbody"/>
                <w:sz w:val="16"/>
              </w:rPr>
            </w:pPr>
            <w:r w:rsidRPr="00504001">
              <w:rPr>
                <w:rStyle w:val="AERbody"/>
                <w:sz w:val="16"/>
              </w:rPr>
              <w:t>Standard control</w:t>
            </w:r>
          </w:p>
        </w:tc>
      </w:tr>
      <w:tr w:rsidR="001A5F4C" w:rsidRPr="001A5F4C" w:rsidTr="001A5F4C">
        <w:trPr>
          <w:gridAfter w:val="1"/>
          <w:wAfter w:w="629" w:type="dxa"/>
          <w:trHeight w:val="567"/>
        </w:trPr>
        <w:tc>
          <w:tcPr>
            <w:tcW w:w="5211" w:type="dxa"/>
          </w:tcPr>
          <w:p w:rsidR="001A5F4C" w:rsidRPr="00504001" w:rsidRDefault="001A5F4C" w:rsidP="00DF67EE">
            <w:pPr>
              <w:pStyle w:val="AERtabletextleft"/>
              <w:rPr>
                <w:rStyle w:val="AERbody"/>
                <w:sz w:val="16"/>
              </w:rPr>
            </w:pPr>
            <w:r w:rsidRPr="00504001">
              <w:rPr>
                <w:rStyle w:val="AERbody"/>
                <w:sz w:val="16"/>
              </w:rPr>
              <w:t>Auxiliary metering services</w:t>
            </w:r>
            <w:r w:rsidR="00293D8F" w:rsidRPr="00504001">
              <w:rPr>
                <w:rStyle w:val="AERbody"/>
                <w:sz w:val="16"/>
              </w:rPr>
              <w:t>, including exit fees</w:t>
            </w:r>
          </w:p>
        </w:tc>
        <w:tc>
          <w:tcPr>
            <w:tcW w:w="3402" w:type="dxa"/>
          </w:tcPr>
          <w:p w:rsidR="001A5F4C" w:rsidRPr="00504001" w:rsidRDefault="001A5F4C" w:rsidP="00504001">
            <w:pPr>
              <w:pStyle w:val="AERtabletextleft"/>
              <w:rPr>
                <w:rStyle w:val="AERbody"/>
                <w:sz w:val="16"/>
              </w:rPr>
            </w:pPr>
            <w:r w:rsidRPr="00504001">
              <w:rPr>
                <w:rStyle w:val="AERbody"/>
                <w:sz w:val="16"/>
              </w:rPr>
              <w:t>Alternative control</w:t>
            </w:r>
          </w:p>
        </w:tc>
      </w:tr>
    </w:tbl>
    <w:p w:rsidR="00770C24" w:rsidRPr="006A05E4" w:rsidRDefault="00770C24" w:rsidP="00770C24">
      <w:pPr>
        <w:pStyle w:val="AERbodytext"/>
        <w:rPr>
          <w:rStyle w:val="AERtextsize8"/>
        </w:rPr>
      </w:pPr>
      <w:bookmarkStart w:id="47" w:name="_Toc350358137"/>
      <w:bookmarkStart w:id="48" w:name="_Toc350446228"/>
      <w:bookmarkStart w:id="49" w:name="_Toc351729998"/>
      <w:r w:rsidRPr="006A05E4">
        <w:rPr>
          <w:rStyle w:val="AERtextsize8"/>
        </w:rPr>
        <w:t>Source: AER</w:t>
      </w:r>
    </w:p>
    <w:p w:rsidR="00770C24" w:rsidRPr="00657F0A" w:rsidRDefault="00770C24" w:rsidP="00657F0A">
      <w:pPr>
        <w:pStyle w:val="Heading3"/>
        <w:rPr>
          <w:rStyle w:val="AERtextorange"/>
        </w:rPr>
      </w:pPr>
      <w:bookmarkStart w:id="50" w:name="_Toc374085334"/>
      <w:bookmarkStart w:id="51" w:name="_Toc387418350"/>
      <w:bookmarkStart w:id="52" w:name="_Toc388976504"/>
      <w:r w:rsidRPr="00657F0A">
        <w:rPr>
          <w:rStyle w:val="AERtextorange"/>
        </w:rPr>
        <w:t>Ancillary network services</w:t>
      </w:r>
      <w:bookmarkEnd w:id="47"/>
      <w:bookmarkEnd w:id="48"/>
      <w:bookmarkEnd w:id="49"/>
      <w:bookmarkEnd w:id="50"/>
      <w:bookmarkEnd w:id="51"/>
      <w:bookmarkEnd w:id="52"/>
    </w:p>
    <w:p w:rsidR="00770C24" w:rsidRDefault="00770C24" w:rsidP="00770C24">
      <w:pPr>
        <w:rPr>
          <w:rStyle w:val="AERbody"/>
        </w:rPr>
      </w:pPr>
      <w:r>
        <w:rPr>
          <w:rStyle w:val="AERbody"/>
        </w:rPr>
        <w:t>For classification purposes, we propose to replace the current</w:t>
      </w:r>
      <w:r w:rsidRPr="00DE11CB">
        <w:rPr>
          <w:rStyle w:val="AERbody"/>
        </w:rPr>
        <w:t xml:space="preserve"> service groups called 'fee-based </w:t>
      </w:r>
      <w:r>
        <w:rPr>
          <w:rStyle w:val="AERbody"/>
        </w:rPr>
        <w:t>services' and 'quoted services'</w:t>
      </w:r>
      <w:r w:rsidRPr="00DE11CB">
        <w:rPr>
          <w:rStyle w:val="AERbody"/>
        </w:rPr>
        <w:t xml:space="preserve"> </w:t>
      </w:r>
      <w:r>
        <w:rPr>
          <w:rStyle w:val="AERbody"/>
        </w:rPr>
        <w:t xml:space="preserve">with </w:t>
      </w:r>
      <w:r w:rsidRPr="00DE11CB">
        <w:rPr>
          <w:rStyle w:val="AERbody"/>
        </w:rPr>
        <w:t xml:space="preserve">a service group called </w:t>
      </w:r>
      <w:r>
        <w:rPr>
          <w:rStyle w:val="AERbody"/>
        </w:rPr>
        <w:t>'</w:t>
      </w:r>
      <w:r w:rsidRPr="00DE11CB">
        <w:rPr>
          <w:rStyle w:val="AERbody"/>
        </w:rPr>
        <w:t>ancillary network services</w:t>
      </w:r>
      <w:r>
        <w:rPr>
          <w:rStyle w:val="AERbody"/>
        </w:rPr>
        <w:t>'</w:t>
      </w:r>
      <w:r w:rsidRPr="00DE11CB">
        <w:rPr>
          <w:rStyle w:val="AERbody"/>
        </w:rPr>
        <w:t>.</w:t>
      </w:r>
      <w:r>
        <w:rPr>
          <w:rStyle w:val="FootnoteReference"/>
        </w:rPr>
        <w:footnoteReference w:id="102"/>
      </w:r>
      <w:r w:rsidRPr="00DE11CB">
        <w:rPr>
          <w:rStyle w:val="AERbody"/>
        </w:rPr>
        <w:t xml:space="preserve"> </w:t>
      </w:r>
    </w:p>
    <w:p w:rsidR="00770C24" w:rsidRDefault="00770C24" w:rsidP="00770C24">
      <w:pPr>
        <w:rPr>
          <w:rStyle w:val="AERbody"/>
        </w:rPr>
      </w:pPr>
      <w:r>
        <w:rPr>
          <w:rStyle w:val="AERbody"/>
        </w:rPr>
        <w:t>The existing</w:t>
      </w:r>
      <w:r w:rsidRPr="00DE11CB">
        <w:rPr>
          <w:rStyle w:val="AERbody"/>
        </w:rPr>
        <w:t xml:space="preserve"> 'fee based services' and 'quoted services' </w:t>
      </w:r>
      <w:r>
        <w:rPr>
          <w:rStyle w:val="AERbody"/>
        </w:rPr>
        <w:t xml:space="preserve">groupings </w:t>
      </w:r>
      <w:r w:rsidRPr="00DE11CB">
        <w:rPr>
          <w:rStyle w:val="AERbody"/>
        </w:rPr>
        <w:t>describe the basis on which service</w:t>
      </w:r>
      <w:r>
        <w:rPr>
          <w:rStyle w:val="AERbody"/>
        </w:rPr>
        <w:t xml:space="preserve"> prices</w:t>
      </w:r>
      <w:r w:rsidRPr="00DE11CB">
        <w:rPr>
          <w:rStyle w:val="AERbody"/>
        </w:rPr>
        <w:t xml:space="preserve"> are </w:t>
      </w:r>
      <w:r>
        <w:rPr>
          <w:rStyle w:val="AERbody"/>
        </w:rPr>
        <w:t>determined</w:t>
      </w:r>
      <w:r w:rsidRPr="00DE11CB">
        <w:rPr>
          <w:rStyle w:val="AERbody"/>
        </w:rPr>
        <w:t xml:space="preserve">. </w:t>
      </w:r>
      <w:r>
        <w:rPr>
          <w:rStyle w:val="AERbody"/>
        </w:rPr>
        <w:t xml:space="preserve">We consider all of these services should be classified in a similar manner, regardless of how their regulated prices are determined. </w:t>
      </w:r>
    </w:p>
    <w:p w:rsidR="00770C24" w:rsidRPr="00A021D4" w:rsidRDefault="00770C24" w:rsidP="00770C24">
      <w:pPr>
        <w:rPr>
          <w:rStyle w:val="AERbody"/>
        </w:rPr>
      </w:pPr>
      <w:r w:rsidRPr="00DE11CB">
        <w:rPr>
          <w:rStyle w:val="AERbody"/>
        </w:rPr>
        <w:t xml:space="preserve">Ancillary network services share the common characteristic of being non-routine services provided to individual </w:t>
      </w:r>
      <w:r>
        <w:rPr>
          <w:rStyle w:val="AERbody"/>
        </w:rPr>
        <w:t>customer</w:t>
      </w:r>
      <w:r w:rsidRPr="00DE11CB">
        <w:rPr>
          <w:rStyle w:val="AERbody"/>
        </w:rPr>
        <w:t xml:space="preserve">s on an 'as needs' basis. Examples include </w:t>
      </w:r>
      <w:r w:rsidR="00E63B08">
        <w:rPr>
          <w:rStyle w:val="AERbody"/>
        </w:rPr>
        <w:t xml:space="preserve">lifting overhead lines for high load </w:t>
      </w:r>
      <w:r w:rsidR="00E63B08">
        <w:rPr>
          <w:rStyle w:val="AERbody"/>
        </w:rPr>
        <w:lastRenderedPageBreak/>
        <w:t>vehicles</w:t>
      </w:r>
      <w:r w:rsidRPr="00DE11CB">
        <w:rPr>
          <w:rStyle w:val="AERbody"/>
        </w:rPr>
        <w:t xml:space="preserve">, or after hours service provision. </w:t>
      </w:r>
      <w:r>
        <w:rPr>
          <w:rStyle w:val="AERbody"/>
        </w:rPr>
        <w:t xml:space="preserve">Ancillary network services </w:t>
      </w:r>
      <w:r w:rsidRPr="00A021D4">
        <w:rPr>
          <w:rStyle w:val="AERbody"/>
        </w:rPr>
        <w:t xml:space="preserve">involve work on, or in relation to, parts of the </w:t>
      </w:r>
      <w:r w:rsidR="00850953">
        <w:rPr>
          <w:rStyle w:val="AERbody"/>
        </w:rPr>
        <w:t xml:space="preserve">Victorian </w:t>
      </w:r>
      <w:r w:rsidRPr="00A021D4">
        <w:rPr>
          <w:rStyle w:val="AERbody"/>
        </w:rPr>
        <w:t>distributor</w:t>
      </w:r>
      <w:r w:rsidR="00FF50D6">
        <w:rPr>
          <w:rStyle w:val="AERbody"/>
        </w:rPr>
        <w:t>s</w:t>
      </w:r>
      <w:r w:rsidRPr="00A021D4">
        <w:rPr>
          <w:rStyle w:val="AERbody"/>
        </w:rPr>
        <w:t xml:space="preserve">' distribution network. Therefore, </w:t>
      </w:r>
      <w:r>
        <w:rPr>
          <w:rStyle w:val="AERbody"/>
        </w:rPr>
        <w:t xml:space="preserve">similar to network services </w:t>
      </w:r>
      <w:r w:rsidRPr="00A021D4">
        <w:rPr>
          <w:rStyle w:val="AERbody"/>
        </w:rPr>
        <w:t xml:space="preserve">only the distributor can </w:t>
      </w:r>
      <w:r>
        <w:rPr>
          <w:rStyle w:val="AERbody"/>
        </w:rPr>
        <w:t>perform</w:t>
      </w:r>
      <w:r w:rsidRPr="00A021D4">
        <w:rPr>
          <w:rStyle w:val="AERbody"/>
        </w:rPr>
        <w:t xml:space="preserve"> these services. </w:t>
      </w:r>
    </w:p>
    <w:p w:rsidR="00770C24" w:rsidRDefault="00770C24" w:rsidP="00770C24">
      <w:pPr>
        <w:rPr>
          <w:rStyle w:val="AERbody"/>
        </w:rPr>
      </w:pPr>
      <w:r w:rsidRPr="00A021D4">
        <w:rPr>
          <w:rStyle w:val="AERbody"/>
        </w:rPr>
        <w:t xml:space="preserve">We consider that, similar to network services, there is a regulatory barrier preventing any party other than </w:t>
      </w:r>
      <w:r w:rsidR="00FC6207">
        <w:rPr>
          <w:rStyle w:val="AERbody"/>
        </w:rPr>
        <w:t xml:space="preserve">a </w:t>
      </w:r>
      <w:r w:rsidR="00850953">
        <w:rPr>
          <w:rStyle w:val="AERbody"/>
        </w:rPr>
        <w:t xml:space="preserve">Victorian </w:t>
      </w:r>
      <w:r w:rsidR="00FC6207">
        <w:rPr>
          <w:rStyle w:val="AERbody"/>
        </w:rPr>
        <w:t>distributor</w:t>
      </w:r>
      <w:r w:rsidRPr="00A021D4">
        <w:rPr>
          <w:rStyle w:val="AERbody"/>
        </w:rPr>
        <w:t xml:space="preserve"> providing ancillary network services.</w:t>
      </w:r>
      <w:r>
        <w:rPr>
          <w:rStyle w:val="FootnoteReference"/>
        </w:rPr>
        <w:footnoteReference w:id="103"/>
      </w:r>
      <w:r w:rsidRPr="00A021D4">
        <w:rPr>
          <w:rStyle w:val="AERbody"/>
        </w:rPr>
        <w:t xml:space="preserve"> Because of this monopoly position, </w:t>
      </w:r>
      <w:r>
        <w:rPr>
          <w:rStyle w:val="AERbody"/>
        </w:rPr>
        <w:t>customer</w:t>
      </w:r>
      <w:r w:rsidRPr="00A021D4">
        <w:rPr>
          <w:rStyle w:val="AERbody"/>
        </w:rPr>
        <w:t>s have limited negotiating power in determining the price and other terms and conditions on which the distributors provide these services. Furthermore, the scal</w:t>
      </w:r>
      <w:r>
        <w:rPr>
          <w:rStyle w:val="AERbody"/>
        </w:rPr>
        <w:t>e of resources available to the distributors also likely</w:t>
      </w:r>
      <w:r w:rsidRPr="00A021D4">
        <w:rPr>
          <w:rStyle w:val="AERbody"/>
        </w:rPr>
        <w:t xml:space="preserve"> prevent</w:t>
      </w:r>
      <w:r>
        <w:rPr>
          <w:rStyle w:val="AERbody"/>
        </w:rPr>
        <w:t>s</w:t>
      </w:r>
      <w:r w:rsidRPr="00A021D4">
        <w:rPr>
          <w:rStyle w:val="AERbody"/>
        </w:rPr>
        <w:t xml:space="preserve"> alternative providers from competitively providing ancillary network services.</w:t>
      </w:r>
      <w:r>
        <w:rPr>
          <w:rStyle w:val="FootnoteReference"/>
        </w:rPr>
        <w:footnoteReference w:id="104"/>
      </w:r>
      <w:r>
        <w:rPr>
          <w:rStyle w:val="AERbody"/>
        </w:rPr>
        <w:t xml:space="preserve"> These factors contribute to our</w:t>
      </w:r>
      <w:r w:rsidRPr="00A021D4">
        <w:rPr>
          <w:rStyle w:val="AERbody"/>
        </w:rPr>
        <w:t xml:space="preserve"> </w:t>
      </w:r>
      <w:r>
        <w:rPr>
          <w:rStyle w:val="AERbody"/>
        </w:rPr>
        <w:t xml:space="preserve">preliminary </w:t>
      </w:r>
      <w:r w:rsidRPr="00A021D4">
        <w:rPr>
          <w:rStyle w:val="AERbody"/>
        </w:rPr>
        <w:t>view th</w:t>
      </w:r>
      <w:r>
        <w:rPr>
          <w:rStyle w:val="AERbody"/>
        </w:rPr>
        <w:t xml:space="preserve">at, like network services, </w:t>
      </w:r>
      <w:r w:rsidR="00FC6207">
        <w:rPr>
          <w:rStyle w:val="AERbody"/>
        </w:rPr>
        <w:t xml:space="preserve">the </w:t>
      </w:r>
      <w:r w:rsidR="00850953">
        <w:rPr>
          <w:rStyle w:val="AERbody"/>
        </w:rPr>
        <w:t xml:space="preserve">Victorian </w:t>
      </w:r>
      <w:r w:rsidR="00FC6207">
        <w:rPr>
          <w:rStyle w:val="AERbody"/>
        </w:rPr>
        <w:t>distributors</w:t>
      </w:r>
      <w:r w:rsidRPr="00A021D4">
        <w:rPr>
          <w:rStyle w:val="AERbody"/>
        </w:rPr>
        <w:t xml:space="preserve"> possess market power in providing ancillary network services.  </w:t>
      </w:r>
    </w:p>
    <w:p w:rsidR="00EC3B02" w:rsidRDefault="00770C24" w:rsidP="00EC3B02">
      <w:pPr>
        <w:rPr>
          <w:rStyle w:val="AERbody"/>
        </w:rPr>
      </w:pPr>
      <w:r>
        <w:rPr>
          <w:rStyle w:val="AERbody"/>
        </w:rPr>
        <w:t xml:space="preserve">Because of these barriers to competition from alternative service providers, we propose to classify </w:t>
      </w:r>
      <w:r w:rsidR="003D76EA">
        <w:rPr>
          <w:rStyle w:val="AERbody"/>
        </w:rPr>
        <w:t xml:space="preserve">most </w:t>
      </w:r>
      <w:r>
        <w:rPr>
          <w:rStyle w:val="AERbody"/>
        </w:rPr>
        <w:t>ancillary network services as direct control services.</w:t>
      </w:r>
      <w:r>
        <w:rPr>
          <w:rStyle w:val="FootnoteReference"/>
        </w:rPr>
        <w:footnoteReference w:id="105"/>
      </w:r>
      <w:r>
        <w:rPr>
          <w:rStyle w:val="AERbody"/>
        </w:rPr>
        <w:t xml:space="preserve"> </w:t>
      </w:r>
      <w:r w:rsidR="00EC3B02">
        <w:rPr>
          <w:rStyle w:val="AERbody"/>
        </w:rPr>
        <w:t xml:space="preserve">Two ancillary network services, provision of possum guards and provision of watchmen lights, are currently not classified. We propose to continue not classifying these services. </w:t>
      </w:r>
      <w:r w:rsidR="00EC3B02">
        <w:t>We</w:t>
      </w:r>
      <w:r w:rsidR="00EC3B02" w:rsidRPr="00EC3B02">
        <w:t xml:space="preserve"> understand that </w:t>
      </w:r>
      <w:r w:rsidR="00EC3B02">
        <w:t>watchmen</w:t>
      </w:r>
      <w:r w:rsidR="00EC3B02" w:rsidRPr="00EC3B02">
        <w:t xml:space="preserve"> lights are not part of </w:t>
      </w:r>
      <w:r w:rsidR="00850953">
        <w:t xml:space="preserve">Victorian </w:t>
      </w:r>
      <w:r w:rsidR="00EC3B02">
        <w:t>distributors'</w:t>
      </w:r>
      <w:r w:rsidR="00EC3B02" w:rsidRPr="00EC3B02">
        <w:t xml:space="preserve"> distribution system</w:t>
      </w:r>
      <w:r w:rsidR="00EC3B02">
        <w:t>s</w:t>
      </w:r>
      <w:r w:rsidR="00EC3B02" w:rsidRPr="00EC3B02">
        <w:t xml:space="preserve"> and that there are</w:t>
      </w:r>
      <w:r w:rsidR="00EC3B02">
        <w:t xml:space="preserve"> </w:t>
      </w:r>
      <w:r w:rsidR="00EC3B02" w:rsidRPr="00EC3B02">
        <w:t>alternative providers of</w:t>
      </w:r>
      <w:r w:rsidR="00C16C91">
        <w:t xml:space="preserve"> both watchmen light and possum guard</w:t>
      </w:r>
      <w:r w:rsidR="00EC3B02" w:rsidRPr="00EC3B02">
        <w:t xml:space="preserve"> services.</w:t>
      </w:r>
    </w:p>
    <w:p w:rsidR="00770C24" w:rsidRPr="0086203E" w:rsidRDefault="00770C24" w:rsidP="00770C24">
      <w:pPr>
        <w:rPr>
          <w:rStyle w:val="AERbody"/>
        </w:rPr>
      </w:pPr>
      <w:r>
        <w:rPr>
          <w:rStyle w:val="AERbody"/>
        </w:rPr>
        <w:t xml:space="preserve">Having decided to apply a direct control </w:t>
      </w:r>
      <w:r w:rsidRPr="0086203E">
        <w:rPr>
          <w:rStyle w:val="AERbody"/>
        </w:rPr>
        <w:t>classification</w:t>
      </w:r>
      <w:r w:rsidR="00C16C91">
        <w:rPr>
          <w:rStyle w:val="AERbody"/>
        </w:rPr>
        <w:t xml:space="preserve"> to the remainder of ancillary </w:t>
      </w:r>
      <w:r w:rsidR="00C16C91" w:rsidRPr="0086203E">
        <w:rPr>
          <w:rStyle w:val="AERbody"/>
        </w:rPr>
        <w:t xml:space="preserve">network </w:t>
      </w:r>
      <w:r w:rsidR="00C16C91">
        <w:rPr>
          <w:rStyle w:val="AERbody"/>
        </w:rPr>
        <w:t>services</w:t>
      </w:r>
      <w:r w:rsidRPr="0086203E">
        <w:rPr>
          <w:rStyle w:val="AERbody"/>
        </w:rPr>
        <w:t xml:space="preserve">, we must further classify </w:t>
      </w:r>
      <w:r w:rsidR="00C16C91">
        <w:rPr>
          <w:rStyle w:val="AERbody"/>
        </w:rPr>
        <w:t>these</w:t>
      </w:r>
      <w:r w:rsidRPr="0086203E">
        <w:rPr>
          <w:rStyle w:val="AERbody"/>
        </w:rPr>
        <w:t xml:space="preserve"> services as either standard control or </w:t>
      </w:r>
      <w:r>
        <w:rPr>
          <w:rStyle w:val="AERbody"/>
        </w:rPr>
        <w:t xml:space="preserve">alternative </w:t>
      </w:r>
      <w:r w:rsidRPr="0086203E">
        <w:rPr>
          <w:rStyle w:val="AERbody"/>
        </w:rPr>
        <w:t>control. We intend to classify ancillary network services as alter</w:t>
      </w:r>
      <w:r>
        <w:rPr>
          <w:rStyle w:val="AERbody"/>
        </w:rPr>
        <w:t>native control because they</w:t>
      </w:r>
      <w:r w:rsidRPr="00A9599E">
        <w:rPr>
          <w:rStyle w:val="AERbody"/>
        </w:rPr>
        <w:t xml:space="preserve"> are attributable to individual </w:t>
      </w:r>
      <w:r>
        <w:rPr>
          <w:rStyle w:val="AERbody"/>
        </w:rPr>
        <w:t>customers</w:t>
      </w:r>
      <w:r w:rsidRPr="00A9599E">
        <w:rPr>
          <w:rStyle w:val="AERbody"/>
        </w:rPr>
        <w:t>.</w:t>
      </w:r>
      <w:r>
        <w:rPr>
          <w:rStyle w:val="FootnoteReference"/>
        </w:rPr>
        <w:footnoteReference w:id="106"/>
      </w:r>
      <w:r w:rsidRPr="00A9599E">
        <w:rPr>
          <w:rStyle w:val="AERbody"/>
        </w:rPr>
        <w:t xml:space="preserve"> We adopt this view even though ancillary network services do not exhibit signs of competition or potential for competition.</w:t>
      </w:r>
      <w:r>
        <w:rPr>
          <w:rStyle w:val="AERbody"/>
        </w:rPr>
        <w:t xml:space="preserve"> We also note that t</w:t>
      </w:r>
      <w:r w:rsidRPr="0086203E">
        <w:rPr>
          <w:rStyle w:val="AERbody"/>
        </w:rPr>
        <w:t xml:space="preserve">here would be no material effect on the administrative costs </w:t>
      </w:r>
      <w:r>
        <w:rPr>
          <w:rStyle w:val="AERbody"/>
        </w:rPr>
        <w:t>to us</w:t>
      </w:r>
      <w:r w:rsidRPr="0086203E">
        <w:rPr>
          <w:rStyle w:val="AERbody"/>
        </w:rPr>
        <w:t>, the distributors, users or potential users.</w:t>
      </w:r>
      <w:r>
        <w:rPr>
          <w:rStyle w:val="FootnoteReference"/>
        </w:rPr>
        <w:footnoteReference w:id="107"/>
      </w:r>
      <w:r w:rsidRPr="0086203E">
        <w:rPr>
          <w:rStyle w:val="AERbody"/>
        </w:rPr>
        <w:t xml:space="preserve"> This is because classifying ancillary network services as alternative control services </w:t>
      </w:r>
      <w:r>
        <w:rPr>
          <w:rStyle w:val="AERbody"/>
        </w:rPr>
        <w:t>is consistent with the current approach</w:t>
      </w:r>
      <w:r w:rsidRPr="0086203E">
        <w:rPr>
          <w:rStyle w:val="AERbody"/>
        </w:rPr>
        <w:t xml:space="preserve">. </w:t>
      </w:r>
    </w:p>
    <w:p w:rsidR="00770C24" w:rsidRPr="0086203E" w:rsidRDefault="00770C24" w:rsidP="00770C24">
      <w:pPr>
        <w:rPr>
          <w:rStyle w:val="AERbody"/>
        </w:rPr>
      </w:pPr>
      <w:r w:rsidRPr="0086203E">
        <w:rPr>
          <w:rStyle w:val="AERbody"/>
        </w:rPr>
        <w:t xml:space="preserve">The nature of ancillary network services is that the </w:t>
      </w:r>
      <w:r>
        <w:rPr>
          <w:rStyle w:val="AERbody"/>
        </w:rPr>
        <w:t>customer</w:t>
      </w:r>
      <w:r w:rsidRPr="0086203E">
        <w:rPr>
          <w:rStyle w:val="AERbody"/>
        </w:rPr>
        <w:t xml:space="preserve"> requesting the service will benefit from that service. As such, the costs of that ancillary network service are directly attributable to an individual </w:t>
      </w:r>
      <w:r>
        <w:rPr>
          <w:rStyle w:val="AERbody"/>
        </w:rPr>
        <w:t>customer</w:t>
      </w:r>
      <w:r w:rsidRPr="0086203E">
        <w:rPr>
          <w:rStyle w:val="AERbody"/>
        </w:rPr>
        <w:t>.</w:t>
      </w:r>
      <w:r w:rsidRPr="006D026C">
        <w:rPr>
          <w:rStyle w:val="AERsuperscript"/>
        </w:rPr>
        <w:footnoteReference w:id="108"/>
      </w:r>
      <w:r w:rsidRPr="0086203E">
        <w:rPr>
          <w:rStyle w:val="AERbody"/>
        </w:rPr>
        <w:t xml:space="preserve"> This results in costs that are more transparent for </w:t>
      </w:r>
      <w:r>
        <w:rPr>
          <w:rStyle w:val="AERbody"/>
        </w:rPr>
        <w:t>customer</w:t>
      </w:r>
      <w:r w:rsidRPr="0086203E">
        <w:rPr>
          <w:rStyle w:val="AERbody"/>
        </w:rPr>
        <w:t xml:space="preserve">s. Additionally, the note to clause 6.2.2(c)(5) of the </w:t>
      </w:r>
      <w:r>
        <w:rPr>
          <w:rStyle w:val="AERbody"/>
        </w:rPr>
        <w:t>rules state</w:t>
      </w:r>
      <w:r w:rsidRPr="0086203E">
        <w:rPr>
          <w:rStyle w:val="AERbody"/>
        </w:rPr>
        <w:t>:</w:t>
      </w:r>
    </w:p>
    <w:p w:rsidR="00770C24" w:rsidRPr="00657F0A" w:rsidRDefault="00770C24" w:rsidP="00657F0A">
      <w:pPr>
        <w:pStyle w:val="AERquote"/>
        <w:rPr>
          <w:rStyle w:val="AERbody"/>
          <w:color w:val="000000"/>
          <w:sz w:val="16"/>
        </w:rPr>
      </w:pPr>
      <w:r w:rsidRPr="00657F0A">
        <w:rPr>
          <w:rStyle w:val="AERbody"/>
          <w:color w:val="000000"/>
          <w:sz w:val="16"/>
        </w:rPr>
        <w:t xml:space="preserve">In circumstances where a service is provided to a small number of identifiable consumers on a discretionary or infrequent basis, and costs can be directly attributed to those consumers, it may be more appropriate to classify the service as an alternative control service than as a standard control service. </w:t>
      </w:r>
    </w:p>
    <w:p w:rsidR="00770C24" w:rsidRPr="00770C24" w:rsidRDefault="00770C24" w:rsidP="00770C24">
      <w:pPr>
        <w:numPr>
          <w:ilvl w:val="0"/>
          <w:numId w:val="13"/>
        </w:numPr>
        <w:rPr>
          <w:rStyle w:val="AERbody"/>
        </w:rPr>
      </w:pPr>
      <w:r w:rsidRPr="0086203E">
        <w:rPr>
          <w:rStyle w:val="AERbody"/>
        </w:rPr>
        <w:t xml:space="preserve">For these reasons, we intend to classify ancillary network services as alternative control services in the </w:t>
      </w:r>
      <w:bookmarkStart w:id="53" w:name="_Toc328151186"/>
      <w:bookmarkStart w:id="54" w:name="_Toc350358138"/>
      <w:bookmarkStart w:id="55" w:name="_Toc350446229"/>
      <w:bookmarkStart w:id="56" w:name="_Toc351729999"/>
      <w:r>
        <w:rPr>
          <w:rStyle w:val="AERbody"/>
        </w:rPr>
        <w:t>next regulatory control period.</w:t>
      </w:r>
    </w:p>
    <w:p w:rsidR="00770C24" w:rsidRPr="00657F0A" w:rsidRDefault="00770C24" w:rsidP="00657F0A">
      <w:pPr>
        <w:pStyle w:val="Heading3"/>
      </w:pPr>
      <w:bookmarkStart w:id="57" w:name="_Toc374085335"/>
      <w:bookmarkStart w:id="58" w:name="_Toc387418351"/>
      <w:bookmarkStart w:id="59" w:name="_Toc388976505"/>
      <w:bookmarkEnd w:id="53"/>
      <w:bookmarkEnd w:id="54"/>
      <w:bookmarkEnd w:id="55"/>
      <w:bookmarkEnd w:id="56"/>
      <w:r w:rsidRPr="00657F0A">
        <w:t>Public lighting</w:t>
      </w:r>
      <w:bookmarkEnd w:id="57"/>
      <w:bookmarkEnd w:id="58"/>
      <w:bookmarkEnd w:id="59"/>
    </w:p>
    <w:p w:rsidR="00770C24" w:rsidRPr="009276F0" w:rsidRDefault="00406E8B" w:rsidP="00770C24">
      <w:pPr>
        <w:numPr>
          <w:ilvl w:val="0"/>
          <w:numId w:val="13"/>
        </w:numPr>
        <w:rPr>
          <w:rStyle w:val="AERbody"/>
        </w:rPr>
      </w:pPr>
      <w:r>
        <w:rPr>
          <w:rStyle w:val="AERbody"/>
        </w:rPr>
        <w:t xml:space="preserve">The </w:t>
      </w:r>
      <w:r w:rsidR="00850953">
        <w:rPr>
          <w:rStyle w:val="AERbody"/>
        </w:rPr>
        <w:t xml:space="preserve">Victorian </w:t>
      </w:r>
      <w:r>
        <w:rPr>
          <w:rStyle w:val="AERbody"/>
        </w:rPr>
        <w:t>distributors</w:t>
      </w:r>
      <w:r w:rsidR="00770C24">
        <w:rPr>
          <w:rStyle w:val="AERbody"/>
        </w:rPr>
        <w:t xml:space="preserve"> operate and maintain </w:t>
      </w:r>
      <w:r w:rsidR="00770C24" w:rsidRPr="009276F0">
        <w:rPr>
          <w:rStyle w:val="AERbody"/>
        </w:rPr>
        <w:t>public</w:t>
      </w:r>
      <w:r w:rsidR="00770C24">
        <w:rPr>
          <w:rStyle w:val="AERbody"/>
        </w:rPr>
        <w:t xml:space="preserve"> lighting throughout </w:t>
      </w:r>
      <w:r>
        <w:rPr>
          <w:rStyle w:val="AERbody"/>
        </w:rPr>
        <w:t>the state</w:t>
      </w:r>
      <w:r w:rsidR="00770C24">
        <w:rPr>
          <w:rStyle w:val="AERbody"/>
        </w:rPr>
        <w:t xml:space="preserve"> as part of their distribution networks</w:t>
      </w:r>
      <w:r w:rsidR="00770C24" w:rsidRPr="009276F0">
        <w:rPr>
          <w:rStyle w:val="AERbody"/>
        </w:rPr>
        <w:t>.</w:t>
      </w:r>
      <w:r w:rsidR="00A43BF9">
        <w:rPr>
          <w:rStyle w:val="FootnoteReference"/>
        </w:rPr>
        <w:footnoteReference w:id="109"/>
      </w:r>
      <w:r w:rsidR="00770C24" w:rsidRPr="009276F0">
        <w:rPr>
          <w:rStyle w:val="AERbody"/>
        </w:rPr>
        <w:t xml:space="preserve"> The distributors provide these services on behalf of local councils and </w:t>
      </w:r>
      <w:r w:rsidR="00770C24">
        <w:rPr>
          <w:rStyle w:val="AERbody"/>
        </w:rPr>
        <w:t xml:space="preserve">state </w:t>
      </w:r>
      <w:r w:rsidR="00770C24" w:rsidRPr="009276F0">
        <w:rPr>
          <w:rStyle w:val="AERbody"/>
        </w:rPr>
        <w:t>government departments respon</w:t>
      </w:r>
      <w:r w:rsidR="00770C24">
        <w:rPr>
          <w:rStyle w:val="AERbody"/>
        </w:rPr>
        <w:t>sible for public lighting</w:t>
      </w:r>
      <w:r w:rsidR="00770C24" w:rsidRPr="009276F0">
        <w:rPr>
          <w:rStyle w:val="AERbody"/>
        </w:rPr>
        <w:t xml:space="preserve">. The </w:t>
      </w:r>
      <w:r w:rsidR="00770C24">
        <w:rPr>
          <w:rStyle w:val="AERbody"/>
        </w:rPr>
        <w:t xml:space="preserve">rules </w:t>
      </w:r>
      <w:r w:rsidR="00770C24" w:rsidRPr="009276F0">
        <w:rPr>
          <w:rStyle w:val="AERbody"/>
        </w:rPr>
        <w:t>do not</w:t>
      </w:r>
      <w:r w:rsidR="00850832">
        <w:rPr>
          <w:rStyle w:val="AERbody"/>
        </w:rPr>
        <w:t xml:space="preserve"> define public lighting service, however, </w:t>
      </w:r>
      <w:r w:rsidR="00850832">
        <w:t>they are defined in the Victorian public lighting code which is administered by us</w:t>
      </w:r>
      <w:r w:rsidR="00770C24" w:rsidRPr="009276F0">
        <w:rPr>
          <w:rStyle w:val="AERbody"/>
        </w:rPr>
        <w:t>.</w:t>
      </w:r>
      <w:r w:rsidR="00850832">
        <w:rPr>
          <w:rStyle w:val="FootnoteReference"/>
        </w:rPr>
        <w:footnoteReference w:id="110"/>
      </w:r>
      <w:r w:rsidR="00770C24" w:rsidRPr="009276F0">
        <w:rPr>
          <w:rStyle w:val="AERbody"/>
        </w:rPr>
        <w:t xml:space="preserve"> </w:t>
      </w:r>
      <w:r w:rsidR="00770C24" w:rsidRPr="009276F0">
        <w:rPr>
          <w:rStyle w:val="AERbody"/>
        </w:rPr>
        <w:lastRenderedPageBreak/>
        <w:t>However, we have consistently defined the following public lighting services in other distribution determinations as</w:t>
      </w:r>
      <w:r w:rsidR="00770C24">
        <w:rPr>
          <w:rStyle w:val="AERbody"/>
        </w:rPr>
        <w:t xml:space="preserve"> the</w:t>
      </w:r>
      <w:r w:rsidR="00770C24" w:rsidRPr="009276F0">
        <w:rPr>
          <w:rStyle w:val="AERbody"/>
        </w:rPr>
        <w:t xml:space="preserve">: </w:t>
      </w:r>
    </w:p>
    <w:p w:rsidR="00770C24" w:rsidRPr="009276F0" w:rsidRDefault="00770C24" w:rsidP="00770C24">
      <w:pPr>
        <w:pStyle w:val="AERbulletlistsecondstyle"/>
        <w:rPr>
          <w:rStyle w:val="AERbody"/>
        </w:rPr>
      </w:pPr>
      <w:r w:rsidRPr="009276F0">
        <w:rPr>
          <w:rStyle w:val="AERbody"/>
        </w:rPr>
        <w:t>operation, maintenance, repair and replacement of public lighting assets</w:t>
      </w:r>
    </w:p>
    <w:p w:rsidR="00770C24" w:rsidRPr="009276F0" w:rsidRDefault="00770C24" w:rsidP="00770C24">
      <w:pPr>
        <w:pStyle w:val="AERbulletlistsecondstyle"/>
        <w:rPr>
          <w:rStyle w:val="AERbody"/>
        </w:rPr>
      </w:pPr>
      <w:r w:rsidRPr="009276F0">
        <w:rPr>
          <w:rStyle w:val="AERbody"/>
        </w:rPr>
        <w:t>alteration and relocation of public lighting assets, and</w:t>
      </w:r>
    </w:p>
    <w:p w:rsidR="00770C24" w:rsidRPr="009276F0" w:rsidRDefault="00770C24" w:rsidP="00770C24">
      <w:pPr>
        <w:pStyle w:val="AERbulletlistsecondstyle"/>
        <w:rPr>
          <w:rStyle w:val="AERbody"/>
        </w:rPr>
      </w:pPr>
      <w:r w:rsidRPr="009276F0">
        <w:rPr>
          <w:rStyle w:val="AERbody"/>
        </w:rPr>
        <w:t>provision of new public lighting.</w:t>
      </w:r>
      <w:r w:rsidRPr="001A216F">
        <w:rPr>
          <w:rStyle w:val="AERsuperscript"/>
        </w:rPr>
        <w:footnoteReference w:id="111"/>
      </w:r>
    </w:p>
    <w:p w:rsidR="00A43BF9" w:rsidRDefault="00770C24" w:rsidP="00770C24">
      <w:pPr>
        <w:numPr>
          <w:ilvl w:val="0"/>
          <w:numId w:val="13"/>
        </w:numPr>
        <w:rPr>
          <w:rStyle w:val="AERbody"/>
        </w:rPr>
      </w:pPr>
      <w:r w:rsidRPr="009276F0">
        <w:rPr>
          <w:rStyle w:val="AERbody"/>
        </w:rPr>
        <w:t>We also propose</w:t>
      </w:r>
      <w:r>
        <w:rPr>
          <w:rStyle w:val="AERbody"/>
        </w:rPr>
        <w:t xml:space="preserve"> to </w:t>
      </w:r>
      <w:r w:rsidR="00DF67EE">
        <w:rPr>
          <w:rStyle w:val="AERbody"/>
        </w:rPr>
        <w:t xml:space="preserve">continue to </w:t>
      </w:r>
      <w:r>
        <w:rPr>
          <w:rStyle w:val="AERbody"/>
        </w:rPr>
        <w:t>include</w:t>
      </w:r>
      <w:r w:rsidRPr="009276F0">
        <w:rPr>
          <w:rStyle w:val="AERbody"/>
        </w:rPr>
        <w:t xml:space="preserve"> emerging public lighting technology (emerging technology) as part of the public lighting services group. </w:t>
      </w:r>
      <w:r>
        <w:rPr>
          <w:rStyle w:val="AERbody"/>
        </w:rPr>
        <w:t>As a distribution service, public lighting assets may be upgraded from time to time, just as any other network asset may be upgraded for better service delivery or improved efficiency.</w:t>
      </w:r>
    </w:p>
    <w:p w:rsidR="00770C24" w:rsidRPr="009276F0" w:rsidRDefault="00770C24" w:rsidP="00770C24">
      <w:pPr>
        <w:numPr>
          <w:ilvl w:val="0"/>
          <w:numId w:val="13"/>
        </w:numPr>
        <w:rPr>
          <w:rStyle w:val="AERbody"/>
        </w:rPr>
      </w:pPr>
      <w:r>
        <w:rPr>
          <w:rStyle w:val="AERbody"/>
        </w:rPr>
        <w:t xml:space="preserve">In the case of public lighting, evolving technology is producing new luminaries using less electricity than older assets. </w:t>
      </w:r>
      <w:r w:rsidRPr="009276F0">
        <w:rPr>
          <w:rStyle w:val="AERbody"/>
        </w:rPr>
        <w:t>Emerging technology re</w:t>
      </w:r>
      <w:r>
        <w:rPr>
          <w:rStyle w:val="AERbody"/>
        </w:rPr>
        <w:t xml:space="preserve">lates to luminaires that the </w:t>
      </w:r>
      <w:r w:rsidR="00850953">
        <w:rPr>
          <w:rStyle w:val="AERbody"/>
        </w:rPr>
        <w:t xml:space="preserve">Victorian </w:t>
      </w:r>
      <w:r>
        <w:rPr>
          <w:rStyle w:val="AERbody"/>
        </w:rPr>
        <w:t xml:space="preserve">distributors </w:t>
      </w:r>
      <w:r w:rsidRPr="009276F0">
        <w:rPr>
          <w:rStyle w:val="AERbody"/>
        </w:rPr>
        <w:t>do not provide</w:t>
      </w:r>
      <w:r>
        <w:rPr>
          <w:rStyle w:val="AERbody"/>
        </w:rPr>
        <w:t>, or may not exist,</w:t>
      </w:r>
      <w:r w:rsidRPr="009276F0">
        <w:rPr>
          <w:rStyle w:val="AERbody"/>
        </w:rPr>
        <w:t xml:space="preserve"> at the time of our distribution determination.</w:t>
      </w:r>
      <w:r>
        <w:rPr>
          <w:rStyle w:val="AERbody"/>
        </w:rPr>
        <w:t xml:space="preserve"> Such</w:t>
      </w:r>
      <w:r w:rsidRPr="009276F0">
        <w:rPr>
          <w:rStyle w:val="AERbody"/>
        </w:rPr>
        <w:t xml:space="preserve"> emerging technology may become available during the</w:t>
      </w:r>
      <w:r>
        <w:rPr>
          <w:rStyle w:val="AERbody"/>
        </w:rPr>
        <w:t xml:space="preserve"> next regulatory control period</w:t>
      </w:r>
      <w:r w:rsidRPr="009276F0">
        <w:rPr>
          <w:rStyle w:val="AERbody"/>
        </w:rPr>
        <w:t xml:space="preserve">. </w:t>
      </w:r>
      <w:r w:rsidR="009E72CB">
        <w:rPr>
          <w:rStyle w:val="AERbody"/>
        </w:rPr>
        <w:t xml:space="preserve">A distinction must also be made for greenfield sites such as new </w:t>
      </w:r>
      <w:r w:rsidR="0087150B">
        <w:rPr>
          <w:rStyle w:val="AERbody"/>
        </w:rPr>
        <w:t>estate developments. These are contestable under the Victorian Public Lighting Code.</w:t>
      </w:r>
      <w:r w:rsidR="00A43BF9">
        <w:rPr>
          <w:rStyle w:val="AERbody"/>
        </w:rPr>
        <w:t xml:space="preserve"> That is, estate developers can procure </w:t>
      </w:r>
      <w:r w:rsidR="00A52024">
        <w:rPr>
          <w:rStyle w:val="AERbody"/>
        </w:rPr>
        <w:t>and construct any</w:t>
      </w:r>
      <w:r w:rsidR="00A43BF9">
        <w:rPr>
          <w:rStyle w:val="AERbody"/>
        </w:rPr>
        <w:t xml:space="preserve"> public lighting asset</w:t>
      </w:r>
      <w:r w:rsidR="00A52024">
        <w:rPr>
          <w:rStyle w:val="AERbody"/>
        </w:rPr>
        <w:t xml:space="preserve">, from any source. Distributors need not be </w:t>
      </w:r>
      <w:r w:rsidR="00850832">
        <w:rPr>
          <w:rStyle w:val="AERbody"/>
        </w:rPr>
        <w:t>involved</w:t>
      </w:r>
      <w:r w:rsidR="00A52024">
        <w:rPr>
          <w:rStyle w:val="AERbody"/>
        </w:rPr>
        <w:t xml:space="preserve"> in this procurement process other than to ensure the assets can be </w:t>
      </w:r>
      <w:r w:rsidR="00850832">
        <w:rPr>
          <w:rStyle w:val="AERbody"/>
        </w:rPr>
        <w:t>technically</w:t>
      </w:r>
      <w:r w:rsidR="00A52024">
        <w:rPr>
          <w:rStyle w:val="AERbody"/>
        </w:rPr>
        <w:t xml:space="preserve"> integrated into the electricity network.</w:t>
      </w:r>
    </w:p>
    <w:p w:rsidR="00751B70" w:rsidRPr="003434F8" w:rsidRDefault="00751B70" w:rsidP="003434F8">
      <w:pPr>
        <w:pStyle w:val="HeadingBoldBlue"/>
        <w:rPr>
          <w:rStyle w:val="AERtexthighlight"/>
          <w:shd w:val="clear" w:color="auto" w:fill="auto"/>
        </w:rPr>
      </w:pPr>
      <w:r w:rsidRPr="003434F8">
        <w:rPr>
          <w:rStyle w:val="AERtexthighlight"/>
          <w:shd w:val="clear" w:color="auto" w:fill="auto"/>
        </w:rPr>
        <w:t>Public lighting (excluding emerging technology and greenfield sites)</w:t>
      </w:r>
    </w:p>
    <w:p w:rsidR="003E2CB0" w:rsidRDefault="00770C24" w:rsidP="00770C24">
      <w:pPr>
        <w:pStyle w:val="AERbodytext"/>
        <w:rPr>
          <w:rStyle w:val="AERbody"/>
        </w:rPr>
      </w:pPr>
      <w:r>
        <w:rPr>
          <w:rStyle w:val="AERbody"/>
        </w:rPr>
        <w:t>Our preliminary position is</w:t>
      </w:r>
      <w:r w:rsidRPr="009276F0">
        <w:rPr>
          <w:rStyle w:val="AERbody"/>
        </w:rPr>
        <w:t xml:space="preserve"> to classify public lighting (</w:t>
      </w:r>
      <w:r w:rsidR="00DF67EE">
        <w:rPr>
          <w:rStyle w:val="AERbody"/>
        </w:rPr>
        <w:t>ex</w:t>
      </w:r>
      <w:r w:rsidRPr="009276F0">
        <w:rPr>
          <w:rStyle w:val="AERbody"/>
        </w:rPr>
        <w:t>cluding emerging technology</w:t>
      </w:r>
      <w:r w:rsidR="0087150B">
        <w:rPr>
          <w:rStyle w:val="AERbody"/>
        </w:rPr>
        <w:t xml:space="preserve"> and greenfield sites</w:t>
      </w:r>
      <w:r w:rsidRPr="009276F0">
        <w:rPr>
          <w:rStyle w:val="AERbody"/>
        </w:rPr>
        <w:t>) as a direct con</w:t>
      </w:r>
      <w:r>
        <w:rPr>
          <w:rStyle w:val="AERbody"/>
        </w:rPr>
        <w:t>trol service and further, as alternative control</w:t>
      </w:r>
      <w:r w:rsidRPr="009276F0">
        <w:rPr>
          <w:rStyle w:val="AERbody"/>
        </w:rPr>
        <w:t xml:space="preserve">. </w:t>
      </w:r>
      <w:r>
        <w:rPr>
          <w:rStyle w:val="AERbody"/>
        </w:rPr>
        <w:t xml:space="preserve">This is consistent with our current approach. </w:t>
      </w:r>
    </w:p>
    <w:p w:rsidR="00770C24" w:rsidRPr="009276F0" w:rsidRDefault="00770C24" w:rsidP="00770C24">
      <w:pPr>
        <w:pStyle w:val="AERbodytext"/>
        <w:rPr>
          <w:rStyle w:val="AERbody"/>
        </w:rPr>
      </w:pPr>
      <w:r>
        <w:rPr>
          <w:rStyle w:val="AERbody"/>
        </w:rPr>
        <w:t xml:space="preserve">However, we think there </w:t>
      </w:r>
      <w:r w:rsidR="00DF67EE">
        <w:rPr>
          <w:rStyle w:val="AERbody"/>
        </w:rPr>
        <w:t xml:space="preserve">are </w:t>
      </w:r>
      <w:r>
        <w:rPr>
          <w:rStyle w:val="AERbody"/>
        </w:rPr>
        <w:t xml:space="preserve">customer benefits to classifying public lighting </w:t>
      </w:r>
      <w:r w:rsidR="00743083">
        <w:rPr>
          <w:rStyle w:val="AERbody"/>
        </w:rPr>
        <w:t>a</w:t>
      </w:r>
      <w:r>
        <w:rPr>
          <w:rStyle w:val="AERbody"/>
        </w:rPr>
        <w:t>s a negotiated service.</w:t>
      </w:r>
      <w:r w:rsidR="0087150B">
        <w:rPr>
          <w:rStyle w:val="AERbody"/>
        </w:rPr>
        <w:t xml:space="preserve"> </w:t>
      </w:r>
      <w:r>
        <w:rPr>
          <w:rStyle w:val="AERbody"/>
        </w:rPr>
        <w:t xml:space="preserve">This section first discusses our reasons for our preliminary position to classify public lighting as alternative control. Second, we discuss why public lighting may be suitable for classification as a negotiated service. </w:t>
      </w:r>
    </w:p>
    <w:p w:rsidR="00770C24" w:rsidRPr="0053490C" w:rsidRDefault="00770C24" w:rsidP="00770C24">
      <w:pPr>
        <w:pStyle w:val="AERbodytext"/>
        <w:rPr>
          <w:rStyle w:val="AERbody"/>
        </w:rPr>
      </w:pPr>
      <w:r w:rsidRPr="009276F0">
        <w:t xml:space="preserve">While </w:t>
      </w:r>
      <w:r w:rsidR="00406E8B">
        <w:t xml:space="preserve">the </w:t>
      </w:r>
      <w:r w:rsidR="00850953">
        <w:t xml:space="preserve">Victorian </w:t>
      </w:r>
      <w:r w:rsidR="00406E8B">
        <w:t>distributors</w:t>
      </w:r>
      <w:r w:rsidRPr="009276F0">
        <w:t xml:space="preserve"> do not have a legislative monopoly over these services, a monopoly position exists</w:t>
      </w:r>
      <w:r>
        <w:t xml:space="preserve"> to some extent</w:t>
      </w:r>
      <w:r w:rsidRPr="009276F0">
        <w:t>.</w:t>
      </w:r>
      <w:r>
        <w:rPr>
          <w:rStyle w:val="FootnoteReference"/>
        </w:rPr>
        <w:footnoteReference w:id="112"/>
      </w:r>
      <w:r w:rsidRPr="009276F0">
        <w:t xml:space="preserve"> This is because the </w:t>
      </w:r>
      <w:r w:rsidR="00850953">
        <w:t xml:space="preserve">Victorian </w:t>
      </w:r>
      <w:r w:rsidRPr="009276F0">
        <w:t>distributors own the majority of public lighting assets.</w:t>
      </w:r>
      <w:r w:rsidRPr="00A25B46">
        <w:rPr>
          <w:rStyle w:val="AERsuperscript"/>
        </w:rPr>
        <w:footnoteReference w:id="113"/>
      </w:r>
      <w:r w:rsidRPr="009276F0">
        <w:t xml:space="preserve"> That is, other parties would need access to poles and easements for instance to hang their own public lighting assets. However, </w:t>
      </w:r>
      <w:r w:rsidR="00406E8B">
        <w:t xml:space="preserve">the </w:t>
      </w:r>
      <w:r w:rsidR="00850953">
        <w:t xml:space="preserve">Victorian </w:t>
      </w:r>
      <w:r w:rsidR="00406E8B">
        <w:t>distributors</w:t>
      </w:r>
      <w:r w:rsidRPr="009276F0">
        <w:t xml:space="preserve"> own and control such supporting infrastructure. </w:t>
      </w:r>
      <w:r w:rsidR="00DF67EE">
        <w:t xml:space="preserve">There are also safety restrictions on the qualifications of electrical workers in close proximity to overhead power lines. </w:t>
      </w:r>
      <w:r w:rsidRPr="009276F0">
        <w:t xml:space="preserve">Therefore, similar to network services, ownership of network assets restricts the operation, maintenance, alteration or relocation of public lighting services to </w:t>
      </w:r>
      <w:r w:rsidR="00406E8B">
        <w:t xml:space="preserve">the </w:t>
      </w:r>
      <w:r w:rsidR="00850953">
        <w:t xml:space="preserve">Victorian </w:t>
      </w:r>
      <w:r w:rsidR="00406E8B">
        <w:t>distributors</w:t>
      </w:r>
      <w:r w:rsidRPr="009276F0">
        <w:t>.</w:t>
      </w:r>
      <w:r>
        <w:rPr>
          <w:rStyle w:val="FootnoteReference"/>
        </w:rPr>
        <w:footnoteReference w:id="114"/>
      </w:r>
      <w:r w:rsidRPr="009276F0">
        <w:t xml:space="preserve"> </w:t>
      </w:r>
      <w:r w:rsidRPr="004C3DDF">
        <w:t>Based on the above analysis, our preliminary position i</w:t>
      </w:r>
      <w:r>
        <w:t>s</w:t>
      </w:r>
      <w:r w:rsidRPr="004C3DDF">
        <w:t xml:space="preserve"> to classify public lighting services, </w:t>
      </w:r>
      <w:r w:rsidR="00DF67EE">
        <w:t>ex</w:t>
      </w:r>
      <w:r w:rsidRPr="004C3DDF">
        <w:t>cluding emerging technology, as direct control services.</w:t>
      </w:r>
      <w:r w:rsidRPr="004C3DDF">
        <w:rPr>
          <w:rStyle w:val="AERsuperscript"/>
        </w:rPr>
        <w:footnoteReference w:id="115"/>
      </w:r>
      <w:r w:rsidRPr="004C3DDF">
        <w:rPr>
          <w:rStyle w:val="AERsuperscript"/>
        </w:rPr>
        <w:t xml:space="preserve"> </w:t>
      </w:r>
      <w:r w:rsidRPr="0053490C">
        <w:rPr>
          <w:rStyle w:val="AERbody"/>
        </w:rPr>
        <w:t xml:space="preserve">This is consistent with </w:t>
      </w:r>
      <w:r w:rsidR="00A52024">
        <w:rPr>
          <w:rStyle w:val="AERbody"/>
        </w:rPr>
        <w:t>its</w:t>
      </w:r>
      <w:r w:rsidRPr="0053490C">
        <w:rPr>
          <w:rStyle w:val="AERbody"/>
        </w:rPr>
        <w:t xml:space="preserve"> current classification. </w:t>
      </w:r>
    </w:p>
    <w:p w:rsidR="0053490C" w:rsidRDefault="0053490C" w:rsidP="0053490C">
      <w:pPr>
        <w:pStyle w:val="AERbodytext"/>
        <w:rPr>
          <w:rStyle w:val="AERbody"/>
        </w:rPr>
      </w:pPr>
      <w:r w:rsidRPr="00E978D2">
        <w:rPr>
          <w:rStyle w:val="AERbody"/>
        </w:rPr>
        <w:lastRenderedPageBreak/>
        <w:t>As direct control services, we must further classify public lighting services as either standard control or alternative control</w:t>
      </w:r>
      <w:r>
        <w:rPr>
          <w:rStyle w:val="AERbody"/>
        </w:rPr>
        <w:t xml:space="preserve"> services</w:t>
      </w:r>
      <w:r w:rsidRPr="00E978D2">
        <w:rPr>
          <w:rStyle w:val="AERbody"/>
        </w:rPr>
        <w:t>.</w:t>
      </w:r>
      <w:r w:rsidRPr="00434E45">
        <w:rPr>
          <w:rStyle w:val="AERsuperscript"/>
        </w:rPr>
        <w:footnoteReference w:id="116"/>
      </w:r>
      <w:r w:rsidRPr="00E978D2">
        <w:rPr>
          <w:rStyle w:val="AERbody"/>
        </w:rPr>
        <w:t xml:space="preserve"> </w:t>
      </w:r>
      <w:r>
        <w:rPr>
          <w:rStyle w:val="AERbody"/>
        </w:rPr>
        <w:t>Our preliminary position is to</w:t>
      </w:r>
      <w:r w:rsidRPr="00E978D2">
        <w:rPr>
          <w:rStyle w:val="AERbody"/>
        </w:rPr>
        <w:t xml:space="preserve"> classify public lighting as </w:t>
      </w:r>
      <w:r>
        <w:rPr>
          <w:rStyle w:val="AERbody"/>
        </w:rPr>
        <w:t xml:space="preserve">an </w:t>
      </w:r>
      <w:r w:rsidRPr="00E978D2">
        <w:rPr>
          <w:rStyle w:val="AERbody"/>
        </w:rPr>
        <w:t>alternative control serv</w:t>
      </w:r>
      <w:r>
        <w:rPr>
          <w:rStyle w:val="AERbody"/>
        </w:rPr>
        <w:t xml:space="preserve">ice, consistent with current </w:t>
      </w:r>
      <w:r w:rsidR="00A52024">
        <w:rPr>
          <w:rStyle w:val="AERbody"/>
        </w:rPr>
        <w:t>arrangements</w:t>
      </w:r>
      <w:r>
        <w:rPr>
          <w:rStyle w:val="AERbody"/>
        </w:rPr>
        <w:t>. This approach</w:t>
      </w:r>
      <w:r w:rsidRPr="00E978D2">
        <w:rPr>
          <w:rStyle w:val="AERbody"/>
        </w:rPr>
        <w:t xml:space="preserve"> provides scope for third parties and new entrants to provide public lighting services for new public lighting assets</w:t>
      </w:r>
      <w:r w:rsidR="00A52024">
        <w:rPr>
          <w:rStyle w:val="AERbody"/>
        </w:rPr>
        <w:t xml:space="preserve"> into the future</w:t>
      </w:r>
      <w:r w:rsidRPr="00E978D2">
        <w:rPr>
          <w:rStyle w:val="AERbody"/>
        </w:rPr>
        <w:t xml:space="preserve">. </w:t>
      </w:r>
      <w:r>
        <w:rPr>
          <w:rStyle w:val="AERbody"/>
        </w:rPr>
        <w:t>Hence, it</w:t>
      </w:r>
      <w:r w:rsidRPr="00E978D2">
        <w:rPr>
          <w:rStyle w:val="AERbody"/>
        </w:rPr>
        <w:t xml:space="preserve"> may encourage other potential service providers to enter the </w:t>
      </w:r>
      <w:r>
        <w:rPr>
          <w:rStyle w:val="AERbody"/>
        </w:rPr>
        <w:t>market in future</w:t>
      </w:r>
      <w:r w:rsidRPr="00E978D2">
        <w:rPr>
          <w:rStyle w:val="AERbody"/>
        </w:rPr>
        <w:t>.</w:t>
      </w:r>
      <w:r>
        <w:rPr>
          <w:rStyle w:val="FootnoteReference"/>
        </w:rPr>
        <w:footnoteReference w:id="117"/>
      </w:r>
      <w:r w:rsidRPr="00E978D2">
        <w:rPr>
          <w:rStyle w:val="AERbody"/>
        </w:rPr>
        <w:t xml:space="preserve"> </w:t>
      </w:r>
      <w:r>
        <w:rPr>
          <w:rStyle w:val="AERbody"/>
        </w:rPr>
        <w:t>T</w:t>
      </w:r>
      <w:r w:rsidRPr="00E978D2">
        <w:rPr>
          <w:rStyle w:val="AERbody"/>
        </w:rPr>
        <w:t>here would be no material effect on</w:t>
      </w:r>
      <w:r>
        <w:rPr>
          <w:rStyle w:val="AERbody"/>
        </w:rPr>
        <w:t xml:space="preserve"> administrative costs to us, Victorian </w:t>
      </w:r>
      <w:r w:rsidRPr="00E978D2">
        <w:rPr>
          <w:rStyle w:val="AERbody"/>
        </w:rPr>
        <w:t>distributors, users or potential users</w:t>
      </w:r>
      <w:r>
        <w:rPr>
          <w:rStyle w:val="AERbody"/>
        </w:rPr>
        <w:t>,</w:t>
      </w:r>
      <w:r w:rsidRPr="00E978D2">
        <w:rPr>
          <w:rStyle w:val="AERbody"/>
        </w:rPr>
        <w:t xml:space="preserve"> because we are retaining the current classification.</w:t>
      </w:r>
      <w:r>
        <w:rPr>
          <w:rStyle w:val="FootnoteReference"/>
        </w:rPr>
        <w:footnoteReference w:id="118"/>
      </w:r>
      <w:r w:rsidRPr="00E978D2">
        <w:rPr>
          <w:rStyle w:val="AERbody"/>
        </w:rPr>
        <w:t xml:space="preserve"> </w:t>
      </w:r>
      <w:r>
        <w:rPr>
          <w:rStyle w:val="AERbody"/>
        </w:rPr>
        <w:t>The Victorian distributors</w:t>
      </w:r>
      <w:r w:rsidRPr="00E978D2">
        <w:rPr>
          <w:rStyle w:val="AERbody"/>
        </w:rPr>
        <w:t xml:space="preserve"> can directly attribute the costs of providing public lighting services to a specific set of </w:t>
      </w:r>
      <w:r>
        <w:rPr>
          <w:rStyle w:val="AERbody"/>
        </w:rPr>
        <w:t xml:space="preserve">customers, such as </w:t>
      </w:r>
      <w:r w:rsidRPr="00E978D2">
        <w:rPr>
          <w:rStyle w:val="AERbody"/>
        </w:rPr>
        <w:t xml:space="preserve">local </w:t>
      </w:r>
      <w:r>
        <w:rPr>
          <w:rStyle w:val="AERbody"/>
        </w:rPr>
        <w:t xml:space="preserve">government </w:t>
      </w:r>
      <w:r w:rsidRPr="00E978D2">
        <w:rPr>
          <w:rStyle w:val="AERbody"/>
        </w:rPr>
        <w:t>councils.</w:t>
      </w:r>
      <w:r>
        <w:rPr>
          <w:rStyle w:val="FootnoteReference"/>
        </w:rPr>
        <w:footnoteReference w:id="119"/>
      </w:r>
      <w:r w:rsidRPr="00E978D2">
        <w:rPr>
          <w:rStyle w:val="AERbody"/>
        </w:rPr>
        <w:t xml:space="preserve"> </w:t>
      </w:r>
    </w:p>
    <w:p w:rsidR="00751B70" w:rsidRPr="003434F8" w:rsidRDefault="00751B70" w:rsidP="003434F8">
      <w:pPr>
        <w:pStyle w:val="HeadingBoldBlue"/>
        <w:rPr>
          <w:rStyle w:val="AERtexthighlight"/>
          <w:shd w:val="clear" w:color="auto" w:fill="auto"/>
        </w:rPr>
      </w:pPr>
      <w:r w:rsidRPr="003434F8">
        <w:rPr>
          <w:rStyle w:val="AERtexthighlight"/>
          <w:shd w:val="clear" w:color="auto" w:fill="auto"/>
        </w:rPr>
        <w:t>Emerging technology and greenfield sites</w:t>
      </w:r>
    </w:p>
    <w:p w:rsidR="00B83B93" w:rsidRPr="0053490C" w:rsidRDefault="00B83B93" w:rsidP="00770C24">
      <w:pPr>
        <w:pStyle w:val="AERbodytext"/>
        <w:rPr>
          <w:rStyle w:val="AERbody"/>
        </w:rPr>
      </w:pPr>
      <w:r w:rsidRPr="0053490C">
        <w:rPr>
          <w:rStyle w:val="AERbody"/>
        </w:rPr>
        <w:t>Our preliminary position on emerging technology is to continue the existing classification as a negotiated service.</w:t>
      </w:r>
      <w:r w:rsidR="00DF67EE" w:rsidRPr="0053490C">
        <w:rPr>
          <w:rStyle w:val="AERbody"/>
        </w:rPr>
        <w:t xml:space="preserve"> </w:t>
      </w:r>
      <w:r w:rsidRPr="0053490C">
        <w:rPr>
          <w:rStyle w:val="AERbody"/>
        </w:rPr>
        <w:t xml:space="preserve">In our initial consultation we received submissions from Trans Tasman Energy, Citelum, LED Innovations and LED Roadway Lighting. The common theme of </w:t>
      </w:r>
      <w:r w:rsidR="0053490C" w:rsidRPr="0053490C">
        <w:rPr>
          <w:rStyle w:val="AERbody"/>
        </w:rPr>
        <w:t>these</w:t>
      </w:r>
      <w:r w:rsidRPr="0053490C">
        <w:rPr>
          <w:rStyle w:val="AERbody"/>
        </w:rPr>
        <w:t xml:space="preserve"> submissions was to raise concern that the current regime for implementing new technology in lighting was slow and cumbersome.</w:t>
      </w:r>
      <w:r w:rsidR="0053490C">
        <w:rPr>
          <w:rStyle w:val="AERbody"/>
        </w:rPr>
        <w:t xml:space="preserve"> We agree. However, this is because of the need to satisfy a raft of safety, quality and energy usage requirements before the luminaires can be connected.</w:t>
      </w:r>
    </w:p>
    <w:p w:rsidR="00DF67EE" w:rsidRDefault="0053490C" w:rsidP="0053490C">
      <w:pPr>
        <w:pStyle w:val="AERbodytext"/>
        <w:rPr>
          <w:rStyle w:val="AERbody"/>
        </w:rPr>
      </w:pPr>
      <w:r w:rsidRPr="0053490C">
        <w:rPr>
          <w:rStyle w:val="AERbody"/>
        </w:rPr>
        <w:t>We n</w:t>
      </w:r>
      <w:r w:rsidR="00DF67EE" w:rsidRPr="0053490C">
        <w:rPr>
          <w:rStyle w:val="AERbody"/>
        </w:rPr>
        <w:t xml:space="preserve">ote </w:t>
      </w:r>
      <w:r w:rsidRPr="0053490C">
        <w:rPr>
          <w:rStyle w:val="AERbody"/>
        </w:rPr>
        <w:t xml:space="preserve">these </w:t>
      </w:r>
      <w:r w:rsidR="00DF67EE" w:rsidRPr="0053490C">
        <w:rPr>
          <w:rStyle w:val="AERbody"/>
        </w:rPr>
        <w:t xml:space="preserve">submissions had not suggested this was because of the </w:t>
      </w:r>
      <w:r w:rsidRPr="0053490C">
        <w:rPr>
          <w:rStyle w:val="AERbody"/>
        </w:rPr>
        <w:t xml:space="preserve">current service </w:t>
      </w:r>
      <w:r w:rsidR="00DF67EE" w:rsidRPr="0053490C">
        <w:rPr>
          <w:rStyle w:val="AERbody"/>
        </w:rPr>
        <w:t xml:space="preserve">classification. Rather, the issues raised </w:t>
      </w:r>
      <w:r>
        <w:rPr>
          <w:rStyle w:val="AERbody"/>
        </w:rPr>
        <w:t xml:space="preserve">tend to </w:t>
      </w:r>
      <w:r w:rsidR="00DF67EE" w:rsidRPr="0053490C">
        <w:rPr>
          <w:rStyle w:val="AERbody"/>
        </w:rPr>
        <w:t>confirm that there remain</w:t>
      </w:r>
      <w:r>
        <w:rPr>
          <w:rStyle w:val="AERbody"/>
        </w:rPr>
        <w:t>s</w:t>
      </w:r>
      <w:r w:rsidR="00DF67EE" w:rsidRPr="0053490C">
        <w:rPr>
          <w:rStyle w:val="AERbody"/>
        </w:rPr>
        <w:t xml:space="preserve"> a role for distributors in relation to </w:t>
      </w:r>
      <w:r>
        <w:rPr>
          <w:rStyle w:val="AERbody"/>
        </w:rPr>
        <w:t xml:space="preserve">many types of public lighting. This supports </w:t>
      </w:r>
      <w:r w:rsidR="00DF67EE" w:rsidRPr="0053490C">
        <w:rPr>
          <w:rStyle w:val="AERbody"/>
        </w:rPr>
        <w:t xml:space="preserve">our </w:t>
      </w:r>
      <w:r>
        <w:rPr>
          <w:rStyle w:val="AERbody"/>
        </w:rPr>
        <w:t xml:space="preserve">overall </w:t>
      </w:r>
      <w:r w:rsidR="00DF67EE" w:rsidRPr="0053490C">
        <w:rPr>
          <w:rStyle w:val="AERbody"/>
        </w:rPr>
        <w:t>view the service should be classified.</w:t>
      </w:r>
      <w:r>
        <w:rPr>
          <w:rStyle w:val="AERbody"/>
        </w:rPr>
        <w:t xml:space="preserve"> Were the service to be moved to either standard control or alternative control we believe the effect would be to add an additional layer of economic regulation to the factors which currently slow the adoption of emerging technologies. Consequently, we consider the </w:t>
      </w:r>
      <w:r w:rsidRPr="0053490C">
        <w:rPr>
          <w:rStyle w:val="AERbody"/>
        </w:rPr>
        <w:t xml:space="preserve">emerging technologies </w:t>
      </w:r>
      <w:r>
        <w:rPr>
          <w:rStyle w:val="AERbody"/>
        </w:rPr>
        <w:t>service should continue to be a negotiated service.</w:t>
      </w:r>
      <w:r w:rsidR="0087150B">
        <w:rPr>
          <w:rStyle w:val="AERbody"/>
        </w:rPr>
        <w:t xml:space="preserve"> </w:t>
      </w:r>
    </w:p>
    <w:p w:rsidR="0087150B" w:rsidRDefault="00602C74" w:rsidP="0053490C">
      <w:pPr>
        <w:pStyle w:val="AERbodytext"/>
        <w:rPr>
          <w:rStyle w:val="AERbody"/>
        </w:rPr>
      </w:pPr>
      <w:r>
        <w:rPr>
          <w:rStyle w:val="AERbody"/>
        </w:rPr>
        <w:t>In the recent consultation we</w:t>
      </w:r>
      <w:r w:rsidR="0087150B">
        <w:rPr>
          <w:rStyle w:val="AERbody"/>
        </w:rPr>
        <w:t xml:space="preserve"> received no comment on the classification of greenfield sites. </w:t>
      </w:r>
      <w:r>
        <w:rPr>
          <w:rStyle w:val="AERbody"/>
        </w:rPr>
        <w:t>We note that the Public Lighting Code remains the primary instrument regulating public lighting installations in Victoria. Distributors provide services necessary to implement the Code. Unless the Code is amended</w:t>
      </w:r>
      <w:r w:rsidR="00DB21BD">
        <w:rPr>
          <w:rStyle w:val="AERbody"/>
        </w:rPr>
        <w:t xml:space="preserve"> by the Victorian Government,</w:t>
      </w:r>
      <w:r>
        <w:rPr>
          <w:rStyle w:val="AERbody"/>
        </w:rPr>
        <w:t xml:space="preserve"> we expect current practices to continue. </w:t>
      </w:r>
      <w:r w:rsidR="0087150B">
        <w:rPr>
          <w:rStyle w:val="AERbody"/>
        </w:rPr>
        <w:t>Our preliminary position is to continue the current classification of greenfield sites as a negotiated service</w:t>
      </w:r>
      <w:r w:rsidR="002B6D2E">
        <w:rPr>
          <w:rStyle w:val="AERbody"/>
        </w:rPr>
        <w:t>.</w:t>
      </w:r>
    </w:p>
    <w:p w:rsidR="00DB21BD" w:rsidRPr="0053490C" w:rsidRDefault="00DB21BD" w:rsidP="00DB21BD">
      <w:pPr>
        <w:pStyle w:val="AERrevisionbox"/>
        <w:rPr>
          <w:rStyle w:val="AERbody"/>
        </w:rPr>
      </w:pPr>
      <w:r>
        <w:rPr>
          <w:rStyle w:val="AERbody"/>
        </w:rPr>
        <w:t>Is the current classification of greenfield sites and/or emerging technology as a negotiated service correct? Comments are sought on whether any other classification would be preferable for either service and if so, why?</w:t>
      </w:r>
    </w:p>
    <w:p w:rsidR="00770C24" w:rsidRDefault="00770C24" w:rsidP="00657F0A">
      <w:pPr>
        <w:pStyle w:val="HeadingBoldBlue"/>
        <w:rPr>
          <w:rStyle w:val="AERbody"/>
        </w:rPr>
      </w:pPr>
      <w:r w:rsidRPr="00657F0A">
        <w:rPr>
          <w:rStyle w:val="AERbody"/>
          <w:color w:val="365F91" w:themeColor="accent1" w:themeShade="BF"/>
          <w:sz w:val="24"/>
        </w:rPr>
        <w:t>Could public lighting be a negotiated service?</w:t>
      </w:r>
    </w:p>
    <w:p w:rsidR="00770C24" w:rsidRDefault="00C46613" w:rsidP="00770C24">
      <w:pPr>
        <w:pStyle w:val="AERbodytext"/>
        <w:rPr>
          <w:rStyle w:val="AERbody"/>
        </w:rPr>
      </w:pPr>
      <w:r w:rsidRPr="003434F8">
        <w:rPr>
          <w:rStyle w:val="AERbody"/>
        </w:rPr>
        <w:t>Our preference is to allow the competitive provision of services wherever practicable. We note the dissatisfaction expressed in submissions with the current approach to public lighting</w:t>
      </w:r>
      <w:r w:rsidR="00821903" w:rsidRPr="003434F8">
        <w:rPr>
          <w:rStyle w:val="AERbody"/>
        </w:rPr>
        <w:t>.</w:t>
      </w:r>
      <w:r w:rsidR="00821903">
        <w:t xml:space="preserve"> </w:t>
      </w:r>
      <w:r w:rsidR="00770C24" w:rsidRPr="00D8545A">
        <w:rPr>
          <w:rStyle w:val="AERbody"/>
        </w:rPr>
        <w:t xml:space="preserve">While our </w:t>
      </w:r>
      <w:r w:rsidR="00770C24">
        <w:rPr>
          <w:rStyle w:val="AERbody"/>
        </w:rPr>
        <w:t>preliminary</w:t>
      </w:r>
      <w:r w:rsidR="00770C24" w:rsidRPr="00D8545A">
        <w:rPr>
          <w:rStyle w:val="AERbody"/>
        </w:rPr>
        <w:t xml:space="preserve"> position is to continue the current classification approach, we think there may be a case to move to a negotiated service classification for public lighting services</w:t>
      </w:r>
      <w:r w:rsidR="00770C24">
        <w:rPr>
          <w:rStyle w:val="AERbody"/>
        </w:rPr>
        <w:t xml:space="preserve"> as a whole</w:t>
      </w:r>
      <w:r w:rsidR="00770C24" w:rsidRPr="00D8545A">
        <w:rPr>
          <w:rStyle w:val="AERbody"/>
        </w:rPr>
        <w:t xml:space="preserve">. </w:t>
      </w:r>
      <w:r w:rsidR="00770C24">
        <w:rPr>
          <w:rStyle w:val="AERbody"/>
        </w:rPr>
        <w:t xml:space="preserve">We do not consider, at this time, a further move to not classify public lighting services is warranted. However, there may be scope to allow distributors and customers to negotiate public lighting services under the framework established by the rules. </w:t>
      </w:r>
    </w:p>
    <w:p w:rsidR="00770C24" w:rsidRDefault="00770C24" w:rsidP="00770C24">
      <w:pPr>
        <w:pStyle w:val="AERbodytext"/>
        <w:rPr>
          <w:rStyle w:val="AERbody"/>
        </w:rPr>
      </w:pPr>
      <w:r w:rsidRPr="00D8545A">
        <w:rPr>
          <w:rStyle w:val="AERbody"/>
        </w:rPr>
        <w:lastRenderedPageBreak/>
        <w:t xml:space="preserve">Local councils are experienced in procuring services and are large </w:t>
      </w:r>
      <w:r>
        <w:rPr>
          <w:rStyle w:val="AERbody"/>
        </w:rPr>
        <w:t>customer</w:t>
      </w:r>
      <w:r w:rsidRPr="00D8545A">
        <w:rPr>
          <w:rStyle w:val="AERbody"/>
        </w:rPr>
        <w:t>s relative to households and small businesses.</w:t>
      </w:r>
      <w:r>
        <w:rPr>
          <w:rStyle w:val="AERbody"/>
        </w:rPr>
        <w:t xml:space="preserve"> Also,</w:t>
      </w:r>
      <w:r w:rsidRPr="00D8545A">
        <w:rPr>
          <w:rStyle w:val="AERbody"/>
        </w:rPr>
        <w:t xml:space="preserve"> </w:t>
      </w:r>
      <w:r>
        <w:rPr>
          <w:rStyle w:val="AERbody"/>
        </w:rPr>
        <w:t>local councils are not required</w:t>
      </w:r>
      <w:r w:rsidRPr="001B34F4">
        <w:rPr>
          <w:rStyle w:val="AERbody"/>
        </w:rPr>
        <w:t xml:space="preserve"> to ask </w:t>
      </w:r>
      <w:r w:rsidR="00743083">
        <w:rPr>
          <w:rStyle w:val="AERbody"/>
        </w:rPr>
        <w:t>the distributors</w:t>
      </w:r>
      <w:r>
        <w:rPr>
          <w:rStyle w:val="AERbody"/>
        </w:rPr>
        <w:t xml:space="preserve"> </w:t>
      </w:r>
      <w:r w:rsidRPr="001B34F4">
        <w:rPr>
          <w:rStyle w:val="AERbody"/>
        </w:rPr>
        <w:t xml:space="preserve">to provide, operate and maintain their street lighting assets. </w:t>
      </w:r>
      <w:r>
        <w:rPr>
          <w:rStyle w:val="AERbody"/>
        </w:rPr>
        <w:t>As public lighting c</w:t>
      </w:r>
      <w:r w:rsidRPr="001B34F4">
        <w:rPr>
          <w:rStyle w:val="AERbody"/>
        </w:rPr>
        <w:t>ustomers</w:t>
      </w:r>
      <w:r>
        <w:rPr>
          <w:rStyle w:val="AERbody"/>
        </w:rPr>
        <w:t>, they</w:t>
      </w:r>
      <w:r w:rsidRPr="001B34F4">
        <w:rPr>
          <w:rStyle w:val="AERbody"/>
        </w:rPr>
        <w:t xml:space="preserve"> have the option of providing (and owning), operating and maintaining their own light</w:t>
      </w:r>
      <w:r>
        <w:rPr>
          <w:rStyle w:val="AERbody"/>
        </w:rPr>
        <w:t xml:space="preserve">s, thereby avoiding </w:t>
      </w:r>
      <w:r w:rsidR="00743083">
        <w:rPr>
          <w:rStyle w:val="AERbody"/>
        </w:rPr>
        <w:t>the distributor's</w:t>
      </w:r>
      <w:r>
        <w:rPr>
          <w:rStyle w:val="AERbody"/>
        </w:rPr>
        <w:t xml:space="preserve"> </w:t>
      </w:r>
      <w:r w:rsidRPr="001B34F4">
        <w:rPr>
          <w:rStyle w:val="AERbody"/>
        </w:rPr>
        <w:t>physical public lighting services (by us</w:t>
      </w:r>
      <w:r>
        <w:rPr>
          <w:rStyle w:val="AERbody"/>
        </w:rPr>
        <w:t>ing an ‘energy only’ service).</w:t>
      </w:r>
      <w:r w:rsidRPr="001B34F4">
        <w:rPr>
          <w:rStyle w:val="AERbody"/>
        </w:rPr>
        <w:t xml:space="preserve"> </w:t>
      </w:r>
      <w:r w:rsidR="002B6D2E">
        <w:rPr>
          <w:rStyle w:val="AERbody"/>
        </w:rPr>
        <w:t xml:space="preserve">In </w:t>
      </w:r>
      <w:r w:rsidR="00B36D93">
        <w:rPr>
          <w:rStyle w:val="AERbody"/>
        </w:rPr>
        <w:t>essence</w:t>
      </w:r>
      <w:r w:rsidR="002B6D2E">
        <w:rPr>
          <w:rStyle w:val="AERbody"/>
        </w:rPr>
        <w:t>, they may ask the developer of a gr</w:t>
      </w:r>
      <w:r w:rsidR="00B36D93">
        <w:rPr>
          <w:rStyle w:val="AERbody"/>
        </w:rPr>
        <w:t>e</w:t>
      </w:r>
      <w:r w:rsidR="002B6D2E">
        <w:rPr>
          <w:rStyle w:val="AERbody"/>
        </w:rPr>
        <w:t xml:space="preserve">enfield site to </w:t>
      </w:r>
      <w:r w:rsidR="00B36D93">
        <w:rPr>
          <w:rStyle w:val="AERbody"/>
        </w:rPr>
        <w:t>vest the</w:t>
      </w:r>
      <w:r w:rsidR="002B6D2E">
        <w:rPr>
          <w:rStyle w:val="AERbody"/>
        </w:rPr>
        <w:t xml:space="preserve"> public lighting assets to the councils, rather than the distributor. </w:t>
      </w:r>
      <w:r>
        <w:rPr>
          <w:rStyle w:val="AERbody"/>
        </w:rPr>
        <w:t>Or they may only employ</w:t>
      </w:r>
      <w:r w:rsidRPr="001B34F4">
        <w:rPr>
          <w:rStyle w:val="AERbody"/>
        </w:rPr>
        <w:t xml:space="preserve"> </w:t>
      </w:r>
      <w:r w:rsidR="00743083">
        <w:rPr>
          <w:rStyle w:val="AERbody"/>
        </w:rPr>
        <w:t>the distributor</w:t>
      </w:r>
      <w:r>
        <w:rPr>
          <w:rStyle w:val="AERbody"/>
        </w:rPr>
        <w:t xml:space="preserve"> t</w:t>
      </w:r>
      <w:r w:rsidRPr="001B34F4">
        <w:rPr>
          <w:rStyle w:val="AERbody"/>
        </w:rPr>
        <w:t>o replace failed light bulbs.</w:t>
      </w:r>
      <w:r>
        <w:rPr>
          <w:rStyle w:val="AERbody"/>
        </w:rPr>
        <w:t xml:space="preserve"> We consider</w:t>
      </w:r>
      <w:r w:rsidRPr="001B34F4">
        <w:rPr>
          <w:rStyle w:val="AERbody"/>
        </w:rPr>
        <w:t xml:space="preserve"> these options could provide some countervailing power to </w:t>
      </w:r>
      <w:r w:rsidR="002B6D2E">
        <w:rPr>
          <w:rStyle w:val="AERbody"/>
        </w:rPr>
        <w:t>local councils</w:t>
      </w:r>
      <w:r w:rsidRPr="001B34F4">
        <w:rPr>
          <w:rStyle w:val="AERbody"/>
        </w:rPr>
        <w:t xml:space="preserve"> </w:t>
      </w:r>
      <w:r>
        <w:rPr>
          <w:rStyle w:val="AERbody"/>
        </w:rPr>
        <w:t>and</w:t>
      </w:r>
      <w:r w:rsidRPr="001B34F4">
        <w:rPr>
          <w:rStyle w:val="AERbody"/>
        </w:rPr>
        <w:t xml:space="preserve"> place some competitive </w:t>
      </w:r>
      <w:r w:rsidR="002B6D2E">
        <w:rPr>
          <w:rStyle w:val="AERbody"/>
        </w:rPr>
        <w:t xml:space="preserve">pressure on </w:t>
      </w:r>
      <w:r w:rsidR="00B36D93">
        <w:rPr>
          <w:rStyle w:val="AERbody"/>
        </w:rPr>
        <w:t xml:space="preserve">the pricing of </w:t>
      </w:r>
      <w:r w:rsidRPr="001B34F4">
        <w:rPr>
          <w:rStyle w:val="AERbody"/>
        </w:rPr>
        <w:t>public lighting services.</w:t>
      </w:r>
    </w:p>
    <w:p w:rsidR="00770C24" w:rsidRDefault="00770C24" w:rsidP="00770C24">
      <w:pPr>
        <w:pStyle w:val="AERbodytext"/>
        <w:rPr>
          <w:rStyle w:val="AERbody"/>
        </w:rPr>
      </w:pPr>
      <w:r w:rsidRPr="00D8545A">
        <w:rPr>
          <w:rStyle w:val="AERbody"/>
        </w:rPr>
        <w:t xml:space="preserve">Public lighting is also an area of rapid technological innovation. </w:t>
      </w:r>
      <w:r>
        <w:rPr>
          <w:rStyle w:val="AERbody"/>
        </w:rPr>
        <w:t xml:space="preserve">Emerging </w:t>
      </w:r>
      <w:r w:rsidRPr="00D8545A">
        <w:rPr>
          <w:rStyle w:val="AERbody"/>
        </w:rPr>
        <w:t xml:space="preserve">technologies offer more energy efficient lighting services. </w:t>
      </w:r>
      <w:r w:rsidR="005A4670">
        <w:rPr>
          <w:rStyle w:val="AERbody"/>
        </w:rPr>
        <w:t>We know that municipal councils value this</w:t>
      </w:r>
      <w:r w:rsidR="00181ED8">
        <w:rPr>
          <w:rStyle w:val="AERbody"/>
        </w:rPr>
        <w:t xml:space="preserve"> a</w:t>
      </w:r>
      <w:r w:rsidR="005A4670">
        <w:rPr>
          <w:rStyle w:val="AERbody"/>
        </w:rPr>
        <w:t>s</w:t>
      </w:r>
      <w:r w:rsidR="00181ED8">
        <w:rPr>
          <w:rStyle w:val="AERbody"/>
        </w:rPr>
        <w:t xml:space="preserve"> </w:t>
      </w:r>
      <w:r w:rsidR="005A4670">
        <w:rPr>
          <w:rStyle w:val="AERbody"/>
        </w:rPr>
        <w:t>a new offering to their ratepayers</w:t>
      </w:r>
      <w:r w:rsidR="00B36D93">
        <w:rPr>
          <w:rStyle w:val="AERbody"/>
        </w:rPr>
        <w:t xml:space="preserve">. </w:t>
      </w:r>
      <w:r>
        <w:rPr>
          <w:rStyle w:val="AERbody"/>
        </w:rPr>
        <w:t xml:space="preserve">When public lighting is classified as an alternative control service, we must make a determination on the prices customers will pay. A distributor must ask us to approve its proposed capital and maintenance charges for </w:t>
      </w:r>
      <w:r w:rsidR="00491ECF">
        <w:rPr>
          <w:rStyle w:val="AERbody"/>
        </w:rPr>
        <w:t>an</w:t>
      </w:r>
      <w:r>
        <w:rPr>
          <w:rStyle w:val="AERbody"/>
        </w:rPr>
        <w:t xml:space="preserve"> emerging technology, such as a new luminaire, within the regulatory control period. This process adds a time delay to the adoption of emerging technologies. Allowing local councils to negotiate the price of their public lighting services may facilitate faster uptake of new lighting technologies. </w:t>
      </w:r>
    </w:p>
    <w:p w:rsidR="00770C24" w:rsidRDefault="00770C24" w:rsidP="00770C24">
      <w:pPr>
        <w:pStyle w:val="AERbodytext"/>
        <w:rPr>
          <w:rStyle w:val="AERbody"/>
        </w:rPr>
      </w:pPr>
      <w:r>
        <w:rPr>
          <w:rStyle w:val="AERbody"/>
        </w:rPr>
        <w:t xml:space="preserve">We are not aware of calls for greater levels of involvement in setting prices or service levels for public lighting that would in turn suggest a different approach to classification. Our views on this issue are preliminary and yet to be informed by stakeholder views. We encourage stakeholder submissions on this issue and will seek to liaise with local councils and other interested stakeholders on the potential to change our current approach. </w:t>
      </w:r>
    </w:p>
    <w:p w:rsidR="00644B5D" w:rsidRDefault="00644B5D" w:rsidP="00644B5D">
      <w:pPr>
        <w:pStyle w:val="AERrevisionbox"/>
      </w:pPr>
      <w:r>
        <w:t xml:space="preserve">We seek stakeholder submission on the potential to classify </w:t>
      </w:r>
      <w:r w:rsidR="0087150B">
        <w:t xml:space="preserve">all </w:t>
      </w:r>
      <w:r>
        <w:t xml:space="preserve">public lighting as a negotiated service. </w:t>
      </w:r>
    </w:p>
    <w:p w:rsidR="00770C24" w:rsidRPr="00657F0A" w:rsidRDefault="00770C24" w:rsidP="00295919">
      <w:pPr>
        <w:pStyle w:val="Heading2"/>
        <w:rPr>
          <w:rStyle w:val="AERbody"/>
          <w:color w:val="E36C0A"/>
          <w:sz w:val="28"/>
        </w:rPr>
      </w:pPr>
      <w:bookmarkStart w:id="60" w:name="_Toc328151187"/>
      <w:bookmarkStart w:id="61" w:name="_Toc351730000"/>
      <w:bookmarkStart w:id="62" w:name="_Toc374085336"/>
      <w:bookmarkStart w:id="63" w:name="_Toc387418352"/>
      <w:bookmarkStart w:id="64" w:name="_Toc388976506"/>
      <w:r w:rsidRPr="00657F0A">
        <w:rPr>
          <w:rStyle w:val="AERbody"/>
          <w:color w:val="E36C0A"/>
          <w:sz w:val="28"/>
        </w:rPr>
        <w:t>AER's preliminary approach to service classification</w:t>
      </w:r>
      <w:bookmarkEnd w:id="60"/>
      <w:bookmarkEnd w:id="61"/>
      <w:bookmarkEnd w:id="62"/>
      <w:bookmarkEnd w:id="63"/>
      <w:bookmarkEnd w:id="64"/>
    </w:p>
    <w:p w:rsidR="00770C24" w:rsidRDefault="00770C24" w:rsidP="00770C24">
      <w:pPr>
        <w:numPr>
          <w:ilvl w:val="0"/>
          <w:numId w:val="13"/>
        </w:numPr>
        <w:rPr>
          <w:rStyle w:val="AERbody"/>
        </w:rPr>
      </w:pPr>
      <w:r w:rsidRPr="00FB0913">
        <w:rPr>
          <w:rStyle w:val="AERbody"/>
        </w:rPr>
        <w:t xml:space="preserve">In summary, we intend to group and classify </w:t>
      </w:r>
      <w:r w:rsidR="00FF531D">
        <w:rPr>
          <w:rStyle w:val="AERbody"/>
        </w:rPr>
        <w:t xml:space="preserve">the </w:t>
      </w:r>
      <w:r w:rsidR="00850953">
        <w:rPr>
          <w:rStyle w:val="AERbody"/>
        </w:rPr>
        <w:t xml:space="preserve">Victorian </w:t>
      </w:r>
      <w:r w:rsidR="00FF531D">
        <w:rPr>
          <w:rStyle w:val="AERbody"/>
        </w:rPr>
        <w:t>distributors'</w:t>
      </w:r>
      <w:r w:rsidRPr="00FB0913">
        <w:rPr>
          <w:rStyle w:val="AERbody"/>
        </w:rPr>
        <w:t xml:space="preserve"> distribution services as set out in </w:t>
      </w:r>
      <w:r w:rsidRPr="007817BF">
        <w:rPr>
          <w:rStyle w:val="AERbody"/>
        </w:rPr>
        <w:t>Appendix B</w:t>
      </w:r>
      <w:r w:rsidRPr="00FB0913">
        <w:rPr>
          <w:rStyle w:val="AERbody"/>
        </w:rPr>
        <w:t>.</w:t>
      </w:r>
    </w:p>
    <w:p w:rsidR="00FA0F3B" w:rsidRPr="00FA0F3B" w:rsidRDefault="00FA0F3B" w:rsidP="00FA0F3B">
      <w:pPr>
        <w:pStyle w:val="AERbodytext"/>
      </w:pPr>
    </w:p>
    <w:p w:rsidR="00084259" w:rsidRPr="00FA0F3B" w:rsidRDefault="00084259" w:rsidP="00FA0F3B">
      <w:pPr>
        <w:pStyle w:val="Heading1"/>
      </w:pPr>
      <w:bookmarkStart w:id="65" w:name="_Toc388976507"/>
      <w:r w:rsidRPr="00FA0F3B">
        <w:lastRenderedPageBreak/>
        <w:t>Control mechanisms</w:t>
      </w:r>
      <w:bookmarkEnd w:id="65"/>
    </w:p>
    <w:p w:rsidR="00FA0F3B" w:rsidRPr="00287570" w:rsidRDefault="00FA0F3B" w:rsidP="00FA0F3B">
      <w:pPr>
        <w:pStyle w:val="AERbodytext"/>
      </w:pPr>
      <w:r w:rsidRPr="00287570">
        <w:t xml:space="preserve">This </w:t>
      </w:r>
      <w:r>
        <w:t>attachment</w:t>
      </w:r>
      <w:r w:rsidRPr="00287570">
        <w:t xml:space="preserve"> sets out </w:t>
      </w:r>
      <w:r>
        <w:t xml:space="preserve">our proposed form of </w:t>
      </w:r>
      <w:r w:rsidRPr="00287570">
        <w:t xml:space="preserve">control mechanisms </w:t>
      </w:r>
      <w:r>
        <w:t xml:space="preserve">to apply to the </w:t>
      </w:r>
      <w:r w:rsidR="00850953">
        <w:t xml:space="preserve">Victorian </w:t>
      </w:r>
      <w:r w:rsidRPr="00287570">
        <w:t xml:space="preserve">distributors' direct control services for </w:t>
      </w:r>
      <w:r>
        <w:t>the 201</w:t>
      </w:r>
      <w:r w:rsidR="007B0521">
        <w:t>6</w:t>
      </w:r>
      <w:r>
        <w:t>–20 regulatory control period</w:t>
      </w:r>
      <w:r w:rsidRPr="00287570">
        <w:t xml:space="preserve">. This </w:t>
      </w:r>
      <w:r>
        <w:t>section</w:t>
      </w:r>
      <w:r w:rsidRPr="00287570">
        <w:t xml:space="preserve"> also sets out </w:t>
      </w:r>
      <w:r>
        <w:t>our</w:t>
      </w:r>
      <w:r w:rsidRPr="00287570">
        <w:t xml:space="preserve"> proposed approach on the formulae to give effect to the control mechanisms for direct control services. </w:t>
      </w:r>
    </w:p>
    <w:p w:rsidR="00FA0F3B" w:rsidRPr="00287570" w:rsidRDefault="00FA0F3B" w:rsidP="00FA0F3B">
      <w:pPr>
        <w:pStyle w:val="AERbodytext"/>
      </w:pPr>
      <w:r>
        <w:t>Our</w:t>
      </w:r>
      <w:r w:rsidRPr="00287570">
        <w:t xml:space="preserve"> distribution determination must impose controls over the prices (and/or revenues) of direct control services. This paper states </w:t>
      </w:r>
      <w:r>
        <w:t>our preliminary positions</w:t>
      </w:r>
      <w:r w:rsidRPr="00287570">
        <w:t xml:space="preserve">, together with our reasons, on the form(s) of the control mechanism(s) to apply to direct control services in </w:t>
      </w:r>
      <w:r>
        <w:t xml:space="preserve">the determination for </w:t>
      </w:r>
      <w:r w:rsidRPr="00287570">
        <w:t xml:space="preserve">the </w:t>
      </w:r>
      <w:r w:rsidR="007B0521">
        <w:t>2016</w:t>
      </w:r>
      <w:r>
        <w:t>–20 regulatory control period</w:t>
      </w:r>
      <w:r w:rsidRPr="00287570">
        <w:t>. We classify direct control services as standard control services or alternative control services. Different control mechanisms may apply to each of these classifications, or to different services within the same classification.</w:t>
      </w:r>
      <w:r w:rsidR="007B0521">
        <w:t xml:space="preserve"> </w:t>
      </w:r>
      <w:r>
        <w:t>Attachment 1</w:t>
      </w:r>
      <w:r w:rsidRPr="00287570">
        <w:t xml:space="preserve"> provides our proposed classification of </w:t>
      </w:r>
      <w:r w:rsidR="00850953">
        <w:t xml:space="preserve">Victorian </w:t>
      </w:r>
      <w:r w:rsidRPr="00287570">
        <w:t>distribution services.</w:t>
      </w:r>
    </w:p>
    <w:p w:rsidR="00FA0F3B" w:rsidRPr="00287570" w:rsidRDefault="00FA0F3B" w:rsidP="00FA0F3B">
      <w:pPr>
        <w:pStyle w:val="AERbodytext"/>
      </w:pPr>
      <w:r w:rsidRPr="00287570">
        <w:t xml:space="preserve">We can only approve the </w:t>
      </w:r>
      <w:r>
        <w:t>forms of control</w:t>
      </w:r>
      <w:r w:rsidRPr="00287570">
        <w:t xml:space="preserve"> in a distributor’s regulatory proposal if </w:t>
      </w:r>
      <w:r>
        <w:t>is</w:t>
      </w:r>
      <w:r w:rsidRPr="00287570">
        <w:t xml:space="preserve"> </w:t>
      </w:r>
      <w:r>
        <w:t>identical to that</w:t>
      </w:r>
      <w:r w:rsidRPr="00287570">
        <w:t xml:space="preserve"> set out in </w:t>
      </w:r>
      <w:r>
        <w:t>our</w:t>
      </w:r>
      <w:r w:rsidRPr="00287570">
        <w:t xml:space="preserve"> F&amp;A paper.</w:t>
      </w:r>
      <w:r>
        <w:rPr>
          <w:rStyle w:val="FootnoteReference"/>
        </w:rPr>
        <w:footnoteReference w:id="120"/>
      </w:r>
      <w:r w:rsidRPr="00287570">
        <w:t xml:space="preserve"> </w:t>
      </w:r>
      <w:r>
        <w:t xml:space="preserve">Additionally, the </w:t>
      </w:r>
      <w:r w:rsidRPr="00287570">
        <w:t xml:space="preserve">formulae </w:t>
      </w:r>
      <w:r>
        <w:t>that</w:t>
      </w:r>
      <w:r w:rsidRPr="00287570">
        <w:t xml:space="preserve"> give effect to the control mechanisms in a distributor's regulatory proposal </w:t>
      </w:r>
      <w:r>
        <w:t>must be the</w:t>
      </w:r>
      <w:r w:rsidRPr="00287570">
        <w:t xml:space="preserve"> same as the formulae set out in </w:t>
      </w:r>
      <w:r>
        <w:t>our</w:t>
      </w:r>
      <w:r w:rsidRPr="00287570">
        <w:t xml:space="preserve"> F&amp;A paper, unless we consider that unforeseen circumstances justify departing from the formulae set out in </w:t>
      </w:r>
      <w:r>
        <w:t>that</w:t>
      </w:r>
      <w:r w:rsidRPr="00287570">
        <w:t xml:space="preserve"> paper.</w:t>
      </w:r>
      <w:r>
        <w:rPr>
          <w:rStyle w:val="FootnoteReference"/>
        </w:rPr>
        <w:footnoteReference w:id="121"/>
      </w:r>
      <w:r w:rsidRPr="00287570">
        <w:t xml:space="preserve"> </w:t>
      </w:r>
    </w:p>
    <w:p w:rsidR="00FA0F3B" w:rsidRPr="00FA0F3B" w:rsidRDefault="00FA0F3B" w:rsidP="00FA0F3B">
      <w:pPr>
        <w:pStyle w:val="Heading2"/>
      </w:pPr>
      <w:bookmarkStart w:id="66" w:name="_Toc374085338"/>
      <w:bookmarkStart w:id="67" w:name="_Toc387418354"/>
      <w:bookmarkStart w:id="68" w:name="_Toc388976508"/>
      <w:r w:rsidRPr="00FA0F3B">
        <w:t>AER's preliminary position</w:t>
      </w:r>
      <w:bookmarkEnd w:id="66"/>
      <w:bookmarkEnd w:id="67"/>
      <w:bookmarkEnd w:id="68"/>
    </w:p>
    <w:p w:rsidR="00FA0F3B" w:rsidRPr="00287570" w:rsidRDefault="00FA0F3B" w:rsidP="00FA0F3B">
      <w:pPr>
        <w:pStyle w:val="AERbodytext"/>
      </w:pPr>
      <w:r>
        <w:t>Our</w:t>
      </w:r>
      <w:r w:rsidRPr="00287570">
        <w:t xml:space="preserve"> </w:t>
      </w:r>
      <w:r>
        <w:t>preliminary position</w:t>
      </w:r>
      <w:r w:rsidRPr="00287570">
        <w:t xml:space="preserve"> is to apply the following forms of control in the </w:t>
      </w:r>
      <w:r>
        <w:t>201</w:t>
      </w:r>
      <w:r w:rsidR="007B0521">
        <w:t>6</w:t>
      </w:r>
      <w:r>
        <w:t>–20 regulatory control period</w:t>
      </w:r>
      <w:r w:rsidRPr="00287570">
        <w:t>:</w:t>
      </w:r>
    </w:p>
    <w:p w:rsidR="00FA0F3B" w:rsidRPr="00287570" w:rsidRDefault="00FA0F3B" w:rsidP="00FA0F3B">
      <w:pPr>
        <w:pStyle w:val="AERbulletlistfirststyle"/>
      </w:pPr>
      <w:r w:rsidRPr="00287570">
        <w:t>Revenue cap</w:t>
      </w:r>
      <w:r w:rsidR="0018792F">
        <w:t xml:space="preserve"> </w:t>
      </w:r>
      <w:r w:rsidRPr="00287570">
        <w:t xml:space="preserve">— for services </w:t>
      </w:r>
      <w:r>
        <w:t>we classify</w:t>
      </w:r>
      <w:r w:rsidRPr="00287570">
        <w:t xml:space="preserve"> as standard control services. </w:t>
      </w:r>
    </w:p>
    <w:p w:rsidR="00FA0F3B" w:rsidRDefault="00FA0F3B" w:rsidP="00FA0F3B">
      <w:pPr>
        <w:pStyle w:val="AERbulletlistfirststyle"/>
      </w:pPr>
      <w:r w:rsidRPr="00287570">
        <w:t>Caps on the prices of individual services</w:t>
      </w:r>
      <w:r w:rsidR="0018792F">
        <w:t xml:space="preserve"> </w:t>
      </w:r>
      <w:r w:rsidRPr="00287570">
        <w:t xml:space="preserve">— for services </w:t>
      </w:r>
      <w:r>
        <w:t>we classify</w:t>
      </w:r>
      <w:r w:rsidRPr="00287570">
        <w:t xml:space="preserve"> as alternative control services.</w:t>
      </w:r>
    </w:p>
    <w:p w:rsidR="00FA0F3B" w:rsidRPr="00FA0F3B" w:rsidRDefault="00FA0F3B" w:rsidP="00FA0F3B">
      <w:pPr>
        <w:pStyle w:val="Heading2"/>
      </w:pPr>
      <w:bookmarkStart w:id="69" w:name="_Toc374085339"/>
      <w:bookmarkStart w:id="70" w:name="_Toc387418355"/>
      <w:bookmarkStart w:id="71" w:name="_Toc388976509"/>
      <w:r w:rsidRPr="00FA0F3B">
        <w:t>AER's assessment approach</w:t>
      </w:r>
      <w:bookmarkEnd w:id="69"/>
      <w:bookmarkEnd w:id="70"/>
      <w:bookmarkEnd w:id="71"/>
    </w:p>
    <w:p w:rsidR="00FA0F3B" w:rsidRPr="00FA0F3B" w:rsidRDefault="00FA0F3B" w:rsidP="00FA0F3B">
      <w:pPr>
        <w:pStyle w:val="AERbodytext"/>
        <w:rPr>
          <w:rFonts w:eastAsia="Calibri"/>
        </w:rPr>
      </w:pPr>
      <w:r w:rsidRPr="00FA0F3B">
        <w:rPr>
          <w:rFonts w:eastAsia="Calibri"/>
        </w:rPr>
        <w:t>Our consideration of the control mechanisms for direct control services consists of three parts:</w:t>
      </w:r>
    </w:p>
    <w:p w:rsidR="00FA0F3B" w:rsidRPr="00FA0F3B" w:rsidRDefault="00FA0F3B" w:rsidP="00FA0F3B">
      <w:pPr>
        <w:pStyle w:val="AERbulletlistfirststyle"/>
        <w:rPr>
          <w:rFonts w:eastAsia="Calibri"/>
        </w:rPr>
      </w:pPr>
      <w:r w:rsidRPr="00FA0F3B">
        <w:rPr>
          <w:rFonts w:eastAsia="Calibri"/>
        </w:rPr>
        <w:t>the form of the control mechanisms</w:t>
      </w:r>
      <w:r w:rsidRPr="00FA0F3B">
        <w:rPr>
          <w:rStyle w:val="FootnoteReference"/>
          <w:rFonts w:eastAsia="Calibri"/>
        </w:rPr>
        <w:footnoteReference w:id="122"/>
      </w:r>
    </w:p>
    <w:p w:rsidR="00FA0F3B" w:rsidRPr="00AD173A" w:rsidRDefault="00FA0F3B" w:rsidP="00FA0F3B">
      <w:pPr>
        <w:pStyle w:val="AERbulletlistfirststyle"/>
      </w:pPr>
      <w:r w:rsidRPr="00FA0F3B">
        <w:rPr>
          <w:rFonts w:eastAsia="Calibri"/>
        </w:rPr>
        <w:t>the formulae to give effect to the control mechanisms</w:t>
      </w:r>
    </w:p>
    <w:p w:rsidR="00FA0F3B" w:rsidRPr="005B6ED3" w:rsidRDefault="00FA0F3B" w:rsidP="00FA0F3B">
      <w:pPr>
        <w:pStyle w:val="AERbulletlistfirststyle"/>
      </w:pPr>
      <w:r w:rsidRPr="00FA0F3B">
        <w:rPr>
          <w:rFonts w:eastAsia="Calibri"/>
        </w:rPr>
        <w:t>the basis of the control mechanism</w:t>
      </w:r>
      <w:r w:rsidRPr="00FA0F3B">
        <w:rPr>
          <w:rStyle w:val="FootnoteReference"/>
          <w:rFonts w:eastAsia="Calibri"/>
        </w:rPr>
        <w:footnoteReference w:id="123"/>
      </w:r>
    </w:p>
    <w:p w:rsidR="00FA0F3B" w:rsidRPr="00FA0F3B" w:rsidRDefault="00FA0F3B" w:rsidP="00FA0F3B">
      <w:pPr>
        <w:pStyle w:val="AERbodytext"/>
        <w:rPr>
          <w:rFonts w:eastAsia="Calibri"/>
        </w:rPr>
      </w:pPr>
      <w:r w:rsidRPr="00FA0F3B">
        <w:rPr>
          <w:rFonts w:eastAsia="Calibri"/>
        </w:rPr>
        <w:t>The rules set out the control mechanisms that may apply to both standard and alternative control services:</w:t>
      </w:r>
      <w:r w:rsidRPr="00FA0F3B">
        <w:rPr>
          <w:rStyle w:val="FootnoteReference"/>
          <w:rFonts w:eastAsia="Calibri"/>
        </w:rPr>
        <w:footnoteReference w:id="124"/>
      </w:r>
    </w:p>
    <w:p w:rsidR="00FA0F3B" w:rsidRPr="00FA0F3B" w:rsidRDefault="00FA0F3B" w:rsidP="00FA0F3B">
      <w:pPr>
        <w:pStyle w:val="AERbulletlistfirststyle"/>
        <w:rPr>
          <w:rFonts w:eastAsia="Calibri"/>
        </w:rPr>
      </w:pPr>
      <w:r w:rsidRPr="00FA0F3B">
        <w:rPr>
          <w:rFonts w:eastAsia="Calibri"/>
        </w:rPr>
        <w:t>a schedule of fixed prices</w:t>
      </w:r>
    </w:p>
    <w:p w:rsidR="00FA0F3B" w:rsidRPr="004001CB" w:rsidRDefault="00FA0F3B" w:rsidP="00FA0F3B">
      <w:pPr>
        <w:pStyle w:val="AERbodytextindent1"/>
      </w:pPr>
      <w:r w:rsidRPr="004001CB">
        <w:t xml:space="preserve">A schedule of fixed prices specifies a price for every service provided by a distributor. The specified prices are escalated annually by inflation, the X factor and applicable adjustment </w:t>
      </w:r>
      <w:r w:rsidRPr="004001CB">
        <w:lastRenderedPageBreak/>
        <w:t>factors. Distributors comply with the constraint by submitting prices matching the schedule in the first year and then escalated prices in subsequent years.</w:t>
      </w:r>
    </w:p>
    <w:p w:rsidR="00FA0F3B" w:rsidRPr="004F2B1B" w:rsidRDefault="00FA0F3B" w:rsidP="00FA0F3B">
      <w:pPr>
        <w:pStyle w:val="AERbulletlistfirststyle"/>
      </w:pPr>
      <w:r w:rsidRPr="00FA0F3B">
        <w:rPr>
          <w:rFonts w:eastAsia="Calibri"/>
        </w:rPr>
        <w:t>caps on the prices of individual services</w:t>
      </w:r>
      <w:r w:rsidRPr="00FA0F3B">
        <w:rPr>
          <w:rStyle w:val="FootnoteReference"/>
          <w:rFonts w:eastAsia="Calibri"/>
        </w:rPr>
        <w:footnoteReference w:id="125"/>
      </w:r>
    </w:p>
    <w:p w:rsidR="00FA0F3B" w:rsidRPr="004001CB" w:rsidRDefault="00FA0F3B" w:rsidP="00FA0F3B">
      <w:pPr>
        <w:pStyle w:val="AERbodytextindent1"/>
      </w:pPr>
      <w:r w:rsidRPr="004001CB">
        <w:t>Caps on the prices of individual services are the same as a schedule of fixed prices except that a distributor may set prices below the specified prices.</w:t>
      </w:r>
    </w:p>
    <w:p w:rsidR="00FA0F3B" w:rsidRPr="004F2B1B" w:rsidRDefault="00FA0F3B" w:rsidP="00FA0F3B">
      <w:pPr>
        <w:pStyle w:val="AERbulletlistfirststyle"/>
      </w:pPr>
      <w:r w:rsidRPr="00FA0F3B">
        <w:rPr>
          <w:rFonts w:eastAsia="Calibri"/>
        </w:rPr>
        <w:t xml:space="preserve">caps on the revenue to be derived from a particular combination of services (revenue cap) </w:t>
      </w:r>
    </w:p>
    <w:p w:rsidR="00FA0F3B" w:rsidRPr="004001CB" w:rsidRDefault="00FA0F3B" w:rsidP="00FA0F3B">
      <w:pPr>
        <w:pStyle w:val="AERbodytextindent1"/>
      </w:pPr>
      <w:r w:rsidRPr="004001CB">
        <w:t xml:space="preserve">A revenue cap sets a maximum allowable revenue (MAR) for each year of the regulatory control period. Distributors must then recover revenue equal to or less than the MAR. Distributors comply with the constraint by forecasting sales for the next regulatory year and setting prices so the expected revenue is equal to or less than the MAR. At the end of each regulatory year, the distributor reports its actual revenues to </w:t>
      </w:r>
      <w:r>
        <w:t>us</w:t>
      </w:r>
      <w:r w:rsidRPr="004001CB">
        <w:t>. We account for differences between the actual revenue recovered and the MAR in future years. This operation occurs through an 'overs and unders' account, whereby any over-recovery (under-recovery) is deducted from (added to) the MAR in future years.</w:t>
      </w:r>
    </w:p>
    <w:p w:rsidR="00FA0F3B" w:rsidRDefault="00FA0F3B" w:rsidP="00FA0F3B">
      <w:pPr>
        <w:pStyle w:val="AERbulletlistfirststyle"/>
      </w:pPr>
      <w:r w:rsidRPr="00755A5C">
        <w:t>tariff basket price control</w:t>
      </w:r>
      <w:r w:rsidRPr="00AD173A">
        <w:t xml:space="preserve"> (</w:t>
      </w:r>
      <w:r>
        <w:t xml:space="preserve">weighted average price cap or </w:t>
      </w:r>
      <w:r w:rsidRPr="00AD173A">
        <w:t>WAPC)</w:t>
      </w:r>
    </w:p>
    <w:p w:rsidR="00FA0F3B" w:rsidRPr="004001CB" w:rsidRDefault="00FA0F3B" w:rsidP="00FA0F3B">
      <w:pPr>
        <w:pStyle w:val="AERbodytextindent1"/>
      </w:pPr>
      <w:r w:rsidRPr="004001CB">
        <w:t>A WAPC is a cap on the average increase in prices from one year to the next. This allows prices for different services to adjust each year by different amounts. For example, some prices may rise while others may fall, subject to the overall WAPC constraint. A weighted average is used to reflect that services may be sold in different quantities. Therefore, a small increase in the price of a frequently provided service must be offset by a large decrease in the price of an infrequently provided service. Distributors comply with the constraint by setting prices so the change in the weighted average price is equal to or less than the CPI–X cap. Importantly, the WAPC places no cap on the revenue recovered by a distributor in any given year. That is, if revenue recovered under the WAPC is greater than (less than) the expected revenue, the distributor keeps (loses) that additional (shortfall) revenue.</w:t>
      </w:r>
    </w:p>
    <w:p w:rsidR="00FA0F3B" w:rsidRDefault="00FA0F3B" w:rsidP="00FA0F3B">
      <w:pPr>
        <w:pStyle w:val="AERbulletlistfirststyle"/>
      </w:pPr>
      <w:r w:rsidRPr="00755A5C">
        <w:t>revenue yield control</w:t>
      </w:r>
      <w:r w:rsidRPr="00AD173A">
        <w:t xml:space="preserve"> (average revenue cap)</w:t>
      </w:r>
    </w:p>
    <w:p w:rsidR="00FA0F3B" w:rsidRPr="004001CB" w:rsidRDefault="00FA0F3B" w:rsidP="00FA0F3B">
      <w:pPr>
        <w:pStyle w:val="AERbodytextindent1"/>
      </w:pPr>
      <w:r w:rsidRPr="004001CB">
        <w:t>An average revenue cap is a cap on the average revenue per unit of electricity sold that a distributor can recover. The cap is calculated by dividing the MAR by a particular unit (or units) of output, usually kilowatt hours (kWh). The distributor complies with the constraint by setting prices so the average revenue is equal to or less than the MAR per unit of output.</w:t>
      </w:r>
    </w:p>
    <w:p w:rsidR="00FA0F3B" w:rsidRDefault="00FA0F3B" w:rsidP="00FA0F3B">
      <w:pPr>
        <w:pStyle w:val="AERbulletlistfirststyle"/>
      </w:pPr>
      <w:r w:rsidRPr="00755A5C">
        <w:t>a combination of any of the above</w:t>
      </w:r>
      <w:r>
        <w:t xml:space="preserve"> (hybrid)</w:t>
      </w:r>
      <w:r w:rsidRPr="00755A5C">
        <w:t>.</w:t>
      </w:r>
    </w:p>
    <w:p w:rsidR="00FA0F3B" w:rsidRDefault="00FA0F3B" w:rsidP="00FA0F3B">
      <w:pPr>
        <w:pStyle w:val="AERbodytextindent1"/>
      </w:pPr>
      <w:r>
        <w:t>A h</w:t>
      </w:r>
      <w:r w:rsidRPr="004001CB">
        <w:t xml:space="preserve">ybrid control mechanism is any combination of the above mechanisms. Typically, hybrid approaches involve a proportion of revenue that is fixed and a proportion that varies according to </w:t>
      </w:r>
      <w:r w:rsidRPr="004001CB">
        <w:br/>
        <w:t>pre-determined parameters, such as peak demand.</w:t>
      </w:r>
    </w:p>
    <w:p w:rsidR="00FA0F3B" w:rsidRPr="004904F7" w:rsidRDefault="00FA0F3B" w:rsidP="00FA0F3B">
      <w:r>
        <w:rPr>
          <w:rStyle w:val="AERbody"/>
        </w:rPr>
        <w:t xml:space="preserve">In considering our preliminary position, we have not considered a schedule of fixed prices or caps on the prices of individual standard control services. This is because we consider these </w:t>
      </w:r>
      <w:r w:rsidRPr="004904F7">
        <w:t>direct price control mechanisms do not provide the level of flexibility</w:t>
      </w:r>
      <w:r>
        <w:t xml:space="preserve"> within the regulatory control period for </w:t>
      </w:r>
      <w:r>
        <w:lastRenderedPageBreak/>
        <w:t xml:space="preserve">distributors to manage distribution use of service charges shared across the broad customer base. Consequently, our assessment approach is focussed on a revenue cap or WAPC. </w:t>
      </w:r>
    </w:p>
    <w:p w:rsidR="00FA0F3B" w:rsidRPr="00FA0F3B" w:rsidRDefault="00FA0F3B" w:rsidP="00FA0F3B">
      <w:pPr>
        <w:pStyle w:val="Heading3"/>
      </w:pPr>
      <w:bookmarkStart w:id="72" w:name="_Toc374085340"/>
      <w:bookmarkStart w:id="73" w:name="_Toc387418356"/>
      <w:bookmarkStart w:id="74" w:name="_Toc388976510"/>
      <w:r w:rsidRPr="00FA0F3B">
        <w:t>Standard control services</w:t>
      </w:r>
      <w:bookmarkEnd w:id="72"/>
      <w:bookmarkEnd w:id="73"/>
      <w:bookmarkEnd w:id="74"/>
    </w:p>
    <w:p w:rsidR="00FA0F3B" w:rsidRPr="00FA0F3B" w:rsidRDefault="00FA0F3B" w:rsidP="00FA0F3B">
      <w:pPr>
        <w:pStyle w:val="AERbodytext"/>
        <w:rPr>
          <w:rFonts w:eastAsia="Calibri"/>
        </w:rPr>
      </w:pPr>
      <w:r w:rsidRPr="00FA0F3B">
        <w:rPr>
          <w:rFonts w:eastAsia="Calibri"/>
        </w:rPr>
        <w:t>In determining a control mechanism to apply to standard control services, we will have regard to the factors in clause 6.2.5(c) of the rules:</w:t>
      </w:r>
    </w:p>
    <w:p w:rsidR="00FA0F3B" w:rsidRPr="00AD173A" w:rsidRDefault="00FA0F3B" w:rsidP="00FA0F3B">
      <w:pPr>
        <w:pStyle w:val="AERbulletlistfirststyle"/>
      </w:pPr>
      <w:r w:rsidRPr="00FA0F3B">
        <w:rPr>
          <w:rFonts w:eastAsia="Calibri"/>
        </w:rPr>
        <w:t>need for efficient tariff structures</w:t>
      </w:r>
    </w:p>
    <w:p w:rsidR="00FA0F3B" w:rsidRPr="00AD173A" w:rsidRDefault="00FA0F3B" w:rsidP="00FA0F3B">
      <w:pPr>
        <w:pStyle w:val="AERbulletlistfirststyle"/>
      </w:pPr>
      <w:r w:rsidRPr="00755A5C">
        <w:t xml:space="preserve">possible effects of the control mechanism on administrative costs of </w:t>
      </w:r>
      <w:r>
        <w:t>us</w:t>
      </w:r>
      <w:r w:rsidRPr="00755A5C">
        <w:t xml:space="preserve">, the </w:t>
      </w:r>
      <w:r>
        <w:t>distributor,</w:t>
      </w:r>
      <w:r w:rsidRPr="00AD173A">
        <w:t xml:space="preserve"> users or potential users</w:t>
      </w:r>
    </w:p>
    <w:p w:rsidR="00FA0F3B" w:rsidRPr="00AD173A" w:rsidRDefault="00FA0F3B" w:rsidP="00FA0F3B">
      <w:pPr>
        <w:pStyle w:val="AERbulletlistfirststyle"/>
      </w:pPr>
      <w:r w:rsidRPr="00755A5C">
        <w:t>regulatory arrangements (if any) applicable to the relevant service immediately before the commencement of the distribution determination</w:t>
      </w:r>
    </w:p>
    <w:p w:rsidR="00FA0F3B" w:rsidRPr="00AD173A" w:rsidRDefault="00FA0F3B" w:rsidP="00FA0F3B">
      <w:pPr>
        <w:pStyle w:val="AERbulletlistfirststyle"/>
      </w:pPr>
      <w:r w:rsidRPr="00755A5C">
        <w:t>desirability of consistency between regulatory arrangements for similar services (both within and beyond the relevant jurisdiction)</w:t>
      </w:r>
    </w:p>
    <w:p w:rsidR="00FA0F3B" w:rsidRDefault="00FA0F3B" w:rsidP="00FA0F3B">
      <w:pPr>
        <w:pStyle w:val="AERbulletlistfirststyle"/>
      </w:pPr>
      <w:r w:rsidRPr="00755A5C">
        <w:t>any other relevant factor</w:t>
      </w:r>
      <w:r w:rsidRPr="00AD173A">
        <w:t>.</w:t>
      </w:r>
    </w:p>
    <w:p w:rsidR="00FA0F3B" w:rsidRDefault="00FA0F3B" w:rsidP="00FA0F3B">
      <w:pPr>
        <w:pStyle w:val="AERbodytext"/>
      </w:pPr>
      <w:r>
        <w:t xml:space="preserve">We also propose to have regard to three other factors which we consider are relevant to assessing the most suitable control mechanism: </w:t>
      </w:r>
    </w:p>
    <w:p w:rsidR="00FA0F3B" w:rsidRPr="00470367" w:rsidRDefault="00FA0F3B" w:rsidP="00FA0F3B">
      <w:pPr>
        <w:pStyle w:val="AERbulletlistfirststyle"/>
      </w:pPr>
      <w:r w:rsidRPr="00470367">
        <w:t xml:space="preserve">revenue recovery </w:t>
      </w:r>
    </w:p>
    <w:p w:rsidR="00FA0F3B" w:rsidRPr="00470367" w:rsidRDefault="00FA0F3B" w:rsidP="00FA0F3B">
      <w:pPr>
        <w:pStyle w:val="AERbulletlistfirststyle"/>
      </w:pPr>
      <w:r w:rsidRPr="00470367">
        <w:t>price flexibility and stability</w:t>
      </w:r>
    </w:p>
    <w:p w:rsidR="00FA0F3B" w:rsidRDefault="00FA0F3B" w:rsidP="00FA0F3B">
      <w:pPr>
        <w:pStyle w:val="AERbulletlistfirststyle"/>
      </w:pPr>
      <w:r w:rsidRPr="00470367">
        <w:t>incentives for demand side management.</w:t>
      </w:r>
    </w:p>
    <w:p w:rsidR="00FA0F3B" w:rsidRPr="00B23D08" w:rsidRDefault="00FA0F3B" w:rsidP="00FA0F3B">
      <w:r w:rsidRPr="00B23D08">
        <w:t>The basis of the control mechanism for standard control services must be of the prospective CPI–X form or some incentive-based variant.</w:t>
      </w:r>
      <w:r w:rsidRPr="00733168">
        <w:rPr>
          <w:rStyle w:val="AERsuperscript"/>
        </w:rPr>
        <w:footnoteReference w:id="126"/>
      </w:r>
    </w:p>
    <w:p w:rsidR="00FA0F3B" w:rsidRDefault="00FA0F3B" w:rsidP="00FA0F3B">
      <w:pPr>
        <w:pStyle w:val="AERbodytext"/>
      </w:pPr>
      <w:r w:rsidRPr="00B23D08">
        <w:t xml:space="preserve">The following sections outline </w:t>
      </w:r>
      <w:r>
        <w:t xml:space="preserve">our consideration of each of the above factors in </w:t>
      </w:r>
      <w:r w:rsidRPr="00B23D08">
        <w:t xml:space="preserve">determining </w:t>
      </w:r>
      <w:r>
        <w:t xml:space="preserve">our proposed </w:t>
      </w:r>
      <w:r w:rsidRPr="00B23D08">
        <w:t>form of control for standard control services.</w:t>
      </w:r>
      <w:r>
        <w:t xml:space="preserve"> </w:t>
      </w:r>
    </w:p>
    <w:p w:rsidR="00FA0F3B" w:rsidRDefault="00FA0F3B" w:rsidP="00FA0F3B">
      <w:pPr>
        <w:pStyle w:val="HeadingBoldBlue"/>
      </w:pPr>
      <w:r>
        <w:t>Need for efficient tariff structures</w:t>
      </w:r>
    </w:p>
    <w:p w:rsidR="00FA0F3B" w:rsidRDefault="00FA0F3B" w:rsidP="00FA0F3B">
      <w:pPr>
        <w:pStyle w:val="AERbodytext"/>
      </w:pPr>
      <w:r w:rsidRPr="00FA0F3B">
        <w:rPr>
          <w:rFonts w:eastAsia="+mn-ea"/>
        </w:rPr>
        <w:t xml:space="preserve">Broadly, we consider prices are efficient if they reflect the underlying cost of supplying distribution services and take into account customers’ willingness to pay. </w:t>
      </w:r>
    </w:p>
    <w:p w:rsidR="00FA0F3B" w:rsidRDefault="00FA0F3B" w:rsidP="00FA0F3B">
      <w:pPr>
        <w:pStyle w:val="AERbodytext"/>
      </w:pPr>
      <w:r>
        <w:t>Efficient pricing is important for several reasons:</w:t>
      </w:r>
    </w:p>
    <w:p w:rsidR="00FA0F3B" w:rsidRDefault="00FA0F3B" w:rsidP="00FA0F3B">
      <w:pPr>
        <w:pStyle w:val="AERbulletlistfirststyle"/>
      </w:pPr>
      <w:r>
        <w:t>Where prices are cost reflective, allocative efficiency is maximised because consumers can compare the cost of providing the service to their needs and wants.</w:t>
      </w:r>
      <w:r>
        <w:rPr>
          <w:rStyle w:val="FootnoteReference"/>
        </w:rPr>
        <w:footnoteReference w:id="127"/>
      </w:r>
      <w:r>
        <w:t xml:space="preserve"> </w:t>
      </w:r>
    </w:p>
    <w:p w:rsidR="00FA0F3B" w:rsidRDefault="00FA0F3B" w:rsidP="00FA0F3B">
      <w:pPr>
        <w:pStyle w:val="AERbulletlistfirststyle"/>
      </w:pPr>
      <w:r>
        <w:t>Where prices are cost reflective, consumers and providers of demand side management face efficient incentives because they can take into account the cost of providing the service in decision making.</w:t>
      </w:r>
    </w:p>
    <w:p w:rsidR="00FA0F3B" w:rsidRDefault="00FA0F3B" w:rsidP="00FA0F3B">
      <w:pPr>
        <w:pStyle w:val="AERbulletlistfirststyle"/>
      </w:pPr>
      <w:r>
        <w:lastRenderedPageBreak/>
        <w:t>Cost reflective prices allow distributors to make efficient investment decisions. Because consumers base consumption decisions on the cost of providing the service compared to their value of consumption, increases and decreases in demand signal the potential need for extra network capacity.</w:t>
      </w:r>
    </w:p>
    <w:p w:rsidR="00FA0F3B" w:rsidRDefault="00FA0F3B" w:rsidP="00FA0F3B">
      <w:pPr>
        <w:pStyle w:val="HeadingBoldBlue"/>
      </w:pPr>
      <w:r>
        <w:t>Administrative costs</w:t>
      </w:r>
    </w:p>
    <w:p w:rsidR="00FA0F3B" w:rsidRPr="00E42A0D" w:rsidRDefault="00FA0F3B" w:rsidP="00FA0F3B">
      <w:pPr>
        <w:pStyle w:val="AERbodytext"/>
      </w:pPr>
      <w:r>
        <w:t>Where possible, a</w:t>
      </w:r>
      <w:r w:rsidRPr="00E42A0D">
        <w:t xml:space="preserve"> control mechanism should minimise the complexity and administrative burden for </w:t>
      </w:r>
      <w:r>
        <w:t>us</w:t>
      </w:r>
      <w:r w:rsidRPr="00E42A0D">
        <w:t xml:space="preserve">, </w:t>
      </w:r>
      <w:r>
        <w:t>distributor</w:t>
      </w:r>
      <w:r w:rsidRPr="00E42A0D">
        <w:t xml:space="preserve">s and users. </w:t>
      </w:r>
    </w:p>
    <w:p w:rsidR="00FA0F3B" w:rsidRDefault="00FA0F3B" w:rsidP="00FA0F3B">
      <w:pPr>
        <w:pStyle w:val="HeadingBoldBlue"/>
      </w:pPr>
      <w:r>
        <w:t>Existing regulatory arrangements</w:t>
      </w:r>
    </w:p>
    <w:p w:rsidR="00FA0F3B" w:rsidRPr="00B23711" w:rsidRDefault="00FA0F3B" w:rsidP="00FA0F3B">
      <w:pPr>
        <w:pStyle w:val="AERbodytext"/>
      </w:pPr>
      <w:r w:rsidRPr="00FA0F3B">
        <w:rPr>
          <w:rFonts w:eastAsia="Calibri"/>
        </w:rPr>
        <w:t>We consider</w:t>
      </w:r>
      <w:r w:rsidRPr="00B23711">
        <w:t xml:space="preserve"> that consistency </w:t>
      </w:r>
      <w:r>
        <w:t xml:space="preserve">in regulatory arrangements </w:t>
      </w:r>
      <w:r w:rsidRPr="00B23711">
        <w:t xml:space="preserve">across </w:t>
      </w:r>
      <w:r>
        <w:t>regulatory periods</w:t>
      </w:r>
      <w:r w:rsidRPr="00B23711">
        <w:t xml:space="preserve"> for similar services </w:t>
      </w:r>
      <w:r>
        <w:t xml:space="preserve">provided by a distributor </w:t>
      </w:r>
      <w:r w:rsidRPr="00B23711">
        <w:t xml:space="preserve">is generally desirable. </w:t>
      </w:r>
    </w:p>
    <w:p w:rsidR="00FA0F3B" w:rsidRDefault="00FA0F3B" w:rsidP="00FA0F3B">
      <w:pPr>
        <w:pStyle w:val="HeadingBoldBlue"/>
      </w:pPr>
      <w:r>
        <w:t>Desirability of consistency between regulatory arrangements</w:t>
      </w:r>
    </w:p>
    <w:p w:rsidR="00FA0F3B" w:rsidRDefault="00FA0F3B" w:rsidP="00FA0F3B">
      <w:pPr>
        <w:pStyle w:val="AERbodytext"/>
      </w:pPr>
      <w:r w:rsidRPr="00FA0F3B">
        <w:rPr>
          <w:rFonts w:eastAsia="Calibri"/>
        </w:rPr>
        <w:t>We consider that</w:t>
      </w:r>
      <w:r>
        <w:t xml:space="preserve"> con</w:t>
      </w:r>
      <w:r w:rsidRPr="00E42A0D">
        <w:t xml:space="preserve">sistency </w:t>
      </w:r>
      <w:r>
        <w:t xml:space="preserve">within and </w:t>
      </w:r>
      <w:r w:rsidRPr="00E42A0D">
        <w:t xml:space="preserve">across </w:t>
      </w:r>
      <w:r>
        <w:t xml:space="preserve">jurisdictions for similar services </w:t>
      </w:r>
      <w:r w:rsidRPr="00E42A0D">
        <w:t xml:space="preserve">is </w:t>
      </w:r>
      <w:r>
        <w:t xml:space="preserve">generally </w:t>
      </w:r>
      <w:r w:rsidRPr="00E42A0D">
        <w:t>desirable.</w:t>
      </w:r>
    </w:p>
    <w:p w:rsidR="00FA0F3B" w:rsidRDefault="00FA0F3B" w:rsidP="00FA0F3B">
      <w:pPr>
        <w:pStyle w:val="HeadingBoldBlue"/>
      </w:pPr>
      <w:r>
        <w:t>Revenue recovery</w:t>
      </w:r>
    </w:p>
    <w:p w:rsidR="00FA0F3B" w:rsidRPr="003D3C07" w:rsidRDefault="00FA0F3B" w:rsidP="00FA0F3B">
      <w:pPr>
        <w:pStyle w:val="AERbodytext"/>
      </w:pPr>
      <w:r>
        <w:t xml:space="preserve">We consider that a control mechanism should give distributors </w:t>
      </w:r>
      <w:r w:rsidRPr="003D3C07">
        <w:t>an opportunity to recover efficient costs</w:t>
      </w:r>
      <w:r>
        <w:t>. We also consider that a control mechanism should limit</w:t>
      </w:r>
      <w:r w:rsidRPr="003D3C07">
        <w:t xml:space="preserve"> re</w:t>
      </w:r>
      <w:r>
        <w:t xml:space="preserve">venue recovery above such costs. Revenue recovery above efficient costs results in higher prices for end users. Further, allocative efficiency is reduced when distributors recover additional revenue from price sensitive services through prices above marginal cost. </w:t>
      </w:r>
    </w:p>
    <w:p w:rsidR="00FA0F3B" w:rsidRDefault="00FA0F3B" w:rsidP="00FA0F3B">
      <w:pPr>
        <w:pStyle w:val="HeadingBoldBlue"/>
      </w:pPr>
      <w:r>
        <w:t>Pricing flexibility and stability</w:t>
      </w:r>
    </w:p>
    <w:p w:rsidR="00FA0F3B" w:rsidRPr="001762C7" w:rsidRDefault="00FA0F3B" w:rsidP="00FA0F3B">
      <w:pPr>
        <w:pStyle w:val="AERbodytext"/>
      </w:pPr>
      <w:r w:rsidRPr="00FA0F3B">
        <w:rPr>
          <w:rFonts w:eastAsia="Calibri"/>
        </w:rPr>
        <w:t xml:space="preserve">Price flexibility enables </w:t>
      </w:r>
      <w:r w:rsidRPr="001762C7">
        <w:t xml:space="preserve">distributors to restructure existing prices and/or introduce charges for new services. </w:t>
      </w:r>
    </w:p>
    <w:p w:rsidR="00FA0F3B" w:rsidRPr="001762C7" w:rsidRDefault="00FA0F3B" w:rsidP="00FA0F3B">
      <w:pPr>
        <w:pStyle w:val="AERbodytext"/>
      </w:pPr>
      <w:r>
        <w:t>The</w:t>
      </w:r>
      <w:r w:rsidRPr="001762C7">
        <w:t xml:space="preserve"> stability and predictability of distribution network prices is important because it affects consumers’ ability to manage bills and retailers' ability to manage risks incurred from changes to network prices.</w:t>
      </w:r>
    </w:p>
    <w:p w:rsidR="00FA0F3B" w:rsidRDefault="00FA0F3B" w:rsidP="00FA0F3B">
      <w:pPr>
        <w:pStyle w:val="HeadingBoldBlue"/>
      </w:pPr>
      <w:r>
        <w:t>Incentives for demand side management</w:t>
      </w:r>
    </w:p>
    <w:p w:rsidR="00FA0F3B" w:rsidRPr="00FA0F3B" w:rsidRDefault="00FA0F3B" w:rsidP="00FA0F3B">
      <w:pPr>
        <w:pStyle w:val="AERbodytext"/>
        <w:rPr>
          <w:rFonts w:eastAsia="Calibri"/>
        </w:rPr>
      </w:pPr>
      <w:r w:rsidRPr="008537F3">
        <w:t>Demand side management refers to the implementation of non-network solutions to avoid the need to build network infrastructure to meet increases in annual or peak demand.</w:t>
      </w:r>
      <w:r w:rsidRPr="008537F3">
        <w:rPr>
          <w:rStyle w:val="FootnoteReference"/>
        </w:rPr>
        <w:footnoteReference w:id="128"/>
      </w:r>
      <w:r w:rsidRPr="008537F3">
        <w:t xml:space="preserve"> </w:t>
      </w:r>
      <w:r w:rsidRPr="00FA0F3B">
        <w:rPr>
          <w:rFonts w:eastAsia="Calibri"/>
        </w:rPr>
        <w:t xml:space="preserve"> </w:t>
      </w:r>
    </w:p>
    <w:p w:rsidR="00FA0F3B" w:rsidRPr="00FA0F3B" w:rsidRDefault="00FA0F3B" w:rsidP="00FA0F3B">
      <w:pPr>
        <w:pStyle w:val="Heading3"/>
      </w:pPr>
      <w:bookmarkStart w:id="75" w:name="_Toc374085341"/>
      <w:bookmarkStart w:id="76" w:name="_Toc387418357"/>
      <w:bookmarkStart w:id="77" w:name="_Toc388976511"/>
      <w:r w:rsidRPr="00FA0F3B">
        <w:t>Alternative control services</w:t>
      </w:r>
      <w:bookmarkEnd w:id="75"/>
      <w:bookmarkEnd w:id="76"/>
      <w:bookmarkEnd w:id="77"/>
    </w:p>
    <w:p w:rsidR="00FA0F3B" w:rsidRPr="00FA0F3B" w:rsidRDefault="00FA0F3B" w:rsidP="00FA0F3B">
      <w:pPr>
        <w:pStyle w:val="AERbodytext"/>
        <w:rPr>
          <w:rFonts w:eastAsia="Calibri"/>
        </w:rPr>
      </w:pPr>
      <w:r w:rsidRPr="00FA0F3B">
        <w:rPr>
          <w:rFonts w:eastAsia="Calibri"/>
        </w:rPr>
        <w:t>In determining a control mechanism to apply to alternative control services, we will consider the factors in clause 6.2.5(d) of the rules:</w:t>
      </w:r>
    </w:p>
    <w:p w:rsidR="00FA0F3B" w:rsidRPr="00635714" w:rsidRDefault="00FA0F3B" w:rsidP="00FA0F3B">
      <w:pPr>
        <w:pStyle w:val="AERbulletlistfirststyle"/>
      </w:pPr>
      <w:r w:rsidRPr="00FA0F3B">
        <w:rPr>
          <w:rFonts w:eastAsia="Calibri"/>
        </w:rPr>
        <w:t>the potential for competition to develop in the relevant market and how the control mechanism might influence that potential</w:t>
      </w:r>
    </w:p>
    <w:p w:rsidR="00FA0F3B" w:rsidRPr="00635714" w:rsidRDefault="00FA0F3B" w:rsidP="00FA0F3B">
      <w:pPr>
        <w:pStyle w:val="AERbulletlistfirststyle"/>
      </w:pPr>
      <w:r w:rsidRPr="00755A5C">
        <w:t xml:space="preserve">the possible effects of the control mechanism on administrative costs of </w:t>
      </w:r>
      <w:r>
        <w:t>us</w:t>
      </w:r>
      <w:r w:rsidRPr="00755A5C">
        <w:t xml:space="preserve">, the </w:t>
      </w:r>
      <w:r>
        <w:t>distributor</w:t>
      </w:r>
      <w:r w:rsidRPr="00635714">
        <w:t xml:space="preserve"> and users or potential users</w:t>
      </w:r>
    </w:p>
    <w:p w:rsidR="00FA0F3B" w:rsidRPr="00635714" w:rsidRDefault="00FA0F3B" w:rsidP="00FA0F3B">
      <w:pPr>
        <w:pStyle w:val="AERbulletlistfirststyle"/>
      </w:pPr>
      <w:r w:rsidRPr="00755A5C">
        <w:lastRenderedPageBreak/>
        <w:t>the regulatory arrangements (if any) applicable to the relevant service immediately before the commencement of the distribution determination</w:t>
      </w:r>
    </w:p>
    <w:p w:rsidR="00FA0F3B" w:rsidRDefault="00FA0F3B" w:rsidP="00FA0F3B">
      <w:pPr>
        <w:pStyle w:val="AERbulletlistfirststyle"/>
      </w:pPr>
      <w:r w:rsidRPr="00755A5C">
        <w:t>the desirability of consistency between regulatory arrangements for similar services (both within and beyond the relevant jurisdiction)</w:t>
      </w:r>
    </w:p>
    <w:p w:rsidR="00FA0F3B" w:rsidRDefault="00FA0F3B" w:rsidP="00FA0F3B">
      <w:pPr>
        <w:pStyle w:val="AERbulletlistfirststyle"/>
      </w:pPr>
      <w:r>
        <w:t>any other relevant factor.</w:t>
      </w:r>
    </w:p>
    <w:p w:rsidR="00FA0F3B" w:rsidRPr="00B23D08" w:rsidRDefault="00FA0F3B" w:rsidP="00FA0F3B">
      <w:r w:rsidRPr="00B23D08">
        <w:t xml:space="preserve">We </w:t>
      </w:r>
      <w:r>
        <w:t>propose that</w:t>
      </w:r>
      <w:r w:rsidRPr="00B23D08">
        <w:t xml:space="preserve"> another relevant factor is the provision of cost reflective prices.</w:t>
      </w:r>
      <w:r>
        <w:t xml:space="preserve"> Efficient prices or cost reflectivity allows consumers to compare the cost of providing the service to their needs and wants. Cost reflective prices also allow distributors to make efficient investment and demand side management. </w:t>
      </w:r>
    </w:p>
    <w:p w:rsidR="00FA0F3B" w:rsidRPr="00F55984" w:rsidRDefault="00FA0F3B" w:rsidP="00FA0F3B">
      <w:pPr>
        <w:pStyle w:val="AERbodytext"/>
      </w:pPr>
      <w:r w:rsidRPr="00FA0F3B">
        <w:rPr>
          <w:rFonts w:eastAsia="Calibri"/>
        </w:rPr>
        <w:t>We must state what the basis of the control mechanism is in our distribution determination.</w:t>
      </w:r>
      <w:r w:rsidRPr="00FA0F3B">
        <w:rPr>
          <w:rStyle w:val="FootnoteReference"/>
          <w:rFonts w:eastAsia="Calibri"/>
        </w:rPr>
        <w:footnoteReference w:id="129"/>
      </w:r>
      <w:r w:rsidRPr="00FA0F3B">
        <w:rPr>
          <w:rFonts w:eastAsia="Calibri"/>
        </w:rPr>
        <w:t xml:space="preserve"> This may utilise elements of Part C of chapter 6 of the rules with or without modification. For example, the control mechanism may use a building block approach or incorporate a pass-through mechanism.</w:t>
      </w:r>
      <w:r w:rsidRPr="00FA0F3B">
        <w:rPr>
          <w:rStyle w:val="FootnoteReference"/>
          <w:rFonts w:eastAsia="Calibri"/>
        </w:rPr>
        <w:footnoteReference w:id="130"/>
      </w:r>
    </w:p>
    <w:p w:rsidR="00FA0F3B" w:rsidRPr="00FA0F3B" w:rsidRDefault="00FA0F3B" w:rsidP="00DB6131">
      <w:pPr>
        <w:pStyle w:val="Heading2"/>
      </w:pPr>
      <w:bookmarkStart w:id="78" w:name="_Toc374085342"/>
      <w:bookmarkStart w:id="79" w:name="_Toc387418358"/>
      <w:bookmarkStart w:id="80" w:name="_Toc388976512"/>
      <w:r w:rsidRPr="00FA0F3B">
        <w:t>AER's reasons — control mechanism and formulae for standard control services</w:t>
      </w:r>
      <w:bookmarkEnd w:id="78"/>
      <w:bookmarkEnd w:id="79"/>
      <w:bookmarkEnd w:id="80"/>
    </w:p>
    <w:p w:rsidR="00FA0F3B" w:rsidRDefault="00FA0F3B" w:rsidP="00FA0F3B">
      <w:pPr>
        <w:pStyle w:val="AERbodytext"/>
      </w:pPr>
      <w:r>
        <w:t>We consider</w:t>
      </w:r>
      <w:r w:rsidRPr="00875EA8">
        <w:t xml:space="preserve"> that a revenue cap</w:t>
      </w:r>
      <w:r>
        <w:t xml:space="preserve"> best meets the factors set out under clause 6.2.5(c) of the rules. We consider that a revenue cap will</w:t>
      </w:r>
      <w:r w:rsidRPr="00875EA8">
        <w:t xml:space="preserve"> result in</w:t>
      </w:r>
      <w:r>
        <w:t xml:space="preserve"> benefits to consumers through</w:t>
      </w:r>
      <w:r w:rsidRPr="00875EA8">
        <w:t xml:space="preserve"> a higher likelihood of revenue recovery at efficient cost, better incentives for demand side management, less reliance on energy forecasts</w:t>
      </w:r>
      <w:r>
        <w:t xml:space="preserve"> and better alignment with the introduction of efficient prices. Furthermore, we consider that the detriments of a revenue cap – within period pricing instability and weak pricing incentives – are able to be mitigated. We provide our consideration of these issues below.</w:t>
      </w:r>
    </w:p>
    <w:p w:rsidR="00FA0F3B" w:rsidRPr="00FA0F3B" w:rsidRDefault="00FA0F3B" w:rsidP="00FA0F3B">
      <w:pPr>
        <w:pStyle w:val="Heading3"/>
      </w:pPr>
      <w:bookmarkStart w:id="81" w:name="_Toc374085343"/>
      <w:bookmarkStart w:id="82" w:name="_Toc387418359"/>
      <w:bookmarkStart w:id="83" w:name="_Toc388976513"/>
      <w:r w:rsidRPr="00FA0F3B">
        <w:t>Efficient tariff structures</w:t>
      </w:r>
      <w:bookmarkEnd w:id="81"/>
      <w:bookmarkEnd w:id="82"/>
      <w:bookmarkEnd w:id="83"/>
      <w:r w:rsidRPr="00FA0F3B">
        <w:t xml:space="preserve"> </w:t>
      </w:r>
    </w:p>
    <w:p w:rsidR="00FA0F3B" w:rsidRPr="001E0D0C" w:rsidRDefault="00FA0F3B" w:rsidP="00FA0F3B">
      <w:r w:rsidRPr="001E0D0C">
        <w:t>Broadly, we consider that efficient prices incorporate two key characteristics:</w:t>
      </w:r>
    </w:p>
    <w:p w:rsidR="00FA0F3B" w:rsidRPr="001E0D0C" w:rsidRDefault="00FA0F3B" w:rsidP="00FA0F3B">
      <w:pPr>
        <w:pStyle w:val="AERbulletlistfirststyle"/>
      </w:pPr>
      <w:r w:rsidRPr="001E0D0C">
        <w:t>the underlying cost of supply</w:t>
      </w:r>
    </w:p>
    <w:p w:rsidR="00FA0F3B" w:rsidRPr="001E0D0C" w:rsidRDefault="00FA0F3B" w:rsidP="00FA0F3B">
      <w:pPr>
        <w:pStyle w:val="AERbulletlistfirststyle"/>
      </w:pPr>
      <w:r w:rsidRPr="001E0D0C">
        <w:t>the willingness of customers to pay.</w:t>
      </w:r>
    </w:p>
    <w:p w:rsidR="00FA0F3B" w:rsidRPr="001E0D0C" w:rsidRDefault="00FA0F3B" w:rsidP="00FA0F3B">
      <w:r w:rsidRPr="001E0D0C">
        <w:t>While there are a variety of methods of incorporating these characteristics, we consider that the resulting prices from each will include many of the same features. Firstly, because for the majority of distributors the costs of supply are fixed or relate to peak demand, efficient prices will be structured around fixed or peak prices.</w:t>
      </w:r>
      <w:r w:rsidRPr="008A0F31">
        <w:rPr>
          <w:rStyle w:val="AERsuperscript"/>
        </w:rPr>
        <w:footnoteReference w:id="131"/>
      </w:r>
      <w:r w:rsidRPr="001E0D0C">
        <w:t xml:space="preserve"> Secondly, because customers’ willingness to pay for connection to the network is generally higher than for electricity consumption, where the price must be set above the cost of supply the largest margin is likely to be applied to fixed (connection) prices. </w:t>
      </w:r>
    </w:p>
    <w:p w:rsidR="00FA0F3B" w:rsidRDefault="00FA0F3B" w:rsidP="00FA0F3B">
      <w:pPr>
        <w:pStyle w:val="AERbodytext"/>
        <w:rPr>
          <w:rStyle w:val="AERbody"/>
        </w:rPr>
      </w:pPr>
      <w:r>
        <w:rPr>
          <w:rStyle w:val="AERbody"/>
        </w:rPr>
        <w:t xml:space="preserve">We note that similar to other jurisdictions (regardless of control mechanism) </w:t>
      </w:r>
      <w:r w:rsidR="00850953">
        <w:rPr>
          <w:rStyle w:val="AERbody"/>
        </w:rPr>
        <w:t xml:space="preserve">Victorian </w:t>
      </w:r>
      <w:r>
        <w:rPr>
          <w:rStyle w:val="AERbody"/>
        </w:rPr>
        <w:t xml:space="preserve">distributors recover significant revenue from flat energy tariffs which are unrelated to the peak periods of demand by time or location. </w:t>
      </w:r>
    </w:p>
    <w:p w:rsidR="00FA0F3B" w:rsidRDefault="00FA0F3B" w:rsidP="00FA0F3B">
      <w:pPr>
        <w:pStyle w:val="AERbodytext"/>
        <w:rPr>
          <w:rStyle w:val="AERbody"/>
        </w:rPr>
      </w:pPr>
      <w:r>
        <w:rPr>
          <w:rStyle w:val="AERbody"/>
        </w:rPr>
        <w:t>We consider</w:t>
      </w:r>
      <w:r w:rsidRPr="001762C7">
        <w:rPr>
          <w:rStyle w:val="AERbody"/>
        </w:rPr>
        <w:t xml:space="preserve"> that by itself the revenue cap provides limited incentive for distributors to set efficient prices. </w:t>
      </w:r>
      <w:r>
        <w:rPr>
          <w:rStyle w:val="AERbody"/>
        </w:rPr>
        <w:t>That is, under a revenue cap, distributors' revenues are fixed over the regulatory control period. Distributors therefore maximise profits by decreasing costs. To maximise profits,</w:t>
      </w:r>
      <w:r w:rsidRPr="00C0751D">
        <w:rPr>
          <w:rStyle w:val="AERbody"/>
        </w:rPr>
        <w:t xml:space="preserve"> </w:t>
      </w:r>
      <w:r>
        <w:rPr>
          <w:rStyle w:val="AERbody"/>
        </w:rPr>
        <w:t>distributors</w:t>
      </w:r>
      <w:r w:rsidRPr="00C0751D">
        <w:rPr>
          <w:rStyle w:val="AERbody"/>
        </w:rPr>
        <w:t xml:space="preserve"> </w:t>
      </w:r>
      <w:r>
        <w:rPr>
          <w:rStyle w:val="AERbody"/>
        </w:rPr>
        <w:lastRenderedPageBreak/>
        <w:t xml:space="preserve">face an incentive </w:t>
      </w:r>
      <w:r w:rsidRPr="00C0751D">
        <w:rPr>
          <w:rStyle w:val="AERbody"/>
        </w:rPr>
        <w:t>to increase prices above</w:t>
      </w:r>
      <w:r>
        <w:rPr>
          <w:rStyle w:val="AERbody"/>
        </w:rPr>
        <w:t xml:space="preserve"> marginal</w:t>
      </w:r>
      <w:r w:rsidRPr="00C0751D">
        <w:rPr>
          <w:rStyle w:val="AERbody"/>
        </w:rPr>
        <w:t xml:space="preserve"> costs on price sensitive services</w:t>
      </w:r>
      <w:r>
        <w:rPr>
          <w:rStyle w:val="AERbody"/>
        </w:rPr>
        <w:t>, thereby reducing demand for those services.</w:t>
      </w:r>
    </w:p>
    <w:p w:rsidR="00FA0F3B" w:rsidRPr="003639EF" w:rsidRDefault="00FA0F3B" w:rsidP="009E2BB1">
      <w:pPr>
        <w:pStyle w:val="AERbodytext"/>
      </w:pPr>
      <w:r w:rsidRPr="009E2BB1">
        <w:rPr>
          <w:rFonts w:eastAsia="Calibri"/>
        </w:rPr>
        <w:t xml:space="preserve">We consider that this incentive is unlikely to give rise to inefficient pricing for </w:t>
      </w:r>
      <w:r w:rsidR="00850953">
        <w:rPr>
          <w:rFonts w:eastAsia="Calibri"/>
        </w:rPr>
        <w:t xml:space="preserve">Victorian </w:t>
      </w:r>
      <w:r w:rsidRPr="009E2BB1">
        <w:rPr>
          <w:rFonts w:eastAsia="Calibri"/>
        </w:rPr>
        <w:t>distributors. We consider that</w:t>
      </w:r>
      <w:r w:rsidR="009E2BB1" w:rsidRPr="009E2BB1">
        <w:rPr>
          <w:rFonts w:eastAsia="Calibri"/>
        </w:rPr>
        <w:t xml:space="preserve"> </w:t>
      </w:r>
      <w:r w:rsidR="009E2BB1">
        <w:rPr>
          <w:rFonts w:eastAsia="Calibri"/>
        </w:rPr>
        <w:t>t</w:t>
      </w:r>
      <w:r w:rsidRPr="009E2BB1">
        <w:rPr>
          <w:rFonts w:eastAsia="Calibri"/>
        </w:rPr>
        <w:t>he majority of distributors' variable costs are caused by augmentations and connections (where demand for connections is likely price insensitive) to the network. The incentive for distributors to decrease costs through pricing is therefore likely to result in higher prices for peak demand. This would require a shift towards peak energy/capacity. In the current environment where tariffs largely consist of flat energy/capacity tariffs we consider that a shift towards peak energy/capacity prices will result in increases in pricing efficiency.</w:t>
      </w:r>
    </w:p>
    <w:p w:rsidR="00FA0F3B" w:rsidRPr="001E0D0C" w:rsidRDefault="00FA0F3B" w:rsidP="004E28D8">
      <w:pPr>
        <w:pStyle w:val="AERbodytext"/>
      </w:pPr>
      <w:r w:rsidRPr="001E0D0C">
        <w:t xml:space="preserve">To </w:t>
      </w:r>
      <w:r>
        <w:t xml:space="preserve">illustrate </w:t>
      </w:r>
      <w:r w:rsidR="00B22485">
        <w:t xml:space="preserve">relative </w:t>
      </w:r>
      <w:r>
        <w:t>efficien</w:t>
      </w:r>
      <w:r w:rsidR="00B22485">
        <w:t>cy of different</w:t>
      </w:r>
      <w:r>
        <w:t xml:space="preserve"> tariff structures</w:t>
      </w:r>
      <w:r w:rsidRPr="001E0D0C">
        <w:t xml:space="preserve">, we </w:t>
      </w:r>
      <w:r w:rsidR="004E28D8">
        <w:t>previously drew</w:t>
      </w:r>
      <w:r w:rsidRPr="001E0D0C">
        <w:t xml:space="preserve"> a number of comparisons between the </w:t>
      </w:r>
      <w:r w:rsidR="004E28D8">
        <w:t xml:space="preserve">Queensland </w:t>
      </w:r>
      <w:r w:rsidRPr="001E0D0C">
        <w:t xml:space="preserve">distributors, under a revenue cap, and the NSW distributors under a WAPC. </w:t>
      </w:r>
      <w:r w:rsidR="00B22485">
        <w:t xml:space="preserve">In general, we </w:t>
      </w:r>
      <w:r w:rsidR="004E28D8">
        <w:t xml:space="preserve">concluded </w:t>
      </w:r>
      <w:r w:rsidR="00B22485">
        <w:t>that tariff structures that include a greater reliance on time of use or load control tariffs, or fixed charges are more efficient than tariffs bas</w:t>
      </w:r>
      <w:r w:rsidR="00F6410D">
        <w:t>ed</w:t>
      </w:r>
      <w:r w:rsidR="00B22485">
        <w:t xml:space="preserve"> simply on the accumulated energy consumption. </w:t>
      </w:r>
      <w:r w:rsidR="00F6410D">
        <w:t>We published f</w:t>
      </w:r>
      <w:r w:rsidR="00B22485">
        <w:t>urther discussion on the efficiency of different tariff structures earlier this year.</w:t>
      </w:r>
      <w:r w:rsidR="00F6410D">
        <w:rPr>
          <w:rStyle w:val="FootnoteReference"/>
        </w:rPr>
        <w:footnoteReference w:id="132"/>
      </w:r>
      <w:r w:rsidR="004E28D8">
        <w:t>.</w:t>
      </w:r>
      <w:r w:rsidR="004E28D8" w:rsidRPr="004E28D8">
        <w:t xml:space="preserve"> We note Victoria now has a high penetration of smart meters</w:t>
      </w:r>
      <w:r w:rsidR="004E28D8">
        <w:t>. Therefore</w:t>
      </w:r>
      <w:r w:rsidR="004E28D8" w:rsidRPr="004E28D8">
        <w:t>, it is well positioned to implement more efficient pricing structures</w:t>
      </w:r>
      <w:r w:rsidR="004E28D8">
        <w:t>.</w:t>
      </w:r>
    </w:p>
    <w:p w:rsidR="003B0F92" w:rsidRDefault="00FA0F3B" w:rsidP="00FA0F3B">
      <w:r w:rsidRPr="001E0D0C">
        <w:t>In reviewing the form of control in NSW</w:t>
      </w:r>
      <w:r w:rsidRPr="00FC3829">
        <w:rPr>
          <w:rStyle w:val="AERsuperscript"/>
        </w:rPr>
        <w:footnoteReference w:id="133"/>
      </w:r>
      <w:r w:rsidRPr="001E0D0C">
        <w:t xml:space="preserve"> we found that a WAPC ha</w:t>
      </w:r>
      <w:r w:rsidR="004E28D8">
        <w:t>d</w:t>
      </w:r>
      <w:r w:rsidRPr="001E0D0C">
        <w:t xml:space="preserve"> not encouraged the NSW distributors to adopt efficient prices, despite theory that suggested this should be an outcome of a WAPC. </w:t>
      </w:r>
      <w:r w:rsidR="003B0F92">
        <w:t xml:space="preserve">The Victorian distributors did commence to develop new tariff structures but this work was stalled by the introduction of a moratorium on new pricing changes implemented by the Victorian government. </w:t>
      </w:r>
      <w:r w:rsidR="00EC4960">
        <w:t>Th</w:t>
      </w:r>
      <w:r w:rsidR="008A7FA9">
        <w:t>e moratorium</w:t>
      </w:r>
      <w:r w:rsidR="00EC4960">
        <w:t xml:space="preserve"> has since been lifted.</w:t>
      </w:r>
    </w:p>
    <w:p w:rsidR="00FA0F3B" w:rsidRDefault="003B0F92" w:rsidP="00FA0F3B">
      <w:r w:rsidRPr="001E0D0C">
        <w:t xml:space="preserve">Figure </w:t>
      </w:r>
      <w:r>
        <w:t>4</w:t>
      </w:r>
      <w:r w:rsidRPr="001E0D0C">
        <w:t xml:space="preserve"> below allows us to compare the Q</w:t>
      </w:r>
      <w:r w:rsidR="00DB21BD">
        <w:t>ueensland</w:t>
      </w:r>
      <w:r w:rsidRPr="001E0D0C">
        <w:t xml:space="preserve"> distributors under </w:t>
      </w:r>
      <w:r>
        <w:t>the existing</w:t>
      </w:r>
      <w:r w:rsidRPr="001E0D0C">
        <w:t xml:space="preserve"> revenue cap and the WAPC </w:t>
      </w:r>
      <w:r>
        <w:t xml:space="preserve">the </w:t>
      </w:r>
      <w:r w:rsidRPr="001E0D0C">
        <w:t xml:space="preserve">NSW distributors </w:t>
      </w:r>
      <w:r>
        <w:t>have operated under in recent years</w:t>
      </w:r>
      <w:r w:rsidRPr="001E0D0C">
        <w:t xml:space="preserve">. </w:t>
      </w:r>
      <w:r w:rsidR="00FA0F3B" w:rsidRPr="001E0D0C">
        <w:t xml:space="preserve">From the figures below we can see that despite operating under a revenue cap, the </w:t>
      </w:r>
      <w:r>
        <w:t xml:space="preserve">Queensland </w:t>
      </w:r>
      <w:r w:rsidR="00FA0F3B" w:rsidRPr="001E0D0C">
        <w:t xml:space="preserve">distributors have a </w:t>
      </w:r>
      <w:r w:rsidR="00B22485">
        <w:t>higher</w:t>
      </w:r>
      <w:r w:rsidR="00B22485" w:rsidRPr="001E0D0C">
        <w:t xml:space="preserve"> </w:t>
      </w:r>
      <w:r w:rsidR="00FA0F3B" w:rsidRPr="001E0D0C">
        <w:t xml:space="preserve">proportion of revenues raised through prices we regard as more efficient, such as fixed price components and prices for controlled loads. </w:t>
      </w:r>
      <w:r w:rsidR="00B22485">
        <w:t>We conclude</w:t>
      </w:r>
      <w:r>
        <w:t>d</w:t>
      </w:r>
      <w:r w:rsidR="00B22485">
        <w:t xml:space="preserve"> fr</w:t>
      </w:r>
      <w:r w:rsidR="00F6410D">
        <w:t>o</w:t>
      </w:r>
      <w:r w:rsidR="00B22485">
        <w:t xml:space="preserve">m this evidence that </w:t>
      </w:r>
      <w:r>
        <w:t xml:space="preserve">a </w:t>
      </w:r>
      <w:r w:rsidR="00B22485">
        <w:t>revenue cap has not discouraged the adoption of more efficient tariff structures.</w:t>
      </w:r>
      <w:r w:rsidRPr="003B0F92">
        <w:t xml:space="preserve"> </w:t>
      </w:r>
      <w:r>
        <w:t>We continue to rely on the work undertaken comparing NSW and Queensland.</w:t>
      </w:r>
    </w:p>
    <w:p w:rsidR="005E0ABA" w:rsidRDefault="003B0F92" w:rsidP="00FA0F3B">
      <w:r>
        <w:t xml:space="preserve">A significant issue in recent times has been the widespread difficulty experienced in all sectors of the NEM in accurately forecasting customer demand. Despite economic growth and renewed business activity across the nation following the global financial crisis, </w:t>
      </w:r>
      <w:r w:rsidR="005E0ABA">
        <w:t>energy demand has continued to exhibit a downward trend. This trend is widely attributed to a range of factors including higher energy efficiency, widespread penetration of solar, higher prices</w:t>
      </w:r>
      <w:r>
        <w:t xml:space="preserve"> </w:t>
      </w:r>
      <w:r w:rsidR="005E0ABA">
        <w:t>and increased customer concern about climate change. This makes the future forecasting of demand a very difficult task for all in the industry</w:t>
      </w:r>
    </w:p>
    <w:p w:rsidR="00C00EFD" w:rsidRDefault="00C00EFD" w:rsidP="00C00EFD">
      <w:r>
        <w:t>The AER sought comment from the Consumer Challenge Panel, sub-panel 3 on its view of the choice between a revenue cap and a WAPC. The sub-panel replied by letter:</w:t>
      </w:r>
      <w:r>
        <w:rPr>
          <w:rStyle w:val="FootnoteReference"/>
        </w:rPr>
        <w:footnoteReference w:id="134"/>
      </w:r>
    </w:p>
    <w:p w:rsidR="00C00EFD" w:rsidRPr="00C00EFD" w:rsidRDefault="00C00EFD" w:rsidP="00C00EFD">
      <w:pPr>
        <w:pStyle w:val="AERquote"/>
      </w:pPr>
      <w:r>
        <w:t>…</w:t>
      </w:r>
      <w:r w:rsidRPr="00C00EFD">
        <w:t>the AER should stress that the WAPC approach presents a considerable concern to consumers as its operation can allow systematic recovery of more revenue than considered appropriate by the regulator, a trend exacerbated by information asymmetry between the DNSPs and the regulator and consumers. </w:t>
      </w:r>
    </w:p>
    <w:p w:rsidR="00C00EFD" w:rsidRPr="00C00EFD" w:rsidRDefault="00C00EFD" w:rsidP="00C00EFD">
      <w:pPr>
        <w:pStyle w:val="AERquote"/>
      </w:pPr>
      <w:r w:rsidRPr="00C00EFD">
        <w:lastRenderedPageBreak/>
        <w:t>SP3 also considers that the draft F&amp;A should specify a single form of the control mechanism to apply in a given region as the arguments in favour of the revenue control mechanism  apply equally to all the DNSPs operating in the same region. This point is specific as SP3 has concerns that one or more of the DNSPs in the Victorian region might seek a WAPC form of control while the others accept a revenue cap control. </w:t>
      </w:r>
    </w:p>
    <w:p w:rsidR="00C00EFD" w:rsidRPr="00C00EFD" w:rsidRDefault="00C00EFD" w:rsidP="00C00EFD">
      <w:pPr>
        <w:pStyle w:val="AERquote"/>
      </w:pPr>
      <w:r w:rsidRPr="00C00EFD">
        <w:t>In promoting the revenue control mechanism, SP3 recognises that the revenue control mechanism transfers the risk of consumption variation from the DNSPs to consumers. This highlights the importance of the AER improving its forecasting capabilities for opex and capex, particularly given the increased discretion under the revised National Electricity Rules for the AER to reject a forecast and replace it with its own. </w:t>
      </w:r>
    </w:p>
    <w:p w:rsidR="003B0F92" w:rsidRDefault="00C00EFD" w:rsidP="00C00EFD">
      <w:pPr>
        <w:rPr>
          <w:rStyle w:val="AERtextbold"/>
        </w:rPr>
      </w:pPr>
      <w:r>
        <w:t xml:space="preserve">The CCP </w:t>
      </w:r>
      <w:r w:rsidR="00C55825">
        <w:t xml:space="preserve">also </w:t>
      </w:r>
      <w:r>
        <w:t>identifie</w:t>
      </w:r>
      <w:r w:rsidR="004530D4">
        <w:t>d</w:t>
      </w:r>
      <w:r>
        <w:t xml:space="preserve"> the need of the AER to have the best possible forecasts of </w:t>
      </w:r>
      <w:r w:rsidR="00C55825">
        <w:t xml:space="preserve">capex and opex to support its determinations as a relevant factor in determining the form of control. </w:t>
      </w:r>
      <w:r w:rsidR="005E0ABA">
        <w:t>We consider the risks to consumers of incurring higher costs are exacerbated under a WAPC in a situation where an unanticipated negative trend in the rate of energy use may continue. Consequently, we consider this risk is better managed under a revenue cap.</w:t>
      </w:r>
    </w:p>
    <w:p w:rsidR="00FA0F3B" w:rsidRPr="006B33B1" w:rsidRDefault="00BB34B3" w:rsidP="00FA0F3B">
      <w:pPr>
        <w:rPr>
          <w:rStyle w:val="AERtextbold"/>
        </w:rPr>
      </w:pPr>
      <w:r>
        <w:rPr>
          <w:rStyle w:val="AERtextbold"/>
        </w:rPr>
        <w:pict>
          <v:group id="Group 2" o:spid="_x0000_s1029" style="position:absolute;left:0;text-align:left;margin-left:4.45pt;margin-top:21.1pt;width:407.15pt;height:231.5pt;z-index:251666432" coordsize="65246,39528" o:gfxdata="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30" type="#_x0000_t75" style="position:absolute;left:-60;top:304;width:65348;height:392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">
              <v:imagedata r:id="rId24" o:title=""/>
              <o:lock v:ext="edit" aspectratio="f"/>
            </v:shape>
            <v:shape id="Chart 3" o:spid="_x0000_s1031" type="#_x0000_t75" style="position:absolute;left:3169;top:6278;width:28591;height:285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">
              <v:imagedata r:id="rId25" o:title=""/>
              <o:lock v:ext="edit" aspectratio="f"/>
            </v:shape>
          </v:group>
        </w:pict>
      </w:r>
      <w:r w:rsidR="00FA0F3B" w:rsidRPr="006B33B1">
        <w:rPr>
          <w:rStyle w:val="AERtextbold"/>
        </w:rPr>
        <w:t xml:space="preserve">Figure </w:t>
      </w:r>
      <w:r w:rsidR="00A825FE">
        <w:rPr>
          <w:rStyle w:val="AERtextbold"/>
        </w:rPr>
        <w:t>4</w:t>
      </w:r>
      <w:r w:rsidR="00FA0F3B" w:rsidRPr="006B33B1">
        <w:rPr>
          <w:rStyle w:val="AERtextbold"/>
        </w:rPr>
        <w:t>: Q</w:t>
      </w:r>
      <w:r w:rsidR="00DB21BD">
        <w:rPr>
          <w:rStyle w:val="AERtextbold"/>
        </w:rPr>
        <w:t>ueensland</w:t>
      </w:r>
      <w:r w:rsidR="00FA0F3B" w:rsidRPr="006B33B1">
        <w:rPr>
          <w:rStyle w:val="AERtextbold"/>
        </w:rPr>
        <w:t xml:space="preserve"> and NSW </w:t>
      </w:r>
      <w:r w:rsidR="004C6DF4">
        <w:rPr>
          <w:rStyle w:val="AERtextbold"/>
        </w:rPr>
        <w:t>distributor</w:t>
      </w:r>
      <w:r w:rsidR="00FA0F3B" w:rsidRPr="006B33B1">
        <w:rPr>
          <w:rStyle w:val="AERtextbold"/>
        </w:rPr>
        <w:t xml:space="preserve">s' revenue type </w:t>
      </w:r>
    </w:p>
    <w:p w:rsidR="00FA0F3B" w:rsidRPr="001E0D0C" w:rsidRDefault="00FA0F3B" w:rsidP="00FA0F3B"/>
    <w:p w:rsidR="00FA0F3B" w:rsidRPr="001E0D0C" w:rsidRDefault="00FA0F3B" w:rsidP="00FA0F3B"/>
    <w:p w:rsidR="00FA0F3B" w:rsidRPr="001E0D0C" w:rsidRDefault="00FA0F3B" w:rsidP="00FA0F3B"/>
    <w:p w:rsidR="00FA0F3B" w:rsidRPr="001E0D0C" w:rsidRDefault="00FA0F3B" w:rsidP="00FA0F3B"/>
    <w:p w:rsidR="00FA0F3B" w:rsidRDefault="00FA0F3B" w:rsidP="00FA0F3B">
      <w:pPr>
        <w:pStyle w:val="AERtablesource"/>
      </w:pPr>
    </w:p>
    <w:p w:rsidR="00FA0F3B" w:rsidRDefault="00FA0F3B" w:rsidP="00FA0F3B">
      <w:pPr>
        <w:pStyle w:val="AERtablesource"/>
      </w:pPr>
    </w:p>
    <w:p w:rsidR="00FA0F3B" w:rsidRDefault="00FA0F3B" w:rsidP="00FA0F3B">
      <w:pPr>
        <w:pStyle w:val="AERtablesource"/>
      </w:pPr>
    </w:p>
    <w:p w:rsidR="00FA0F3B" w:rsidRDefault="00FA0F3B" w:rsidP="00FA0F3B">
      <w:pPr>
        <w:pStyle w:val="AERtablesource"/>
      </w:pPr>
    </w:p>
    <w:p w:rsidR="00F6410D" w:rsidRDefault="00F6410D" w:rsidP="00F6410D">
      <w:pPr>
        <w:pStyle w:val="AERbodytext"/>
        <w:numPr>
          <w:ilvl w:val="0"/>
          <w:numId w:val="0"/>
        </w:numPr>
      </w:pPr>
    </w:p>
    <w:p w:rsidR="00F6410D" w:rsidRDefault="00F6410D" w:rsidP="00F6410D">
      <w:pPr>
        <w:pStyle w:val="AERbodytext"/>
        <w:numPr>
          <w:ilvl w:val="0"/>
          <w:numId w:val="0"/>
        </w:numPr>
      </w:pPr>
    </w:p>
    <w:p w:rsidR="00F6410D" w:rsidRDefault="00F6410D" w:rsidP="00F6410D">
      <w:pPr>
        <w:pStyle w:val="AERbodytext"/>
        <w:numPr>
          <w:ilvl w:val="0"/>
          <w:numId w:val="0"/>
        </w:numPr>
      </w:pPr>
    </w:p>
    <w:p w:rsidR="00FA0F3B" w:rsidRPr="001E0D0C" w:rsidRDefault="00FA0F3B" w:rsidP="00FA0F3B">
      <w:pPr>
        <w:pStyle w:val="AERtablesource"/>
      </w:pPr>
      <w:r w:rsidRPr="001E0D0C">
        <w:t>Source: AER. Qld DNSPs' revenue type is for 2012–13 while NSW DNSPs' revenue type is for 2008–09.</w:t>
      </w:r>
    </w:p>
    <w:p w:rsidR="00FA0F3B" w:rsidRPr="00FA0F3B" w:rsidRDefault="00FA0F3B" w:rsidP="00FA0F3B">
      <w:pPr>
        <w:pStyle w:val="Heading3"/>
        <w:rPr>
          <w:rStyle w:val="AERbody"/>
          <w:color w:val="E36C0A"/>
          <w:sz w:val="24"/>
        </w:rPr>
      </w:pPr>
      <w:bookmarkStart w:id="84" w:name="_Toc374085344"/>
      <w:bookmarkStart w:id="85" w:name="_Toc387418360"/>
      <w:bookmarkStart w:id="86" w:name="_Toc388976514"/>
      <w:r w:rsidRPr="00FA0F3B">
        <w:rPr>
          <w:rStyle w:val="AERbody"/>
          <w:color w:val="E36C0A"/>
          <w:sz w:val="24"/>
        </w:rPr>
        <w:t>Administrative costs</w:t>
      </w:r>
      <w:bookmarkEnd w:id="84"/>
      <w:bookmarkEnd w:id="85"/>
      <w:bookmarkEnd w:id="86"/>
    </w:p>
    <w:p w:rsidR="00FA0F3B" w:rsidRDefault="00FA0F3B" w:rsidP="00FA0F3B">
      <w:r>
        <w:t xml:space="preserve">We consider that there is little difference in administrative costs between control mechanisms under the building block framework in the long run. However, we note that a change to a </w:t>
      </w:r>
      <w:r w:rsidR="00916DDD">
        <w:t>revenue cap</w:t>
      </w:r>
      <w:r>
        <w:t xml:space="preserve"> would likely result in increased administrative costs in the short run. Under a WAPC revenue is variable within the regulatory control period which results in higher </w:t>
      </w:r>
      <w:r w:rsidR="00916DDD">
        <w:t xml:space="preserve">revenue </w:t>
      </w:r>
      <w:r>
        <w:t xml:space="preserve">risk to distributors. This would likely lead to increased costs through risk minimisation strategies. Furthermore, the </w:t>
      </w:r>
      <w:r w:rsidR="00916DDD">
        <w:t>change to</w:t>
      </w:r>
      <w:r>
        <w:t xml:space="preserve"> </w:t>
      </w:r>
      <w:r w:rsidR="00916DDD">
        <w:t>a</w:t>
      </w:r>
      <w:r>
        <w:t xml:space="preserve"> revenue cap in </w:t>
      </w:r>
      <w:r w:rsidR="00916DDD">
        <w:t>Victoria</w:t>
      </w:r>
      <w:r>
        <w:t xml:space="preserve"> will likely lead to reduced administrative costs to users and us due to consistency </w:t>
      </w:r>
      <w:r w:rsidRPr="006D32A6">
        <w:t xml:space="preserve">across and between </w:t>
      </w:r>
      <w:r>
        <w:t>regulatory arrangements. We are proposing the introduction of a revenue cap in South Australia, New South Wales will be under a revenue cap in 2014</w:t>
      </w:r>
      <w:r w:rsidRPr="00FA0F3B">
        <w:t>–</w:t>
      </w:r>
      <w:r>
        <w:t>19 and Tasmania is already operating under a revenue cap. This consistency will lead to reduced administrative costs for us through standardisation of modelling approaches, incentive schemes and consultation requirements.</w:t>
      </w:r>
    </w:p>
    <w:p w:rsidR="00FA0F3B" w:rsidRPr="00FA0F3B" w:rsidRDefault="00FA0F3B" w:rsidP="00FA0F3B">
      <w:pPr>
        <w:pStyle w:val="Heading3"/>
      </w:pPr>
      <w:bookmarkStart w:id="87" w:name="_Toc374085345"/>
      <w:bookmarkStart w:id="88" w:name="_Toc387418361"/>
      <w:bookmarkStart w:id="89" w:name="_Toc388976515"/>
      <w:r w:rsidRPr="00FA0F3B">
        <w:lastRenderedPageBreak/>
        <w:t>Existing regulatory arrangements</w:t>
      </w:r>
      <w:bookmarkEnd w:id="87"/>
      <w:bookmarkEnd w:id="88"/>
      <w:bookmarkEnd w:id="89"/>
    </w:p>
    <w:p w:rsidR="00FA0F3B" w:rsidRDefault="00FA0F3B" w:rsidP="00FA0F3B">
      <w:pPr>
        <w:pStyle w:val="AERbodytext"/>
      </w:pPr>
      <w:r>
        <w:t xml:space="preserve">We consider that consistency across regulatory control periods is generally desirable. However, it is not primary to our considerations in this instance. We consider that desirability needs to </w:t>
      </w:r>
      <w:r w:rsidR="00491ECF">
        <w:t>be weighed</w:t>
      </w:r>
      <w:r>
        <w:t xml:space="preserve"> against the other factors under clause 6.2.5(c) of the rules. We consider this is appropriate because consistency in and of itself has no direct effect on distributors, us or customers.</w:t>
      </w:r>
    </w:p>
    <w:p w:rsidR="00FA0F3B" w:rsidRPr="00FA0F3B" w:rsidRDefault="00FA0F3B" w:rsidP="00FA0F3B">
      <w:pPr>
        <w:pStyle w:val="Heading3"/>
      </w:pPr>
      <w:bookmarkStart w:id="90" w:name="_Toc374085346"/>
      <w:bookmarkStart w:id="91" w:name="_Toc387418362"/>
      <w:bookmarkStart w:id="92" w:name="_Toc388976516"/>
      <w:r w:rsidRPr="00FA0F3B">
        <w:t>Desirability of consistency between regulatory arrangements</w:t>
      </w:r>
      <w:bookmarkEnd w:id="90"/>
      <w:bookmarkEnd w:id="91"/>
      <w:bookmarkEnd w:id="92"/>
    </w:p>
    <w:p w:rsidR="00FA0F3B" w:rsidRDefault="00FA0F3B" w:rsidP="00FA0F3B">
      <w:pPr>
        <w:pStyle w:val="AERbodytext"/>
      </w:pPr>
      <w:r>
        <w:t>We consider</w:t>
      </w:r>
      <w:r w:rsidRPr="003F61D8">
        <w:t xml:space="preserve"> that consistency </w:t>
      </w:r>
      <w:r>
        <w:t>between regulatory arrangements</w:t>
      </w:r>
      <w:r w:rsidRPr="003F61D8">
        <w:t xml:space="preserve"> is generally desirable but </w:t>
      </w:r>
      <w:r>
        <w:t xml:space="preserve">is </w:t>
      </w:r>
      <w:r w:rsidRPr="003F61D8">
        <w:t xml:space="preserve">not primary </w:t>
      </w:r>
      <w:r>
        <w:t xml:space="preserve">to our </w:t>
      </w:r>
      <w:r w:rsidRPr="003F61D8">
        <w:t>consideration</w:t>
      </w:r>
      <w:r>
        <w:t>s in this instance</w:t>
      </w:r>
      <w:r w:rsidRPr="003F61D8">
        <w:t>.</w:t>
      </w:r>
      <w:r>
        <w:t xml:space="preserve"> Desirability needs to be weighed against the other factors under </w:t>
      </w:r>
      <w:r w:rsidRPr="003F61D8">
        <w:t>clause 6.2.5(c)</w:t>
      </w:r>
      <w:r>
        <w:t xml:space="preserve"> of the rules</w:t>
      </w:r>
      <w:r w:rsidRPr="003F61D8">
        <w:t>.</w:t>
      </w:r>
      <w:r>
        <w:t xml:space="preserve"> The outcomes under the other factors reveal outcomes that further the national electricity objective and are consistent with the revenue and pricing principles. </w:t>
      </w:r>
    </w:p>
    <w:p w:rsidR="00FA0F3B" w:rsidRPr="00FA0F3B" w:rsidRDefault="00FA0F3B" w:rsidP="00FA0F3B">
      <w:pPr>
        <w:pStyle w:val="Heading3"/>
      </w:pPr>
      <w:bookmarkStart w:id="93" w:name="_Toc374085347"/>
      <w:bookmarkStart w:id="94" w:name="_Toc387418363"/>
      <w:bookmarkStart w:id="95" w:name="_Toc388976517"/>
      <w:r w:rsidRPr="00FA0F3B">
        <w:t>Revenue recovery</w:t>
      </w:r>
      <w:bookmarkEnd w:id="93"/>
      <w:bookmarkEnd w:id="94"/>
      <w:bookmarkEnd w:id="95"/>
    </w:p>
    <w:p w:rsidR="00FA0F3B" w:rsidRDefault="00FA0F3B" w:rsidP="00FA0F3B">
      <w:pPr>
        <w:pStyle w:val="AERbodytext"/>
        <w:rPr>
          <w:rStyle w:val="AERbody"/>
        </w:rPr>
      </w:pPr>
      <w:r>
        <w:rPr>
          <w:rStyle w:val="AERbody"/>
        </w:rPr>
        <w:t>We consider</w:t>
      </w:r>
      <w:r w:rsidRPr="001B291E">
        <w:t xml:space="preserve"> </w:t>
      </w:r>
      <w:r w:rsidRPr="00775344">
        <w:rPr>
          <w:rStyle w:val="AERbody"/>
        </w:rPr>
        <w:t>that a revenue cap provides a high likelihood of efficient cost</w:t>
      </w:r>
      <w:r>
        <w:rPr>
          <w:rStyle w:val="AERbody"/>
        </w:rPr>
        <w:t xml:space="preserve"> recovery</w:t>
      </w:r>
      <w:r w:rsidRPr="00775344">
        <w:rPr>
          <w:rStyle w:val="AERbody"/>
        </w:rPr>
        <w:t xml:space="preserve">. </w:t>
      </w:r>
      <w:r>
        <w:rPr>
          <w:rStyle w:val="AERbody"/>
        </w:rPr>
        <w:t>We</w:t>
      </w:r>
      <w:r w:rsidRPr="00775344">
        <w:rPr>
          <w:rStyle w:val="AERbody"/>
        </w:rPr>
        <w:t xml:space="preserve"> consider that </w:t>
      </w:r>
      <w:r>
        <w:rPr>
          <w:rStyle w:val="AERbody"/>
        </w:rPr>
        <w:t>because</w:t>
      </w:r>
      <w:r w:rsidRPr="00775344">
        <w:rPr>
          <w:rStyle w:val="AERbody"/>
        </w:rPr>
        <w:t xml:space="preserve"> costs for </w:t>
      </w:r>
      <w:r>
        <w:rPr>
          <w:rStyle w:val="AERbody"/>
        </w:rPr>
        <w:t>distributor</w:t>
      </w:r>
      <w:r w:rsidRPr="00775344">
        <w:rPr>
          <w:rStyle w:val="AERbody"/>
        </w:rPr>
        <w:t xml:space="preserve">s are largely fixed and </w:t>
      </w:r>
      <w:r>
        <w:rPr>
          <w:rStyle w:val="AERbody"/>
        </w:rPr>
        <w:t>unrelated to energy sales,</w:t>
      </w:r>
      <w:r w:rsidRPr="00775344">
        <w:rPr>
          <w:rStyle w:val="AERbody"/>
        </w:rPr>
        <w:t xml:space="preserve"> </w:t>
      </w:r>
      <w:r>
        <w:rPr>
          <w:rStyle w:val="AERbody"/>
        </w:rPr>
        <w:t xml:space="preserve">revenue recovery should also be largely fixed and unrelated to energy sales. We note that differences from forecast peak demand and customer numbers may cause differences in distributors' costs. Where this occurs, variations from efficient cost recovery may result under the revenue cap. We have therefore considered adjustment mechanisms (hybrid control mechanisms) to the revenue cap for variations from forecast peak demand and customer numbers. Section </w:t>
      </w:r>
      <w:r w:rsidR="00A825FE" w:rsidRPr="00A825FE">
        <w:rPr>
          <w:rStyle w:val="AERbody"/>
        </w:rPr>
        <w:t>2.3.8</w:t>
      </w:r>
      <w:r>
        <w:rPr>
          <w:rStyle w:val="AERbody"/>
        </w:rPr>
        <w:t xml:space="preserve"> outlines our consideration of hybrid control mechanisms.</w:t>
      </w:r>
    </w:p>
    <w:p w:rsidR="00FA0F3B" w:rsidRDefault="00FA0F3B" w:rsidP="00FA0F3B">
      <w:pPr>
        <w:pStyle w:val="AERbodytext"/>
        <w:rPr>
          <w:rStyle w:val="AERbody"/>
        </w:rPr>
      </w:pPr>
      <w:r>
        <w:rPr>
          <w:rStyle w:val="AERbody"/>
        </w:rPr>
        <w:t xml:space="preserve">We consider that a WAPC does not provide a high or even reasonable likelihood of efficient cost recovery. </w:t>
      </w:r>
      <w:r w:rsidRPr="00FE4C1A">
        <w:rPr>
          <w:rStyle w:val="AERbody"/>
        </w:rPr>
        <w:t xml:space="preserve">We consider the WAPC provides an opportunity for distributors to recover revenue systematically above forecast. That is, under a WAPC distributors have the opportunity to recover revenue substantially above forecast revenue when actual quantities exceed forecast quantities, and to recover revenue close to forecast when actual quantities are below forecast quantities. </w:t>
      </w:r>
      <w:r>
        <w:rPr>
          <w:rStyle w:val="AERbody"/>
        </w:rPr>
        <w:t>We adopted a similar position in New South Wales.</w:t>
      </w:r>
      <w:r>
        <w:rPr>
          <w:rStyle w:val="FootnoteReference"/>
        </w:rPr>
        <w:footnoteReference w:id="135"/>
      </w:r>
    </w:p>
    <w:p w:rsidR="00FA0F3B" w:rsidRPr="00FA0F3B" w:rsidRDefault="00FA0F3B" w:rsidP="00FA0F3B">
      <w:pPr>
        <w:pStyle w:val="Heading3"/>
        <w:rPr>
          <w:rStyle w:val="AERbody"/>
          <w:color w:val="E36C0A"/>
          <w:sz w:val="24"/>
        </w:rPr>
      </w:pPr>
      <w:bookmarkStart w:id="96" w:name="_Toc374085348"/>
      <w:bookmarkStart w:id="97" w:name="_Toc387418364"/>
      <w:bookmarkStart w:id="98" w:name="_Toc388976518"/>
      <w:r w:rsidRPr="00FA0F3B">
        <w:rPr>
          <w:rStyle w:val="AERbody"/>
          <w:color w:val="E36C0A"/>
          <w:sz w:val="24"/>
        </w:rPr>
        <w:t>Pricing flexibility and stability</w:t>
      </w:r>
      <w:bookmarkEnd w:id="96"/>
      <w:bookmarkEnd w:id="97"/>
      <w:bookmarkEnd w:id="98"/>
    </w:p>
    <w:p w:rsidR="00FA0F3B" w:rsidRDefault="00FA0F3B" w:rsidP="00FA0F3B">
      <w:pPr>
        <w:pStyle w:val="AERbodytext"/>
      </w:pPr>
      <w:r>
        <w:t>We consider</w:t>
      </w:r>
      <w:r w:rsidRPr="00236A69">
        <w:t xml:space="preserve"> that price flexibility </w:t>
      </w:r>
      <w:r>
        <w:t xml:space="preserve">for existing tariffs and tariff structures </w:t>
      </w:r>
      <w:r w:rsidRPr="00236A69">
        <w:t>is similar for all forms of control</w:t>
      </w:r>
      <w:r>
        <w:t xml:space="preserve"> and that it</w:t>
      </w:r>
      <w:r w:rsidRPr="00236A69">
        <w:t xml:space="preserve"> is influenced by the side constraints and</w:t>
      </w:r>
      <w:r>
        <w:t xml:space="preserve"> the pricing principles in the r</w:t>
      </w:r>
      <w:r w:rsidRPr="00236A69">
        <w:t xml:space="preserve">ules. </w:t>
      </w:r>
    </w:p>
    <w:p w:rsidR="00FA0F3B" w:rsidRDefault="00FA0F3B" w:rsidP="00FA0F3B">
      <w:pPr>
        <w:pStyle w:val="AERbodytext"/>
      </w:pPr>
      <w:r>
        <w:t>We consider that the revenue cap results in increased pricing flexibility in relation to the introduction of new tariffs and tariff structures. Under a revenue cap to introduce a new tariff or tariff structure distributors are required to submit reasonable forecasts for that tariff. As there is no revenue at risk because revenue is fixed over the regulatory control period, the incentive to manipulate such forecasts is low. Conversely, under a WAPC, distributors submit reasonable estimates when introducing new tariffs or tariff structures. We assess these estimates rigorously as substantial revenue is at risk which can result in significant changes in profit for distributors.</w:t>
      </w:r>
    </w:p>
    <w:p w:rsidR="00916DDD" w:rsidRPr="00FA0F3B" w:rsidRDefault="00916DDD" w:rsidP="00916DDD">
      <w:pPr>
        <w:pStyle w:val="Heading3"/>
      </w:pPr>
      <w:bookmarkStart w:id="99" w:name="_Toc387418365"/>
      <w:bookmarkStart w:id="100" w:name="_Toc388976519"/>
      <w:r>
        <w:lastRenderedPageBreak/>
        <w:t>Pricing stability</w:t>
      </w:r>
      <w:bookmarkEnd w:id="99"/>
      <w:bookmarkEnd w:id="100"/>
    </w:p>
    <w:p w:rsidR="00FA0F3B" w:rsidRDefault="00FA0F3B" w:rsidP="00FA0F3B">
      <w:pPr>
        <w:pStyle w:val="AERbodytext"/>
      </w:pPr>
      <w:r>
        <w:t>We</w:t>
      </w:r>
      <w:r w:rsidRPr="001B291E">
        <w:t xml:space="preserve"> consider price instability can occur under </w:t>
      </w:r>
      <w:r>
        <w:t>all forms of control mechanisms.</w:t>
      </w:r>
      <w:r w:rsidRPr="001B291E">
        <w:t xml:space="preserve"> </w:t>
      </w:r>
      <w:r>
        <w:t>This is because the rules require various annual price adjustments regardless of the control mechanism</w:t>
      </w:r>
      <w:r w:rsidRPr="001B291E">
        <w:t>.</w:t>
      </w:r>
      <w:r w:rsidRPr="001B291E">
        <w:rPr>
          <w:rStyle w:val="FootnoteReference"/>
        </w:rPr>
        <w:footnoteReference w:id="136"/>
      </w:r>
      <w:r>
        <w:t xml:space="preserve"> </w:t>
      </w:r>
    </w:p>
    <w:p w:rsidR="00FA0F3B" w:rsidRDefault="00FA0F3B" w:rsidP="00FA0F3B">
      <w:pPr>
        <w:pStyle w:val="AERbodytext"/>
      </w:pPr>
      <w:r>
        <w:t>We consider</w:t>
      </w:r>
      <w:r w:rsidRPr="001B291E">
        <w:t xml:space="preserve"> </w:t>
      </w:r>
      <w:r>
        <w:t xml:space="preserve">that </w:t>
      </w:r>
      <w:r w:rsidRPr="001B291E">
        <w:t xml:space="preserve">there is </w:t>
      </w:r>
      <w:r>
        <w:t xml:space="preserve">increased </w:t>
      </w:r>
      <w:r w:rsidRPr="001B291E">
        <w:t xml:space="preserve">likelihood of </w:t>
      </w:r>
      <w:r>
        <w:t xml:space="preserve">overall </w:t>
      </w:r>
      <w:r w:rsidRPr="001B291E">
        <w:t xml:space="preserve">price instability within </w:t>
      </w:r>
      <w:r>
        <w:t>a</w:t>
      </w:r>
      <w:r w:rsidRPr="001B291E">
        <w:t xml:space="preserve"> regulatory </w:t>
      </w:r>
      <w:r>
        <w:t xml:space="preserve">control period under a revenue cap. </w:t>
      </w:r>
      <w:r w:rsidRPr="001B291E">
        <w:t xml:space="preserve">That is, </w:t>
      </w:r>
      <w:r>
        <w:t xml:space="preserve">the distributors must adjust </w:t>
      </w:r>
      <w:r w:rsidRPr="001B291E">
        <w:t xml:space="preserve">prices during the regulatory </w:t>
      </w:r>
      <w:r>
        <w:t xml:space="preserve">control </w:t>
      </w:r>
      <w:r w:rsidRPr="001B291E">
        <w:t>period to account for difference</w:t>
      </w:r>
      <w:r>
        <w:t>s</w:t>
      </w:r>
      <w:r w:rsidRPr="001B291E">
        <w:t xml:space="preserve"> between forecast and actual sales volumes.</w:t>
      </w:r>
      <w:r>
        <w:t xml:space="preserve"> The difference is added to what is called an unders and overs account. The balance of this account is then added to future revenue requirements to make certain the revenue cap is achieved. Generally the balance of the unders and overs account is adjusted for in full at the first opportunity. However, when the account exceeds certain limits (tolerance limits), the adjustment may be made over two or more years. We</w:t>
      </w:r>
      <w:r w:rsidRPr="001B291E">
        <w:t xml:space="preserve"> consider </w:t>
      </w:r>
      <w:r>
        <w:t xml:space="preserve">that </w:t>
      </w:r>
      <w:r w:rsidRPr="001B291E">
        <w:t xml:space="preserve">tolerance limits </w:t>
      </w:r>
      <w:r>
        <w:t>and the design of the unders and overs account can limit price adjustments in any one year. For example, in Queensland in the current period, we applied tolerance limits to the unders and overs account. In Tasmania,</w:t>
      </w:r>
      <w:r>
        <w:rPr>
          <w:rStyle w:val="FootnoteReference"/>
        </w:rPr>
        <w:footnoteReference w:id="137"/>
      </w:r>
      <w:r>
        <w:t xml:space="preserve"> we designed the unders and overs account as a rolling account with an estimate year to help smooth the price adjustments year on year.</w:t>
      </w:r>
      <w:r>
        <w:rPr>
          <w:rStyle w:val="FootnoteReference"/>
        </w:rPr>
        <w:footnoteReference w:id="138"/>
      </w:r>
      <w:r>
        <w:t xml:space="preserve"> We also consider that incorporating forecast sales in forming the X-factors in the distribution determination will result in lower balances in the unders and overs account.</w:t>
      </w:r>
      <w:r>
        <w:rPr>
          <w:rStyle w:val="FootnoteReference"/>
        </w:rPr>
        <w:footnoteReference w:id="139"/>
      </w:r>
    </w:p>
    <w:p w:rsidR="00FA0F3B" w:rsidRDefault="00FA0F3B" w:rsidP="00FA0F3B">
      <w:pPr>
        <w:pStyle w:val="AERbodytext"/>
      </w:pPr>
      <w:r>
        <w:t>We consider the</w:t>
      </w:r>
      <w:r w:rsidRPr="00F62837">
        <w:t xml:space="preserve"> WAPC </w:t>
      </w:r>
      <w:r>
        <w:t xml:space="preserve">can increase </w:t>
      </w:r>
      <w:r w:rsidRPr="00F62837">
        <w:t>overall price stability within the regulatory control period</w:t>
      </w:r>
      <w:r>
        <w:t xml:space="preserve"> compared to a revenue cap. However</w:t>
      </w:r>
      <w:r w:rsidRPr="00F62837">
        <w:t xml:space="preserve">, </w:t>
      </w:r>
      <w:r>
        <w:t xml:space="preserve">a WAPC is unlikely to lead to increased </w:t>
      </w:r>
      <w:r w:rsidRPr="00F62837">
        <w:t xml:space="preserve">price stability or predictability for individual tariffs or customers. </w:t>
      </w:r>
      <w:r>
        <w:t>Under a WAPC</w:t>
      </w:r>
      <w:r w:rsidRPr="00F62837">
        <w:t xml:space="preserve"> </w:t>
      </w:r>
      <w:r>
        <w:t>distributor</w:t>
      </w:r>
      <w:r w:rsidRPr="00F62837">
        <w:t xml:space="preserve">s face an incentive to </w:t>
      </w:r>
      <w:r>
        <w:br/>
      </w:r>
      <w:r w:rsidRPr="00F62837">
        <w:t xml:space="preserve">re-balance tariffs to maximise </w:t>
      </w:r>
      <w:r>
        <w:t>profit</w:t>
      </w:r>
      <w:r w:rsidRPr="00F62837">
        <w:t xml:space="preserve"> and this incentive may result in large changes to tariffs within the regulatory control period.</w:t>
      </w:r>
    </w:p>
    <w:p w:rsidR="00FA0F3B" w:rsidRDefault="00FA0F3B" w:rsidP="00FA0F3B">
      <w:pPr>
        <w:pStyle w:val="AERbodytext"/>
      </w:pPr>
      <w:r>
        <w:t>W</w:t>
      </w:r>
      <w:r w:rsidRPr="00A7412D">
        <w:t>e consider that the WAPC can result in greater price instability across regulatory control periods compared to the revenue cap. This issue is particularly pronounced if a trend of falling volumes has set in throughout the regulatory control period, prompting a large upward adjustment in the X-factors (and hence prices) for the next regulatory control period under the WAPC. In contrast, the volume forecasts are updated annually under a revenue cap. This would mean that prices would rise gradually over the regulatory period (rather than jump up at the end of the period) if a trend of falling demand was evident.</w:t>
      </w:r>
    </w:p>
    <w:p w:rsidR="00C00EFD" w:rsidRDefault="00C00EFD" w:rsidP="00C00EFD">
      <w:pPr>
        <w:pStyle w:val="AERbodytext"/>
      </w:pPr>
      <w:r w:rsidRPr="00C00EFD">
        <w:t xml:space="preserve">A further aspect to consider is the effect on price volatility stemming from the form of control between regulatory control periods. In moving from one regulatory control period to the next, a WAPC would likely subject consumers to large price increases if there are demand forecasting errors. That is, under a WAPC distributors have the opportunity to recover revenue substantially above forecast revenue when actual quantities exceed forecast quantities. Similarly, they are able recover revenue close to forecast when actual quantities are below forecast quantities. The revenue cap avoids this as demand only forms a small component of forecasting revenue requirements. This results in less price volatility and therefore less movement in prices for consumers between regulatory control periods. </w:t>
      </w:r>
    </w:p>
    <w:p w:rsidR="00C00EFD" w:rsidRDefault="00C00EFD" w:rsidP="00C00EFD">
      <w:pPr>
        <w:pStyle w:val="AERbodytext"/>
        <w:numPr>
          <w:ilvl w:val="0"/>
          <w:numId w:val="0"/>
        </w:numPr>
      </w:pPr>
    </w:p>
    <w:p w:rsidR="00FA0F3B" w:rsidRPr="00A52492" w:rsidRDefault="00FA0F3B" w:rsidP="00FA0F3B">
      <w:pPr>
        <w:rPr>
          <w:rStyle w:val="AERtextbold"/>
        </w:rPr>
      </w:pPr>
      <w:r w:rsidRPr="00A52492">
        <w:rPr>
          <w:rStyle w:val="AERtextbold"/>
        </w:rPr>
        <w:lastRenderedPageBreak/>
        <w:t xml:space="preserve">Figure </w:t>
      </w:r>
      <w:r w:rsidR="00026623">
        <w:rPr>
          <w:rStyle w:val="AERtextbold"/>
        </w:rPr>
        <w:t>5</w:t>
      </w:r>
      <w:r w:rsidRPr="00A52492">
        <w:rPr>
          <w:rStyle w:val="AERtextbold"/>
        </w:rPr>
        <w:t xml:space="preserve">: Typical residential customer </w:t>
      </w:r>
      <w:r w:rsidR="00CB5C24">
        <w:rPr>
          <w:rStyle w:val="AERtextbold"/>
        </w:rPr>
        <w:t>electricity charges</w:t>
      </w:r>
    </w:p>
    <w:p w:rsidR="00FA0F3B" w:rsidRPr="001E0D0C" w:rsidRDefault="00FA0F3B" w:rsidP="00FA0F3B">
      <w:pPr>
        <w:pStyle w:val="AERbodytext"/>
      </w:pPr>
      <w:r w:rsidRPr="00FA0F3B">
        <w:rPr>
          <w:noProof/>
          <w:lang w:eastAsia="en-AU"/>
        </w:rPr>
        <w:drawing>
          <wp:inline distT="0" distB="0" distL="0" distR="0" wp14:anchorId="4FCE2D1E" wp14:editId="33A5C1EC">
            <wp:extent cx="4572000" cy="3052763"/>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A0F3B" w:rsidRDefault="00FA0F3B" w:rsidP="00FA0F3B">
      <w:pPr>
        <w:pStyle w:val="AERtablesource"/>
      </w:pPr>
      <w:r>
        <w:t xml:space="preserve">Source: AER. The </w:t>
      </w:r>
      <w:r w:rsidR="00491ECF">
        <w:t xml:space="preserve">graph is based on </w:t>
      </w:r>
      <w:r w:rsidR="00CB5C24">
        <w:t xml:space="preserve">annual </w:t>
      </w:r>
      <w:r w:rsidR="00491ECF">
        <w:t>consumption of 4250 kWh and is</w:t>
      </w:r>
      <w:r>
        <w:t xml:space="preserve"> inclusive of GST.</w:t>
      </w:r>
    </w:p>
    <w:p w:rsidR="00FA0F3B" w:rsidRPr="00FA0F3B" w:rsidRDefault="00FA0F3B" w:rsidP="00916DDD">
      <w:pPr>
        <w:pStyle w:val="Heading3"/>
      </w:pPr>
      <w:bookmarkStart w:id="101" w:name="_Toc374085349"/>
      <w:bookmarkStart w:id="102" w:name="_Toc387418366"/>
      <w:bookmarkStart w:id="103" w:name="_Toc388976520"/>
      <w:r w:rsidRPr="00FA0F3B">
        <w:t>Incentives for demand side management</w:t>
      </w:r>
      <w:bookmarkEnd w:id="101"/>
      <w:bookmarkEnd w:id="102"/>
      <w:bookmarkEnd w:id="103"/>
    </w:p>
    <w:p w:rsidR="00FA0F3B" w:rsidRDefault="00FA0F3B" w:rsidP="00FA0F3B">
      <w:pPr>
        <w:pStyle w:val="AERbodytext"/>
      </w:pPr>
      <w:r>
        <w:t xml:space="preserve">We consider a revenue cap provides an efficient incentive to undertake demand side management. </w:t>
      </w:r>
    </w:p>
    <w:p w:rsidR="00FA0F3B" w:rsidRDefault="00FA0F3B" w:rsidP="00FA0F3B">
      <w:pPr>
        <w:pStyle w:val="AERbodytext"/>
      </w:pPr>
      <w:r>
        <w:t>Under a revenue cap we fix distributors'</w:t>
      </w:r>
      <w:r w:rsidRPr="00A0475C">
        <w:t xml:space="preserve"> revenue over the regulatory control period</w:t>
      </w:r>
      <w:r>
        <w:t>. Distributors can therefore increase</w:t>
      </w:r>
      <w:r w:rsidRPr="00A0475C">
        <w:t xml:space="preserve"> profits by reducing costs. </w:t>
      </w:r>
      <w:r>
        <w:t>This creates an incentive for distributo</w:t>
      </w:r>
      <w:r w:rsidRPr="00A0475C">
        <w:t>rs to undertake</w:t>
      </w:r>
      <w:r>
        <w:t xml:space="preserve"> </w:t>
      </w:r>
      <w:r w:rsidRPr="00A0475C">
        <w:t xml:space="preserve">demand </w:t>
      </w:r>
      <w:r>
        <w:t xml:space="preserve">side </w:t>
      </w:r>
      <w:r w:rsidRPr="00A0475C">
        <w:t>management pro</w:t>
      </w:r>
      <w:r>
        <w:t>jects that reduce total costs. That is, any demand side management project where the reduction in network expenditure is greater than the cost of implementing the demand side management. We consider this provides an efficient incentive to distributors to undertake demand side management within a regulatory control period.</w:t>
      </w:r>
    </w:p>
    <w:p w:rsidR="00FA0F3B" w:rsidRDefault="00FA0F3B" w:rsidP="00FA0F3B">
      <w:pPr>
        <w:pStyle w:val="AERbodytext"/>
      </w:pPr>
      <w:r>
        <w:t xml:space="preserve">Under a WAPC a distributor's profits are linked directly to </w:t>
      </w:r>
      <w:r w:rsidRPr="00A0475C">
        <w:t xml:space="preserve">the </w:t>
      </w:r>
      <w:r>
        <w:t xml:space="preserve">actual </w:t>
      </w:r>
      <w:r w:rsidRPr="00A0475C">
        <w:t>volume</w:t>
      </w:r>
      <w:r>
        <w:t>s</w:t>
      </w:r>
      <w:r w:rsidRPr="00A0475C">
        <w:t xml:space="preserve"> of electricity distributed.</w:t>
      </w:r>
      <w:r>
        <w:t xml:space="preserve"> This is because, in practice, distributors have chosen energy based network tariffs in most instances. This means that even when implementation of a demand side management project would reduce a distributor's total costs it will likely face a disincentive to undertake the project because the costs of implementation plus the reduction in revenue will outweigh the reduction in network expenditure. </w:t>
      </w:r>
    </w:p>
    <w:p w:rsidR="00FA0F3B" w:rsidRPr="00FA0F3B" w:rsidRDefault="00FA0F3B" w:rsidP="00FA0F3B">
      <w:pPr>
        <w:pStyle w:val="Heading3"/>
      </w:pPr>
      <w:bookmarkStart w:id="104" w:name="_Toc374085350"/>
      <w:bookmarkStart w:id="105" w:name="_Toc387418367"/>
      <w:bookmarkStart w:id="106" w:name="_Toc388976521"/>
      <w:r w:rsidRPr="00FA0F3B">
        <w:t>Hybrid form of control</w:t>
      </w:r>
      <w:bookmarkEnd w:id="104"/>
      <w:bookmarkEnd w:id="105"/>
      <w:bookmarkEnd w:id="106"/>
    </w:p>
    <w:p w:rsidR="00FA0F3B" w:rsidRDefault="00FA0F3B" w:rsidP="00FA0F3B">
      <w:pPr>
        <w:pStyle w:val="AERbodytext"/>
      </w:pPr>
      <w:r>
        <w:t>We consider that higher administrative costs to distributors and us under a hybrid revenue cap outweigh its potential benefits.</w:t>
      </w:r>
    </w:p>
    <w:p w:rsidR="00FA0F3B" w:rsidRPr="00DF1E23" w:rsidRDefault="00FA0F3B" w:rsidP="00FA0F3B">
      <w:pPr>
        <w:pStyle w:val="AERbodytext"/>
      </w:pPr>
      <w:r>
        <w:t>There are many formulations for designing a h</w:t>
      </w:r>
      <w:r w:rsidRPr="005F4DC2">
        <w:t xml:space="preserve">ybrid </w:t>
      </w:r>
      <w:r>
        <w:t>form of control mechanism. We have considered a hybrid revenue cap where revenue is adjusted within the regulatory period to adjust for deviations from forecast cost drivers. That is, customer numbers and peak demand. This design enables distributor</w:t>
      </w:r>
      <w:r w:rsidRPr="00D522DD">
        <w:t xml:space="preserve">s' revenues to align more closely to the cost drivers compared </w:t>
      </w:r>
      <w:r>
        <w:t>with</w:t>
      </w:r>
      <w:r w:rsidRPr="00D522DD">
        <w:t xml:space="preserve"> a revenue cap.</w:t>
      </w:r>
      <w:r>
        <w:t xml:space="preserve"> However, it may be difficult to develop an effective revenue function under a hybrid revenue cap. Under the hybrid revenue cap we must recalculate the distributors' maximum allowable revenue each year. This would involve substantial administrative costs to distributors and us throughout the regulatory control period. Additionally, because a large proportion of distributors' costs are fixed rather </w:t>
      </w:r>
      <w:r>
        <w:lastRenderedPageBreak/>
        <w:t>than variable such adjustments may only result in small adjustments to distributors' maximum allowable revenues. For these reasons, the Independent Pricing and Regulatory Tribunal (NSW) moved away from a hybrid revenue cap to a revenue cap in the 1999–2004 distribution determination.</w:t>
      </w:r>
      <w:r>
        <w:rPr>
          <w:rStyle w:val="FootnoteReference"/>
        </w:rPr>
        <w:footnoteReference w:id="140"/>
      </w:r>
      <w:r>
        <w:t xml:space="preserve"> Other regulators (Queensland Competition Authority and the Office of the Tasmanian Economic Regulator) also noted the difficulties and complexities involved in developing and applying a hybrid revenue cap.</w:t>
      </w:r>
      <w:r>
        <w:rPr>
          <w:rStyle w:val="FootnoteReference"/>
        </w:rPr>
        <w:footnoteReference w:id="141"/>
      </w:r>
    </w:p>
    <w:p w:rsidR="00FA0F3B" w:rsidRDefault="00FA0F3B" w:rsidP="00FA0F3B">
      <w:pPr>
        <w:pStyle w:val="Heading3"/>
      </w:pPr>
      <w:bookmarkStart w:id="107" w:name="_Toc374085351"/>
      <w:bookmarkStart w:id="108" w:name="_Toc387418368"/>
      <w:bookmarkStart w:id="109" w:name="_Toc388976522"/>
      <w:r w:rsidRPr="00FA0F3B">
        <w:t>Formulae for control mechanism</w:t>
      </w:r>
      <w:bookmarkEnd w:id="107"/>
      <w:bookmarkEnd w:id="108"/>
      <w:bookmarkEnd w:id="109"/>
    </w:p>
    <w:p w:rsidR="00FA0F3B" w:rsidRDefault="00FA0F3B" w:rsidP="00FA0F3B">
      <w:pPr>
        <w:pStyle w:val="AERbodytext"/>
      </w:pPr>
      <w:r>
        <w:t>We are required to set out our proposed approach to the formulae that give effect to the control mechanisms for standard control services in the F&amp;A paper.</w:t>
      </w:r>
      <w:r>
        <w:rPr>
          <w:rStyle w:val="FootnoteReference"/>
        </w:rPr>
        <w:footnoteReference w:id="142"/>
      </w:r>
      <w:r>
        <w:t xml:space="preserve"> We must include the formulae in our final F&amp;A in our distribution determination, unless we consider that unforeseen circumstances justify departing from the formulae as set out in the F&amp;A.</w:t>
      </w:r>
      <w:r>
        <w:rPr>
          <w:rStyle w:val="FootnoteReference"/>
        </w:rPr>
        <w:footnoteReference w:id="143"/>
      </w:r>
      <w:r>
        <w:t xml:space="preserve"> </w:t>
      </w:r>
    </w:p>
    <w:p w:rsidR="00FA0F3B" w:rsidRPr="00FA0F3B" w:rsidRDefault="00FA0F3B" w:rsidP="00FA0F3B">
      <w:pPr>
        <w:pStyle w:val="AERbodytext"/>
      </w:pPr>
      <w:r>
        <w:t xml:space="preserve">Below is a preliminary formulae to apply to standard control services. We consider that the formula gives effect to the revenue cap. </w:t>
      </w:r>
    </w:p>
    <w:p w:rsidR="00FA0F3B" w:rsidRDefault="00557780" w:rsidP="00A825FE">
      <w:pPr>
        <w:pStyle w:val="AERbodytext"/>
      </w:pPr>
      <w:r>
        <w:t xml:space="preserve">(1) </w:t>
      </w:r>
      <w:r w:rsidRPr="00557780">
        <w:rPr>
          <w:position w:val="-30"/>
        </w:rPr>
        <w:object w:dxaOrig="2060" w:dyaOrig="700">
          <v:shape id="_x0000_i1025" type="#_x0000_t75" style="width:104pt;height:35pt" o:ole="">
            <v:imagedata r:id="rId27" o:title=""/>
          </v:shape>
          <o:OLEObject Type="Embed" ProgID="Equation.3" ShapeID="_x0000_i1025" DrawAspect="Content" ObjectID="_1464090618" r:id="rId28"/>
        </w:object>
      </w:r>
      <w:r w:rsidR="00FA0F3B">
        <w:tab/>
      </w:r>
      <w:r w:rsidR="00FA0F3B">
        <w:tab/>
      </w:r>
      <w:r w:rsidR="00FA0F3B">
        <w:tab/>
      </w:r>
      <w:r w:rsidR="00FA0F3B">
        <w:tab/>
      </w:r>
      <w:r w:rsidR="00FA0F3B">
        <w:tab/>
        <w:t>i=1,...,n and j=1,...,m and t=1,...,5</w:t>
      </w:r>
    </w:p>
    <w:p w:rsidR="00FA0F3B" w:rsidRDefault="00557780" w:rsidP="00A825FE">
      <w:pPr>
        <w:pStyle w:val="AERbodytext"/>
      </w:pPr>
      <w:r>
        <w:t xml:space="preserve">(2) </w:t>
      </w:r>
      <w:r w:rsidRPr="00557780">
        <w:rPr>
          <w:position w:val="-12"/>
        </w:rPr>
        <w:object w:dxaOrig="2480" w:dyaOrig="360">
          <v:shape id="_x0000_i1026" type="#_x0000_t75" style="width:124pt;height:19pt" o:ole="">
            <v:imagedata r:id="rId29" o:title=""/>
          </v:shape>
          <o:OLEObject Type="Embed" ProgID="Equation.3" ShapeID="_x0000_i1026" DrawAspect="Content" ObjectID="_1464090619" r:id="rId30"/>
        </w:object>
      </w:r>
    </w:p>
    <w:p w:rsidR="00FA0F3B" w:rsidRDefault="00557780" w:rsidP="00A825FE">
      <w:pPr>
        <w:pStyle w:val="AERbodytext"/>
      </w:pPr>
      <w:r>
        <w:t xml:space="preserve">(3) </w:t>
      </w:r>
      <w:r w:rsidRPr="00557780">
        <w:rPr>
          <w:position w:val="-12"/>
        </w:rPr>
        <w:object w:dxaOrig="2860" w:dyaOrig="360">
          <v:shape id="_x0000_i1027" type="#_x0000_t75" style="width:143pt;height:19pt" o:ole="">
            <v:imagedata r:id="rId31" o:title=""/>
          </v:shape>
          <o:OLEObject Type="Embed" ProgID="Equation.3" ShapeID="_x0000_i1027" DrawAspect="Content" ObjectID="_1464090620" r:id="rId32"/>
        </w:object>
      </w:r>
    </w:p>
    <w:p w:rsidR="00FA0F3B" w:rsidRDefault="00FA0F3B" w:rsidP="00A825FE">
      <w:pPr>
        <w:pStyle w:val="AERbodytext"/>
      </w:pPr>
      <w:r>
        <w:t xml:space="preserve">Where: </w:t>
      </w:r>
    </w:p>
    <w:p w:rsidR="00FA0F3B" w:rsidRDefault="00557780" w:rsidP="00A825FE">
      <w:pPr>
        <w:pStyle w:val="AERbodytext"/>
      </w:pPr>
      <w:r w:rsidRPr="00557780">
        <w:rPr>
          <w:position w:val="-12"/>
        </w:rPr>
        <w:object w:dxaOrig="620" w:dyaOrig="360">
          <v:shape id="_x0000_i1028" type="#_x0000_t75" style="width:32pt;height:19pt" o:ole="">
            <v:imagedata r:id="rId33" o:title=""/>
          </v:shape>
          <o:OLEObject Type="Embed" ProgID="Equation.3" ShapeID="_x0000_i1028" DrawAspect="Content" ObjectID="_1464090621" r:id="rId34"/>
        </w:object>
      </w:r>
      <w:r w:rsidR="00FA0F3B">
        <w:t>is the maximum allowable revenue in year t.</w:t>
      </w:r>
    </w:p>
    <w:p w:rsidR="00FA0F3B" w:rsidRDefault="00557780" w:rsidP="00A825FE">
      <w:pPr>
        <w:pStyle w:val="AERbodytext"/>
      </w:pPr>
      <w:r w:rsidRPr="00557780">
        <w:rPr>
          <w:position w:val="-14"/>
        </w:rPr>
        <w:object w:dxaOrig="320" w:dyaOrig="400">
          <v:shape id="_x0000_i1029" type="#_x0000_t75" style="width:16pt;height:20pt" o:ole="">
            <v:imagedata r:id="rId35" o:title=""/>
          </v:shape>
          <o:OLEObject Type="Embed" ProgID="Equation.3" ShapeID="_x0000_i1029" DrawAspect="Content" ObjectID="_1464090622" r:id="rId36"/>
        </w:object>
      </w:r>
      <w:r w:rsidR="00FA0F3B">
        <w:t>is the price of component i of tariff j</w:t>
      </w:r>
      <w:r w:rsidR="00FA0F3B" w:rsidRPr="00463B54">
        <w:t xml:space="preserve"> </w:t>
      </w:r>
      <w:r w:rsidR="00FA0F3B">
        <w:t>in year t.</w:t>
      </w:r>
    </w:p>
    <w:p w:rsidR="00FA0F3B" w:rsidRDefault="00557780" w:rsidP="00A825FE">
      <w:pPr>
        <w:pStyle w:val="AERbodytext"/>
      </w:pPr>
      <w:r w:rsidRPr="00557780">
        <w:rPr>
          <w:position w:val="-14"/>
        </w:rPr>
        <w:object w:dxaOrig="320" w:dyaOrig="400">
          <v:shape id="_x0000_i1030" type="#_x0000_t75" style="width:16pt;height:20pt" o:ole="">
            <v:imagedata r:id="rId37" o:title=""/>
          </v:shape>
          <o:OLEObject Type="Embed" ProgID="Equation.3" ShapeID="_x0000_i1030" DrawAspect="Content" ObjectID="_1464090623" r:id="rId38"/>
        </w:object>
      </w:r>
      <w:r w:rsidR="00FA0F3B">
        <w:t>is the forecast quantity of component i of tariff j</w:t>
      </w:r>
      <w:r w:rsidR="00FA0F3B" w:rsidRPr="00463B54">
        <w:t xml:space="preserve"> </w:t>
      </w:r>
      <w:r w:rsidR="00FA0F3B">
        <w:t>in year t.</w:t>
      </w:r>
    </w:p>
    <w:p w:rsidR="00FA0F3B" w:rsidRDefault="00557780" w:rsidP="00A825FE">
      <w:pPr>
        <w:pStyle w:val="AERbodytext"/>
      </w:pPr>
      <w:r w:rsidRPr="00557780">
        <w:rPr>
          <w:position w:val="-12"/>
        </w:rPr>
        <w:object w:dxaOrig="480" w:dyaOrig="380">
          <v:shape id="_x0000_i1031" type="#_x0000_t75" style="width:23pt;height:19pt" o:ole="">
            <v:imagedata r:id="rId39" o:title=""/>
          </v:shape>
          <o:OLEObject Type="Embed" ProgID="Equation.3" ShapeID="_x0000_i1031" DrawAspect="Content" ObjectID="_1464090624" r:id="rId40"/>
        </w:object>
      </w:r>
      <w:r w:rsidR="00FA0F3B">
        <w:t>is the annual smoothed revenue requirement in the Post Tax Revenue Model for year t.</w:t>
      </w:r>
    </w:p>
    <w:p w:rsidR="00FA0F3B" w:rsidRDefault="00557780" w:rsidP="00A825FE">
      <w:pPr>
        <w:pStyle w:val="AERbodytext"/>
      </w:pPr>
      <w:r w:rsidRPr="00557780">
        <w:rPr>
          <w:position w:val="-12"/>
        </w:rPr>
        <w:object w:dxaOrig="240" w:dyaOrig="360">
          <v:shape id="_x0000_i1032" type="#_x0000_t75" style="width:13pt;height:19pt" o:ole="">
            <v:imagedata r:id="rId41" o:title=""/>
          </v:shape>
          <o:OLEObject Type="Embed" ProgID="Equation.3" ShapeID="_x0000_i1032" DrawAspect="Content" ObjectID="_1464090625" r:id="rId42"/>
        </w:object>
      </w:r>
      <w:r w:rsidR="00FA0F3B">
        <w:t xml:space="preserve"> is the sum of incentive scheme adjustments in year t. To be decided upon in the final decision.</w:t>
      </w:r>
    </w:p>
    <w:p w:rsidR="00FA0F3B" w:rsidRPr="00026623" w:rsidRDefault="004F6AD1" w:rsidP="00A825FE">
      <w:pPr>
        <w:pStyle w:val="AERbodytext"/>
        <w:rPr>
          <w:rStyle w:val="AERbody"/>
        </w:rPr>
      </w:pPr>
      <w:r w:rsidRPr="004F6AD1">
        <w:rPr>
          <w:position w:val="-12"/>
        </w:rPr>
        <w:object w:dxaOrig="240" w:dyaOrig="360">
          <v:shape id="_x0000_i1033" type="#_x0000_t75" style="width:13pt;height:19pt" o:ole="">
            <v:imagedata r:id="rId43" o:title=""/>
          </v:shape>
          <o:OLEObject Type="Embed" ProgID="Equation.3" ShapeID="_x0000_i1033" DrawAspect="Content" ObjectID="_1464090626" r:id="rId44"/>
        </w:object>
      </w:r>
      <w:r w:rsidR="00FA0F3B">
        <w:t xml:space="preserve"> is the sum of </w:t>
      </w:r>
      <w:r w:rsidR="00B500F5">
        <w:t>end-of-period</w:t>
      </w:r>
      <w:r w:rsidR="00FA0F3B">
        <w:t xml:space="preserve"> adjustments in year t. Likely to incorporate but not limited to </w:t>
      </w:r>
      <w:r w:rsidR="00FA0F3B" w:rsidRPr="00026623">
        <w:rPr>
          <w:rStyle w:val="AERbody"/>
        </w:rPr>
        <w:t>adjustments from the transitional regulatory control period.</w:t>
      </w:r>
      <w:r w:rsidR="00FD6D99">
        <w:rPr>
          <w:rStyle w:val="FootnoteReference"/>
        </w:rPr>
        <w:footnoteReference w:id="144"/>
      </w:r>
      <w:r w:rsidR="00FA0F3B" w:rsidRPr="00026623">
        <w:rPr>
          <w:rStyle w:val="AERbody"/>
        </w:rPr>
        <w:t xml:space="preserve"> To be decided upon in the final decision.</w:t>
      </w:r>
    </w:p>
    <w:p w:rsidR="00FA0F3B" w:rsidRDefault="004F6AD1" w:rsidP="00A825FE">
      <w:pPr>
        <w:pStyle w:val="AERbodytext"/>
      </w:pPr>
      <w:r w:rsidRPr="004F6AD1">
        <w:rPr>
          <w:position w:val="-12"/>
        </w:rPr>
        <w:object w:dxaOrig="279" w:dyaOrig="360">
          <v:shape id="_x0000_i1034" type="#_x0000_t75" style="width:14pt;height:19pt" o:ole="">
            <v:imagedata r:id="rId45" o:title=""/>
          </v:shape>
          <o:OLEObject Type="Embed" ProgID="Equation.3" ShapeID="_x0000_i1034" DrawAspect="Content" ObjectID="_1464090627" r:id="rId46"/>
        </w:object>
      </w:r>
      <w:r>
        <w:t xml:space="preserve"> </w:t>
      </w:r>
      <w:r w:rsidR="00FA0F3B">
        <w:t>is the sum of annual adjustment factors in year t. Likely to incorporate but not limited to adjustments for the overs and unders account. To be decided upon in the final decision.</w:t>
      </w:r>
    </w:p>
    <w:p w:rsidR="00FA0F3B" w:rsidRDefault="004F6AD1" w:rsidP="00A825FE">
      <w:pPr>
        <w:pStyle w:val="AERbodytext"/>
      </w:pPr>
      <w:r w:rsidRPr="004F6AD1">
        <w:rPr>
          <w:position w:val="-12"/>
        </w:rPr>
        <w:object w:dxaOrig="560" w:dyaOrig="380">
          <v:shape id="_x0000_i1035" type="#_x0000_t75" style="width:29pt;height:19pt" o:ole="">
            <v:imagedata r:id="rId47" o:title=""/>
          </v:shape>
          <o:OLEObject Type="Embed" ProgID="Equation.3" ShapeID="_x0000_i1035" DrawAspect="Content" ObjectID="_1464090628" r:id="rId48"/>
        </w:object>
      </w:r>
      <w:r w:rsidR="00FA0F3B">
        <w:t>is the percentage increase in the consumer price index. To be decided upon in the final decision.</w:t>
      </w:r>
    </w:p>
    <w:p w:rsidR="00FA0F3B" w:rsidRDefault="004F6AD1" w:rsidP="00A825FE">
      <w:pPr>
        <w:pStyle w:val="AERbodytext"/>
      </w:pPr>
      <w:r w:rsidRPr="004F6AD1">
        <w:rPr>
          <w:position w:val="-12"/>
        </w:rPr>
        <w:object w:dxaOrig="360" w:dyaOrig="380">
          <v:shape id="_x0000_i1036" type="#_x0000_t75" style="width:19pt;height:19pt" o:ole="">
            <v:imagedata r:id="rId49" o:title=""/>
          </v:shape>
          <o:OLEObject Type="Embed" ProgID="Equation.3" ShapeID="_x0000_i1036" DrawAspect="Content" ObjectID="_1464090629" r:id="rId50"/>
        </w:object>
      </w:r>
      <w:r w:rsidR="00FA0F3B">
        <w:t>is the X-factor in year t. To be decided upon in the final decision.</w:t>
      </w:r>
    </w:p>
    <w:p w:rsidR="00FA0F3B" w:rsidRPr="00FA0F3B" w:rsidRDefault="00FA0F3B" w:rsidP="00FA0F3B">
      <w:pPr>
        <w:pStyle w:val="Heading2"/>
      </w:pPr>
      <w:bookmarkStart w:id="110" w:name="_Toc374085352"/>
      <w:bookmarkStart w:id="111" w:name="_Toc387418369"/>
      <w:bookmarkStart w:id="112" w:name="_Toc388976523"/>
      <w:r w:rsidRPr="00FA0F3B">
        <w:t>AER's reasons — control mechanism for alternative control services</w:t>
      </w:r>
      <w:bookmarkEnd w:id="110"/>
      <w:bookmarkEnd w:id="111"/>
      <w:bookmarkEnd w:id="112"/>
    </w:p>
    <w:p w:rsidR="00FA0F3B" w:rsidRPr="00FA0F3B" w:rsidRDefault="00FA0F3B" w:rsidP="00A825FE">
      <w:pPr>
        <w:pStyle w:val="AERbodytext"/>
      </w:pPr>
      <w:r>
        <w:t>Our preliminary position is to apply caps on the prices of individual services in the next regulatory control period to all alternative control service. We propose classifying the following services as alternative control services:</w:t>
      </w:r>
    </w:p>
    <w:p w:rsidR="00FA0F3B" w:rsidRDefault="00FA0F3B" w:rsidP="00FA0F3B">
      <w:pPr>
        <w:pStyle w:val="AERbulletlistfirststyle"/>
      </w:pPr>
      <w:r>
        <w:t xml:space="preserve">type 5 and 6 </w:t>
      </w:r>
      <w:r w:rsidR="005E0ABA">
        <w:t xml:space="preserve">and smart </w:t>
      </w:r>
      <w:r>
        <w:t xml:space="preserve">metering services </w:t>
      </w:r>
    </w:p>
    <w:p w:rsidR="00FA0F3B" w:rsidRDefault="00FA0F3B" w:rsidP="00FA0F3B">
      <w:pPr>
        <w:pStyle w:val="AERbulletlistfirststyle"/>
      </w:pPr>
      <w:r>
        <w:t>ancillary network services</w:t>
      </w:r>
    </w:p>
    <w:p w:rsidR="00FA0F3B" w:rsidRPr="00D771D5" w:rsidRDefault="00FA0F3B" w:rsidP="00FA0F3B">
      <w:pPr>
        <w:pStyle w:val="AERbulletlistfirststyle"/>
        <w:rPr>
          <w:rStyle w:val="AERbody"/>
        </w:rPr>
      </w:pPr>
      <w:r>
        <w:rPr>
          <w:rStyle w:val="AERbody"/>
        </w:rPr>
        <w:t>public lighting.</w:t>
      </w:r>
    </w:p>
    <w:p w:rsidR="00FA0F3B" w:rsidRDefault="00FA0F3B" w:rsidP="00FA0F3B">
      <w:r>
        <w:t xml:space="preserve">Our main consideration is that the benefit of caps on the prices of individual services is providing cost reflective pricing. We consider this benefit outweighs any detriment from increased administrative costs. </w:t>
      </w:r>
    </w:p>
    <w:p w:rsidR="00FA0F3B" w:rsidRDefault="00FA0F3B" w:rsidP="00B923E4">
      <w:r>
        <w:t>Through the distribution determination process, we will confirm the basis of the control mechanism for alternative control services.</w:t>
      </w:r>
      <w:r>
        <w:rPr>
          <w:rStyle w:val="FootnoteReference"/>
        </w:rPr>
        <w:footnoteReference w:id="145"/>
      </w:r>
      <w:r>
        <w:t xml:space="preserve"> That is, we will confirm whether we will set prices using a building block approach or another method. Prices for certain ancillary network services will be determined on a quoted basis. The </w:t>
      </w:r>
      <w:r w:rsidR="00850953">
        <w:t xml:space="preserve">Victorian </w:t>
      </w:r>
      <w:r>
        <w:t xml:space="preserve">distributors will propose the approach to determining quoted prices, which we will consider in making our distribution determination. Typically, prices for quoted services are based on quantities of labour and materials with the quantities dependent on a particular task. </w:t>
      </w:r>
      <w:r w:rsidR="00B923E4">
        <w:t xml:space="preserve">For example, where a customer seeks a non-standard connection which may involve an extension to the network the distributors may only be able to quote on the service once they know the scope of the work. </w:t>
      </w:r>
    </w:p>
    <w:p w:rsidR="00FA0F3B" w:rsidRPr="00FA0F3B" w:rsidRDefault="00FA0F3B" w:rsidP="001A5F4C">
      <w:pPr>
        <w:pStyle w:val="AERbulletlistfirststyle"/>
        <w:numPr>
          <w:ilvl w:val="0"/>
          <w:numId w:val="0"/>
        </w:numPr>
      </w:pPr>
      <w:r>
        <w:t xml:space="preserve">Our </w:t>
      </w:r>
      <w:r w:rsidRPr="00FA0F3B">
        <w:t>preliminary consideration of the relevant factors is set out below.</w:t>
      </w:r>
    </w:p>
    <w:p w:rsidR="00FA0F3B" w:rsidRPr="00FA0F3B" w:rsidRDefault="00FA0F3B" w:rsidP="00FA0F3B">
      <w:pPr>
        <w:pStyle w:val="Heading3"/>
      </w:pPr>
      <w:bookmarkStart w:id="113" w:name="_Toc374085353"/>
      <w:bookmarkStart w:id="114" w:name="_Toc387418370"/>
      <w:bookmarkStart w:id="115" w:name="_Toc388976524"/>
      <w:r w:rsidRPr="00FA0F3B">
        <w:t>Influence on the potential to develop competition</w:t>
      </w:r>
      <w:bookmarkEnd w:id="113"/>
      <w:bookmarkEnd w:id="114"/>
      <w:bookmarkEnd w:id="115"/>
    </w:p>
    <w:p w:rsidR="00FA0F3B" w:rsidRDefault="00FA0F3B" w:rsidP="00A825FE">
      <w:pPr>
        <w:pStyle w:val="AERbodytext"/>
      </w:pPr>
      <w:r>
        <w:t xml:space="preserve">We consider that the control mechanism for alternative control services will not have a significant impact on potential competition development. We consider the primary influence on competition development will be the classification of services as alternative control services.  Attachment 1 discusses classification. </w:t>
      </w:r>
    </w:p>
    <w:p w:rsidR="00FA0F3B" w:rsidRPr="00FA0F3B" w:rsidRDefault="00FA0F3B" w:rsidP="00FA0F3B">
      <w:pPr>
        <w:pStyle w:val="Heading3"/>
      </w:pPr>
      <w:bookmarkStart w:id="116" w:name="_Toc374085354"/>
      <w:bookmarkStart w:id="117" w:name="_Toc387418371"/>
      <w:bookmarkStart w:id="118" w:name="_Toc388976525"/>
      <w:r w:rsidRPr="00FA0F3B">
        <w:lastRenderedPageBreak/>
        <w:t>Administrative costs</w:t>
      </w:r>
      <w:bookmarkEnd w:id="116"/>
      <w:bookmarkEnd w:id="117"/>
      <w:bookmarkEnd w:id="118"/>
    </w:p>
    <w:p w:rsidR="00FA0F3B" w:rsidRDefault="00FA0F3B" w:rsidP="00FA0F3B">
      <w:r>
        <w:t xml:space="preserve">Our </w:t>
      </w:r>
      <w:r w:rsidRPr="00994D07">
        <w:rPr>
          <w:rStyle w:val="AERbody"/>
        </w:rPr>
        <w:t>preliminary view is that there will be no material impact on administrative costs for ancillary network services and public lighting services</w:t>
      </w:r>
      <w:r>
        <w:t xml:space="preserve"> because we are continuing with caps on prices of individual services. </w:t>
      </w:r>
    </w:p>
    <w:p w:rsidR="00FA0F3B" w:rsidRDefault="00FA0F3B" w:rsidP="00FA0F3B">
      <w:r>
        <w:t xml:space="preserve">We consider the classification of services and the basis of the form of control mechanism are the primary influences on administrative costs. We recognise the proposed change in classification of type 5 and 6 </w:t>
      </w:r>
      <w:r w:rsidR="005E0ABA">
        <w:t xml:space="preserve">and smart </w:t>
      </w:r>
      <w:r>
        <w:t>metering services and thus, a change in control mechanism, may result in some additional administrative costs. We consider these costs will largely be incurred in the transitioning to the new control mechanism. We consider the changes will create greater cost reflectivity for these service charges to customers in a user-pays environment. We consider these benefits warrant a short term increase in administrative costs.</w:t>
      </w:r>
      <w:r w:rsidR="00EF5F21">
        <w:t xml:space="preserve"> In any event, we have previously noted that the AER is obliged by clause 11.17.6(b) to make this classification.</w:t>
      </w:r>
      <w:r>
        <w:t xml:space="preserve"> </w:t>
      </w:r>
    </w:p>
    <w:p w:rsidR="00FA0F3B" w:rsidRPr="00FA0F3B" w:rsidRDefault="00FA0F3B" w:rsidP="00FA0F3B">
      <w:pPr>
        <w:pStyle w:val="Heading3"/>
      </w:pPr>
      <w:bookmarkStart w:id="119" w:name="_Toc374085355"/>
      <w:bookmarkStart w:id="120" w:name="_Toc387418372"/>
      <w:bookmarkStart w:id="121" w:name="_Toc388976526"/>
      <w:r w:rsidRPr="00FA0F3B">
        <w:t>Existing regulatory arrangements</w:t>
      </w:r>
      <w:bookmarkEnd w:id="119"/>
      <w:bookmarkEnd w:id="120"/>
      <w:bookmarkEnd w:id="121"/>
    </w:p>
    <w:p w:rsidR="00FA0F3B" w:rsidRDefault="00FA0F3B" w:rsidP="00A825FE">
      <w:pPr>
        <w:pStyle w:val="AERbodytext"/>
      </w:pPr>
      <w:r>
        <w:t xml:space="preserve">We consider consistency across regulatory control periods is generally desirable. However, we consider consistency across regulatory control periods should not be our primary consideration in determining a control mechanism in this instance for </w:t>
      </w:r>
      <w:r w:rsidR="007B0521">
        <w:t>alternative</w:t>
      </w:r>
      <w:r>
        <w:t xml:space="preserve"> control services. Our consideration of other factors in clause 6.2.5(d) of the rules leads us to the conclusion that the </w:t>
      </w:r>
      <w:r w:rsidR="007B0521">
        <w:t>use</w:t>
      </w:r>
      <w:r>
        <w:t xml:space="preserve"> of </w:t>
      </w:r>
      <w:r w:rsidR="007B0521">
        <w:t xml:space="preserve">price caps for individual services </w:t>
      </w:r>
      <w:r>
        <w:t xml:space="preserve">would lead to an overall outcome more consistent with the NEO and </w:t>
      </w:r>
      <w:r w:rsidRPr="00FA0F3B">
        <w:rPr>
          <w:rStyle w:val="AERbody"/>
        </w:rPr>
        <w:t>revenue and pricing principles</w:t>
      </w:r>
      <w:r>
        <w:t xml:space="preserve"> than the other possible alternatives. </w:t>
      </w:r>
    </w:p>
    <w:p w:rsidR="00FA0F3B" w:rsidRPr="006154AE" w:rsidRDefault="007B0521" w:rsidP="00FA0F3B">
      <w:pPr>
        <w:pStyle w:val="AERbodytext"/>
        <w:rPr>
          <w:rStyle w:val="AERbody"/>
        </w:rPr>
      </w:pPr>
      <w:r>
        <w:t>For metering services, a change in regulatory arrangements will be made regardless of the control mechanism we determine because</w:t>
      </w:r>
      <w:r w:rsidR="00FA0F3B">
        <w:t xml:space="preserve"> we propose reclassifying these services. </w:t>
      </w:r>
      <w:r>
        <w:rPr>
          <w:rStyle w:val="AERbody"/>
        </w:rPr>
        <w:t>For public lighting and ancillary network services, o</w:t>
      </w:r>
      <w:r w:rsidR="00FA0F3B">
        <w:rPr>
          <w:rStyle w:val="AERbody"/>
        </w:rPr>
        <w:t xml:space="preserve">ur preliminary </w:t>
      </w:r>
      <w:r w:rsidR="004C6DF4">
        <w:rPr>
          <w:rStyle w:val="AERbody"/>
        </w:rPr>
        <w:t>position</w:t>
      </w:r>
      <w:r w:rsidR="00FA0F3B">
        <w:rPr>
          <w:rStyle w:val="AERbody"/>
        </w:rPr>
        <w:t xml:space="preserve"> to apply caps on the prices of individual services is consistent with the current regulatory arrangements in </w:t>
      </w:r>
      <w:r>
        <w:rPr>
          <w:rStyle w:val="AERbody"/>
        </w:rPr>
        <w:t>Victoria</w:t>
      </w:r>
      <w:r w:rsidR="00FA0F3B">
        <w:rPr>
          <w:rStyle w:val="AERbody"/>
        </w:rPr>
        <w:t xml:space="preserve">. </w:t>
      </w:r>
    </w:p>
    <w:p w:rsidR="00FA0F3B" w:rsidRPr="00FA0F3B" w:rsidRDefault="00FA0F3B" w:rsidP="00FA0F3B">
      <w:pPr>
        <w:pStyle w:val="Heading3"/>
      </w:pPr>
      <w:bookmarkStart w:id="122" w:name="_Toc374085356"/>
      <w:bookmarkStart w:id="123" w:name="_Toc387418373"/>
      <w:bookmarkStart w:id="124" w:name="_Toc388976527"/>
      <w:r w:rsidRPr="00FA0F3B">
        <w:t>Desirability of consistency between regulatory arrangements</w:t>
      </w:r>
      <w:bookmarkEnd w:id="122"/>
      <w:bookmarkEnd w:id="123"/>
      <w:bookmarkEnd w:id="124"/>
    </w:p>
    <w:p w:rsidR="00FA0F3B" w:rsidRDefault="00FA0F3B" w:rsidP="00A825FE">
      <w:pPr>
        <w:pStyle w:val="AERbodytext"/>
      </w:pPr>
      <w:r>
        <w:t xml:space="preserve">We consider consistency across jurisdictions is generally desirable but is not primary to our considerations in this instance. Desirability needs to be weighed against the other factors under clause 6.2.5(c) of the rules. The outcomes under the factors reveal outcomes that further the national electricity objectives and are consistent with the revenue and pricing principles. </w:t>
      </w:r>
    </w:p>
    <w:p w:rsidR="00FA0F3B" w:rsidRPr="00FA0F3B" w:rsidRDefault="00FA0F3B" w:rsidP="00FA0F3B">
      <w:pPr>
        <w:pStyle w:val="Heading3"/>
      </w:pPr>
      <w:bookmarkStart w:id="125" w:name="_Toc374085357"/>
      <w:bookmarkStart w:id="126" w:name="_Toc387418374"/>
      <w:bookmarkStart w:id="127" w:name="_Toc388976528"/>
      <w:r w:rsidRPr="00FA0F3B">
        <w:t>Cost reflective prices</w:t>
      </w:r>
      <w:bookmarkEnd w:id="125"/>
      <w:bookmarkEnd w:id="126"/>
      <w:bookmarkEnd w:id="127"/>
    </w:p>
    <w:p w:rsidR="00FA0F3B" w:rsidRDefault="00FA0F3B" w:rsidP="00A825FE">
      <w:pPr>
        <w:pStyle w:val="AERbodytext"/>
      </w:pPr>
      <w:r>
        <w:t xml:space="preserve">We consider that caps on the prices of individual services are more suitable than other control mechanisms for delivering cost reflective prices. Under caps on the prices of individual services, we will estimate the cost of providing each service and set the price at that cost. If competition develops within the period on some or all services, distributors will be able to compete by charging below the cap. However, unlike under a WAPC, distributors will not able to compensate for such reductions by increasing the price on non-competitive services. This will enhance cost reflectivity on both competitive and non-competitive services.  </w:t>
      </w:r>
    </w:p>
    <w:p w:rsidR="00FA0F3B" w:rsidRPr="00FA0F3B" w:rsidRDefault="00FA0F3B" w:rsidP="00FA0F3B">
      <w:pPr>
        <w:pStyle w:val="Heading3"/>
      </w:pPr>
      <w:bookmarkStart w:id="128" w:name="_Toc374085358"/>
      <w:bookmarkStart w:id="129" w:name="_Toc387418375"/>
      <w:bookmarkStart w:id="130" w:name="_Toc388976529"/>
      <w:r w:rsidRPr="00FA0F3B">
        <w:t>Formulae for alternative control services</w:t>
      </w:r>
      <w:bookmarkEnd w:id="128"/>
      <w:bookmarkEnd w:id="129"/>
      <w:bookmarkEnd w:id="130"/>
    </w:p>
    <w:p w:rsidR="00FA0F3B" w:rsidRDefault="00FA0F3B" w:rsidP="00A825FE">
      <w:pPr>
        <w:pStyle w:val="AERbodytext"/>
      </w:pPr>
      <w:r>
        <w:t>We are required to set out our proposed approach to the formulae that give effect to the control mechanisms for alternative control services in the F&amp;A paper.</w:t>
      </w:r>
      <w:r>
        <w:rPr>
          <w:rStyle w:val="FootnoteReference"/>
        </w:rPr>
        <w:footnoteReference w:id="146"/>
      </w:r>
      <w:r>
        <w:t xml:space="preserve"> </w:t>
      </w:r>
      <w:r w:rsidRPr="00994D07">
        <w:t xml:space="preserve">We must include the formulae in our </w:t>
      </w:r>
      <w:r w:rsidRPr="00994D07">
        <w:lastRenderedPageBreak/>
        <w:t>final F&amp;A in our distribution determination, unless we consider that unforeseen circumstances justify departing from the formulae as set out in the F&amp;A paper</w:t>
      </w:r>
      <w:r>
        <w:t>.</w:t>
      </w:r>
      <w:r>
        <w:rPr>
          <w:rStyle w:val="FootnoteReference"/>
        </w:rPr>
        <w:footnoteReference w:id="147"/>
      </w:r>
      <w:r>
        <w:t xml:space="preserve"> </w:t>
      </w:r>
    </w:p>
    <w:p w:rsidR="00FA0F3B" w:rsidRDefault="00FA0F3B" w:rsidP="007B0521">
      <w:pPr>
        <w:pStyle w:val="HeadingBoldBlue"/>
      </w:pPr>
      <w:r>
        <w:t>Services currently classified as alternative control services and remain classified as alternative control services</w:t>
      </w:r>
    </w:p>
    <w:p w:rsidR="00FA0F3B" w:rsidRDefault="00FA0F3B" w:rsidP="00A825FE">
      <w:pPr>
        <w:pStyle w:val="AERbodytext"/>
      </w:pPr>
      <w:r>
        <w:t>Below is a preliminary formulae to apply to alternative control services, which we propose to remain classified as alternative control services. We consider that the formula gives effect to the cap on the prices of individual services:</w:t>
      </w:r>
    </w:p>
    <w:p w:rsidR="00FA0F3B" w:rsidRDefault="00FA0F3B" w:rsidP="00A825FE">
      <w:pPr>
        <w:pStyle w:val="AERbodytext"/>
      </w:pPr>
      <w:r w:rsidRPr="001762C7">
        <w:object w:dxaOrig="760" w:dyaOrig="380">
          <v:shape id="_x0000_i1037" type="#_x0000_t75" style="width:38pt;height:19pt" o:ole="">
            <v:imagedata r:id="rId51" o:title=""/>
          </v:shape>
          <o:OLEObject Type="Embed" ProgID="Equation.3" ShapeID="_x0000_i1037" DrawAspect="Content" ObjectID="_1464090630" r:id="rId52"/>
        </w:object>
      </w:r>
      <w:r>
        <w:tab/>
      </w:r>
      <w:r>
        <w:tab/>
      </w:r>
      <w:r>
        <w:tab/>
      </w:r>
      <w:r>
        <w:tab/>
      </w:r>
      <w:r>
        <w:tab/>
      </w:r>
      <w:r>
        <w:tab/>
      </w:r>
      <w:r>
        <w:tab/>
      </w:r>
      <w:r>
        <w:tab/>
        <w:t>i=1,...,n and t=1,2,3,4</w:t>
      </w:r>
    </w:p>
    <w:p w:rsidR="00FA0F3B" w:rsidRDefault="00FA0F3B" w:rsidP="00A825FE">
      <w:pPr>
        <w:pStyle w:val="AERbodytext"/>
      </w:pPr>
      <w:r w:rsidRPr="001762C7">
        <w:object w:dxaOrig="3080" w:dyaOrig="380">
          <v:shape id="_x0000_i1038" type="#_x0000_t75" style="width:153pt;height:19pt" o:ole="">
            <v:imagedata r:id="rId53" o:title=""/>
          </v:shape>
          <o:OLEObject Type="Embed" ProgID="Equation.3" ShapeID="_x0000_i1038" DrawAspect="Content" ObjectID="_1464090631" r:id="rId54"/>
        </w:object>
      </w:r>
    </w:p>
    <w:p w:rsidR="00FA0F3B" w:rsidRDefault="00FA0F3B" w:rsidP="00A825FE">
      <w:pPr>
        <w:pStyle w:val="AERbodytext"/>
      </w:pPr>
      <w:r>
        <w:t>Where:</w:t>
      </w:r>
    </w:p>
    <w:p w:rsidR="00FA0F3B" w:rsidRDefault="004F6AD1" w:rsidP="00A825FE">
      <w:pPr>
        <w:pStyle w:val="AERbodytext"/>
      </w:pPr>
      <w:r w:rsidRPr="004F6AD1">
        <w:rPr>
          <w:position w:val="-12"/>
        </w:rPr>
        <w:object w:dxaOrig="300" w:dyaOrig="380">
          <v:shape id="_x0000_i1039" type="#_x0000_t75" style="width:15pt;height:19pt" o:ole="">
            <v:imagedata r:id="rId55" o:title=""/>
          </v:shape>
          <o:OLEObject Type="Embed" ProgID="Equation.3" ShapeID="_x0000_i1039" DrawAspect="Content" ObjectID="_1464090632" r:id="rId56"/>
        </w:object>
      </w:r>
      <w:r w:rsidR="00FA0F3B">
        <w:t>is the cap on the price of service i in year t</w:t>
      </w:r>
    </w:p>
    <w:p w:rsidR="00FA0F3B" w:rsidRDefault="004F6AD1" w:rsidP="00A825FE">
      <w:pPr>
        <w:pStyle w:val="AERbodytext"/>
      </w:pPr>
      <w:r w:rsidRPr="004F6AD1">
        <w:rPr>
          <w:position w:val="-12"/>
        </w:rPr>
        <w:object w:dxaOrig="300" w:dyaOrig="380">
          <v:shape id="_x0000_i1040" type="#_x0000_t75" style="width:15pt;height:19pt" o:ole="">
            <v:imagedata r:id="rId57" o:title=""/>
          </v:shape>
          <o:OLEObject Type="Embed" ProgID="Equation.3" ShapeID="_x0000_i1040" DrawAspect="Content" ObjectID="_1464090633" r:id="rId58"/>
        </w:object>
      </w:r>
      <w:r w:rsidR="00FA0F3B">
        <w:t>is the price of service i in year t</w:t>
      </w:r>
    </w:p>
    <w:p w:rsidR="00FA0F3B" w:rsidRDefault="004F6AD1" w:rsidP="00A825FE">
      <w:pPr>
        <w:pStyle w:val="AERbodytext"/>
      </w:pPr>
      <w:r w:rsidRPr="004F6AD1">
        <w:rPr>
          <w:position w:val="-12"/>
        </w:rPr>
        <w:object w:dxaOrig="560" w:dyaOrig="380">
          <v:shape id="_x0000_i1041" type="#_x0000_t75" style="width:29pt;height:19pt" o:ole="">
            <v:imagedata r:id="rId59" o:title=""/>
          </v:shape>
          <o:OLEObject Type="Embed" ProgID="Equation.3" ShapeID="_x0000_i1041" DrawAspect="Content" ObjectID="_1464090634" r:id="rId60"/>
        </w:object>
      </w:r>
      <w:r w:rsidR="00FA0F3B">
        <w:t>is the percentage increase in the consumer price index. To be decided upon in the final decision.</w:t>
      </w:r>
    </w:p>
    <w:p w:rsidR="00FA0F3B" w:rsidRDefault="004F6AD1" w:rsidP="00A825FE">
      <w:pPr>
        <w:pStyle w:val="AERbodytext"/>
      </w:pPr>
      <w:r w:rsidRPr="004F6AD1">
        <w:rPr>
          <w:position w:val="-12"/>
        </w:rPr>
        <w:object w:dxaOrig="340" w:dyaOrig="380">
          <v:shape id="_x0000_i1042" type="#_x0000_t75" style="width:19pt;height:19pt" o:ole="">
            <v:imagedata r:id="rId61" o:title=""/>
          </v:shape>
          <o:OLEObject Type="Embed" ProgID="Equation.3" ShapeID="_x0000_i1042" DrawAspect="Content" ObjectID="_1464090635" r:id="rId62"/>
        </w:object>
      </w:r>
      <w:r w:rsidR="00FA0F3B">
        <w:t xml:space="preserve">is the X-factor for service i in year t. To be decided upon in the final decision. </w:t>
      </w:r>
    </w:p>
    <w:p w:rsidR="00FA0F3B" w:rsidRDefault="004F6AD1" w:rsidP="00A825FE">
      <w:pPr>
        <w:pStyle w:val="AERbodytext"/>
      </w:pPr>
      <w:r w:rsidRPr="004F6AD1">
        <w:rPr>
          <w:position w:val="-12"/>
        </w:rPr>
        <w:object w:dxaOrig="300" w:dyaOrig="380">
          <v:shape id="_x0000_i1043" type="#_x0000_t75" style="width:15pt;height:19pt" o:ole="">
            <v:imagedata r:id="rId63" o:title=""/>
          </v:shape>
          <o:OLEObject Type="Embed" ProgID="Equation.3" ShapeID="_x0000_i1043" DrawAspect="Content" ObjectID="_1464090636" r:id="rId64"/>
        </w:object>
      </w:r>
      <w:r w:rsidR="00FA0F3B">
        <w:t xml:space="preserve">is an adjustment factor. Likely to include, but not limited to adjustments for residual charges when customers choose to replace assets before the end of their economic life. </w:t>
      </w:r>
    </w:p>
    <w:p w:rsidR="00084259" w:rsidRDefault="00084259" w:rsidP="00084259">
      <w:pPr>
        <w:pStyle w:val="Heading1"/>
      </w:pPr>
      <w:bookmarkStart w:id="131" w:name="_Toc388976530"/>
      <w:r w:rsidRPr="00084259">
        <w:lastRenderedPageBreak/>
        <w:t>Incentive schemes</w:t>
      </w:r>
      <w:bookmarkEnd w:id="131"/>
    </w:p>
    <w:p w:rsidR="00084259" w:rsidRDefault="000B54A9" w:rsidP="00A825FE">
      <w:pPr>
        <w:pStyle w:val="AERbodytext"/>
      </w:pPr>
      <w:r>
        <w:t xml:space="preserve">This attachment sets out our preliminary position on the application of a range of incentive schemes to the </w:t>
      </w:r>
      <w:r w:rsidR="00850953">
        <w:t xml:space="preserve">Victorian </w:t>
      </w:r>
      <w:r>
        <w:t>distributors for the next regulatory control period. At a high level, our preliminary position is to apply the:</w:t>
      </w:r>
    </w:p>
    <w:p w:rsidR="000B54A9" w:rsidRDefault="000B54A9" w:rsidP="000B54A9">
      <w:pPr>
        <w:pStyle w:val="AERbulletlistfirststyle"/>
      </w:pPr>
      <w:r>
        <w:t>service target performance incentive scheme</w:t>
      </w:r>
    </w:p>
    <w:p w:rsidR="000B54A9" w:rsidRDefault="000B54A9" w:rsidP="000B54A9">
      <w:pPr>
        <w:pStyle w:val="AERbulletlistfirststyle"/>
      </w:pPr>
      <w:r>
        <w:t>efficiency benefit sharing scheme</w:t>
      </w:r>
    </w:p>
    <w:p w:rsidR="000B54A9" w:rsidRDefault="000B54A9" w:rsidP="000B54A9">
      <w:pPr>
        <w:pStyle w:val="AERbulletlistfirststyle"/>
      </w:pPr>
      <w:r>
        <w:t>capital expenditure sharing scheme</w:t>
      </w:r>
    </w:p>
    <w:p w:rsidR="000B54A9" w:rsidRDefault="000B54A9" w:rsidP="000B54A9">
      <w:pPr>
        <w:pStyle w:val="AERbulletlistfirststyle"/>
      </w:pPr>
      <w:r>
        <w:t xml:space="preserve">demand management incentive scheme. </w:t>
      </w:r>
    </w:p>
    <w:p w:rsidR="000B54A9" w:rsidRPr="000B54A9" w:rsidRDefault="000B54A9" w:rsidP="00906B4A">
      <w:pPr>
        <w:pStyle w:val="Heading2"/>
      </w:pPr>
      <w:bookmarkStart w:id="132" w:name="_Toc388976531"/>
      <w:r>
        <w:t>Service target performance incentive scheme</w:t>
      </w:r>
      <w:bookmarkEnd w:id="132"/>
    </w:p>
    <w:p w:rsidR="00E666C2" w:rsidRDefault="00E666C2" w:rsidP="00A825FE">
      <w:pPr>
        <w:pStyle w:val="AERbodytext"/>
      </w:pPr>
      <w:r w:rsidRPr="008E6A6B">
        <w:t>This</w:t>
      </w:r>
      <w:r>
        <w:t xml:space="preserve"> </w:t>
      </w:r>
      <w:r w:rsidR="00084259">
        <w:t>section</w:t>
      </w:r>
      <w:r w:rsidR="00084259" w:rsidRPr="008E6A6B">
        <w:t xml:space="preserve"> </w:t>
      </w:r>
      <w:r>
        <w:t xml:space="preserve">sets out our proposed approach and reasons for applying the service target performance incentive scheme (STPIS) to the </w:t>
      </w:r>
      <w:r w:rsidR="00850953">
        <w:t xml:space="preserve">Victorian </w:t>
      </w:r>
      <w:r>
        <w:t>distributors in the next regulatory control period.</w:t>
      </w:r>
    </w:p>
    <w:p w:rsidR="00E666C2" w:rsidRDefault="00E666C2" w:rsidP="00A825FE">
      <w:pPr>
        <w:pStyle w:val="AERbodytext"/>
      </w:pPr>
      <w:r w:rsidRPr="0056185A">
        <w:t xml:space="preserve">Our national </w:t>
      </w:r>
      <w:r>
        <w:t xml:space="preserve">distribution </w:t>
      </w:r>
      <w:r w:rsidRPr="0056185A">
        <w:t>STPIS</w:t>
      </w:r>
      <w:r w:rsidRPr="002D4FB4">
        <w:rPr>
          <w:rStyle w:val="FootnoteReference"/>
        </w:rPr>
        <w:footnoteReference w:id="148"/>
      </w:r>
      <w:r w:rsidRPr="0056185A">
        <w:t xml:space="preserve"> provides </w:t>
      </w:r>
      <w:r>
        <w:t xml:space="preserve">a </w:t>
      </w:r>
      <w:r w:rsidRPr="0056185A">
        <w:t xml:space="preserve">financial incentive to </w:t>
      </w:r>
      <w:r>
        <w:t>distributors</w:t>
      </w:r>
      <w:r w:rsidRPr="0056185A">
        <w:t xml:space="preserve"> to maintain and improve service performance. The </w:t>
      </w:r>
      <w:r>
        <w:t>STPIS</w:t>
      </w:r>
      <w:r w:rsidRPr="0056185A">
        <w:t xml:space="preserve"> </w:t>
      </w:r>
      <w:r>
        <w:t>aims to ensure that</w:t>
      </w:r>
      <w:r w:rsidRPr="0056185A">
        <w:t xml:space="preserve"> cost efficiencies incentivised under our expenditure schemes </w:t>
      </w:r>
      <w:r>
        <w:t>d</w:t>
      </w:r>
      <w:r w:rsidRPr="0056185A">
        <w:t xml:space="preserve">o </w:t>
      </w:r>
      <w:r>
        <w:t xml:space="preserve">not </w:t>
      </w:r>
      <w:r w:rsidRPr="0056185A">
        <w:t xml:space="preserve">arise through the deterioration of service quality for customers. </w:t>
      </w:r>
      <w:r>
        <w:t>P</w:t>
      </w:r>
      <w:r w:rsidRPr="0056185A">
        <w:t xml:space="preserve">enalties and rewards under the STPIS are calibrated with how willing customers are to pay for improved service. This aligns </w:t>
      </w:r>
      <w:r>
        <w:t>the distributors</w:t>
      </w:r>
      <w:r w:rsidRPr="0056185A">
        <w:t xml:space="preserve">' incentives towards efficient price and non-price outcomes </w:t>
      </w:r>
      <w:r>
        <w:t xml:space="preserve">with </w:t>
      </w:r>
      <w:r w:rsidRPr="0056185A">
        <w:t xml:space="preserve">the long-term </w:t>
      </w:r>
      <w:r>
        <w:t>interests</w:t>
      </w:r>
      <w:r w:rsidRPr="0056185A">
        <w:t xml:space="preserve"> of consumers, consistent with the </w:t>
      </w:r>
      <w:r>
        <w:t>N</w:t>
      </w:r>
      <w:r w:rsidRPr="0056185A">
        <w:t xml:space="preserve">ational </w:t>
      </w:r>
      <w:r>
        <w:t>E</w:t>
      </w:r>
      <w:r w:rsidRPr="0056185A">
        <w:t xml:space="preserve">lectricity </w:t>
      </w:r>
      <w:r>
        <w:t>O</w:t>
      </w:r>
      <w:r w:rsidRPr="0056185A">
        <w:t>bjective (NEO).</w:t>
      </w:r>
    </w:p>
    <w:p w:rsidR="00E666C2" w:rsidRPr="00FF7E92" w:rsidRDefault="00E666C2" w:rsidP="00A825FE">
      <w:pPr>
        <w:pStyle w:val="AERbodytext"/>
      </w:pPr>
      <w:r>
        <w:t>The STPIS operates as part of the building block determination and contains two mechanisms:</w:t>
      </w:r>
    </w:p>
    <w:p w:rsidR="00E666C2" w:rsidRDefault="00E666C2" w:rsidP="00E666C2">
      <w:pPr>
        <w:pStyle w:val="AERbulletlistfirststyle"/>
      </w:pPr>
      <w:r>
        <w:t>The service standards factor (s-factor) adjustment to the annual revenue allowance for standard control services rewards (or penalises) distributors for improved (or diminished) service compared to predetermined targets. Targets relate to service parameters pertaining to reliability and quality of supply, and customer service.</w:t>
      </w:r>
    </w:p>
    <w:p w:rsidR="00E666C2" w:rsidRDefault="00E666C2" w:rsidP="00E666C2">
      <w:pPr>
        <w:pStyle w:val="AERbulletlistfirststyle"/>
      </w:pPr>
      <w:r>
        <w:t>A guaranteed service level (GSL) component composed of direct payments to customers</w:t>
      </w:r>
      <w:r>
        <w:rPr>
          <w:rStyle w:val="FootnoteReference"/>
        </w:rPr>
        <w:footnoteReference w:id="149"/>
      </w:r>
      <w:r>
        <w:t xml:space="preserve"> experiencing service below a predetermined level.</w:t>
      </w:r>
      <w:r>
        <w:rPr>
          <w:rStyle w:val="FootnoteReference"/>
        </w:rPr>
        <w:footnoteReference w:id="150"/>
      </w:r>
    </w:p>
    <w:p w:rsidR="00E666C2" w:rsidRDefault="00E666C2" w:rsidP="00A825FE">
      <w:pPr>
        <w:pStyle w:val="AERbodytext"/>
      </w:pPr>
      <w:r>
        <w:t xml:space="preserve">While the mechanics of how the STPIS will operate are outlined in our national distribution STPIS,   we must set out key aspects specific to each distributor in the next regulatory control period at the determination stage, including:  </w:t>
      </w:r>
    </w:p>
    <w:p w:rsidR="00E666C2" w:rsidRDefault="00E666C2" w:rsidP="00E666C2">
      <w:pPr>
        <w:pStyle w:val="AERbulletlistfirststyle"/>
      </w:pPr>
      <w:r>
        <w:t>the maximum revenue at risk under the STPIS</w:t>
      </w:r>
    </w:p>
    <w:p w:rsidR="00E666C2" w:rsidRDefault="00E666C2" w:rsidP="00E666C2">
      <w:pPr>
        <w:pStyle w:val="AERbulletlistfirststyle"/>
      </w:pPr>
      <w:r>
        <w:t>how the distributor's network will be segmented</w:t>
      </w:r>
    </w:p>
    <w:p w:rsidR="00E666C2" w:rsidRDefault="00E666C2" w:rsidP="00E666C2">
      <w:pPr>
        <w:pStyle w:val="AERbulletlistfirststyle"/>
      </w:pPr>
      <w:r>
        <w:t xml:space="preserve">the applicable parameters for the s-factor adjustment of annual revenue across customer service, reliability and quality of supply components </w:t>
      </w:r>
    </w:p>
    <w:p w:rsidR="00E666C2" w:rsidRDefault="00E666C2" w:rsidP="00E666C2">
      <w:pPr>
        <w:pStyle w:val="AERbulletlistfirststyle"/>
      </w:pPr>
      <w:r>
        <w:t>performance targets for the applicable parameters in each network segment</w:t>
      </w:r>
    </w:p>
    <w:p w:rsidR="00E666C2" w:rsidRDefault="00E666C2" w:rsidP="00E666C2">
      <w:pPr>
        <w:pStyle w:val="AERbulletlistfirststyle"/>
      </w:pPr>
      <w:r>
        <w:lastRenderedPageBreak/>
        <w:t xml:space="preserve">the criteria for certain events to be excluded from the calculation of annual performance and </w:t>
      </w:r>
      <w:r w:rsidRPr="0056185A">
        <w:t>performance</w:t>
      </w:r>
      <w:r>
        <w:t xml:space="preserve"> targets </w:t>
      </w:r>
    </w:p>
    <w:p w:rsidR="00E666C2" w:rsidRDefault="00E666C2" w:rsidP="00E666C2">
      <w:pPr>
        <w:pStyle w:val="AERbulletlistfirststyle"/>
      </w:pPr>
      <w:r w:rsidRPr="0056185A">
        <w:t>incentive rates</w:t>
      </w:r>
      <w:r>
        <w:t xml:space="preserve"> determining the relative importance of measured performance (against targets) across applicable parameters in each network segment.</w:t>
      </w:r>
    </w:p>
    <w:p w:rsidR="00E666C2" w:rsidRPr="0056185A" w:rsidRDefault="00E666C2" w:rsidP="00A825FE">
      <w:pPr>
        <w:pStyle w:val="AERbodytext"/>
      </w:pPr>
      <w:r>
        <w:t>Distributors c</w:t>
      </w:r>
      <w:r w:rsidRPr="00A01C76">
        <w:t>an propos</w:t>
      </w:r>
      <w:r>
        <w:t>e</w:t>
      </w:r>
      <w:r w:rsidRPr="00A01C76">
        <w:t xml:space="preserve"> to vary </w:t>
      </w:r>
      <w:r>
        <w:t xml:space="preserve">the </w:t>
      </w:r>
      <w:r w:rsidRPr="00A01C76">
        <w:t xml:space="preserve">application of the </w:t>
      </w:r>
      <w:r>
        <w:t>STPIS in their</w:t>
      </w:r>
      <w:r w:rsidRPr="00A01C76">
        <w:t xml:space="preserve"> regulatory proposal</w:t>
      </w:r>
      <w:r>
        <w:t>.</w:t>
      </w:r>
      <w:r>
        <w:rPr>
          <w:rStyle w:val="FootnoteReference"/>
        </w:rPr>
        <w:footnoteReference w:id="151"/>
      </w:r>
      <w:r>
        <w:t xml:space="preserve"> We can</w:t>
      </w:r>
      <w:r w:rsidRPr="00A01C76">
        <w:t xml:space="preserve"> accept or reject </w:t>
      </w:r>
      <w:r>
        <w:t xml:space="preserve">the proposed variation </w:t>
      </w:r>
      <w:r w:rsidRPr="00A01C76">
        <w:t xml:space="preserve">in </w:t>
      </w:r>
      <w:r>
        <w:t>our</w:t>
      </w:r>
      <w:r w:rsidRPr="00A01C76">
        <w:t xml:space="preserve"> determination.</w:t>
      </w:r>
      <w:r>
        <w:t xml:space="preserve"> Each applicable year we will calculate a distributor's s-factor based on its service performance in the previous year against targets, subject to the </w:t>
      </w:r>
      <w:r w:rsidRPr="00A01C76">
        <w:t>revenue at risk limit</w:t>
      </w:r>
      <w:r>
        <w:t>. Our national STPIS includes a banking mechanism, allowing distributors to</w:t>
      </w:r>
      <w:r w:rsidRPr="00A01C76">
        <w:t xml:space="preserve"> </w:t>
      </w:r>
      <w:r>
        <w:t xml:space="preserve">propose </w:t>
      </w:r>
      <w:r w:rsidRPr="00A01C76">
        <w:t>delay</w:t>
      </w:r>
      <w:r>
        <w:t>ing</w:t>
      </w:r>
      <w:r w:rsidRPr="00A01C76">
        <w:t xml:space="preserve"> a portion of the revenue increment or decrement for one year</w:t>
      </w:r>
      <w:r w:rsidRPr="009A2F27">
        <w:t xml:space="preserve"> </w:t>
      </w:r>
      <w:r>
        <w:t>to limit price volatility for customers.</w:t>
      </w:r>
      <w:r w:rsidRPr="00A01C76">
        <w:rPr>
          <w:rStyle w:val="FootnoteReference"/>
        </w:rPr>
        <w:footnoteReference w:id="152"/>
      </w:r>
      <w:r>
        <w:t xml:space="preserve"> </w:t>
      </w:r>
      <w:r w:rsidRPr="00462277">
        <w:t xml:space="preserve">A </w:t>
      </w:r>
      <w:r>
        <w:t>distributor</w:t>
      </w:r>
      <w:r w:rsidRPr="00462277">
        <w:t xml:space="preserve"> proposing a delay must provide in</w:t>
      </w:r>
      <w:r>
        <w:t xml:space="preserve"> </w:t>
      </w:r>
      <w:r w:rsidRPr="00462277">
        <w:t>writing its reasons and justification for believing that the delay will result in</w:t>
      </w:r>
      <w:r>
        <w:t xml:space="preserve"> </w:t>
      </w:r>
      <w:r w:rsidRPr="00462277">
        <w:t>reduced price variations to customers.</w:t>
      </w:r>
    </w:p>
    <w:p w:rsidR="00E666C2" w:rsidRPr="00455DBA" w:rsidRDefault="00E666C2" w:rsidP="00A825FE">
      <w:pPr>
        <w:pStyle w:val="AERbodytext"/>
      </w:pPr>
      <w:r w:rsidRPr="00455DBA">
        <w:t xml:space="preserve">Our national STPIS currently applies to the </w:t>
      </w:r>
      <w:r w:rsidR="00850953">
        <w:t xml:space="preserve">Victorian </w:t>
      </w:r>
      <w:r w:rsidRPr="00455DBA">
        <w:t xml:space="preserve">distributors. </w:t>
      </w:r>
      <w:r w:rsidR="00D77096">
        <w:t>CitiPower, Jemena, Powercor, and United Energy</w:t>
      </w:r>
      <w:r w:rsidRPr="00455DBA">
        <w:t xml:space="preserve"> are currently subject to financial penalty or reward of ±</w:t>
      </w:r>
      <w:r w:rsidR="00F651C2">
        <w:t>5</w:t>
      </w:r>
      <w:r w:rsidRPr="00455DBA">
        <w:t xml:space="preserve"> per cent through an s-factor adjustment to revenue. </w:t>
      </w:r>
      <w:r w:rsidR="00D77096">
        <w:t xml:space="preserve">SP AusNet is currently subject to financial penalty or reward of </w:t>
      </w:r>
      <w:r w:rsidR="00D77096" w:rsidRPr="00D77096">
        <w:t>±</w:t>
      </w:r>
      <w:r w:rsidR="00D77096">
        <w:t>7</w:t>
      </w:r>
      <w:r w:rsidR="00D77096" w:rsidRPr="00D77096">
        <w:t xml:space="preserve"> per cent</w:t>
      </w:r>
      <w:r w:rsidR="00D77096">
        <w:t>.</w:t>
      </w:r>
      <w:r w:rsidR="00D77096" w:rsidRPr="00D77096">
        <w:t xml:space="preserve"> </w:t>
      </w:r>
      <w:r w:rsidR="005E553D">
        <w:t xml:space="preserve">GSLs are </w:t>
      </w:r>
      <w:r w:rsidR="00052DFA">
        <w:t>provided for through the Victorian Electricity Distribution Code and Public Lighting Code</w:t>
      </w:r>
      <w:r w:rsidR="005E553D">
        <w:t xml:space="preserve">, </w:t>
      </w:r>
      <w:r w:rsidR="00052DFA">
        <w:t>s</w:t>
      </w:r>
      <w:r w:rsidR="005E553D">
        <w:t xml:space="preserve">o the GSL component of the </w:t>
      </w:r>
      <w:r w:rsidR="00052DFA">
        <w:t xml:space="preserve">AER's </w:t>
      </w:r>
      <w:r w:rsidR="005E553D">
        <w:t>STPIS will not apply.</w:t>
      </w:r>
      <w:r w:rsidRPr="00455DBA">
        <w:rPr>
          <w:rStyle w:val="FootnoteReference"/>
        </w:rPr>
        <w:footnoteReference w:id="153"/>
      </w:r>
      <w:r w:rsidRPr="00455DBA">
        <w:t xml:space="preserve"> </w:t>
      </w:r>
    </w:p>
    <w:p w:rsidR="00E666C2" w:rsidRDefault="00E666C2" w:rsidP="00084259">
      <w:pPr>
        <w:pStyle w:val="Heading3"/>
      </w:pPr>
      <w:bookmarkStart w:id="133" w:name="_Toc373482597"/>
      <w:bookmarkStart w:id="134" w:name="_Toc373482779"/>
      <w:bookmarkStart w:id="135" w:name="_Toc373861318"/>
      <w:bookmarkStart w:id="136" w:name="_Toc374085361"/>
      <w:bookmarkStart w:id="137" w:name="_Toc387418378"/>
      <w:bookmarkStart w:id="138" w:name="_Toc388976532"/>
      <w:r>
        <w:t>AER's preliminary position</w:t>
      </w:r>
      <w:bookmarkEnd w:id="133"/>
      <w:bookmarkEnd w:id="134"/>
      <w:bookmarkEnd w:id="135"/>
      <w:bookmarkEnd w:id="136"/>
      <w:bookmarkEnd w:id="137"/>
      <w:bookmarkEnd w:id="138"/>
    </w:p>
    <w:p w:rsidR="00E666C2" w:rsidRPr="00C16C7B" w:rsidRDefault="00E666C2" w:rsidP="00E666C2">
      <w:r>
        <w:t>Our preliminary position is to continue to apply</w:t>
      </w:r>
      <w:r w:rsidRPr="00C16C7B">
        <w:t xml:space="preserve"> the national STPIS to the </w:t>
      </w:r>
      <w:r w:rsidR="00850953">
        <w:t xml:space="preserve">Victorian </w:t>
      </w:r>
      <w:r>
        <w:t>distributor</w:t>
      </w:r>
      <w:r w:rsidRPr="00C16C7B">
        <w:t xml:space="preserve">s in the </w:t>
      </w:r>
      <w:r>
        <w:t>next</w:t>
      </w:r>
      <w:r w:rsidRPr="00C16C7B">
        <w:t xml:space="preserve"> regulatory control period. Our proposed approach to applying the national STPIS in the </w:t>
      </w:r>
      <w:r>
        <w:t xml:space="preserve">next </w:t>
      </w:r>
      <w:r w:rsidRPr="00C16C7B">
        <w:t xml:space="preserve">regulatory control period will be to: </w:t>
      </w:r>
    </w:p>
    <w:p w:rsidR="00E666C2" w:rsidRPr="00C16C7B" w:rsidRDefault="00E666C2" w:rsidP="00E666C2">
      <w:pPr>
        <w:pStyle w:val="AERbulletlistfirststyle"/>
      </w:pPr>
      <w:r w:rsidRPr="00C16C7B">
        <w:t>set revenue at risk for each distributor within the range ±5</w:t>
      </w:r>
      <w:r>
        <w:t xml:space="preserve"> per cent</w:t>
      </w:r>
      <w:r w:rsidR="00821442">
        <w:t>. However, we will reconsider our preliminary position once we see the outcome of work underway by the AEMC.</w:t>
      </w:r>
      <w:r w:rsidR="00385A87">
        <w:rPr>
          <w:rStyle w:val="FootnoteReference"/>
        </w:rPr>
        <w:footnoteReference w:id="154"/>
      </w:r>
    </w:p>
    <w:p w:rsidR="00E666C2" w:rsidRPr="00C16C7B" w:rsidRDefault="00E666C2" w:rsidP="00E666C2">
      <w:pPr>
        <w:pStyle w:val="AERbulletlistfirststyle"/>
      </w:pPr>
      <w:r w:rsidRPr="00C16C7B">
        <w:t xml:space="preserve">segment the network according to our interpretation of the </w:t>
      </w:r>
      <w:r>
        <w:t>Standing Committee on National Regulatory Reporting Requirements (</w:t>
      </w:r>
      <w:r w:rsidRPr="00C16C7B">
        <w:t>SCONRRR</w:t>
      </w:r>
      <w:r>
        <w:t>)</w:t>
      </w:r>
      <w:r w:rsidRPr="00C16C7B">
        <w:t xml:space="preserve"> feeder categories (CBD, urb</w:t>
      </w:r>
      <w:r w:rsidR="00052DFA">
        <w:t>an, short rural and long rural)</w:t>
      </w:r>
    </w:p>
    <w:p w:rsidR="00E666C2" w:rsidRPr="00C16C7B" w:rsidRDefault="00E666C2" w:rsidP="00E666C2">
      <w:pPr>
        <w:pStyle w:val="AERbulletlistfirststyle"/>
      </w:pPr>
      <w:r w:rsidRPr="00C16C7B">
        <w:t>set applicable reliability of supply (</w:t>
      </w:r>
      <w:r>
        <w:t xml:space="preserve">system average interruption duration index or </w:t>
      </w:r>
      <w:r w:rsidRPr="00C16C7B">
        <w:t xml:space="preserve">SAIDI and </w:t>
      </w:r>
      <w:r>
        <w:t xml:space="preserve">system average interruption frequency index of </w:t>
      </w:r>
      <w:r w:rsidRPr="00C16C7B">
        <w:t>SAIFI) and customer service (telephone answering) parameters</w:t>
      </w:r>
    </w:p>
    <w:p w:rsidR="00E666C2" w:rsidRPr="00C16C7B" w:rsidRDefault="00E666C2" w:rsidP="00E666C2">
      <w:pPr>
        <w:pStyle w:val="AERbulletlistfirststyle"/>
      </w:pPr>
      <w:r w:rsidRPr="00C16C7B">
        <w:t xml:space="preserve">set performance targets based on the </w:t>
      </w:r>
      <w:r>
        <w:t>distributor</w:t>
      </w:r>
      <w:r w:rsidRPr="00C16C7B">
        <w:t>s' average performance over the past five regulatory year</w:t>
      </w:r>
      <w:r>
        <w:t>s</w:t>
      </w:r>
      <w:r w:rsidRPr="00C16C7B">
        <w:t xml:space="preserve"> </w:t>
      </w:r>
    </w:p>
    <w:p w:rsidR="00E666C2" w:rsidRPr="00C16C7B" w:rsidRDefault="00E666C2" w:rsidP="00E666C2">
      <w:pPr>
        <w:pStyle w:val="AERbulletlistfirststyle"/>
      </w:pPr>
      <w:r w:rsidRPr="00C16C7B">
        <w:t>apply the methodology indicated in the national STPIS for excluding specific events from the calculation of annual performance and performance targets</w:t>
      </w:r>
    </w:p>
    <w:p w:rsidR="00E666C2" w:rsidRPr="00C16C7B" w:rsidRDefault="00E666C2" w:rsidP="00E666C2">
      <w:pPr>
        <w:pStyle w:val="AERbulletlistfirststyle"/>
      </w:pPr>
      <w:r w:rsidRPr="00C16C7B">
        <w:t>apply the methodology and value of customer reliability (VCR) values as indicated in our national STPIS to the calculation of incentive rates.</w:t>
      </w:r>
    </w:p>
    <w:p w:rsidR="00E666C2" w:rsidRDefault="00E666C2" w:rsidP="00A825FE">
      <w:pPr>
        <w:pStyle w:val="AERbodytext"/>
      </w:pPr>
      <w:r>
        <w:lastRenderedPageBreak/>
        <w:t xml:space="preserve">We will not apply the GSL component </w:t>
      </w:r>
      <w:r w:rsidR="005E553D">
        <w:t>if</w:t>
      </w:r>
      <w:r>
        <w:t xml:space="preserve"> the </w:t>
      </w:r>
      <w:r w:rsidR="00850953">
        <w:t xml:space="preserve">Victorian </w:t>
      </w:r>
      <w:r>
        <w:t xml:space="preserve">distributors </w:t>
      </w:r>
      <w:r w:rsidR="00281A0F">
        <w:t xml:space="preserve">remain </w:t>
      </w:r>
      <w:r>
        <w:t xml:space="preserve">subject to a jurisdictional GSL scheme. </w:t>
      </w:r>
    </w:p>
    <w:p w:rsidR="00E666C2" w:rsidRDefault="00E666C2" w:rsidP="00A825FE">
      <w:pPr>
        <w:pStyle w:val="AERbodytext"/>
      </w:pPr>
      <w:r w:rsidRPr="00C16C7B">
        <w:t>We aware of policy reviews indicating the need to reform the STPIS. The AEMC recently conducted a review of distribution reliability frameworks in the NEM</w:t>
      </w:r>
      <w:r>
        <w:rPr>
          <w:rStyle w:val="FootnoteReference"/>
        </w:rPr>
        <w:footnoteReference w:id="155"/>
      </w:r>
      <w:r w:rsidR="00277510">
        <w:t xml:space="preserve"> and is currently developing advice on common definitions of distribution reliability measures.</w:t>
      </w:r>
      <w:r w:rsidR="00277510">
        <w:rPr>
          <w:rStyle w:val="FootnoteReference"/>
        </w:rPr>
        <w:footnoteReference w:id="156"/>
      </w:r>
      <w:r w:rsidRPr="00C16C7B">
        <w:t xml:space="preserve"> </w:t>
      </w:r>
      <w:r>
        <w:t>The Australian Energy Market Operator (</w:t>
      </w:r>
      <w:r w:rsidRPr="00C16C7B">
        <w:t>AEMO</w:t>
      </w:r>
      <w:r>
        <w:t>)</w:t>
      </w:r>
      <w:r w:rsidRPr="00C16C7B">
        <w:t xml:space="preserve"> is currently conducting analysis on how willing consumers are to pay for improvements in network reliability.</w:t>
      </w:r>
      <w:r>
        <w:rPr>
          <w:rStyle w:val="FootnoteReference"/>
        </w:rPr>
        <w:footnoteReference w:id="157"/>
      </w:r>
      <w:r w:rsidRPr="00C16C7B">
        <w:t xml:space="preserve"> We consider there </w:t>
      </w:r>
      <w:r>
        <w:t>is likely to be</w:t>
      </w:r>
      <w:r w:rsidRPr="00C16C7B">
        <w:t xml:space="preserve"> inadequate time to review our national STPIS to incorporate the findings of these reviews before finalising our </w:t>
      </w:r>
      <w:r w:rsidR="00277510">
        <w:t>draft determinations</w:t>
      </w:r>
      <w:r w:rsidRPr="00C16C7B">
        <w:t xml:space="preserve"> for the </w:t>
      </w:r>
      <w:r w:rsidR="00850953">
        <w:t xml:space="preserve">Victorian </w:t>
      </w:r>
      <w:r>
        <w:t>distributors</w:t>
      </w:r>
      <w:r w:rsidR="00277510">
        <w:t xml:space="preserve"> in October 2015</w:t>
      </w:r>
      <w:r w:rsidRPr="00C16C7B">
        <w:t xml:space="preserve">. </w:t>
      </w:r>
      <w:r w:rsidR="0018792F">
        <w:t>Nonetheless, i</w:t>
      </w:r>
      <w:r w:rsidR="003E2CB0">
        <w:t>f the opportunity presents itself we will undertake a review</w:t>
      </w:r>
      <w:r w:rsidR="0018792F">
        <w:t xml:space="preserve"> which will include significant public consultation.</w:t>
      </w:r>
    </w:p>
    <w:p w:rsidR="00E666C2" w:rsidRPr="00725C54" w:rsidRDefault="00E666C2" w:rsidP="00084259">
      <w:pPr>
        <w:pStyle w:val="Heading3"/>
      </w:pPr>
      <w:bookmarkStart w:id="139" w:name="_Toc373482598"/>
      <w:bookmarkStart w:id="140" w:name="_Toc373482780"/>
      <w:bookmarkStart w:id="141" w:name="_Toc373861319"/>
      <w:bookmarkStart w:id="142" w:name="_Toc374085362"/>
      <w:bookmarkStart w:id="143" w:name="_Toc387418379"/>
      <w:bookmarkStart w:id="144" w:name="_Toc388976533"/>
      <w:r w:rsidRPr="00725C54">
        <w:t>AER's assessment approach</w:t>
      </w:r>
      <w:bookmarkEnd w:id="139"/>
      <w:bookmarkEnd w:id="140"/>
      <w:bookmarkEnd w:id="141"/>
      <w:bookmarkEnd w:id="142"/>
      <w:bookmarkEnd w:id="143"/>
      <w:bookmarkEnd w:id="144"/>
    </w:p>
    <w:p w:rsidR="00E666C2" w:rsidRDefault="00E666C2" w:rsidP="00A825FE">
      <w:pPr>
        <w:pStyle w:val="AERbodytext"/>
      </w:pPr>
      <w:r>
        <w:t>The rules require us to have regard to several factors in developing an</w:t>
      </w:r>
      <w:r w:rsidR="00052DFA">
        <w:t xml:space="preserve">d implementing a STPIS for the </w:t>
      </w:r>
      <w:r w:rsidR="00850953">
        <w:t xml:space="preserve">Victorian </w:t>
      </w:r>
      <w:r>
        <w:t>distributors.</w:t>
      </w:r>
      <w:r w:rsidRPr="002D4FB4">
        <w:rPr>
          <w:rStyle w:val="FootnoteReference"/>
        </w:rPr>
        <w:footnoteReference w:id="158"/>
      </w:r>
      <w:r>
        <w:t xml:space="preserve"> These include:</w:t>
      </w:r>
    </w:p>
    <w:p w:rsidR="00E666C2" w:rsidRDefault="00E666C2" w:rsidP="00E666C2">
      <w:pPr>
        <w:pStyle w:val="AERbulletlistfirststyle"/>
      </w:pPr>
      <w:r>
        <w:t>Jurisdictional obligations</w:t>
      </w:r>
    </w:p>
    <w:p w:rsidR="00E666C2" w:rsidRPr="00B96486" w:rsidRDefault="00E666C2" w:rsidP="00E666C2">
      <w:pPr>
        <w:pStyle w:val="AERbulletlistsecondstyle"/>
      </w:pPr>
      <w:r w:rsidRPr="00B96486">
        <w:t>consulting with the authorities responsible for the administration of relevant jurisdictional electricity legislation</w:t>
      </w:r>
    </w:p>
    <w:p w:rsidR="00E666C2" w:rsidRDefault="00E666C2" w:rsidP="00E666C2">
      <w:pPr>
        <w:pStyle w:val="AERbulletlistsecondstyle"/>
      </w:pPr>
      <w:r w:rsidRPr="00B96486">
        <w:t>ensuring that service standards and service targets (including GSL) set by the scheme do not put at risk the distributor's ability to comply with relevant service standards and service targets (including GSL) specified in jurisdictional electricity legislation</w:t>
      </w:r>
      <w:r>
        <w:t xml:space="preserve"> </w:t>
      </w:r>
      <w:r w:rsidRPr="00B96486">
        <w:t>any regulatory obligation</w:t>
      </w:r>
      <w:r>
        <w:t>s</w:t>
      </w:r>
      <w:r w:rsidRPr="00B96486">
        <w:t xml:space="preserve"> or requirement</w:t>
      </w:r>
      <w:r>
        <w:t>s</w:t>
      </w:r>
      <w:r w:rsidRPr="00B96486">
        <w:t xml:space="preserve"> to w</w:t>
      </w:r>
      <w:r>
        <w:t xml:space="preserve">hich the </w:t>
      </w:r>
      <w:r w:rsidRPr="009011C5">
        <w:t>distributor</w:t>
      </w:r>
      <w:r>
        <w:t xml:space="preserve"> is subject. </w:t>
      </w:r>
    </w:p>
    <w:p w:rsidR="00E666C2" w:rsidRDefault="00E666C2" w:rsidP="00E666C2">
      <w:pPr>
        <w:pStyle w:val="AERbulletlistfirststyle"/>
      </w:pPr>
      <w:r>
        <w:t>Benefits to consumers</w:t>
      </w:r>
    </w:p>
    <w:p w:rsidR="00E666C2" w:rsidRPr="00B96486" w:rsidRDefault="00E666C2" w:rsidP="00E666C2">
      <w:pPr>
        <w:pStyle w:val="AERbulletlistsecondstyle"/>
      </w:pPr>
      <w:r w:rsidRPr="00B96486">
        <w:t>the need to ensure that benefits to consumers likely to result from the scheme are sufficient to warrant any penalty or reward under the scheme</w:t>
      </w:r>
    </w:p>
    <w:p w:rsidR="00E666C2" w:rsidRDefault="00E666C2" w:rsidP="00E666C2">
      <w:pPr>
        <w:pStyle w:val="AERbulletlistsecondstyle"/>
      </w:pPr>
      <w:r w:rsidRPr="00B96486">
        <w:t>the willingness of the customer or end user to pay for improved performance in the delivery of services</w:t>
      </w:r>
      <w:r>
        <w:t>.</w:t>
      </w:r>
    </w:p>
    <w:p w:rsidR="00E666C2" w:rsidRPr="00FF7E92" w:rsidRDefault="00E666C2" w:rsidP="00E666C2">
      <w:pPr>
        <w:pStyle w:val="AERbulletlistfirststyle"/>
      </w:pPr>
      <w:r>
        <w:t>Balanced incentives</w:t>
      </w:r>
    </w:p>
    <w:p w:rsidR="00E666C2" w:rsidRDefault="00E666C2" w:rsidP="00E666C2">
      <w:pPr>
        <w:pStyle w:val="AERbulletlistsecondstyle"/>
      </w:pPr>
      <w:r>
        <w:t>the past performance of the distribution network</w:t>
      </w:r>
    </w:p>
    <w:p w:rsidR="00E666C2" w:rsidRDefault="00E666C2" w:rsidP="00E666C2">
      <w:pPr>
        <w:pStyle w:val="AERbulletlistsecondstyle"/>
      </w:pPr>
      <w:r>
        <w:t xml:space="preserve">any other incentives available to the </w:t>
      </w:r>
      <w:r w:rsidRPr="009011C5">
        <w:t>distributor</w:t>
      </w:r>
      <w:r>
        <w:t xml:space="preserve"> under the rules or the relevant distribution determination</w:t>
      </w:r>
    </w:p>
    <w:p w:rsidR="00E666C2" w:rsidRDefault="00E666C2" w:rsidP="00E666C2">
      <w:pPr>
        <w:pStyle w:val="AERbulletlistsecondstyle"/>
      </w:pPr>
      <w:r>
        <w:t xml:space="preserve">the need to ensure that the incentives are sufficient to offset any financial incentives the </w:t>
      </w:r>
      <w:r w:rsidRPr="009011C5">
        <w:t>distributor</w:t>
      </w:r>
      <w:r>
        <w:t xml:space="preserve"> may have to reduce costs at the expense of service levels</w:t>
      </w:r>
    </w:p>
    <w:p w:rsidR="00E666C2" w:rsidRDefault="00E666C2" w:rsidP="00E666C2">
      <w:pPr>
        <w:pStyle w:val="AERbulletlistsecondstyle"/>
      </w:pPr>
      <w:r>
        <w:t xml:space="preserve">the possible effects of the schemes on incentives for the implementation of non-network alternatives. </w:t>
      </w:r>
    </w:p>
    <w:p w:rsidR="00E666C2" w:rsidRDefault="00E666C2" w:rsidP="00E666C2">
      <w:r>
        <w:lastRenderedPageBreak/>
        <w:t>Our approach and reasons for developing the STPS are contained in our final decision for the national distribution STPIS.</w:t>
      </w:r>
      <w:r w:rsidRPr="002D4FB4">
        <w:rPr>
          <w:rStyle w:val="FootnoteReference"/>
        </w:rPr>
        <w:footnoteReference w:id="159"/>
      </w:r>
      <w:r w:rsidRPr="00B675F6">
        <w:t xml:space="preserve"> </w:t>
      </w:r>
    </w:p>
    <w:p w:rsidR="00E666C2" w:rsidRDefault="00E666C2" w:rsidP="00084259">
      <w:pPr>
        <w:pStyle w:val="Heading3"/>
      </w:pPr>
      <w:bookmarkStart w:id="145" w:name="_Toc373482599"/>
      <w:bookmarkStart w:id="146" w:name="_Toc373482781"/>
      <w:bookmarkStart w:id="147" w:name="_Toc373861320"/>
      <w:bookmarkStart w:id="148" w:name="_Toc374085363"/>
      <w:bookmarkStart w:id="149" w:name="_Toc387418380"/>
      <w:bookmarkStart w:id="150" w:name="_Toc388976534"/>
      <w:r>
        <w:t>Reasons for AER's preliminary position</w:t>
      </w:r>
      <w:bookmarkEnd w:id="145"/>
      <w:bookmarkEnd w:id="146"/>
      <w:bookmarkEnd w:id="147"/>
      <w:bookmarkEnd w:id="148"/>
      <w:bookmarkEnd w:id="149"/>
      <w:bookmarkEnd w:id="150"/>
    </w:p>
    <w:p w:rsidR="00E666C2" w:rsidRPr="00455DBA" w:rsidRDefault="00E666C2" w:rsidP="00A825FE">
      <w:pPr>
        <w:pStyle w:val="AERbodytext"/>
      </w:pPr>
      <w:r>
        <w:t xml:space="preserve">Our reasons for applying the STPIS to the </w:t>
      </w:r>
      <w:r w:rsidR="00850953">
        <w:t xml:space="preserve">Victorian </w:t>
      </w:r>
      <w:r w:rsidRPr="009011C5">
        <w:t>distributor</w:t>
      </w:r>
      <w:r>
        <w:t>s in the next regulatory control period are set out below.</w:t>
      </w:r>
    </w:p>
    <w:p w:rsidR="00E666C2" w:rsidRDefault="00E666C2" w:rsidP="001A5F4C">
      <w:pPr>
        <w:pStyle w:val="HeadingBoldBlue"/>
      </w:pPr>
      <w:r>
        <w:t>Jurisdictional obligations</w:t>
      </w:r>
    </w:p>
    <w:p w:rsidR="00E666C2" w:rsidRPr="00EF5F21" w:rsidRDefault="007B0521" w:rsidP="007B0521">
      <w:pPr>
        <w:pStyle w:val="AERbodytext"/>
        <w:rPr>
          <w:rStyle w:val="AERbody"/>
        </w:rPr>
      </w:pPr>
      <w:r>
        <w:t>In Vic</w:t>
      </w:r>
      <w:r w:rsidR="00EF5F21">
        <w:t>toria</w:t>
      </w:r>
      <w:r>
        <w:t xml:space="preserve">, the Electricity Distribution Code and Public Lighting Code set out GSLs that apply to the </w:t>
      </w:r>
      <w:r w:rsidR="00850953">
        <w:t xml:space="preserve">Victorian </w:t>
      </w:r>
      <w:r>
        <w:t>distributors.</w:t>
      </w:r>
      <w:r w:rsidRPr="00455DBA">
        <w:rPr>
          <w:rStyle w:val="FootnoteReference"/>
        </w:rPr>
        <w:footnoteReference w:id="160"/>
      </w:r>
      <w:r>
        <w:t xml:space="preserve"> </w:t>
      </w:r>
      <w:r w:rsidR="00E666C2" w:rsidRPr="007B0521">
        <w:rPr>
          <w:rStyle w:val="AERtexthighlight"/>
          <w:shd w:val="clear" w:color="auto" w:fill="auto"/>
        </w:rPr>
        <w:t xml:space="preserve">Our proposed approach to applying the STPIS in </w:t>
      </w:r>
      <w:r w:rsidR="00850953">
        <w:rPr>
          <w:rStyle w:val="AERtexthighlight"/>
          <w:shd w:val="clear" w:color="auto" w:fill="auto"/>
        </w:rPr>
        <w:t xml:space="preserve">Victorian </w:t>
      </w:r>
      <w:r w:rsidR="00E666C2" w:rsidRPr="007B0521">
        <w:rPr>
          <w:rStyle w:val="AERtexthighlight"/>
          <w:shd w:val="clear" w:color="auto" w:fill="auto"/>
        </w:rPr>
        <w:t xml:space="preserve">is to not </w:t>
      </w:r>
      <w:r w:rsidRPr="007B0521">
        <w:rPr>
          <w:rStyle w:val="AERtexthighlight"/>
          <w:shd w:val="clear" w:color="auto" w:fill="auto"/>
        </w:rPr>
        <w:t xml:space="preserve">create duplication or </w:t>
      </w:r>
      <w:r w:rsidR="00E666C2" w:rsidRPr="007B0521">
        <w:rPr>
          <w:rStyle w:val="AERtexthighlight"/>
          <w:shd w:val="clear" w:color="auto" w:fill="auto"/>
        </w:rPr>
        <w:t xml:space="preserve">compromise the distributors' ability to comply with </w:t>
      </w:r>
      <w:r w:rsidRPr="007B0521">
        <w:rPr>
          <w:rStyle w:val="AERtexthighlight"/>
          <w:shd w:val="clear" w:color="auto" w:fill="auto"/>
        </w:rPr>
        <w:t>the jurisdictional requirements. Our proposed approach is then to not apply</w:t>
      </w:r>
      <w:r w:rsidR="00E666C2" w:rsidRPr="007B0521">
        <w:rPr>
          <w:rStyle w:val="AERtexthighlight"/>
          <w:shd w:val="clear" w:color="auto" w:fill="auto"/>
        </w:rPr>
        <w:t xml:space="preserve"> the GSL component of our national STPIS while </w:t>
      </w:r>
      <w:r w:rsidRPr="007B0521">
        <w:rPr>
          <w:rStyle w:val="AERtexthighlight"/>
          <w:shd w:val="clear" w:color="auto" w:fill="auto"/>
        </w:rPr>
        <w:t>the</w:t>
      </w:r>
      <w:r w:rsidR="00E666C2" w:rsidRPr="007B0521">
        <w:rPr>
          <w:rStyle w:val="AERtexthighlight"/>
          <w:shd w:val="clear" w:color="auto" w:fill="auto"/>
        </w:rPr>
        <w:t xml:space="preserve"> </w:t>
      </w:r>
      <w:r w:rsidRPr="007B0521">
        <w:rPr>
          <w:rStyle w:val="AERtexthighlight"/>
          <w:shd w:val="clear" w:color="auto" w:fill="auto"/>
        </w:rPr>
        <w:t>GSL</w:t>
      </w:r>
      <w:r w:rsidR="00E666C2" w:rsidRPr="007B0521">
        <w:rPr>
          <w:rStyle w:val="AERtexthighlight"/>
          <w:shd w:val="clear" w:color="auto" w:fill="auto"/>
        </w:rPr>
        <w:t xml:space="preserve"> </w:t>
      </w:r>
      <w:r w:rsidR="00E666C2" w:rsidRPr="00EF5F21">
        <w:rPr>
          <w:rStyle w:val="AERbody"/>
        </w:rPr>
        <w:t xml:space="preserve">arrangements </w:t>
      </w:r>
      <w:r w:rsidRPr="00EF5F21">
        <w:rPr>
          <w:rStyle w:val="AERbody"/>
        </w:rPr>
        <w:t xml:space="preserve">in the </w:t>
      </w:r>
      <w:r w:rsidR="00EF5F21" w:rsidRPr="00EF5F21">
        <w:rPr>
          <w:rStyle w:val="AERbody"/>
        </w:rPr>
        <w:t xml:space="preserve">Victorian </w:t>
      </w:r>
      <w:r w:rsidRPr="00EF5F21">
        <w:rPr>
          <w:rStyle w:val="AERbody"/>
        </w:rPr>
        <w:t xml:space="preserve">codes </w:t>
      </w:r>
      <w:r w:rsidR="00E666C2" w:rsidRPr="00EF5F21">
        <w:rPr>
          <w:rStyle w:val="AERbody"/>
        </w:rPr>
        <w:t>remain in place.</w:t>
      </w:r>
      <w:r w:rsidR="00EF5F21" w:rsidRPr="00EF5F21">
        <w:rPr>
          <w:rStyle w:val="AERbody"/>
        </w:rPr>
        <w:t xml:space="preserve"> We will amend this position if the Victorian Government advises that the Victoria arrangements will cease to apply.</w:t>
      </w:r>
    </w:p>
    <w:p w:rsidR="00E666C2" w:rsidRDefault="00E666C2" w:rsidP="006336FA">
      <w:pPr>
        <w:pStyle w:val="HeadingBoldBlue"/>
      </w:pPr>
      <w:r>
        <w:t>Benefits to consumers</w:t>
      </w:r>
    </w:p>
    <w:p w:rsidR="00E666C2" w:rsidRDefault="00E666C2" w:rsidP="00A825FE">
      <w:pPr>
        <w:pStyle w:val="AERbodytext"/>
      </w:pPr>
      <w:r>
        <w:t>We are mindful of the potential impact of the STPIS on consumers. Under the rules, we</w:t>
      </w:r>
      <w:r w:rsidRPr="00FE7977">
        <w:t xml:space="preserve"> </w:t>
      </w:r>
      <w:r>
        <w:t>must consider</w:t>
      </w:r>
      <w:r w:rsidRPr="00FE7977">
        <w:t xml:space="preserve"> </w:t>
      </w:r>
      <w:r>
        <w:t xml:space="preserve">customers' </w:t>
      </w:r>
      <w:r w:rsidRPr="0026561F">
        <w:t xml:space="preserve">willingness to pay for improved </w:t>
      </w:r>
      <w:r>
        <w:t xml:space="preserve">service </w:t>
      </w:r>
      <w:r w:rsidRPr="0026561F">
        <w:t>performance</w:t>
      </w:r>
      <w:r>
        <w:t xml:space="preserve"> so </w:t>
      </w:r>
      <w:r w:rsidRPr="001717EA">
        <w:t xml:space="preserve">benefits to consumers are sufficient to warrant any penalty or reward under the </w:t>
      </w:r>
      <w:r>
        <w:t>STPIS.</w:t>
      </w:r>
      <w:r w:rsidRPr="001717EA">
        <w:rPr>
          <w:rStyle w:val="FootnoteReference"/>
        </w:rPr>
        <w:footnoteReference w:id="161"/>
      </w:r>
      <w:r>
        <w:t xml:space="preserve"> </w:t>
      </w:r>
    </w:p>
    <w:p w:rsidR="00E666C2" w:rsidRDefault="00E666C2" w:rsidP="00A825FE">
      <w:pPr>
        <w:pStyle w:val="AERbodytext"/>
      </w:pPr>
      <w:r>
        <w:t xml:space="preserve">Under the STPIS, the </w:t>
      </w:r>
      <w:r w:rsidRPr="009011C5">
        <w:t>distributor</w:t>
      </w:r>
      <w:r>
        <w:t xml:space="preserve">s' financial penalty or reward in each year of the regulatory control period is the change in its annual revenue allowance after the s-factor adjustment. Economic analysis of the value consumers place on improved service performance is an important input to the administration of the scheme. </w:t>
      </w:r>
      <w:r w:rsidRPr="00156EE1">
        <w:t>Value o</w:t>
      </w:r>
      <w:r>
        <w:t>f</w:t>
      </w:r>
      <w:r w:rsidRPr="00156EE1">
        <w:t xml:space="preserve"> </w:t>
      </w:r>
      <w:r>
        <w:t>c</w:t>
      </w:r>
      <w:r w:rsidRPr="00156EE1">
        <w:t xml:space="preserve">ustomer </w:t>
      </w:r>
      <w:r>
        <w:t>r</w:t>
      </w:r>
      <w:r w:rsidRPr="00156EE1">
        <w:t xml:space="preserve">eliability </w:t>
      </w:r>
      <w:r>
        <w:t>(VCR) studies</w:t>
      </w:r>
      <w:r w:rsidRPr="00156EE1">
        <w:t xml:space="preserve"> estimate </w:t>
      </w:r>
      <w:r>
        <w:t xml:space="preserve">how willing customers are to pay for improved </w:t>
      </w:r>
      <w:r w:rsidRPr="00156EE1">
        <w:t>service reliability</w:t>
      </w:r>
      <w:r>
        <w:t xml:space="preserve"> as a monetary amount </w:t>
      </w:r>
      <w:r w:rsidRPr="00156EE1">
        <w:t xml:space="preserve">per unit of </w:t>
      </w:r>
      <w:r>
        <w:t xml:space="preserve">unserved energy during a supply interruption. As outlined in our national STPIS, we will use VCR estimates at different stages of our annual s-factor calculation to: </w:t>
      </w:r>
    </w:p>
    <w:p w:rsidR="00E666C2" w:rsidRDefault="00E666C2" w:rsidP="00E666C2">
      <w:pPr>
        <w:pStyle w:val="AERbulletlistfirststyle"/>
      </w:pPr>
      <w:r>
        <w:t xml:space="preserve">set the </w:t>
      </w:r>
      <w:r w:rsidRPr="009C28D7">
        <w:t xml:space="preserve">incentive rates for each </w:t>
      </w:r>
      <w:r>
        <w:t xml:space="preserve">reliability of supply parameter; and </w:t>
      </w:r>
    </w:p>
    <w:p w:rsidR="00E666C2" w:rsidRDefault="00E666C2" w:rsidP="00E666C2">
      <w:pPr>
        <w:pStyle w:val="AERbulletlistfirststyle"/>
      </w:pPr>
      <w:r>
        <w:t xml:space="preserve">weight reliability of supply performance across different segments of the network.  </w:t>
      </w:r>
    </w:p>
    <w:p w:rsidR="00E666C2" w:rsidRPr="00AE4DB2" w:rsidRDefault="00E666C2" w:rsidP="00E666C2">
      <w:r w:rsidRPr="00695924">
        <w:t>The VCR estimates in our national STPIS are taken from studies conducted for the Essential Services Commission Victoria and Essential Services Commission of South Australia.</w:t>
      </w:r>
      <w:r w:rsidRPr="00402325">
        <w:rPr>
          <w:rStyle w:val="AERsuperscript"/>
        </w:rPr>
        <w:footnoteReference w:id="162"/>
      </w:r>
      <w:r w:rsidRPr="00695924">
        <w:t xml:space="preserve"> The distributors may propose an alternative VCR estimate, supported by details of the calculation m</w:t>
      </w:r>
      <w:r w:rsidRPr="00AE4DB2">
        <w:t xml:space="preserve">ethodology and research, in their regulatory proposals.    </w:t>
      </w:r>
    </w:p>
    <w:p w:rsidR="00E666C2" w:rsidRPr="00695924" w:rsidRDefault="00E666C2" w:rsidP="00A825FE">
      <w:pPr>
        <w:pStyle w:val="AERbodytext"/>
      </w:pPr>
      <w:r w:rsidRPr="00695924">
        <w:t xml:space="preserve">The AEMC recently conducted </w:t>
      </w:r>
      <w:r w:rsidR="00906B4A">
        <w:t xml:space="preserve">a </w:t>
      </w:r>
      <w:r w:rsidRPr="00695924">
        <w:t>review of distribution reliability outcomes and standards in the NEM, proposing a more significant role for the STPIS.</w:t>
      </w:r>
      <w:r w:rsidRPr="00695924">
        <w:rPr>
          <w:rStyle w:val="AERsuperscript"/>
        </w:rPr>
        <w:footnoteReference w:id="163"/>
      </w:r>
      <w:r w:rsidRPr="00695924">
        <w:t xml:space="preserve"> AEMO is currently reviewing current approaches to estimating VCR and will propose new VCR estimates in </w:t>
      </w:r>
      <w:r w:rsidR="00052DFA">
        <w:t>September</w:t>
      </w:r>
      <w:r w:rsidRPr="00695924">
        <w:t xml:space="preserve"> 2014. </w:t>
      </w:r>
    </w:p>
    <w:p w:rsidR="00E666C2" w:rsidRPr="00695924" w:rsidRDefault="00E666C2" w:rsidP="00281A0F">
      <w:pPr>
        <w:pStyle w:val="AERbodytext"/>
      </w:pPr>
      <w:r w:rsidRPr="00695924">
        <w:t xml:space="preserve">We </w:t>
      </w:r>
      <w:r w:rsidR="00281A0F">
        <w:t xml:space="preserve">will not </w:t>
      </w:r>
      <w:r w:rsidRPr="00695924">
        <w:t xml:space="preserve">undertake a review of our national STPIS </w:t>
      </w:r>
      <w:r w:rsidR="00281A0F">
        <w:t xml:space="preserve">until </w:t>
      </w:r>
      <w:r w:rsidRPr="00695924">
        <w:t>these studies are complete. Any change to the STPIS would be subject to the distribution consultation procedures in the rules.</w:t>
      </w:r>
      <w:r w:rsidRPr="00695924">
        <w:rPr>
          <w:rStyle w:val="FootnoteReference"/>
        </w:rPr>
        <w:footnoteReference w:id="164"/>
      </w:r>
      <w:r w:rsidRPr="00695924">
        <w:t xml:space="preserve"> We consider </w:t>
      </w:r>
      <w:r w:rsidRPr="00695924">
        <w:lastRenderedPageBreak/>
        <w:t xml:space="preserve">there is insufficient time to conduct a comprehensive review of the STPIS before the </w:t>
      </w:r>
      <w:r w:rsidR="00850953">
        <w:t xml:space="preserve">Victorian </w:t>
      </w:r>
      <w:r w:rsidRPr="00695924">
        <w:t xml:space="preserve">distributors submit proposals for the next regulatory control period in </w:t>
      </w:r>
      <w:r w:rsidR="00052DFA">
        <w:t>April</w:t>
      </w:r>
      <w:r w:rsidRPr="00695924">
        <w:t xml:space="preserve"> 201</w:t>
      </w:r>
      <w:r w:rsidR="00052DFA">
        <w:t>5</w:t>
      </w:r>
      <w:r w:rsidRPr="00695924">
        <w:t xml:space="preserve">. Therefore our preliminary approach is to apply the national STPIS in its current form and monitor ongoing work. </w:t>
      </w:r>
      <w:r w:rsidR="00EF5F21">
        <w:t>However, i</w:t>
      </w:r>
      <w:r w:rsidR="00281A0F" w:rsidRPr="00281A0F">
        <w:t>f we were to amend the STPIS under a future review</w:t>
      </w:r>
      <w:r w:rsidR="00EF5F21">
        <w:t>,</w:t>
      </w:r>
      <w:r w:rsidR="00281A0F" w:rsidRPr="00281A0F">
        <w:t xml:space="preserve"> it </w:t>
      </w:r>
      <w:r w:rsidR="00281A0F">
        <w:t>is</w:t>
      </w:r>
      <w:r w:rsidR="00281A0F" w:rsidRPr="00281A0F">
        <w:t xml:space="preserve"> our intention to taken into account any transitional residual incentive or penalty that applies under the current version of the STPIS</w:t>
      </w:r>
      <w:r w:rsidR="00EF5F21">
        <w:t xml:space="preserve"> in that review</w:t>
      </w:r>
      <w:r w:rsidR="00281A0F" w:rsidRPr="00281A0F">
        <w:t>.</w:t>
      </w:r>
    </w:p>
    <w:p w:rsidR="00E666C2" w:rsidRPr="00255328" w:rsidRDefault="00E666C2" w:rsidP="006336FA">
      <w:pPr>
        <w:pStyle w:val="HeadingBoldBlue"/>
      </w:pPr>
      <w:r>
        <w:t xml:space="preserve">Balanced incentives </w:t>
      </w:r>
    </w:p>
    <w:p w:rsidR="00E666C2" w:rsidRDefault="00E666C2" w:rsidP="00A825FE">
      <w:pPr>
        <w:pStyle w:val="AERbodytext"/>
      </w:pPr>
      <w:r>
        <w:t xml:space="preserve">We administer our </w:t>
      </w:r>
      <w:r w:rsidRPr="00D613B5">
        <w:t xml:space="preserve">incentive schemes within a regulatory control period </w:t>
      </w:r>
      <w:r>
        <w:t xml:space="preserve">to align </w:t>
      </w:r>
      <w:r w:rsidRPr="009011C5">
        <w:t>distributor</w:t>
      </w:r>
      <w:r>
        <w:t xml:space="preserve"> incentives with </w:t>
      </w:r>
      <w:r w:rsidRPr="00D613B5">
        <w:t>the NEO.</w:t>
      </w:r>
      <w:r>
        <w:t xml:space="preserve"> In implementing the STPIS we need to be aware of both the operational integrity of the scheme itself and how it interacts with our other incentive schemes. </w:t>
      </w:r>
    </w:p>
    <w:p w:rsidR="00E666C2" w:rsidRDefault="00277510" w:rsidP="006336FA">
      <w:pPr>
        <w:pStyle w:val="HeadingItalic"/>
      </w:pPr>
      <w:r>
        <w:t>Defining performance targets</w:t>
      </w:r>
    </w:p>
    <w:p w:rsidR="00E666C2" w:rsidRDefault="00E666C2" w:rsidP="00A825FE">
      <w:pPr>
        <w:pStyle w:val="AERbodytext"/>
      </w:pPr>
      <w:r>
        <w:t xml:space="preserve">How we </w:t>
      </w:r>
      <w:r w:rsidRPr="005F25CF">
        <w:t>measur</w:t>
      </w:r>
      <w:r>
        <w:t>e</w:t>
      </w:r>
      <w:r w:rsidRPr="005F25CF">
        <w:t xml:space="preserve"> actual service performance and set performance targets can significantly impact how well the STPIS meet</w:t>
      </w:r>
      <w:r>
        <w:t>s</w:t>
      </w:r>
      <w:r w:rsidRPr="005F25CF">
        <w:t xml:space="preserve"> its stated objectives. </w:t>
      </w:r>
    </w:p>
    <w:p w:rsidR="00E666C2" w:rsidRDefault="00E666C2" w:rsidP="00A825FE">
      <w:pPr>
        <w:pStyle w:val="AERbodytext"/>
      </w:pPr>
      <w:r>
        <w:t xml:space="preserve">The rules require us to consider </w:t>
      </w:r>
      <w:r w:rsidRPr="00E64C71">
        <w:t>past performance</w:t>
      </w:r>
      <w:r>
        <w:t xml:space="preserve"> of the distributor's network</w:t>
      </w:r>
      <w:r w:rsidRPr="000D3403">
        <w:t xml:space="preserve"> </w:t>
      </w:r>
      <w:r>
        <w:t>in developing and implementing the STPIS.</w:t>
      </w:r>
      <w:r w:rsidRPr="00FF7E92">
        <w:rPr>
          <w:rStyle w:val="FootnoteReference"/>
        </w:rPr>
        <w:footnoteReference w:id="165"/>
      </w:r>
      <w:r>
        <w:t xml:space="preserve"> Our preferred approach is to base performance targets on</w:t>
      </w:r>
      <w:r w:rsidRPr="001C1A15">
        <w:t xml:space="preserve"> </w:t>
      </w:r>
      <w:r>
        <w:t xml:space="preserve">the </w:t>
      </w:r>
      <w:r w:rsidRPr="009011C5">
        <w:t>distributor</w:t>
      </w:r>
      <w:r>
        <w:t xml:space="preserve">s' </w:t>
      </w:r>
      <w:r w:rsidRPr="001C1A15">
        <w:t>average performance</w:t>
      </w:r>
      <w:r>
        <w:t xml:space="preserve"> </w:t>
      </w:r>
      <w:r w:rsidRPr="001C1A15">
        <w:t>over the past five regulatory years</w:t>
      </w:r>
      <w:r>
        <w:t>.</w:t>
      </w:r>
      <w:r w:rsidRPr="009B1538">
        <w:rPr>
          <w:rStyle w:val="FootnoteReference"/>
        </w:rPr>
        <w:footnoteReference w:id="166"/>
      </w:r>
      <w:r>
        <w:t xml:space="preserve">  Using an average calculated over multiple years instead of applying performance targets based solely on the most recent regulatory year limits the </w:t>
      </w:r>
      <w:r w:rsidRPr="009011C5">
        <w:t>distributor</w:t>
      </w:r>
      <w:r>
        <w:t xml:space="preserve">s' incentive to underperform in the final year of a regulatory control period to make future targets less onerous.  </w:t>
      </w:r>
    </w:p>
    <w:p w:rsidR="00E666C2" w:rsidRDefault="00E666C2" w:rsidP="00A825FE">
      <w:pPr>
        <w:pStyle w:val="AERbodytext"/>
      </w:pPr>
      <w:r>
        <w:t xml:space="preserve">Our national STPIS limits variability in penalties and rewards caused by circumstances outside the </w:t>
      </w:r>
      <w:r w:rsidRPr="009011C5">
        <w:t>distributor</w:t>
      </w:r>
      <w:r>
        <w:t xml:space="preserve">s' control. We exclude interruptions to supply deemed to be outside the major event day boundary from both the calculation of performance targets and measured service performance. </w:t>
      </w:r>
    </w:p>
    <w:p w:rsidR="00E666C2" w:rsidRDefault="00E666C2" w:rsidP="00A825FE">
      <w:pPr>
        <w:pStyle w:val="AERbodytext"/>
      </w:pPr>
      <w:r>
        <w:t>Our national STPIS recognises differences across and within distribution networks. Measured performance and performance target</w:t>
      </w:r>
      <w:r w:rsidRPr="002D0B50">
        <w:t xml:space="preserve">s are specific to each segment of a distributor's network. </w:t>
      </w:r>
    </w:p>
    <w:p w:rsidR="00E666C2" w:rsidRPr="005F25CF" w:rsidRDefault="00E666C2" w:rsidP="006336FA">
      <w:pPr>
        <w:pStyle w:val="HeadingItalic"/>
      </w:pPr>
      <w:r>
        <w:t>Interactions with our other incentive schemes</w:t>
      </w:r>
    </w:p>
    <w:p w:rsidR="00E666C2" w:rsidRDefault="00E666C2" w:rsidP="00A825FE">
      <w:pPr>
        <w:pStyle w:val="AERbodytext"/>
      </w:pPr>
      <w:r>
        <w:t>In applying the STPIS we must consider any other incentives available to the distributor under the rules or relevant distribution determination.</w:t>
      </w:r>
      <w:r>
        <w:rPr>
          <w:rStyle w:val="FootnoteReference"/>
        </w:rPr>
        <w:footnoteReference w:id="167"/>
      </w:r>
      <w:r w:rsidR="00F63597">
        <w:t xml:space="preserve"> In Victoria </w:t>
      </w:r>
      <w:r>
        <w:t xml:space="preserve">the STPIS will interact with our expenditure and demand management incentive schemes. </w:t>
      </w:r>
    </w:p>
    <w:p w:rsidR="00E666C2" w:rsidRDefault="00E666C2" w:rsidP="00A825FE">
      <w:pPr>
        <w:pStyle w:val="AERbodytext"/>
      </w:pPr>
      <w:r>
        <w:t xml:space="preserve">The EBSS provides distributors with an incentive to reduce operating costs. The STPIS counterbalances this incentive by discouraging cost efficiencies arising through reduced service performance for customers. The s-factor adjustment of annual revenue depends on the distributor's actual service performance compared to predetermined targets. In accordance with the rules we must set incentive rates to </w:t>
      </w:r>
      <w:r w:rsidRPr="009C71BD">
        <w:t xml:space="preserve">offset any financial incentives the </w:t>
      </w:r>
      <w:r w:rsidRPr="009011C5">
        <w:t>distributor</w:t>
      </w:r>
      <w:r>
        <w:t>s</w:t>
      </w:r>
      <w:r w:rsidRPr="009C71BD">
        <w:t xml:space="preserve"> may have to reduce costs at the expense of service levels</w:t>
      </w:r>
      <w:r>
        <w:t>.</w:t>
      </w:r>
      <w:r w:rsidRPr="00A552B3">
        <w:t xml:space="preserve"> </w:t>
      </w:r>
      <w:r w:rsidRPr="00FF7E92">
        <w:rPr>
          <w:rStyle w:val="FootnoteReference"/>
        </w:rPr>
        <w:footnoteReference w:id="168"/>
      </w:r>
      <w:r>
        <w:t xml:space="preserve"> </w:t>
      </w:r>
    </w:p>
    <w:p w:rsidR="00E666C2" w:rsidRDefault="00E666C2" w:rsidP="00A825FE">
      <w:pPr>
        <w:pStyle w:val="AERbodytext"/>
      </w:pPr>
      <w:r>
        <w:lastRenderedPageBreak/>
        <w:t xml:space="preserve">In setting STPIS performance targets, we will consider both completed and planned reliability improvements </w:t>
      </w:r>
      <w:r w:rsidRPr="00233A32">
        <w:t>expected to materially affect network reliability performance</w:t>
      </w:r>
      <w:r>
        <w:t>.</w:t>
      </w:r>
      <w:r w:rsidRPr="00233A32">
        <w:rPr>
          <w:rStyle w:val="FootnoteReference"/>
        </w:rPr>
        <w:footnoteReference w:id="169"/>
      </w:r>
      <w:r w:rsidRPr="00233A32">
        <w:t xml:space="preserve"> </w:t>
      </w:r>
    </w:p>
    <w:p w:rsidR="00E666C2" w:rsidRDefault="00E666C2" w:rsidP="00A825FE">
      <w:pPr>
        <w:pStyle w:val="AERbodytext"/>
      </w:pPr>
      <w:r>
        <w:t xml:space="preserve">The CESS rewards distributors if actual capex is lower than the approved forecast amount for the regulatory year. Since our performance targets will reflect planned reliability improvements, any incentive a distributor may have to reduce capex by not achieving the planned performance outcome will be curtailed by the STPIS penalty. </w:t>
      </w:r>
    </w:p>
    <w:p w:rsidR="00E666C2" w:rsidRPr="00657ABA" w:rsidRDefault="00E666C2" w:rsidP="00A825FE">
      <w:pPr>
        <w:pStyle w:val="AERbodytext"/>
      </w:pPr>
      <w:r>
        <w:t xml:space="preserve">The rules require us to consider the </w:t>
      </w:r>
      <w:r w:rsidRPr="00EB22FC">
        <w:t xml:space="preserve">possible effects of the </w:t>
      </w:r>
      <w:r>
        <w:t xml:space="preserve">STPIS on the </w:t>
      </w:r>
      <w:r w:rsidRPr="009011C5">
        <w:t>distributor</w:t>
      </w:r>
      <w:r>
        <w:t xml:space="preserve">s' incentives to implement </w:t>
      </w:r>
      <w:r w:rsidRPr="00EB22FC">
        <w:t>non-network alternatives</w:t>
      </w:r>
      <w:r>
        <w:t xml:space="preserve"> to augmentation. </w:t>
      </w:r>
      <w:r w:rsidRPr="00657ABA">
        <w:t xml:space="preserve">The </w:t>
      </w:r>
      <w:r>
        <w:t>STPIS</w:t>
      </w:r>
      <w:r w:rsidRPr="00657ABA">
        <w:t xml:space="preserve"> </w:t>
      </w:r>
      <w:r>
        <w:t xml:space="preserve">treats the </w:t>
      </w:r>
      <w:r w:rsidRPr="00657ABA">
        <w:t>reliability implications of network and non-network solutions</w:t>
      </w:r>
      <w:r>
        <w:t xml:space="preserve"> symmetrically</w:t>
      </w:r>
      <w:r w:rsidRPr="00657ABA">
        <w:t xml:space="preserve">, neither encouraging nor discouraging non-network alternatives to augmentation. </w:t>
      </w:r>
    </w:p>
    <w:p w:rsidR="00E666C2" w:rsidRDefault="00E666C2" w:rsidP="00E666C2">
      <w:r>
        <w:t xml:space="preserve">We are aware of the perceived disincentive to implement demand-side alternatives to network augmentation created by reliability performance measures in the STPIS. Higher risk of failure to meet STPIS performance targets may act as a disincentive for non-network alternatives to network investment. One way to address this would be to exclude outages caused by non-network solutions from the calculation of actual performance. However, since network planning decisions are within the </w:t>
      </w:r>
      <w:r w:rsidRPr="009011C5">
        <w:t>distributor</w:t>
      </w:r>
      <w:r>
        <w:t>s' control, we consider this to be unnecessary.</w:t>
      </w:r>
    </w:p>
    <w:p w:rsidR="00E666C2" w:rsidRPr="00E22993" w:rsidRDefault="00084259" w:rsidP="00396A6A">
      <w:pPr>
        <w:pStyle w:val="Heading2"/>
      </w:pPr>
      <w:bookmarkStart w:id="151" w:name="_Toc388976535"/>
      <w:r w:rsidRPr="00E22993">
        <w:t>Efficiency benefit sharing scheme</w:t>
      </w:r>
      <w:bookmarkEnd w:id="151"/>
    </w:p>
    <w:p w:rsidR="00396A6A" w:rsidRDefault="00396A6A" w:rsidP="00A825FE">
      <w:pPr>
        <w:pStyle w:val="AERbodytext"/>
      </w:pPr>
      <w:r w:rsidRPr="007E637D">
        <w:t xml:space="preserve">The </w:t>
      </w:r>
      <w:r>
        <w:t>efficiency benefit sharing scheme (</w:t>
      </w:r>
      <w:r w:rsidRPr="007E637D">
        <w:t>EBSS</w:t>
      </w:r>
      <w:r>
        <w:t>)</w:t>
      </w:r>
      <w:r w:rsidRPr="007E637D">
        <w:t xml:space="preserve"> is intended to provide a continuous incentive for </w:t>
      </w:r>
      <w:r>
        <w:t xml:space="preserve">distributors </w:t>
      </w:r>
      <w:r w:rsidRPr="007E637D">
        <w:t xml:space="preserve">to pursue efficiency improvements in </w:t>
      </w:r>
      <w:r>
        <w:t>opex</w:t>
      </w:r>
      <w:r w:rsidRPr="007E637D">
        <w:t xml:space="preserve">, and </w:t>
      </w:r>
      <w:r>
        <w:t>provide for a fair sharing of these</w:t>
      </w:r>
      <w:r w:rsidRPr="007E637D">
        <w:t xml:space="preserve"> between </w:t>
      </w:r>
      <w:r>
        <w:t xml:space="preserve">distributors </w:t>
      </w:r>
      <w:r w:rsidRPr="007E637D">
        <w:t xml:space="preserve">and network users. </w:t>
      </w:r>
      <w:r>
        <w:t xml:space="preserve">Consumers benefit from improved efficiencies through lower regulated prices. This section sets out our preliminary position and reasons on how we intend to apply the EBSS to </w:t>
      </w:r>
      <w:r w:rsidR="00850953">
        <w:t xml:space="preserve">Victorian </w:t>
      </w:r>
      <w:r>
        <w:t>distributors in the next regulatory control period.</w:t>
      </w:r>
    </w:p>
    <w:p w:rsidR="00396A6A" w:rsidRPr="0052597E" w:rsidRDefault="00396A6A" w:rsidP="00396A6A">
      <w:pPr>
        <w:pStyle w:val="Heading3"/>
      </w:pPr>
      <w:bookmarkStart w:id="152" w:name="_Toc374085365"/>
      <w:bookmarkStart w:id="153" w:name="_Toc387418382"/>
      <w:bookmarkStart w:id="154" w:name="_Toc388976536"/>
      <w:r>
        <w:softHyphen/>
      </w:r>
      <w:r w:rsidRPr="0052597E">
        <w:t>AER</w:t>
      </w:r>
      <w:r>
        <w:t>'s</w:t>
      </w:r>
      <w:r w:rsidRPr="0052597E">
        <w:t xml:space="preserve"> pr</w:t>
      </w:r>
      <w:r>
        <w:t>eliminary</w:t>
      </w:r>
      <w:r w:rsidRPr="0052597E">
        <w:t xml:space="preserve"> </w:t>
      </w:r>
      <w:r>
        <w:t>position</w:t>
      </w:r>
      <w:bookmarkEnd w:id="152"/>
      <w:bookmarkEnd w:id="153"/>
      <w:bookmarkEnd w:id="154"/>
    </w:p>
    <w:p w:rsidR="00396A6A" w:rsidRDefault="00396A6A" w:rsidP="00A825FE">
      <w:pPr>
        <w:pStyle w:val="AERbodytext"/>
      </w:pPr>
      <w:r>
        <w:t>We propose applying our new EBSS</w:t>
      </w:r>
      <w:r>
        <w:rPr>
          <w:rStyle w:val="FootnoteReference"/>
        </w:rPr>
        <w:footnoteReference w:id="170"/>
      </w:r>
      <w:r>
        <w:t xml:space="preserve"> to the </w:t>
      </w:r>
      <w:r w:rsidR="00850953">
        <w:t xml:space="preserve">Victorian </w:t>
      </w:r>
      <w:r w:rsidR="003621FD">
        <w:t>distributors for the 2016</w:t>
      </w:r>
      <w:r w:rsidRPr="00396A6A">
        <w:t>–</w:t>
      </w:r>
      <w:r>
        <w:t xml:space="preserve">20 regulatory control period. </w:t>
      </w:r>
    </w:p>
    <w:p w:rsidR="00396A6A" w:rsidRPr="00396A6A" w:rsidRDefault="00396A6A" w:rsidP="00A825FE">
      <w:pPr>
        <w:pStyle w:val="AERbodytext"/>
      </w:pPr>
      <w:r>
        <w:t xml:space="preserve">Our distribution determination for </w:t>
      </w:r>
      <w:r w:rsidR="003621FD">
        <w:t xml:space="preserve">the </w:t>
      </w:r>
      <w:r w:rsidR="00850953">
        <w:t xml:space="preserve">Victorian </w:t>
      </w:r>
      <w:r w:rsidR="003621FD">
        <w:t>distributors</w:t>
      </w:r>
      <w:r>
        <w:t xml:space="preserve"> for the next regulatory control period will specify how we will apply the EBSS. </w:t>
      </w:r>
    </w:p>
    <w:p w:rsidR="00396A6A" w:rsidRPr="00396A6A" w:rsidRDefault="00396A6A" w:rsidP="00396A6A">
      <w:pPr>
        <w:pStyle w:val="Heading3"/>
      </w:pPr>
      <w:bookmarkStart w:id="155" w:name="_Toc374085366"/>
      <w:bookmarkStart w:id="156" w:name="_Toc387418383"/>
      <w:bookmarkStart w:id="157" w:name="_Toc388976537"/>
      <w:r w:rsidRPr="00396A6A">
        <w:t>AER's assessment approach</w:t>
      </w:r>
      <w:bookmarkEnd w:id="155"/>
      <w:bookmarkEnd w:id="156"/>
      <w:bookmarkEnd w:id="157"/>
    </w:p>
    <w:p w:rsidR="00396A6A" w:rsidRDefault="00396A6A" w:rsidP="00396A6A">
      <w:r>
        <w:t xml:space="preserve">The EBSS must </w:t>
      </w:r>
      <w:r w:rsidRPr="00DA6905">
        <w:t xml:space="preserve">provide for a fair sharing between </w:t>
      </w:r>
      <w:r>
        <w:t>distributors and n</w:t>
      </w:r>
      <w:r w:rsidRPr="00DA6905">
        <w:t xml:space="preserve">etwork </w:t>
      </w:r>
      <w:r>
        <w:t xml:space="preserve">users of opex </w:t>
      </w:r>
      <w:r w:rsidRPr="00DA6905">
        <w:t xml:space="preserve">efficiency gains </w:t>
      </w:r>
      <w:r>
        <w:t>and efficiency losses.</w:t>
      </w:r>
      <w:r>
        <w:rPr>
          <w:rStyle w:val="FootnoteReference"/>
        </w:rPr>
        <w:footnoteReference w:id="171"/>
      </w:r>
      <w:r>
        <w:t xml:space="preserve"> We must also have regard to the following factors in developing and implementing the EBSS:</w:t>
      </w:r>
      <w:r w:rsidRPr="009B3324">
        <w:rPr>
          <w:rStyle w:val="AERsuperscript"/>
        </w:rPr>
        <w:footnoteReference w:id="172"/>
      </w:r>
    </w:p>
    <w:p w:rsidR="00396A6A" w:rsidRDefault="00396A6A" w:rsidP="00396A6A">
      <w:pPr>
        <w:pStyle w:val="AERbulletlistfirststyle"/>
      </w:pPr>
      <w:r>
        <w:t>the need to ensure that benefits to electricity consumers likely to result from the scheme are sufficient to warrant any reward or penalty under the scheme</w:t>
      </w:r>
    </w:p>
    <w:p w:rsidR="00396A6A" w:rsidRDefault="00396A6A" w:rsidP="00396A6A">
      <w:pPr>
        <w:pStyle w:val="AERbulletlistfirststyle"/>
      </w:pPr>
      <w:r>
        <w:t>the need to provide service providers with a continuous incentive to reduce opex</w:t>
      </w:r>
    </w:p>
    <w:p w:rsidR="00396A6A" w:rsidRDefault="00396A6A" w:rsidP="00396A6A">
      <w:pPr>
        <w:pStyle w:val="AERbulletlistfirststyle"/>
      </w:pPr>
      <w:r>
        <w:lastRenderedPageBreak/>
        <w:t xml:space="preserve">the desirability of </w:t>
      </w:r>
      <w:r w:rsidRPr="009C14B4">
        <w:t xml:space="preserve">both </w:t>
      </w:r>
      <w:r w:rsidRPr="00A83B5E">
        <w:rPr>
          <w:rStyle w:val="AERbody"/>
        </w:rPr>
        <w:t>rewarding</w:t>
      </w:r>
      <w:r w:rsidRPr="009C14B4">
        <w:t xml:space="preserve"> service</w:t>
      </w:r>
      <w:r>
        <w:t xml:space="preserve"> providers for efficiency gains and penalising service providers for efficiency losses</w:t>
      </w:r>
    </w:p>
    <w:p w:rsidR="00396A6A" w:rsidRDefault="00396A6A" w:rsidP="00396A6A">
      <w:pPr>
        <w:pStyle w:val="AERbulletlistfirststyle"/>
      </w:pPr>
      <w:r>
        <w:t>any incentives that service providers may have to capitalise expenditure</w:t>
      </w:r>
    </w:p>
    <w:p w:rsidR="00396A6A" w:rsidRDefault="00396A6A" w:rsidP="00396A6A">
      <w:pPr>
        <w:pStyle w:val="AERbulletlistfirststyle"/>
      </w:pPr>
      <w:r>
        <w:t>the possible effects of the scheme on incentives for the implementation of non-network alternatives.</w:t>
      </w:r>
    </w:p>
    <w:p w:rsidR="00396A6A" w:rsidRPr="0052597E" w:rsidRDefault="00396A6A" w:rsidP="00396A6A">
      <w:pPr>
        <w:pStyle w:val="Heading3"/>
      </w:pPr>
      <w:bookmarkStart w:id="158" w:name="_Toc374085367"/>
      <w:bookmarkStart w:id="159" w:name="_Toc387418384"/>
      <w:bookmarkStart w:id="160" w:name="_Toc388976538"/>
      <w:r>
        <w:t>Reasons for AER's preliminary</w:t>
      </w:r>
      <w:r w:rsidRPr="0052597E">
        <w:t xml:space="preserve"> </w:t>
      </w:r>
      <w:r>
        <w:t>position</w:t>
      </w:r>
      <w:bookmarkEnd w:id="158"/>
      <w:bookmarkEnd w:id="159"/>
      <w:bookmarkEnd w:id="160"/>
    </w:p>
    <w:p w:rsidR="00396A6A" w:rsidRDefault="00396A6A" w:rsidP="00A825FE">
      <w:pPr>
        <w:pStyle w:val="AERbodytext"/>
      </w:pPr>
      <w:r>
        <w:t xml:space="preserve">The current EBSS applies to </w:t>
      </w:r>
      <w:r w:rsidR="00850953">
        <w:t xml:space="preserve">Victorian </w:t>
      </w:r>
      <w:r>
        <w:t>distributors in their current regulatory control period.</w:t>
      </w:r>
      <w:r>
        <w:rPr>
          <w:rStyle w:val="FootnoteReference"/>
        </w:rPr>
        <w:footnoteReference w:id="173"/>
      </w:r>
      <w:r>
        <w:t xml:space="preserve"> </w:t>
      </w:r>
      <w:r w:rsidRPr="00541F86">
        <w:t xml:space="preserve">As part of </w:t>
      </w:r>
      <w:r>
        <w:t xml:space="preserve">our </w:t>
      </w:r>
      <w:r w:rsidRPr="00541F86">
        <w:t xml:space="preserve">Better Regulation program we </w:t>
      </w:r>
      <w:r>
        <w:t xml:space="preserve">consulted on and published the new EBSS, taking into account the requirements of the rules. </w:t>
      </w:r>
    </w:p>
    <w:p w:rsidR="00396A6A" w:rsidRDefault="00396A6A" w:rsidP="00A825FE">
      <w:pPr>
        <w:pStyle w:val="AERbodytext"/>
      </w:pPr>
      <w:r>
        <w:t xml:space="preserve">The new EBSS </w:t>
      </w:r>
      <w:r w:rsidRPr="00541F86">
        <w:t xml:space="preserve">retains the same form as </w:t>
      </w:r>
      <w:r>
        <w:t>the current EBSS, and merges the distribution and transmission schemes.</w:t>
      </w:r>
      <w:r w:rsidRPr="00541F86">
        <w:t xml:space="preserve"> </w:t>
      </w:r>
      <w:r>
        <w:t xml:space="preserve">Changes in the new EBSS </w:t>
      </w:r>
      <w:r w:rsidRPr="00541F86">
        <w:t xml:space="preserve">relate to </w:t>
      </w:r>
      <w:r>
        <w:t xml:space="preserve">the criteria for adjustments and </w:t>
      </w:r>
      <w:r w:rsidRPr="00541F86">
        <w:t>exclusions</w:t>
      </w:r>
      <w:r>
        <w:t xml:space="preserve"> under the scheme.</w:t>
      </w:r>
      <w:r>
        <w:rPr>
          <w:rStyle w:val="FootnoteReference"/>
        </w:rPr>
        <w:footnoteReference w:id="174"/>
      </w:r>
      <w:r>
        <w:t xml:space="preserve"> </w:t>
      </w:r>
      <w:r w:rsidRPr="0032111C">
        <w:t xml:space="preserve">We </w:t>
      </w:r>
      <w:r>
        <w:t xml:space="preserve">also </w:t>
      </w:r>
      <w:r w:rsidRPr="0032111C">
        <w:t xml:space="preserve">amended the </w:t>
      </w:r>
      <w:r>
        <w:t xml:space="preserve">scheme </w:t>
      </w:r>
      <w:r w:rsidRPr="0032111C">
        <w:t xml:space="preserve">to provide flexibility to account for any adjustments made to base </w:t>
      </w:r>
      <w:r>
        <w:t xml:space="preserve">year </w:t>
      </w:r>
      <w:r w:rsidRPr="0032111C">
        <w:t>opex to remove the impacts of one-off factors.</w:t>
      </w:r>
      <w:r>
        <w:t xml:space="preserve"> The new EBSS also clarifies how we will determine the carryover period. These revisions </w:t>
      </w:r>
      <w:r w:rsidRPr="00541F86">
        <w:t>affect how carryover amounts are calculated for future regulatory control periods.</w:t>
      </w:r>
      <w:r>
        <w:rPr>
          <w:rStyle w:val="FootnoteReference"/>
        </w:rPr>
        <w:footnoteReference w:id="175"/>
      </w:r>
    </w:p>
    <w:p w:rsidR="00396A6A" w:rsidRPr="002B13F3" w:rsidRDefault="00396A6A" w:rsidP="00A825FE">
      <w:pPr>
        <w:pStyle w:val="AERbodytext"/>
      </w:pPr>
      <w:r w:rsidRPr="00AB6CEA">
        <w:t xml:space="preserve">In this section we </w:t>
      </w:r>
      <w:r w:rsidRPr="002B13F3">
        <w:t xml:space="preserve">set out why we propose to apply the new EBSS to the </w:t>
      </w:r>
      <w:r w:rsidR="00850953">
        <w:t xml:space="preserve">Victorian </w:t>
      </w:r>
      <w:r>
        <w:t xml:space="preserve">distributors in the next regulatory control period. </w:t>
      </w:r>
    </w:p>
    <w:p w:rsidR="00396A6A" w:rsidRPr="002B13F3" w:rsidRDefault="00396A6A" w:rsidP="00A825FE">
      <w:pPr>
        <w:pStyle w:val="AERbodytext"/>
      </w:pPr>
      <w:r w:rsidRPr="002B13F3">
        <w:t>In developing the new EBSS we had regard to the requirements under the rules, as set out in the scheme and accompanying explanatory statement.</w:t>
      </w:r>
      <w:r w:rsidRPr="002B13F3">
        <w:rPr>
          <w:rStyle w:val="FootnoteReference"/>
        </w:rPr>
        <w:footnoteReference w:id="176"/>
      </w:r>
      <w:r w:rsidRPr="002B13F3">
        <w:t xml:space="preserve"> This reasoning extends to the factors we must have regard to in implementing the scheme.</w:t>
      </w:r>
    </w:p>
    <w:p w:rsidR="00396A6A" w:rsidRPr="003456D4" w:rsidRDefault="00396A6A" w:rsidP="00A825FE">
      <w:pPr>
        <w:pStyle w:val="AERbodytext"/>
        <w:rPr>
          <w:rStyle w:val="AERbody"/>
        </w:rPr>
      </w:pPr>
      <w:r w:rsidRPr="003456D4">
        <w:rPr>
          <w:rStyle w:val="AERbody"/>
        </w:rPr>
        <w:t>The EBSS must provide for a fair sharing of efficiency gains and losses.</w:t>
      </w:r>
      <w:r w:rsidRPr="003456D4">
        <w:rPr>
          <w:rStyle w:val="AERsuperscript"/>
        </w:rPr>
        <w:footnoteReference w:id="177"/>
      </w:r>
      <w:r w:rsidRPr="003456D4">
        <w:rPr>
          <w:rStyle w:val="AERbody"/>
        </w:rPr>
        <w:t xml:space="preserve"> Under the scheme distributors and consumers receive a benefit where a distributor reduces its costs during a regulatory control period and both bear some of any increase in costs.</w:t>
      </w:r>
    </w:p>
    <w:p w:rsidR="003D7990" w:rsidRPr="00C8798D" w:rsidRDefault="003D7990" w:rsidP="003D7990">
      <w:pPr>
        <w:pStyle w:val="AERbodytext"/>
      </w:pPr>
      <w:r w:rsidRPr="00C8798D">
        <w:t>Under the EBSS, positive and negative carryovers reward and penalise distributors for efficiency gains and losses respectively.</w:t>
      </w:r>
      <w:r w:rsidRPr="00C8798D">
        <w:rPr>
          <w:rStyle w:val="FootnoteReference"/>
        </w:rPr>
        <w:footnoteReference w:id="178"/>
      </w:r>
      <w:r w:rsidRPr="00C8798D">
        <w:t xml:space="preserve"> The EBSS provides a continuous incentive for distributors to achieve opex efficiencies throughout the subsequent period. This is because the distributor receives carryover payments so it retains any efficiency gains or losses it makes within the regulatory period for the length of the carryover period. This is regardless of the year in which it makes the gain or loss.</w:t>
      </w:r>
      <w:r w:rsidRPr="00C8798D">
        <w:rPr>
          <w:rStyle w:val="FootnoteReference"/>
        </w:rPr>
        <w:footnoteReference w:id="179"/>
      </w:r>
      <w:r w:rsidRPr="00C8798D">
        <w:t xml:space="preserve"> </w:t>
      </w:r>
    </w:p>
    <w:p w:rsidR="003D7990" w:rsidRPr="00C8798D" w:rsidRDefault="003D7990" w:rsidP="003D7990">
      <w:pPr>
        <w:pStyle w:val="AERbodytext"/>
      </w:pPr>
      <w:r w:rsidRPr="00C8798D">
        <w:rPr>
          <w:rStyle w:val="AERbody"/>
        </w:rPr>
        <w:t>This continuous incentive to improve efficiency encourages efficient and timely opex throughout the regulatory control period, and reduces the incentive for a distributor to inflate opex in the expected base year. This provides an incentive for distributors to reveal their efficient opex which, in turn, allows us to better determine efficient opex forecasts for future regulatory control periods.</w:t>
      </w:r>
      <w:r w:rsidRPr="00C8798D">
        <w:t xml:space="preserve"> </w:t>
      </w:r>
    </w:p>
    <w:p w:rsidR="003D7990" w:rsidRPr="00C8798D" w:rsidRDefault="003D7990" w:rsidP="003D7990">
      <w:pPr>
        <w:pStyle w:val="AERbodytext"/>
      </w:pPr>
      <w:r w:rsidRPr="00C8798D">
        <w:rPr>
          <w:rStyle w:val="AERbody"/>
        </w:rPr>
        <w:lastRenderedPageBreak/>
        <w:t>The EBSS also leads to a</w:t>
      </w:r>
      <w:r w:rsidRPr="00C8798D">
        <w:t xml:space="preserve"> fair sharing of efficiency gains and losses between distributors and consumers.</w:t>
      </w:r>
      <w:r w:rsidRPr="00C8798D">
        <w:rPr>
          <w:rStyle w:val="FootnoteReference"/>
        </w:rPr>
        <w:footnoteReference w:id="180"/>
      </w:r>
      <w:r w:rsidRPr="00C8798D">
        <w:t xml:space="preserve"> For instance the combined effect of our forecasting approach and the EBSS is that opex efficiency gains or losses are shared approximately 30:70 between distributors and consumers. This means for a one dollar efficiency saving in opex the distributor keeps 30 cents of the benefit while consumers keep 70 cents of the benefit.</w:t>
      </w:r>
    </w:p>
    <w:p w:rsidR="003D7990" w:rsidRPr="00C8798D" w:rsidRDefault="003D7990" w:rsidP="003D7990">
      <w:pPr>
        <w:pStyle w:val="AERbodytext"/>
      </w:pPr>
      <w:r w:rsidRPr="00C8798D">
        <w:rPr>
          <w:highlight w:val="yellow"/>
        </w:rPr>
        <w:fldChar w:fldCharType="begin"/>
      </w:r>
      <w:r w:rsidRPr="00C8798D">
        <w:rPr>
          <w:highlight w:val="yellow"/>
        </w:rPr>
        <w:instrText xml:space="preserve"> REF _Ref373247500 \h </w:instrText>
      </w:r>
      <w:r w:rsidRPr="00C8798D">
        <w:rPr>
          <w:highlight w:val="yellow"/>
        </w:rPr>
      </w:r>
      <w:r w:rsidRPr="00C8798D">
        <w:rPr>
          <w:highlight w:val="yellow"/>
        </w:rPr>
        <w:fldChar w:fldCharType="separate"/>
      </w:r>
      <w:r w:rsidR="00277510">
        <w:t xml:space="preserve">Example </w:t>
      </w:r>
      <w:r w:rsidR="00277510">
        <w:rPr>
          <w:noProof/>
        </w:rPr>
        <w:t>1</w:t>
      </w:r>
      <w:r w:rsidRPr="00C8798D">
        <w:rPr>
          <w:highlight w:val="yellow"/>
        </w:rPr>
        <w:fldChar w:fldCharType="end"/>
      </w:r>
      <w:r w:rsidRPr="00C8798D">
        <w:t xml:space="preserve"> shows how the EBSS operates. It illustrates how the benefits of a permanent efficiency improvement are shared approximately 30:70 between a network service provider and consumers.</w:t>
      </w:r>
    </w:p>
    <w:p w:rsidR="00396A6A" w:rsidRPr="00CC72AE" w:rsidRDefault="00BB34B3" w:rsidP="00A825FE">
      <w:pPr>
        <w:pStyle w:val="AERbodytext"/>
      </w:pPr>
      <w:r>
        <w:pict>
          <v:shapetype id="_x0000_t202" coordsize="21600,21600" o:spt="202" path="m,l,21600r21600,l21600,xe">
            <v:stroke joinstyle="miter"/>
            <v:path gradientshapeok="t" o:connecttype="rect"/>
          </v:shapetype>
          <v:shape id="_x0000_s1033" type="#_x0000_t202" style="width:449.55pt;height:482.8pt;visibility:visibl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1033">
              <w:txbxContent>
                <w:p w:rsidR="003434F8" w:rsidRDefault="003434F8" w:rsidP="00396A6A">
                  <w:pPr>
                    <w:pStyle w:val="Caption"/>
                  </w:pPr>
                  <w:bookmarkStart w:id="161" w:name="_Ref373247500"/>
                  <w:r>
                    <w:t xml:space="preserve">Example </w:t>
                  </w:r>
                  <w:r w:rsidR="00BB34B3">
                    <w:fldChar w:fldCharType="begin"/>
                  </w:r>
                  <w:r w:rsidR="00BB34B3">
                    <w:instrText xml:space="preserve"> SEQ Example \* ARABIC \s 1 </w:instrText>
                  </w:r>
                  <w:r w:rsidR="00BB34B3">
                    <w:fldChar w:fldCharType="separate"/>
                  </w:r>
                  <w:r>
                    <w:rPr>
                      <w:noProof/>
                    </w:rPr>
                    <w:t>1</w:t>
                  </w:r>
                  <w:r w:rsidR="00BB34B3">
                    <w:rPr>
                      <w:noProof/>
                    </w:rPr>
                    <w:fldChar w:fldCharType="end"/>
                  </w:r>
                  <w:bookmarkEnd w:id="161"/>
                  <w:r>
                    <w:t>: How the EBSS operates</w:t>
                  </w:r>
                </w:p>
                <w:p w:rsidR="003434F8" w:rsidRDefault="003434F8" w:rsidP="00396A6A">
                  <w:pPr>
                    <w:pStyle w:val="AERbodytext"/>
                  </w:pPr>
                  <w:r>
                    <w:t xml:space="preserve">Assume that in the first regulatory period, a distributor's forecast opex is $100 million per annum (p.a.). </w:t>
                  </w:r>
                </w:p>
                <w:p w:rsidR="003434F8" w:rsidRDefault="003434F8" w:rsidP="00396A6A">
                  <w:pPr>
                    <w:pStyle w:val="AERbodytext"/>
                  </w:pPr>
                  <w:r>
                    <w:t xml:space="preserve">Assume that during this period the distributor delivers opex equal to the forecast for the first three years. Then, in the fourth year of the regulatory period, the distributor implements a more efficient business practice for maintaining its assets. As a result, the distributor will be able to deliver opex at $95 million p.a. for the foreseeable future. </w:t>
                  </w:r>
                </w:p>
                <w:p w:rsidR="003434F8" w:rsidRDefault="003434F8" w:rsidP="00396A6A">
                  <w:pPr>
                    <w:pStyle w:val="AERbodytext"/>
                  </w:pPr>
                  <w:r>
                    <w:t>This efficiency improvement affects regulated revenues in two ways:</w:t>
                  </w:r>
                </w:p>
                <w:p w:rsidR="003434F8" w:rsidRDefault="003434F8" w:rsidP="00396A6A">
                  <w:pPr>
                    <w:pStyle w:val="AERnumberedlistfirststyle"/>
                  </w:pPr>
                  <w:r>
                    <w:t>Through forecast opex. If we use the penultimate year of the regulatory period to forecast opex in the second regulatory period, the new forecast will be $95 million p.a. If the efficiency improvement is permanent, all else being equal, forecast opex will also be expected to be $95 million p.a. in future regulatory periods.</w:t>
                  </w:r>
                </w:p>
                <w:p w:rsidR="003434F8" w:rsidRDefault="003434F8" w:rsidP="00396A6A">
                  <w:pPr>
                    <w:pStyle w:val="AERnumberedlistfirststyle"/>
                  </w:pPr>
                  <w:r>
                    <w:t>Through EBSS carryover amounts. The distributor receives additional carryover amounts so that it receives exactly six years of benefits from an efficiency improvement. Because the distributor has made an efficiency improvement of $5 million p.a. in Year 4, to ensure it receives exactly six years of benefits, it will receive annual EBSS carryover amounts of $5 million in the first four years (Years 6 to 9) of the second regulatory period.</w:t>
                  </w:r>
                </w:p>
                <w:p w:rsidR="003434F8" w:rsidRPr="00B50023" w:rsidRDefault="003434F8" w:rsidP="003434F8">
                  <w:pPr>
                    <w:pStyle w:val="AERbodytext"/>
                    <w:rPr>
                      <w:rStyle w:val="AERtexthighlight"/>
                    </w:rPr>
                  </w:pPr>
                  <w:r>
                    <w:t xml:space="preserve">As a result of these effects, the distributor will benefit from the efficiency improvement in Years 4 to 9. This is because the annual amount the distributor receives through the forecast opex and EBSS building blocks ($100 million) is more than what it pays for opex ($95 million) in each of these years. </w:t>
                  </w:r>
                  <w:r w:rsidRPr="003434F8">
                    <w:t>Note that as set out in table 6, the new actual of $95m is used as the forecast in the next period.</w:t>
                  </w:r>
                </w:p>
                <w:p w:rsidR="003434F8" w:rsidRDefault="003434F8" w:rsidP="00396A6A">
                  <w:pPr>
                    <w:pStyle w:val="AERbodytext"/>
                  </w:pPr>
                  <w:r>
                    <w:t>Consumers benefit from Year 10 onwards after the EBSS carryover period has expired. This is because what consumers pay through the forecast opex and EBSS building blocks ($95 million) is lower from Year 10 onwards.</w:t>
                  </w:r>
                </w:p>
                <w:p w:rsidR="003434F8" w:rsidRDefault="003434F8" w:rsidP="00396A6A">
                  <w:pPr>
                    <w:pStyle w:val="AERbodytext"/>
                  </w:pPr>
                  <w:r>
                    <w:t xml:space="preserve">Table 6 (below) </w:t>
                  </w:r>
                  <w:r w:rsidRPr="00CF7B52">
                    <w:t xml:space="preserve">provides a more detailed illustration of how the benefits are shared between </w:t>
                  </w:r>
                  <w:r>
                    <w:t>distributors</w:t>
                  </w:r>
                  <w:r w:rsidRPr="00CF7B52">
                    <w:t xml:space="preserve"> and consumers over time.</w:t>
                  </w:r>
                </w:p>
                <w:p w:rsidR="003434F8" w:rsidRDefault="003434F8" w:rsidP="00396A6A"/>
              </w:txbxContent>
            </v:textbox>
            <w10:wrap type="none"/>
            <w10:anchorlock/>
          </v:shape>
        </w:pict>
      </w:r>
    </w:p>
    <w:p w:rsidR="00396A6A" w:rsidRDefault="00BB34B3" w:rsidP="00A825FE">
      <w:pPr>
        <w:pStyle w:val="AERbodytext"/>
      </w:pPr>
      <w:r>
        <w:pict>
          <v:shape id="Text Box 2" o:spid="_x0000_s1032" type="#_x0000_t202" style="width:449.5pt;height:682.95pt;visibility:visible;mso-height-percent:200;mso-left-percent:-10001;mso-top-percent:-10001;mso-wrap-distance-left:9pt;mso-wrap-distance-top:0;mso-wrap-distance-right:9pt;mso-wrap-distance-bottom:0;mso-position-horizontal:absolute;mso-position-horizontal-relative:char;mso-position-vertical:absolute;mso-position-vertical-relative:line;mso-height-percent:200;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3434F8" w:rsidRPr="003B1F59" w:rsidRDefault="003434F8" w:rsidP="00396A6A">
                  <w:pPr>
                    <w:pStyle w:val="Caption"/>
                  </w:pPr>
                  <w:r>
                    <w:t>(</w:t>
                  </w:r>
                  <w:r>
                    <w:fldChar w:fldCharType="begin"/>
                  </w:r>
                  <w:r>
                    <w:instrText xml:space="preserve"> REF _Ref373247500 \h </w:instrText>
                  </w:r>
                  <w:r>
                    <w:fldChar w:fldCharType="separate"/>
                  </w:r>
                  <w:r>
                    <w:t xml:space="preserve">Example </w:t>
                  </w:r>
                  <w:r>
                    <w:rPr>
                      <w:noProof/>
                    </w:rPr>
                    <w:t>1</w:t>
                  </w:r>
                  <w:r>
                    <w:fldChar w:fldCharType="end"/>
                  </w:r>
                  <w:r>
                    <w:t xml:space="preserve"> continued)</w:t>
                  </w:r>
                </w:p>
                <w:p w:rsidR="003434F8" w:rsidRPr="00AE0906" w:rsidRDefault="003434F8" w:rsidP="00396A6A">
                  <w:pPr>
                    <w:pStyle w:val="Caption"/>
                  </w:pPr>
                  <w:bookmarkStart w:id="162" w:name="_Ref373940850"/>
                  <w:r>
                    <w:t xml:space="preserve">Table </w:t>
                  </w:r>
                  <w:bookmarkEnd w:id="162"/>
                  <w:r>
                    <w:t xml:space="preserve">6: </w:t>
                  </w:r>
                  <w:r w:rsidRPr="00AE0906">
                    <w:t>Example of how the EBSS operates</w:t>
                  </w:r>
                </w:p>
                <w:tbl>
                  <w:tblPr>
                    <w:tblStyle w:val="AERtable-numbers"/>
                    <w:tblW w:w="5000" w:type="pct"/>
                    <w:tblLook w:val="04A0" w:firstRow="1" w:lastRow="0" w:firstColumn="1" w:lastColumn="0" w:noHBand="0" w:noVBand="1"/>
                  </w:tblPr>
                  <w:tblGrid>
                    <w:gridCol w:w="3320"/>
                    <w:gridCol w:w="499"/>
                    <w:gridCol w:w="499"/>
                    <w:gridCol w:w="499"/>
                    <w:gridCol w:w="499"/>
                    <w:gridCol w:w="501"/>
                    <w:gridCol w:w="455"/>
                    <w:gridCol w:w="455"/>
                    <w:gridCol w:w="455"/>
                    <w:gridCol w:w="455"/>
                    <w:gridCol w:w="455"/>
                    <w:gridCol w:w="826"/>
                  </w:tblGrid>
                  <w:tr w:rsidR="003434F8" w:rsidRPr="00FC3838" w:rsidTr="00EF3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434F8" w:rsidRPr="00046B33" w:rsidRDefault="003434F8" w:rsidP="00EF33EF">
                        <w:pPr>
                          <w:pStyle w:val="AERtabletextleft"/>
                        </w:pPr>
                      </w:p>
                    </w:tc>
                    <w:tc>
                      <w:tcPr>
                        <w:tcW w:w="1401" w:type="pct"/>
                        <w:gridSpan w:val="5"/>
                      </w:tcPr>
                      <w:p w:rsidR="003434F8" w:rsidRPr="00046B33" w:rsidRDefault="003434F8" w:rsidP="00EF33EF">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1</w:t>
                        </w:r>
                      </w:p>
                    </w:tc>
                    <w:tc>
                      <w:tcPr>
                        <w:tcW w:w="1274" w:type="pct"/>
                        <w:gridSpan w:val="5"/>
                      </w:tcPr>
                      <w:p w:rsidR="003434F8" w:rsidRPr="00046B33" w:rsidRDefault="003434F8" w:rsidP="00EF33EF">
                        <w:pPr>
                          <w:pStyle w:val="AERtabletextright"/>
                          <w:cnfStyle w:val="100000000000" w:firstRow="1" w:lastRow="0" w:firstColumn="0" w:lastColumn="0" w:oddVBand="0" w:evenVBand="0" w:oddHBand="0" w:evenHBand="0" w:firstRowFirstColumn="0" w:firstRowLastColumn="0" w:lastRowFirstColumn="0" w:lastRowLastColumn="0"/>
                        </w:pPr>
                        <w:r w:rsidRPr="00046B33">
                          <w:t>Regulatory period 2</w:t>
                        </w:r>
                      </w:p>
                    </w:tc>
                    <w:tc>
                      <w:tcPr>
                        <w:tcW w:w="464" w:type="pct"/>
                      </w:tcPr>
                      <w:p w:rsidR="003434F8" w:rsidRPr="00046B33" w:rsidRDefault="003434F8" w:rsidP="00EF33EF">
                        <w:pPr>
                          <w:pStyle w:val="AERtabletextright"/>
                          <w:cnfStyle w:val="100000000000" w:firstRow="1" w:lastRow="0" w:firstColumn="0" w:lastColumn="0" w:oddVBand="0" w:evenVBand="0" w:oddHBand="0" w:evenHBand="0" w:firstRowFirstColumn="0" w:firstRowLastColumn="0" w:lastRowFirstColumn="0" w:lastRowLastColumn="0"/>
                        </w:pPr>
                        <w:r w:rsidRPr="00046B33">
                          <w:t>Future</w:t>
                        </w:r>
                      </w:p>
                    </w:tc>
                  </w:tr>
                  <w:tr w:rsidR="003434F8" w:rsidRPr="00626C63" w:rsidTr="00EF33EF">
                    <w:tc>
                      <w:tcPr>
                        <w:cnfStyle w:val="001000000000" w:firstRow="0" w:lastRow="0" w:firstColumn="1" w:lastColumn="0" w:oddVBand="0" w:evenVBand="0" w:oddHBand="0" w:evenHBand="0" w:firstRowFirstColumn="0" w:firstRowLastColumn="0" w:lastRowFirstColumn="0" w:lastRowLastColumn="0"/>
                        <w:tcW w:w="1861" w:type="pct"/>
                      </w:tcPr>
                      <w:p w:rsidR="003434F8" w:rsidRPr="00046B33" w:rsidRDefault="003434F8" w:rsidP="00EF33EF">
                        <w:pPr>
                          <w:pStyle w:val="AERtabletextleft"/>
                          <w:rPr>
                            <w:rStyle w:val="AERtextbold"/>
                          </w:rPr>
                        </w:pPr>
                        <w:r w:rsidRPr="00046B33">
                          <w:rPr>
                            <w:rStyle w:val="AERtextbold"/>
                          </w:rPr>
                          <w:t>Year</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2</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3</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4</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6</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7</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8</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9</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046B33">
                          <w:rPr>
                            <w:rStyle w:val="AERtextbold"/>
                          </w:rPr>
                          <w:t>10</w:t>
                        </w:r>
                      </w:p>
                    </w:tc>
                    <w:tc>
                      <w:tcPr>
                        <w:tcW w:w="464"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3434F8" w:rsidRPr="00FC3838" w:rsidTr="00E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434F8" w:rsidRPr="005A4F14" w:rsidRDefault="003434F8" w:rsidP="00EF33EF">
                        <w:pPr>
                          <w:pStyle w:val="AERtabletextleft"/>
                        </w:pPr>
                        <w:r w:rsidRPr="00046B33">
                          <w:t>Forecast (F</w:t>
                        </w:r>
                        <w:r w:rsidRPr="005A4F14">
                          <w:rPr>
                            <w:rStyle w:val="AERsubscript"/>
                          </w:rPr>
                          <w:t>t</w:t>
                        </w:r>
                        <w:r w:rsidRPr="005A4F14">
                          <w:t>)</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100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95</w:t>
                        </w:r>
                      </w:p>
                    </w:tc>
                    <w:tc>
                      <w:tcPr>
                        <w:tcW w:w="464"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95 p.a.</w:t>
                        </w:r>
                      </w:p>
                    </w:tc>
                  </w:tr>
                  <w:tr w:rsidR="003434F8" w:rsidRPr="00FC3838" w:rsidTr="00EF33EF">
                    <w:tc>
                      <w:tcPr>
                        <w:cnfStyle w:val="001000000000" w:firstRow="0" w:lastRow="0" w:firstColumn="1" w:lastColumn="0" w:oddVBand="0" w:evenVBand="0" w:oddHBand="0" w:evenHBand="0" w:firstRowFirstColumn="0" w:firstRowLastColumn="0" w:lastRowFirstColumn="0" w:lastRowLastColumn="0"/>
                        <w:tcW w:w="1861" w:type="pct"/>
                      </w:tcPr>
                      <w:p w:rsidR="003434F8" w:rsidRPr="005A4F14" w:rsidRDefault="003434F8" w:rsidP="00EF33EF">
                        <w:pPr>
                          <w:pStyle w:val="AERtabletextleft"/>
                        </w:pPr>
                        <w:r w:rsidRPr="00046B33">
                          <w:t>Actual (A</w:t>
                        </w:r>
                        <w:r w:rsidRPr="005A4F14">
                          <w:rPr>
                            <w:rStyle w:val="AERsubscript"/>
                          </w:rPr>
                          <w:t>t</w:t>
                        </w:r>
                        <w:r w:rsidRPr="005A4F14">
                          <w:t>)</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100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95</w:t>
                        </w:r>
                      </w:p>
                    </w:tc>
                    <w:tc>
                      <w:tcPr>
                        <w:tcW w:w="464"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95 p.a.</w:t>
                        </w:r>
                      </w:p>
                    </w:tc>
                  </w:tr>
                  <w:tr w:rsidR="003434F8" w:rsidRPr="00FC3838" w:rsidTr="00E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434F8" w:rsidRPr="005A4F14" w:rsidRDefault="003434F8" w:rsidP="00EF33EF">
                        <w:pPr>
                          <w:pStyle w:val="AERtabletextleft"/>
                        </w:pPr>
                        <w:r w:rsidRPr="00046B33">
                          <w:t>Underspend (F</w:t>
                        </w:r>
                        <w:r w:rsidRPr="005A4F14">
                          <w:rPr>
                            <w:rStyle w:val="AERsubscript"/>
                          </w:rPr>
                          <w:t>t</w:t>
                        </w:r>
                        <w:r w:rsidRPr="005A4F14">
                          <w:t xml:space="preserve"> – A</w:t>
                        </w:r>
                        <w:r w:rsidRPr="005A4F14">
                          <w:rPr>
                            <w:rStyle w:val="AERsubscript"/>
                          </w:rPr>
                          <w:t>t</w:t>
                        </w:r>
                        <w:r w:rsidRPr="005A4F14">
                          <w:t xml:space="preserve"> = U</w:t>
                        </w:r>
                        <w:r w:rsidRPr="005A4F14">
                          <w:rPr>
                            <w:rStyle w:val="AERsubscript"/>
                          </w:rPr>
                          <w:t>t</w:t>
                        </w:r>
                        <w:r w:rsidRPr="005A4F14">
                          <w:t>)</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464"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 p.a.</w:t>
                        </w:r>
                      </w:p>
                    </w:tc>
                  </w:tr>
                  <w:tr w:rsidR="003434F8" w:rsidRPr="00FC3838" w:rsidTr="00EF33EF">
                    <w:tc>
                      <w:tcPr>
                        <w:cnfStyle w:val="001000000000" w:firstRow="0" w:lastRow="0" w:firstColumn="1" w:lastColumn="0" w:oddVBand="0" w:evenVBand="0" w:oddHBand="0" w:evenHBand="0" w:firstRowFirstColumn="0" w:firstRowLastColumn="0" w:lastRowFirstColumn="0" w:lastRowLastColumn="0"/>
                        <w:tcW w:w="1861" w:type="pct"/>
                      </w:tcPr>
                      <w:p w:rsidR="003434F8" w:rsidRPr="005A4F14" w:rsidRDefault="003434F8" w:rsidP="00EF33EF">
                        <w:pPr>
                          <w:pStyle w:val="AERtabletextleft"/>
                        </w:pPr>
                        <w:r w:rsidRPr="00046B33">
                          <w:t>Incremental efficiency gain (I</w:t>
                        </w:r>
                        <w:r w:rsidRPr="005A4F14">
                          <w:rPr>
                            <w:rStyle w:val="AERsubscript"/>
                          </w:rPr>
                          <w:t>t</w:t>
                        </w:r>
                        <w:r w:rsidRPr="005A4F14">
                          <w:t xml:space="preserve"> = U</w:t>
                        </w:r>
                        <w:r w:rsidRPr="005A4F14">
                          <w:rPr>
                            <w:rStyle w:val="AERsubscript"/>
                          </w:rPr>
                          <w:t>t</w:t>
                        </w:r>
                        <w:r w:rsidRPr="005A4F14">
                          <w:t xml:space="preserve"> – U</w:t>
                        </w:r>
                        <w:r w:rsidRPr="005A4F14">
                          <w:rPr>
                            <w:rStyle w:val="AERsubscript"/>
                          </w:rPr>
                          <w:t>t–1</w:t>
                        </w:r>
                        <w:r w:rsidRPr="005A4F14">
                          <w:t>)</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3434F8" w:rsidRPr="00FC3838" w:rsidTr="00E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434F8" w:rsidRPr="00046B33" w:rsidRDefault="003434F8" w:rsidP="00EF33EF">
                        <w:pPr>
                          <w:pStyle w:val="AERtabletextleft"/>
                        </w:pP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r>
                  <w:tr w:rsidR="003434F8" w:rsidRPr="00FC3838" w:rsidTr="00EF33EF">
                    <w:tc>
                      <w:tcPr>
                        <w:cnfStyle w:val="001000000000" w:firstRow="0" w:lastRow="0" w:firstColumn="1" w:lastColumn="0" w:oddVBand="0" w:evenVBand="0" w:oddHBand="0" w:evenHBand="0" w:firstRowFirstColumn="0" w:firstRowLastColumn="0" w:lastRowFirstColumn="0" w:lastRowLastColumn="0"/>
                        <w:tcW w:w="1861" w:type="pct"/>
                      </w:tcPr>
                      <w:p w:rsidR="003434F8" w:rsidRPr="005A4F14" w:rsidRDefault="003434F8" w:rsidP="00EF33EF">
                        <w:pPr>
                          <w:pStyle w:val="AERtabletextleft"/>
                        </w:pPr>
                        <w:r w:rsidRPr="00046B33">
                          <w:t>Carryover (I</w:t>
                        </w:r>
                        <w:r w:rsidRPr="005A4F14">
                          <w:rPr>
                            <w:rStyle w:val="AERsubscript"/>
                          </w:rPr>
                          <w:t>1</w:t>
                        </w:r>
                        <w:r w:rsidRPr="005A4F14">
                          <w:t>)</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r>
                  <w:tr w:rsidR="003434F8" w:rsidRPr="00FC3838" w:rsidTr="00E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434F8" w:rsidRPr="005A4F14" w:rsidRDefault="003434F8" w:rsidP="00EF33EF">
                        <w:pPr>
                          <w:pStyle w:val="AERtabletextleft"/>
                        </w:pPr>
                        <w:r w:rsidRPr="00046B33">
                          <w:t>Carryover (I</w:t>
                        </w:r>
                        <w:r w:rsidRPr="005A4F14">
                          <w:rPr>
                            <w:rStyle w:val="AERsubscript"/>
                          </w:rPr>
                          <w:t>2</w:t>
                        </w:r>
                        <w:r w:rsidRPr="005A4F14">
                          <w:t>)</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r>
                  <w:tr w:rsidR="003434F8" w:rsidRPr="00FC3838" w:rsidTr="00EF33EF">
                    <w:tc>
                      <w:tcPr>
                        <w:cnfStyle w:val="001000000000" w:firstRow="0" w:lastRow="0" w:firstColumn="1" w:lastColumn="0" w:oddVBand="0" w:evenVBand="0" w:oddHBand="0" w:evenHBand="0" w:firstRowFirstColumn="0" w:firstRowLastColumn="0" w:lastRowFirstColumn="0" w:lastRowLastColumn="0"/>
                        <w:tcW w:w="1861" w:type="pct"/>
                      </w:tcPr>
                      <w:p w:rsidR="003434F8" w:rsidRPr="005A4F14" w:rsidRDefault="003434F8" w:rsidP="00EF33EF">
                        <w:pPr>
                          <w:pStyle w:val="AERtabletextleft"/>
                        </w:pPr>
                        <w:r w:rsidRPr="00046B33">
                          <w:t>Carryover (I</w:t>
                        </w:r>
                        <w:r w:rsidRPr="005A4F14">
                          <w:rPr>
                            <w:rStyle w:val="AERsubscript"/>
                          </w:rPr>
                          <w:t>3</w:t>
                        </w:r>
                        <w:r w:rsidRPr="005A4F14">
                          <w:t>)</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464"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r>
                  <w:tr w:rsidR="003434F8" w:rsidRPr="00FC3838" w:rsidTr="00E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434F8" w:rsidRPr="005A4F14" w:rsidRDefault="003434F8" w:rsidP="00EF33EF">
                        <w:pPr>
                          <w:pStyle w:val="AERtabletextleft"/>
                        </w:pPr>
                        <w:r w:rsidRPr="00046B33">
                          <w:t>Carryover (I</w:t>
                        </w:r>
                        <w:r w:rsidRPr="005A4F14">
                          <w:rPr>
                            <w:rStyle w:val="AERsubscript"/>
                          </w:rPr>
                          <w:t>4</w:t>
                        </w:r>
                        <w:r w:rsidRPr="005A4F14">
                          <w:t>)</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c>
                      <w:tcPr>
                        <w:tcW w:w="464"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p>
                    </w:tc>
                  </w:tr>
                  <w:tr w:rsidR="003434F8" w:rsidRPr="00FC3838" w:rsidTr="00EF33EF">
                    <w:tc>
                      <w:tcPr>
                        <w:cnfStyle w:val="001000000000" w:firstRow="0" w:lastRow="0" w:firstColumn="1" w:lastColumn="0" w:oddVBand="0" w:evenVBand="0" w:oddHBand="0" w:evenHBand="0" w:firstRowFirstColumn="0" w:firstRowLastColumn="0" w:lastRowFirstColumn="0" w:lastRowLastColumn="0"/>
                        <w:tcW w:w="1861" w:type="pct"/>
                      </w:tcPr>
                      <w:p w:rsidR="003434F8" w:rsidRPr="005A4F14" w:rsidRDefault="003434F8" w:rsidP="00EF33EF">
                        <w:pPr>
                          <w:pStyle w:val="AERtabletextleft"/>
                        </w:pPr>
                        <w:r w:rsidRPr="00046B33">
                          <w:t>Carryover (I</w:t>
                        </w:r>
                        <w:r w:rsidRPr="005A4F14">
                          <w:rPr>
                            <w:rStyle w:val="AERsubscript"/>
                          </w:rPr>
                          <w:t>5</w:t>
                        </w:r>
                        <w:r w:rsidRPr="005A4F14">
                          <w:t>)</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p>
                    </w:tc>
                  </w:tr>
                  <w:tr w:rsidR="003434F8" w:rsidRPr="00FC3838" w:rsidTr="00E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434F8" w:rsidRPr="00C54C70" w:rsidRDefault="003434F8" w:rsidP="00EF33EF">
                        <w:pPr>
                          <w:pStyle w:val="AERtabletextleft"/>
                          <w:rPr>
                            <w:rStyle w:val="AERtextbold"/>
                          </w:rPr>
                        </w:pPr>
                        <w:r w:rsidRPr="00C54C70">
                          <w:rPr>
                            <w:rStyle w:val="AERtextbold"/>
                          </w:rPr>
                          <w:t>Carryover amount (Ct)</w:t>
                        </w:r>
                      </w:p>
                    </w:tc>
                    <w:tc>
                      <w:tcPr>
                        <w:tcW w:w="280" w:type="pct"/>
                      </w:tcPr>
                      <w:p w:rsidR="003434F8" w:rsidRPr="00C54C70" w:rsidRDefault="003434F8" w:rsidP="00EF33E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3434F8" w:rsidRPr="00C54C70" w:rsidRDefault="003434F8" w:rsidP="00EF33E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3434F8" w:rsidRPr="00C54C70" w:rsidRDefault="003434F8" w:rsidP="00EF33E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3434F8" w:rsidRPr="00C54C70" w:rsidRDefault="003434F8" w:rsidP="00EF33E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80" w:type="pct"/>
                      </w:tcPr>
                      <w:p w:rsidR="003434F8" w:rsidRPr="00C54C70" w:rsidRDefault="003434F8" w:rsidP="00EF33E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255" w:type="pct"/>
                      </w:tcPr>
                      <w:p w:rsidR="003434F8" w:rsidRPr="00C54C70" w:rsidRDefault="003434F8" w:rsidP="00EF33E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3434F8" w:rsidRPr="00C54C70" w:rsidRDefault="003434F8" w:rsidP="00EF33E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3434F8" w:rsidRPr="00C54C70" w:rsidRDefault="003434F8" w:rsidP="00EF33E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3434F8" w:rsidRPr="00C54C70" w:rsidRDefault="003434F8" w:rsidP="00EF33E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5</w:t>
                        </w:r>
                      </w:p>
                    </w:tc>
                    <w:tc>
                      <w:tcPr>
                        <w:tcW w:w="255" w:type="pct"/>
                      </w:tcPr>
                      <w:p w:rsidR="003434F8" w:rsidRPr="00C54C70" w:rsidRDefault="003434F8" w:rsidP="00EF33E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w:t>
                        </w:r>
                      </w:p>
                    </w:tc>
                    <w:tc>
                      <w:tcPr>
                        <w:tcW w:w="464" w:type="pct"/>
                      </w:tcPr>
                      <w:p w:rsidR="003434F8" w:rsidRPr="00C54C70" w:rsidRDefault="003434F8" w:rsidP="00EF33EF">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C54C70">
                          <w:rPr>
                            <w:rStyle w:val="AERtextbold"/>
                          </w:rPr>
                          <w:t>0 p.a.</w:t>
                        </w:r>
                      </w:p>
                    </w:tc>
                  </w:tr>
                  <w:tr w:rsidR="003434F8" w:rsidRPr="00FC3838" w:rsidTr="00EF33EF">
                    <w:tc>
                      <w:tcPr>
                        <w:cnfStyle w:val="001000000000" w:firstRow="0" w:lastRow="0" w:firstColumn="1" w:lastColumn="0" w:oddVBand="0" w:evenVBand="0" w:oddHBand="0" w:evenHBand="0" w:firstRowFirstColumn="0" w:firstRowLastColumn="0" w:lastRowFirstColumn="0" w:lastRowLastColumn="0"/>
                        <w:tcW w:w="1861" w:type="pct"/>
                      </w:tcPr>
                      <w:p w:rsidR="003434F8" w:rsidRPr="005A4F14" w:rsidRDefault="003434F8" w:rsidP="00EF33EF">
                        <w:pPr>
                          <w:pStyle w:val="AERtabletextleft"/>
                        </w:pPr>
                        <w:r w:rsidRPr="00046B33">
                          <w:t xml:space="preserve">Benefits to </w:t>
                        </w:r>
                        <w:r>
                          <w:t>distributor</w:t>
                        </w:r>
                        <w:r w:rsidRPr="00046B33">
                          <w:t xml:space="preserve"> (F</w:t>
                        </w:r>
                        <w:r w:rsidRPr="005A4F14">
                          <w:rPr>
                            <w:rStyle w:val="AERsubscript"/>
                          </w:rPr>
                          <w:t xml:space="preserve">t </w:t>
                        </w:r>
                        <w:r w:rsidRPr="005A4F14">
                          <w:t>– A</w:t>
                        </w:r>
                        <w:r w:rsidRPr="005A4F14">
                          <w:rPr>
                            <w:rStyle w:val="AERsubscript"/>
                          </w:rPr>
                          <w:t>t</w:t>
                        </w:r>
                        <w:r w:rsidRPr="005A4F14">
                          <w:t xml:space="preserve"> +C</w:t>
                        </w:r>
                        <w:r w:rsidRPr="005A4F14">
                          <w:rPr>
                            <w:rStyle w:val="AERsubscript"/>
                          </w:rPr>
                          <w:t>t</w:t>
                        </w:r>
                        <w:r w:rsidRPr="005A4F14">
                          <w:t>)</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 p.a.</w:t>
                        </w:r>
                      </w:p>
                    </w:tc>
                  </w:tr>
                  <w:tr w:rsidR="003434F8" w:rsidRPr="00FC3838" w:rsidTr="00E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434F8" w:rsidRPr="005A4F14" w:rsidRDefault="003434F8" w:rsidP="00EF33EF">
                        <w:pPr>
                          <w:pStyle w:val="AERtabletextleft"/>
                        </w:pPr>
                        <w:r w:rsidRPr="00046B33">
                          <w:t>Benefits to consumers (F</w:t>
                        </w:r>
                        <w:r w:rsidRPr="005A4F14">
                          <w:rPr>
                            <w:rStyle w:val="AERsubscript"/>
                          </w:rPr>
                          <w:t>1</w:t>
                        </w:r>
                        <w:r w:rsidRPr="005A4F14">
                          <w:t xml:space="preserve"> – (F</w:t>
                        </w:r>
                        <w:r w:rsidRPr="005A4F14">
                          <w:rPr>
                            <w:rStyle w:val="AERsubscript"/>
                          </w:rPr>
                          <w:t>t</w:t>
                        </w:r>
                        <w:r w:rsidRPr="005A4F14">
                          <w:t xml:space="preserve"> +C</w:t>
                        </w:r>
                        <w:r w:rsidRPr="005A4F14">
                          <w:rPr>
                            <w:rStyle w:val="AERsubscript"/>
                          </w:rPr>
                          <w:t>t</w:t>
                        </w:r>
                        <w:r w:rsidRPr="005A4F14">
                          <w:t>))</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5</w:t>
                        </w:r>
                      </w:p>
                    </w:tc>
                    <w:tc>
                      <w:tcPr>
                        <w:tcW w:w="464"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5 p.a.</w:t>
                        </w:r>
                      </w:p>
                    </w:tc>
                  </w:tr>
                  <w:tr w:rsidR="003434F8" w:rsidRPr="00FC3838" w:rsidTr="00EF33EF">
                    <w:tc>
                      <w:tcPr>
                        <w:cnfStyle w:val="001000000000" w:firstRow="0" w:lastRow="0" w:firstColumn="1" w:lastColumn="0" w:oddVBand="0" w:evenVBand="0" w:oddHBand="0" w:evenHBand="0" w:firstRowFirstColumn="0" w:firstRowLastColumn="0" w:lastRowFirstColumn="0" w:lastRowLastColumn="0"/>
                        <w:tcW w:w="1861" w:type="pct"/>
                      </w:tcPr>
                      <w:p w:rsidR="003434F8" w:rsidRPr="00046B33" w:rsidRDefault="003434F8" w:rsidP="00EF33EF">
                        <w:pPr>
                          <w:pStyle w:val="AERtabletextleft"/>
                        </w:pPr>
                        <w:r w:rsidRPr="00046B33">
                          <w:t xml:space="preserve">Discounted benefits to </w:t>
                        </w:r>
                        <w:r>
                          <w:t>distributor</w:t>
                        </w:r>
                        <w:r w:rsidRPr="00046B33">
                          <w:t>**</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5</w:t>
                        </w:r>
                      </w:p>
                    </w:tc>
                    <w:tc>
                      <w:tcPr>
                        <w:tcW w:w="280"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4.7</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4.5</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4.2</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4.0</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3.7</w:t>
                        </w:r>
                      </w:p>
                    </w:tc>
                    <w:tc>
                      <w:tcPr>
                        <w:tcW w:w="255"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0</w:t>
                        </w:r>
                      </w:p>
                    </w:tc>
                    <w:tc>
                      <w:tcPr>
                        <w:tcW w:w="464" w:type="pct"/>
                      </w:tcPr>
                      <w:p w:rsidR="003434F8" w:rsidRPr="00046B33" w:rsidRDefault="003434F8" w:rsidP="00EF33EF">
                        <w:pPr>
                          <w:pStyle w:val="AERtabletextright"/>
                          <w:cnfStyle w:val="000000000000" w:firstRow="0" w:lastRow="0" w:firstColumn="0" w:lastColumn="0" w:oddVBand="0" w:evenVBand="0" w:oddHBand="0" w:evenHBand="0" w:firstRowFirstColumn="0" w:firstRowLastColumn="0" w:lastRowFirstColumn="0" w:lastRowLastColumn="0"/>
                        </w:pPr>
                        <w:r w:rsidRPr="00046B33">
                          <w:t xml:space="preserve">0 </w:t>
                        </w:r>
                      </w:p>
                    </w:tc>
                  </w:tr>
                  <w:tr w:rsidR="003434F8" w:rsidRPr="00FC3838" w:rsidTr="00EF33E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pct"/>
                      </w:tcPr>
                      <w:p w:rsidR="003434F8" w:rsidRPr="00046B33" w:rsidRDefault="003434F8" w:rsidP="00EF33EF">
                        <w:pPr>
                          <w:pStyle w:val="AERtabletextleft"/>
                        </w:pPr>
                        <w:r w:rsidRPr="00046B33">
                          <w:t>Discounted benefits to consumers**</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80"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0</w:t>
                        </w:r>
                      </w:p>
                    </w:tc>
                    <w:tc>
                      <w:tcPr>
                        <w:tcW w:w="255"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3.5</w:t>
                        </w:r>
                      </w:p>
                    </w:tc>
                    <w:tc>
                      <w:tcPr>
                        <w:tcW w:w="464" w:type="pct"/>
                      </w:tcPr>
                      <w:p w:rsidR="003434F8" w:rsidRPr="00046B33" w:rsidRDefault="003434F8" w:rsidP="00EF33EF">
                        <w:pPr>
                          <w:pStyle w:val="AERtabletextright"/>
                          <w:cnfStyle w:val="000000010000" w:firstRow="0" w:lastRow="0" w:firstColumn="0" w:lastColumn="0" w:oddVBand="0" w:evenVBand="0" w:oddHBand="0" w:evenHBand="1" w:firstRowFirstColumn="0" w:firstRowLastColumn="0" w:lastRowFirstColumn="0" w:lastRowLastColumn="0"/>
                        </w:pPr>
                        <w:r w:rsidRPr="00046B33">
                          <w:t>58.8***</w:t>
                        </w:r>
                      </w:p>
                    </w:tc>
                  </w:tr>
                </w:tbl>
                <w:p w:rsidR="003434F8" w:rsidRPr="00046B33" w:rsidRDefault="003434F8" w:rsidP="00396A6A">
                  <w:pPr>
                    <w:pStyle w:val="AERtablesource"/>
                  </w:pPr>
                  <w:r w:rsidRPr="00046B33">
                    <w:t>Notes:</w:t>
                  </w:r>
                  <w:r w:rsidRPr="00046B33">
                    <w:tab/>
                    <w:t>* At the time of forecasting opex for the second regulatory period we do</w:t>
                  </w:r>
                  <w:r>
                    <w:t xml:space="preserve"> not</w:t>
                  </w:r>
                  <w:r w:rsidRPr="00046B33">
                    <w:t xml:space="preserve"> know actual opex for year 5. Consequently this is not reflected in forecast opex for the second period. That means an underspend in year 6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046B33">
                    <w:rPr>
                      <w:rStyle w:val="AERsubscript"/>
                    </w:rPr>
                    <w:t>6</w:t>
                  </w:r>
                  <w:r w:rsidRPr="00046B33">
                    <w:t xml:space="preserve"> = U</w:t>
                  </w:r>
                  <w:r w:rsidRPr="00046B33">
                    <w:rPr>
                      <w:rStyle w:val="AERsubscript"/>
                    </w:rPr>
                    <w:t>6</w:t>
                  </w:r>
                  <w:r w:rsidRPr="00046B33">
                    <w:t xml:space="preserve"> – (U</w:t>
                  </w:r>
                  <w:r w:rsidRPr="00046B33">
                    <w:rPr>
                      <w:rStyle w:val="AERsubscript"/>
                    </w:rPr>
                    <w:t>5</w:t>
                  </w:r>
                  <w:r w:rsidRPr="00046B33">
                    <w:t xml:space="preserve"> – U</w:t>
                  </w:r>
                  <w:r w:rsidRPr="00046B33">
                    <w:rPr>
                      <w:rStyle w:val="AERsubscript"/>
                    </w:rPr>
                    <w:t>4</w:t>
                  </w:r>
                  <w:r w:rsidRPr="00046B33">
                    <w:t>).</w:t>
                  </w:r>
                </w:p>
                <w:p w:rsidR="003434F8" w:rsidRPr="00046B33" w:rsidRDefault="003434F8" w:rsidP="00396A6A">
                  <w:pPr>
                    <w:pStyle w:val="AERtablesource"/>
                  </w:pPr>
                  <w:r w:rsidRPr="00046B33">
                    <w:tab/>
                    <w:t>** Assumes a real discount rate of 6 per cent.</w:t>
                  </w:r>
                </w:p>
                <w:p w:rsidR="003434F8" w:rsidRPr="00046B33" w:rsidRDefault="003434F8" w:rsidP="00396A6A">
                  <w:pPr>
                    <w:pStyle w:val="AERtablesource"/>
                  </w:pPr>
                  <w:r w:rsidRPr="00046B33">
                    <w:tab/>
                    <w:t xml:space="preserve">*** As a result of the efficiency improvement, forecast opex is $5 million p.a. lower in nominal terms. The estimate of $58.7m is the net present value of $5 million p.a. delivered to consumers annually from year 11 onwards. </w:t>
                  </w:r>
                </w:p>
                <w:p w:rsidR="003434F8" w:rsidRDefault="003434F8" w:rsidP="00396A6A">
                  <w:pPr>
                    <w:pStyle w:val="AERbodytext"/>
                    <w:numPr>
                      <w:ilvl w:val="0"/>
                      <w:numId w:val="0"/>
                    </w:numPr>
                  </w:pPr>
                  <w:r>
                    <w:t>Table 7 sums the discounted benefits to distributors and consumers from the bottom two rows of Table 6. As illustrated below, the benefits of the efficiency improvement are shared approximately 30:70 in perpetuity between the distributor and consumers.</w:t>
                  </w:r>
                </w:p>
                <w:p w:rsidR="003434F8" w:rsidRPr="00AE0906" w:rsidRDefault="003434F8" w:rsidP="00396A6A">
                  <w:pPr>
                    <w:pStyle w:val="Caption"/>
                  </w:pPr>
                  <w:bookmarkStart w:id="163" w:name="_Ref372276950"/>
                  <w:r w:rsidRPr="000F2EE3">
                    <w:t xml:space="preserve">Table </w:t>
                  </w:r>
                  <w:bookmarkEnd w:id="163"/>
                  <w:r>
                    <w:t>7:</w:t>
                  </w:r>
                  <w:r w:rsidRPr="00AE0906">
                    <w:t xml:space="preserve"> Sharing of efficiency gains</w:t>
                  </w:r>
                  <w:r>
                    <w:t>—</w:t>
                  </w:r>
                  <w:r w:rsidRPr="00AE0906">
                    <w:t>Year 4 forecasting approach, with EBSS</w:t>
                  </w:r>
                </w:p>
                <w:tbl>
                  <w:tblPr>
                    <w:tblStyle w:val="AERtable-text"/>
                    <w:tblW w:w="0" w:type="auto"/>
                    <w:tblLook w:val="04A0" w:firstRow="1" w:lastRow="0" w:firstColumn="1" w:lastColumn="0" w:noHBand="0" w:noVBand="1"/>
                  </w:tblPr>
                  <w:tblGrid>
                    <w:gridCol w:w="2405"/>
                    <w:gridCol w:w="3530"/>
                    <w:gridCol w:w="2967"/>
                  </w:tblGrid>
                  <w:tr w:rsidR="003434F8" w:rsidTr="00EF33EF">
                    <w:trPr>
                      <w:cnfStyle w:val="100000000000" w:firstRow="1" w:lastRow="0" w:firstColumn="0" w:lastColumn="0" w:oddVBand="0" w:evenVBand="0" w:oddHBand="0" w:evenHBand="0" w:firstRowFirstColumn="0" w:firstRowLastColumn="0" w:lastRowFirstColumn="0" w:lastRowLastColumn="0"/>
                    </w:trPr>
                    <w:tc>
                      <w:tcPr>
                        <w:tcW w:w="2433" w:type="dxa"/>
                      </w:tcPr>
                      <w:p w:rsidR="003434F8" w:rsidRDefault="003434F8" w:rsidP="00EF33EF">
                        <w:pPr>
                          <w:pStyle w:val="AERtabletextright"/>
                        </w:pPr>
                      </w:p>
                    </w:tc>
                    <w:tc>
                      <w:tcPr>
                        <w:tcW w:w="3574" w:type="dxa"/>
                      </w:tcPr>
                      <w:p w:rsidR="003434F8" w:rsidRPr="005A4F14" w:rsidRDefault="003434F8" w:rsidP="00EF33EF">
                        <w:pPr>
                          <w:pStyle w:val="AERtabletextright"/>
                        </w:pPr>
                        <w:r>
                          <w:t>NPV of benefits of efficiency improvement</w:t>
                        </w:r>
                        <w:r w:rsidRPr="005A4F14">
                          <w:rPr>
                            <w:rStyle w:val="FootnoteReference"/>
                          </w:rPr>
                          <w:footnoteRef/>
                        </w:r>
                      </w:p>
                    </w:tc>
                    <w:tc>
                      <w:tcPr>
                        <w:tcW w:w="3004" w:type="dxa"/>
                      </w:tcPr>
                      <w:p w:rsidR="003434F8" w:rsidRPr="005A4F14" w:rsidRDefault="003434F8" w:rsidP="00EF33EF">
                        <w:pPr>
                          <w:pStyle w:val="AERtabletextright"/>
                        </w:pPr>
                        <w:r>
                          <w:t>Percentage of total benefits</w:t>
                        </w:r>
                      </w:p>
                    </w:tc>
                  </w:tr>
                  <w:tr w:rsidR="003434F8" w:rsidTr="00EF33EF">
                    <w:tc>
                      <w:tcPr>
                        <w:tcW w:w="2433" w:type="dxa"/>
                      </w:tcPr>
                      <w:p w:rsidR="003434F8" w:rsidRPr="005A4F14" w:rsidRDefault="003434F8" w:rsidP="00EF33EF">
                        <w:pPr>
                          <w:pStyle w:val="AERtabletextleft"/>
                        </w:pPr>
                        <w:r>
                          <w:t>Benefits to distributor</w:t>
                        </w:r>
                      </w:p>
                    </w:tc>
                    <w:tc>
                      <w:tcPr>
                        <w:tcW w:w="3574" w:type="dxa"/>
                      </w:tcPr>
                      <w:p w:rsidR="003434F8" w:rsidRPr="005A4F14" w:rsidRDefault="003434F8" w:rsidP="00EF33EF">
                        <w:pPr>
                          <w:pStyle w:val="AERtabletextright"/>
                        </w:pPr>
                        <w:r w:rsidRPr="000F2EE3">
                          <w:t>$26.1 million</w:t>
                        </w:r>
                      </w:p>
                    </w:tc>
                    <w:tc>
                      <w:tcPr>
                        <w:tcW w:w="3004" w:type="dxa"/>
                      </w:tcPr>
                      <w:p w:rsidR="003434F8" w:rsidRPr="005A4F14" w:rsidRDefault="003434F8" w:rsidP="00EF33EF">
                        <w:pPr>
                          <w:pStyle w:val="AERtabletextright"/>
                        </w:pPr>
                        <w:r w:rsidRPr="000F2EE3">
                          <w:t>30 per cent</w:t>
                        </w:r>
                      </w:p>
                    </w:tc>
                  </w:tr>
                  <w:tr w:rsidR="003434F8" w:rsidTr="00EF33EF">
                    <w:trPr>
                      <w:cnfStyle w:val="000000010000" w:firstRow="0" w:lastRow="0" w:firstColumn="0" w:lastColumn="0" w:oddVBand="0" w:evenVBand="0" w:oddHBand="0" w:evenHBand="1" w:firstRowFirstColumn="0" w:firstRowLastColumn="0" w:lastRowFirstColumn="0" w:lastRowLastColumn="0"/>
                    </w:trPr>
                    <w:tc>
                      <w:tcPr>
                        <w:tcW w:w="2433" w:type="dxa"/>
                      </w:tcPr>
                      <w:p w:rsidR="003434F8" w:rsidRPr="005A4F14" w:rsidRDefault="003434F8" w:rsidP="00EF33EF">
                        <w:pPr>
                          <w:pStyle w:val="AERtabletextleft"/>
                        </w:pPr>
                        <w:r>
                          <w:t>Benefits to consumers</w:t>
                        </w:r>
                      </w:p>
                    </w:tc>
                    <w:tc>
                      <w:tcPr>
                        <w:tcW w:w="3574" w:type="dxa"/>
                      </w:tcPr>
                      <w:p w:rsidR="003434F8" w:rsidRPr="005A4F14" w:rsidRDefault="003434F8" w:rsidP="00EF33EF">
                        <w:pPr>
                          <w:pStyle w:val="AERtabletextright"/>
                        </w:pPr>
                        <w:r w:rsidRPr="000F2EE3">
                          <w:t>$62.3 million</w:t>
                        </w:r>
                      </w:p>
                    </w:tc>
                    <w:tc>
                      <w:tcPr>
                        <w:tcW w:w="3004" w:type="dxa"/>
                      </w:tcPr>
                      <w:p w:rsidR="003434F8" w:rsidRPr="005A4F14" w:rsidRDefault="003434F8" w:rsidP="00EF33EF">
                        <w:pPr>
                          <w:pStyle w:val="AERtabletextright"/>
                        </w:pPr>
                        <w:r w:rsidRPr="000F2EE3">
                          <w:t>70 per cent</w:t>
                        </w:r>
                      </w:p>
                    </w:tc>
                  </w:tr>
                  <w:tr w:rsidR="003434F8" w:rsidTr="00EF33EF">
                    <w:tc>
                      <w:tcPr>
                        <w:tcW w:w="2433" w:type="dxa"/>
                      </w:tcPr>
                      <w:p w:rsidR="003434F8" w:rsidRPr="005A4F14" w:rsidRDefault="003434F8" w:rsidP="00EF33EF">
                        <w:pPr>
                          <w:pStyle w:val="AERtabletextleft"/>
                        </w:pPr>
                        <w:r>
                          <w:t>Total</w:t>
                        </w:r>
                      </w:p>
                    </w:tc>
                    <w:tc>
                      <w:tcPr>
                        <w:tcW w:w="3574" w:type="dxa"/>
                      </w:tcPr>
                      <w:p w:rsidR="003434F8" w:rsidRPr="005A4F14" w:rsidRDefault="003434F8" w:rsidP="00EF33EF">
                        <w:pPr>
                          <w:pStyle w:val="AERtabletextright"/>
                        </w:pPr>
                        <w:r w:rsidRPr="000F2EE3">
                          <w:t xml:space="preserve">$88.3 </w:t>
                        </w:r>
                        <w:r w:rsidRPr="005A4F14">
                          <w:t>million</w:t>
                        </w:r>
                      </w:p>
                    </w:tc>
                    <w:tc>
                      <w:tcPr>
                        <w:tcW w:w="3004" w:type="dxa"/>
                      </w:tcPr>
                      <w:p w:rsidR="003434F8" w:rsidRPr="005A4F14" w:rsidRDefault="003434F8" w:rsidP="00EF33EF">
                        <w:pPr>
                          <w:pStyle w:val="AERtabletextright"/>
                        </w:pPr>
                        <w:r w:rsidRPr="000F2EE3">
                          <w:t>100 per cent</w:t>
                        </w:r>
                      </w:p>
                    </w:tc>
                  </w:tr>
                </w:tbl>
                <w:p w:rsidR="003434F8" w:rsidRDefault="003434F8" w:rsidP="00396A6A"/>
              </w:txbxContent>
            </v:textbox>
            <w10:wrap type="none"/>
            <w10:anchorlock/>
          </v:shape>
        </w:pict>
      </w:r>
    </w:p>
    <w:p w:rsidR="00396A6A" w:rsidRDefault="003D7990" w:rsidP="003D7990">
      <w:r w:rsidRPr="003D7990">
        <w:lastRenderedPageBreak/>
        <w:t>In implementing the EBSS we must also have regard to any incentives distributors may have to capitalise expenditure.</w:t>
      </w:r>
      <w:r w:rsidRPr="00C8798D">
        <w:rPr>
          <w:rStyle w:val="FootnoteReference"/>
        </w:rPr>
        <w:footnoteReference w:id="181"/>
      </w:r>
      <w:r w:rsidRPr="00C8798D">
        <w:t xml:space="preserve"> Where opex incentives are balanced with capex incentives, a distributor does not have an incentive to favour opex over capex, or vice-versa. The CESS is a symmetric capex scheme with a 30 per cent incentive power. This is consistent with the incentive power for opex when we use an unadjusted base year approach in combination with an EBSS. During the subsequent period when the CESS and EBSS are applied, incentives will be relatively balanced, and distributors should not have an incentive to favour opex over capex or vice versa. </w:t>
      </w:r>
      <w:r w:rsidR="006336FA">
        <w:t>We discuss t</w:t>
      </w:r>
      <w:r w:rsidR="00396A6A">
        <w:t>he CESS further in section 3.3.</w:t>
      </w:r>
    </w:p>
    <w:p w:rsidR="00396A6A" w:rsidRDefault="00396A6A" w:rsidP="00396A6A">
      <w:r w:rsidRPr="0071734A">
        <w:t>We must also consider the possible effects of implementing the EBSS</w:t>
      </w:r>
      <w:r w:rsidRPr="002B13F3">
        <w:rPr>
          <w:rStyle w:val="AERtextbold"/>
        </w:rPr>
        <w:t xml:space="preserve"> </w:t>
      </w:r>
      <w:r w:rsidRPr="00474ADF">
        <w:t xml:space="preserve">on incentives for </w:t>
      </w:r>
      <w:r>
        <w:t>non-network alternatives:</w:t>
      </w:r>
      <w:r>
        <w:rPr>
          <w:rStyle w:val="FootnoteReference"/>
        </w:rPr>
        <w:footnoteReference w:id="182"/>
      </w:r>
    </w:p>
    <w:p w:rsidR="00396A6A" w:rsidRDefault="00396A6A" w:rsidP="00396A6A">
      <w:pPr>
        <w:pStyle w:val="AERbulletlistfirststyle"/>
      </w:pPr>
      <w:r>
        <w:t xml:space="preserve">Expenditure on non-network alternatives </w:t>
      </w:r>
      <w:r w:rsidRPr="00D821AB">
        <w:t>g</w:t>
      </w:r>
      <w:r>
        <w:t>enerally takes the form of opex</w:t>
      </w:r>
      <w:r w:rsidRPr="00D821AB">
        <w:t xml:space="preserve"> rather than capex. </w:t>
      </w:r>
      <w:r>
        <w:t>Successful non-network alternatives should result in the distributor spending less on capex than it otherwise would have. Non-network alternatives and demand management incentives are discussed further in section 3.4</w:t>
      </w:r>
    </w:p>
    <w:p w:rsidR="00396A6A" w:rsidRDefault="00396A6A" w:rsidP="00396A6A">
      <w:pPr>
        <w:pStyle w:val="AERbulletlistfirststyle"/>
      </w:pPr>
      <w:r>
        <w:t>When the CESS and EBSS both apply, a distributor has an incentive to implement a non-network alternative if the increase in opex is less than the corresponding decrease in capex. In this way the distributor will receive a net reward for implementing the non-network alternative.</w:t>
      </w:r>
      <w:r>
        <w:rPr>
          <w:rStyle w:val="FootnoteReference"/>
        </w:rPr>
        <w:footnoteReference w:id="183"/>
      </w:r>
      <w:r>
        <w:t xml:space="preserve"> This is because the rewards and penalties under the EBSS and CESS are balanced and symmetric. In the past where the EBSS operated without a CESS, we excluded expenditure on non-network alternatives when calculating rewards and penalties under the scheme. This was because distributors may otherwise receive a penalty for increasing opex without a corresponding reward for decreasing capex.</w:t>
      </w:r>
      <w:r>
        <w:rPr>
          <w:rStyle w:val="FootnoteReference"/>
        </w:rPr>
        <w:footnoteReference w:id="184"/>
      </w:r>
      <w:r w:rsidRPr="0099068E">
        <w:t xml:space="preserve"> </w:t>
      </w:r>
    </w:p>
    <w:p w:rsidR="00E666C2" w:rsidRPr="003D7990" w:rsidRDefault="00E666C2" w:rsidP="003D7990">
      <w:pPr>
        <w:pStyle w:val="Heading2"/>
      </w:pPr>
      <w:bookmarkStart w:id="164" w:name="_Toc388976539"/>
      <w:r w:rsidRPr="003D7990">
        <w:t>Capital expenditure sharing scheme</w:t>
      </w:r>
      <w:bookmarkEnd w:id="164"/>
    </w:p>
    <w:p w:rsidR="00E666C2" w:rsidRDefault="00E666C2" w:rsidP="00A825FE">
      <w:pPr>
        <w:pStyle w:val="AERbodytext"/>
      </w:pPr>
      <w:r>
        <w:t xml:space="preserve">The capital expenditure sharing scheme (CESS) provides financial rewards for distributors whose capex becomes more efficient and financial penalties for those that become less efficient. Consumers benefit from improved efficiency through lower regulated prices. This </w:t>
      </w:r>
      <w:r w:rsidR="00084259">
        <w:t xml:space="preserve">section </w:t>
      </w:r>
      <w:r>
        <w:t xml:space="preserve">sets out our preliminary position and reasons for how we intend to apply the CESS to </w:t>
      </w:r>
      <w:r w:rsidR="00850953">
        <w:t xml:space="preserve">Victorian </w:t>
      </w:r>
      <w:r>
        <w:t>distributors in the next regulatory control period.</w:t>
      </w:r>
    </w:p>
    <w:p w:rsidR="00E666C2" w:rsidRDefault="00E666C2" w:rsidP="00A825FE">
      <w:pPr>
        <w:pStyle w:val="AERbodytext"/>
      </w:pPr>
      <w:r>
        <w:t>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distributors and network users. </w:t>
      </w:r>
    </w:p>
    <w:p w:rsidR="00E666C2" w:rsidRDefault="00E666C2" w:rsidP="00A825FE">
      <w:pPr>
        <w:pStyle w:val="AERbodytext"/>
      </w:pPr>
      <w:r>
        <w:t xml:space="preserve">The CESS works as follows: </w:t>
      </w:r>
    </w:p>
    <w:p w:rsidR="00E666C2" w:rsidRDefault="00E666C2" w:rsidP="00E666C2">
      <w:pPr>
        <w:pStyle w:val="AERbulletlistfirststyle"/>
      </w:pPr>
      <w:r>
        <w:t xml:space="preserve">We calculate the cumulative underspend or overspend for the current regulatory control period in net present value terms. </w:t>
      </w:r>
    </w:p>
    <w:p w:rsidR="00E666C2" w:rsidRDefault="00E666C2" w:rsidP="00E666C2">
      <w:pPr>
        <w:pStyle w:val="AERbulletlistfirststyle"/>
      </w:pPr>
      <w:r>
        <w:t>We apply the sharing ratio of 30 per cent to the cumulative underspend or overspend to work out what the distributor's share of the underspend or overspend should be.</w:t>
      </w:r>
    </w:p>
    <w:p w:rsidR="00E666C2" w:rsidRDefault="00E666C2" w:rsidP="00E666C2">
      <w:pPr>
        <w:pStyle w:val="AERbulletlistfirststyle"/>
      </w:pPr>
      <w:r>
        <w:lastRenderedPageBreak/>
        <w:t>We calculate the CESS payments taking into account the financing benefit or cost to the distributor of the underspends or overspends.</w:t>
      </w:r>
      <w:r>
        <w:rPr>
          <w:rStyle w:val="FootnoteReference"/>
        </w:rPr>
        <w:footnoteReference w:id="185"/>
      </w:r>
      <w:r>
        <w:t xml:space="preserve"> We can also make further adjustments to account for deferral of capex and ex post exclusions of capex from the RAB. </w:t>
      </w:r>
    </w:p>
    <w:p w:rsidR="00E666C2" w:rsidRDefault="00E666C2" w:rsidP="00E666C2">
      <w:pPr>
        <w:pStyle w:val="AERbulletlistfirststyle"/>
      </w:pPr>
      <w:r>
        <w:t>The CESS payments will be added or subtracted to the distributor's regulated revenue as a separate building block in the next regulatory control period.</w:t>
      </w:r>
    </w:p>
    <w:p w:rsidR="00E666C2" w:rsidRDefault="00E666C2" w:rsidP="00A825FE">
      <w:pPr>
        <w:pStyle w:val="AERbodytext"/>
      </w:pPr>
      <w:r>
        <w:t>Under the CESS a distributor retains 30 per cent of an underspend or overspend, while consumers retain 70 per cent of the underspend o</w:t>
      </w:r>
      <w:r w:rsidR="00906B4A">
        <w:t>r</w:t>
      </w:r>
      <w:r>
        <w:t xml:space="preserve"> overspend. This means that for a one dollar saving in capex the distributor keeps 30 cents of the benefit while consumers keep 70 cents of the benefit. </w:t>
      </w:r>
    </w:p>
    <w:p w:rsidR="00E666C2" w:rsidRPr="00084259" w:rsidRDefault="00E666C2" w:rsidP="00084259">
      <w:pPr>
        <w:pStyle w:val="Heading3"/>
      </w:pPr>
      <w:bookmarkStart w:id="165" w:name="_Toc373482602"/>
      <w:bookmarkStart w:id="166" w:name="_Toc373482784"/>
      <w:bookmarkStart w:id="167" w:name="_Toc373861323"/>
      <w:bookmarkStart w:id="168" w:name="_Toc374085369"/>
      <w:bookmarkStart w:id="169" w:name="_Toc387418386"/>
      <w:bookmarkStart w:id="170" w:name="_Toc388976540"/>
      <w:r w:rsidRPr="00084259">
        <w:t>AER's preliminary position</w:t>
      </w:r>
      <w:bookmarkEnd w:id="165"/>
      <w:bookmarkEnd w:id="166"/>
      <w:bookmarkEnd w:id="167"/>
      <w:bookmarkEnd w:id="168"/>
      <w:bookmarkEnd w:id="169"/>
      <w:bookmarkEnd w:id="170"/>
    </w:p>
    <w:p w:rsidR="00E666C2" w:rsidRPr="001E4152" w:rsidRDefault="00E666C2" w:rsidP="00A825FE">
      <w:pPr>
        <w:pStyle w:val="AERbodytext"/>
      </w:pPr>
      <w:r>
        <w:t>Our preliminary position is to apply the CESS, as set out in our capex incentives guideline,</w:t>
      </w:r>
      <w:r w:rsidRPr="0053606A">
        <w:rPr>
          <w:rStyle w:val="AERsuperscript"/>
        </w:rPr>
        <w:footnoteReference w:id="186"/>
      </w:r>
      <w:r>
        <w:t xml:space="preserve"> to </w:t>
      </w:r>
      <w:r w:rsidR="004F5C72">
        <w:t xml:space="preserve">the </w:t>
      </w:r>
      <w:r w:rsidR="00850953">
        <w:t xml:space="preserve">Victorian </w:t>
      </w:r>
      <w:r w:rsidR="004F5C72">
        <w:t>distributors</w:t>
      </w:r>
      <w:r>
        <w:t xml:space="preserve"> in the next regulatory control period. </w:t>
      </w:r>
    </w:p>
    <w:p w:rsidR="00E666C2" w:rsidRPr="00084259" w:rsidRDefault="00E666C2" w:rsidP="00084259">
      <w:pPr>
        <w:pStyle w:val="Heading3"/>
      </w:pPr>
      <w:bookmarkStart w:id="171" w:name="_Toc373482603"/>
      <w:bookmarkStart w:id="172" w:name="_Toc373482785"/>
      <w:bookmarkStart w:id="173" w:name="_Toc373861324"/>
      <w:bookmarkStart w:id="174" w:name="_Toc374085370"/>
      <w:bookmarkStart w:id="175" w:name="_Toc387418387"/>
      <w:bookmarkStart w:id="176" w:name="_Toc388976541"/>
      <w:r w:rsidRPr="00084259">
        <w:t>AER's assessment approach</w:t>
      </w:r>
      <w:bookmarkEnd w:id="171"/>
      <w:bookmarkEnd w:id="172"/>
      <w:bookmarkEnd w:id="173"/>
      <w:bookmarkEnd w:id="174"/>
      <w:bookmarkEnd w:id="175"/>
      <w:bookmarkEnd w:id="176"/>
    </w:p>
    <w:p w:rsidR="00E666C2" w:rsidRDefault="00E666C2" w:rsidP="00A825FE">
      <w:pPr>
        <w:pStyle w:val="AERbodytext"/>
        <w:rPr>
          <w:rStyle w:val="AERbody"/>
        </w:rPr>
      </w:pPr>
      <w:r>
        <w:rPr>
          <w:rStyle w:val="AERbody"/>
        </w:rPr>
        <w:t>In deciding whether to apply a CESS to a distributor, and the nature and details of any CESS to apply to a distributor,</w:t>
      </w:r>
      <w:r>
        <w:t xml:space="preserve"> we </w:t>
      </w:r>
      <w:r>
        <w:rPr>
          <w:rStyle w:val="AERbody"/>
        </w:rPr>
        <w:t>must:</w:t>
      </w:r>
      <w:r w:rsidRPr="00411022">
        <w:rPr>
          <w:rStyle w:val="FootnoteReference"/>
        </w:rPr>
        <w:footnoteReference w:id="187"/>
      </w:r>
    </w:p>
    <w:p w:rsidR="00E666C2" w:rsidRPr="00333133" w:rsidRDefault="00E666C2" w:rsidP="00E666C2">
      <w:pPr>
        <w:pStyle w:val="AERbulletlistfirststyle"/>
      </w:pPr>
      <w:r>
        <w:rPr>
          <w:rStyle w:val="AERbody"/>
        </w:rPr>
        <w:t xml:space="preserve">make that decision in a manner </w:t>
      </w:r>
      <w:r w:rsidRPr="00333133">
        <w:t xml:space="preserve">that contributes to the </w:t>
      </w:r>
      <w:r>
        <w:t xml:space="preserve">capex </w:t>
      </w:r>
      <w:r w:rsidRPr="00333133">
        <w:t>incentive objective</w:t>
      </w:r>
      <w:r>
        <w:rPr>
          <w:rStyle w:val="FootnoteReference"/>
        </w:rPr>
        <w:footnoteReference w:id="188"/>
      </w:r>
    </w:p>
    <w:p w:rsidR="00E666C2" w:rsidRDefault="00E666C2" w:rsidP="00E666C2">
      <w:pPr>
        <w:pStyle w:val="AERbulletlistfirststyle"/>
      </w:pPr>
      <w:r>
        <w:t>consider</w:t>
      </w:r>
      <w:r w:rsidRPr="005D46AE">
        <w:t xml:space="preserve"> the CESS principles,</w:t>
      </w:r>
      <w:r>
        <w:rPr>
          <w:rStyle w:val="FootnoteReference"/>
        </w:rPr>
        <w:footnoteReference w:id="189"/>
      </w:r>
      <w:r w:rsidRPr="005D46AE">
        <w:t xml:space="preserve"> </w:t>
      </w:r>
      <w:r w:rsidRPr="0053606A">
        <w:rPr>
          <w:rStyle w:val="AERbody"/>
        </w:rPr>
        <w:t>capex objectives,</w:t>
      </w:r>
      <w:r>
        <w:rPr>
          <w:rStyle w:val="FootnoteReference"/>
        </w:rPr>
        <w:footnoteReference w:id="190"/>
      </w:r>
      <w:r w:rsidRPr="0053606A">
        <w:rPr>
          <w:rStyle w:val="AERtextitalic"/>
        </w:rPr>
        <w:t xml:space="preserve"> </w:t>
      </w:r>
      <w:r w:rsidRPr="005D46AE">
        <w:t>other incentive schemes, and where relevant the</w:t>
      </w:r>
      <w:r w:rsidRPr="0053606A">
        <w:rPr>
          <w:rStyle w:val="AERtextitalic"/>
        </w:rPr>
        <w:t xml:space="preserve"> </w:t>
      </w:r>
      <w:r w:rsidRPr="0053606A">
        <w:rPr>
          <w:rStyle w:val="AERbody"/>
        </w:rPr>
        <w:t>opex objectives,</w:t>
      </w:r>
      <w:r w:rsidRPr="0053606A">
        <w:rPr>
          <w:rStyle w:val="AERtextitalic"/>
        </w:rPr>
        <w:t xml:space="preserve"> </w:t>
      </w:r>
      <w:r w:rsidRPr="005D46AE">
        <w:t>as they apply to the particular distributor, and the circumstances of the distributor.</w:t>
      </w:r>
    </w:p>
    <w:p w:rsidR="00E666C2" w:rsidRDefault="00E666C2" w:rsidP="00A825FE">
      <w:pPr>
        <w:pStyle w:val="AERbodytext"/>
      </w:pPr>
      <w:r>
        <w:t>Broadly speaking,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 xml:space="preserve"> Therefore, consumers only fund capex that is efficient and prudent.</w:t>
      </w:r>
    </w:p>
    <w:p w:rsidR="00E666C2" w:rsidRPr="00084259" w:rsidRDefault="00E666C2" w:rsidP="00084259">
      <w:pPr>
        <w:pStyle w:val="Heading3"/>
      </w:pPr>
      <w:bookmarkStart w:id="177" w:name="_Toc373482604"/>
      <w:bookmarkStart w:id="178" w:name="_Toc373482786"/>
      <w:bookmarkStart w:id="179" w:name="_Toc373861325"/>
      <w:bookmarkStart w:id="180" w:name="_Toc374085371"/>
      <w:bookmarkStart w:id="181" w:name="_Toc387418388"/>
      <w:bookmarkStart w:id="182" w:name="_Toc388976542"/>
      <w:r w:rsidRPr="00084259">
        <w:t>Reasons for AER's preliminary position</w:t>
      </w:r>
      <w:bookmarkEnd w:id="177"/>
      <w:bookmarkEnd w:id="178"/>
      <w:bookmarkEnd w:id="179"/>
      <w:bookmarkEnd w:id="180"/>
      <w:bookmarkEnd w:id="181"/>
      <w:bookmarkEnd w:id="182"/>
    </w:p>
    <w:p w:rsidR="00E666C2" w:rsidRDefault="00E666C2" w:rsidP="00A825FE">
      <w:pPr>
        <w:pStyle w:val="AERbodytext"/>
      </w:pPr>
      <w:r>
        <w:t xml:space="preserve">We propose to apply the </w:t>
      </w:r>
      <w:r w:rsidRPr="00D00070">
        <w:t xml:space="preserve">CESS </w:t>
      </w:r>
      <w:r>
        <w:t xml:space="preserve">to the </w:t>
      </w:r>
      <w:r w:rsidR="00850953">
        <w:t xml:space="preserve">Victorian </w:t>
      </w:r>
      <w:r>
        <w:t>distributors in the next regulatory control period as we consider this will contribute to the capex incentive objective.</w:t>
      </w:r>
    </w:p>
    <w:p w:rsidR="00E666C2" w:rsidRDefault="004F5C72" w:rsidP="00A825FE">
      <w:pPr>
        <w:pStyle w:val="AERbodytext"/>
      </w:pPr>
      <w:r>
        <w:t xml:space="preserve">The </w:t>
      </w:r>
      <w:r w:rsidR="00850953">
        <w:t xml:space="preserve">Victorian </w:t>
      </w:r>
      <w:r w:rsidR="00E666C2" w:rsidRPr="0037766C">
        <w:t>distributors are not currently subject to a CESS. As part of our Better Regulation program we consulted on and published version 1 of the capex incentives guideline which sets out the CESS.</w:t>
      </w:r>
      <w:r w:rsidR="00E666C2" w:rsidRPr="0037766C">
        <w:rPr>
          <w:rStyle w:val="FootnoteReference"/>
        </w:rPr>
        <w:footnoteReference w:id="191"/>
      </w:r>
      <w:r w:rsidR="00E666C2" w:rsidRPr="0037766C">
        <w:t xml:space="preserve"> </w:t>
      </w:r>
      <w:r w:rsidR="00E666C2">
        <w:t>The guideline specifies that in most circumstances we will apply a CESS, in conjunction with forecast depreciation to roll-forward the RAB.</w:t>
      </w:r>
      <w:r w:rsidR="00E666C2">
        <w:rPr>
          <w:rStyle w:val="FootnoteReference"/>
        </w:rPr>
        <w:footnoteReference w:id="192"/>
      </w:r>
      <w:r w:rsidR="00E666C2">
        <w:t xml:space="preserve"> We are also proposing to apply forecast depreciation, which </w:t>
      </w:r>
      <w:r w:rsidR="00D50CAB">
        <w:t>we discuss</w:t>
      </w:r>
      <w:r w:rsidR="00E666C2">
        <w:t xml:space="preserve"> further in attachment </w:t>
      </w:r>
      <w:r w:rsidR="00821442">
        <w:t>5</w:t>
      </w:r>
      <w:r w:rsidR="00E666C2">
        <w:t xml:space="preserve">. </w:t>
      </w:r>
    </w:p>
    <w:p w:rsidR="00E666C2" w:rsidRDefault="00E666C2" w:rsidP="00A825FE">
      <w:pPr>
        <w:pStyle w:val="AERbodytext"/>
      </w:pPr>
      <w:r>
        <w:t xml:space="preserve">In developing the CESS we took </w:t>
      </w:r>
      <w:r w:rsidRPr="00430326">
        <w:t xml:space="preserve">into account the </w:t>
      </w:r>
      <w:r>
        <w:t xml:space="preserve">capex incentive objective, capex criteria, capex objectives, and the </w:t>
      </w:r>
      <w:r w:rsidRPr="00430326">
        <w:t>CESS principles</w:t>
      </w:r>
      <w:r>
        <w:t xml:space="preserve">. We also developed the CESS to work alongside other incentive </w:t>
      </w:r>
      <w:r>
        <w:lastRenderedPageBreak/>
        <w:t xml:space="preserve">schemes that apply to distributors including the EBSS, STPIS, and DMIS—which the </w:t>
      </w:r>
      <w:r w:rsidR="00850953">
        <w:t xml:space="preserve">Victorian </w:t>
      </w:r>
      <w:r>
        <w:t>distributors will be subject to in the next regulatory control period.</w:t>
      </w:r>
    </w:p>
    <w:p w:rsidR="00E666C2" w:rsidRDefault="00E666C2" w:rsidP="00A825FE">
      <w:pPr>
        <w:pStyle w:val="AERbodytext"/>
      </w:pPr>
      <w:r w:rsidRPr="00B37DA3">
        <w:t xml:space="preserve">For capex, the sharing of underspends and overspends happens at the end of each regulatory </w:t>
      </w:r>
      <w:r>
        <w:t xml:space="preserve">period </w:t>
      </w:r>
      <w:r w:rsidRPr="00B37DA3">
        <w:t xml:space="preserve">when we update </w:t>
      </w:r>
      <w:r>
        <w:t>a distributor's RAB</w:t>
      </w:r>
      <w:r w:rsidRPr="00B37DA3">
        <w:t xml:space="preserve"> to include new capex. If a </w:t>
      </w:r>
      <w:r>
        <w:t xml:space="preserve">distributor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business had spent the full amount of the capex forecast. This leads to lower prices in the future. </w:t>
      </w:r>
    </w:p>
    <w:p w:rsidR="00E666C2" w:rsidRDefault="00E666C2" w:rsidP="00A825FE">
      <w:pPr>
        <w:pStyle w:val="AERbodytext"/>
      </w:pPr>
      <w:r>
        <w:t>Without a CESS</w:t>
      </w:r>
      <w:r w:rsidRPr="00B37DA3">
        <w:t xml:space="preserve"> the incentive for a </w:t>
      </w:r>
      <w:r>
        <w:t>distributor</w:t>
      </w:r>
      <w:r w:rsidRPr="00B37DA3">
        <w:t xml:space="preserve"> to spend less than its </w:t>
      </w:r>
      <w:r>
        <w:t xml:space="preserve">forecast </w:t>
      </w:r>
      <w:r w:rsidRPr="00B37DA3">
        <w:t>capex declines throughout the period.</w:t>
      </w:r>
      <w:r>
        <w:rPr>
          <w:rStyle w:val="FootnoteReference"/>
        </w:rPr>
        <w:footnoteReference w:id="193"/>
      </w:r>
      <w:r w:rsidRPr="00B37DA3">
        <w:t xml:space="preserve"> </w:t>
      </w:r>
      <w:r w:rsidRPr="0037766C">
        <w:t xml:space="preserve">Because of this a distributor may choose to spend capex earlier, or on capex when it may otherwise have spent on opex, </w:t>
      </w:r>
      <w:r>
        <w:t>or less on capex at the expense of service quality—</w:t>
      </w:r>
      <w:r w:rsidRPr="0037766C">
        <w:t>even if it may not be efficient to do so.</w:t>
      </w:r>
    </w:p>
    <w:p w:rsidR="00E666C2" w:rsidRDefault="00E666C2" w:rsidP="00A825FE">
      <w:pPr>
        <w:pStyle w:val="AERbodytext"/>
      </w:pPr>
      <w:r>
        <w:t xml:space="preserve">With the CESS a distributor faces the same reward and penalty in each year of a regulatory control period for capex underspends or overspends. </w:t>
      </w:r>
      <w:r w:rsidRPr="004A2784">
        <w:t>The CESS</w:t>
      </w:r>
      <w:r>
        <w:t xml:space="preserve"> will provide</w:t>
      </w:r>
      <w:r w:rsidRPr="004A2784">
        <w:t xml:space="preserve"> </w:t>
      </w:r>
      <w:r>
        <w:t>distributors</w:t>
      </w:r>
      <w:r w:rsidRPr="004A2784">
        <w:t xml:space="preserve"> with an ex ante incentive to spend only efficient capex. </w:t>
      </w:r>
      <w:r>
        <w:t xml:space="preserve">Distributors </w:t>
      </w:r>
      <w:r w:rsidRPr="004A2784">
        <w:t xml:space="preserve">that make efficiency gains will be rewarded through the CESS. Conversely, </w:t>
      </w:r>
      <w:r>
        <w:t xml:space="preserve">distributors </w:t>
      </w:r>
      <w:r w:rsidRPr="004A2784">
        <w:t xml:space="preserve">that make efficiency losses will be penalised through the CESS. In this way, </w:t>
      </w:r>
      <w:r>
        <w:t xml:space="preserve">distributors </w:t>
      </w:r>
      <w:r w:rsidRPr="004A2784">
        <w:t>will be more likely to incur only efficie</w:t>
      </w:r>
      <w:r>
        <w:t>nt capex when subject to a CESS,</w:t>
      </w:r>
      <w:r w:rsidRPr="004A2784">
        <w:t xml:space="preserve"> </w:t>
      </w:r>
      <w:r>
        <w:t>so a</w:t>
      </w:r>
      <w:r w:rsidRPr="004A2784">
        <w:t xml:space="preserve">ny capex included in the RAB </w:t>
      </w:r>
      <w:r>
        <w:t>is more likely to reflect</w:t>
      </w:r>
      <w:r w:rsidRPr="004A2784">
        <w:t xml:space="preserve"> the capex criteria. In particular, if a </w:t>
      </w:r>
      <w:r>
        <w:t xml:space="preserve">distributor </w:t>
      </w:r>
      <w:r w:rsidRPr="004A2784">
        <w:t xml:space="preserve">is subject to the CESS, its capex is more likely to be efficient and to reflect the costs of a prudent </w:t>
      </w:r>
      <w:r>
        <w:t>distributor</w:t>
      </w:r>
      <w:r w:rsidRPr="004A2784">
        <w:t>.</w:t>
      </w:r>
    </w:p>
    <w:p w:rsidR="00E666C2" w:rsidRPr="00F9085C" w:rsidRDefault="00E666C2" w:rsidP="00A825FE">
      <w:pPr>
        <w:pStyle w:val="AERbodytext"/>
      </w:pPr>
      <w:r>
        <w:t>When the CESS, EBSS and STPIS apply to distributors then i</w:t>
      </w:r>
      <w:r w:rsidRPr="00F9085C">
        <w:t>ncentives for opex</w:t>
      </w:r>
      <w:r>
        <w:t>,</w:t>
      </w:r>
      <w:r w:rsidRPr="00F9085C">
        <w:t xml:space="preserve"> capex </w:t>
      </w:r>
      <w:r>
        <w:t>and service are balanced</w:t>
      </w:r>
      <w:r w:rsidRPr="00F9085C">
        <w:t xml:space="preserve">. This encourages </w:t>
      </w:r>
      <w:r>
        <w:t>distributors</w:t>
      </w:r>
      <w:r w:rsidRPr="00F9085C">
        <w:t xml:space="preserve"> to make efficient decisions on when and what type of expenditure to incur, and to balance expenditure efficiencies with service quality.</w:t>
      </w:r>
    </w:p>
    <w:p w:rsidR="00A165F2" w:rsidRDefault="00A165F2" w:rsidP="003677BC">
      <w:pPr>
        <w:pStyle w:val="Heading2"/>
      </w:pPr>
      <w:bookmarkStart w:id="183" w:name="_Toc388976543"/>
      <w:r>
        <w:t>Demand management incentive scheme</w:t>
      </w:r>
      <w:bookmarkEnd w:id="183"/>
    </w:p>
    <w:p w:rsidR="00A165F2" w:rsidRPr="00E759C3" w:rsidRDefault="00A165F2" w:rsidP="00A825FE">
      <w:pPr>
        <w:pStyle w:val="AERbodytext"/>
      </w:pPr>
      <w:r>
        <w:t xml:space="preserve">This </w:t>
      </w:r>
      <w:r w:rsidR="00084259">
        <w:t>section</w:t>
      </w:r>
      <w:r w:rsidR="00084259" w:rsidRPr="00E759C3">
        <w:t xml:space="preserve"> </w:t>
      </w:r>
      <w:r w:rsidRPr="00E759C3">
        <w:t xml:space="preserve">sets out our </w:t>
      </w:r>
      <w:r>
        <w:t>preliminary</w:t>
      </w:r>
      <w:r w:rsidRPr="00E759C3">
        <w:t xml:space="preserve"> approach and reasons for applying a demand management incentive scheme (DMIS) to the </w:t>
      </w:r>
      <w:r w:rsidR="00850953">
        <w:t xml:space="preserve">Victorian </w:t>
      </w:r>
      <w:r w:rsidRPr="00E759C3">
        <w:t>distributors in the next regulatory control period.</w:t>
      </w:r>
      <w:r w:rsidRPr="00E759C3">
        <w:rPr>
          <w:rStyle w:val="FootnoteReference"/>
        </w:rPr>
        <w:footnoteReference w:id="194"/>
      </w:r>
      <w:r w:rsidRPr="00E759C3">
        <w:t xml:space="preserve"> </w:t>
      </w:r>
    </w:p>
    <w:p w:rsidR="00A165F2" w:rsidRDefault="00A165F2" w:rsidP="00A165F2">
      <w:r>
        <w:t xml:space="preserve">The usage patterns of geographically dispersed consumers </w:t>
      </w:r>
      <w:r w:rsidRPr="0074403F">
        <w:t xml:space="preserve">determine </w:t>
      </w:r>
      <w:r>
        <w:t xml:space="preserve">how electrical </w:t>
      </w:r>
      <w:r w:rsidRPr="0074403F">
        <w:t>power flows through a distribution network</w:t>
      </w:r>
      <w:r>
        <w:t xml:space="preserve">. Since consumers use energy in different ways, different network elements reach maximum utilisation levels at different times. Distributors have historically planned their network investment to provide sufficient capacity for these situations. As peak demand periods are typically brief and infrequent, network infrastructure often operates with significant </w:t>
      </w:r>
      <w:r w:rsidR="008E7A6B">
        <w:t xml:space="preserve">redundant </w:t>
      </w:r>
      <w:r>
        <w:t>capacity.</w:t>
      </w:r>
    </w:p>
    <w:p w:rsidR="00A165F2" w:rsidRDefault="00A165F2" w:rsidP="00A165F2">
      <w:r>
        <w:t>This underutilisation means that augmentation of network capacity may not always be the most efficient means of catering for increasing peak demand.</w:t>
      </w:r>
      <w:r w:rsidRPr="00F96BB4">
        <w:t xml:space="preserve"> </w:t>
      </w:r>
      <w:r w:rsidRPr="00AA2566">
        <w:t xml:space="preserve">Demand management </w:t>
      </w:r>
      <w:r>
        <w:t>refers to</w:t>
      </w:r>
      <w:r w:rsidRPr="00AA2566">
        <w:t xml:space="preserve"> any effort by a distributor to lower or shift the demand for standard control services.</w:t>
      </w:r>
      <w:r>
        <w:rPr>
          <w:rStyle w:val="FootnoteReference"/>
        </w:rPr>
        <w:footnoteReference w:id="195"/>
      </w:r>
      <w:r>
        <w:t xml:space="preserve"> Demand management that effectively </w:t>
      </w:r>
      <w:r w:rsidR="008E7A6B">
        <w:t xml:space="preserve">reduces </w:t>
      </w:r>
      <w:r>
        <w:t>network utilisation during peak usage periods can be an economically efficient way of deferring the need for network augmentation.</w:t>
      </w:r>
    </w:p>
    <w:p w:rsidR="00A165F2" w:rsidRDefault="00A165F2" w:rsidP="00A825FE">
      <w:pPr>
        <w:pStyle w:val="AERbodytext"/>
      </w:pPr>
      <w:r>
        <w:lastRenderedPageBreak/>
        <w:t>T</w:t>
      </w:r>
      <w:r w:rsidRPr="00A940CC">
        <w:t xml:space="preserve">he </w:t>
      </w:r>
      <w:r>
        <w:t>r</w:t>
      </w:r>
      <w:r w:rsidRPr="00A940CC">
        <w:t xml:space="preserve">ules require </w:t>
      </w:r>
      <w:r>
        <w:t>us to</w:t>
      </w:r>
      <w:r w:rsidRPr="00A940CC">
        <w:t xml:space="preserve"> develop and implement mechanisms to incentivise distributors</w:t>
      </w:r>
      <w:r>
        <w:t xml:space="preserve"> to consider</w:t>
      </w:r>
      <w:r w:rsidRPr="00A940CC">
        <w:t xml:space="preserve"> </w:t>
      </w:r>
      <w:r>
        <w:t xml:space="preserve">economically efficient </w:t>
      </w:r>
      <w:r w:rsidRPr="00A940CC">
        <w:t>alternatives to building more network</w:t>
      </w:r>
      <w:r>
        <w:t>.</w:t>
      </w:r>
      <w:r w:rsidRPr="001717EA">
        <w:rPr>
          <w:rStyle w:val="FootnoteReference"/>
        </w:rPr>
        <w:footnoteReference w:id="196"/>
      </w:r>
      <w:r>
        <w:t xml:space="preserve"> To meet this requirement, and motivated by the need to improve </w:t>
      </w:r>
      <w:r w:rsidR="00850953">
        <w:t xml:space="preserve">Victorian </w:t>
      </w:r>
      <w:r>
        <w:t>distributors' capability in the demand management</w:t>
      </w:r>
      <w:r w:rsidRPr="00D801DC">
        <w:t xml:space="preserve"> </w:t>
      </w:r>
      <w:r>
        <w:t>area</w:t>
      </w:r>
      <w:r w:rsidRPr="00D801DC">
        <w:t xml:space="preserve">, we </w:t>
      </w:r>
      <w:r>
        <w:t xml:space="preserve">implemented a </w:t>
      </w:r>
      <w:r w:rsidRPr="00D801DC">
        <w:t>DMIS</w:t>
      </w:r>
      <w:r>
        <w:t xml:space="preserve"> </w:t>
      </w:r>
      <w:r w:rsidRPr="00D801DC">
        <w:t xml:space="preserve">in our </w:t>
      </w:r>
      <w:r w:rsidR="008E7A6B">
        <w:t>distribution</w:t>
      </w:r>
      <w:r w:rsidR="008E7A6B" w:rsidRPr="00D801DC">
        <w:t xml:space="preserve"> </w:t>
      </w:r>
      <w:r w:rsidRPr="00D801DC">
        <w:t>determination</w:t>
      </w:r>
      <w:r>
        <w:t>s</w:t>
      </w:r>
      <w:r w:rsidRPr="00D801DC">
        <w:t xml:space="preserve"> for the current regulatory period</w:t>
      </w:r>
      <w:r>
        <w:t>.</w:t>
      </w:r>
    </w:p>
    <w:p w:rsidR="004C6DF4" w:rsidRDefault="00A165F2" w:rsidP="004C6DF4">
      <w:pPr>
        <w:pStyle w:val="AERbodytext"/>
      </w:pPr>
      <w:r>
        <w:t xml:space="preserve">The current </w:t>
      </w:r>
      <w:r w:rsidR="008E7A6B">
        <w:t xml:space="preserve">DMIS </w:t>
      </w:r>
      <w:r>
        <w:t xml:space="preserve">includes two components: </w:t>
      </w:r>
    </w:p>
    <w:p w:rsidR="00A165F2" w:rsidRDefault="00A165F2" w:rsidP="004C6DF4">
      <w:pPr>
        <w:pStyle w:val="AERbulletlistfirststyle"/>
      </w:pPr>
      <w:r>
        <w:t xml:space="preserve">Part A </w:t>
      </w:r>
      <w:r w:rsidR="008E7A6B">
        <w:t xml:space="preserve">provides for </w:t>
      </w:r>
      <w:r>
        <w:t xml:space="preserve">an innovation allowance </w:t>
      </w:r>
      <w:r w:rsidR="008E7A6B">
        <w:t>to be incorporated into</w:t>
      </w:r>
      <w:r>
        <w:t xml:space="preserve"> each distributor's </w:t>
      </w:r>
      <w:r w:rsidRPr="0057413E">
        <w:t xml:space="preserve">revenue </w:t>
      </w:r>
      <w:r w:rsidR="000373AE">
        <w:t xml:space="preserve">allowance for </w:t>
      </w:r>
      <w:r>
        <w:t xml:space="preserve">each year of the </w:t>
      </w:r>
      <w:r w:rsidRPr="0057413E">
        <w:t xml:space="preserve">regulatory control period. </w:t>
      </w:r>
      <w:r>
        <w:t>D</w:t>
      </w:r>
      <w:r w:rsidRPr="0057413E">
        <w:t>istributor</w:t>
      </w:r>
      <w:r>
        <w:t>s</w:t>
      </w:r>
      <w:r w:rsidRPr="0057413E">
        <w:t xml:space="preserve"> </w:t>
      </w:r>
      <w:r>
        <w:t>prepare</w:t>
      </w:r>
      <w:r w:rsidRPr="0057413E">
        <w:t xml:space="preserve"> annual report</w:t>
      </w:r>
      <w:r>
        <w:t>s</w:t>
      </w:r>
      <w:r w:rsidRPr="0057413E">
        <w:t xml:space="preserve"> on their expenditure under the DMIA</w:t>
      </w:r>
      <w:r w:rsidRPr="008D016F">
        <w:rPr>
          <w:rStyle w:val="AERsuperscript"/>
        </w:rPr>
        <w:footnoteReference w:id="197"/>
      </w:r>
      <w:r w:rsidRPr="008D016F">
        <w:t xml:space="preserve"> </w:t>
      </w:r>
      <w:r w:rsidRPr="0057413E">
        <w:t xml:space="preserve">in the previous year, which we then assess </w:t>
      </w:r>
      <w:r w:rsidR="000373AE">
        <w:t>against</w:t>
      </w:r>
      <w:r w:rsidRPr="0057413E">
        <w:t xml:space="preserve"> </w:t>
      </w:r>
      <w:r>
        <w:t>specific criteria</w:t>
      </w:r>
      <w:r w:rsidRPr="0057413E">
        <w:t xml:space="preserve">. </w:t>
      </w:r>
    </w:p>
    <w:p w:rsidR="00565606" w:rsidRPr="00565606" w:rsidRDefault="00A165F2" w:rsidP="008E7A6B">
      <w:pPr>
        <w:pStyle w:val="AERbulletlistfirststyle"/>
        <w:rPr>
          <w:rFonts w:eastAsia="Calibri"/>
        </w:rPr>
      </w:pPr>
      <w:r>
        <w:t xml:space="preserve">Part B compensates distributors for any foregone revenue demonstrated to have resulted from demand management initiatives approved under Part A for distributors under a weighted average price cap. </w:t>
      </w:r>
      <w:r w:rsidR="00C03BD1">
        <w:t>Part B is not applied where distributors are subject to a revenue cap rather than a price cap.</w:t>
      </w:r>
    </w:p>
    <w:p w:rsidR="00A165F2" w:rsidRPr="00565606" w:rsidRDefault="00C03BD1" w:rsidP="00A825FE">
      <w:pPr>
        <w:pStyle w:val="AERbodytext"/>
        <w:rPr>
          <w:rStyle w:val="AERbody"/>
          <w:rFonts w:eastAsia="Calibri"/>
        </w:rPr>
      </w:pPr>
      <w:r w:rsidRPr="00565606">
        <w:rPr>
          <w:rStyle w:val="AERbody"/>
        </w:rPr>
        <w:t xml:space="preserve">Currently </w:t>
      </w:r>
      <w:r>
        <w:rPr>
          <w:rStyle w:val="AERbody"/>
        </w:rPr>
        <w:t>both</w:t>
      </w:r>
      <w:r w:rsidRPr="00565606">
        <w:rPr>
          <w:rStyle w:val="AERbody"/>
        </w:rPr>
        <w:t xml:space="preserve"> Part A </w:t>
      </w:r>
      <w:r>
        <w:rPr>
          <w:rStyle w:val="AERbody"/>
        </w:rPr>
        <w:t>and Part B of the scheme apply</w:t>
      </w:r>
      <w:r w:rsidRPr="00565606">
        <w:rPr>
          <w:rStyle w:val="AERbody"/>
        </w:rPr>
        <w:t xml:space="preserve"> to the </w:t>
      </w:r>
      <w:r w:rsidR="00850953">
        <w:rPr>
          <w:rStyle w:val="AERbody"/>
        </w:rPr>
        <w:t xml:space="preserve">Victorian </w:t>
      </w:r>
      <w:r w:rsidRPr="00565606">
        <w:rPr>
          <w:rStyle w:val="AERbody"/>
        </w:rPr>
        <w:t>distributors</w:t>
      </w:r>
      <w:r>
        <w:rPr>
          <w:rStyle w:val="AERbody"/>
        </w:rPr>
        <w:t xml:space="preserve"> because i</w:t>
      </w:r>
      <w:r>
        <w:t>n the current regulatory control period they</w:t>
      </w:r>
      <w:r w:rsidRPr="009B15BF">
        <w:t xml:space="preserve"> are </w:t>
      </w:r>
      <w:r>
        <w:t>subject to weighted average price cap</w:t>
      </w:r>
      <w:r w:rsidRPr="009B15BF">
        <w:t xml:space="preserve"> form of control.</w:t>
      </w:r>
      <w:r w:rsidR="008E7A6B" w:rsidRPr="00565606">
        <w:rPr>
          <w:rStyle w:val="AERbody"/>
        </w:rPr>
        <w:t xml:space="preserve"> </w:t>
      </w:r>
      <w:r w:rsidRPr="00C03BD1">
        <w:rPr>
          <w:rStyle w:val="AERbody"/>
        </w:rPr>
        <w:t xml:space="preserve">As </w:t>
      </w:r>
      <w:r w:rsidR="00034354">
        <w:rPr>
          <w:rStyle w:val="AERbody"/>
        </w:rPr>
        <w:t>a</w:t>
      </w:r>
      <w:r w:rsidRPr="00C03BD1">
        <w:rPr>
          <w:rStyle w:val="AERbody"/>
        </w:rPr>
        <w:t xml:space="preserve"> revenue cap is expected to </w:t>
      </w:r>
      <w:r w:rsidR="00034354">
        <w:rPr>
          <w:rStyle w:val="AERbody"/>
        </w:rPr>
        <w:t>apply</w:t>
      </w:r>
      <w:r w:rsidRPr="00C03BD1">
        <w:rPr>
          <w:rStyle w:val="AERbody"/>
        </w:rPr>
        <w:t xml:space="preserve"> in the next regulatory control period, Part B </w:t>
      </w:r>
      <w:r w:rsidR="00034354">
        <w:rPr>
          <w:rStyle w:val="AERbody"/>
        </w:rPr>
        <w:t>will</w:t>
      </w:r>
      <w:r w:rsidRPr="00C03BD1">
        <w:rPr>
          <w:rStyle w:val="AERbody"/>
        </w:rPr>
        <w:t xml:space="preserve"> not </w:t>
      </w:r>
      <w:r w:rsidR="00034354">
        <w:rPr>
          <w:rStyle w:val="AERbody"/>
        </w:rPr>
        <w:t xml:space="preserve">be </w:t>
      </w:r>
      <w:r w:rsidRPr="00C03BD1">
        <w:rPr>
          <w:rStyle w:val="AERbody"/>
        </w:rPr>
        <w:t xml:space="preserve">relevant to </w:t>
      </w:r>
      <w:r w:rsidR="00850953">
        <w:rPr>
          <w:rStyle w:val="AERbody"/>
        </w:rPr>
        <w:t xml:space="preserve">Victorian </w:t>
      </w:r>
      <w:r w:rsidRPr="00C03BD1">
        <w:rPr>
          <w:rStyle w:val="AERbody"/>
        </w:rPr>
        <w:t>distributors</w:t>
      </w:r>
      <w:r>
        <w:t>.</w:t>
      </w:r>
    </w:p>
    <w:p w:rsidR="00A165F2" w:rsidRDefault="00A165F2" w:rsidP="00084259">
      <w:pPr>
        <w:pStyle w:val="Heading3"/>
      </w:pPr>
      <w:bookmarkStart w:id="184" w:name="_Toc373482606"/>
      <w:bookmarkStart w:id="185" w:name="_Toc373482788"/>
      <w:bookmarkStart w:id="186" w:name="_Toc373861327"/>
      <w:bookmarkStart w:id="187" w:name="_Toc374085373"/>
      <w:bookmarkStart w:id="188" w:name="_Toc387418390"/>
      <w:bookmarkStart w:id="189" w:name="_Toc388976544"/>
      <w:r>
        <w:t xml:space="preserve">AER's preliminary </w:t>
      </w:r>
      <w:bookmarkEnd w:id="184"/>
      <w:bookmarkEnd w:id="185"/>
      <w:bookmarkEnd w:id="186"/>
      <w:bookmarkEnd w:id="187"/>
      <w:r w:rsidR="004C6DF4">
        <w:t>position</w:t>
      </w:r>
      <w:bookmarkEnd w:id="188"/>
      <w:bookmarkEnd w:id="189"/>
    </w:p>
    <w:p w:rsidR="00A165F2" w:rsidRDefault="00A165F2" w:rsidP="00A825FE">
      <w:pPr>
        <w:pStyle w:val="AERbodytext"/>
      </w:pPr>
      <w:r>
        <w:t xml:space="preserve">Our preliminary position is to continue </w:t>
      </w:r>
      <w:r w:rsidRPr="009D5199">
        <w:t>apply</w:t>
      </w:r>
      <w:r>
        <w:t xml:space="preserve">ing the </w:t>
      </w:r>
      <w:r w:rsidRPr="009D5199">
        <w:t>DMI</w:t>
      </w:r>
      <w:r>
        <w:t xml:space="preserve">S to the </w:t>
      </w:r>
      <w:r w:rsidR="00850953">
        <w:t xml:space="preserve">Victorian </w:t>
      </w:r>
      <w:r>
        <w:t xml:space="preserve">distributors in the next regulatory control </w:t>
      </w:r>
      <w:r w:rsidRPr="009D5199">
        <w:t xml:space="preserve">period. </w:t>
      </w:r>
      <w:r w:rsidRPr="00943A42">
        <w:t xml:space="preserve"> </w:t>
      </w:r>
    </w:p>
    <w:p w:rsidR="00A165F2" w:rsidRDefault="00A165F2" w:rsidP="00A825FE">
      <w:pPr>
        <w:pStyle w:val="AERbodytext"/>
        <w:rPr>
          <w:rStyle w:val="AERbody"/>
        </w:rPr>
      </w:pPr>
      <w:r w:rsidRPr="00253C8D">
        <w:rPr>
          <w:rStyle w:val="AERbody"/>
        </w:rPr>
        <w:t xml:space="preserve">We acknowledge the need to reform the existing </w:t>
      </w:r>
      <w:r>
        <w:rPr>
          <w:rStyle w:val="AERbody"/>
        </w:rPr>
        <w:t>demand management</w:t>
      </w:r>
      <w:r w:rsidRPr="00253C8D">
        <w:rPr>
          <w:rStyle w:val="AERbody"/>
        </w:rPr>
        <w:t xml:space="preserve"> incentive arrangements. </w:t>
      </w:r>
      <w:r w:rsidRPr="00055BCA">
        <w:rPr>
          <w:rStyle w:val="AERbody"/>
        </w:rPr>
        <w:t>The Standing Council on Energy and Resources (SCER) is currently considering a series of rule changes</w:t>
      </w:r>
      <w:r>
        <w:rPr>
          <w:rStyle w:val="FootnoteReference"/>
        </w:rPr>
        <w:footnoteReference w:id="198"/>
      </w:r>
      <w:r w:rsidRPr="00055BCA">
        <w:rPr>
          <w:rStyle w:val="AERbody"/>
        </w:rPr>
        <w:t xml:space="preserve"> proposed by the AEMC in its Power of Choice review</w:t>
      </w:r>
      <w:r>
        <w:rPr>
          <w:rStyle w:val="FootnoteReference"/>
        </w:rPr>
        <w:footnoteReference w:id="199"/>
      </w:r>
      <w:r w:rsidRPr="00055BCA">
        <w:rPr>
          <w:rStyle w:val="AERbody"/>
        </w:rPr>
        <w:t xml:space="preserve"> examining distributor incentives to pursue efficient alternatives to network augmentation. This will include new rules and principles guiding the design of a new DMIS. We intend to develop and implement a new DMIS during the </w:t>
      </w:r>
      <w:r>
        <w:rPr>
          <w:rStyle w:val="AERbody"/>
        </w:rPr>
        <w:t>next</w:t>
      </w:r>
      <w:r w:rsidRPr="00055BCA">
        <w:rPr>
          <w:rStyle w:val="AERbody"/>
        </w:rPr>
        <w:t xml:space="preserve"> regulatory control period, depending on the progress of the rule change process</w:t>
      </w:r>
      <w:r>
        <w:rPr>
          <w:rStyle w:val="AERbody"/>
        </w:rPr>
        <w:t>. For these reasons, we propose not indicating the allowance cap in the F&amp;A.</w:t>
      </w:r>
    </w:p>
    <w:p w:rsidR="00A165F2" w:rsidRDefault="00A165F2" w:rsidP="00084259">
      <w:pPr>
        <w:pStyle w:val="Heading3"/>
      </w:pPr>
      <w:bookmarkStart w:id="190" w:name="_Toc373482607"/>
      <w:bookmarkStart w:id="191" w:name="_Toc373482789"/>
      <w:bookmarkStart w:id="192" w:name="_Toc373861328"/>
      <w:bookmarkStart w:id="193" w:name="_Toc374085374"/>
      <w:bookmarkStart w:id="194" w:name="_Toc387418391"/>
      <w:bookmarkStart w:id="195" w:name="_Toc388976545"/>
      <w:r>
        <w:t>AER's assessment approach</w:t>
      </w:r>
      <w:bookmarkEnd w:id="190"/>
      <w:bookmarkEnd w:id="191"/>
      <w:bookmarkEnd w:id="192"/>
      <w:bookmarkEnd w:id="193"/>
      <w:bookmarkEnd w:id="194"/>
      <w:bookmarkEnd w:id="195"/>
    </w:p>
    <w:p w:rsidR="00A165F2" w:rsidRDefault="00A165F2" w:rsidP="00A825FE">
      <w:pPr>
        <w:pStyle w:val="AERbodytext"/>
      </w:pPr>
      <w:r>
        <w:t xml:space="preserve">The rules require us to have regard to several factors in developing and implementing a DMIS for the </w:t>
      </w:r>
      <w:r w:rsidR="00850953">
        <w:t xml:space="preserve">Victorian </w:t>
      </w:r>
      <w:r>
        <w:t>distributors.</w:t>
      </w:r>
      <w:r w:rsidRPr="004C7901">
        <w:rPr>
          <w:rStyle w:val="FootnoteReference"/>
        </w:rPr>
        <w:footnoteReference w:id="200"/>
      </w:r>
      <w:r>
        <w:t xml:space="preserve"> These are:</w:t>
      </w:r>
    </w:p>
    <w:p w:rsidR="00A165F2" w:rsidRDefault="00A165F2" w:rsidP="00A165F2">
      <w:pPr>
        <w:pStyle w:val="AERbulletlistfirststyle"/>
      </w:pPr>
      <w:r>
        <w:t>Benefits to consumers</w:t>
      </w:r>
    </w:p>
    <w:p w:rsidR="00A165F2" w:rsidRDefault="00A165F2" w:rsidP="00A165F2">
      <w:pPr>
        <w:pStyle w:val="AERbulletlistsecondstyle"/>
      </w:pPr>
      <w:r>
        <w:t>the need to ensure that benefits to electricity consumers likely to result from the scheme are sufficient to warrant any reward or penalty under the scheme</w:t>
      </w:r>
    </w:p>
    <w:p w:rsidR="00A165F2" w:rsidRDefault="00A165F2" w:rsidP="00A165F2">
      <w:pPr>
        <w:pStyle w:val="AERbulletlistsecondstyle"/>
      </w:pPr>
      <w:r>
        <w:lastRenderedPageBreak/>
        <w:t xml:space="preserve">the willingness of customers to pay for increases in costs resulting from implementing </w:t>
      </w:r>
      <w:r w:rsidR="00906B4A">
        <w:t xml:space="preserve">a </w:t>
      </w:r>
      <w:r>
        <w:t>DMIS.</w:t>
      </w:r>
    </w:p>
    <w:p w:rsidR="00A165F2" w:rsidRDefault="00A165F2" w:rsidP="00A165F2">
      <w:pPr>
        <w:pStyle w:val="AERbulletlistfirststyle"/>
      </w:pPr>
      <w:r>
        <w:t>Balanced incentives</w:t>
      </w:r>
    </w:p>
    <w:p w:rsidR="00A165F2" w:rsidRDefault="00A165F2" w:rsidP="00A165F2">
      <w:pPr>
        <w:pStyle w:val="AERbulletlistsecondstyle"/>
      </w:pPr>
      <w:r>
        <w:t>the effect of a particular control mechanism (that is, price as distinct from revenue regulation) on a distributor's incentives to adopt or implement efficient non-network alternatives</w:t>
      </w:r>
    </w:p>
    <w:p w:rsidR="00A165F2" w:rsidRPr="00A46438" w:rsidRDefault="00A165F2" w:rsidP="00A165F2">
      <w:pPr>
        <w:pStyle w:val="AERbulletlistsecondstyle"/>
      </w:pPr>
      <w:r w:rsidRPr="00A46438">
        <w:t xml:space="preserve">the effect of classification of services on a distributor's incentive to adopt or implement efficient embedded generator connections </w:t>
      </w:r>
    </w:p>
    <w:p w:rsidR="00A165F2" w:rsidRDefault="00A165F2" w:rsidP="00A165F2">
      <w:pPr>
        <w:pStyle w:val="AERbulletlistsecondstyle"/>
      </w:pPr>
      <w:r>
        <w:t>the extent the distributor is able to offer efficient pricing structures</w:t>
      </w:r>
    </w:p>
    <w:p w:rsidR="00A165F2" w:rsidRDefault="00A165F2" w:rsidP="00A165F2">
      <w:pPr>
        <w:pStyle w:val="AERbulletlistsecondstyle"/>
      </w:pPr>
      <w:r>
        <w:t xml:space="preserve">the possible interactions between </w:t>
      </w:r>
      <w:r w:rsidR="00906B4A">
        <w:t xml:space="preserve">a </w:t>
      </w:r>
      <w:r>
        <w:t xml:space="preserve">DMIS and </w:t>
      </w:r>
      <w:r w:rsidR="00906B4A">
        <w:t xml:space="preserve">the </w:t>
      </w:r>
      <w:r>
        <w:t>other incentive schemes.</w:t>
      </w:r>
    </w:p>
    <w:p w:rsidR="00A165F2" w:rsidRDefault="00A165F2" w:rsidP="00084259">
      <w:pPr>
        <w:pStyle w:val="Heading3"/>
      </w:pPr>
      <w:bookmarkStart w:id="196" w:name="_Toc373482608"/>
      <w:bookmarkStart w:id="197" w:name="_Toc373482790"/>
      <w:bookmarkStart w:id="198" w:name="_Toc373861329"/>
      <w:bookmarkStart w:id="199" w:name="_Toc374085375"/>
      <w:bookmarkStart w:id="200" w:name="_Toc387418392"/>
      <w:bookmarkStart w:id="201" w:name="_Toc388976546"/>
      <w:r>
        <w:t xml:space="preserve">Reasons for AER's preliminary </w:t>
      </w:r>
      <w:bookmarkEnd w:id="196"/>
      <w:bookmarkEnd w:id="197"/>
      <w:bookmarkEnd w:id="198"/>
      <w:bookmarkEnd w:id="199"/>
      <w:r w:rsidR="004C6DF4">
        <w:t>position</w:t>
      </w:r>
      <w:bookmarkEnd w:id="200"/>
      <w:bookmarkEnd w:id="201"/>
    </w:p>
    <w:p w:rsidR="00A165F2" w:rsidRDefault="00A165F2" w:rsidP="00A825FE">
      <w:pPr>
        <w:pStyle w:val="AERbodytext"/>
      </w:pPr>
      <w:r>
        <w:t xml:space="preserve">This section outlines the reasons for our preliminary position to apply the DMIS to </w:t>
      </w:r>
      <w:r w:rsidR="00850953">
        <w:t xml:space="preserve">Victorian </w:t>
      </w:r>
      <w:r>
        <w:t xml:space="preserve">distributors in the next regulatory control period. </w:t>
      </w:r>
    </w:p>
    <w:p w:rsidR="00A165F2" w:rsidRPr="00E036F1" w:rsidRDefault="00A165F2" w:rsidP="001A5F4C">
      <w:pPr>
        <w:pStyle w:val="HeadingBoldBlue"/>
      </w:pPr>
      <w:r>
        <w:t>Benefits to consumers</w:t>
      </w:r>
    </w:p>
    <w:p w:rsidR="00A165F2" w:rsidRDefault="00A165F2" w:rsidP="00A825FE">
      <w:pPr>
        <w:pStyle w:val="AERbodytext"/>
      </w:pPr>
      <w:r>
        <w:t>Customers ultimately fund the DMIA adjustment to a distributor's annual revenue each year. As such, we are mindful of the potential impact of the DMIS on consumers. Under the rules, we</w:t>
      </w:r>
      <w:r w:rsidRPr="00FE7977">
        <w:t xml:space="preserve"> </w:t>
      </w:r>
      <w:r>
        <w:t>must consider</w:t>
      </w:r>
      <w:r w:rsidRPr="00FE7977">
        <w:t xml:space="preserve"> </w:t>
      </w:r>
      <w:r>
        <w:t xml:space="preserve">customers' </w:t>
      </w:r>
      <w:r w:rsidRPr="0026561F">
        <w:t xml:space="preserve">willingness to pay </w:t>
      </w:r>
      <w:r>
        <w:t xml:space="preserve">for any higher costs resulting from the scheme so </w:t>
      </w:r>
      <w:r w:rsidRPr="001717EA">
        <w:t>benefits to consumers are sufficient to warrant</w:t>
      </w:r>
      <w:r>
        <w:t xml:space="preserve"> any penalty or reward.</w:t>
      </w:r>
      <w:r>
        <w:rPr>
          <w:rStyle w:val="FootnoteReference"/>
        </w:rPr>
        <w:footnoteReference w:id="201"/>
      </w:r>
      <w:r>
        <w:t xml:space="preserve"> </w:t>
      </w:r>
    </w:p>
    <w:p w:rsidR="00A165F2" w:rsidRPr="00E759C3" w:rsidRDefault="00A165F2" w:rsidP="00A825FE">
      <w:pPr>
        <w:pStyle w:val="AERbodytext"/>
      </w:pPr>
      <w:r>
        <w:t>W</w:t>
      </w:r>
      <w:r w:rsidRPr="00E759C3">
        <w:t xml:space="preserve">e assess projects for which distributor's apply for DMIA funding under a specific set of criteria.  The DMIA aims to enhance distributors' knowledge and experience with non-network alternatives, therefore improving the consideration of </w:t>
      </w:r>
      <w:r>
        <w:t>demand management</w:t>
      </w:r>
      <w:r w:rsidRPr="00E759C3">
        <w:t xml:space="preserve"> in future decision making. This means the benefits of any higher consumer prices directly caused by the scheme may not be revealed until later periods. Benefits include more efficient utilisation of existing network infrastructure and the deferral of network augmentation expenditure. </w:t>
      </w:r>
    </w:p>
    <w:p w:rsidR="00A165F2" w:rsidRPr="008B29D6" w:rsidRDefault="00A165F2" w:rsidP="00A825FE">
      <w:pPr>
        <w:pStyle w:val="AERbodytext"/>
      </w:pPr>
      <w:r>
        <w:t>We expect the potential long-term efficiency gains resulting from improved distributor capability to undertake demand management</w:t>
      </w:r>
      <w:r w:rsidRPr="00EB54E7">
        <w:t xml:space="preserve"> </w:t>
      </w:r>
      <w:r>
        <w:t xml:space="preserve">initiatives to </w:t>
      </w:r>
      <w:r w:rsidRPr="00EB54E7">
        <w:t>outweigh short</w:t>
      </w:r>
      <w:r>
        <w:t>-</w:t>
      </w:r>
      <w:r w:rsidRPr="00EB54E7">
        <w:t>term price increases.</w:t>
      </w:r>
      <w:r>
        <w:t xml:space="preserve"> </w:t>
      </w:r>
      <w:r w:rsidRPr="002739D2">
        <w:t xml:space="preserve"> </w:t>
      </w:r>
      <w:r>
        <w:t xml:space="preserve">Price impacts will be minimal as adjustments to annual revenue under the DMIA are capped at modest levels </w:t>
      </w:r>
      <w:r w:rsidR="000373AE">
        <w:t>and allowances are provided on a</w:t>
      </w:r>
      <w:r w:rsidRPr="008B29D6">
        <w:t xml:space="preserve"> 'use it or lose it' basis.</w:t>
      </w:r>
    </w:p>
    <w:p w:rsidR="00A165F2" w:rsidRPr="00E036F1" w:rsidRDefault="00A165F2" w:rsidP="00A825FE">
      <w:pPr>
        <w:pStyle w:val="AERbodytext"/>
      </w:pPr>
      <w:r w:rsidRPr="00E036F1">
        <w:t>While studies</w:t>
      </w:r>
      <w:r>
        <w:rPr>
          <w:rStyle w:val="FootnoteReference"/>
        </w:rPr>
        <w:footnoteReference w:id="202"/>
      </w:r>
      <w:r w:rsidRPr="00E036F1">
        <w:t xml:space="preserve"> to date indicate that customers are supportive</w:t>
      </w:r>
      <w:r>
        <w:t xml:space="preserve"> of demand management initiatives</w:t>
      </w:r>
      <w:r w:rsidRPr="00E036F1">
        <w:t xml:space="preserve"> in principle</w:t>
      </w:r>
      <w:r>
        <w:t xml:space="preserve">, </w:t>
      </w:r>
      <w:r w:rsidRPr="00E036F1">
        <w:t>we know little about their willingness to pay.</w:t>
      </w:r>
      <w:r>
        <w:t xml:space="preserve"> We consider our proposed application of the DMIS to be suitable in light of this limited information, given that the modest level of the DMIA means potential price increases will be minimal. </w:t>
      </w:r>
    </w:p>
    <w:p w:rsidR="00A165F2" w:rsidRPr="00E036F1" w:rsidRDefault="00A165F2" w:rsidP="001A5F4C">
      <w:pPr>
        <w:pStyle w:val="HeadingBoldBlue"/>
      </w:pPr>
      <w:r>
        <w:t>Balanced incentives</w:t>
      </w:r>
    </w:p>
    <w:p w:rsidR="00A165F2" w:rsidRPr="00E759C3" w:rsidRDefault="00A165F2" w:rsidP="00A825FE">
      <w:pPr>
        <w:pStyle w:val="AERbodytext"/>
      </w:pPr>
      <w:r>
        <w:t xml:space="preserve">We administer our </w:t>
      </w:r>
      <w:r w:rsidRPr="00E759C3">
        <w:t xml:space="preserve">incentive schemes within a regulatory control period to align distributor incentives with the </w:t>
      </w:r>
      <w:r>
        <w:t>National Electricity Objective</w:t>
      </w:r>
      <w:r w:rsidRPr="00E759C3">
        <w:t>. In implementing the DMIS, we need to be aware of how the scheme interacts within a distributor's overall incentive environment.</w:t>
      </w:r>
    </w:p>
    <w:p w:rsidR="00A165F2" w:rsidRDefault="00A165F2" w:rsidP="006336FA">
      <w:pPr>
        <w:pStyle w:val="HeadingItalic"/>
      </w:pPr>
      <w:r>
        <w:lastRenderedPageBreak/>
        <w:t>Control mechanism and service classification</w:t>
      </w:r>
    </w:p>
    <w:p w:rsidR="00A165F2" w:rsidRPr="00E759C3" w:rsidRDefault="00A165F2" w:rsidP="00A825FE">
      <w:pPr>
        <w:pStyle w:val="AERbodytext"/>
      </w:pPr>
      <w:r>
        <w:t xml:space="preserve">The </w:t>
      </w:r>
      <w:r w:rsidRPr="00E759C3">
        <w:t xml:space="preserve">rules require </w:t>
      </w:r>
      <w:r>
        <w:t>us to</w:t>
      </w:r>
      <w:r w:rsidRPr="00E759C3">
        <w:t xml:space="preserve"> have regard for how a distributor's control mechanism influences its incentives to adopt or implement efficient non-network alternatives to network augmentation.</w:t>
      </w:r>
      <w:r w:rsidRPr="00E759C3">
        <w:rPr>
          <w:rStyle w:val="FootnoteReference"/>
        </w:rPr>
        <w:footnoteReference w:id="203"/>
      </w:r>
      <w:r>
        <w:t xml:space="preserve"> We consider that a revenue cap form of control does not provide a disincentive for the </w:t>
      </w:r>
      <w:r w:rsidR="00850953">
        <w:t xml:space="preserve">Victorian </w:t>
      </w:r>
      <w:r>
        <w:t xml:space="preserve">distributors to reduce the quantity of electricity as approved regulated revenues are not dependent on the quantity of electricity sold. That is, under a form of control where revenue is at least partially dependent on the quantity of electricity sold (for example, a price cap), a successful demand management program that causes a reduction in demand may result in less revenue for a distributor. A revenue cap avoids this scenario. </w:t>
      </w:r>
    </w:p>
    <w:p w:rsidR="00A165F2" w:rsidRPr="00E759C3" w:rsidRDefault="00A165F2" w:rsidP="00A825FE">
      <w:pPr>
        <w:pStyle w:val="AERbodytext"/>
      </w:pPr>
      <w:r>
        <w:t xml:space="preserve">We are also required to consider the effect of service classification on </w:t>
      </w:r>
      <w:r w:rsidRPr="00E759C3">
        <w:t>a distributor's incentive to adopt or implement efficient embedded generator connections.</w:t>
      </w:r>
      <w:r w:rsidRPr="00E759C3">
        <w:rPr>
          <w:rStyle w:val="FootnoteReference"/>
        </w:rPr>
        <w:footnoteReference w:id="204"/>
      </w:r>
      <w:r w:rsidRPr="00E759C3">
        <w:t xml:space="preserve"> We consider our proposed application of the DMIS meets this requirement as </w:t>
      </w:r>
      <w:r w:rsidR="00850953">
        <w:t xml:space="preserve">Victorian </w:t>
      </w:r>
      <w:r w:rsidRPr="00E759C3">
        <w:t xml:space="preserve">distributors will be under a revenue cap in the </w:t>
      </w:r>
      <w:r>
        <w:t>next</w:t>
      </w:r>
      <w:r w:rsidRPr="00E759C3">
        <w:t xml:space="preserve"> regulatory control period. </w:t>
      </w:r>
    </w:p>
    <w:p w:rsidR="00A165F2" w:rsidRDefault="00A165F2" w:rsidP="006336FA">
      <w:pPr>
        <w:pStyle w:val="HeadingItalic"/>
      </w:pPr>
      <w:r>
        <w:t>Distributor's ability to offer efficient pricing structures</w:t>
      </w:r>
    </w:p>
    <w:p w:rsidR="00A165F2" w:rsidRDefault="00A165F2" w:rsidP="00A825FE">
      <w:pPr>
        <w:pStyle w:val="AERbodytext"/>
      </w:pPr>
      <w:r w:rsidRPr="001C59F3">
        <w:t xml:space="preserve">The </w:t>
      </w:r>
      <w:r>
        <w:t>r</w:t>
      </w:r>
      <w:r w:rsidRPr="001C59F3">
        <w:t xml:space="preserve">ules also require </w:t>
      </w:r>
      <w:r>
        <w:t>us to</w:t>
      </w:r>
      <w:r w:rsidRPr="001C59F3">
        <w:t xml:space="preserve"> consider the extent </w:t>
      </w:r>
      <w:r>
        <w:t xml:space="preserve">to which </w:t>
      </w:r>
      <w:r w:rsidRPr="001C59F3">
        <w:t>the distributor is able to offer efficient pricing structures in our design and implementation of a DMIS.</w:t>
      </w:r>
      <w:r w:rsidRPr="004C7901">
        <w:rPr>
          <w:rStyle w:val="FootnoteReference"/>
        </w:rPr>
        <w:footnoteReference w:id="205"/>
      </w:r>
      <w:r>
        <w:t xml:space="preserve"> </w:t>
      </w:r>
      <w:r w:rsidRPr="001C59F3">
        <w:t xml:space="preserve">Efficient pricing structures reflect the true costs of supplying electricity at a particular part of the network at any given time. </w:t>
      </w:r>
      <w:r>
        <w:t>These</w:t>
      </w:r>
      <w:r w:rsidRPr="001C59F3">
        <w:t xml:space="preserve"> tariff structures</w:t>
      </w:r>
      <w:r>
        <w:t xml:space="preserve"> would price electricity</w:t>
      </w:r>
      <w:r w:rsidRPr="001C59F3">
        <w:t xml:space="preserve"> highest during peak demand</w:t>
      </w:r>
      <w:r>
        <w:t xml:space="preserve"> periods</w:t>
      </w:r>
      <w:r w:rsidRPr="001C59F3">
        <w:t>, reflecting the high costs of transporting energy when a networ</w:t>
      </w:r>
      <w:r>
        <w:t>k utilisation is at its highest. This price signal would discourage grid electricity usage at these times, lowering peak demand and adjusting network utilisation downwards.</w:t>
      </w:r>
    </w:p>
    <w:p w:rsidR="00A165F2" w:rsidRPr="00E759C3" w:rsidRDefault="00F63597" w:rsidP="00A825FE">
      <w:pPr>
        <w:pStyle w:val="AERbodytext"/>
      </w:pPr>
      <w:r>
        <w:t xml:space="preserve">The ability of Victorian </w:t>
      </w:r>
      <w:r w:rsidR="00A165F2" w:rsidRPr="00E759C3">
        <w:t xml:space="preserve">distributors' to </w:t>
      </w:r>
      <w:r w:rsidR="00FC082E">
        <w:t>adopt more</w:t>
      </w:r>
      <w:r w:rsidR="00A165F2" w:rsidRPr="00E759C3">
        <w:t xml:space="preserve"> efficient price signals is </w:t>
      </w:r>
      <w:r>
        <w:t xml:space="preserve">enhanced </w:t>
      </w:r>
      <w:r w:rsidR="00A165F2" w:rsidRPr="00E759C3">
        <w:t xml:space="preserve">by the </w:t>
      </w:r>
      <w:r>
        <w:t xml:space="preserve">now high </w:t>
      </w:r>
      <w:r w:rsidR="00A165F2" w:rsidRPr="00E759C3">
        <w:t xml:space="preserve"> penetration of the required metering and other enabling technologies. We consider that </w:t>
      </w:r>
      <w:r w:rsidR="00FC082E">
        <w:t xml:space="preserve">moves to </w:t>
      </w:r>
      <w:r w:rsidR="00A165F2" w:rsidRPr="00E759C3">
        <w:t xml:space="preserve">efficient pricing, enabled by 'smarter' grid technologies will have a significant impact on distribution network utilisation in the future. </w:t>
      </w:r>
      <w:r w:rsidR="00FC082E">
        <w:t xml:space="preserve">Additionally, retail pricing tariffs have not in the past mirrored the cost reflective distribution tariffs approved by us. </w:t>
      </w:r>
      <w:r w:rsidR="003621FD">
        <w:t>T</w:t>
      </w:r>
      <w:r w:rsidR="00FC082E">
        <w:t xml:space="preserve">he DMIA </w:t>
      </w:r>
      <w:r w:rsidR="00A165F2" w:rsidRPr="00E759C3">
        <w:t xml:space="preserve">incentivises distributors to trial measures that will assist the transition of networks </w:t>
      </w:r>
      <w:r w:rsidR="00A165F2">
        <w:t>to more efficient pricing</w:t>
      </w:r>
      <w:r w:rsidR="00A165F2" w:rsidRPr="00E759C3">
        <w:t xml:space="preserve">.   </w:t>
      </w:r>
    </w:p>
    <w:p w:rsidR="00A165F2" w:rsidRDefault="00A165F2" w:rsidP="006336FA">
      <w:pPr>
        <w:pStyle w:val="HeadingItalic"/>
      </w:pPr>
      <w:r>
        <w:t>Interaction with our other incentive schemes</w:t>
      </w:r>
    </w:p>
    <w:p w:rsidR="00A165F2" w:rsidRDefault="00A165F2" w:rsidP="00A165F2">
      <w:r>
        <w:t xml:space="preserve">The </w:t>
      </w:r>
      <w:r w:rsidRPr="00DA3B57">
        <w:t xml:space="preserve">DMIA </w:t>
      </w:r>
      <w:r>
        <w:t xml:space="preserve">intends to encourage businesses to investigate and implement innovative demand management strategies, regardless of their potential efficiency. </w:t>
      </w:r>
      <w:r>
        <w:rPr>
          <w:rStyle w:val="AERbody"/>
        </w:rPr>
        <w:t xml:space="preserve">In developing and implementing the DMIS in </w:t>
      </w:r>
      <w:r w:rsidR="00CD4D5E">
        <w:rPr>
          <w:rStyle w:val="AERbody"/>
        </w:rPr>
        <w:t>Vic</w:t>
      </w:r>
      <w:r>
        <w:rPr>
          <w:rStyle w:val="AERbody"/>
        </w:rPr>
        <w:t xml:space="preserve">, we must consider how it could potentially interact with </w:t>
      </w:r>
      <w:r>
        <w:t>our other incentive schemes.</w:t>
      </w:r>
      <w:r w:rsidRPr="00B96486">
        <w:rPr>
          <w:rStyle w:val="FootnoteReference"/>
        </w:rPr>
        <w:footnoteReference w:id="206"/>
      </w:r>
      <w:r>
        <w:t xml:space="preserve"> Neither our expenditure incentive schemes (EBSS and CESS) nor STPIS intend to discourage a distributor from using its DMIA allowance.</w:t>
      </w:r>
    </w:p>
    <w:p w:rsidR="00A165F2" w:rsidRDefault="00EF33EF" w:rsidP="00A165F2">
      <w:r w:rsidRPr="00EF33EF">
        <w:t>While a distributor's annual opex allowance incorporates the DMIA allowances, we may exclude the DMIA from the EBSS.</w:t>
      </w:r>
      <w:r w:rsidRPr="00EF33EF">
        <w:rPr>
          <w:rStyle w:val="AERsuperscript"/>
        </w:rPr>
        <w:footnoteReference w:id="207"/>
      </w:r>
      <w:r w:rsidRPr="00EF33EF">
        <w:t xml:space="preserve"> </w:t>
      </w:r>
      <w:r w:rsidR="00A165F2">
        <w:t>Any potential substitution between opex and capex resulting from projects approved under the DMIA will be incentive-neutral as our proposed EBSS and CESS provide balanced incentives for opex and capex savings.</w:t>
      </w:r>
    </w:p>
    <w:p w:rsidR="0068102A" w:rsidRPr="0068102A" w:rsidRDefault="003A06DD" w:rsidP="0068102A">
      <w:pPr>
        <w:pStyle w:val="Heading2"/>
      </w:pPr>
      <w:bookmarkStart w:id="202" w:name="_Toc388976547"/>
      <w:r>
        <w:lastRenderedPageBreak/>
        <w:t>Incentive scheme benchmarks for the 2016 regulatory year</w:t>
      </w:r>
      <w:bookmarkEnd w:id="202"/>
    </w:p>
    <w:p w:rsidR="0068102A" w:rsidRDefault="003A06DD" w:rsidP="00A165F2">
      <w:r>
        <w:t xml:space="preserve">The rules provide that we are to make a preliminary determination for the </w:t>
      </w:r>
      <w:r w:rsidR="00850953">
        <w:t xml:space="preserve">Victorian </w:t>
      </w:r>
      <w:r>
        <w:t xml:space="preserve">distributors for the 2016–20 regulatory control period by 31 October 2015 which will take effect on 1 January 2016. We are then required to re-open the determination and make a </w:t>
      </w:r>
      <w:r w:rsidR="004530D4">
        <w:t xml:space="preserve">substitute </w:t>
      </w:r>
      <w:r>
        <w:t xml:space="preserve">determination by 30 April 2016. The making of a </w:t>
      </w:r>
      <w:r w:rsidR="004530D4">
        <w:t xml:space="preserve">substitute </w:t>
      </w:r>
      <w:r>
        <w:t xml:space="preserve"> determination for 2016 after the year has started raises the question of which incentive scheme benchmarks / targets should be applied to the </w:t>
      </w:r>
      <w:r w:rsidR="00850953">
        <w:t xml:space="preserve">Victorian </w:t>
      </w:r>
      <w:r>
        <w:t>distributors in 2016.</w:t>
      </w:r>
    </w:p>
    <w:p w:rsidR="0068102A" w:rsidRDefault="00C90B78" w:rsidP="00A165F2">
      <w:r>
        <w:t xml:space="preserve">Our preliminary position is </w:t>
      </w:r>
      <w:r w:rsidR="002D360F">
        <w:t xml:space="preserve">to </w:t>
      </w:r>
      <w:r w:rsidR="000D4B25">
        <w:t xml:space="preserve">ultimately </w:t>
      </w:r>
      <w:r w:rsidR="002D360F">
        <w:t>apply the EBSS and CESS benchmarks, and DMIA</w:t>
      </w:r>
      <w:r w:rsidR="004F182E">
        <w:t xml:space="preserve"> amount</w:t>
      </w:r>
      <w:r w:rsidR="002D360F">
        <w:t xml:space="preserve">, as determined in our </w:t>
      </w:r>
      <w:r w:rsidR="004530D4">
        <w:t xml:space="preserve">substitute </w:t>
      </w:r>
      <w:r w:rsidR="002D360F">
        <w:t xml:space="preserve"> determination</w:t>
      </w:r>
      <w:r w:rsidR="000D4B25">
        <w:t xml:space="preserve"> rather than those fro</w:t>
      </w:r>
      <w:r w:rsidR="004530D4">
        <w:t>m our preliminary determination</w:t>
      </w:r>
      <w:r w:rsidR="002D360F">
        <w:t xml:space="preserve">. </w:t>
      </w:r>
      <w:r w:rsidR="008629DB">
        <w:t>We consider that it is important for the incentive scheme benchmarks to reflect our ultimate decision on the efficient expenditure allowances.</w:t>
      </w:r>
    </w:p>
    <w:p w:rsidR="0068102A" w:rsidRPr="0068102A" w:rsidRDefault="0068102A" w:rsidP="0068102A">
      <w:pPr>
        <w:pStyle w:val="AERbodytext"/>
        <w:rPr>
          <w:rStyle w:val="AERbody"/>
        </w:rPr>
      </w:pPr>
      <w:r w:rsidRPr="0068102A">
        <w:rPr>
          <w:rStyle w:val="AERbody"/>
        </w:rPr>
        <w:t>If the expenditure scheme benchmarks</w:t>
      </w:r>
      <w:r w:rsidR="008A6E05">
        <w:rPr>
          <w:rStyle w:val="FootnoteReference"/>
        </w:rPr>
        <w:footnoteReference w:id="208"/>
      </w:r>
      <w:r w:rsidR="008A6E05">
        <w:rPr>
          <w:rStyle w:val="AERbody"/>
        </w:rPr>
        <w:t xml:space="preserve"> </w:t>
      </w:r>
      <w:r w:rsidRPr="0068102A">
        <w:rPr>
          <w:rStyle w:val="AERbody"/>
        </w:rPr>
        <w:t xml:space="preserve">increase from preliminary determination to </w:t>
      </w:r>
      <w:r w:rsidR="004530D4">
        <w:rPr>
          <w:rStyle w:val="AERbody"/>
        </w:rPr>
        <w:t xml:space="preserve">substitute </w:t>
      </w:r>
      <w:r w:rsidRPr="0068102A">
        <w:rPr>
          <w:rStyle w:val="AERbody"/>
        </w:rPr>
        <w:t xml:space="preserve"> determination, then the lower benchmarks in the preliminary determination ultimately increase the incentives for the </w:t>
      </w:r>
      <w:r w:rsidR="00850953">
        <w:rPr>
          <w:rStyle w:val="AERbody"/>
        </w:rPr>
        <w:t xml:space="preserve">Victorian </w:t>
      </w:r>
      <w:r w:rsidRPr="0068102A">
        <w:rPr>
          <w:rStyle w:val="AERbody"/>
        </w:rPr>
        <w:t xml:space="preserve">distributors to seek efficiencies. Neither the </w:t>
      </w:r>
      <w:r w:rsidR="00850953">
        <w:rPr>
          <w:rStyle w:val="AERbody"/>
        </w:rPr>
        <w:t xml:space="preserve">Victorian </w:t>
      </w:r>
      <w:r w:rsidRPr="0068102A">
        <w:rPr>
          <w:rStyle w:val="AERbody"/>
        </w:rPr>
        <w:t>distributors nor consumers are made worse-off by updating the expenditure scheme benchmarks to reflect the ultimate (</w:t>
      </w:r>
      <w:r w:rsidR="004530D4">
        <w:rPr>
          <w:rStyle w:val="AERbody"/>
        </w:rPr>
        <w:t xml:space="preserve">substitute </w:t>
      </w:r>
      <w:r w:rsidRPr="0068102A">
        <w:rPr>
          <w:rStyle w:val="AERbody"/>
        </w:rPr>
        <w:t>) determination.</w:t>
      </w:r>
    </w:p>
    <w:p w:rsidR="0068102A" w:rsidRPr="0068102A" w:rsidRDefault="0068102A" w:rsidP="0068102A">
      <w:pPr>
        <w:pStyle w:val="AERbodytext"/>
        <w:rPr>
          <w:rStyle w:val="AERbody"/>
        </w:rPr>
      </w:pPr>
      <w:r w:rsidRPr="0068102A">
        <w:rPr>
          <w:rStyle w:val="AERbody"/>
        </w:rPr>
        <w:t xml:space="preserve">If the expenditure scheme benchmarks decrease from preliminary determination to </w:t>
      </w:r>
      <w:r w:rsidR="004530D4">
        <w:rPr>
          <w:rStyle w:val="AERbody"/>
        </w:rPr>
        <w:t xml:space="preserve">substitute </w:t>
      </w:r>
      <w:r w:rsidRPr="0068102A">
        <w:rPr>
          <w:rStyle w:val="AERbody"/>
        </w:rPr>
        <w:t xml:space="preserve"> determination, then there is the possibility that a </w:t>
      </w:r>
      <w:r w:rsidR="00850953">
        <w:rPr>
          <w:rStyle w:val="AERbody"/>
        </w:rPr>
        <w:t xml:space="preserve">Victorian </w:t>
      </w:r>
      <w:r w:rsidRPr="0068102A">
        <w:rPr>
          <w:rStyle w:val="AERbody"/>
        </w:rPr>
        <w:t xml:space="preserve">distributor achieves outturn expenditure that is below the benchmark from the preliminary determination but above the benchmark from the </w:t>
      </w:r>
      <w:r w:rsidR="004530D4">
        <w:rPr>
          <w:rStyle w:val="AERbody"/>
        </w:rPr>
        <w:t xml:space="preserve">substitute </w:t>
      </w:r>
      <w:r w:rsidRPr="0068102A">
        <w:rPr>
          <w:rStyle w:val="AERbody"/>
        </w:rPr>
        <w:t xml:space="preserve"> determination. In this case, the distributor is rewarded if the benchmark from the preliminary determination is retained but is penalised if the benchmark from the </w:t>
      </w:r>
      <w:r w:rsidR="004530D4">
        <w:rPr>
          <w:rStyle w:val="AERbody"/>
        </w:rPr>
        <w:t xml:space="preserve">substitute </w:t>
      </w:r>
      <w:r w:rsidRPr="0068102A">
        <w:rPr>
          <w:rStyle w:val="AERbody"/>
        </w:rPr>
        <w:t xml:space="preserve"> determination is adopted. </w:t>
      </w:r>
    </w:p>
    <w:p w:rsidR="0068102A" w:rsidRDefault="0068102A" w:rsidP="0068102A">
      <w:pPr>
        <w:pStyle w:val="AERbodytext"/>
        <w:rPr>
          <w:rStyle w:val="AERbody"/>
        </w:rPr>
      </w:pPr>
      <w:r w:rsidRPr="0068102A">
        <w:rPr>
          <w:rStyle w:val="AERbody"/>
        </w:rPr>
        <w:t xml:space="preserve">Equally in this case, if the preliminary determination benchmark is retained, customers are required to </w:t>
      </w:r>
      <w:r w:rsidR="000D4B25">
        <w:rPr>
          <w:rStyle w:val="AERbody"/>
        </w:rPr>
        <w:t>fund</w:t>
      </w:r>
      <w:r w:rsidRPr="0068102A">
        <w:rPr>
          <w:rStyle w:val="AERbody"/>
        </w:rPr>
        <w:t xml:space="preserve"> the reward provided to the distributor despite its outturn expenditure being below the efficient level as ultimately forecast in the </w:t>
      </w:r>
      <w:r w:rsidR="004530D4">
        <w:rPr>
          <w:rStyle w:val="AERbody"/>
        </w:rPr>
        <w:t xml:space="preserve">substitute </w:t>
      </w:r>
      <w:r w:rsidRPr="0068102A">
        <w:rPr>
          <w:rStyle w:val="AERbody"/>
        </w:rPr>
        <w:t xml:space="preserve"> determination. If the benchmark from the </w:t>
      </w:r>
      <w:r w:rsidR="004530D4">
        <w:rPr>
          <w:rStyle w:val="AERbody"/>
        </w:rPr>
        <w:t xml:space="preserve">substitute </w:t>
      </w:r>
      <w:r w:rsidRPr="0068102A">
        <w:rPr>
          <w:rStyle w:val="AERbody"/>
        </w:rPr>
        <w:t xml:space="preserve"> determination is adopted, the distributor is penalised for outturn expenditure that may have been committed during the months in which the benchmark existing at the time would not have resulted in a penalty.</w:t>
      </w:r>
    </w:p>
    <w:p w:rsidR="000D4B25" w:rsidRPr="0068102A" w:rsidRDefault="00264A75" w:rsidP="0068102A">
      <w:pPr>
        <w:pStyle w:val="AERbodytext"/>
        <w:rPr>
          <w:rStyle w:val="AERbody"/>
        </w:rPr>
      </w:pPr>
      <w:r>
        <w:rPr>
          <w:rStyle w:val="AERbody"/>
        </w:rPr>
        <w:t>On balance, we</w:t>
      </w:r>
      <w:r w:rsidR="000D4B25">
        <w:rPr>
          <w:rStyle w:val="AERbody"/>
        </w:rPr>
        <w:t xml:space="preserve"> consider that</w:t>
      </w:r>
      <w:r>
        <w:rPr>
          <w:rStyle w:val="AERbody"/>
        </w:rPr>
        <w:t xml:space="preserve"> the factors we must consider</w:t>
      </w:r>
      <w:r>
        <w:rPr>
          <w:rStyle w:val="FootnoteReference"/>
        </w:rPr>
        <w:footnoteReference w:id="209"/>
      </w:r>
      <w:r>
        <w:rPr>
          <w:rStyle w:val="AERbody"/>
        </w:rPr>
        <w:t xml:space="preserve"> when implementing an EBSS, CESS, or DMIS are better promoted by adopting the benchmarks from our </w:t>
      </w:r>
      <w:r w:rsidR="004530D4">
        <w:rPr>
          <w:rStyle w:val="AERbody"/>
        </w:rPr>
        <w:t xml:space="preserve">substitute </w:t>
      </w:r>
      <w:r>
        <w:rPr>
          <w:rStyle w:val="AERbody"/>
        </w:rPr>
        <w:t xml:space="preserve"> determinations.</w:t>
      </w:r>
      <w:r w:rsidR="00091EF0">
        <w:rPr>
          <w:rStyle w:val="AERbody"/>
        </w:rPr>
        <w:t xml:space="preserve"> </w:t>
      </w:r>
      <w:r w:rsidR="008629DB">
        <w:rPr>
          <w:rStyle w:val="AERbody"/>
        </w:rPr>
        <w:t xml:space="preserve">Expenditure allowances may not decrease from preliminary determination to </w:t>
      </w:r>
      <w:r w:rsidR="004530D4">
        <w:rPr>
          <w:rStyle w:val="AERbody"/>
        </w:rPr>
        <w:t xml:space="preserve">substitute </w:t>
      </w:r>
      <w:r w:rsidR="008629DB">
        <w:rPr>
          <w:rStyle w:val="AERbody"/>
        </w:rPr>
        <w:t xml:space="preserve"> determination, </w:t>
      </w:r>
      <w:r w:rsidR="008A6E05">
        <w:rPr>
          <w:rStyle w:val="AERbody"/>
        </w:rPr>
        <w:t xml:space="preserve">and if they do the outturn expenditure of the </w:t>
      </w:r>
      <w:r w:rsidR="00850953">
        <w:rPr>
          <w:rStyle w:val="AERbody"/>
        </w:rPr>
        <w:t xml:space="preserve">Victorian </w:t>
      </w:r>
      <w:r w:rsidR="008A6E05">
        <w:rPr>
          <w:rStyle w:val="AERbody"/>
        </w:rPr>
        <w:t>distributors may not fall between the two allowances</w:t>
      </w:r>
      <w:r w:rsidR="008629DB">
        <w:rPr>
          <w:rStyle w:val="AERbody"/>
        </w:rPr>
        <w:t>. In any case, t</w:t>
      </w:r>
      <w:r w:rsidR="00091EF0">
        <w:rPr>
          <w:rStyle w:val="AERbody"/>
        </w:rPr>
        <w:t xml:space="preserve">he </w:t>
      </w:r>
      <w:r w:rsidR="00850953">
        <w:rPr>
          <w:rStyle w:val="AERbody"/>
        </w:rPr>
        <w:t xml:space="preserve">Victorian </w:t>
      </w:r>
      <w:r w:rsidR="00091EF0">
        <w:rPr>
          <w:rStyle w:val="AERbody"/>
        </w:rPr>
        <w:t xml:space="preserve">distributors are likely to </w:t>
      </w:r>
      <w:r w:rsidR="00FD549A">
        <w:rPr>
          <w:rStyle w:val="AERbody"/>
        </w:rPr>
        <w:t xml:space="preserve">have some ability to </w:t>
      </w:r>
      <w:r w:rsidR="008629DB">
        <w:rPr>
          <w:rStyle w:val="AERbody"/>
        </w:rPr>
        <w:t xml:space="preserve">adjust expenditure programs in response to </w:t>
      </w:r>
      <w:r w:rsidR="00FD549A">
        <w:rPr>
          <w:rStyle w:val="AERbody"/>
        </w:rPr>
        <w:t>t</w:t>
      </w:r>
      <w:r w:rsidR="008629DB">
        <w:rPr>
          <w:rStyle w:val="AERbody"/>
        </w:rPr>
        <w:t xml:space="preserve">he </w:t>
      </w:r>
      <w:r w:rsidR="004530D4">
        <w:rPr>
          <w:rStyle w:val="AERbody"/>
        </w:rPr>
        <w:t xml:space="preserve">substitute </w:t>
      </w:r>
      <w:r w:rsidR="008629DB">
        <w:rPr>
          <w:rStyle w:val="AERbody"/>
        </w:rPr>
        <w:t xml:space="preserve"> determination.</w:t>
      </w:r>
    </w:p>
    <w:p w:rsidR="0068102A" w:rsidRDefault="0068102A" w:rsidP="00A165F2"/>
    <w:p w:rsidR="00562F66" w:rsidRPr="00084259" w:rsidRDefault="00562F66" w:rsidP="00084259">
      <w:pPr>
        <w:pStyle w:val="Heading1"/>
      </w:pPr>
      <w:bookmarkStart w:id="203" w:name="_Toc388976548"/>
      <w:r w:rsidRPr="00084259">
        <w:lastRenderedPageBreak/>
        <w:t>Expenditure forecast assessment guideline</w:t>
      </w:r>
      <w:bookmarkEnd w:id="203"/>
    </w:p>
    <w:p w:rsidR="00562F66" w:rsidRPr="00C5041D" w:rsidRDefault="00562F66" w:rsidP="00A825FE">
      <w:pPr>
        <w:pStyle w:val="AERbodytext"/>
      </w:pPr>
      <w:r w:rsidRPr="00C5041D">
        <w:t xml:space="preserve">This </w:t>
      </w:r>
      <w:r>
        <w:t>attachment</w:t>
      </w:r>
      <w:r w:rsidRPr="00C5041D">
        <w:t xml:space="preserve"> sets out our </w:t>
      </w:r>
      <w:r>
        <w:t>intention</w:t>
      </w:r>
      <w:r w:rsidRPr="00C5041D">
        <w:t xml:space="preserve"> to apply our expenditure assessment guideline</w:t>
      </w:r>
      <w:r>
        <w:rPr>
          <w:rStyle w:val="FootnoteReference"/>
        </w:rPr>
        <w:footnoteReference w:id="210"/>
      </w:r>
      <w:r>
        <w:t xml:space="preserve"> including the information requirements to the </w:t>
      </w:r>
      <w:r w:rsidR="00850953">
        <w:t xml:space="preserve">Victorian </w:t>
      </w:r>
      <w:r>
        <w:t>distributors for the 201</w:t>
      </w:r>
      <w:r w:rsidR="00A00FBB">
        <w:t>6</w:t>
      </w:r>
      <w:r w:rsidRPr="00562F66">
        <w:t>–</w:t>
      </w:r>
      <w:r>
        <w:t xml:space="preserve">20 regulatory control period. We propose applying the guideline as it sets out our new expenditure assessment approach developed and consulted upon during the Better Regulation program. The </w:t>
      </w:r>
      <w:r w:rsidR="008F04E3">
        <w:t xml:space="preserve">expenditure forecast assessment </w:t>
      </w:r>
      <w:r>
        <w:t xml:space="preserve">guideline outlines for the distributors and interested stakeholders the types of assessments we will do to determine efficient expenditure allowances, and the information we require from the distributors to do so. </w:t>
      </w:r>
      <w:r w:rsidR="00F33D21">
        <w:t>The Customer Challenge Panel supports this view.</w:t>
      </w:r>
      <w:r w:rsidR="00F33D21">
        <w:rPr>
          <w:rStyle w:val="FootnoteReference"/>
        </w:rPr>
        <w:footnoteReference w:id="211"/>
      </w:r>
    </w:p>
    <w:p w:rsidR="00562F66" w:rsidRDefault="00562F66" w:rsidP="00562F66">
      <w:r w:rsidRPr="00C5041D">
        <w:t xml:space="preserve">We were required to develop the guideline </w:t>
      </w:r>
      <w:r w:rsidRPr="00E2585C">
        <w:t xml:space="preserve">under the </w:t>
      </w:r>
      <w:r>
        <w:t>r</w:t>
      </w:r>
      <w:r w:rsidRPr="00E2585C">
        <w:t>ules</w:t>
      </w:r>
      <w:r w:rsidRPr="00C5041D">
        <w:t>.</w:t>
      </w:r>
      <w:r>
        <w:rPr>
          <w:rStyle w:val="FootnoteReference"/>
        </w:rPr>
        <w:footnoteReference w:id="212"/>
      </w:r>
      <w:r w:rsidRPr="00C5041D">
        <w:t xml:space="preserve"> </w:t>
      </w:r>
      <w:r>
        <w:t xml:space="preserve">The </w:t>
      </w:r>
      <w:r w:rsidR="008F04E3">
        <w:t xml:space="preserve">expenditure assessment </w:t>
      </w:r>
      <w:r>
        <w:t xml:space="preserve">guideline is based on a nationally consistent reporting framework allowing us to compare the relative efficiencies of distributors and decide on efficient expenditure allowances. The rules required the </w:t>
      </w:r>
      <w:r w:rsidR="00850953">
        <w:t xml:space="preserve">Victorian </w:t>
      </w:r>
      <w:r w:rsidR="00A84DE3">
        <w:t>distributors to advise us by 31</w:t>
      </w:r>
      <w:r>
        <w:t> </w:t>
      </w:r>
      <w:r w:rsidR="00A84DE3">
        <w:t>May</w:t>
      </w:r>
      <w:r>
        <w:t xml:space="preserve"> 201</w:t>
      </w:r>
      <w:r w:rsidR="00A84DE3">
        <w:t>4</w:t>
      </w:r>
      <w:r>
        <w:t xml:space="preserve"> of the methodology they propose to use to prepare forecasts.</w:t>
      </w:r>
      <w:r>
        <w:rPr>
          <w:rStyle w:val="FootnoteReference"/>
        </w:rPr>
        <w:footnoteReference w:id="213"/>
      </w:r>
      <w:r>
        <w:t xml:space="preserve"> In the F&amp;A we must advise whether we will deviate from the guideline.</w:t>
      </w:r>
      <w:r>
        <w:rPr>
          <w:rStyle w:val="FootnoteReference"/>
        </w:rPr>
        <w:footnoteReference w:id="214"/>
      </w:r>
      <w:r>
        <w:t xml:space="preserve"> This will provide clarity to the distributors on how we will apply the guideline and the information they should include in their regulatory proposals. </w:t>
      </w:r>
    </w:p>
    <w:p w:rsidR="00562F66" w:rsidRPr="00C5041D" w:rsidRDefault="00562F66" w:rsidP="00562F66">
      <w:r>
        <w:t xml:space="preserve">The </w:t>
      </w:r>
      <w:r w:rsidR="008F04E3">
        <w:t xml:space="preserve">expenditure assessment </w:t>
      </w:r>
      <w:r>
        <w:t xml:space="preserve">guideline contains a suite </w:t>
      </w:r>
      <w:r w:rsidRPr="00C5041D">
        <w:t xml:space="preserve">of assessment/analytical tools and techniques to assist our review of regulatory proposals by network service providers. </w:t>
      </w:r>
      <w:r>
        <w:t xml:space="preserve">We intend to apply all the assessment tools set out in the guideline. </w:t>
      </w:r>
      <w:r w:rsidRPr="00C5041D">
        <w:t>The tool kit consists of:</w:t>
      </w:r>
    </w:p>
    <w:p w:rsidR="00562F66" w:rsidRPr="00C5041D" w:rsidRDefault="00562F66" w:rsidP="00562F66">
      <w:pPr>
        <w:pStyle w:val="AERbulletlistfirststyle"/>
      </w:pPr>
      <w:r w:rsidRPr="00C5041D">
        <w:t>models for assessing proposed replacement and augmentation capex</w:t>
      </w:r>
    </w:p>
    <w:p w:rsidR="00562F66" w:rsidRPr="00C5041D" w:rsidRDefault="00562F66" w:rsidP="00562F66">
      <w:pPr>
        <w:pStyle w:val="AERbulletlistfirststyle"/>
      </w:pPr>
      <w:r w:rsidRPr="00C5041D">
        <w:t>benchmarking (including broad economic techniques and more specific analysis of expenditure categories)</w:t>
      </w:r>
    </w:p>
    <w:p w:rsidR="00562F66" w:rsidRPr="00C5041D" w:rsidRDefault="00562F66" w:rsidP="00562F66">
      <w:pPr>
        <w:pStyle w:val="AERbulletlistfirststyle"/>
      </w:pPr>
      <w:r w:rsidRPr="00C5041D">
        <w:t>methodology, governance and policy reviews</w:t>
      </w:r>
    </w:p>
    <w:p w:rsidR="00562F66" w:rsidRPr="00C5041D" w:rsidRDefault="00562F66" w:rsidP="00562F66">
      <w:pPr>
        <w:pStyle w:val="AERbulletlistfirststyle"/>
      </w:pPr>
      <w:r w:rsidRPr="00C5041D">
        <w:t>predictive modelling and trend analysis</w:t>
      </w:r>
    </w:p>
    <w:p w:rsidR="00562F66" w:rsidRPr="00C5041D" w:rsidRDefault="00562F66" w:rsidP="00562F66">
      <w:pPr>
        <w:pStyle w:val="AERbulletlistfirststyle"/>
      </w:pPr>
      <w:r w:rsidRPr="00C5041D">
        <w:t>cost benefit analysis and detailed project reviews.</w:t>
      </w:r>
      <w:r w:rsidRPr="0064332E">
        <w:rPr>
          <w:rStyle w:val="AERsuperscript"/>
        </w:rPr>
        <w:footnoteReference w:id="215"/>
      </w:r>
    </w:p>
    <w:p w:rsidR="00562F66" w:rsidRPr="00652091" w:rsidRDefault="00562F66" w:rsidP="00562F66">
      <w:r>
        <w:t xml:space="preserve">We developed the guideline to apply broadly to all electricity transmission and distribution businesses. However, some customisation of the data requirements contained in the </w:t>
      </w:r>
      <w:r w:rsidR="008F04E3">
        <w:t xml:space="preserve">expenditure assessment </w:t>
      </w:r>
      <w:r>
        <w:t xml:space="preserve">guideline might be required. This is particularly in regard to services that we classify in different ways and are subject to different forms of control. For example, nationally consistent data for benchmarking and trend assessment of public lighting costs may not be sufficient to scrutinise the particular pricing models employed by particular distributors. The guideline itself does not explicitly require these distributors to submit or justify inputs to these models and we may request specific data to assist us with this analysis. We expect that these data customisation issues would be addressed through the Regulatory Information Notice that we will issue to the </w:t>
      </w:r>
      <w:r w:rsidR="00850953">
        <w:t xml:space="preserve">Victorian </w:t>
      </w:r>
      <w:r>
        <w:t xml:space="preserve">distributors for the next regulatory control period. This should occur after we have finalised our decisions on classification and form of control. </w:t>
      </w:r>
    </w:p>
    <w:p w:rsidR="00C1300B" w:rsidRPr="00084259" w:rsidRDefault="00C1300B" w:rsidP="00084259">
      <w:pPr>
        <w:pStyle w:val="Heading1"/>
      </w:pPr>
      <w:bookmarkStart w:id="204" w:name="_Toc388976549"/>
      <w:r w:rsidRPr="00084259">
        <w:lastRenderedPageBreak/>
        <w:t>Depreciation</w:t>
      </w:r>
      <w:bookmarkEnd w:id="204"/>
    </w:p>
    <w:p w:rsidR="00C1300B" w:rsidRDefault="00C1300B" w:rsidP="00A825FE">
      <w:pPr>
        <w:pStyle w:val="AERbodytext"/>
      </w:pPr>
      <w:r>
        <w:t>As part of the roll forward methodology, w</w:t>
      </w:r>
      <w:r w:rsidRPr="00D40315">
        <w:t xml:space="preserve">hen the RAB is updated </w:t>
      </w:r>
      <w:r w:rsidRPr="0072142A">
        <w:t>from forecast capex to actual capex</w:t>
      </w:r>
      <w:r>
        <w:t xml:space="preserve"> at the end of a regulatory control period,</w:t>
      </w:r>
      <w:r w:rsidRPr="0072142A">
        <w:t xml:space="preserve"> </w:t>
      </w:r>
      <w:r w:rsidRPr="00D40315">
        <w:t xml:space="preserve">it is also </w:t>
      </w:r>
      <w:r>
        <w:t xml:space="preserve">adjusted for </w:t>
      </w:r>
      <w:r w:rsidRPr="00D40315">
        <w:t>depreciat</w:t>
      </w:r>
      <w:r>
        <w:t>ion</w:t>
      </w:r>
      <w:r w:rsidRPr="00D40315">
        <w:t xml:space="preserve">. </w:t>
      </w:r>
      <w:r w:rsidRPr="0072142A">
        <w:t xml:space="preserve">This </w:t>
      </w:r>
      <w:r>
        <w:t xml:space="preserve">attachment </w:t>
      </w:r>
      <w:r w:rsidRPr="0072142A">
        <w:t>sets out our pr</w:t>
      </w:r>
      <w:r>
        <w:t>eliminary</w:t>
      </w:r>
      <w:r w:rsidRPr="0072142A">
        <w:t xml:space="preserve"> approach to calculating depreciation when the RAB is </w:t>
      </w:r>
      <w:r>
        <w:t>rolled forward to the commencement of the 2020</w:t>
      </w:r>
      <w:r w:rsidRPr="0072142A">
        <w:t>–2</w:t>
      </w:r>
      <w:r>
        <w:t>5</w:t>
      </w:r>
      <w:r w:rsidRPr="0072142A">
        <w:t xml:space="preserve"> regulatory control period</w:t>
      </w:r>
      <w:r>
        <w:t>.</w:t>
      </w:r>
      <w:r w:rsidRPr="002A417D">
        <w:t xml:space="preserve"> </w:t>
      </w:r>
    </w:p>
    <w:p w:rsidR="00C1300B" w:rsidRDefault="00C1300B" w:rsidP="00A825FE">
      <w:pPr>
        <w:pStyle w:val="AERbodytext"/>
      </w:pPr>
      <w:r>
        <w:t>The depreciation we use to roll forward the RAB can be based on either:</w:t>
      </w:r>
    </w:p>
    <w:p w:rsidR="00C1300B" w:rsidRDefault="00C1300B" w:rsidP="00C1300B">
      <w:pPr>
        <w:pStyle w:val="AERbulletlistfirststyle"/>
      </w:pPr>
      <w:r>
        <w:t>A</w:t>
      </w:r>
      <w:r w:rsidRPr="00D40315">
        <w:t xml:space="preserve">ctual </w:t>
      </w:r>
      <w:r>
        <w:t xml:space="preserve">capex incurred during the regulatory control period (actual </w:t>
      </w:r>
      <w:r w:rsidRPr="00D40315">
        <w:t>depreciation</w:t>
      </w:r>
      <w:r>
        <w:t>). W</w:t>
      </w:r>
      <w:r w:rsidRPr="00C672D5">
        <w:t xml:space="preserve">e roll forward the RAB based on actual capex less the depreciation on the actual capex incurred by the </w:t>
      </w:r>
      <w:r>
        <w:t>distributor; or</w:t>
      </w:r>
    </w:p>
    <w:p w:rsidR="00C1300B" w:rsidRDefault="00C1300B" w:rsidP="00C1300B">
      <w:pPr>
        <w:pStyle w:val="AERbulletlistfirststyle"/>
      </w:pPr>
      <w:r>
        <w:t>The capex allowance forecast at the start of the regulatory control period (for</w:t>
      </w:r>
      <w:r w:rsidRPr="00D40315">
        <w:t>ecast depreciation</w:t>
      </w:r>
      <w:r>
        <w:t>)</w:t>
      </w:r>
      <w:r w:rsidRPr="00D40315">
        <w:t>.</w:t>
      </w:r>
      <w:r>
        <w:t xml:space="preserve"> W</w:t>
      </w:r>
      <w:r w:rsidRPr="00C672D5">
        <w:t>e roll forward the RAB based on actual capex less the depreciation on the forecast capex approved for the regulatory control period.</w:t>
      </w:r>
    </w:p>
    <w:p w:rsidR="00C1300B" w:rsidRDefault="00C1300B" w:rsidP="00A825FE">
      <w:pPr>
        <w:pStyle w:val="AERbodytext"/>
      </w:pPr>
      <w:r>
        <w:t>T</w:t>
      </w:r>
      <w:r w:rsidRPr="00133013">
        <w:t>he choice of depreciation approach is one part of the overall capex incentive framework</w:t>
      </w:r>
      <w:r>
        <w:t xml:space="preserve">. </w:t>
      </w:r>
    </w:p>
    <w:p w:rsidR="00C1300B" w:rsidRDefault="00C1300B" w:rsidP="00A825FE">
      <w:pPr>
        <w:pStyle w:val="AERbodytext"/>
      </w:pPr>
      <w:r>
        <w:t>Consumers benefit from improved efficiencies through lower regulated prices. Where a CESS is applied, using forecast depreciation maintains the incentives for distributors to pursue capex efficiencies, whereas using actual depreciation would increase these incentives. There is more information on depreciation as part of the overall capex incentive framework in our capex incentives guideline.</w:t>
      </w:r>
      <w:r>
        <w:rPr>
          <w:rStyle w:val="FootnoteReference"/>
        </w:rPr>
        <w:footnoteReference w:id="216"/>
      </w:r>
      <w:r>
        <w:t xml:space="preserve"> In summary:</w:t>
      </w:r>
    </w:p>
    <w:p w:rsidR="00C1300B" w:rsidRPr="00CB21D5" w:rsidRDefault="00C1300B" w:rsidP="00C1300B">
      <w:pPr>
        <w:pStyle w:val="AERbulletlistfirststyle"/>
      </w:pPr>
      <w:r w:rsidRPr="00CB21D5">
        <w:t xml:space="preserve">If there is a capex overspend, actual depreciation will be higher than forecast depreciation. This means that the RAB will increase by a lesser amount than if forecast depreciation were used. </w:t>
      </w:r>
      <w:r>
        <w:t>So</w:t>
      </w:r>
      <w:r w:rsidRPr="00CB21D5">
        <w:t xml:space="preserve">, the </w:t>
      </w:r>
      <w:r>
        <w:t xml:space="preserve">distributor </w:t>
      </w:r>
      <w:r w:rsidRPr="00CB21D5">
        <w:t>will earn less revenue into the future (i.e. it will bear more of the cost of the overspend into the future) than if forecast depreciation had been used to roll forward the RAB.</w:t>
      </w:r>
    </w:p>
    <w:p w:rsidR="00C1300B" w:rsidRDefault="00C1300B" w:rsidP="00C1300B">
      <w:pPr>
        <w:pStyle w:val="AERbulletlistfirststyle"/>
      </w:pPr>
      <w:r w:rsidRPr="00CB21D5">
        <w:t xml:space="preserve">If there is a capex underspend, actual depreciation will be lower than forecast depreciation. This means that the RAB will increase by a greater amount than if forecast depreciation were used. Hence, the </w:t>
      </w:r>
      <w:r>
        <w:t>distributor</w:t>
      </w:r>
      <w:r w:rsidRPr="00CB21D5">
        <w:t xml:space="preserve"> will earn greater revenue into the future (i.e. it will retain more of the benefit of an underspend into the future) than if forecast depreciation had been used to roll forward the RAB.</w:t>
      </w:r>
    </w:p>
    <w:p w:rsidR="00C1300B" w:rsidRPr="00CB21D5" w:rsidRDefault="00C1300B" w:rsidP="00A825FE">
      <w:pPr>
        <w:pStyle w:val="AERbodytext"/>
      </w:pPr>
      <w:r w:rsidRPr="00695AA2">
        <w:t>The incentive from using actual depreciation to roll forward the RAB also varies with the life of the asset. Using actual depreciation will provide a stronger incentive for shorter lived assets compared to longer lived assets. Forecast depreciation, on the other hand, leads to the same incentive for all assets.</w:t>
      </w:r>
    </w:p>
    <w:p w:rsidR="00C1300B" w:rsidRPr="00084259" w:rsidRDefault="00C1300B" w:rsidP="00D50CAB">
      <w:pPr>
        <w:pStyle w:val="Heading2"/>
      </w:pPr>
      <w:bookmarkStart w:id="205" w:name="_Toc373482611"/>
      <w:bookmarkStart w:id="206" w:name="_Toc373482793"/>
      <w:bookmarkStart w:id="207" w:name="_Toc373861332"/>
      <w:bookmarkStart w:id="208" w:name="_Toc374085378"/>
      <w:bookmarkStart w:id="209" w:name="_Toc387418396"/>
      <w:bookmarkStart w:id="210" w:name="_Toc388976550"/>
      <w:r w:rsidRPr="00084259">
        <w:t>AER's preliminary position</w:t>
      </w:r>
      <w:bookmarkEnd w:id="205"/>
      <w:bookmarkEnd w:id="206"/>
      <w:bookmarkEnd w:id="207"/>
      <w:bookmarkEnd w:id="208"/>
      <w:bookmarkEnd w:id="209"/>
      <w:bookmarkEnd w:id="210"/>
    </w:p>
    <w:p w:rsidR="00C1300B" w:rsidRDefault="00C1300B" w:rsidP="00A825FE">
      <w:pPr>
        <w:pStyle w:val="AERbodytext"/>
      </w:pPr>
      <w:r>
        <w:t>Our preliminary position is</w:t>
      </w:r>
      <w:r w:rsidRPr="001E4152">
        <w:t xml:space="preserve"> to </w:t>
      </w:r>
      <w:r>
        <w:t xml:space="preserve">use the forecast depreciation approach </w:t>
      </w:r>
      <w:r w:rsidRPr="001E4152">
        <w:t xml:space="preserve">to </w:t>
      </w:r>
      <w:r>
        <w:t>establish the RAB at the commencement of the 202</w:t>
      </w:r>
      <w:r w:rsidR="004140E0">
        <w:t>1</w:t>
      </w:r>
      <w:r w:rsidRPr="00A67E62">
        <w:t>–</w:t>
      </w:r>
      <w:r>
        <w:t>2</w:t>
      </w:r>
      <w:r w:rsidR="004140E0">
        <w:t>5</w:t>
      </w:r>
      <w:r>
        <w:t xml:space="preserve"> regulatory control period for </w:t>
      </w:r>
      <w:r w:rsidR="004140E0">
        <w:t xml:space="preserve">the </w:t>
      </w:r>
      <w:r w:rsidR="00850953">
        <w:t xml:space="preserve">Victorian </w:t>
      </w:r>
      <w:r w:rsidR="004140E0">
        <w:t>distributors</w:t>
      </w:r>
      <w:r>
        <w:t>. We consider this approach will provide sufficient incentives for the distributors to achieve capex efficiency gains over the 201</w:t>
      </w:r>
      <w:r w:rsidR="004140E0">
        <w:t>6</w:t>
      </w:r>
      <w:r>
        <w:t xml:space="preserve">–20 regulatory control period. </w:t>
      </w:r>
    </w:p>
    <w:p w:rsidR="00C1300B" w:rsidRPr="00084259" w:rsidRDefault="00C1300B" w:rsidP="00084259">
      <w:pPr>
        <w:pStyle w:val="Heading2"/>
      </w:pPr>
      <w:bookmarkStart w:id="211" w:name="_Toc373482612"/>
      <w:bookmarkStart w:id="212" w:name="_Toc373482794"/>
      <w:bookmarkStart w:id="213" w:name="_Toc373861333"/>
      <w:bookmarkStart w:id="214" w:name="_Toc374085379"/>
      <w:bookmarkStart w:id="215" w:name="_Toc387418397"/>
      <w:bookmarkStart w:id="216" w:name="_Toc388976551"/>
      <w:r w:rsidRPr="00084259">
        <w:lastRenderedPageBreak/>
        <w:t>AER's assessment approach</w:t>
      </w:r>
      <w:bookmarkEnd w:id="211"/>
      <w:bookmarkEnd w:id="212"/>
      <w:bookmarkEnd w:id="213"/>
      <w:bookmarkEnd w:id="214"/>
      <w:bookmarkEnd w:id="215"/>
      <w:bookmarkEnd w:id="216"/>
    </w:p>
    <w:p w:rsidR="00C1300B" w:rsidRPr="006502F1" w:rsidRDefault="00C1300B" w:rsidP="00A825FE">
      <w:pPr>
        <w:pStyle w:val="AERbodytext"/>
      </w:pPr>
      <w:r w:rsidRPr="006502F1">
        <w:t xml:space="preserve">We </w:t>
      </w:r>
      <w:r>
        <w:t xml:space="preserve">must decide at </w:t>
      </w:r>
      <w:r w:rsidRPr="006502F1">
        <w:t xml:space="preserve">our determination whether we will use actual or forecast depreciation to </w:t>
      </w:r>
      <w:r>
        <w:t>establish</w:t>
      </w:r>
      <w:r w:rsidRPr="00A90D5F">
        <w:t xml:space="preserve"> </w:t>
      </w:r>
      <w:r>
        <w:t xml:space="preserve">a distributor's RAB </w:t>
      </w:r>
      <w:r w:rsidRPr="00A90D5F">
        <w:t>at the commencement of the following regulatory control period</w:t>
      </w:r>
      <w:r w:rsidRPr="006502F1">
        <w:t>.</w:t>
      </w:r>
      <w:r w:rsidRPr="006502F1">
        <w:rPr>
          <w:rStyle w:val="FootnoteReference"/>
        </w:rPr>
        <w:footnoteReference w:id="217"/>
      </w:r>
    </w:p>
    <w:p w:rsidR="00C1300B" w:rsidRPr="00E54964" w:rsidRDefault="00C1300B" w:rsidP="00A825FE">
      <w:pPr>
        <w:pStyle w:val="AERbodytext"/>
      </w:pPr>
      <w:r>
        <w:t xml:space="preserve">We are required to set out in our capex incentives guideline our </w:t>
      </w:r>
      <w:r w:rsidRPr="00E54964">
        <w:t xml:space="preserve">process for determining which form of depreciation </w:t>
      </w:r>
      <w:r>
        <w:t xml:space="preserve">we propose </w:t>
      </w:r>
      <w:r w:rsidRPr="00E54964">
        <w:t>to use in the</w:t>
      </w:r>
      <w:r>
        <w:t xml:space="preserve"> RAB roll </w:t>
      </w:r>
      <w:r w:rsidRPr="00E54964">
        <w:t>forward process.</w:t>
      </w:r>
      <w:r>
        <w:rPr>
          <w:rStyle w:val="FootnoteReference"/>
        </w:rPr>
        <w:footnoteReference w:id="218"/>
      </w:r>
      <w:r w:rsidRPr="00E239BB">
        <w:t xml:space="preserve"> </w:t>
      </w:r>
      <w:r>
        <w:t xml:space="preserve">Our </w:t>
      </w:r>
      <w:r w:rsidRPr="00E54964">
        <w:t xml:space="preserve">decision on whether to use actual or forecast depreciation must be consistent with the </w:t>
      </w:r>
      <w:r>
        <w:t>capex incentive objective.</w:t>
      </w:r>
      <w:r w:rsidRPr="00E54964">
        <w:t xml:space="preserve"> </w:t>
      </w:r>
      <w:r>
        <w:t xml:space="preserve">We </w:t>
      </w:r>
      <w:r w:rsidRPr="00E54964">
        <w:t>must have regard to:</w:t>
      </w:r>
      <w:r>
        <w:rPr>
          <w:rStyle w:val="FootnoteReference"/>
        </w:rPr>
        <w:footnoteReference w:id="219"/>
      </w:r>
    </w:p>
    <w:p w:rsidR="00C1300B" w:rsidRPr="00C1300B" w:rsidRDefault="00C1300B" w:rsidP="00C1300B">
      <w:pPr>
        <w:pStyle w:val="AERbulletlistfirststyle"/>
        <w:rPr>
          <w:rFonts w:eastAsia="Calibri"/>
        </w:rPr>
      </w:pPr>
      <w:r>
        <w:t xml:space="preserve">any </w:t>
      </w:r>
      <w:r w:rsidRPr="00D40315">
        <w:t xml:space="preserve">other </w:t>
      </w:r>
      <w:r w:rsidRPr="00E54964">
        <w:t xml:space="preserve">incentives the </w:t>
      </w:r>
      <w:r>
        <w:t>service provider</w:t>
      </w:r>
      <w:r w:rsidRPr="00E54964">
        <w:t xml:space="preserve"> has to undertake efficient capex</w:t>
      </w:r>
    </w:p>
    <w:p w:rsidR="00C1300B" w:rsidRPr="00E54964" w:rsidRDefault="00C1300B" w:rsidP="00C1300B">
      <w:pPr>
        <w:pStyle w:val="AERbulletlistfirststyle"/>
      </w:pPr>
      <w:r w:rsidRPr="00E54964">
        <w:t>substitution possibilities between assets with different lives</w:t>
      </w:r>
    </w:p>
    <w:p w:rsidR="00C1300B" w:rsidRPr="00E54964" w:rsidRDefault="00C1300B" w:rsidP="00C1300B">
      <w:pPr>
        <w:pStyle w:val="AERbulletlistfirststyle"/>
      </w:pPr>
      <w:r w:rsidRPr="00E54964">
        <w:t>the extent of overspending and inefficient overspending relative to the allowed forecast</w:t>
      </w:r>
    </w:p>
    <w:p w:rsidR="00C1300B" w:rsidRPr="00E54964" w:rsidRDefault="00C1300B" w:rsidP="00C1300B">
      <w:pPr>
        <w:pStyle w:val="AERbulletlistfirststyle"/>
      </w:pPr>
      <w:r>
        <w:t>the capex incentive guideline</w:t>
      </w:r>
    </w:p>
    <w:p w:rsidR="00C1300B" w:rsidRPr="00E54964" w:rsidRDefault="00C1300B" w:rsidP="00C1300B">
      <w:pPr>
        <w:pStyle w:val="AERbulletlistfirststyle"/>
      </w:pPr>
      <w:r w:rsidRPr="00E54964">
        <w:t>the capital expenditure factors.</w:t>
      </w:r>
    </w:p>
    <w:p w:rsidR="00C1300B" w:rsidRPr="00084259" w:rsidRDefault="00C1300B" w:rsidP="00084259">
      <w:pPr>
        <w:pStyle w:val="Heading2"/>
      </w:pPr>
      <w:bookmarkStart w:id="217" w:name="_Toc373482613"/>
      <w:bookmarkStart w:id="218" w:name="_Toc373482795"/>
      <w:bookmarkStart w:id="219" w:name="_Toc373861334"/>
      <w:bookmarkStart w:id="220" w:name="_Toc374085380"/>
      <w:bookmarkStart w:id="221" w:name="_Toc387418398"/>
      <w:bookmarkStart w:id="222" w:name="_Toc388976552"/>
      <w:r w:rsidRPr="00084259">
        <w:t>Reasons for AER's preliminary position</w:t>
      </w:r>
      <w:bookmarkEnd w:id="217"/>
      <w:bookmarkEnd w:id="218"/>
      <w:bookmarkEnd w:id="219"/>
      <w:bookmarkEnd w:id="220"/>
      <w:bookmarkEnd w:id="221"/>
      <w:bookmarkEnd w:id="222"/>
    </w:p>
    <w:p w:rsidR="00C1300B" w:rsidRDefault="00C1300B" w:rsidP="00A825FE">
      <w:pPr>
        <w:pStyle w:val="AERbodytext"/>
      </w:pPr>
      <w:r>
        <w:t>Consistent with our capex incentives guideline, w</w:t>
      </w:r>
      <w:r w:rsidRPr="001E4152">
        <w:t xml:space="preserve">e propose to </w:t>
      </w:r>
      <w:r>
        <w:t xml:space="preserve">use the forecast depreciation approach </w:t>
      </w:r>
      <w:r w:rsidRPr="001E4152">
        <w:t xml:space="preserve">to </w:t>
      </w:r>
      <w:r>
        <w:t>establish the RAB at the commencement of the 202</w:t>
      </w:r>
      <w:r w:rsidR="00605E61">
        <w:t>1</w:t>
      </w:r>
      <w:r w:rsidRPr="00A67E62">
        <w:t>–</w:t>
      </w:r>
      <w:r>
        <w:t>25 regulatory control period.</w:t>
      </w:r>
    </w:p>
    <w:p w:rsidR="00C1300B" w:rsidRDefault="00C1300B" w:rsidP="00C1300B">
      <w:r>
        <w:t>We had regard to the relevant factors in the rules in developing the approach to choosing depreciation set out in our capex incentives guideline.</w:t>
      </w:r>
      <w:r>
        <w:rPr>
          <w:rStyle w:val="FootnoteReference"/>
        </w:rPr>
        <w:footnoteReference w:id="220"/>
      </w:r>
      <w:r>
        <w:t xml:space="preserve"> </w:t>
      </w:r>
    </w:p>
    <w:p w:rsidR="00C1300B" w:rsidRPr="00FB2897" w:rsidRDefault="00C1300B" w:rsidP="00C1300B">
      <w:r>
        <w:t>Our approach is to apply forecast depreciation except where</w:t>
      </w:r>
      <w:r w:rsidRPr="00FB2897">
        <w:t>:</w:t>
      </w:r>
      <w:r>
        <w:t xml:space="preserve"> </w:t>
      </w:r>
    </w:p>
    <w:p w:rsidR="00C1300B" w:rsidRPr="00FB2897" w:rsidRDefault="00C1300B" w:rsidP="00C1300B">
      <w:pPr>
        <w:pStyle w:val="AERbulletlistfirststyle"/>
      </w:pPr>
      <w:r w:rsidRPr="00FB2897">
        <w:t xml:space="preserve">there is no CESS in place and therefore the power of </w:t>
      </w:r>
      <w:r>
        <w:t xml:space="preserve">the </w:t>
      </w:r>
      <w:r w:rsidRPr="00FB2897">
        <w:t>capex incent</w:t>
      </w:r>
      <w:r>
        <w:t>ive may need to be strengthened,</w:t>
      </w:r>
      <w:r w:rsidRPr="00FB2897">
        <w:t xml:space="preserve"> or</w:t>
      </w:r>
    </w:p>
    <w:p w:rsidR="00C1300B" w:rsidRPr="00FB2897" w:rsidRDefault="00C1300B" w:rsidP="00C1300B">
      <w:pPr>
        <w:pStyle w:val="AERbulletlistfirststyle"/>
      </w:pPr>
      <w:r w:rsidRPr="00FB2897">
        <w:t xml:space="preserve">a </w:t>
      </w:r>
      <w:r>
        <w:t>distributor'</w:t>
      </w:r>
      <w:r w:rsidRPr="00FB2897">
        <w:t>s past capex performance demonstrates evidence of persistent overspending</w:t>
      </w:r>
      <w:r>
        <w:t xml:space="preserve"> or inefficiency, thus requiring a higher powered incentive</w:t>
      </w:r>
      <w:r w:rsidRPr="00FB2897">
        <w:t>.</w:t>
      </w:r>
    </w:p>
    <w:p w:rsidR="00C1300B" w:rsidRPr="002B6508" w:rsidRDefault="00C1300B" w:rsidP="00A825FE">
      <w:pPr>
        <w:pStyle w:val="AERbodytext"/>
      </w:pPr>
      <w:r w:rsidRPr="002B6508">
        <w:t>In making our decision on whether to use actual depreciation in either of these circumstances we will consider:</w:t>
      </w:r>
    </w:p>
    <w:p w:rsidR="00C1300B" w:rsidRPr="002B6508" w:rsidRDefault="00C1300B" w:rsidP="00C1300B">
      <w:pPr>
        <w:pStyle w:val="AERbulletlistfirststyle"/>
      </w:pPr>
      <w:r w:rsidRPr="002B6508">
        <w:t>the substitutability between capex and opex and the balance of incentives between these</w:t>
      </w:r>
    </w:p>
    <w:p w:rsidR="00C1300B" w:rsidRPr="002B6508" w:rsidRDefault="00C1300B" w:rsidP="00C1300B">
      <w:pPr>
        <w:pStyle w:val="AERbulletlistfirststyle"/>
      </w:pPr>
      <w:r w:rsidRPr="002B6508">
        <w:t>the balance of incentives with service</w:t>
      </w:r>
    </w:p>
    <w:p w:rsidR="00C1300B" w:rsidRPr="002B6508" w:rsidRDefault="00C1300B" w:rsidP="00C1300B">
      <w:pPr>
        <w:pStyle w:val="AERbulletlistfirststyle"/>
      </w:pPr>
      <w:r w:rsidRPr="002B6508">
        <w:t>the substitutability of assets of different asset lives.</w:t>
      </w:r>
    </w:p>
    <w:p w:rsidR="00C1300B" w:rsidRDefault="00C1300B" w:rsidP="00A825FE">
      <w:pPr>
        <w:pStyle w:val="AERbodytext"/>
      </w:pPr>
      <w:r w:rsidRPr="00695AA2">
        <w:t>We have chosen forecast depreciation as our default approach because, in combination with the CESS, it will provide a 30 per cent reward</w:t>
      </w:r>
      <w:r>
        <w:t xml:space="preserve"> </w:t>
      </w:r>
      <w:r w:rsidRPr="00695AA2">
        <w:t xml:space="preserve">for capex </w:t>
      </w:r>
      <w:r>
        <w:t>underspends and 30 per cent penalty for capex overspends</w:t>
      </w:r>
      <w:r w:rsidRPr="00695AA2">
        <w:t xml:space="preserve">, which is consistent for all asset classes. </w:t>
      </w:r>
      <w:r>
        <w:t xml:space="preserve">In developing </w:t>
      </w:r>
      <w:r w:rsidRPr="002B6508">
        <w:t>our capex incentives guideline</w:t>
      </w:r>
      <w:r>
        <w:t xml:space="preserve">, </w:t>
      </w:r>
      <w:r w:rsidRPr="00695AA2">
        <w:t>we consider</w:t>
      </w:r>
      <w:r>
        <w:t>ed</w:t>
      </w:r>
      <w:r w:rsidRPr="00695AA2">
        <w:t xml:space="preserve"> this to be a sufficient incentive for a </w:t>
      </w:r>
      <w:r>
        <w:t>distributor</w:t>
      </w:r>
      <w:r w:rsidRPr="00695AA2">
        <w:t xml:space="preserve"> to achieve efficiency gains over the regulatory </w:t>
      </w:r>
      <w:r>
        <w:t xml:space="preserve">control </w:t>
      </w:r>
      <w:r w:rsidRPr="00695AA2">
        <w:t>period</w:t>
      </w:r>
      <w:r>
        <w:t xml:space="preserve"> i</w:t>
      </w:r>
      <w:r w:rsidRPr="002B6508">
        <w:t>n most circumstances</w:t>
      </w:r>
      <w:r w:rsidRPr="00695AA2">
        <w:t>.</w:t>
      </w:r>
      <w:r>
        <w:t xml:space="preserve"> </w:t>
      </w:r>
    </w:p>
    <w:p w:rsidR="00C1300B" w:rsidRDefault="0058441E" w:rsidP="00A825FE">
      <w:pPr>
        <w:pStyle w:val="AERbodytext"/>
      </w:pPr>
      <w:r>
        <w:lastRenderedPageBreak/>
        <w:t>The opening RAB for the 2016</w:t>
      </w:r>
      <w:r w:rsidRPr="00A67E62">
        <w:t>–</w:t>
      </w:r>
      <w:r>
        <w:t xml:space="preserve">20 period will be established using actual depreciation, as stated in our previous determination that applies to the </w:t>
      </w:r>
      <w:r w:rsidR="00850953">
        <w:t xml:space="preserve">Victorian </w:t>
      </w:r>
      <w:r>
        <w:t>distributors for the 2011</w:t>
      </w:r>
      <w:r w:rsidRPr="00A67E62">
        <w:t>–</w:t>
      </w:r>
      <w:r>
        <w:t>15 period. The use of forecast depreciation to establish the opening RAB for the 2021</w:t>
      </w:r>
      <w:r w:rsidRPr="00A67E62">
        <w:t>–</w:t>
      </w:r>
      <w:r>
        <w:t xml:space="preserve">25 period will therefore represent a change of approach. </w:t>
      </w:r>
      <w:r w:rsidR="00850953">
        <w:t xml:space="preserve">Victorian </w:t>
      </w:r>
      <w:r w:rsidR="00C1300B" w:rsidRPr="00695AA2">
        <w:t xml:space="preserve">distributors are not currently subject to a CESS but we propose to apply the CESS in the </w:t>
      </w:r>
      <w:r w:rsidR="00C1300B">
        <w:t xml:space="preserve">next </w:t>
      </w:r>
      <w:r w:rsidR="00C1300B" w:rsidRPr="00695AA2">
        <w:t xml:space="preserve">regulatory </w:t>
      </w:r>
      <w:r w:rsidR="00C1300B">
        <w:t xml:space="preserve">control </w:t>
      </w:r>
      <w:r w:rsidR="00C1300B" w:rsidRPr="00695AA2">
        <w:t xml:space="preserve">period. </w:t>
      </w:r>
      <w:r w:rsidR="00C1300B">
        <w:t xml:space="preserve">We discuss this further </w:t>
      </w:r>
      <w:r w:rsidR="00C1300B" w:rsidRPr="00695AA2">
        <w:t xml:space="preserve">in </w:t>
      </w:r>
      <w:r w:rsidR="00821442">
        <w:t>section 3.3</w:t>
      </w:r>
      <w:r w:rsidR="00C1300B" w:rsidRPr="00695AA2">
        <w:t xml:space="preserve">. </w:t>
      </w:r>
    </w:p>
    <w:p w:rsidR="00D944CD" w:rsidRDefault="00C1300B" w:rsidP="00A825FE">
      <w:pPr>
        <w:pStyle w:val="AERbodytext"/>
      </w:pPr>
      <w:r>
        <w:t xml:space="preserve">For </w:t>
      </w:r>
      <w:r w:rsidR="00850953">
        <w:t xml:space="preserve">Victorian </w:t>
      </w:r>
      <w:r>
        <w:t xml:space="preserve">distributors, at this stage, we consider the incentive provided by the application of the CESS in combination with the use of forecast depreciation and our other ex post capex measures should be sufficient to achieve the </w:t>
      </w:r>
      <w:r w:rsidRPr="002B6508">
        <w:t>capex incentive objective</w:t>
      </w:r>
      <w:r>
        <w:t>.</w:t>
      </w:r>
      <w:r>
        <w:rPr>
          <w:rStyle w:val="FootnoteReference"/>
        </w:rPr>
        <w:footnoteReference w:id="221"/>
      </w:r>
      <w:r>
        <w:t xml:space="preserve"> Therefore, we do not see the need to apply actual depreciation at this time.</w:t>
      </w:r>
    </w:p>
    <w:p w:rsidR="00D944CD" w:rsidRDefault="00D944CD" w:rsidP="00A825FE">
      <w:pPr>
        <w:pStyle w:val="AERbodytext"/>
      </w:pPr>
    </w:p>
    <w:p w:rsidR="00C1300B" w:rsidRDefault="00C1300B" w:rsidP="00A825FE">
      <w:pPr>
        <w:pStyle w:val="AERbodytext"/>
      </w:pPr>
    </w:p>
    <w:p w:rsidR="00561A64" w:rsidRDefault="00561A64" w:rsidP="00084259">
      <w:pPr>
        <w:pStyle w:val="Heading1"/>
      </w:pPr>
      <w:bookmarkStart w:id="223" w:name="_Toc388976553"/>
      <w:r w:rsidRPr="00084259">
        <w:lastRenderedPageBreak/>
        <w:t>Jurisdictional and legacy issues</w:t>
      </w:r>
      <w:bookmarkEnd w:id="223"/>
    </w:p>
    <w:p w:rsidR="00BF5F39" w:rsidRDefault="007B0521" w:rsidP="00A825FE">
      <w:pPr>
        <w:pStyle w:val="AERbodytext"/>
      </w:pPr>
      <w:r>
        <w:rPr>
          <w:rStyle w:val="AERbody"/>
        </w:rPr>
        <w:t>The rules do not limit the matters distributors may request the AER to amend in an F&amp;A.</w:t>
      </w:r>
      <w:r>
        <w:rPr>
          <w:rStyle w:val="FootnoteReference"/>
        </w:rPr>
        <w:footnoteReference w:id="222"/>
      </w:r>
      <w:r>
        <w:rPr>
          <w:rStyle w:val="AERbody"/>
        </w:rPr>
        <w:t xml:space="preserve"> Similarly, we may make an F&amp;A that extends beyond the matters specifically listed in the rules.</w:t>
      </w:r>
      <w:r>
        <w:rPr>
          <w:rStyle w:val="FootnoteReference"/>
        </w:rPr>
        <w:footnoteReference w:id="223"/>
      </w:r>
      <w:r>
        <w:rPr>
          <w:rStyle w:val="AERbody"/>
        </w:rPr>
        <w:t xml:space="preserve"> </w:t>
      </w:r>
      <w:r w:rsidR="00BF5F39">
        <w:t xml:space="preserve">This attachment sets out our preliminary position on a range of matters raised by </w:t>
      </w:r>
      <w:r>
        <w:t xml:space="preserve">the </w:t>
      </w:r>
      <w:r w:rsidR="00850953">
        <w:t xml:space="preserve">Victorian </w:t>
      </w:r>
      <w:r>
        <w:t>distributors</w:t>
      </w:r>
      <w:r w:rsidR="00BF5F39">
        <w:t xml:space="preserve">. We also address dual function assets. </w:t>
      </w:r>
    </w:p>
    <w:p w:rsidR="00285132" w:rsidRPr="00285132" w:rsidRDefault="00285132" w:rsidP="00285132">
      <w:pPr>
        <w:pStyle w:val="Heading2"/>
        <w:rPr>
          <w:rStyle w:val="AERtextbold"/>
          <w:b/>
        </w:rPr>
      </w:pPr>
      <w:bookmarkStart w:id="224" w:name="_Toc388976554"/>
      <w:r w:rsidRPr="00285132">
        <w:rPr>
          <w:rStyle w:val="AERtextbold"/>
          <w:b/>
        </w:rPr>
        <w:t>Dual function assets</w:t>
      </w:r>
      <w:bookmarkEnd w:id="224"/>
    </w:p>
    <w:p w:rsidR="00285132" w:rsidRPr="002E15F8" w:rsidRDefault="00285132" w:rsidP="00285132">
      <w:pPr>
        <w:pStyle w:val="AERbodytext"/>
        <w:rPr>
          <w:rStyle w:val="AERbody"/>
        </w:rPr>
      </w:pPr>
      <w:r w:rsidRPr="002E15F8">
        <w:rPr>
          <w:rStyle w:val="AERbody"/>
        </w:rPr>
        <w:t xml:space="preserve">Dual-function assets are high voltage transmission assets forming part of the distribution network. Transmission network service providers usually operate these assets. Considering transmission assets as part of a distribution determination avoids the need for a separate transmission proposal. Where a network service provider owns, controls or operates dual-function assets, we are required to consider whether we should price these assets according to the transmission or distribution pricing principles. </w:t>
      </w:r>
    </w:p>
    <w:p w:rsidR="00285132" w:rsidRDefault="00285132" w:rsidP="00285132">
      <w:pPr>
        <w:pStyle w:val="AERbodytext"/>
      </w:pPr>
      <w:r>
        <w:rPr>
          <w:rStyle w:val="AERbody"/>
        </w:rPr>
        <w:t xml:space="preserve">None of the </w:t>
      </w:r>
      <w:r w:rsidR="00850953">
        <w:rPr>
          <w:rStyle w:val="AERbody"/>
        </w:rPr>
        <w:t xml:space="preserve">Victorian </w:t>
      </w:r>
      <w:r>
        <w:rPr>
          <w:rStyle w:val="AERbody"/>
        </w:rPr>
        <w:t>distributors</w:t>
      </w:r>
      <w:r w:rsidRPr="002E15F8">
        <w:rPr>
          <w:rStyle w:val="AERbody"/>
        </w:rPr>
        <w:t xml:space="preserve"> currently own, control or op</w:t>
      </w:r>
      <w:r>
        <w:rPr>
          <w:rStyle w:val="AERbody"/>
        </w:rPr>
        <w:t>erate any dual-function assets, nor did they own, control or operate any dual function assets at the time of the last determination.</w:t>
      </w:r>
      <w:r w:rsidRPr="002E15F8">
        <w:rPr>
          <w:rStyle w:val="AERbody"/>
        </w:rPr>
        <w:t xml:space="preserve"> </w:t>
      </w:r>
      <w:r>
        <w:t>Therefore, our preliminary position is that we are not required to, and will not; make any determination under the rules regarding dual-function assets.</w:t>
      </w:r>
      <w:r>
        <w:rPr>
          <w:rStyle w:val="FootnoteReference"/>
        </w:rPr>
        <w:footnoteReference w:id="224"/>
      </w:r>
    </w:p>
    <w:p w:rsidR="007B0521" w:rsidRPr="000B54A9" w:rsidRDefault="004B5F42" w:rsidP="007B0521">
      <w:pPr>
        <w:pStyle w:val="Heading2"/>
      </w:pPr>
      <w:bookmarkStart w:id="225" w:name="_Toc388976555"/>
      <w:r>
        <w:t>F-factor scheme</w:t>
      </w:r>
      <w:bookmarkEnd w:id="225"/>
    </w:p>
    <w:p w:rsidR="004B5F42" w:rsidRPr="004B5F42" w:rsidRDefault="00026623" w:rsidP="004B5F42">
      <w:pPr>
        <w:pStyle w:val="AERbodytext"/>
      </w:pPr>
      <w:r>
        <w:rPr>
          <w:rStyle w:val="AERbody"/>
        </w:rPr>
        <w:t>A rel</w:t>
      </w:r>
      <w:r w:rsidR="004B5F42">
        <w:rPr>
          <w:rStyle w:val="AERbody"/>
        </w:rPr>
        <w:t>evant</w:t>
      </w:r>
      <w:r>
        <w:rPr>
          <w:rStyle w:val="AERbody"/>
        </w:rPr>
        <w:t xml:space="preserve"> issue is the Victorian Government f-factor scheme. </w:t>
      </w:r>
      <w:r w:rsidR="004B5F42" w:rsidRPr="004B5F42">
        <w:t>This scheme provides incentives for Victorian DNSPs to reduce the risk of fire starts due to electricity infrastructure, and to reduce the risk of loss or damage caused by fire starts.</w:t>
      </w:r>
      <w:r w:rsidR="004B5F42" w:rsidRPr="001512EF">
        <w:rPr>
          <w:rStyle w:val="AERsuperscript"/>
        </w:rPr>
        <w:footnoteReference w:id="225"/>
      </w:r>
      <w:r w:rsidR="004B5F42" w:rsidRPr="004B5F42">
        <w:t xml:space="preserve"> The scheme was first legislated under the Energy and Resources Legislation Amendment Act 2010 on 24 June 2010</w:t>
      </w:r>
      <w:r w:rsidR="00F36E7B">
        <w:t>. It</w:t>
      </w:r>
      <w:r w:rsidR="004B5F42" w:rsidRPr="004B5F42">
        <w:t xml:space="preserve"> was implemented by adding s16C to the National Electricity (Victoria) Act 2005 (the NEVA). Section 16C provides that The Governor in Council, by Order published in the Government Gazette </w:t>
      </w:r>
      <w:r w:rsidR="007F7DF7">
        <w:t xml:space="preserve">may </w:t>
      </w:r>
      <w:r w:rsidR="004B5F42" w:rsidRPr="004B5F42">
        <w:t>confer functions and powers, or impose duties on the AER to make determinations on performance targets and incentive mechanisms for the scheme.</w:t>
      </w:r>
    </w:p>
    <w:p w:rsidR="004B5F42" w:rsidRPr="004B5F42" w:rsidRDefault="004B5F42" w:rsidP="004B5F42">
      <w:pPr>
        <w:numPr>
          <w:ilvl w:val="0"/>
          <w:numId w:val="13"/>
        </w:numPr>
      </w:pPr>
      <w:r w:rsidRPr="004B5F42">
        <w:t>Subsequently, the Victorian Government published the f-factor scheme order 2011 (the Order) on 23</w:t>
      </w:r>
      <w:r w:rsidR="00F36E7B">
        <w:t> </w:t>
      </w:r>
      <w:r w:rsidRPr="004B5F42">
        <w:t>June 2011 under the NEVA. The Order prescribes that:</w:t>
      </w:r>
    </w:p>
    <w:p w:rsidR="004B5F42" w:rsidRPr="004B5F42" w:rsidRDefault="004B5F42" w:rsidP="00F36E7B">
      <w:pPr>
        <w:pStyle w:val="AERnumberedlist2first"/>
      </w:pPr>
      <w:r w:rsidRPr="004B5F42">
        <w:t>For the first four years of the scheme (2012-15), DNSPs will be either rewarded or penalised at the pre-determined incentive rate of $25,000 per fire for performing better or worse than their respective targets. The reward/penalty amounts will apply to 2014-2016 respectively.</w:t>
      </w:r>
    </w:p>
    <w:p w:rsidR="004B5F42" w:rsidRPr="004B5F42" w:rsidRDefault="00F36E7B" w:rsidP="00F36E7B">
      <w:pPr>
        <w:pStyle w:val="AERnumberedlist2first"/>
      </w:pPr>
      <w:r>
        <w:t>In the current regulatory period</w:t>
      </w:r>
      <w:r w:rsidRPr="004B5F42">
        <w:t xml:space="preserve"> </w:t>
      </w:r>
      <w:r>
        <w:t>that t</w:t>
      </w:r>
      <w:r w:rsidR="004B5F42" w:rsidRPr="004B5F42">
        <w:t>he reward/penalty amounts are treated as cost pass through amounts for the regulatory years that commence on 1 January 2014 and 1 January 2015. We must make f-factor amount determinations with respect to the pass through amounts for these two regulatory years, for the fire starts of 2012 and 2013 respectively.</w:t>
      </w:r>
      <w:r>
        <w:t>(i.e. Rewards/penalties lag the event by up to two years.)</w:t>
      </w:r>
    </w:p>
    <w:p w:rsidR="004B5F42" w:rsidRPr="004B5F42" w:rsidRDefault="004B5F42" w:rsidP="00F36E7B">
      <w:pPr>
        <w:pStyle w:val="AERnumberedlist2first"/>
      </w:pPr>
      <w:r w:rsidRPr="004B5F42">
        <w:t>After the current regulatory control period (2011-15), we may vary the incentive rates and mechanism of the scheme, such as applying different targets for different parts of the network.</w:t>
      </w:r>
    </w:p>
    <w:p w:rsidR="004B5F42" w:rsidRPr="004B5F42" w:rsidRDefault="004B5F42" w:rsidP="004B5F42">
      <w:r w:rsidRPr="004B5F42">
        <w:lastRenderedPageBreak/>
        <w:t xml:space="preserve">Given that we only have two years operation experience of the scheme, </w:t>
      </w:r>
      <w:r w:rsidR="00F36E7B">
        <w:t xml:space="preserve">our preliminary position is that </w:t>
      </w:r>
      <w:r w:rsidRPr="004B5F42">
        <w:t xml:space="preserve">we </w:t>
      </w:r>
      <w:r w:rsidR="00F36E7B">
        <w:t>will</w:t>
      </w:r>
      <w:r w:rsidRPr="004B5F42">
        <w:t xml:space="preserve"> maintain the incentive rate of $25,000 per fire for the forthcoming regulatory control period and continue to monitor the effect of the initial incentive mechanism. </w:t>
      </w:r>
    </w:p>
    <w:p w:rsidR="004B5F42" w:rsidRPr="004B5F42" w:rsidRDefault="004B5F42" w:rsidP="004B5F42">
      <w:r w:rsidRPr="004B5F42">
        <w:t xml:space="preserve">We also intend to apply to incentive mechanism in a manner similar to the other incentive schemes, such as the STPIS. Hence, we propose to add an “f-factor” adjustment amount term to the MAR calculation formula to give effect to the reward of penalty outcomes of actual fire starts under the scheme from the year commencing on 1 January 2016.  </w:t>
      </w:r>
      <w:r w:rsidR="00F36E7B">
        <w:t>We will include in this calculation any amounts that due to lag effect have not been paid or recovered in the current regulatory period. This scheme will remain in place unless changed or discontinued by the Victorian Government, subject to any steps necessary to</w:t>
      </w:r>
      <w:r w:rsidR="00674B91">
        <w:t xml:space="preserve"> amend or close out the scheme.</w:t>
      </w:r>
    </w:p>
    <w:p w:rsidR="00E666C2" w:rsidRDefault="008B1835" w:rsidP="008B1835">
      <w:pPr>
        <w:pStyle w:val="UnnumberedHeading"/>
      </w:pPr>
      <w:bookmarkStart w:id="226" w:name="_Toc388976556"/>
      <w:r>
        <w:lastRenderedPageBreak/>
        <w:t>Appendix A: Rule requirements for classification</w:t>
      </w:r>
      <w:bookmarkEnd w:id="226"/>
    </w:p>
    <w:p w:rsidR="008B1835" w:rsidRDefault="008B1835" w:rsidP="00A825FE">
      <w:pPr>
        <w:pStyle w:val="AERbodytext"/>
      </w:pPr>
      <w:r>
        <w:t>We must have regard to four factors when classifying distribution services.</w:t>
      </w:r>
      <w:r>
        <w:rPr>
          <w:rStyle w:val="FootnoteReference"/>
        </w:rPr>
        <w:footnoteReference w:id="226"/>
      </w:r>
      <w:r>
        <w:t xml:space="preserve"> </w:t>
      </w:r>
    </w:p>
    <w:p w:rsidR="008B1835" w:rsidRDefault="008B1835" w:rsidP="00A825FE">
      <w:pPr>
        <w:pStyle w:val="AERnumberedlistfirststyle"/>
      </w:pPr>
      <w:r>
        <w:t>the form of regulation factors in section 2F of the NEL:</w:t>
      </w:r>
    </w:p>
    <w:p w:rsidR="008B1835" w:rsidRPr="005334E6" w:rsidRDefault="008B1835" w:rsidP="008B1835">
      <w:pPr>
        <w:pStyle w:val="AERbulletlistsecondstyle"/>
      </w:pPr>
      <w:r w:rsidRPr="005334E6">
        <w:t>the presence and extent of any barriers to entry in a market for electricity network services</w:t>
      </w:r>
    </w:p>
    <w:p w:rsidR="008B1835" w:rsidRPr="005334E6" w:rsidRDefault="008B1835" w:rsidP="008B1835">
      <w:pPr>
        <w:pStyle w:val="AERbulletlistsecondstyle"/>
      </w:pPr>
      <w:r w:rsidRPr="005334E6">
        <w:t>the presence and extent of any network externalities (that is, interdependencies) between an electricity network service provided by a network service provider and any other electricity network service provided by the network service provider</w:t>
      </w:r>
    </w:p>
    <w:p w:rsidR="008B1835" w:rsidRPr="005334E6" w:rsidRDefault="008B1835" w:rsidP="008B1835">
      <w:pPr>
        <w:pStyle w:val="AERbulletlistsecondstyle"/>
      </w:pPr>
      <w:r w:rsidRPr="005334E6">
        <w:t>the presence and extent of any network externalities (that is, interdependencies) between an electricity network service provided by a network service provider and any other service provided by the network service provider in any other market</w:t>
      </w:r>
    </w:p>
    <w:p w:rsidR="008B1835" w:rsidRPr="005334E6" w:rsidRDefault="008B1835" w:rsidP="008B1835">
      <w:pPr>
        <w:pStyle w:val="AERbulletlistsecondstyle"/>
      </w:pPr>
      <w:r w:rsidRPr="005334E6">
        <w:t>the extent to which any market power possessed by a network service provider is, or is likely to be, mitigated by any countervailing market power possessed by a network service user or prospective network service user</w:t>
      </w:r>
    </w:p>
    <w:p w:rsidR="008B1835" w:rsidRPr="005334E6" w:rsidRDefault="008B1835" w:rsidP="008B1835">
      <w:pPr>
        <w:pStyle w:val="AERbulletlistsecondstyle"/>
      </w:pPr>
      <w:r w:rsidRPr="005334E6">
        <w:t>the presence and extent of any substitute, and the elasticity of demand, in a market for an electricity network service in which a network service provider provides that service</w:t>
      </w:r>
    </w:p>
    <w:p w:rsidR="008B1835" w:rsidRPr="005334E6" w:rsidRDefault="008B1835" w:rsidP="008B1835">
      <w:pPr>
        <w:pStyle w:val="AERbulletlistsecondstyle"/>
      </w:pPr>
      <w:r w:rsidRPr="005334E6">
        <w:t>the presence and extent of any substitute for, and the elasticity of demand in a market for, elasticity or gas (as the case may be)</w:t>
      </w:r>
    </w:p>
    <w:p w:rsidR="008B1835" w:rsidRPr="00361871" w:rsidRDefault="008B1835" w:rsidP="008B1835">
      <w:pPr>
        <w:pStyle w:val="AERbulletlistsecondstyle"/>
      </w:pPr>
      <w:r w:rsidRPr="005334E6">
        <w:t>the extent to which there is information available to a prospective network service user or network service user, and whether that information is adequate, to enable the prospective network service user or network service user to negotiate on an informed basis with a network service provider for the provision of an electricity network service to them by the network service provider.</w:t>
      </w:r>
      <w:r w:rsidRPr="00361871">
        <w:rPr>
          <w:rStyle w:val="FootnoteReference"/>
        </w:rPr>
        <w:footnoteReference w:id="227"/>
      </w:r>
    </w:p>
    <w:p w:rsidR="008B1835" w:rsidRPr="00361871" w:rsidRDefault="008B1835" w:rsidP="00A825FE">
      <w:pPr>
        <w:pStyle w:val="AERnumberedlistfirststyle"/>
      </w:pPr>
      <w:r>
        <w:t>the form of regulation (if any) previously applicable to the relevant service or services, and, in particular, any previous classification under the present system of classification or under the present regulatory system (as the case requires)</w:t>
      </w:r>
      <w:r w:rsidRPr="00361871">
        <w:rPr>
          <w:rStyle w:val="FootnoteReference"/>
        </w:rPr>
        <w:footnoteReference w:id="228"/>
      </w:r>
    </w:p>
    <w:p w:rsidR="008B1835" w:rsidRPr="00361871" w:rsidRDefault="008B1835" w:rsidP="00A825FE">
      <w:pPr>
        <w:pStyle w:val="AERnumberedlistfirststyle"/>
      </w:pPr>
      <w:r>
        <w:t>the desirability of consistency in the form of regulation for similar services (both within and beyond the relevant jurisdiction)</w:t>
      </w:r>
      <w:r w:rsidRPr="00361871">
        <w:rPr>
          <w:rStyle w:val="FootnoteReference"/>
        </w:rPr>
        <w:footnoteReference w:id="229"/>
      </w:r>
    </w:p>
    <w:p w:rsidR="008B1835" w:rsidRPr="00361871" w:rsidRDefault="008B1835" w:rsidP="00A825FE">
      <w:pPr>
        <w:pStyle w:val="AERnumberedlistfirststyle"/>
      </w:pPr>
      <w:r>
        <w:t>any other relevant factor.</w:t>
      </w:r>
      <w:r w:rsidRPr="00361871">
        <w:rPr>
          <w:rStyle w:val="FootnoteReference"/>
        </w:rPr>
        <w:footnoteReference w:id="230"/>
      </w:r>
    </w:p>
    <w:p w:rsidR="008B1835" w:rsidRDefault="008B1835" w:rsidP="00A825FE">
      <w:pPr>
        <w:pStyle w:val="AERbodytext"/>
      </w:pPr>
      <w:r>
        <w:t>The rules specify additional requirements for services we have regulated before.</w:t>
      </w:r>
      <w:r>
        <w:rPr>
          <w:rStyle w:val="FootnoteReference"/>
        </w:rPr>
        <w:footnoteReference w:id="231"/>
      </w:r>
      <w:r>
        <w:t xml:space="preserve"> They are:</w:t>
      </w:r>
    </w:p>
    <w:p w:rsidR="008B1835" w:rsidRDefault="008B1835" w:rsidP="00A825FE">
      <w:pPr>
        <w:pStyle w:val="AERnumberedlistfirststyle"/>
      </w:pPr>
      <w:r>
        <w:t>There should be no departure from a previous classification (if the services have been previously classified); and</w:t>
      </w:r>
    </w:p>
    <w:p w:rsidR="008B1835" w:rsidRDefault="008B1835" w:rsidP="00A825FE">
      <w:pPr>
        <w:pStyle w:val="AERnumberedlistfirststyle"/>
      </w:pPr>
      <w:r>
        <w:t xml:space="preserve">If there has been no previous classification - the classification should be consistent with the previously applicable regulatory approach. </w:t>
      </w:r>
    </w:p>
    <w:p w:rsidR="008B1835" w:rsidRDefault="008B1835" w:rsidP="00A825FE">
      <w:pPr>
        <w:pStyle w:val="AERbodytext"/>
      </w:pPr>
      <w:r>
        <w:lastRenderedPageBreak/>
        <w:t>We must have regard to six factors when classifying direct control services as either standard control or alternative control services.</w:t>
      </w:r>
      <w:r>
        <w:rPr>
          <w:rStyle w:val="FootnoteReference"/>
        </w:rPr>
        <w:footnoteReference w:id="232"/>
      </w:r>
      <w:r>
        <w:t xml:space="preserve"> </w:t>
      </w:r>
    </w:p>
    <w:p w:rsidR="008B1835" w:rsidRDefault="008B1835" w:rsidP="00A825FE">
      <w:pPr>
        <w:pStyle w:val="AERnumberedlistfirststyle"/>
      </w:pPr>
      <w:r>
        <w:t>the potential for development of competition in the relevant market and how the classification might influence that potential</w:t>
      </w:r>
    </w:p>
    <w:p w:rsidR="008B1835" w:rsidRDefault="008B1835" w:rsidP="00A825FE">
      <w:pPr>
        <w:pStyle w:val="AERnumberedlistfirststyle"/>
      </w:pPr>
      <w:r>
        <w:t>the possible effects of the classification on administrative costs of us, the distributor and users or potential users</w:t>
      </w:r>
    </w:p>
    <w:p w:rsidR="008B1835" w:rsidRDefault="008B1835" w:rsidP="00A825FE">
      <w:pPr>
        <w:pStyle w:val="AERnumberedlistfirststyle"/>
      </w:pPr>
      <w:r>
        <w:t>the regulatory approach (if any) applicable to the relevant service immediately before the commencement of the distribution determination for which the classification is made</w:t>
      </w:r>
    </w:p>
    <w:p w:rsidR="008B1835" w:rsidRDefault="008B1835" w:rsidP="00A825FE">
      <w:pPr>
        <w:pStyle w:val="AERnumberedlistfirststyle"/>
      </w:pPr>
      <w:r>
        <w:t>the desirability of a consistent regulatory approach to similar services (both within and beyond the relevant jurisdiction)</w:t>
      </w:r>
    </w:p>
    <w:p w:rsidR="008B1835" w:rsidRDefault="008B1835" w:rsidP="00A825FE">
      <w:pPr>
        <w:pStyle w:val="AERnumberedlistfirststyle"/>
      </w:pPr>
      <w:r>
        <w:t>the extent that costs of providing the relevant service are directly attributable to the customer to whom the service is provided, and</w:t>
      </w:r>
    </w:p>
    <w:p w:rsidR="008B1835" w:rsidRPr="00361871" w:rsidRDefault="008B1835" w:rsidP="00A825FE">
      <w:pPr>
        <w:pStyle w:val="AERnumberedlistfirststyle"/>
      </w:pPr>
      <w:r>
        <w:t>any other relevant factor.</w:t>
      </w:r>
      <w:r w:rsidRPr="00361871">
        <w:rPr>
          <w:rStyle w:val="FootnoteReference"/>
        </w:rPr>
        <w:footnoteReference w:id="233"/>
      </w:r>
    </w:p>
    <w:p w:rsidR="008B1835" w:rsidRDefault="008B1835" w:rsidP="00A825FE">
      <w:pPr>
        <w:pStyle w:val="AERbodytext"/>
      </w:pPr>
      <w:r>
        <w:t>In classifying direct control services that have previously been subject to regulation under the present or earlier legislation, we must also follow the requirements of clause 6.2.2(d) of the rules.</w:t>
      </w:r>
    </w:p>
    <w:p w:rsidR="008B1835" w:rsidRPr="008B1835" w:rsidRDefault="008B1835" w:rsidP="00A825FE">
      <w:pPr>
        <w:pStyle w:val="AERbodytext"/>
      </w:pPr>
    </w:p>
    <w:p w:rsidR="008B1835" w:rsidRDefault="008B1835" w:rsidP="008B1835">
      <w:pPr>
        <w:pStyle w:val="AERbodytext"/>
        <w:numPr>
          <w:ilvl w:val="0"/>
          <w:numId w:val="0"/>
        </w:numPr>
      </w:pPr>
    </w:p>
    <w:p w:rsidR="008B1835" w:rsidRDefault="008B1835" w:rsidP="008B1835">
      <w:pPr>
        <w:pStyle w:val="UnnumberedHeading"/>
        <w:sectPr w:rsidR="008B1835" w:rsidSect="00456081">
          <w:footerReference w:type="even" r:id="rId65"/>
          <w:footerReference w:type="default" r:id="rId66"/>
          <w:pgSz w:w="11906" w:h="16838"/>
          <w:pgMar w:top="1440" w:right="1440" w:bottom="1440" w:left="1440" w:header="708" w:footer="708" w:gutter="0"/>
          <w:cols w:space="708"/>
          <w:docGrid w:linePitch="360"/>
        </w:sectPr>
      </w:pPr>
    </w:p>
    <w:p w:rsidR="008B1835" w:rsidRDefault="008B1835" w:rsidP="008B1835">
      <w:pPr>
        <w:pStyle w:val="UnnumberedHeading"/>
      </w:pPr>
      <w:bookmarkStart w:id="227" w:name="_Toc388976557"/>
      <w:r>
        <w:lastRenderedPageBreak/>
        <w:t xml:space="preserve">Appendix B: Proposed classification of </w:t>
      </w:r>
      <w:r w:rsidR="00850953">
        <w:t xml:space="preserve">Victorian </w:t>
      </w:r>
      <w:r>
        <w:t>distributors' distribution services</w:t>
      </w:r>
      <w:bookmarkEnd w:id="227"/>
    </w:p>
    <w:tbl>
      <w:tblPr>
        <w:tblStyle w:val="AERtable-numbers"/>
        <w:tblW w:w="0" w:type="auto"/>
        <w:tblLook w:val="01E0" w:firstRow="1" w:lastRow="1" w:firstColumn="1" w:lastColumn="1" w:noHBand="0" w:noVBand="0"/>
      </w:tblPr>
      <w:tblGrid>
        <w:gridCol w:w="4165"/>
        <w:gridCol w:w="2770"/>
        <w:gridCol w:w="3402"/>
        <w:gridCol w:w="2835"/>
      </w:tblGrid>
      <w:tr w:rsidR="00802962" w:rsidRPr="00EB1C82" w:rsidTr="00802962">
        <w:trPr>
          <w:cnfStyle w:val="100000000000" w:firstRow="1" w:lastRow="0" w:firstColumn="0" w:lastColumn="0" w:oddVBand="0" w:evenVBand="0" w:oddHBand="0" w:evenHBand="0" w:firstRowFirstColumn="0" w:firstRowLastColumn="0" w:lastRowFirstColumn="0" w:lastRowLastColumn="0"/>
          <w:trHeight w:val="697"/>
          <w:tblHeader/>
        </w:trPr>
        <w:tc>
          <w:tcPr>
            <w:cnfStyle w:val="001000000000" w:firstRow="0" w:lastRow="0" w:firstColumn="1" w:lastColumn="0" w:oddVBand="0" w:evenVBand="0" w:oddHBand="0" w:evenHBand="0" w:firstRowFirstColumn="0" w:firstRowLastColumn="0" w:lastRowFirstColumn="0" w:lastRowLastColumn="0"/>
            <w:tcW w:w="6935" w:type="dxa"/>
            <w:gridSpan w:val="2"/>
          </w:tcPr>
          <w:p w:rsidR="00802962" w:rsidRPr="00A24BB9" w:rsidRDefault="00802962" w:rsidP="00B328EA">
            <w:pPr>
              <w:pStyle w:val="AERtabletextleft"/>
              <w:rPr>
                <w:rStyle w:val="AERtextbold"/>
                <w:b/>
              </w:rPr>
            </w:pPr>
            <w:r w:rsidRPr="00A24BB9">
              <w:rPr>
                <w:rStyle w:val="AERtextbold"/>
                <w:b/>
              </w:rPr>
              <w:t>Service group</w:t>
            </w:r>
          </w:p>
        </w:tc>
        <w:tc>
          <w:tcPr>
            <w:tcW w:w="3402" w:type="dxa"/>
          </w:tcPr>
          <w:p w:rsidR="00802962" w:rsidRPr="00F53774" w:rsidRDefault="00802962" w:rsidP="00ED2EB9">
            <w:pPr>
              <w:pStyle w:val="AERtabletextleft"/>
              <w:jc w:val="left"/>
              <w:cnfStyle w:val="100000000000" w:firstRow="1" w:lastRow="0" w:firstColumn="0" w:lastColumn="0" w:oddVBand="0" w:evenVBand="0" w:oddHBand="0" w:evenHBand="0" w:firstRowFirstColumn="0" w:firstRowLastColumn="0" w:lastRowFirstColumn="0" w:lastRowLastColumn="0"/>
              <w:rPr>
                <w:rStyle w:val="AERtextbold"/>
                <w:b/>
              </w:rPr>
            </w:pPr>
            <w:r w:rsidRPr="00B328EA">
              <w:rPr>
                <w:rStyle w:val="AERtextbold"/>
              </w:rPr>
              <w:t>AER's proposed classification 201</w:t>
            </w:r>
            <w:r>
              <w:rPr>
                <w:rStyle w:val="AERtextbold"/>
              </w:rPr>
              <w:t>6</w:t>
            </w:r>
            <w:r w:rsidRPr="00B328EA">
              <w:rPr>
                <w:rStyle w:val="AERtextbold"/>
                <w:rFonts w:hint="eastAsia"/>
              </w:rPr>
              <w:t>–</w:t>
            </w:r>
            <w:r w:rsidRPr="00B328EA">
              <w:rPr>
                <w:rStyle w:val="AERtextbold"/>
              </w:rPr>
              <w:t>20</w:t>
            </w:r>
          </w:p>
        </w:tc>
        <w:tc>
          <w:tcPr>
            <w:tcW w:w="2835" w:type="dxa"/>
          </w:tcPr>
          <w:p w:rsidR="00802962" w:rsidRPr="00F53774" w:rsidRDefault="00802962" w:rsidP="00ED2EB9">
            <w:pPr>
              <w:pStyle w:val="AERtabletextleft"/>
              <w:jc w:val="left"/>
              <w:cnfStyle w:val="100000000000" w:firstRow="1" w:lastRow="0" w:firstColumn="0" w:lastColumn="0" w:oddVBand="0" w:evenVBand="0" w:oddHBand="0" w:evenHBand="0" w:firstRowFirstColumn="0" w:firstRowLastColumn="0" w:lastRowFirstColumn="0" w:lastRowLastColumn="0"/>
              <w:rPr>
                <w:rStyle w:val="AERtextbold"/>
                <w:b/>
              </w:rPr>
            </w:pPr>
            <w:r w:rsidRPr="00B328EA">
              <w:rPr>
                <w:rStyle w:val="AERtextbold"/>
              </w:rPr>
              <w:t>Current classification 201</w:t>
            </w:r>
            <w:r>
              <w:rPr>
                <w:rStyle w:val="AERtextbold"/>
              </w:rPr>
              <w:t>1</w:t>
            </w:r>
            <w:r w:rsidRPr="00B328EA">
              <w:rPr>
                <w:rStyle w:val="AERtextbold"/>
                <w:rFonts w:hint="eastAsia"/>
              </w:rPr>
              <w:t>–</w:t>
            </w:r>
            <w:r w:rsidRPr="00B328EA">
              <w:rPr>
                <w:rStyle w:val="AERtextbold"/>
              </w:rPr>
              <w:t>15</w:t>
            </w:r>
          </w:p>
        </w:tc>
      </w:tr>
      <w:tr w:rsidR="00802962" w:rsidRPr="00EB1C82" w:rsidTr="00802962">
        <w:tc>
          <w:tcPr>
            <w:cnfStyle w:val="001000000000" w:firstRow="0" w:lastRow="0" w:firstColumn="1" w:lastColumn="0" w:oddVBand="0" w:evenVBand="0" w:oddHBand="0" w:evenHBand="0" w:firstRowFirstColumn="0" w:firstRowLastColumn="0" w:lastRowFirstColumn="0" w:lastRowLastColumn="0"/>
            <w:tcW w:w="6935" w:type="dxa"/>
            <w:gridSpan w:val="2"/>
          </w:tcPr>
          <w:p w:rsidR="00802962" w:rsidRPr="00E17ED1" w:rsidRDefault="00802962" w:rsidP="00E17ED1">
            <w:pPr>
              <w:pStyle w:val="AERbodytextnospaceleftalign"/>
            </w:pPr>
            <w:r w:rsidRPr="00B328EA">
              <w:rPr>
                <w:rStyle w:val="AERtextbold"/>
              </w:rPr>
              <w:t>AER service group—network services</w:t>
            </w:r>
          </w:p>
        </w:tc>
        <w:tc>
          <w:tcPr>
            <w:tcW w:w="3402" w:type="dxa"/>
          </w:tcPr>
          <w:p w:rsidR="00802962" w:rsidRPr="00B328EA" w:rsidRDefault="00802962" w:rsidP="00E17ED1">
            <w:pPr>
              <w:pStyle w:val="AERbodytext"/>
              <w:cnfStyle w:val="000000000000" w:firstRow="0" w:lastRow="0" w:firstColumn="0" w:lastColumn="0" w:oddVBand="0" w:evenVBand="0" w:oddHBand="0" w:evenHBand="0" w:firstRowFirstColumn="0" w:firstRowLastColumn="0" w:lastRowFirstColumn="0" w:lastRowLastColumn="0"/>
            </w:pPr>
          </w:p>
        </w:tc>
        <w:tc>
          <w:tcPr>
            <w:tcW w:w="2835" w:type="dxa"/>
          </w:tcPr>
          <w:p w:rsidR="00802962" w:rsidRPr="00B328EA" w:rsidRDefault="00802962" w:rsidP="00E17ED1">
            <w:pPr>
              <w:pStyle w:val="AERbodytext"/>
              <w:cnfStyle w:val="000000000000" w:firstRow="0" w:lastRow="0" w:firstColumn="0" w:lastColumn="0" w:oddVBand="0" w:evenVBand="0" w:oddHBand="0" w:evenHBand="0" w:firstRowFirstColumn="0" w:firstRowLastColumn="0" w:lastRowFirstColumn="0" w:lastRowLastColumn="0"/>
            </w:pPr>
          </w:p>
        </w:tc>
      </w:tr>
      <w:tr w:rsidR="00E728EC" w:rsidRPr="00EB1C82" w:rsidTr="00802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Planning the distribution network</w:t>
            </w:r>
          </w:p>
        </w:tc>
        <w:tc>
          <w:tcPr>
            <w:tcW w:w="3402"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r>
              <w:t>Standard control</w:t>
            </w:r>
          </w:p>
        </w:tc>
        <w:tc>
          <w:tcPr>
            <w:tcW w:w="2835"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r>
              <w:t>Standard control</w:t>
            </w:r>
          </w:p>
        </w:tc>
      </w:tr>
      <w:tr w:rsidR="00E728EC" w:rsidRPr="00EB1C82" w:rsidTr="00802962">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Designing the distribution network</w:t>
            </w:r>
          </w:p>
        </w:tc>
        <w:tc>
          <w:tcPr>
            <w:tcW w:w="3402"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Standard control</w:t>
            </w:r>
          </w:p>
        </w:tc>
        <w:tc>
          <w:tcPr>
            <w:tcW w:w="2835"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Standard control</w:t>
            </w:r>
          </w:p>
        </w:tc>
      </w:tr>
      <w:tr w:rsidR="00E728EC" w:rsidRPr="00EB1C82" w:rsidTr="00802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Constructing the distribution network</w:t>
            </w:r>
          </w:p>
        </w:tc>
        <w:tc>
          <w:tcPr>
            <w:tcW w:w="3402"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r>
              <w:t>Standard control</w:t>
            </w:r>
          </w:p>
        </w:tc>
        <w:tc>
          <w:tcPr>
            <w:tcW w:w="2835"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r>
              <w:t>Standard control</w:t>
            </w:r>
          </w:p>
        </w:tc>
      </w:tr>
      <w:tr w:rsidR="00E728EC" w:rsidRPr="00EB1C82" w:rsidTr="00802962">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Maintaining the distribution network and connection assets</w:t>
            </w:r>
          </w:p>
        </w:tc>
        <w:tc>
          <w:tcPr>
            <w:tcW w:w="3402"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Standard control</w:t>
            </w:r>
          </w:p>
        </w:tc>
        <w:tc>
          <w:tcPr>
            <w:tcW w:w="2835"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Standard control</w:t>
            </w:r>
          </w:p>
        </w:tc>
      </w:tr>
      <w:tr w:rsidR="00E728EC" w:rsidRPr="00EB1C82" w:rsidTr="00802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Operating the distribution network and connection assets for DNSP purposes</w:t>
            </w:r>
          </w:p>
        </w:tc>
        <w:tc>
          <w:tcPr>
            <w:tcW w:w="3402"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r>
              <w:t>Standard control</w:t>
            </w:r>
          </w:p>
        </w:tc>
        <w:tc>
          <w:tcPr>
            <w:tcW w:w="2835"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r>
              <w:t>Standard control</w:t>
            </w:r>
          </w:p>
        </w:tc>
      </w:tr>
      <w:tr w:rsidR="00E728EC" w:rsidRPr="00EB1C82" w:rsidTr="00802962">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Administrative support (call centre, billing, etc)</w:t>
            </w:r>
          </w:p>
        </w:tc>
        <w:tc>
          <w:tcPr>
            <w:tcW w:w="3402"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Standard control</w:t>
            </w:r>
          </w:p>
        </w:tc>
        <w:tc>
          <w:tcPr>
            <w:tcW w:w="2835"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Standard control</w:t>
            </w:r>
          </w:p>
        </w:tc>
      </w:tr>
      <w:tr w:rsidR="00E728EC" w:rsidRPr="00EB1C82" w:rsidTr="00802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Emergency response</w:t>
            </w:r>
          </w:p>
        </w:tc>
        <w:tc>
          <w:tcPr>
            <w:tcW w:w="3402"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r>
              <w:t>Standard control</w:t>
            </w:r>
          </w:p>
        </w:tc>
        <w:tc>
          <w:tcPr>
            <w:tcW w:w="2835"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r>
              <w:t>Standard control</w:t>
            </w:r>
          </w:p>
        </w:tc>
      </w:tr>
      <w:tr w:rsidR="00E728EC" w:rsidRPr="00EB1C82" w:rsidTr="00802962">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Location of underground cables (dial before you dig)</w:t>
            </w:r>
          </w:p>
        </w:tc>
        <w:tc>
          <w:tcPr>
            <w:tcW w:w="3402"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Standard control</w:t>
            </w:r>
          </w:p>
        </w:tc>
        <w:tc>
          <w:tcPr>
            <w:tcW w:w="2835"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Standard control</w:t>
            </w:r>
          </w:p>
        </w:tc>
      </w:tr>
      <w:tr w:rsidR="00E728EC" w:rsidRPr="00EB1C82" w:rsidTr="00802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rsidRPr="00B328EA">
              <w:rPr>
                <w:rStyle w:val="AERtextbold"/>
              </w:rPr>
              <w:t>AER service group—</w:t>
            </w:r>
            <w:r w:rsidRPr="00E728EC">
              <w:rPr>
                <w:rStyle w:val="AERtextbold"/>
              </w:rPr>
              <w:t>connection services</w:t>
            </w:r>
          </w:p>
        </w:tc>
        <w:tc>
          <w:tcPr>
            <w:tcW w:w="3402"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p>
        </w:tc>
        <w:tc>
          <w:tcPr>
            <w:tcW w:w="2835"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p>
        </w:tc>
      </w:tr>
      <w:tr w:rsidR="00E728EC" w:rsidRPr="00EB1C82" w:rsidTr="00E728EC">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Routine connections - customer below 100 amps</w:t>
            </w:r>
          </w:p>
        </w:tc>
        <w:tc>
          <w:tcPr>
            <w:tcW w:w="3402" w:type="dxa"/>
          </w:tcPr>
          <w:p w:rsidR="00E728EC" w:rsidRPr="00B328EA" w:rsidRDefault="008840F2" w:rsidP="008840F2">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Alternative control (fee-based)</w:t>
            </w:r>
          </w:p>
        </w:tc>
      </w:tr>
      <w:tr w:rsidR="00E728EC"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Routine connections - customers above 100 amps</w:t>
            </w:r>
          </w:p>
        </w:tc>
        <w:tc>
          <w:tcPr>
            <w:tcW w:w="3402" w:type="dxa"/>
          </w:tcPr>
          <w:p w:rsidR="00E728EC" w:rsidRPr="00B328EA" w:rsidRDefault="008840F2"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r>
              <w:t>Alternative control (quoted)</w:t>
            </w:r>
          </w:p>
        </w:tc>
      </w:tr>
      <w:tr w:rsidR="00E728EC" w:rsidRPr="00EB1C82" w:rsidTr="00802962">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3B67CF" w:rsidP="00E728EC">
            <w:pPr>
              <w:pStyle w:val="AERbodytextnospaceleftalign"/>
            </w:pPr>
            <w:r>
              <w:lastRenderedPageBreak/>
              <w:t>N</w:t>
            </w:r>
            <w:r w:rsidR="00E728EC">
              <w:t>ew connections</w:t>
            </w:r>
            <w:r>
              <w:t xml:space="preserve"> requiring augmentation</w:t>
            </w:r>
          </w:p>
        </w:tc>
        <w:tc>
          <w:tcPr>
            <w:tcW w:w="3402"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Standard control</w:t>
            </w:r>
          </w:p>
        </w:tc>
        <w:tc>
          <w:tcPr>
            <w:tcW w:w="2835"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Standard control</w:t>
            </w:r>
          </w:p>
        </w:tc>
      </w:tr>
      <w:tr w:rsidR="003676CE" w:rsidRPr="00EB1C82" w:rsidTr="00E72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3676CE" w:rsidRDefault="003676CE" w:rsidP="00E728EC">
            <w:pPr>
              <w:pStyle w:val="AERbodytextnospaceleftalign"/>
            </w:pPr>
            <w:r>
              <w:t>Supply enhancement at customer request</w:t>
            </w:r>
          </w:p>
        </w:tc>
        <w:tc>
          <w:tcPr>
            <w:tcW w:w="3402" w:type="dxa"/>
          </w:tcPr>
          <w:p w:rsidR="003676CE" w:rsidRDefault="003676CE" w:rsidP="00E728EC">
            <w:pPr>
              <w:pStyle w:val="AERbodytext"/>
              <w:cnfStyle w:val="000000010000" w:firstRow="0" w:lastRow="0" w:firstColumn="0" w:lastColumn="0" w:oddVBand="0" w:evenVBand="0" w:oddHBand="0" w:evenHBand="1" w:firstRowFirstColumn="0" w:firstRowLastColumn="0" w:lastRowFirstColumn="0" w:lastRowLastColumn="0"/>
            </w:pPr>
            <w:r>
              <w:t>Unclassified</w:t>
            </w:r>
          </w:p>
        </w:tc>
        <w:tc>
          <w:tcPr>
            <w:tcW w:w="2835" w:type="dxa"/>
          </w:tcPr>
          <w:p w:rsidR="003676CE" w:rsidRDefault="003676CE" w:rsidP="00E728EC">
            <w:pPr>
              <w:pStyle w:val="AERbodytext"/>
              <w:cnfStyle w:val="000000010000" w:firstRow="0" w:lastRow="0" w:firstColumn="0" w:lastColumn="0" w:oddVBand="0" w:evenVBand="0" w:oddHBand="0" w:evenHBand="1" w:firstRowFirstColumn="0" w:firstRowLastColumn="0" w:lastRowFirstColumn="0" w:lastRowLastColumn="0"/>
            </w:pPr>
            <w:r>
              <w:t>Alternative control (quoted)</w:t>
            </w:r>
          </w:p>
        </w:tc>
      </w:tr>
      <w:tr w:rsidR="003676CE" w:rsidRPr="00EB1C82" w:rsidTr="00C66E11">
        <w:tc>
          <w:tcPr>
            <w:cnfStyle w:val="001000000000" w:firstRow="0" w:lastRow="0" w:firstColumn="1" w:lastColumn="0" w:oddVBand="0" w:evenVBand="0" w:oddHBand="0" w:evenHBand="0" w:firstRowFirstColumn="0" w:firstRowLastColumn="0" w:lastRowFirstColumn="0" w:lastRowLastColumn="0"/>
            <w:tcW w:w="6935" w:type="dxa"/>
            <w:gridSpan w:val="2"/>
          </w:tcPr>
          <w:p w:rsidR="003676CE" w:rsidRPr="003676CE" w:rsidRDefault="003676CE" w:rsidP="003676CE">
            <w:pPr>
              <w:pStyle w:val="AERbodytextnospaceleftalign"/>
            </w:pPr>
            <w:r>
              <w:t>Supply abolishment</w:t>
            </w:r>
          </w:p>
        </w:tc>
        <w:tc>
          <w:tcPr>
            <w:tcW w:w="3402" w:type="dxa"/>
          </w:tcPr>
          <w:p w:rsidR="003676CE" w:rsidRPr="00B328EA" w:rsidRDefault="008840F2" w:rsidP="008840F2">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3676CE" w:rsidRPr="00B328EA" w:rsidRDefault="003676CE" w:rsidP="003676CE">
            <w:pPr>
              <w:pStyle w:val="AERbodytext"/>
              <w:cnfStyle w:val="000000000000" w:firstRow="0" w:lastRow="0" w:firstColumn="0" w:lastColumn="0" w:oddVBand="0" w:evenVBand="0" w:oddHBand="0" w:evenHBand="0" w:firstRowFirstColumn="0" w:firstRowLastColumn="0" w:lastRowFirstColumn="0" w:lastRowLastColumn="0"/>
            </w:pPr>
            <w:r>
              <w:t>Alternative control (quoted)</w:t>
            </w:r>
          </w:p>
        </w:tc>
      </w:tr>
      <w:tr w:rsidR="003676CE"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3676CE" w:rsidRPr="003676CE" w:rsidRDefault="003676CE" w:rsidP="003676CE">
            <w:pPr>
              <w:pStyle w:val="AERbodytextnospaceleftalign"/>
            </w:pPr>
            <w:r>
              <w:t>Temporary disconnect/reconnect services</w:t>
            </w:r>
          </w:p>
        </w:tc>
        <w:tc>
          <w:tcPr>
            <w:tcW w:w="3402" w:type="dxa"/>
          </w:tcPr>
          <w:p w:rsidR="003676CE" w:rsidRPr="00B328EA" w:rsidRDefault="008840F2"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3676CE" w:rsidRPr="00B328EA" w:rsidRDefault="003676CE" w:rsidP="003676CE">
            <w:pPr>
              <w:pStyle w:val="AERbodytext"/>
              <w:cnfStyle w:val="000000010000" w:firstRow="0" w:lastRow="0" w:firstColumn="0" w:lastColumn="0" w:oddVBand="0" w:evenVBand="0" w:oddHBand="0" w:evenHBand="1" w:firstRowFirstColumn="0" w:firstRowLastColumn="0" w:lastRowFirstColumn="0" w:lastRowLastColumn="0"/>
            </w:pPr>
            <w:r>
              <w:t>Alternative control (fee-based)</w:t>
            </w:r>
          </w:p>
        </w:tc>
      </w:tr>
      <w:tr w:rsidR="003676CE" w:rsidRPr="00EB1C82" w:rsidTr="00E728EC">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De-energisation of existing connections</w:t>
            </w:r>
          </w:p>
        </w:tc>
        <w:tc>
          <w:tcPr>
            <w:tcW w:w="3402" w:type="dxa"/>
          </w:tcPr>
          <w:p w:rsidR="00E728EC" w:rsidRPr="00B328EA" w:rsidRDefault="008840F2" w:rsidP="008840F2">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Alternative control (fee-based)</w:t>
            </w:r>
          </w:p>
        </w:tc>
      </w:tr>
      <w:tr w:rsidR="003676CE" w:rsidRPr="00EB1C82" w:rsidTr="00E72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E</w:t>
            </w:r>
            <w:r w:rsidRPr="00E728EC">
              <w:t>nergisation of existing connections</w:t>
            </w:r>
          </w:p>
        </w:tc>
        <w:tc>
          <w:tcPr>
            <w:tcW w:w="3402" w:type="dxa"/>
          </w:tcPr>
          <w:p w:rsidR="00E728EC" w:rsidRPr="00B328EA" w:rsidRDefault="008840F2"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r>
              <w:t>Alternative control (fee-based)</w:t>
            </w:r>
          </w:p>
        </w:tc>
      </w:tr>
      <w:tr w:rsidR="003676CE" w:rsidRPr="00EB1C82" w:rsidTr="00E728EC">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t>PV installation</w:t>
            </w:r>
          </w:p>
        </w:tc>
        <w:tc>
          <w:tcPr>
            <w:tcW w:w="3402" w:type="dxa"/>
          </w:tcPr>
          <w:p w:rsidR="00E728EC" w:rsidRPr="00B328EA" w:rsidRDefault="008840F2" w:rsidP="008840F2">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Alternative control (fee-based)</w:t>
            </w:r>
          </w:p>
        </w:tc>
      </w:tr>
      <w:tr w:rsidR="00E728EC" w:rsidRPr="00EB1C82" w:rsidTr="00802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E728EC" w:rsidRDefault="00E728EC" w:rsidP="00E728EC">
            <w:pPr>
              <w:pStyle w:val="AERbodytextnospaceleftalign"/>
            </w:pPr>
            <w:r w:rsidRPr="00B328EA">
              <w:rPr>
                <w:rStyle w:val="AERtextbold"/>
              </w:rPr>
              <w:t>AER service group—</w:t>
            </w:r>
            <w:r w:rsidRPr="00E728EC">
              <w:rPr>
                <w:rStyle w:val="AERtextbold"/>
              </w:rPr>
              <w:t>metering services</w:t>
            </w:r>
            <w:r w:rsidR="009E453B">
              <w:rPr>
                <w:rStyle w:val="AERtextbold"/>
              </w:rPr>
              <w:t xml:space="preserve"> provided while AMI order in council applies</w:t>
            </w:r>
          </w:p>
        </w:tc>
        <w:tc>
          <w:tcPr>
            <w:tcW w:w="3402"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p>
        </w:tc>
        <w:tc>
          <w:tcPr>
            <w:tcW w:w="2835"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p>
        </w:tc>
      </w:tr>
      <w:tr w:rsidR="00E728EC" w:rsidRPr="00EB1C82" w:rsidTr="00802962">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9E453B" w:rsidRDefault="00E728EC" w:rsidP="009E453B">
            <w:pPr>
              <w:pStyle w:val="AERtabletextleft"/>
              <w:rPr>
                <w:rStyle w:val="AERtexthighlight"/>
                <w:shd w:val="clear" w:color="auto" w:fill="auto"/>
              </w:rPr>
            </w:pPr>
            <w:r w:rsidRPr="009E453B">
              <w:rPr>
                <w:rStyle w:val="AERtexthighlight"/>
                <w:shd w:val="clear" w:color="auto" w:fill="auto"/>
              </w:rPr>
              <w:t>Installation, operation, repair &amp; maintenance, and replacement of type 1-4 metering installations</w:t>
            </w:r>
          </w:p>
        </w:tc>
        <w:tc>
          <w:tcPr>
            <w:tcW w:w="3402" w:type="dxa"/>
          </w:tcPr>
          <w:p w:rsidR="00E728EC" w:rsidRPr="00B328EA" w:rsidRDefault="009E453B" w:rsidP="00E728EC">
            <w:pPr>
              <w:pStyle w:val="AERbodytext"/>
              <w:cnfStyle w:val="000000000000" w:firstRow="0" w:lastRow="0" w:firstColumn="0" w:lastColumn="0" w:oddVBand="0" w:evenVBand="0" w:oddHBand="0" w:evenHBand="0" w:firstRowFirstColumn="0" w:firstRowLastColumn="0" w:lastRowFirstColumn="0" w:lastRowLastColumn="0"/>
            </w:pPr>
            <w:r>
              <w:t>Unclassified</w:t>
            </w:r>
          </w:p>
        </w:tc>
        <w:tc>
          <w:tcPr>
            <w:tcW w:w="2835"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Unclassified</w:t>
            </w:r>
          </w:p>
        </w:tc>
      </w:tr>
      <w:tr w:rsidR="00E728EC" w:rsidRPr="00EB1C82" w:rsidTr="00802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9E453B" w:rsidRDefault="00E728EC" w:rsidP="009E453B">
            <w:pPr>
              <w:pStyle w:val="AERtabletextleft"/>
              <w:rPr>
                <w:rStyle w:val="AERtexthighlight"/>
                <w:shd w:val="clear" w:color="auto" w:fill="auto"/>
              </w:rPr>
            </w:pPr>
            <w:r w:rsidRPr="009E453B">
              <w:rPr>
                <w:rStyle w:val="AERtexthighlight"/>
                <w:shd w:val="clear" w:color="auto" w:fill="auto"/>
              </w:rPr>
              <w:t>Installation, operation, repair &amp; maintenance, and replacement of type 5-6 metering installations</w:t>
            </w:r>
          </w:p>
        </w:tc>
        <w:tc>
          <w:tcPr>
            <w:tcW w:w="3402" w:type="dxa"/>
          </w:tcPr>
          <w:p w:rsidR="00E728EC" w:rsidRPr="00B328EA" w:rsidRDefault="009E453B" w:rsidP="00E728EC">
            <w:pPr>
              <w:pStyle w:val="AERbodytext"/>
              <w:cnfStyle w:val="000000010000" w:firstRow="0" w:lastRow="0" w:firstColumn="0" w:lastColumn="0" w:oddVBand="0" w:evenVBand="0" w:oddHBand="0" w:evenHBand="1" w:firstRowFirstColumn="0" w:firstRowLastColumn="0" w:lastRowFirstColumn="0" w:lastRowLastColumn="0"/>
            </w:pPr>
            <w:r>
              <w:t>Unclassified</w:t>
            </w:r>
          </w:p>
        </w:tc>
        <w:tc>
          <w:tcPr>
            <w:tcW w:w="2835" w:type="dxa"/>
          </w:tcPr>
          <w:p w:rsidR="00E728EC" w:rsidRPr="00B328EA" w:rsidRDefault="00E728EC" w:rsidP="00E728EC">
            <w:pPr>
              <w:pStyle w:val="AERbodytext"/>
              <w:cnfStyle w:val="000000010000" w:firstRow="0" w:lastRow="0" w:firstColumn="0" w:lastColumn="0" w:oddVBand="0" w:evenVBand="0" w:oddHBand="0" w:evenHBand="1" w:firstRowFirstColumn="0" w:firstRowLastColumn="0" w:lastRowFirstColumn="0" w:lastRowLastColumn="0"/>
            </w:pPr>
            <w:r>
              <w:t>Unclassified</w:t>
            </w:r>
          </w:p>
        </w:tc>
      </w:tr>
      <w:tr w:rsidR="00E728EC" w:rsidRPr="00EB1C82" w:rsidTr="00802962">
        <w:tc>
          <w:tcPr>
            <w:cnfStyle w:val="001000000000" w:firstRow="0" w:lastRow="0" w:firstColumn="1" w:lastColumn="0" w:oddVBand="0" w:evenVBand="0" w:oddHBand="0" w:evenHBand="0" w:firstRowFirstColumn="0" w:firstRowLastColumn="0" w:lastRowFirstColumn="0" w:lastRowLastColumn="0"/>
            <w:tcW w:w="6935" w:type="dxa"/>
            <w:gridSpan w:val="2"/>
          </w:tcPr>
          <w:p w:rsidR="00E728EC" w:rsidRPr="009E453B" w:rsidRDefault="009E453B" w:rsidP="009E453B">
            <w:pPr>
              <w:pStyle w:val="AERtabletextleft"/>
              <w:rPr>
                <w:rStyle w:val="AERtexthighlight"/>
                <w:shd w:val="clear" w:color="auto" w:fill="auto"/>
              </w:rPr>
            </w:pPr>
            <w:r w:rsidRPr="009E453B">
              <w:rPr>
                <w:rStyle w:val="AERtexthighlight"/>
                <w:shd w:val="clear" w:color="auto" w:fill="auto"/>
              </w:rPr>
              <w:t>Operation of t</w:t>
            </w:r>
            <w:r w:rsidR="00E728EC" w:rsidRPr="009E453B">
              <w:rPr>
                <w:rStyle w:val="AERtexthighlight"/>
                <w:shd w:val="clear" w:color="auto" w:fill="auto"/>
              </w:rPr>
              <w:t>ype 7 metering installations</w:t>
            </w:r>
          </w:p>
        </w:tc>
        <w:tc>
          <w:tcPr>
            <w:tcW w:w="3402" w:type="dxa"/>
          </w:tcPr>
          <w:p w:rsidR="00E728EC" w:rsidRPr="00B328EA" w:rsidRDefault="009E453B" w:rsidP="00E728EC">
            <w:pPr>
              <w:pStyle w:val="AERbodytext"/>
              <w:cnfStyle w:val="000000000000" w:firstRow="0" w:lastRow="0" w:firstColumn="0" w:lastColumn="0" w:oddVBand="0" w:evenVBand="0" w:oddHBand="0" w:evenHBand="0" w:firstRowFirstColumn="0" w:firstRowLastColumn="0" w:lastRowFirstColumn="0" w:lastRowLastColumn="0"/>
            </w:pPr>
            <w:r>
              <w:t>Unclassified</w:t>
            </w:r>
          </w:p>
        </w:tc>
        <w:tc>
          <w:tcPr>
            <w:tcW w:w="2835" w:type="dxa"/>
          </w:tcPr>
          <w:p w:rsidR="00E728EC" w:rsidRPr="00B328EA" w:rsidRDefault="00E728EC" w:rsidP="00E728EC">
            <w:pPr>
              <w:pStyle w:val="AERbodytext"/>
              <w:cnfStyle w:val="000000000000" w:firstRow="0" w:lastRow="0" w:firstColumn="0" w:lastColumn="0" w:oddVBand="0" w:evenVBand="0" w:oddHBand="0" w:evenHBand="0" w:firstRowFirstColumn="0" w:firstRowLastColumn="0" w:lastRowFirstColumn="0" w:lastRowLastColumn="0"/>
            </w:pPr>
            <w:r>
              <w:t>Unclassified</w:t>
            </w:r>
          </w:p>
        </w:tc>
      </w:tr>
      <w:tr w:rsidR="00033E99"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033E99" w:rsidRPr="00033E99" w:rsidRDefault="00033E99" w:rsidP="00033E99">
            <w:r>
              <w:t>C</w:t>
            </w:r>
            <w:r w:rsidRPr="00033E99">
              <w:t>ollection of meter data, processing and storage of meter data, and provision of access to meter data for type 1-4 metering installations</w:t>
            </w:r>
          </w:p>
        </w:tc>
        <w:tc>
          <w:tcPr>
            <w:tcW w:w="3402" w:type="dxa"/>
          </w:tcPr>
          <w:p w:rsidR="00033E99" w:rsidRPr="00B328EA" w:rsidRDefault="00033E99" w:rsidP="00033E99">
            <w:pPr>
              <w:pStyle w:val="AERbodytext"/>
              <w:cnfStyle w:val="000000010000" w:firstRow="0" w:lastRow="0" w:firstColumn="0" w:lastColumn="0" w:oddVBand="0" w:evenVBand="0" w:oddHBand="0" w:evenHBand="1" w:firstRowFirstColumn="0" w:firstRowLastColumn="0" w:lastRowFirstColumn="0" w:lastRowLastColumn="0"/>
            </w:pPr>
            <w:r>
              <w:t>Unclassified</w:t>
            </w:r>
          </w:p>
        </w:tc>
        <w:tc>
          <w:tcPr>
            <w:tcW w:w="2835" w:type="dxa"/>
          </w:tcPr>
          <w:p w:rsidR="00033E99" w:rsidRPr="00B328EA" w:rsidRDefault="00033E99" w:rsidP="00033E99">
            <w:pPr>
              <w:pStyle w:val="AERbodytext"/>
              <w:cnfStyle w:val="000000010000" w:firstRow="0" w:lastRow="0" w:firstColumn="0" w:lastColumn="0" w:oddVBand="0" w:evenVBand="0" w:oddHBand="0" w:evenHBand="1" w:firstRowFirstColumn="0" w:firstRowLastColumn="0" w:lastRowFirstColumn="0" w:lastRowLastColumn="0"/>
            </w:pPr>
            <w:r>
              <w:t>Unclassified</w:t>
            </w:r>
          </w:p>
        </w:tc>
      </w:tr>
      <w:tr w:rsidR="00033E99" w:rsidRPr="00EB1C82" w:rsidTr="00C66E11">
        <w:tc>
          <w:tcPr>
            <w:cnfStyle w:val="001000000000" w:firstRow="0" w:lastRow="0" w:firstColumn="1" w:lastColumn="0" w:oddVBand="0" w:evenVBand="0" w:oddHBand="0" w:evenHBand="0" w:firstRowFirstColumn="0" w:firstRowLastColumn="0" w:lastRowFirstColumn="0" w:lastRowLastColumn="0"/>
            <w:tcW w:w="6935" w:type="dxa"/>
            <w:gridSpan w:val="2"/>
          </w:tcPr>
          <w:p w:rsidR="00033E99" w:rsidRPr="00033E99" w:rsidRDefault="00033E99" w:rsidP="00033E99">
            <w:r>
              <w:t>C</w:t>
            </w:r>
            <w:r w:rsidRPr="00033E99">
              <w:t>ollection of meter data, processing and storage of meter data, and provision of access to meter data for type 5-6 metering installations</w:t>
            </w:r>
          </w:p>
        </w:tc>
        <w:tc>
          <w:tcPr>
            <w:tcW w:w="3402" w:type="dxa"/>
          </w:tcPr>
          <w:p w:rsidR="00033E99" w:rsidRPr="00B328EA" w:rsidRDefault="00033E99" w:rsidP="00033E99">
            <w:pPr>
              <w:pStyle w:val="AERbodytext"/>
              <w:cnfStyle w:val="000000000000" w:firstRow="0" w:lastRow="0" w:firstColumn="0" w:lastColumn="0" w:oddVBand="0" w:evenVBand="0" w:oddHBand="0" w:evenHBand="0" w:firstRowFirstColumn="0" w:firstRowLastColumn="0" w:lastRowFirstColumn="0" w:lastRowLastColumn="0"/>
            </w:pPr>
            <w:r>
              <w:t>Unclassified</w:t>
            </w:r>
          </w:p>
        </w:tc>
        <w:tc>
          <w:tcPr>
            <w:tcW w:w="2835" w:type="dxa"/>
          </w:tcPr>
          <w:p w:rsidR="00033E99" w:rsidRPr="00B328EA" w:rsidRDefault="00033E99" w:rsidP="00033E99">
            <w:pPr>
              <w:pStyle w:val="AERbodytext"/>
              <w:cnfStyle w:val="000000000000" w:firstRow="0" w:lastRow="0" w:firstColumn="0" w:lastColumn="0" w:oddVBand="0" w:evenVBand="0" w:oddHBand="0" w:evenHBand="0" w:firstRowFirstColumn="0" w:firstRowLastColumn="0" w:lastRowFirstColumn="0" w:lastRowLastColumn="0"/>
            </w:pPr>
            <w:r>
              <w:t>Unclassified</w:t>
            </w:r>
          </w:p>
        </w:tc>
      </w:tr>
      <w:tr w:rsidR="0082366D"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82366D" w:rsidRDefault="0082366D" w:rsidP="00B11981">
            <w:pPr>
              <w:pStyle w:val="AERbodytextnospaceleftalign"/>
            </w:pPr>
            <w:r>
              <w:lastRenderedPageBreak/>
              <w:t>Meter exit services</w:t>
            </w:r>
          </w:p>
        </w:tc>
        <w:tc>
          <w:tcPr>
            <w:tcW w:w="3402" w:type="dxa"/>
          </w:tcPr>
          <w:p w:rsidR="0082366D" w:rsidRDefault="0082366D" w:rsidP="00B11981">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82366D" w:rsidRDefault="0082366D" w:rsidP="00B11981">
            <w:pPr>
              <w:pStyle w:val="AERbodytext"/>
              <w:cnfStyle w:val="000000010000" w:firstRow="0" w:lastRow="0" w:firstColumn="0" w:lastColumn="0" w:oddVBand="0" w:evenVBand="0" w:oddHBand="0" w:evenHBand="1" w:firstRowFirstColumn="0" w:firstRowLastColumn="0" w:lastRowFirstColumn="0" w:lastRowLastColumn="0"/>
            </w:pPr>
            <w:r>
              <w:t>Unclassified</w:t>
            </w:r>
          </w:p>
        </w:tc>
      </w:tr>
      <w:tr w:rsidR="0082366D" w:rsidRPr="00EB1C82" w:rsidTr="00C66E11">
        <w:tc>
          <w:tcPr>
            <w:cnfStyle w:val="001000000000" w:firstRow="0" w:lastRow="0" w:firstColumn="1" w:lastColumn="0" w:oddVBand="0" w:evenVBand="0" w:oddHBand="0" w:evenHBand="0" w:firstRowFirstColumn="0" w:firstRowLastColumn="0" w:lastRowFirstColumn="0" w:lastRowLastColumn="0"/>
            <w:tcW w:w="6935" w:type="dxa"/>
            <w:gridSpan w:val="2"/>
          </w:tcPr>
          <w:p w:rsidR="0082366D" w:rsidRDefault="0082366D" w:rsidP="00B11981">
            <w:pPr>
              <w:pStyle w:val="AERbodytextnospaceleftalign"/>
            </w:pPr>
            <w:r>
              <w:t>Meter restoration services</w:t>
            </w:r>
          </w:p>
        </w:tc>
        <w:tc>
          <w:tcPr>
            <w:tcW w:w="3402" w:type="dxa"/>
          </w:tcPr>
          <w:p w:rsidR="0082366D" w:rsidRDefault="0082366D" w:rsidP="00B11981">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82366D" w:rsidRDefault="0082366D" w:rsidP="00B11981">
            <w:pPr>
              <w:pStyle w:val="AERbodytext"/>
              <w:cnfStyle w:val="000000000000" w:firstRow="0" w:lastRow="0" w:firstColumn="0" w:lastColumn="0" w:oddVBand="0" w:evenVBand="0" w:oddHBand="0" w:evenHBand="0" w:firstRowFirstColumn="0" w:firstRowLastColumn="0" w:lastRowFirstColumn="0" w:lastRowLastColumn="0"/>
            </w:pPr>
            <w:r>
              <w:t>Unclassified</w:t>
            </w:r>
          </w:p>
        </w:tc>
      </w:tr>
      <w:tr w:rsidR="00B11981"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Meter investigation</w:t>
            </w:r>
          </w:p>
        </w:tc>
        <w:tc>
          <w:tcPr>
            <w:tcW w:w="3402" w:type="dxa"/>
          </w:tcPr>
          <w:p w:rsidR="00B11981" w:rsidRPr="00B328EA" w:rsidRDefault="00B11981"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Alternative control (fee-based)</w:t>
            </w:r>
          </w:p>
        </w:tc>
      </w:tr>
      <w:tr w:rsidR="00B11981" w:rsidRPr="00EB1C82" w:rsidTr="00C66E11">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Special meter read</w:t>
            </w:r>
          </w:p>
        </w:tc>
        <w:tc>
          <w:tcPr>
            <w:tcW w:w="3402" w:type="dxa"/>
          </w:tcPr>
          <w:p w:rsidR="00B11981" w:rsidRPr="00B328EA" w:rsidRDefault="00B11981" w:rsidP="008840F2">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Alternative control (fee-based)</w:t>
            </w:r>
          </w:p>
        </w:tc>
      </w:tr>
      <w:tr w:rsidR="00B11981"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 xml:space="preserve">Re-test </w:t>
            </w:r>
            <w:r w:rsidRPr="00B11981">
              <w:t>of type 5 and 6 metering installations for first tier customers with annual consumption greater than 160 MWh</w:t>
            </w:r>
          </w:p>
        </w:tc>
        <w:tc>
          <w:tcPr>
            <w:tcW w:w="3402" w:type="dxa"/>
          </w:tcPr>
          <w:p w:rsidR="00B11981" w:rsidRPr="00B328EA" w:rsidRDefault="00B11981"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Alternative control (fee-based)</w:t>
            </w:r>
          </w:p>
        </w:tc>
      </w:tr>
      <w:tr w:rsidR="009E453B" w:rsidRPr="00EB1C82" w:rsidTr="00C66E11">
        <w:tc>
          <w:tcPr>
            <w:cnfStyle w:val="001000000000" w:firstRow="0" w:lastRow="0" w:firstColumn="1" w:lastColumn="0" w:oddVBand="0" w:evenVBand="0" w:oddHBand="0" w:evenHBand="0" w:firstRowFirstColumn="0" w:firstRowLastColumn="0" w:lastRowFirstColumn="0" w:lastRowLastColumn="0"/>
            <w:tcW w:w="6935" w:type="dxa"/>
            <w:gridSpan w:val="2"/>
          </w:tcPr>
          <w:p w:rsidR="009E453B" w:rsidRPr="009E453B" w:rsidRDefault="009E453B" w:rsidP="009E453B">
            <w:pPr>
              <w:pStyle w:val="AERbodytextnospaceleftalign"/>
            </w:pPr>
            <w:r w:rsidRPr="00B328EA">
              <w:rPr>
                <w:rStyle w:val="AERtextbold"/>
              </w:rPr>
              <w:t>AER service group—</w:t>
            </w:r>
            <w:r w:rsidRPr="009E453B">
              <w:rPr>
                <w:rStyle w:val="AERtextbold"/>
              </w:rPr>
              <w:t xml:space="preserve">metering services provided </w:t>
            </w:r>
            <w:r>
              <w:rPr>
                <w:rStyle w:val="AERtextbold"/>
              </w:rPr>
              <w:t>after</w:t>
            </w:r>
            <w:r w:rsidRPr="009E453B">
              <w:rPr>
                <w:rStyle w:val="AERtextbold"/>
              </w:rPr>
              <w:t xml:space="preserve"> AMI order in council </w:t>
            </w:r>
            <w:r>
              <w:rPr>
                <w:rStyle w:val="AERtextbold"/>
              </w:rPr>
              <w:t>expires</w:t>
            </w:r>
          </w:p>
        </w:tc>
        <w:tc>
          <w:tcPr>
            <w:tcW w:w="3402" w:type="dxa"/>
          </w:tcPr>
          <w:p w:rsidR="009E453B" w:rsidRPr="00B328EA" w:rsidRDefault="009E453B" w:rsidP="009E453B">
            <w:pPr>
              <w:pStyle w:val="AERbodytext"/>
              <w:cnfStyle w:val="000000000000" w:firstRow="0" w:lastRow="0" w:firstColumn="0" w:lastColumn="0" w:oddVBand="0" w:evenVBand="0" w:oddHBand="0" w:evenHBand="0" w:firstRowFirstColumn="0" w:firstRowLastColumn="0" w:lastRowFirstColumn="0" w:lastRowLastColumn="0"/>
            </w:pPr>
          </w:p>
        </w:tc>
        <w:tc>
          <w:tcPr>
            <w:tcW w:w="2835" w:type="dxa"/>
          </w:tcPr>
          <w:p w:rsidR="009E453B" w:rsidRPr="00B328EA" w:rsidRDefault="009E453B" w:rsidP="009E453B">
            <w:pPr>
              <w:pStyle w:val="AERbodytext"/>
              <w:cnfStyle w:val="000000000000" w:firstRow="0" w:lastRow="0" w:firstColumn="0" w:lastColumn="0" w:oddVBand="0" w:evenVBand="0" w:oddHBand="0" w:evenHBand="0" w:firstRowFirstColumn="0" w:firstRowLastColumn="0" w:lastRowFirstColumn="0" w:lastRowLastColumn="0"/>
            </w:pPr>
          </w:p>
        </w:tc>
      </w:tr>
      <w:tr w:rsidR="009E453B"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9E453B" w:rsidRPr="009E453B" w:rsidRDefault="009E453B" w:rsidP="004B5F42">
            <w:pPr>
              <w:pStyle w:val="AERtabletextleft"/>
              <w:rPr>
                <w:rStyle w:val="AERtexthighlight"/>
                <w:shd w:val="clear" w:color="auto" w:fill="auto"/>
              </w:rPr>
            </w:pPr>
            <w:r w:rsidRPr="009E453B">
              <w:rPr>
                <w:rStyle w:val="AERtexthighlight"/>
                <w:shd w:val="clear" w:color="auto" w:fill="auto"/>
              </w:rPr>
              <w:t xml:space="preserve">Installation, operation, repair &amp; maintenance, and replacement of type 1-4 metering </w:t>
            </w:r>
            <w:r w:rsidRPr="004B5F42">
              <w:rPr>
                <w:rStyle w:val="AERtexthighlight"/>
                <w:shd w:val="clear" w:color="auto" w:fill="auto"/>
              </w:rPr>
              <w:t>installations</w:t>
            </w:r>
            <w:r w:rsidR="004B5F42" w:rsidRPr="004B5F42">
              <w:rPr>
                <w:rStyle w:val="AERtexthighlight"/>
                <w:shd w:val="clear" w:color="auto" w:fill="auto"/>
              </w:rPr>
              <w:t xml:space="preserve"> (excluding smart meters)</w:t>
            </w:r>
          </w:p>
        </w:tc>
        <w:tc>
          <w:tcPr>
            <w:tcW w:w="3402" w:type="dxa"/>
          </w:tcPr>
          <w:p w:rsidR="009E453B" w:rsidRPr="00B328EA" w:rsidRDefault="009E453B" w:rsidP="009E453B">
            <w:pPr>
              <w:pStyle w:val="AERbodytext"/>
              <w:cnfStyle w:val="000000010000" w:firstRow="0" w:lastRow="0" w:firstColumn="0" w:lastColumn="0" w:oddVBand="0" w:evenVBand="0" w:oddHBand="0" w:evenHBand="1" w:firstRowFirstColumn="0" w:firstRowLastColumn="0" w:lastRowFirstColumn="0" w:lastRowLastColumn="0"/>
            </w:pPr>
            <w:r>
              <w:t>Unclassified</w:t>
            </w:r>
          </w:p>
        </w:tc>
        <w:tc>
          <w:tcPr>
            <w:tcW w:w="2835" w:type="dxa"/>
          </w:tcPr>
          <w:p w:rsidR="009E453B" w:rsidRPr="00B328EA" w:rsidRDefault="009E453B" w:rsidP="009E453B">
            <w:pPr>
              <w:pStyle w:val="AERbodytext"/>
              <w:cnfStyle w:val="000000010000" w:firstRow="0" w:lastRow="0" w:firstColumn="0" w:lastColumn="0" w:oddVBand="0" w:evenVBand="0" w:oddHBand="0" w:evenHBand="1" w:firstRowFirstColumn="0" w:firstRowLastColumn="0" w:lastRowFirstColumn="0" w:lastRowLastColumn="0"/>
            </w:pPr>
            <w:r>
              <w:t>Unclassified</w:t>
            </w:r>
          </w:p>
        </w:tc>
      </w:tr>
      <w:tr w:rsidR="009E453B" w:rsidRPr="00EB1C82" w:rsidTr="00C66E11">
        <w:tc>
          <w:tcPr>
            <w:cnfStyle w:val="001000000000" w:firstRow="0" w:lastRow="0" w:firstColumn="1" w:lastColumn="0" w:oddVBand="0" w:evenVBand="0" w:oddHBand="0" w:evenHBand="0" w:firstRowFirstColumn="0" w:firstRowLastColumn="0" w:lastRowFirstColumn="0" w:lastRowLastColumn="0"/>
            <w:tcW w:w="6935" w:type="dxa"/>
            <w:gridSpan w:val="2"/>
          </w:tcPr>
          <w:p w:rsidR="009E453B" w:rsidRPr="009E453B" w:rsidRDefault="009E453B" w:rsidP="004B5F42">
            <w:pPr>
              <w:pStyle w:val="AERtabletextleft"/>
              <w:rPr>
                <w:rStyle w:val="AERtexthighlight"/>
                <w:shd w:val="clear" w:color="auto" w:fill="auto"/>
              </w:rPr>
            </w:pPr>
            <w:r w:rsidRPr="009E453B">
              <w:rPr>
                <w:rStyle w:val="AERtexthighlight"/>
                <w:shd w:val="clear" w:color="auto" w:fill="auto"/>
              </w:rPr>
              <w:t>Installation, operation, repair &amp; maintenance, and replacement of type 5</w:t>
            </w:r>
            <w:r w:rsidRPr="004B5F42">
              <w:rPr>
                <w:rStyle w:val="AERtexthighlight"/>
                <w:shd w:val="clear" w:color="auto" w:fill="auto"/>
              </w:rPr>
              <w:t xml:space="preserve">-6 </w:t>
            </w:r>
            <w:r w:rsidR="004B5F42" w:rsidRPr="004B5F42">
              <w:rPr>
                <w:rStyle w:val="AERtexthighlight"/>
                <w:shd w:val="clear" w:color="auto" w:fill="auto"/>
              </w:rPr>
              <w:t xml:space="preserve">and smart </w:t>
            </w:r>
            <w:r w:rsidRPr="004B5F42">
              <w:rPr>
                <w:rStyle w:val="AERtexthighlight"/>
                <w:shd w:val="clear" w:color="auto" w:fill="auto"/>
              </w:rPr>
              <w:t>metering</w:t>
            </w:r>
            <w:r w:rsidRPr="009E453B">
              <w:rPr>
                <w:rStyle w:val="AERtexthighlight"/>
                <w:shd w:val="clear" w:color="auto" w:fill="auto"/>
              </w:rPr>
              <w:t xml:space="preserve"> installations</w:t>
            </w:r>
          </w:p>
        </w:tc>
        <w:tc>
          <w:tcPr>
            <w:tcW w:w="3402" w:type="dxa"/>
          </w:tcPr>
          <w:p w:rsidR="009E453B" w:rsidRPr="00B328EA" w:rsidRDefault="00033E99" w:rsidP="009E453B">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9E453B" w:rsidRPr="00B328EA" w:rsidRDefault="009E453B" w:rsidP="009E453B">
            <w:pPr>
              <w:pStyle w:val="AERbodytext"/>
              <w:cnfStyle w:val="000000000000" w:firstRow="0" w:lastRow="0" w:firstColumn="0" w:lastColumn="0" w:oddVBand="0" w:evenVBand="0" w:oddHBand="0" w:evenHBand="0" w:firstRowFirstColumn="0" w:firstRowLastColumn="0" w:lastRowFirstColumn="0" w:lastRowLastColumn="0"/>
            </w:pPr>
            <w:r>
              <w:t>Unclassified</w:t>
            </w:r>
          </w:p>
        </w:tc>
      </w:tr>
      <w:tr w:rsidR="009E453B"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9E453B" w:rsidRPr="009E453B" w:rsidRDefault="009E453B" w:rsidP="009E453B">
            <w:pPr>
              <w:pStyle w:val="AERtabletextleft"/>
              <w:rPr>
                <w:rStyle w:val="AERtexthighlight"/>
                <w:shd w:val="clear" w:color="auto" w:fill="auto"/>
              </w:rPr>
            </w:pPr>
            <w:r w:rsidRPr="009E453B">
              <w:rPr>
                <w:rStyle w:val="AERtexthighlight"/>
                <w:shd w:val="clear" w:color="auto" w:fill="auto"/>
              </w:rPr>
              <w:t>Operation of type 7 metering installations</w:t>
            </w:r>
          </w:p>
        </w:tc>
        <w:tc>
          <w:tcPr>
            <w:tcW w:w="3402" w:type="dxa"/>
          </w:tcPr>
          <w:p w:rsidR="009E453B" w:rsidRPr="00B328EA" w:rsidRDefault="006D5D49" w:rsidP="009E453B">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9E453B" w:rsidRPr="00B328EA" w:rsidRDefault="009E453B" w:rsidP="009E453B">
            <w:pPr>
              <w:pStyle w:val="AERbodytext"/>
              <w:cnfStyle w:val="000000010000" w:firstRow="0" w:lastRow="0" w:firstColumn="0" w:lastColumn="0" w:oddVBand="0" w:evenVBand="0" w:oddHBand="0" w:evenHBand="1" w:firstRowFirstColumn="0" w:firstRowLastColumn="0" w:lastRowFirstColumn="0" w:lastRowLastColumn="0"/>
            </w:pPr>
            <w:r>
              <w:t>Unclassified</w:t>
            </w:r>
          </w:p>
        </w:tc>
      </w:tr>
      <w:tr w:rsidR="009E453B" w:rsidRPr="00EB1C82" w:rsidTr="00C66E11">
        <w:tc>
          <w:tcPr>
            <w:cnfStyle w:val="001000000000" w:firstRow="0" w:lastRow="0" w:firstColumn="1" w:lastColumn="0" w:oddVBand="0" w:evenVBand="0" w:oddHBand="0" w:evenHBand="0" w:firstRowFirstColumn="0" w:firstRowLastColumn="0" w:lastRowFirstColumn="0" w:lastRowLastColumn="0"/>
            <w:tcW w:w="6935" w:type="dxa"/>
            <w:gridSpan w:val="2"/>
          </w:tcPr>
          <w:p w:rsidR="009E453B" w:rsidRPr="009E453B" w:rsidRDefault="006D5D49" w:rsidP="006D5D49">
            <w:r>
              <w:t>C</w:t>
            </w:r>
            <w:r w:rsidRPr="006D5D49">
              <w:t>ollection</w:t>
            </w:r>
            <w:r>
              <w:t xml:space="preserve"> of meter data</w:t>
            </w:r>
            <w:r w:rsidRPr="006D5D49">
              <w:t>, processing and storage of</w:t>
            </w:r>
            <w:r>
              <w:t xml:space="preserve"> meter data</w:t>
            </w:r>
            <w:r w:rsidRPr="006D5D49">
              <w:t>, and provision of</w:t>
            </w:r>
            <w:r>
              <w:t xml:space="preserve"> </w:t>
            </w:r>
            <w:r w:rsidRPr="006D5D49">
              <w:t>ac</w:t>
            </w:r>
            <w:r>
              <w:t>cess to meter</w:t>
            </w:r>
            <w:r w:rsidRPr="006D5D49">
              <w:t xml:space="preserve"> data</w:t>
            </w:r>
            <w:r w:rsidR="00033E99">
              <w:t xml:space="preserve"> for type 1-4 metering installations</w:t>
            </w:r>
            <w:r w:rsidR="004B5F42">
              <w:t xml:space="preserve"> </w:t>
            </w:r>
            <w:r w:rsidR="004B5F42" w:rsidRPr="004B5F42">
              <w:t>(excluding smart meters)</w:t>
            </w:r>
          </w:p>
        </w:tc>
        <w:tc>
          <w:tcPr>
            <w:tcW w:w="3402" w:type="dxa"/>
          </w:tcPr>
          <w:p w:rsidR="009E453B" w:rsidRPr="00B328EA" w:rsidRDefault="00033E99" w:rsidP="009E453B">
            <w:pPr>
              <w:pStyle w:val="AERbodytext"/>
              <w:cnfStyle w:val="000000000000" w:firstRow="0" w:lastRow="0" w:firstColumn="0" w:lastColumn="0" w:oddVBand="0" w:evenVBand="0" w:oddHBand="0" w:evenHBand="0" w:firstRowFirstColumn="0" w:firstRowLastColumn="0" w:lastRowFirstColumn="0" w:lastRowLastColumn="0"/>
            </w:pPr>
            <w:r>
              <w:t>Unclassified</w:t>
            </w:r>
          </w:p>
        </w:tc>
        <w:tc>
          <w:tcPr>
            <w:tcW w:w="2835" w:type="dxa"/>
          </w:tcPr>
          <w:p w:rsidR="009E453B" w:rsidRPr="00B328EA" w:rsidRDefault="009E453B" w:rsidP="009E453B">
            <w:pPr>
              <w:pStyle w:val="AERbodytext"/>
              <w:cnfStyle w:val="000000000000" w:firstRow="0" w:lastRow="0" w:firstColumn="0" w:lastColumn="0" w:oddVBand="0" w:evenVBand="0" w:oddHBand="0" w:evenHBand="0" w:firstRowFirstColumn="0" w:firstRowLastColumn="0" w:lastRowFirstColumn="0" w:lastRowLastColumn="0"/>
            </w:pPr>
            <w:r>
              <w:t>Unclassified</w:t>
            </w:r>
          </w:p>
        </w:tc>
      </w:tr>
      <w:tr w:rsidR="00033E99"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033E99" w:rsidRPr="00033E99" w:rsidRDefault="00033E99" w:rsidP="00033E99">
            <w:r>
              <w:t>C</w:t>
            </w:r>
            <w:r w:rsidRPr="00033E99">
              <w:t xml:space="preserve">ollection of meter data, processing and storage of meter data, and provision of access to meter data for type </w:t>
            </w:r>
            <w:r>
              <w:t>5</w:t>
            </w:r>
            <w:r w:rsidRPr="00033E99">
              <w:t>-</w:t>
            </w:r>
            <w:r>
              <w:t xml:space="preserve">6 </w:t>
            </w:r>
            <w:r w:rsidR="004B5F42" w:rsidRPr="004B5F42">
              <w:t xml:space="preserve">and smart </w:t>
            </w:r>
            <w:r>
              <w:t>metering installations</w:t>
            </w:r>
          </w:p>
        </w:tc>
        <w:tc>
          <w:tcPr>
            <w:tcW w:w="3402" w:type="dxa"/>
          </w:tcPr>
          <w:p w:rsidR="00033E99" w:rsidRPr="00B328EA" w:rsidRDefault="00033E99" w:rsidP="00033E99">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033E99" w:rsidRPr="00B328EA" w:rsidRDefault="00033E99" w:rsidP="00033E99">
            <w:pPr>
              <w:pStyle w:val="AERbodytext"/>
              <w:cnfStyle w:val="000000010000" w:firstRow="0" w:lastRow="0" w:firstColumn="0" w:lastColumn="0" w:oddVBand="0" w:evenVBand="0" w:oddHBand="0" w:evenHBand="1" w:firstRowFirstColumn="0" w:firstRowLastColumn="0" w:lastRowFirstColumn="0" w:lastRowLastColumn="0"/>
            </w:pPr>
            <w:r>
              <w:t>Unclassified</w:t>
            </w:r>
          </w:p>
        </w:tc>
      </w:tr>
      <w:tr w:rsidR="009E453B" w:rsidRPr="00EB1C82" w:rsidTr="00C66E11">
        <w:tc>
          <w:tcPr>
            <w:cnfStyle w:val="001000000000" w:firstRow="0" w:lastRow="0" w:firstColumn="1" w:lastColumn="0" w:oddVBand="0" w:evenVBand="0" w:oddHBand="0" w:evenHBand="0" w:firstRowFirstColumn="0" w:firstRowLastColumn="0" w:lastRowFirstColumn="0" w:lastRowLastColumn="0"/>
            <w:tcW w:w="6935" w:type="dxa"/>
            <w:gridSpan w:val="2"/>
          </w:tcPr>
          <w:p w:rsidR="009E453B" w:rsidRPr="009E453B" w:rsidRDefault="009E453B" w:rsidP="009E453B">
            <w:pPr>
              <w:pStyle w:val="AERbodytextnospaceleftalign"/>
            </w:pPr>
            <w:r>
              <w:t>Meter exit services</w:t>
            </w:r>
          </w:p>
        </w:tc>
        <w:tc>
          <w:tcPr>
            <w:tcW w:w="3402" w:type="dxa"/>
          </w:tcPr>
          <w:p w:rsidR="009E453B" w:rsidRDefault="009E453B" w:rsidP="009E453B">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9E453B" w:rsidRDefault="009E453B" w:rsidP="009E453B">
            <w:pPr>
              <w:pStyle w:val="AERbodytext"/>
              <w:cnfStyle w:val="000000000000" w:firstRow="0" w:lastRow="0" w:firstColumn="0" w:lastColumn="0" w:oddVBand="0" w:evenVBand="0" w:oddHBand="0" w:evenHBand="0" w:firstRowFirstColumn="0" w:firstRowLastColumn="0" w:lastRowFirstColumn="0" w:lastRowLastColumn="0"/>
            </w:pPr>
            <w:r>
              <w:t>Unclassified</w:t>
            </w:r>
          </w:p>
        </w:tc>
      </w:tr>
      <w:tr w:rsidR="009E453B"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9E453B" w:rsidRPr="009E453B" w:rsidRDefault="009E453B" w:rsidP="009E453B">
            <w:pPr>
              <w:pStyle w:val="AERbodytextnospaceleftalign"/>
            </w:pPr>
            <w:r>
              <w:t>Meter restoration services</w:t>
            </w:r>
          </w:p>
        </w:tc>
        <w:tc>
          <w:tcPr>
            <w:tcW w:w="3402" w:type="dxa"/>
          </w:tcPr>
          <w:p w:rsidR="009E453B" w:rsidRDefault="009E453B" w:rsidP="009E453B">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9E453B" w:rsidRDefault="009E453B" w:rsidP="009E453B">
            <w:pPr>
              <w:pStyle w:val="AERbodytext"/>
              <w:cnfStyle w:val="000000010000" w:firstRow="0" w:lastRow="0" w:firstColumn="0" w:lastColumn="0" w:oddVBand="0" w:evenVBand="0" w:oddHBand="0" w:evenHBand="1" w:firstRowFirstColumn="0" w:firstRowLastColumn="0" w:lastRowFirstColumn="0" w:lastRowLastColumn="0"/>
            </w:pPr>
            <w:r>
              <w:t>Unclassified</w:t>
            </w:r>
          </w:p>
        </w:tc>
      </w:tr>
      <w:tr w:rsidR="009E453B" w:rsidRPr="00EB1C82" w:rsidTr="00C66E11">
        <w:tc>
          <w:tcPr>
            <w:cnfStyle w:val="001000000000" w:firstRow="0" w:lastRow="0" w:firstColumn="1" w:lastColumn="0" w:oddVBand="0" w:evenVBand="0" w:oddHBand="0" w:evenHBand="0" w:firstRowFirstColumn="0" w:firstRowLastColumn="0" w:lastRowFirstColumn="0" w:lastRowLastColumn="0"/>
            <w:tcW w:w="6935" w:type="dxa"/>
            <w:gridSpan w:val="2"/>
          </w:tcPr>
          <w:p w:rsidR="009E453B" w:rsidRPr="009E453B" w:rsidRDefault="009E453B" w:rsidP="009E453B">
            <w:pPr>
              <w:pStyle w:val="AERbodytextnospaceleftalign"/>
            </w:pPr>
            <w:r>
              <w:lastRenderedPageBreak/>
              <w:t>Meter investigation</w:t>
            </w:r>
          </w:p>
        </w:tc>
        <w:tc>
          <w:tcPr>
            <w:tcW w:w="3402" w:type="dxa"/>
          </w:tcPr>
          <w:p w:rsidR="009E453B" w:rsidRPr="00B328EA" w:rsidRDefault="009E453B" w:rsidP="008840F2">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9E453B" w:rsidRPr="00B328EA" w:rsidRDefault="009E453B" w:rsidP="009E453B">
            <w:pPr>
              <w:pStyle w:val="AERbodytext"/>
              <w:cnfStyle w:val="000000000000" w:firstRow="0" w:lastRow="0" w:firstColumn="0" w:lastColumn="0" w:oddVBand="0" w:evenVBand="0" w:oddHBand="0" w:evenHBand="0" w:firstRowFirstColumn="0" w:firstRowLastColumn="0" w:lastRowFirstColumn="0" w:lastRowLastColumn="0"/>
            </w:pPr>
            <w:r>
              <w:t>Alternative control (fee-based)</w:t>
            </w:r>
          </w:p>
        </w:tc>
      </w:tr>
      <w:tr w:rsidR="009E453B"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9E453B" w:rsidRPr="009E453B" w:rsidRDefault="009E453B" w:rsidP="009E453B">
            <w:pPr>
              <w:pStyle w:val="AERbodytextnospaceleftalign"/>
            </w:pPr>
            <w:r>
              <w:t>Special meter read</w:t>
            </w:r>
          </w:p>
        </w:tc>
        <w:tc>
          <w:tcPr>
            <w:tcW w:w="3402" w:type="dxa"/>
          </w:tcPr>
          <w:p w:rsidR="009E453B" w:rsidRPr="00B328EA" w:rsidRDefault="009E453B"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9E453B" w:rsidRPr="00B328EA" w:rsidRDefault="009E453B" w:rsidP="009E453B">
            <w:pPr>
              <w:pStyle w:val="AERbodytext"/>
              <w:cnfStyle w:val="000000010000" w:firstRow="0" w:lastRow="0" w:firstColumn="0" w:lastColumn="0" w:oddVBand="0" w:evenVBand="0" w:oddHBand="0" w:evenHBand="1" w:firstRowFirstColumn="0" w:firstRowLastColumn="0" w:lastRowFirstColumn="0" w:lastRowLastColumn="0"/>
            </w:pPr>
            <w:r>
              <w:t>Alternative control (fee-based)</w:t>
            </w:r>
          </w:p>
        </w:tc>
      </w:tr>
      <w:tr w:rsidR="009E453B" w:rsidRPr="00EB1C82" w:rsidTr="00C66E11">
        <w:tc>
          <w:tcPr>
            <w:cnfStyle w:val="001000000000" w:firstRow="0" w:lastRow="0" w:firstColumn="1" w:lastColumn="0" w:oddVBand="0" w:evenVBand="0" w:oddHBand="0" w:evenHBand="0" w:firstRowFirstColumn="0" w:firstRowLastColumn="0" w:lastRowFirstColumn="0" w:lastRowLastColumn="0"/>
            <w:tcW w:w="6935" w:type="dxa"/>
            <w:gridSpan w:val="2"/>
          </w:tcPr>
          <w:p w:rsidR="009E453B" w:rsidRPr="009E453B" w:rsidRDefault="009E453B" w:rsidP="009E453B">
            <w:pPr>
              <w:pStyle w:val="AERbodytextnospaceleftalign"/>
            </w:pPr>
            <w:r>
              <w:t xml:space="preserve">Re-test </w:t>
            </w:r>
            <w:r w:rsidRPr="009E453B">
              <w:t>of type 5 and 6 metering installations for first tier customers with annual consumption greater than 160 MWh</w:t>
            </w:r>
          </w:p>
        </w:tc>
        <w:tc>
          <w:tcPr>
            <w:tcW w:w="3402" w:type="dxa"/>
          </w:tcPr>
          <w:p w:rsidR="009E453B" w:rsidRPr="00B328EA" w:rsidRDefault="009E453B" w:rsidP="008840F2">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9E453B" w:rsidRPr="00B328EA" w:rsidRDefault="009E453B" w:rsidP="009E453B">
            <w:pPr>
              <w:pStyle w:val="AERbodytext"/>
              <w:cnfStyle w:val="000000000000" w:firstRow="0" w:lastRow="0" w:firstColumn="0" w:lastColumn="0" w:oddVBand="0" w:evenVBand="0" w:oddHBand="0" w:evenHBand="0" w:firstRowFirstColumn="0" w:firstRowLastColumn="0" w:lastRowFirstColumn="0" w:lastRowLastColumn="0"/>
            </w:pPr>
            <w:r>
              <w:t>Alternative control (fee-based)</w:t>
            </w:r>
          </w:p>
        </w:tc>
      </w:tr>
      <w:tr w:rsidR="0082366D" w:rsidRPr="00EB1C82" w:rsidTr="00802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rsidRPr="00B328EA">
              <w:rPr>
                <w:rStyle w:val="AERtextbold"/>
              </w:rPr>
              <w:t>AER service group—</w:t>
            </w:r>
            <w:r w:rsidRPr="00B11981">
              <w:rPr>
                <w:rStyle w:val="AERtextbold"/>
              </w:rPr>
              <w:t>public lighting services</w:t>
            </w:r>
          </w:p>
        </w:tc>
        <w:tc>
          <w:tcPr>
            <w:tcW w:w="3402"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p>
        </w:tc>
      </w:tr>
      <w:tr w:rsidR="0082366D" w:rsidRPr="00EB1C82" w:rsidTr="00802962">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Operation, repair, replacement, and maintenance of DNSP public lighting assets</w:t>
            </w:r>
          </w:p>
        </w:tc>
        <w:tc>
          <w:tcPr>
            <w:tcW w:w="3402"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Alternative control</w:t>
            </w:r>
          </w:p>
        </w:tc>
      </w:tr>
      <w:tr w:rsidR="0082366D" w:rsidRPr="00EB1C82" w:rsidTr="00802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Alter</w:t>
            </w:r>
            <w:r w:rsidRPr="00B11981">
              <w:t>ation and relocation of DNSP public lighting assets</w:t>
            </w:r>
          </w:p>
        </w:tc>
        <w:tc>
          <w:tcPr>
            <w:tcW w:w="3402"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Negotiated</w:t>
            </w: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Negotiated</w:t>
            </w:r>
          </w:p>
        </w:tc>
      </w:tr>
      <w:tr w:rsidR="0082366D" w:rsidRPr="00EB1C82" w:rsidTr="00802962">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New public lights</w:t>
            </w:r>
            <w:r w:rsidRPr="00B11981">
              <w:t xml:space="preserve"> (that is, new lighting types not subject to a regulated charge and new public lighting at greenfield sites)</w:t>
            </w:r>
          </w:p>
        </w:tc>
        <w:tc>
          <w:tcPr>
            <w:tcW w:w="3402"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Negotiated</w:t>
            </w:r>
          </w:p>
        </w:tc>
        <w:tc>
          <w:tcPr>
            <w:tcW w:w="2835"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Negotiated</w:t>
            </w:r>
          </w:p>
        </w:tc>
      </w:tr>
      <w:tr w:rsidR="00B11981" w:rsidRPr="00EB1C82" w:rsidTr="00802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5" w:type="dxa"/>
            <w:vAlign w:val="top"/>
          </w:tcPr>
          <w:p w:rsidR="00B11981" w:rsidRPr="00B328EA" w:rsidRDefault="00B11981" w:rsidP="00B11981">
            <w:pPr>
              <w:pStyle w:val="AERbodytext"/>
              <w:rPr>
                <w:rStyle w:val="AERtextbold"/>
              </w:rPr>
            </w:pPr>
            <w:r w:rsidRPr="00B328EA">
              <w:rPr>
                <w:rStyle w:val="AERtextbold"/>
              </w:rPr>
              <w:t>AER service group—</w:t>
            </w:r>
            <w:r>
              <w:rPr>
                <w:rStyle w:val="AERtextbold"/>
              </w:rPr>
              <w:t>ancillary</w:t>
            </w:r>
            <w:r w:rsidRPr="00B328EA">
              <w:rPr>
                <w:rStyle w:val="AERtextbold"/>
              </w:rPr>
              <w:t xml:space="preserve"> services</w:t>
            </w:r>
          </w:p>
        </w:tc>
        <w:tc>
          <w:tcPr>
            <w:tcW w:w="9007" w:type="dxa"/>
            <w:gridSpan w:val="3"/>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rPr>
                <w:rStyle w:val="AERtextbold"/>
              </w:rPr>
            </w:pPr>
          </w:p>
        </w:tc>
      </w:tr>
      <w:tr w:rsidR="00B11981" w:rsidRPr="00EB1C82" w:rsidTr="00E728EC">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 xml:space="preserve">Fault response - </w:t>
            </w:r>
            <w:r w:rsidRPr="00B11981">
              <w:t>not DNSP fault</w:t>
            </w:r>
          </w:p>
        </w:tc>
        <w:tc>
          <w:tcPr>
            <w:tcW w:w="3402" w:type="dxa"/>
          </w:tcPr>
          <w:p w:rsidR="00B11981" w:rsidRPr="00B328EA" w:rsidRDefault="008840F2" w:rsidP="008840F2">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Alternative control (fee-based)</w:t>
            </w:r>
          </w:p>
        </w:tc>
      </w:tr>
      <w:tr w:rsidR="00B11981" w:rsidRPr="00EB1C82" w:rsidTr="00E72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Wasted attendance - not DNSP fault</w:t>
            </w:r>
          </w:p>
        </w:tc>
        <w:tc>
          <w:tcPr>
            <w:tcW w:w="3402" w:type="dxa"/>
          </w:tcPr>
          <w:p w:rsidR="00B11981" w:rsidRPr="00B328EA" w:rsidRDefault="008840F2"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Alternative control (fee-based)</w:t>
            </w:r>
          </w:p>
        </w:tc>
      </w:tr>
      <w:tr w:rsidR="00B11981" w:rsidRPr="00EB1C82" w:rsidTr="00E728EC">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Service truck visits</w:t>
            </w:r>
          </w:p>
        </w:tc>
        <w:tc>
          <w:tcPr>
            <w:tcW w:w="3402" w:type="dxa"/>
          </w:tcPr>
          <w:p w:rsidR="00B11981" w:rsidRPr="00B328EA" w:rsidRDefault="008840F2" w:rsidP="008840F2">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Alternative control (fee-based)</w:t>
            </w:r>
          </w:p>
        </w:tc>
      </w:tr>
      <w:tr w:rsidR="00B11981" w:rsidRPr="00EB1C82" w:rsidTr="00E72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Reserve feeder</w:t>
            </w:r>
          </w:p>
        </w:tc>
        <w:tc>
          <w:tcPr>
            <w:tcW w:w="3402" w:type="dxa"/>
          </w:tcPr>
          <w:p w:rsidR="00B11981" w:rsidRPr="00B328EA" w:rsidRDefault="008840F2"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Alternative control (fee-based)</w:t>
            </w:r>
          </w:p>
        </w:tc>
      </w:tr>
      <w:tr w:rsidR="00B11981" w:rsidRPr="00EB1C82" w:rsidTr="00E728EC">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 xml:space="preserve">Temporary supply </w:t>
            </w:r>
            <w:r w:rsidRPr="00B11981">
              <w:t>services</w:t>
            </w:r>
          </w:p>
        </w:tc>
        <w:tc>
          <w:tcPr>
            <w:tcW w:w="3402"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p>
        </w:tc>
        <w:tc>
          <w:tcPr>
            <w:tcW w:w="2835"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Alternative control (fee-based)</w:t>
            </w:r>
          </w:p>
        </w:tc>
      </w:tr>
      <w:tr w:rsidR="00B11981" w:rsidRPr="00EB1C82" w:rsidTr="00E72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Rearrangement of network assets at customer request, excluding alteration and relocation of public lighting assets</w:t>
            </w:r>
          </w:p>
        </w:tc>
        <w:tc>
          <w:tcPr>
            <w:tcW w:w="3402" w:type="dxa"/>
          </w:tcPr>
          <w:p w:rsidR="00B11981" w:rsidRPr="00B328EA" w:rsidRDefault="008840F2"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Alternative control (quoted)</w:t>
            </w:r>
          </w:p>
        </w:tc>
      </w:tr>
      <w:tr w:rsidR="00B11981" w:rsidRPr="00EB1C82" w:rsidTr="00E728EC">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lastRenderedPageBreak/>
              <w:t>Auditing design and construction</w:t>
            </w:r>
          </w:p>
        </w:tc>
        <w:tc>
          <w:tcPr>
            <w:tcW w:w="3402" w:type="dxa"/>
          </w:tcPr>
          <w:p w:rsidR="00B11981" w:rsidRPr="00B328EA" w:rsidRDefault="008840F2" w:rsidP="008840F2">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Alternative control (quoted)</w:t>
            </w:r>
          </w:p>
        </w:tc>
      </w:tr>
      <w:tr w:rsidR="00B11981" w:rsidRPr="00EB1C82" w:rsidTr="00E72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Specification and design enquiry fees</w:t>
            </w:r>
          </w:p>
        </w:tc>
        <w:tc>
          <w:tcPr>
            <w:tcW w:w="3402" w:type="dxa"/>
          </w:tcPr>
          <w:p w:rsidR="00B11981" w:rsidRPr="00B328EA" w:rsidRDefault="008840F2"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Alternative control (quoted)</w:t>
            </w:r>
          </w:p>
        </w:tc>
      </w:tr>
      <w:tr w:rsidR="00B11981" w:rsidRPr="00EB1C82" w:rsidTr="00E728EC">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 xml:space="preserve">Elective undergrounding </w:t>
            </w:r>
            <w:r w:rsidRPr="00B11981">
              <w:t>where above ground service currently exists</w:t>
            </w:r>
          </w:p>
        </w:tc>
        <w:tc>
          <w:tcPr>
            <w:tcW w:w="3402" w:type="dxa"/>
          </w:tcPr>
          <w:p w:rsidR="00B11981" w:rsidRPr="00B328EA" w:rsidRDefault="008E6CB1" w:rsidP="00B11981">
            <w:pPr>
              <w:pStyle w:val="AERbodytext"/>
              <w:cnfStyle w:val="000000000000" w:firstRow="0" w:lastRow="0" w:firstColumn="0" w:lastColumn="0" w:oddVBand="0" w:evenVBand="0" w:oddHBand="0" w:evenHBand="0" w:firstRowFirstColumn="0" w:firstRowLastColumn="0" w:lastRowFirstColumn="0" w:lastRowLastColumn="0"/>
            </w:pPr>
            <w:r>
              <w:t>A</w:t>
            </w:r>
            <w:r w:rsidR="0087150B">
              <w:t>lternative control</w:t>
            </w:r>
          </w:p>
        </w:tc>
        <w:tc>
          <w:tcPr>
            <w:tcW w:w="2835"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Alternative control (quoted)</w:t>
            </w:r>
          </w:p>
        </w:tc>
      </w:tr>
      <w:tr w:rsidR="00B11981" w:rsidRPr="00EB1C82" w:rsidTr="00E72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Damage to overhead service cables caused by high load vehicles</w:t>
            </w:r>
          </w:p>
        </w:tc>
        <w:tc>
          <w:tcPr>
            <w:tcW w:w="3402" w:type="dxa"/>
          </w:tcPr>
          <w:p w:rsidR="00B11981" w:rsidRPr="00B328EA" w:rsidRDefault="008840F2"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Alternative control (quoted)</w:t>
            </w:r>
          </w:p>
        </w:tc>
      </w:tr>
      <w:tr w:rsidR="00B11981" w:rsidRPr="00EB1C82" w:rsidTr="00E728EC">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High load escorts - lifting overhead lines</w:t>
            </w:r>
          </w:p>
        </w:tc>
        <w:tc>
          <w:tcPr>
            <w:tcW w:w="3402" w:type="dxa"/>
          </w:tcPr>
          <w:p w:rsidR="00B11981" w:rsidRPr="00B328EA" w:rsidRDefault="008840F2" w:rsidP="008840F2">
            <w:pPr>
              <w:pStyle w:val="AERbodytext"/>
              <w:cnfStyle w:val="000000000000" w:firstRow="0" w:lastRow="0" w:firstColumn="0" w:lastColumn="0" w:oddVBand="0" w:evenVBand="0" w:oddHBand="0" w:evenHBand="0"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Alternative control (quoted)</w:t>
            </w:r>
          </w:p>
        </w:tc>
      </w:tr>
      <w:tr w:rsidR="00B11981" w:rsidRPr="00EB1C82" w:rsidTr="00E72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Covering of low voltage lines for safety reasons</w:t>
            </w:r>
          </w:p>
        </w:tc>
        <w:tc>
          <w:tcPr>
            <w:tcW w:w="3402" w:type="dxa"/>
          </w:tcPr>
          <w:p w:rsidR="00B11981" w:rsidRPr="00B328EA" w:rsidRDefault="008840F2" w:rsidP="008840F2">
            <w:pPr>
              <w:pStyle w:val="AERbodytext"/>
              <w:cnfStyle w:val="000000010000" w:firstRow="0" w:lastRow="0" w:firstColumn="0" w:lastColumn="0" w:oddVBand="0" w:evenVBand="0" w:oddHBand="0" w:evenHBand="1" w:firstRowFirstColumn="0" w:firstRowLastColumn="0" w:lastRowFirstColumn="0" w:lastRowLastColumn="0"/>
            </w:pPr>
            <w:r>
              <w:t>Alternative control</w:t>
            </w: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Alternative control (quoted)</w:t>
            </w:r>
          </w:p>
        </w:tc>
      </w:tr>
      <w:tr w:rsidR="00B11981" w:rsidRPr="00EB1C82" w:rsidTr="00E728EC">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After hours truck by appointment</w:t>
            </w:r>
          </w:p>
        </w:tc>
        <w:tc>
          <w:tcPr>
            <w:tcW w:w="3402" w:type="dxa"/>
          </w:tcPr>
          <w:p w:rsidR="00B11981" w:rsidRPr="00B328EA" w:rsidRDefault="00B11981" w:rsidP="008840F2">
            <w:pPr>
              <w:pStyle w:val="AERbodytext"/>
              <w:cnfStyle w:val="000000000000" w:firstRow="0" w:lastRow="0" w:firstColumn="0" w:lastColumn="0" w:oddVBand="0" w:evenVBand="0" w:oddHBand="0" w:evenHBand="0" w:firstRowFirstColumn="0" w:firstRowLastColumn="0" w:lastRowFirstColumn="0" w:lastRowLastColumn="0"/>
            </w:pPr>
            <w:r>
              <w:t xml:space="preserve">Alternative </w:t>
            </w:r>
            <w:r w:rsidR="008840F2">
              <w:t>control</w:t>
            </w:r>
          </w:p>
        </w:tc>
        <w:tc>
          <w:tcPr>
            <w:tcW w:w="2835"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Alternative control (quoted)</w:t>
            </w:r>
          </w:p>
        </w:tc>
      </w:tr>
      <w:tr w:rsidR="0082366D" w:rsidRPr="00EB1C82"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Emergency recoverable works</w:t>
            </w:r>
          </w:p>
        </w:tc>
        <w:tc>
          <w:tcPr>
            <w:tcW w:w="3402"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Alternative control (quoted)</w:t>
            </w:r>
          </w:p>
        </w:tc>
      </w:tr>
      <w:tr w:rsidR="00033E99" w:rsidRPr="00EB1C82" w:rsidTr="00E728EC">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Provision of possum guards</w:t>
            </w:r>
          </w:p>
        </w:tc>
        <w:tc>
          <w:tcPr>
            <w:tcW w:w="3402"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Unclassified</w:t>
            </w:r>
          </w:p>
        </w:tc>
        <w:tc>
          <w:tcPr>
            <w:tcW w:w="2835" w:type="dxa"/>
          </w:tcPr>
          <w:p w:rsidR="00B11981" w:rsidRPr="00B328EA" w:rsidRDefault="00B11981" w:rsidP="00B11981">
            <w:pPr>
              <w:pStyle w:val="AERbodytext"/>
              <w:cnfStyle w:val="000000000000" w:firstRow="0" w:lastRow="0" w:firstColumn="0" w:lastColumn="0" w:oddVBand="0" w:evenVBand="0" w:oddHBand="0" w:evenHBand="0" w:firstRowFirstColumn="0" w:firstRowLastColumn="0" w:lastRowFirstColumn="0" w:lastRowLastColumn="0"/>
            </w:pPr>
            <w:r>
              <w:t>Unclassified</w:t>
            </w:r>
          </w:p>
        </w:tc>
      </w:tr>
      <w:tr w:rsidR="00033E99" w:rsidRPr="00EB1C82" w:rsidTr="00E72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5" w:type="dxa"/>
            <w:gridSpan w:val="2"/>
          </w:tcPr>
          <w:p w:rsidR="00B11981" w:rsidRPr="00B11981" w:rsidRDefault="00B11981" w:rsidP="00B11981">
            <w:pPr>
              <w:pStyle w:val="AERbodytextnospaceleftalign"/>
            </w:pPr>
            <w:r>
              <w:t>Installation, repair, and maintenance of watchman lights</w:t>
            </w:r>
          </w:p>
        </w:tc>
        <w:tc>
          <w:tcPr>
            <w:tcW w:w="3402"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Unclassified</w:t>
            </w:r>
          </w:p>
        </w:tc>
        <w:tc>
          <w:tcPr>
            <w:tcW w:w="2835" w:type="dxa"/>
          </w:tcPr>
          <w:p w:rsidR="00B11981" w:rsidRPr="00B328EA" w:rsidRDefault="00B11981" w:rsidP="00B11981">
            <w:pPr>
              <w:pStyle w:val="AERbodytext"/>
              <w:cnfStyle w:val="000000010000" w:firstRow="0" w:lastRow="0" w:firstColumn="0" w:lastColumn="0" w:oddVBand="0" w:evenVBand="0" w:oddHBand="0" w:evenHBand="1" w:firstRowFirstColumn="0" w:firstRowLastColumn="0" w:lastRowFirstColumn="0" w:lastRowLastColumn="0"/>
            </w:pPr>
            <w:r>
              <w:t>Unclassified</w:t>
            </w:r>
          </w:p>
        </w:tc>
      </w:tr>
    </w:tbl>
    <w:p w:rsidR="00BF5F39" w:rsidRDefault="0082366D" w:rsidP="0082366D">
      <w:pPr>
        <w:pStyle w:val="AERtablesource"/>
        <w:rPr>
          <w:rStyle w:val="AERbody"/>
        </w:rPr>
      </w:pPr>
      <w:r w:rsidRPr="0082366D">
        <w:rPr>
          <w:rStyle w:val="AERbody"/>
          <w:sz w:val="16"/>
        </w:rPr>
        <w:t>* The rules state that exit and restoration fees must be classified as alternative control services. (see: NER 11.17.6(b))</w:t>
      </w:r>
    </w:p>
    <w:p w:rsidR="001F3C68" w:rsidRPr="001F3C68" w:rsidRDefault="001F3C68" w:rsidP="001F3C68">
      <w:pPr>
        <w:pStyle w:val="AERbodytext"/>
        <w:sectPr w:rsidR="001F3C68" w:rsidRPr="001F3C68" w:rsidSect="00605E0C">
          <w:pgSz w:w="16838" w:h="11906" w:orient="landscape"/>
          <w:pgMar w:top="1440" w:right="1440" w:bottom="1440" w:left="1440" w:header="709" w:footer="709" w:gutter="0"/>
          <w:cols w:space="708"/>
          <w:docGrid w:linePitch="360"/>
        </w:sectPr>
      </w:pPr>
    </w:p>
    <w:p w:rsidR="00C66E11" w:rsidRDefault="00C66E11" w:rsidP="00C66E11">
      <w:pPr>
        <w:pStyle w:val="UnnumberedHeading"/>
        <w:numPr>
          <w:ilvl w:val="0"/>
          <w:numId w:val="2"/>
        </w:numPr>
      </w:pPr>
      <w:bookmarkStart w:id="228" w:name="_Toc388976558"/>
      <w:r>
        <w:lastRenderedPageBreak/>
        <w:t>Appendix C: Shortened forms</w:t>
      </w:r>
      <w:bookmarkEnd w:id="228"/>
    </w:p>
    <w:tbl>
      <w:tblPr>
        <w:tblStyle w:val="AERtable-numbers"/>
        <w:tblW w:w="0" w:type="auto"/>
        <w:tblLook w:val="04A0" w:firstRow="1" w:lastRow="0" w:firstColumn="1" w:lastColumn="0" w:noHBand="0" w:noVBand="1"/>
      </w:tblPr>
      <w:tblGrid>
        <w:gridCol w:w="2802"/>
        <w:gridCol w:w="5726"/>
      </w:tblGrid>
      <w:tr w:rsidR="00C66E11" w:rsidRPr="001D1BDB" w:rsidTr="00C66E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Shortened Form</w:t>
            </w:r>
          </w:p>
        </w:tc>
        <w:tc>
          <w:tcPr>
            <w:tcW w:w="5726" w:type="dxa"/>
            <w:noWrap/>
          </w:tcPr>
          <w:p w:rsidR="00C66E11" w:rsidRPr="00C66E11" w:rsidRDefault="00C66E11" w:rsidP="00C66E11">
            <w:pPr>
              <w:cnfStyle w:val="100000000000" w:firstRow="1" w:lastRow="0" w:firstColumn="0" w:lastColumn="0" w:oddVBand="0" w:evenVBand="0" w:oddHBand="0" w:evenHBand="0" w:firstRowFirstColumn="0" w:firstRowLastColumn="0" w:lastRowFirstColumn="0" w:lastRowLastColumn="0"/>
            </w:pPr>
            <w:r w:rsidRPr="00DD3C20">
              <w:t>Extended Form</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AEMC</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rsidRPr="00DD3C20">
              <w:t>Australian Energy Market Commission</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AER</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rsidRPr="00DD3C20">
              <w:t>Australian Energy Regulator</w:t>
            </w:r>
          </w:p>
        </w:tc>
      </w:tr>
      <w:tr w:rsidR="00C66E11" w:rsidRPr="00912C06"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pPr>
              <w:pStyle w:val="AERtabletextleft"/>
              <w:rPr>
                <w:rStyle w:val="AERbody"/>
              </w:rPr>
            </w:pPr>
            <w:r w:rsidRPr="00C66E11">
              <w:rPr>
                <w:rStyle w:val="AERbody"/>
              </w:rPr>
              <w:t>capex</w:t>
            </w:r>
          </w:p>
        </w:tc>
        <w:tc>
          <w:tcPr>
            <w:tcW w:w="5726" w:type="dxa"/>
            <w:noWrap/>
          </w:tcPr>
          <w:p w:rsidR="00C66E11" w:rsidRDefault="00C66E11" w:rsidP="00C66E11">
            <w:pPr>
              <w:cnfStyle w:val="000000000000" w:firstRow="0" w:lastRow="0" w:firstColumn="0" w:lastColumn="0" w:oddVBand="0" w:evenVBand="0" w:oddHBand="0" w:evenHBand="0" w:firstRowFirstColumn="0" w:firstRowLastColumn="0" w:lastRowFirstColumn="0" w:lastRowLastColumn="0"/>
            </w:pPr>
            <w:r>
              <w:t>capital expenditure</w:t>
            </w:r>
          </w:p>
        </w:tc>
      </w:tr>
      <w:tr w:rsidR="00C66E11" w:rsidRPr="00912C06"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pPr>
              <w:pStyle w:val="AERtabletextleft"/>
              <w:rPr>
                <w:rStyle w:val="AERbody"/>
              </w:rPr>
            </w:pPr>
            <w:r w:rsidRPr="00C66E11">
              <w:rPr>
                <w:rStyle w:val="AERbody"/>
              </w:rPr>
              <w:t>CESS</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t>c</w:t>
            </w:r>
            <w:r w:rsidRPr="00C66E11">
              <w:t>apital expenditure sharing scheme</w:t>
            </w:r>
          </w:p>
        </w:tc>
      </w:tr>
      <w:tr w:rsidR="00C66E11" w:rsidRPr="00912C06"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pPr>
              <w:pStyle w:val="AERtabletextleft"/>
              <w:rPr>
                <w:rStyle w:val="AERbody"/>
                <w:highlight w:val="yellow"/>
              </w:rPr>
            </w:pPr>
            <w:r w:rsidRPr="00C66E11">
              <w:rPr>
                <w:rStyle w:val="AERbody"/>
              </w:rPr>
              <w:t>CPI</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rsidRPr="00DD3C20">
              <w:t>consumer price index</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pPr>
              <w:rPr>
                <w:highlight w:val="yellow"/>
              </w:rPr>
            </w:pPr>
            <w:r w:rsidRPr="00DD3C20">
              <w:t>CPI-X</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rsidRPr="00DD3C20">
              <w:t>consumer price index minus X</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current regulatory control period</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t xml:space="preserve">1 </w:t>
            </w:r>
            <w:r w:rsidRPr="00C66E11">
              <w:t>January 2011 to 31 December 2015</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t>DMIA</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t>d</w:t>
            </w:r>
            <w:r w:rsidRPr="00C66E11">
              <w:t>emand management innovation allowance</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t>DMIS</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t>d</w:t>
            </w:r>
            <w:r w:rsidRPr="00C66E11">
              <w:t>emand management incentive scheme</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distributor</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rsidRPr="00DD3C20">
              <w:t>distribution network service provider</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DUOS</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rsidRPr="00DD3C20">
              <w:t>distribution use of system</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t>EBSS</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t>e</w:t>
            </w:r>
            <w:r w:rsidRPr="00C66E11">
              <w:t>fficiency benefit sharing scheme</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t>expenditure assessment guideline</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F&amp;A</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rsidRPr="00DD3C20">
              <w:t xml:space="preserve">Framework and </w:t>
            </w:r>
            <w:r w:rsidRPr="00C66E11">
              <w:t>approach</w:t>
            </w:r>
          </w:p>
        </w:tc>
      </w:tr>
      <w:tr w:rsidR="00C66E11" w:rsidRPr="001D1BDB" w:rsidTr="00C66E11">
        <w:trPr>
          <w:trHeight w:val="469"/>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kWh</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rsidRPr="00DD3C20">
              <w:t>kilowatt hours</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MAR</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rsidRPr="00DD3C20">
              <w:t>maximum allowable revenue</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NECF</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rsidRPr="00DD3C20">
              <w:t>National Energy Customer Framework</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NEM</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rsidRPr="00DD3C20">
              <w:t>National Electricity Market</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t>NEO</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t>National Electricity Objective</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 xml:space="preserve">NER or the </w:t>
            </w:r>
            <w:r w:rsidRPr="00C66E11">
              <w:t>rules</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rsidRPr="00DD3C20">
              <w:t>National Electricity Rules</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Default="00C66E11" w:rsidP="00C66E11">
            <w:r>
              <w:t>next regulatory control period</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t xml:space="preserve">1 </w:t>
            </w:r>
            <w:r w:rsidRPr="00C66E11">
              <w:t>January 2016 to 31 December 2020</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Default="00C66E11" w:rsidP="00C66E11">
            <w:r>
              <w:lastRenderedPageBreak/>
              <w:t>NUOS</w:t>
            </w:r>
          </w:p>
        </w:tc>
        <w:tc>
          <w:tcPr>
            <w:tcW w:w="5726" w:type="dxa"/>
            <w:noWrap/>
          </w:tcPr>
          <w:p w:rsidR="00C66E11" w:rsidRDefault="00C66E11" w:rsidP="00C66E11">
            <w:pPr>
              <w:cnfStyle w:val="000000010000" w:firstRow="0" w:lastRow="0" w:firstColumn="0" w:lastColumn="0" w:oddVBand="0" w:evenVBand="0" w:oddHBand="0" w:evenHBand="1" w:firstRowFirstColumn="0" w:firstRowLastColumn="0" w:lastRowFirstColumn="0" w:lastRowLastColumn="0"/>
            </w:pPr>
            <w:r>
              <w:t>network use of system</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Default="00C66E11" w:rsidP="00C66E11">
            <w:r>
              <w:t>opex</w:t>
            </w:r>
          </w:p>
        </w:tc>
        <w:tc>
          <w:tcPr>
            <w:tcW w:w="5726" w:type="dxa"/>
            <w:noWrap/>
          </w:tcPr>
          <w:p w:rsidR="00C66E11" w:rsidRDefault="00C66E11" w:rsidP="00C66E11">
            <w:pPr>
              <w:cnfStyle w:val="000000000000" w:firstRow="0" w:lastRow="0" w:firstColumn="0" w:lastColumn="0" w:oddVBand="0" w:evenVBand="0" w:oddHBand="0" w:evenHBand="0" w:firstRowFirstColumn="0" w:firstRowLastColumn="0" w:lastRowFirstColumn="0" w:lastRowLastColumn="0"/>
            </w:pPr>
            <w:r>
              <w:t>operating expenditure</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RAB</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rsidRPr="00DD3C20">
              <w:t>regulatory asset base</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t>ROLR</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t>retailer of last resort</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Default="00C66E11" w:rsidP="00C66E11">
            <w:r>
              <w:t>SAIDI</w:t>
            </w:r>
          </w:p>
        </w:tc>
        <w:tc>
          <w:tcPr>
            <w:tcW w:w="5726" w:type="dxa"/>
            <w:noWrap/>
          </w:tcPr>
          <w:p w:rsidR="00C66E11" w:rsidRDefault="00C66E11" w:rsidP="00C66E11">
            <w:pPr>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Default="00C66E11" w:rsidP="00C66E11">
            <w:r>
              <w:t>SAIFI</w:t>
            </w:r>
          </w:p>
        </w:tc>
        <w:tc>
          <w:tcPr>
            <w:tcW w:w="5726" w:type="dxa"/>
            <w:noWrap/>
          </w:tcPr>
          <w:p w:rsidR="00C66E11" w:rsidRDefault="00C66E11" w:rsidP="00C66E11">
            <w:pPr>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t>SCER</w:t>
            </w:r>
          </w:p>
        </w:tc>
        <w:tc>
          <w:tcPr>
            <w:tcW w:w="5726" w:type="dxa"/>
            <w:noWrap/>
          </w:tcPr>
          <w:p w:rsidR="00C66E11" w:rsidRPr="00C66E11" w:rsidRDefault="00C66E11" w:rsidP="00C66E11">
            <w:pPr>
              <w:cnfStyle w:val="000000010000" w:firstRow="0" w:lastRow="0" w:firstColumn="0" w:lastColumn="0" w:oddVBand="0" w:evenVBand="0" w:oddHBand="0" w:evenHBand="1" w:firstRowFirstColumn="0" w:firstRowLastColumn="0" w:lastRowFirstColumn="0" w:lastRowLastColumn="0"/>
            </w:pPr>
            <w:r>
              <w:t>Standing Council o</w:t>
            </w:r>
            <w:r w:rsidRPr="00C66E11">
              <w:t>n Energy and Resources</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t>STPIS</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t>s</w:t>
            </w:r>
            <w:r w:rsidRPr="00C66E11">
              <w:t>ervice target performance incentive scheme</w:t>
            </w:r>
          </w:p>
        </w:tc>
      </w:tr>
      <w:tr w:rsidR="00C66E11" w:rsidRPr="001D1BDB" w:rsidTr="00C66E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noWrap/>
          </w:tcPr>
          <w:p w:rsidR="00C66E11" w:rsidRDefault="00C66E11" w:rsidP="00C66E11">
            <w:r>
              <w:t>Vic</w:t>
            </w:r>
          </w:p>
        </w:tc>
        <w:tc>
          <w:tcPr>
            <w:tcW w:w="5726" w:type="dxa"/>
            <w:noWrap/>
          </w:tcPr>
          <w:p w:rsidR="00C66E11" w:rsidRDefault="00C66E11" w:rsidP="00C66E11">
            <w:pPr>
              <w:cnfStyle w:val="000000010000" w:firstRow="0" w:lastRow="0" w:firstColumn="0" w:lastColumn="0" w:oddVBand="0" w:evenVBand="0" w:oddHBand="0" w:evenHBand="1" w:firstRowFirstColumn="0" w:firstRowLastColumn="0" w:lastRowFirstColumn="0" w:lastRowLastColumn="0"/>
            </w:pPr>
            <w:r>
              <w:t>Victoria</w:t>
            </w:r>
          </w:p>
        </w:tc>
      </w:tr>
      <w:tr w:rsidR="00C66E11" w:rsidRPr="001D1BDB" w:rsidTr="00C66E11">
        <w:tc>
          <w:tcPr>
            <w:cnfStyle w:val="001000000000" w:firstRow="0" w:lastRow="0" w:firstColumn="1" w:lastColumn="0" w:oddVBand="0" w:evenVBand="0" w:oddHBand="0" w:evenHBand="0" w:firstRowFirstColumn="0" w:firstRowLastColumn="0" w:lastRowFirstColumn="0" w:lastRowLastColumn="0"/>
            <w:tcW w:w="2802" w:type="dxa"/>
            <w:noWrap/>
          </w:tcPr>
          <w:p w:rsidR="00C66E11" w:rsidRPr="00C66E11" w:rsidRDefault="00C66E11" w:rsidP="00C66E11">
            <w:r w:rsidRPr="00DD3C20">
              <w:t>WAPC</w:t>
            </w:r>
          </w:p>
        </w:tc>
        <w:tc>
          <w:tcPr>
            <w:tcW w:w="5726" w:type="dxa"/>
            <w:noWrap/>
          </w:tcPr>
          <w:p w:rsidR="00C66E11" w:rsidRPr="00C66E11" w:rsidRDefault="00C66E11" w:rsidP="00C66E11">
            <w:pPr>
              <w:cnfStyle w:val="000000000000" w:firstRow="0" w:lastRow="0" w:firstColumn="0" w:lastColumn="0" w:oddVBand="0" w:evenVBand="0" w:oddHBand="0" w:evenHBand="0" w:firstRowFirstColumn="0" w:firstRowLastColumn="0" w:lastRowFirstColumn="0" w:lastRowLastColumn="0"/>
            </w:pPr>
            <w:r w:rsidRPr="00DD3C20">
              <w:t>weighted average price cap</w:t>
            </w:r>
          </w:p>
        </w:tc>
      </w:tr>
    </w:tbl>
    <w:p w:rsidR="00C66E11" w:rsidRPr="003B4DE1" w:rsidRDefault="00C66E11" w:rsidP="00C66E11"/>
    <w:p w:rsidR="00C66E11" w:rsidRPr="00C66E11" w:rsidRDefault="00C66E11" w:rsidP="00C66E11">
      <w:pPr>
        <w:pStyle w:val="AERbodytext"/>
        <w:numPr>
          <w:ilvl w:val="0"/>
          <w:numId w:val="0"/>
        </w:numPr>
      </w:pPr>
    </w:p>
    <w:sectPr w:rsidR="00C66E11" w:rsidRPr="00C66E11" w:rsidSect="00BF5F3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F8" w:rsidRPr="00AB4345" w:rsidRDefault="003434F8" w:rsidP="00AB4345">
      <w:r>
        <w:separator/>
      </w:r>
    </w:p>
  </w:endnote>
  <w:endnote w:type="continuationSeparator" w:id="0">
    <w:p w:rsidR="003434F8" w:rsidRPr="00AB4345" w:rsidRDefault="003434F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983800"/>
      <w:docPartObj>
        <w:docPartGallery w:val="Page Numbers (Bottom of Page)"/>
        <w:docPartUnique/>
      </w:docPartObj>
    </w:sdtPr>
    <w:sdtEndPr/>
    <w:sdtContent>
      <w:p w:rsidR="003434F8" w:rsidRPr="00824CC8" w:rsidRDefault="003434F8" w:rsidP="00824CC8">
        <w:pPr>
          <w:pStyle w:val="Footer"/>
        </w:pPr>
        <w:r w:rsidRPr="00824CC8">
          <w:fldChar w:fldCharType="begin"/>
        </w:r>
        <w:r w:rsidRPr="00824CC8">
          <w:instrText xml:space="preserve"> PAGE   \* MERGEFORMAT </w:instrText>
        </w:r>
        <w:r w:rsidRPr="00824CC8">
          <w:fldChar w:fldCharType="separate"/>
        </w:r>
        <w:r w:rsidR="00BB34B3">
          <w:rPr>
            <w:noProof/>
          </w:rPr>
          <w:t>2</w:t>
        </w:r>
        <w:r w:rsidRPr="00824CC8">
          <w:fldChar w:fldCharType="end"/>
        </w:r>
        <w:r w:rsidRPr="00824CC8">
          <w:tab/>
        </w:r>
        <w:r>
          <w:rPr>
            <w:rStyle w:val="AERbody"/>
          </w:rPr>
          <w:t xml:space="preserve">Preliminary positions </w:t>
        </w:r>
        <w:r w:rsidRPr="00824CC8">
          <w:rPr>
            <w:rStyle w:val="AERbody"/>
          </w:rPr>
          <w:t xml:space="preserve">| </w:t>
        </w:r>
        <w:r>
          <w:rPr>
            <w:rStyle w:val="AERbody"/>
          </w:rPr>
          <w:t>Framework and approach for Victorian distributors 2016</w:t>
        </w:r>
        <w:r>
          <w:rPr>
            <w:rStyle w:val="AERbody"/>
            <w:rFonts w:cs="Gautami"/>
          </w:rPr>
          <w:t>–</w:t>
        </w:r>
        <w:r>
          <w:rPr>
            <w:rStyle w:val="AERbody"/>
          </w:rPr>
          <w:t>2020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F8" w:rsidRPr="00824CC8" w:rsidRDefault="003434F8" w:rsidP="00824CC8">
    <w:pPr>
      <w:pStyle w:val="Footer"/>
      <w:rPr>
        <w:rStyle w:val="AERbody"/>
      </w:rPr>
    </w:pPr>
    <w:r>
      <w:rPr>
        <w:rStyle w:val="AERbody"/>
      </w:rPr>
      <w:t xml:space="preserve">Preliminary positions </w:t>
    </w:r>
    <w:r w:rsidRPr="00824CC8">
      <w:rPr>
        <w:rStyle w:val="AERbody"/>
      </w:rPr>
      <w:t xml:space="preserve">| </w:t>
    </w:r>
    <w:r>
      <w:rPr>
        <w:rStyle w:val="AERbody"/>
      </w:rPr>
      <w:t>Framework and approach for Victorian distributors 2016</w:t>
    </w:r>
    <w:r w:rsidRPr="0012751A">
      <w:rPr>
        <w:rStyle w:val="AERbody"/>
      </w:rPr>
      <w:t>–</w:t>
    </w:r>
    <w:r>
      <w:rPr>
        <w:rStyle w:val="AERbody"/>
      </w:rPr>
      <w:t>2020</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BB34B3">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F8" w:rsidRPr="00AB4345" w:rsidRDefault="003434F8" w:rsidP="00AB4345">
      <w:r>
        <w:separator/>
      </w:r>
    </w:p>
  </w:footnote>
  <w:footnote w:type="continuationSeparator" w:id="0">
    <w:p w:rsidR="003434F8" w:rsidRPr="00AB4345" w:rsidRDefault="003434F8" w:rsidP="00AB4345">
      <w:r>
        <w:continuationSeparator/>
      </w:r>
    </w:p>
  </w:footnote>
  <w:footnote w:id="1">
    <w:p w:rsidR="003434F8" w:rsidRDefault="003434F8" w:rsidP="0009725D">
      <w:pPr>
        <w:pStyle w:val="FootnoteText"/>
      </w:pPr>
      <w:r>
        <w:rPr>
          <w:rStyle w:val="FootnoteReference"/>
        </w:rPr>
        <w:footnoteRef/>
      </w:r>
      <w:r>
        <w:t xml:space="preserve"> </w:t>
      </w:r>
      <w:r>
        <w:tab/>
        <w:t xml:space="preserve">NER, cl. 6.8.1(a)(2). </w:t>
      </w:r>
    </w:p>
  </w:footnote>
  <w:footnote w:id="2">
    <w:p w:rsidR="003434F8" w:rsidRPr="00492630" w:rsidRDefault="003434F8" w:rsidP="0009725D">
      <w:pPr>
        <w:pStyle w:val="FootnoteText"/>
      </w:pPr>
      <w:r>
        <w:rPr>
          <w:rStyle w:val="FootnoteReference"/>
        </w:rPr>
        <w:footnoteRef/>
      </w:r>
      <w:r>
        <w:t xml:space="preserve"> </w:t>
      </w:r>
      <w:r>
        <w:tab/>
      </w:r>
      <w:r w:rsidRPr="00492630">
        <w:t xml:space="preserve">Responses are available at </w:t>
      </w:r>
      <w:hyperlink r:id="rId1" w:history="1">
        <w:r w:rsidRPr="005D37FC">
          <w:rPr>
            <w:rStyle w:val="Hyperlink"/>
          </w:rPr>
          <w:t>www.aer.gov.au</w:t>
        </w:r>
      </w:hyperlink>
      <w:r w:rsidRPr="00492630">
        <w:t>.</w:t>
      </w:r>
      <w:r>
        <w:t xml:space="preserve"> CitiPower, Jemena, Powercor, SP AusNet, and United energy each provided a written request for a new F&amp;A in accordance with NER, cl. 6.8.1(c)(1). </w:t>
      </w:r>
    </w:p>
  </w:footnote>
  <w:footnote w:id="3">
    <w:p w:rsidR="003434F8" w:rsidRDefault="003434F8">
      <w:pPr>
        <w:pStyle w:val="FootnoteText"/>
      </w:pPr>
      <w:r>
        <w:rPr>
          <w:rStyle w:val="FootnoteReference"/>
        </w:rPr>
        <w:footnoteRef/>
      </w:r>
      <w:r>
        <w:t xml:space="preserve"> </w:t>
      </w:r>
      <w:r>
        <w:tab/>
        <w:t>CitiPower &amp; Powercor, letter to the AER, 30 January 2014.</w:t>
      </w:r>
    </w:p>
  </w:footnote>
  <w:footnote w:id="4">
    <w:p w:rsidR="003434F8" w:rsidRDefault="003434F8" w:rsidP="00BF38F1">
      <w:pPr>
        <w:pStyle w:val="FootnoteText"/>
      </w:pPr>
      <w:r>
        <w:rPr>
          <w:rStyle w:val="FootnoteReference"/>
        </w:rPr>
        <w:footnoteRef/>
      </w:r>
      <w:r>
        <w:t xml:space="preserve"> </w:t>
      </w:r>
      <w:r>
        <w:tab/>
        <w:t>NER, cl. 6.8.1(b)(2).</w:t>
      </w:r>
    </w:p>
  </w:footnote>
  <w:footnote w:id="5">
    <w:p w:rsidR="003434F8" w:rsidRDefault="003434F8" w:rsidP="003B4DE1">
      <w:pPr>
        <w:pStyle w:val="FootnoteText"/>
      </w:pPr>
      <w:r>
        <w:rPr>
          <w:rStyle w:val="FootnoteReference"/>
        </w:rPr>
        <w:footnoteRef/>
      </w:r>
      <w:r>
        <w:t xml:space="preserve"> </w:t>
      </w:r>
      <w:r>
        <w:tab/>
        <w:t xml:space="preserve">In addition to regulating NEM transmission and distribution, we regulate the NEM wholesale market and administer the National Gas Rules. </w:t>
      </w:r>
    </w:p>
  </w:footnote>
  <w:footnote w:id="6">
    <w:p w:rsidR="003434F8" w:rsidRDefault="003434F8" w:rsidP="004232C3">
      <w:pPr>
        <w:pStyle w:val="FootnoteText"/>
      </w:pPr>
      <w:r>
        <w:rPr>
          <w:rStyle w:val="FootnoteReference"/>
        </w:rPr>
        <w:footnoteRef/>
      </w:r>
      <w:r>
        <w:t xml:space="preserve"> </w:t>
      </w:r>
      <w:r>
        <w:tab/>
        <w:t>NER, clauses 6.8.1(c)(1)</w:t>
      </w:r>
      <w:r>
        <w:rPr>
          <w:rFonts w:cs="Gautami"/>
        </w:rPr>
        <w:t>–</w:t>
      </w:r>
      <w:r>
        <w:t xml:space="preserve">(3). </w:t>
      </w:r>
    </w:p>
  </w:footnote>
  <w:footnote w:id="7">
    <w:p w:rsidR="003434F8" w:rsidRDefault="003434F8">
      <w:pPr>
        <w:pStyle w:val="FootnoteText"/>
      </w:pPr>
      <w:r>
        <w:rPr>
          <w:rStyle w:val="FootnoteReference"/>
        </w:rPr>
        <w:footnoteRef/>
      </w:r>
      <w:r>
        <w:t xml:space="preserve"> </w:t>
      </w:r>
      <w:r>
        <w:tab/>
        <w:t xml:space="preserve">AER, </w:t>
      </w:r>
      <w:r w:rsidRPr="000B54A9">
        <w:rPr>
          <w:rStyle w:val="AERtextitalic"/>
        </w:rPr>
        <w:t>Confidentiality guideline</w:t>
      </w:r>
      <w:r>
        <w:t>, 19 November 2013.</w:t>
      </w:r>
    </w:p>
  </w:footnote>
  <w:footnote w:id="8">
    <w:p w:rsidR="003434F8" w:rsidRDefault="003434F8">
      <w:pPr>
        <w:pStyle w:val="FootnoteText"/>
      </w:pPr>
      <w:r>
        <w:rPr>
          <w:rStyle w:val="FootnoteReference"/>
        </w:rPr>
        <w:footnoteRef/>
      </w:r>
      <w:r>
        <w:t xml:space="preserve"> </w:t>
      </w:r>
      <w:r>
        <w:tab/>
        <w:t xml:space="preserve">AER, </w:t>
      </w:r>
      <w:r w:rsidRPr="000B54A9">
        <w:rPr>
          <w:rStyle w:val="AERtextitalic"/>
        </w:rPr>
        <w:t>Consumer engagement guideline for network service providers</w:t>
      </w:r>
      <w:r>
        <w:t>, 6 November 2013.</w:t>
      </w:r>
    </w:p>
  </w:footnote>
  <w:footnote w:id="9">
    <w:p w:rsidR="003434F8" w:rsidRDefault="003434F8" w:rsidP="00295919">
      <w:pPr>
        <w:pStyle w:val="FootnoteText"/>
      </w:pPr>
      <w:r>
        <w:rPr>
          <w:rStyle w:val="FootnoteReference"/>
        </w:rPr>
        <w:footnoteRef/>
      </w:r>
      <w:r>
        <w:t xml:space="preserve"> </w:t>
      </w:r>
      <w:r>
        <w:tab/>
        <w:t xml:space="preserve">A distribution service is </w:t>
      </w:r>
      <w:r w:rsidRPr="00F343D6">
        <w:t>a service provided by means of, or in connect</w:t>
      </w:r>
      <w:r>
        <w:t>ion with, a distribution system</w:t>
      </w:r>
      <w:r w:rsidRPr="00F343D6">
        <w:t>.</w:t>
      </w:r>
    </w:p>
  </w:footnote>
  <w:footnote w:id="10">
    <w:p w:rsidR="003434F8" w:rsidRDefault="003434F8" w:rsidP="003B4DE1">
      <w:pPr>
        <w:pStyle w:val="FootnoteText"/>
      </w:pPr>
      <w:r>
        <w:rPr>
          <w:rStyle w:val="FootnoteReference"/>
        </w:rPr>
        <w:footnoteRef/>
      </w:r>
      <w:r>
        <w:t xml:space="preserve"> </w:t>
      </w:r>
      <w:r>
        <w:tab/>
        <w:t>We regulate distributors by determining either the prices they may charge (price cap regulation) or by determining the revenues they may recover from customers (revenue cap regulation).</w:t>
      </w:r>
    </w:p>
  </w:footnote>
  <w:footnote w:id="11">
    <w:p w:rsidR="003434F8" w:rsidRDefault="003434F8" w:rsidP="00396A6A">
      <w:pPr>
        <w:pStyle w:val="FootnoteText"/>
      </w:pPr>
      <w:r>
        <w:rPr>
          <w:rStyle w:val="FootnoteReference"/>
        </w:rPr>
        <w:footnoteRef/>
      </w:r>
      <w:r>
        <w:t xml:space="preserve"> </w:t>
      </w:r>
      <w:r>
        <w:tab/>
      </w:r>
      <w:r w:rsidRPr="00396A6A">
        <w:rPr>
          <w:rStyle w:val="AERbody"/>
          <w:sz w:val="16"/>
        </w:rPr>
        <w:t>Appendix B</w:t>
      </w:r>
      <w:r>
        <w:t xml:space="preserve"> sets out the Victorian distributors' distribution services in more detail. </w:t>
      </w:r>
    </w:p>
  </w:footnote>
  <w:footnote w:id="12">
    <w:p w:rsidR="003434F8" w:rsidRPr="003434F8" w:rsidRDefault="003434F8" w:rsidP="003434F8">
      <w:pPr>
        <w:pStyle w:val="FootnoteText"/>
      </w:pPr>
      <w:r w:rsidRPr="003434F8">
        <w:rPr>
          <w:rStyle w:val="FootnoteReference"/>
          <w:vertAlign w:val="baseline"/>
        </w:rPr>
        <w:footnoteRef/>
      </w:r>
      <w:r w:rsidRPr="003434F8">
        <w:t xml:space="preserve"> </w:t>
      </w:r>
      <w:r w:rsidRPr="003434F8">
        <w:tab/>
      </w:r>
      <w:r w:rsidRPr="003434F8">
        <w:rPr>
          <w:rStyle w:val="AERtexthighlight"/>
          <w:shd w:val="clear" w:color="auto" w:fill="auto"/>
        </w:rPr>
        <w:t>Under the AMI Order in Council, the five DNSPs must submit an estimate of costs for each year of the AMI program. These estimates are adjusted by the AER in the following year for differences between actual cost and estimated cost.</w:t>
      </w:r>
      <w:r w:rsidRPr="003434F8">
        <w:t xml:space="preserve">  </w:t>
      </w:r>
    </w:p>
  </w:footnote>
  <w:footnote w:id="13">
    <w:p w:rsidR="003434F8" w:rsidRDefault="003434F8">
      <w:pPr>
        <w:pStyle w:val="FootnoteText"/>
      </w:pPr>
      <w:r>
        <w:rPr>
          <w:rStyle w:val="FootnoteReference"/>
        </w:rPr>
        <w:footnoteRef/>
      </w:r>
      <w:r>
        <w:t xml:space="preserve"> </w:t>
      </w:r>
      <w:r>
        <w:tab/>
        <w:t>Emergency recoverable works are services related to repairing the distribution network after damage to restore or maintain electricity supply.</w:t>
      </w:r>
    </w:p>
  </w:footnote>
  <w:footnote w:id="14">
    <w:p w:rsidR="003434F8" w:rsidRDefault="003434F8" w:rsidP="003B4DE1">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6.2.5(a).</w:t>
      </w:r>
    </w:p>
  </w:footnote>
  <w:footnote w:id="15">
    <w:p w:rsidR="003434F8" w:rsidRDefault="003434F8" w:rsidP="003B4DE1">
      <w:pPr>
        <w:pStyle w:val="FootnoteText"/>
      </w:pPr>
      <w:r>
        <w:rPr>
          <w:rStyle w:val="FootnoteReference"/>
        </w:rPr>
        <w:footnoteRef/>
      </w:r>
      <w:r>
        <w:t xml:space="preserve"> </w:t>
      </w:r>
      <w:r>
        <w:tab/>
        <w:t>NER, clause 6.12.3(c).</w:t>
      </w:r>
    </w:p>
  </w:footnote>
  <w:footnote w:id="16">
    <w:p w:rsidR="003434F8" w:rsidRDefault="003434F8" w:rsidP="003B4DE1">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6.2.5(b).</w:t>
      </w:r>
    </w:p>
  </w:footnote>
  <w:footnote w:id="17">
    <w:p w:rsidR="003434F8" w:rsidRDefault="003434F8" w:rsidP="003B4DE1">
      <w:pPr>
        <w:pStyle w:val="FootnoteText"/>
      </w:pPr>
      <w:r>
        <w:rPr>
          <w:rStyle w:val="FootnoteReference"/>
        </w:rPr>
        <w:footnoteRef/>
      </w:r>
      <w:r>
        <w:t xml:space="preserve"> </w:t>
      </w:r>
      <w:r>
        <w:tab/>
        <w:t>NER, clause 6.2.5(b).</w:t>
      </w:r>
    </w:p>
  </w:footnote>
  <w:footnote w:id="18">
    <w:p w:rsidR="003434F8" w:rsidRDefault="003434F8" w:rsidP="003B4DE1">
      <w:pPr>
        <w:pStyle w:val="FootnoteText"/>
      </w:pPr>
      <w:r>
        <w:rPr>
          <w:rStyle w:val="FootnoteReference"/>
        </w:rPr>
        <w:footnoteRef/>
      </w:r>
      <w:r>
        <w:t xml:space="preserve"> </w:t>
      </w:r>
      <w:r>
        <w:tab/>
        <w:t xml:space="preserve">NER, clauses 6.2.5(c) and 6.2.5 (d). </w:t>
      </w:r>
    </w:p>
  </w:footnote>
  <w:footnote w:id="19">
    <w:p w:rsidR="003434F8" w:rsidRDefault="003434F8" w:rsidP="003B4DE1">
      <w:pPr>
        <w:pStyle w:val="FootnoteText"/>
      </w:pPr>
      <w:r w:rsidRPr="008A489B">
        <w:rPr>
          <w:rStyle w:val="AERsuperscript"/>
        </w:rPr>
        <w:footnoteRef/>
      </w:r>
      <w:r w:rsidRPr="008A489B">
        <w:rPr>
          <w:rStyle w:val="AERsuperscript"/>
        </w:rPr>
        <w:t xml:space="preserve"> </w:t>
      </w:r>
      <w:r>
        <w:tab/>
      </w:r>
      <w:r w:rsidRPr="008A489B">
        <w:t>NER, cl</w:t>
      </w:r>
      <w:r>
        <w:t>ause</w:t>
      </w:r>
      <w:r w:rsidRPr="008A489B">
        <w:t xml:space="preserve"> 6.2.6(a). The basis of the form of control is the method by which target revenues or prices are calculated e.g. a building block approach.</w:t>
      </w:r>
    </w:p>
  </w:footnote>
  <w:footnote w:id="20">
    <w:p w:rsidR="003434F8" w:rsidRDefault="003434F8">
      <w:pPr>
        <w:pStyle w:val="FootnoteText"/>
      </w:pPr>
      <w:r>
        <w:rPr>
          <w:rStyle w:val="FootnoteReference"/>
        </w:rPr>
        <w:footnoteRef/>
      </w:r>
      <w:r>
        <w:t xml:space="preserve"> </w:t>
      </w:r>
      <w:r>
        <w:tab/>
        <w:t xml:space="preserve">AER, </w:t>
      </w:r>
      <w:r w:rsidRPr="00212B44">
        <w:rPr>
          <w:rStyle w:val="AERtextitalic"/>
        </w:rPr>
        <w:t>Electricity distribution network service providers, Service target performance incentive scheme</w:t>
      </w:r>
      <w:r>
        <w:t xml:space="preserve">, June 2008, p. 2; AER, </w:t>
      </w:r>
      <w:r w:rsidRPr="00212B44">
        <w:rPr>
          <w:rStyle w:val="AERtextitalic"/>
        </w:rPr>
        <w:t>Expenditure incentives guideline</w:t>
      </w:r>
      <w:r>
        <w:t xml:space="preserve">, 29 November 2013. </w:t>
      </w:r>
    </w:p>
  </w:footnote>
  <w:footnote w:id="21">
    <w:p w:rsidR="003434F8" w:rsidRDefault="003434F8" w:rsidP="00AE3511">
      <w:pPr>
        <w:pStyle w:val="FootnoteText"/>
      </w:pPr>
      <w:r>
        <w:rPr>
          <w:rStyle w:val="FootnoteReference"/>
        </w:rPr>
        <w:footnoteRef/>
      </w:r>
      <w:r>
        <w:t xml:space="preserve"> </w:t>
      </w:r>
      <w:r>
        <w:tab/>
      </w:r>
      <w:r w:rsidRPr="00AE3511">
        <w:rPr>
          <w:rStyle w:val="AERtexthighlight"/>
          <w:shd w:val="clear" w:color="auto" w:fill="auto"/>
        </w:rPr>
        <w:t>Electricity Distribution Code (Victoria).</w:t>
      </w:r>
    </w:p>
  </w:footnote>
  <w:footnote w:id="22">
    <w:p w:rsidR="003434F8" w:rsidRDefault="003434F8">
      <w:pPr>
        <w:pStyle w:val="FootnoteText"/>
      </w:pPr>
      <w:r>
        <w:rPr>
          <w:rStyle w:val="FootnoteReference"/>
        </w:rPr>
        <w:footnoteRef/>
      </w:r>
      <w:r>
        <w:t xml:space="preserve"> </w:t>
      </w:r>
      <w:r>
        <w:tab/>
        <w:t>NER, clause 6.6.4.</w:t>
      </w:r>
    </w:p>
  </w:footnote>
  <w:footnote w:id="23">
    <w:p w:rsidR="003434F8" w:rsidRDefault="003434F8" w:rsidP="009518E1">
      <w:pPr>
        <w:pStyle w:val="FootnoteText"/>
      </w:pPr>
      <w:r>
        <w:rPr>
          <w:rStyle w:val="FootnoteReference"/>
        </w:rPr>
        <w:footnoteRef/>
      </w:r>
      <w:r>
        <w:t xml:space="preserve"> </w:t>
      </w:r>
      <w:r>
        <w:tab/>
        <w:t>NER, clauses 6.8.1(b)(1)(ii) and 6.25(b).</w:t>
      </w:r>
    </w:p>
  </w:footnote>
  <w:footnote w:id="24">
    <w:p w:rsidR="003434F8" w:rsidRPr="00023A57" w:rsidRDefault="003434F8" w:rsidP="00510A67">
      <w:pPr>
        <w:pStyle w:val="FootnoteText"/>
      </w:pPr>
      <w:r>
        <w:rPr>
          <w:rStyle w:val="FootnoteReference"/>
        </w:rPr>
        <w:footnoteRef/>
      </w:r>
      <w:r>
        <w:t xml:space="preserve"> </w:t>
      </w:r>
      <w:r>
        <w:tab/>
        <w:t>Energy and Resources Legislation Amendment Bill 2010, Explanatory Memorandum, p.10.</w:t>
      </w:r>
    </w:p>
  </w:footnote>
  <w:footnote w:id="25">
    <w:p w:rsidR="003434F8" w:rsidRPr="00906F44" w:rsidRDefault="003434F8" w:rsidP="00770C24">
      <w:pPr>
        <w:pStyle w:val="FootnoteText"/>
        <w:rPr>
          <w:rStyle w:val="AERtexthighlight"/>
        </w:rPr>
      </w:pPr>
      <w:r>
        <w:rPr>
          <w:rStyle w:val="FootnoteReference"/>
        </w:rPr>
        <w:footnoteRef/>
      </w:r>
      <w:r>
        <w:t xml:space="preserve"> </w:t>
      </w:r>
      <w:r>
        <w:tab/>
        <w:t xml:space="preserve">Control mechanisms available for each service depend on their classification. Control mechanisms available for direct control services are listed by clause  6.2.5(b) of the rules. These include caps on revenue, average revenue, prices and weighted average prices. A fixed price schedule or a combination of the listed forms of control are also available. Negotiated services are regulated under part D of chapter 6 of the rules. </w:t>
      </w:r>
    </w:p>
  </w:footnote>
  <w:footnote w:id="26">
    <w:p w:rsidR="003434F8" w:rsidRDefault="003434F8" w:rsidP="00770C24">
      <w:pPr>
        <w:pStyle w:val="FootnoteText"/>
      </w:pPr>
      <w:r>
        <w:rPr>
          <w:rStyle w:val="FootnoteReference"/>
        </w:rPr>
        <w:footnoteRef/>
      </w:r>
      <w:r>
        <w:t xml:space="preserve"> </w:t>
      </w:r>
      <w:r>
        <w:tab/>
        <w:t xml:space="preserve">Standard control service costs are generally recovered through distribution use of service tariffs paid by all, or most, customers. Alternative control or negotiated service costs are generally recovered from individual customers receiving them. </w:t>
      </w:r>
    </w:p>
  </w:footnote>
  <w:footnote w:id="27">
    <w:p w:rsidR="003434F8" w:rsidRDefault="003434F8" w:rsidP="00770C24">
      <w:pPr>
        <w:pStyle w:val="FootnoteText"/>
      </w:pPr>
      <w:r>
        <w:rPr>
          <w:rStyle w:val="FootnoteReference"/>
        </w:rPr>
        <w:footnoteRef/>
      </w:r>
      <w:r>
        <w:t xml:space="preserve"> </w:t>
      </w:r>
      <w:r>
        <w:tab/>
        <w:t>NER, clause 6.12.3(b).</w:t>
      </w:r>
    </w:p>
  </w:footnote>
  <w:footnote w:id="28">
    <w:p w:rsidR="003434F8" w:rsidRDefault="003434F8" w:rsidP="006002D2">
      <w:pPr>
        <w:pStyle w:val="FootnoteText"/>
      </w:pPr>
      <w:r>
        <w:rPr>
          <w:rStyle w:val="FootnoteReference"/>
        </w:rPr>
        <w:footnoteRef/>
      </w:r>
      <w:r>
        <w:t xml:space="preserve"> </w:t>
      </w:r>
      <w:r>
        <w:tab/>
        <w:t>NER, chapter 10, glossary.</w:t>
      </w:r>
    </w:p>
  </w:footnote>
  <w:footnote w:id="29">
    <w:p w:rsidR="003434F8" w:rsidRDefault="003434F8" w:rsidP="006002D2">
      <w:pPr>
        <w:pStyle w:val="FootnoteText"/>
      </w:pPr>
      <w:r>
        <w:rPr>
          <w:rStyle w:val="FootnoteReference"/>
        </w:rPr>
        <w:footnoteRef/>
      </w:r>
      <w:r>
        <w:t xml:space="preserve"> </w:t>
      </w:r>
      <w:r>
        <w:tab/>
        <w:t>NER, chapter 10, glossary.</w:t>
      </w:r>
    </w:p>
  </w:footnote>
  <w:footnote w:id="30">
    <w:p w:rsidR="003434F8" w:rsidRDefault="003434F8" w:rsidP="00770C24">
      <w:pPr>
        <w:pStyle w:val="FootnoteText"/>
      </w:pPr>
      <w:r>
        <w:rPr>
          <w:rStyle w:val="FootnoteReference"/>
        </w:rPr>
        <w:footnoteRef/>
      </w:r>
      <w:r>
        <w:t xml:space="preserve"> </w:t>
      </w:r>
      <w:r>
        <w:tab/>
        <w:t xml:space="preserve">See Appendix B for a list of each distribution service falling within the groups set out above. </w:t>
      </w:r>
    </w:p>
  </w:footnote>
  <w:footnote w:id="31">
    <w:p w:rsidR="003434F8" w:rsidRDefault="003434F8" w:rsidP="00770C24">
      <w:pPr>
        <w:pStyle w:val="FootnoteText"/>
      </w:pPr>
      <w:r>
        <w:rPr>
          <w:rStyle w:val="FootnoteReference"/>
        </w:rPr>
        <w:footnoteRef/>
      </w:r>
      <w:r>
        <w:t xml:space="preserve"> </w:t>
      </w:r>
      <w:r>
        <w:tab/>
        <w:t xml:space="preserve">NER, chapter 10, 'distribution system'. </w:t>
      </w:r>
    </w:p>
  </w:footnote>
  <w:footnote w:id="32">
    <w:p w:rsidR="003434F8" w:rsidRDefault="003434F8" w:rsidP="003434F8">
      <w:pPr>
        <w:pStyle w:val="FootnoteText"/>
      </w:pPr>
      <w:r>
        <w:rPr>
          <w:rStyle w:val="FootnoteReference"/>
        </w:rPr>
        <w:footnoteRef/>
      </w:r>
      <w:r>
        <w:t xml:space="preserve"> </w:t>
      </w:r>
      <w:r>
        <w:tab/>
      </w:r>
      <w:r w:rsidRPr="003434F8">
        <w:rPr>
          <w:rStyle w:val="AERtexthighlight"/>
          <w:shd w:val="clear" w:color="auto" w:fill="auto"/>
        </w:rPr>
        <w:t>Under the AMI Order in Council, the five DNSPs must submit an estimate of costs for each year of the AMI program. These estimates are adjusted by the AER in the following year for differences between actual cost and estimated cost</w:t>
      </w:r>
      <w:r>
        <w:t xml:space="preserve">.  </w:t>
      </w:r>
    </w:p>
    <w:p w:rsidR="003434F8" w:rsidRDefault="003434F8">
      <w:pPr>
        <w:pStyle w:val="FootnoteText"/>
      </w:pPr>
    </w:p>
  </w:footnote>
  <w:footnote w:id="33">
    <w:p w:rsidR="003434F8" w:rsidRDefault="003434F8" w:rsidP="00770C24">
      <w:pPr>
        <w:pStyle w:val="FootnoteText"/>
      </w:pPr>
      <w:r>
        <w:rPr>
          <w:rStyle w:val="FootnoteReference"/>
        </w:rPr>
        <w:footnoteRef/>
      </w:r>
      <w:r>
        <w:t xml:space="preserve"> </w:t>
      </w:r>
      <w:r>
        <w:tab/>
        <w:t>NER, clause 6.2.1(c); NEL, s. 2F.</w:t>
      </w:r>
    </w:p>
  </w:footnote>
  <w:footnote w:id="34">
    <w:p w:rsidR="003434F8" w:rsidRDefault="003434F8" w:rsidP="00770C24">
      <w:pPr>
        <w:pStyle w:val="FootnoteText"/>
      </w:pPr>
      <w:r>
        <w:rPr>
          <w:rStyle w:val="FootnoteReference"/>
        </w:rPr>
        <w:footnoteRef/>
      </w:r>
      <w:r>
        <w:t xml:space="preserve"> </w:t>
      </w:r>
      <w:r>
        <w:tab/>
        <w:t>NER, clause 6.2.1(c).</w:t>
      </w:r>
    </w:p>
  </w:footnote>
  <w:footnote w:id="35">
    <w:p w:rsidR="003434F8" w:rsidRDefault="003434F8" w:rsidP="00770C24">
      <w:pPr>
        <w:pStyle w:val="FootnoteText"/>
      </w:pPr>
      <w:r>
        <w:rPr>
          <w:rStyle w:val="FootnoteReference"/>
        </w:rPr>
        <w:footnoteRef/>
      </w:r>
      <w:r>
        <w:t xml:space="preserve"> </w:t>
      </w:r>
      <w:r>
        <w:tab/>
        <w:t>NER, clause 6.2.2(c).</w:t>
      </w:r>
    </w:p>
  </w:footnote>
  <w:footnote w:id="36">
    <w:p w:rsidR="003434F8" w:rsidRDefault="003434F8" w:rsidP="00770C24">
      <w:pPr>
        <w:pStyle w:val="FootnoteText"/>
      </w:pPr>
      <w:r>
        <w:rPr>
          <w:rStyle w:val="FootnoteReference"/>
        </w:rPr>
        <w:footnoteRef/>
      </w:r>
      <w:r>
        <w:t xml:space="preserve"> </w:t>
      </w:r>
      <w:r>
        <w:tab/>
        <w:t>NER, clause 6.2.2(d).</w:t>
      </w:r>
    </w:p>
  </w:footnote>
  <w:footnote w:id="37">
    <w:p w:rsidR="003434F8" w:rsidRDefault="003434F8" w:rsidP="00770C24">
      <w:pPr>
        <w:pStyle w:val="FootnoteText"/>
      </w:pPr>
      <w:r>
        <w:rPr>
          <w:rStyle w:val="FootnoteReference"/>
        </w:rPr>
        <w:footnoteRef/>
      </w:r>
      <w:r>
        <w:t xml:space="preserve"> </w:t>
      </w:r>
      <w:r>
        <w:tab/>
        <w:t>NER, clauses 6.2.1(d) and 6.2.2(d).</w:t>
      </w:r>
    </w:p>
  </w:footnote>
  <w:footnote w:id="38">
    <w:p w:rsidR="003434F8" w:rsidRDefault="003434F8" w:rsidP="00770C24">
      <w:pPr>
        <w:pStyle w:val="FootnoteText"/>
      </w:pPr>
      <w:r>
        <w:rPr>
          <w:rStyle w:val="FootnoteReference"/>
        </w:rPr>
        <w:footnoteRef/>
      </w:r>
      <w:r>
        <w:t xml:space="preserve"> </w:t>
      </w:r>
      <w:r>
        <w:tab/>
        <w:t xml:space="preserve">NER, chapter 10, definition of 'network service'. </w:t>
      </w:r>
    </w:p>
  </w:footnote>
  <w:footnote w:id="39">
    <w:p w:rsidR="003434F8" w:rsidRDefault="003434F8" w:rsidP="00770C24">
      <w:pPr>
        <w:pStyle w:val="FootnoteText"/>
      </w:pPr>
      <w:r>
        <w:rPr>
          <w:rStyle w:val="FootnoteReference"/>
        </w:rPr>
        <w:footnoteRef/>
      </w:r>
      <w:r>
        <w:t xml:space="preserve"> </w:t>
      </w:r>
      <w:r>
        <w:tab/>
        <w:t>Licences are issued by the Essential Services Commission of Victoria.</w:t>
      </w:r>
    </w:p>
  </w:footnote>
  <w:footnote w:id="40">
    <w:p w:rsidR="003434F8" w:rsidRDefault="003434F8" w:rsidP="00770C24">
      <w:pPr>
        <w:pStyle w:val="FootnoteText"/>
      </w:pPr>
      <w:r>
        <w:rPr>
          <w:rStyle w:val="FootnoteReference"/>
        </w:rPr>
        <w:footnoteRef/>
      </w:r>
      <w:r>
        <w:t xml:space="preserve"> </w:t>
      </w:r>
      <w:r>
        <w:tab/>
        <w:t xml:space="preserve">Under s. 88A of the </w:t>
      </w:r>
      <w:r w:rsidRPr="00AB722D">
        <w:rPr>
          <w:rStyle w:val="AERtextitalic"/>
        </w:rPr>
        <w:t xml:space="preserve">Electricity </w:t>
      </w:r>
      <w:r>
        <w:rPr>
          <w:rStyle w:val="AERtextitalic"/>
        </w:rPr>
        <w:t xml:space="preserve">Industry </w:t>
      </w:r>
      <w:r w:rsidRPr="00AB722D">
        <w:rPr>
          <w:rStyle w:val="AERtextitalic"/>
        </w:rPr>
        <w:t xml:space="preserve">Act 1994 </w:t>
      </w:r>
      <w:r>
        <w:t>(Vic), a person must be granted either a licence or an exemption in order to distribute</w:t>
      </w:r>
      <w:r w:rsidRPr="00091027">
        <w:t xml:space="preserve"> electricity </w:t>
      </w:r>
      <w:r>
        <w:t>in Victoria.</w:t>
      </w:r>
    </w:p>
  </w:footnote>
  <w:footnote w:id="41">
    <w:p w:rsidR="003434F8" w:rsidRDefault="003434F8" w:rsidP="00770C24">
      <w:pPr>
        <w:pStyle w:val="FootnoteText"/>
      </w:pPr>
      <w:r>
        <w:rPr>
          <w:rStyle w:val="FootnoteReference"/>
        </w:rPr>
        <w:footnoteRef/>
      </w:r>
      <w:r>
        <w:t xml:space="preserve"> </w:t>
      </w:r>
      <w:r>
        <w:tab/>
        <w:t>This is relevant under the form of regulation factors; see NEL, s. 2F(a).</w:t>
      </w:r>
    </w:p>
  </w:footnote>
  <w:footnote w:id="42">
    <w:p w:rsidR="003434F8" w:rsidRDefault="003434F8" w:rsidP="00770C24">
      <w:pPr>
        <w:pStyle w:val="FootnoteText"/>
      </w:pPr>
      <w:r>
        <w:rPr>
          <w:rStyle w:val="FootnoteReference"/>
        </w:rPr>
        <w:footnoteRef/>
      </w:r>
      <w:r>
        <w:t xml:space="preserve"> </w:t>
      </w:r>
      <w:r>
        <w:tab/>
        <w:t xml:space="preserve">This is a relevant form of regulation factor: NEL, s. 2F(d). </w:t>
      </w:r>
    </w:p>
  </w:footnote>
  <w:footnote w:id="43">
    <w:p w:rsidR="003434F8" w:rsidRDefault="003434F8" w:rsidP="00770C24">
      <w:pPr>
        <w:pStyle w:val="FootnoteText"/>
      </w:pPr>
      <w:r>
        <w:rPr>
          <w:rStyle w:val="FootnoteReference"/>
        </w:rPr>
        <w:footnoteRef/>
      </w:r>
      <w:r>
        <w:t xml:space="preserve"> </w:t>
      </w:r>
      <w:r>
        <w:tab/>
        <w:t>NER, clause 6.2.2(c).</w:t>
      </w:r>
    </w:p>
  </w:footnote>
  <w:footnote w:id="44">
    <w:p w:rsidR="003434F8" w:rsidRDefault="003434F8" w:rsidP="00770C24">
      <w:pPr>
        <w:pStyle w:val="FootnoteText"/>
      </w:pPr>
      <w:r>
        <w:rPr>
          <w:rStyle w:val="FootnoteReference"/>
        </w:rPr>
        <w:footnoteRef/>
      </w:r>
      <w:r>
        <w:t xml:space="preserve"> </w:t>
      </w:r>
      <w:r>
        <w:tab/>
        <w:t>NER, clause 6.2.2(c)(1).</w:t>
      </w:r>
    </w:p>
  </w:footnote>
  <w:footnote w:id="45">
    <w:p w:rsidR="003434F8" w:rsidRDefault="003434F8" w:rsidP="00770C24">
      <w:pPr>
        <w:pStyle w:val="FootnoteText"/>
      </w:pPr>
      <w:r>
        <w:rPr>
          <w:rStyle w:val="FootnoteReference"/>
        </w:rPr>
        <w:footnoteRef/>
      </w:r>
      <w:r>
        <w:t xml:space="preserve"> </w:t>
      </w:r>
      <w:r>
        <w:tab/>
        <w:t>NER, clause 6.2.2(c)(2).</w:t>
      </w:r>
    </w:p>
  </w:footnote>
  <w:footnote w:id="46">
    <w:p w:rsidR="003434F8" w:rsidRDefault="003434F8" w:rsidP="00770C24">
      <w:pPr>
        <w:pStyle w:val="FootnoteText"/>
      </w:pPr>
      <w:r>
        <w:rPr>
          <w:rStyle w:val="FootnoteReference"/>
        </w:rPr>
        <w:footnoteRef/>
      </w:r>
      <w:r>
        <w:t xml:space="preserve"> </w:t>
      </w:r>
      <w:r>
        <w:tab/>
        <w:t>NER, clause 6.2.2(c)(3).</w:t>
      </w:r>
    </w:p>
  </w:footnote>
  <w:footnote w:id="47">
    <w:p w:rsidR="003434F8" w:rsidRDefault="003434F8" w:rsidP="00770C24">
      <w:pPr>
        <w:pStyle w:val="FootnoteText"/>
      </w:pPr>
      <w:r>
        <w:rPr>
          <w:rStyle w:val="FootnoteReference"/>
        </w:rPr>
        <w:footnoteRef/>
      </w:r>
      <w:r>
        <w:t xml:space="preserve"> </w:t>
      </w:r>
      <w:r>
        <w:tab/>
        <w:t>NER, clause 6.2.2(c)(5).</w:t>
      </w:r>
    </w:p>
  </w:footnote>
  <w:footnote w:id="48">
    <w:p w:rsidR="003434F8" w:rsidRDefault="003434F8" w:rsidP="00770C24">
      <w:pPr>
        <w:pStyle w:val="FootnoteText"/>
      </w:pPr>
      <w:r>
        <w:rPr>
          <w:rStyle w:val="FootnoteReference"/>
        </w:rPr>
        <w:footnoteRef/>
      </w:r>
      <w:r>
        <w:t xml:space="preserve"> </w:t>
      </w:r>
      <w:r>
        <w:tab/>
        <w:t>NER, clause 6.2.1(c)(4).</w:t>
      </w:r>
    </w:p>
  </w:footnote>
  <w:footnote w:id="49">
    <w:p w:rsidR="003434F8" w:rsidRDefault="003434F8" w:rsidP="00770C24">
      <w:pPr>
        <w:pStyle w:val="FootnoteText"/>
      </w:pPr>
      <w:r>
        <w:rPr>
          <w:rStyle w:val="FootnoteReference"/>
        </w:rPr>
        <w:footnoteRef/>
      </w:r>
      <w:r>
        <w:t xml:space="preserve"> </w:t>
      </w:r>
      <w:r>
        <w:tab/>
        <w:t xml:space="preserve">NER, clause 6.2.1(c)(4). Also, AER, </w:t>
      </w:r>
      <w:r w:rsidRPr="006F3C0D">
        <w:rPr>
          <w:rStyle w:val="AERtextitalic"/>
        </w:rPr>
        <w:t xml:space="preserve">Stage 1 Framework and approach paper </w:t>
      </w:r>
      <w:r>
        <w:rPr>
          <w:rStyle w:val="AERtextitalic"/>
          <w:rFonts w:cs="Gautami"/>
        </w:rPr>
        <w:t>–</w:t>
      </w:r>
      <w:r w:rsidRPr="006F3C0D">
        <w:rPr>
          <w:rStyle w:val="AERtextitalic"/>
        </w:rPr>
        <w:t xml:space="preserve"> Ausgrid, Endeavour Energy and Essential Energy</w:t>
      </w:r>
      <w:r>
        <w:t>, March 2013, p. 20.</w:t>
      </w:r>
    </w:p>
  </w:footnote>
  <w:footnote w:id="50">
    <w:p w:rsidR="003434F8" w:rsidRDefault="003434F8" w:rsidP="00770C24">
      <w:pPr>
        <w:pStyle w:val="FootnoteText"/>
      </w:pPr>
      <w:r>
        <w:rPr>
          <w:rStyle w:val="FootnoteReference"/>
        </w:rPr>
        <w:footnoteRef/>
      </w:r>
      <w:r>
        <w:t xml:space="preserve"> </w:t>
      </w:r>
      <w:r>
        <w:tab/>
        <w:t xml:space="preserve">NER, chapter 10 defines connection services </w:t>
      </w:r>
      <w:r w:rsidRPr="001A759F">
        <w:t>as consisting of entry services and exit services. An entry service is a service provided to serve a generator or group of generators, or a network service provider or group of network service providers, at a single connection point. An exit service is a service provided to serve a distribution customer or a group of distribution customers, or a network service provider or group of network service providers, at a single connection point</w:t>
      </w:r>
      <w:r>
        <w:t>.</w:t>
      </w:r>
    </w:p>
  </w:footnote>
  <w:footnote w:id="51">
    <w:p w:rsidR="003434F8" w:rsidRDefault="003434F8" w:rsidP="00682C51">
      <w:pPr>
        <w:pStyle w:val="FootnoteText"/>
      </w:pPr>
      <w:r>
        <w:rPr>
          <w:rStyle w:val="FootnoteReference"/>
        </w:rPr>
        <w:footnoteRef/>
      </w:r>
      <w:r>
        <w:t xml:space="preserve"> </w:t>
      </w:r>
      <w:r>
        <w:tab/>
        <w:t xml:space="preserve">Essential Services Commission Victoria, </w:t>
      </w:r>
      <w:r w:rsidRPr="00682C51">
        <w:t>Electricity Industry</w:t>
      </w:r>
      <w:r>
        <w:t xml:space="preserve"> </w:t>
      </w:r>
      <w:r w:rsidRPr="00682C51">
        <w:t>Guideline no. 1</w:t>
      </w:r>
      <w:r>
        <w:t>4 - P</w:t>
      </w:r>
      <w:r w:rsidRPr="00682C51">
        <w:rPr>
          <w:lang w:eastAsia="en-AU"/>
        </w:rPr>
        <w:t>rovision of services by electricity distributors</w:t>
      </w:r>
      <w:r>
        <w:t xml:space="preserve">; and, </w:t>
      </w:r>
      <w:r w:rsidRPr="00682C51">
        <w:t>Electricity Industry Guideline no. 15</w:t>
      </w:r>
      <w:r>
        <w:t xml:space="preserve"> - </w:t>
      </w:r>
      <w:r w:rsidRPr="00682C51">
        <w:t>Connection of embedded</w:t>
      </w:r>
      <w:r>
        <w:t xml:space="preserve"> g</w:t>
      </w:r>
      <w:r w:rsidRPr="00682C51">
        <w:t>eneration</w:t>
      </w:r>
    </w:p>
  </w:footnote>
  <w:footnote w:id="52">
    <w:p w:rsidR="003434F8" w:rsidRDefault="003434F8">
      <w:pPr>
        <w:pStyle w:val="FootnoteText"/>
      </w:pPr>
      <w:r>
        <w:rPr>
          <w:rStyle w:val="FootnoteReference"/>
        </w:rPr>
        <w:footnoteRef/>
      </w:r>
      <w:r>
        <w:t xml:space="preserve"> </w:t>
      </w:r>
      <w:r>
        <w:tab/>
        <w:t>On the basis there is no need to regulate this service as it is covered by other services in Guideline 14.</w:t>
      </w:r>
    </w:p>
  </w:footnote>
  <w:footnote w:id="53">
    <w:p w:rsidR="003434F8" w:rsidRDefault="003434F8" w:rsidP="00770C24">
      <w:pPr>
        <w:pStyle w:val="FootnoteText"/>
      </w:pPr>
      <w:r>
        <w:rPr>
          <w:rStyle w:val="FootnoteReference"/>
        </w:rPr>
        <w:footnoteRef/>
      </w:r>
      <w:r>
        <w:t xml:space="preserve"> </w:t>
      </w:r>
      <w:r>
        <w:tab/>
        <w:t>NER, clauses 6.2.1 and 6.2.2.</w:t>
      </w:r>
    </w:p>
  </w:footnote>
  <w:footnote w:id="54">
    <w:p w:rsidR="003434F8" w:rsidRDefault="003434F8">
      <w:pPr>
        <w:pStyle w:val="FootnoteText"/>
      </w:pPr>
      <w:r>
        <w:rPr>
          <w:rStyle w:val="FootnoteReference"/>
        </w:rPr>
        <w:footnoteRef/>
      </w:r>
      <w:r>
        <w:t xml:space="preserve"> </w:t>
      </w:r>
      <w:r>
        <w:tab/>
        <w:t xml:space="preserve">Since the limit in Guideline 14 on the amount of a customer's capital contribution applies to the Victorian distributors irrespective of the AER's service classification. </w:t>
      </w:r>
    </w:p>
  </w:footnote>
  <w:footnote w:id="55">
    <w:p w:rsidR="003434F8" w:rsidRPr="004220A4" w:rsidRDefault="003434F8" w:rsidP="004220A4">
      <w:pPr>
        <w:pStyle w:val="FootnoteText"/>
      </w:pPr>
      <w:r>
        <w:rPr>
          <w:rStyle w:val="FootnoteReference"/>
        </w:rPr>
        <w:footnoteRef/>
      </w:r>
      <w:r>
        <w:t xml:space="preserve"> </w:t>
      </w:r>
      <w:r>
        <w:tab/>
      </w:r>
      <w:r w:rsidRPr="004220A4">
        <w:t xml:space="preserve">The NECF is a framework for the retail sale of electricity and gas to residential and small business energy customers. </w:t>
      </w:r>
      <w:r>
        <w:t xml:space="preserve">It is set out in chapter 5A of the NER but does not currently apply in Victoria. </w:t>
      </w:r>
      <w:r w:rsidRPr="004220A4">
        <w:t>The NECF includes provisions addressing customer connection services and charges, and the ACCC's connection charge guidelines were made as part of the NECF. The NECF has been adopted by the ACT, Tasmania, South Australia, and New South Wales</w:t>
      </w:r>
      <w:r w:rsidRPr="004220A4">
        <w:rPr>
          <w:rStyle w:val="AERbody"/>
          <w:sz w:val="16"/>
        </w:rPr>
        <w:t xml:space="preserve">. </w:t>
      </w:r>
    </w:p>
  </w:footnote>
  <w:footnote w:id="56">
    <w:p w:rsidR="003434F8" w:rsidRDefault="003434F8" w:rsidP="008D0A1C">
      <w:pPr>
        <w:pStyle w:val="FootnoteText"/>
      </w:pPr>
      <w:r>
        <w:rPr>
          <w:rStyle w:val="FootnoteReference"/>
        </w:rPr>
        <w:footnoteRef/>
      </w:r>
      <w:r>
        <w:t xml:space="preserve"> </w:t>
      </w:r>
      <w:r>
        <w:tab/>
        <w:t xml:space="preserve">SCER, National Energy Customer Framework, </w:t>
      </w:r>
      <w:hyperlink r:id="rId2" w:history="1">
        <w:r w:rsidRPr="005D37FC">
          <w:rPr>
            <w:rStyle w:val="Hyperlink"/>
          </w:rPr>
          <w:t>http://www.scer.gov.au/workstreams/energy-market-reform/national-energy-customer-framework</w:t>
        </w:r>
      </w:hyperlink>
      <w:r>
        <w:t xml:space="preserve">, accessed 5 May 2014. </w:t>
      </w:r>
    </w:p>
  </w:footnote>
  <w:footnote w:id="57">
    <w:p w:rsidR="003434F8" w:rsidRDefault="003434F8">
      <w:pPr>
        <w:pStyle w:val="FootnoteText"/>
      </w:pPr>
      <w:r>
        <w:rPr>
          <w:rStyle w:val="FootnoteReference"/>
        </w:rPr>
        <w:footnoteRef/>
      </w:r>
      <w:r>
        <w:t xml:space="preserve"> </w:t>
      </w:r>
      <w:r>
        <w:tab/>
        <w:t xml:space="preserve">See: </w:t>
      </w:r>
      <w:hyperlink r:id="rId3" w:history="1">
        <w:r w:rsidRPr="0035621C">
          <w:rPr>
            <w:rStyle w:val="Hyperlink"/>
          </w:rPr>
          <w:t>http://www.aer.gov.au/node/7258</w:t>
        </w:r>
      </w:hyperlink>
      <w:r>
        <w:t xml:space="preserve"> </w:t>
      </w:r>
    </w:p>
  </w:footnote>
  <w:footnote w:id="58">
    <w:p w:rsidR="003434F8" w:rsidRDefault="003434F8" w:rsidP="00C80AAF">
      <w:pPr>
        <w:pStyle w:val="FootnoteText"/>
      </w:pPr>
      <w:r>
        <w:rPr>
          <w:rStyle w:val="FootnoteReference"/>
        </w:rPr>
        <w:footnoteRef/>
      </w:r>
      <w:r>
        <w:t xml:space="preserve"> </w:t>
      </w:r>
      <w:r>
        <w:tab/>
        <w:t xml:space="preserve">See: </w:t>
      </w:r>
      <w:hyperlink r:id="rId4" w:history="1">
        <w:r w:rsidRPr="0035621C">
          <w:rPr>
            <w:rStyle w:val="Hyperlink"/>
          </w:rPr>
          <w:t>http://www.aemc.gov.au/Rule-Changes/Connecting-embedded-generators-under-Chapter-5A</w:t>
        </w:r>
      </w:hyperlink>
      <w:r>
        <w:t xml:space="preserve"> </w:t>
      </w:r>
    </w:p>
  </w:footnote>
  <w:footnote w:id="59">
    <w:p w:rsidR="003434F8" w:rsidRDefault="003434F8" w:rsidP="008C7E76">
      <w:pPr>
        <w:pStyle w:val="FootnoteText"/>
      </w:pPr>
      <w:r>
        <w:rPr>
          <w:rStyle w:val="FootnoteReference"/>
        </w:rPr>
        <w:footnoteRef/>
      </w:r>
      <w:r>
        <w:t xml:space="preserve"> </w:t>
      </w:r>
      <w:r>
        <w:tab/>
        <w:t>NER, chapter 6, part D.</w:t>
      </w:r>
    </w:p>
  </w:footnote>
  <w:footnote w:id="60">
    <w:p w:rsidR="003434F8" w:rsidRDefault="003434F8" w:rsidP="00B47519">
      <w:pPr>
        <w:pStyle w:val="FootnoteText"/>
      </w:pPr>
      <w:r>
        <w:rPr>
          <w:rStyle w:val="FootnoteReference"/>
        </w:rPr>
        <w:footnoteRef/>
      </w:r>
      <w:r>
        <w:t xml:space="preserve"> </w:t>
      </w:r>
      <w:r>
        <w:tab/>
        <w:t>NER, clause 6.7.5.</w:t>
      </w:r>
    </w:p>
  </w:footnote>
  <w:footnote w:id="61">
    <w:p w:rsidR="003434F8" w:rsidRDefault="003434F8" w:rsidP="00B47519">
      <w:pPr>
        <w:pStyle w:val="FootnoteText"/>
      </w:pPr>
      <w:r>
        <w:rPr>
          <w:rStyle w:val="FootnoteReference"/>
        </w:rPr>
        <w:footnoteRef/>
      </w:r>
      <w:r>
        <w:t xml:space="preserve"> </w:t>
      </w:r>
      <w:r>
        <w:tab/>
        <w:t>NER, clause 6.7.5(c).</w:t>
      </w:r>
    </w:p>
  </w:footnote>
  <w:footnote w:id="62">
    <w:p w:rsidR="003434F8" w:rsidRDefault="003434F8" w:rsidP="00770C24">
      <w:pPr>
        <w:pStyle w:val="FootnoteText"/>
      </w:pPr>
      <w:r>
        <w:rPr>
          <w:rStyle w:val="FootnoteReference"/>
        </w:rPr>
        <w:footnoteRef/>
      </w:r>
      <w:r>
        <w:t xml:space="preserve"> </w:t>
      </w:r>
      <w:r>
        <w:tab/>
      </w:r>
      <w:r w:rsidRPr="005D38F9">
        <w:t xml:space="preserve">AER, </w:t>
      </w:r>
      <w:r w:rsidRPr="00B0796F">
        <w:rPr>
          <w:rStyle w:val="AERtextitalic"/>
        </w:rPr>
        <w:t xml:space="preserve">Framework and approach paper </w:t>
      </w:r>
      <w:r>
        <w:rPr>
          <w:rStyle w:val="AERtextitalic"/>
          <w:rFonts w:cs="Gautami"/>
        </w:rPr>
        <w:t>–</w:t>
      </w:r>
      <w:r w:rsidRPr="00B0796F">
        <w:rPr>
          <w:rStyle w:val="AERtextitalic"/>
        </w:rPr>
        <w:t xml:space="preserve"> classification of services and control mechanisms </w:t>
      </w:r>
      <w:r>
        <w:rPr>
          <w:rStyle w:val="AERtextitalic"/>
          <w:rFonts w:cs="Gautami"/>
        </w:rPr>
        <w:t>–</w:t>
      </w:r>
      <w:r w:rsidRPr="00B0796F">
        <w:rPr>
          <w:rStyle w:val="AERtextitalic"/>
        </w:rPr>
        <w:t xml:space="preserve"> Energex and Ergon Energy 2010-15, August 2008</w:t>
      </w:r>
      <w:r w:rsidRPr="005D38F9">
        <w:t>, p. 1</w:t>
      </w:r>
      <w:r>
        <w:t>7.</w:t>
      </w:r>
    </w:p>
  </w:footnote>
  <w:footnote w:id="63">
    <w:p w:rsidR="003434F8" w:rsidRDefault="003434F8" w:rsidP="00770C24">
      <w:pPr>
        <w:pStyle w:val="FootnoteText"/>
      </w:pPr>
      <w:r>
        <w:rPr>
          <w:rStyle w:val="FootnoteReference"/>
        </w:rPr>
        <w:footnoteRef/>
      </w:r>
      <w:r>
        <w:t xml:space="preserve"> </w:t>
      </w:r>
      <w:r>
        <w:tab/>
      </w:r>
      <w:r w:rsidRPr="00B0796F">
        <w:rPr>
          <w:rStyle w:val="AERtextitalic"/>
        </w:rPr>
        <w:t xml:space="preserve">Electricity Supply Act 1995 </w:t>
      </w:r>
      <w:r w:rsidRPr="00F572D9">
        <w:rPr>
          <w:rStyle w:val="AERtextitalic"/>
          <w:i w:val="0"/>
        </w:rPr>
        <w:t>(NSW)</w:t>
      </w:r>
      <w:r w:rsidRPr="00B0796F">
        <w:rPr>
          <w:rStyle w:val="AERtextitalic"/>
        </w:rPr>
        <w:t>.</w:t>
      </w:r>
      <w:r>
        <w:rPr>
          <w:rStyle w:val="AERtextitalic"/>
        </w:rPr>
        <w:t xml:space="preserve"> </w:t>
      </w:r>
    </w:p>
  </w:footnote>
  <w:footnote w:id="64">
    <w:p w:rsidR="003434F8" w:rsidRDefault="003434F8" w:rsidP="0072542C">
      <w:pPr>
        <w:pStyle w:val="FootnoteText"/>
      </w:pPr>
      <w:r>
        <w:rPr>
          <w:rStyle w:val="FootnoteReference"/>
        </w:rPr>
        <w:footnoteRef/>
      </w:r>
      <w:r>
        <w:t xml:space="preserve"> </w:t>
      </w:r>
      <w:r>
        <w:tab/>
        <w:t>NEL, s. 2F(a).</w:t>
      </w:r>
    </w:p>
  </w:footnote>
  <w:footnote w:id="65">
    <w:p w:rsidR="003434F8" w:rsidRDefault="003434F8" w:rsidP="0072542C">
      <w:pPr>
        <w:pStyle w:val="FootnoteText"/>
      </w:pPr>
      <w:r>
        <w:rPr>
          <w:rStyle w:val="FootnoteReference"/>
        </w:rPr>
        <w:footnoteRef/>
      </w:r>
      <w:r>
        <w:t xml:space="preserve"> </w:t>
      </w:r>
      <w:r>
        <w:tab/>
        <w:t>NER, cl. 6.2.2(c)(5).</w:t>
      </w:r>
    </w:p>
  </w:footnote>
  <w:footnote w:id="66">
    <w:p w:rsidR="003434F8" w:rsidRDefault="003434F8">
      <w:pPr>
        <w:pStyle w:val="FootnoteText"/>
      </w:pPr>
      <w:r>
        <w:rPr>
          <w:rStyle w:val="FootnoteReference"/>
        </w:rPr>
        <w:footnoteRef/>
      </w:r>
      <w:r>
        <w:t xml:space="preserve"> </w:t>
      </w:r>
      <w:r>
        <w:tab/>
        <w:t xml:space="preserve">Section 16 of the </w:t>
      </w:r>
      <w:r w:rsidRPr="00AF6463">
        <w:rPr>
          <w:rStyle w:val="AERtextitalic"/>
        </w:rPr>
        <w:t xml:space="preserve">Electricity </w:t>
      </w:r>
      <w:r>
        <w:rPr>
          <w:rStyle w:val="AERtextitalic"/>
        </w:rPr>
        <w:t>Industry</w:t>
      </w:r>
      <w:r w:rsidRPr="00AF6463">
        <w:rPr>
          <w:rStyle w:val="AERtextitalic"/>
        </w:rPr>
        <w:t xml:space="preserve"> Act 2000 (Vic)</w:t>
      </w:r>
      <w:r>
        <w:t>.</w:t>
      </w:r>
    </w:p>
  </w:footnote>
  <w:footnote w:id="67">
    <w:p w:rsidR="003434F8" w:rsidRDefault="003434F8">
      <w:pPr>
        <w:pStyle w:val="FootnoteText"/>
      </w:pPr>
      <w:r>
        <w:rPr>
          <w:rStyle w:val="FootnoteReference"/>
        </w:rPr>
        <w:footnoteRef/>
      </w:r>
      <w:r>
        <w:t xml:space="preserve"> </w:t>
      </w:r>
      <w:r>
        <w:tab/>
        <w:t>AER staff discussion with Victorian electricity distributors, May 2014</w:t>
      </w:r>
    </w:p>
  </w:footnote>
  <w:footnote w:id="68">
    <w:p w:rsidR="003434F8" w:rsidRDefault="003434F8" w:rsidP="00770C24">
      <w:pPr>
        <w:pStyle w:val="FootnoteText"/>
        <w:numPr>
          <w:ilvl w:val="0"/>
          <w:numId w:val="13"/>
        </w:numPr>
        <w:ind w:left="426" w:hanging="426"/>
      </w:pPr>
      <w:r>
        <w:rPr>
          <w:rStyle w:val="FootnoteReference"/>
        </w:rPr>
        <w:footnoteRef/>
      </w:r>
      <w:r>
        <w:t xml:space="preserve"> </w:t>
      </w:r>
      <w:r>
        <w:tab/>
        <w:t>All connections to the network must have a metering installation (NER, clause 7.3.1A(a)).</w:t>
      </w:r>
    </w:p>
  </w:footnote>
  <w:footnote w:id="69">
    <w:p w:rsidR="003434F8" w:rsidRDefault="003434F8" w:rsidP="00632843">
      <w:pPr>
        <w:pStyle w:val="FootnoteText"/>
        <w:ind w:left="0" w:firstLine="0"/>
      </w:pPr>
      <w:r>
        <w:rPr>
          <w:rStyle w:val="FootnoteReference"/>
        </w:rPr>
        <w:footnoteRef/>
      </w:r>
      <w:r>
        <w:t xml:space="preserve"> </w:t>
      </w:r>
      <w:r>
        <w:tab/>
        <w:t>See schedule 7.2 of the NER</w:t>
      </w:r>
    </w:p>
  </w:footnote>
  <w:footnote w:id="70">
    <w:p w:rsidR="003434F8" w:rsidRDefault="003434F8" w:rsidP="001B1E76">
      <w:pPr>
        <w:pStyle w:val="FootnoteText"/>
      </w:pPr>
      <w:r>
        <w:rPr>
          <w:rStyle w:val="FootnoteReference"/>
        </w:rPr>
        <w:footnoteRef/>
      </w:r>
      <w:r>
        <w:t xml:space="preserve"> </w:t>
      </w:r>
      <w:r>
        <w:tab/>
        <w:t>Such as remote load control by distributors and remote appliance control by customers.</w:t>
      </w:r>
    </w:p>
  </w:footnote>
  <w:footnote w:id="71">
    <w:p w:rsidR="003434F8" w:rsidRDefault="003434F8" w:rsidP="00632843">
      <w:pPr>
        <w:pStyle w:val="FootnoteText"/>
      </w:pPr>
      <w:r>
        <w:rPr>
          <w:rStyle w:val="FootnoteReference"/>
        </w:rPr>
        <w:footnoteRef/>
      </w:r>
      <w:r>
        <w:t xml:space="preserve"> </w:t>
      </w:r>
      <w:r>
        <w:tab/>
        <w:t xml:space="preserve">See: </w:t>
      </w:r>
      <w:hyperlink r:id="rId5" w:history="1">
        <w:r w:rsidRPr="0035621C">
          <w:rPr>
            <w:rStyle w:val="Hyperlink"/>
          </w:rPr>
          <w:t>http://www.aemc.gov.au/Rule-Changes/Expanding-competition-in-metering-and-related-serv</w:t>
        </w:r>
      </w:hyperlink>
      <w:r>
        <w:t xml:space="preserve"> </w:t>
      </w:r>
    </w:p>
  </w:footnote>
  <w:footnote w:id="72">
    <w:p w:rsidR="003434F8" w:rsidRDefault="003434F8" w:rsidP="00770C24">
      <w:pPr>
        <w:pStyle w:val="FootnoteText"/>
        <w:numPr>
          <w:ilvl w:val="0"/>
          <w:numId w:val="13"/>
        </w:numPr>
        <w:ind w:left="426" w:hanging="426"/>
      </w:pPr>
      <w:r>
        <w:rPr>
          <w:rStyle w:val="FootnoteReference"/>
        </w:rPr>
        <w:footnoteRef/>
      </w:r>
      <w:r>
        <w:t xml:space="preserve"> </w:t>
      </w:r>
      <w:r>
        <w:tab/>
        <w:t>The Victorian distributors are the ‘responsible person’ for type 5, 6, and 7 metering installations (NER, clause 7.2.3(a)(2)).</w:t>
      </w:r>
    </w:p>
  </w:footnote>
  <w:footnote w:id="73">
    <w:p w:rsidR="003434F8" w:rsidRDefault="003434F8" w:rsidP="00770C24">
      <w:pPr>
        <w:pStyle w:val="FootnoteText"/>
        <w:numPr>
          <w:ilvl w:val="0"/>
          <w:numId w:val="13"/>
        </w:numPr>
        <w:ind w:left="426" w:hanging="426"/>
      </w:pPr>
      <w:r>
        <w:rPr>
          <w:rStyle w:val="FootnoteReference"/>
        </w:rPr>
        <w:footnoteRef/>
      </w:r>
      <w:r>
        <w:t xml:space="preserve"> </w:t>
      </w:r>
      <w:r>
        <w:tab/>
        <w:t>Interval meters record electricity usage every 30 minutes</w:t>
      </w:r>
      <w:r w:rsidRPr="00545426">
        <w:t>.</w:t>
      </w:r>
    </w:p>
  </w:footnote>
  <w:footnote w:id="74">
    <w:p w:rsidR="003434F8" w:rsidRDefault="003434F8" w:rsidP="00770C24">
      <w:pPr>
        <w:pStyle w:val="FootnoteText"/>
      </w:pPr>
      <w:r>
        <w:rPr>
          <w:rStyle w:val="FootnoteReference"/>
        </w:rPr>
        <w:footnoteRef/>
      </w:r>
      <w:r>
        <w:t xml:space="preserve"> </w:t>
      </w:r>
      <w:r>
        <w:tab/>
        <w:t>NER, clause 7.2.3(a)(2).</w:t>
      </w:r>
    </w:p>
  </w:footnote>
  <w:footnote w:id="75">
    <w:p w:rsidR="003434F8" w:rsidRDefault="003434F8" w:rsidP="00770C24">
      <w:pPr>
        <w:pStyle w:val="FootnoteText"/>
        <w:numPr>
          <w:ilvl w:val="0"/>
          <w:numId w:val="13"/>
        </w:numPr>
        <w:ind w:left="426" w:hanging="426"/>
      </w:pPr>
      <w:r>
        <w:rPr>
          <w:rStyle w:val="FootnoteReference"/>
        </w:rPr>
        <w:footnoteRef/>
      </w:r>
      <w:r>
        <w:t xml:space="preserve"> </w:t>
      </w:r>
      <w:r>
        <w:tab/>
        <w:t xml:space="preserve">Industrial and large customers may use types 1, 2, 3 or 4 meters. These meters are already open to competition and are not regulated by us (NER, clauses </w:t>
      </w:r>
      <w:r w:rsidRPr="008C7B9D">
        <w:t>7.2.3(a)(2)</w:t>
      </w:r>
      <w:r>
        <w:t xml:space="preserve"> and 7.3.1.A(a)).</w:t>
      </w:r>
    </w:p>
  </w:footnote>
  <w:footnote w:id="76">
    <w:p w:rsidR="003434F8" w:rsidRDefault="003434F8" w:rsidP="00770C24">
      <w:pPr>
        <w:pStyle w:val="FootnoteText"/>
      </w:pPr>
      <w:r>
        <w:rPr>
          <w:rStyle w:val="FootnoteReference"/>
        </w:rPr>
        <w:footnoteRef/>
      </w:r>
      <w:r>
        <w:t xml:space="preserve"> </w:t>
      </w:r>
      <w:r>
        <w:tab/>
        <w:t xml:space="preserve">NEL, ss. 2F(a)(d). </w:t>
      </w:r>
    </w:p>
  </w:footnote>
  <w:footnote w:id="77">
    <w:p w:rsidR="003434F8" w:rsidRDefault="003434F8" w:rsidP="0091249E">
      <w:pPr>
        <w:pStyle w:val="FootnoteText"/>
      </w:pPr>
      <w:r>
        <w:rPr>
          <w:rStyle w:val="FootnoteReference"/>
        </w:rPr>
        <w:footnoteRef/>
      </w:r>
      <w:r>
        <w:t xml:space="preserve"> </w:t>
      </w:r>
      <w:r>
        <w:tab/>
        <w:t>As defined in the NER, clause 11.17.1</w:t>
      </w:r>
    </w:p>
  </w:footnote>
  <w:footnote w:id="78">
    <w:p w:rsidR="003434F8" w:rsidRDefault="003434F8" w:rsidP="00770C24">
      <w:pPr>
        <w:pStyle w:val="FootnoteText"/>
      </w:pPr>
      <w:r>
        <w:rPr>
          <w:rStyle w:val="FootnoteReference"/>
        </w:rPr>
        <w:footnoteRef/>
      </w:r>
      <w:r>
        <w:t xml:space="preserve"> </w:t>
      </w:r>
      <w:r>
        <w:tab/>
        <w:t xml:space="preserve">NER, clause 6.2.2(c)(3) and (4). Also, AER, </w:t>
      </w:r>
      <w:r w:rsidRPr="001B3A19">
        <w:rPr>
          <w:rStyle w:val="AERtextitalic"/>
        </w:rPr>
        <w:t>Stage 1 Framework and approach paper</w:t>
      </w:r>
      <w:r>
        <w:rPr>
          <w:rStyle w:val="AERtextitalic"/>
        </w:rPr>
        <w:t xml:space="preserve"> </w:t>
      </w:r>
      <w:r>
        <w:rPr>
          <w:rStyle w:val="AERtextitalic"/>
          <w:rFonts w:cs="Gautami"/>
        </w:rPr>
        <w:t>–</w:t>
      </w:r>
      <w:r>
        <w:rPr>
          <w:rStyle w:val="AERtextitalic"/>
        </w:rPr>
        <w:t xml:space="preserve"> </w:t>
      </w:r>
      <w:r w:rsidRPr="001B3A19">
        <w:rPr>
          <w:rStyle w:val="AERtextitalic"/>
        </w:rPr>
        <w:t>Ausgrid, Endeavour Energy and Essential Energy</w:t>
      </w:r>
      <w:r>
        <w:t>, March 2013, p. 26.</w:t>
      </w:r>
    </w:p>
  </w:footnote>
  <w:footnote w:id="79">
    <w:p w:rsidR="003434F8" w:rsidRDefault="003434F8" w:rsidP="00770C24">
      <w:pPr>
        <w:pStyle w:val="FootnoteText"/>
      </w:pPr>
      <w:r>
        <w:rPr>
          <w:rStyle w:val="FootnoteReference"/>
        </w:rPr>
        <w:footnoteRef/>
      </w:r>
      <w:r>
        <w:t xml:space="preserve"> </w:t>
      </w:r>
      <w:r>
        <w:tab/>
        <w:t>NEL, s. 2F(a).</w:t>
      </w:r>
    </w:p>
  </w:footnote>
  <w:footnote w:id="80">
    <w:p w:rsidR="003434F8" w:rsidRDefault="003434F8" w:rsidP="00770C24">
      <w:pPr>
        <w:pStyle w:val="FootnoteText"/>
      </w:pPr>
      <w:r>
        <w:rPr>
          <w:rStyle w:val="FootnoteReference"/>
        </w:rPr>
        <w:footnoteRef/>
      </w:r>
      <w:r>
        <w:t xml:space="preserve"> </w:t>
      </w:r>
      <w:r>
        <w:tab/>
        <w:t xml:space="preserve">NEL, s. 2F(a). Also, NER, clause 7.2.3(a)(2) </w:t>
      </w:r>
      <w:r>
        <w:rPr>
          <w:rFonts w:cs="Gautami"/>
        </w:rPr>
        <w:t>–</w:t>
      </w:r>
      <w:r>
        <w:t xml:space="preserve">Victorians distributors are the 'responsible person' for type 5 and 6 meter installations.  </w:t>
      </w:r>
    </w:p>
  </w:footnote>
  <w:footnote w:id="81">
    <w:p w:rsidR="003434F8" w:rsidRDefault="003434F8" w:rsidP="00770C24">
      <w:pPr>
        <w:pStyle w:val="FootnoteText"/>
      </w:pPr>
      <w:r>
        <w:rPr>
          <w:rStyle w:val="FootnoteReference"/>
        </w:rPr>
        <w:footnoteRef/>
      </w:r>
      <w:r>
        <w:t xml:space="preserve"> </w:t>
      </w:r>
      <w:r>
        <w:tab/>
        <w:t>NER, clause 6.2.2(c)(2).</w:t>
      </w:r>
    </w:p>
  </w:footnote>
  <w:footnote w:id="82">
    <w:p w:rsidR="003434F8" w:rsidRDefault="003434F8" w:rsidP="00770C24">
      <w:pPr>
        <w:pStyle w:val="FootnoteText"/>
      </w:pPr>
      <w:r>
        <w:rPr>
          <w:rStyle w:val="FootnoteReference"/>
        </w:rPr>
        <w:footnoteRef/>
      </w:r>
      <w:r>
        <w:t xml:space="preserve"> </w:t>
      </w:r>
      <w:r>
        <w:tab/>
        <w:t>NER, clause 6.2.1.</w:t>
      </w:r>
    </w:p>
  </w:footnote>
  <w:footnote w:id="83">
    <w:p w:rsidR="003434F8" w:rsidRDefault="003434F8" w:rsidP="00770C24">
      <w:pPr>
        <w:pStyle w:val="FootnoteText"/>
      </w:pPr>
      <w:r>
        <w:rPr>
          <w:rStyle w:val="FootnoteReference"/>
        </w:rPr>
        <w:footnoteRef/>
      </w:r>
      <w:r>
        <w:t xml:space="preserve"> </w:t>
      </w:r>
      <w:r>
        <w:tab/>
        <w:t>NEL, s. 2F(a).</w:t>
      </w:r>
    </w:p>
  </w:footnote>
  <w:footnote w:id="84">
    <w:p w:rsidR="003434F8" w:rsidRDefault="003434F8" w:rsidP="00770C24">
      <w:pPr>
        <w:pStyle w:val="FootnoteText"/>
      </w:pPr>
      <w:r>
        <w:rPr>
          <w:rStyle w:val="FootnoteReference"/>
        </w:rPr>
        <w:footnoteRef/>
      </w:r>
      <w:r>
        <w:t xml:space="preserve"> </w:t>
      </w:r>
      <w:r>
        <w:tab/>
        <w:t>NER, clause 7.2.3(a)(2).</w:t>
      </w:r>
    </w:p>
  </w:footnote>
  <w:footnote w:id="85">
    <w:p w:rsidR="003434F8" w:rsidRDefault="003434F8" w:rsidP="00770C24">
      <w:pPr>
        <w:pStyle w:val="FootnoteText"/>
      </w:pPr>
      <w:r>
        <w:rPr>
          <w:rStyle w:val="FootnoteReference"/>
        </w:rPr>
        <w:footnoteRef/>
      </w:r>
      <w:r>
        <w:t xml:space="preserve"> </w:t>
      </w:r>
      <w:r>
        <w:tab/>
        <w:t xml:space="preserve">AER, </w:t>
      </w:r>
      <w:r w:rsidRPr="00AB722D">
        <w:rPr>
          <w:rStyle w:val="AERtextitalic"/>
        </w:rPr>
        <w:t>Stage 1</w:t>
      </w:r>
      <w:r>
        <w:t xml:space="preserve"> </w:t>
      </w:r>
      <w:r w:rsidRPr="00930976">
        <w:rPr>
          <w:rStyle w:val="AERtextitalic"/>
        </w:rPr>
        <w:t xml:space="preserve">Framework and approach paper </w:t>
      </w:r>
      <w:r>
        <w:rPr>
          <w:rStyle w:val="AERtextitalic"/>
          <w:rFonts w:cs="Gautami"/>
        </w:rPr>
        <w:t>–</w:t>
      </w:r>
      <w:r w:rsidRPr="00930976">
        <w:rPr>
          <w:rStyle w:val="AERtextitalic"/>
        </w:rPr>
        <w:t xml:space="preserve"> Ausgrid, Endeavour Energy and Essential Energy</w:t>
      </w:r>
      <w:r>
        <w:t xml:space="preserve">, March 2013, p. 26. AER, </w:t>
      </w:r>
      <w:r w:rsidRPr="00176368">
        <w:rPr>
          <w:rStyle w:val="AERtextitalic"/>
        </w:rPr>
        <w:t xml:space="preserve">Framework and approach paper </w:t>
      </w:r>
      <w:r>
        <w:rPr>
          <w:rStyle w:val="AERtextitalic"/>
          <w:rFonts w:cs="Gautami"/>
        </w:rPr>
        <w:t>–</w:t>
      </w:r>
      <w:r w:rsidRPr="00176368">
        <w:rPr>
          <w:rStyle w:val="AERtextitalic"/>
        </w:rPr>
        <w:t xml:space="preserve"> Aurora Energy Pty Ltd</w:t>
      </w:r>
      <w:r>
        <w:t>, November 2012, p. 25.</w:t>
      </w:r>
    </w:p>
  </w:footnote>
  <w:footnote w:id="86">
    <w:p w:rsidR="003434F8" w:rsidRDefault="003434F8" w:rsidP="00770C24">
      <w:pPr>
        <w:pStyle w:val="FootnoteText"/>
      </w:pPr>
      <w:r>
        <w:rPr>
          <w:rStyle w:val="FootnoteReference"/>
        </w:rPr>
        <w:footnoteRef/>
      </w:r>
      <w:r>
        <w:t xml:space="preserve"> </w:t>
      </w:r>
      <w:r>
        <w:tab/>
        <w:t>NEL, s. 2F(a) and (d).</w:t>
      </w:r>
    </w:p>
  </w:footnote>
  <w:footnote w:id="87">
    <w:p w:rsidR="003434F8" w:rsidRDefault="003434F8" w:rsidP="00770C24">
      <w:pPr>
        <w:pStyle w:val="FootnoteText"/>
      </w:pPr>
      <w:r>
        <w:rPr>
          <w:rStyle w:val="FootnoteReference"/>
        </w:rPr>
        <w:footnoteRef/>
      </w:r>
      <w:r>
        <w:t xml:space="preserve"> </w:t>
      </w:r>
      <w:r>
        <w:tab/>
        <w:t>NER, clause 6.2.2(c).</w:t>
      </w:r>
    </w:p>
  </w:footnote>
  <w:footnote w:id="88">
    <w:p w:rsidR="003434F8" w:rsidRDefault="003434F8" w:rsidP="00770C24">
      <w:pPr>
        <w:pStyle w:val="FootnoteText"/>
      </w:pPr>
      <w:r>
        <w:rPr>
          <w:rStyle w:val="FootnoteReference"/>
        </w:rPr>
        <w:footnoteRef/>
      </w:r>
      <w:r>
        <w:t xml:space="preserve"> </w:t>
      </w:r>
      <w:r>
        <w:tab/>
        <w:t>NER, clause 6.2.2(c)(5).</w:t>
      </w:r>
    </w:p>
  </w:footnote>
  <w:footnote w:id="89">
    <w:p w:rsidR="003434F8" w:rsidRDefault="003434F8" w:rsidP="00770C24">
      <w:pPr>
        <w:pStyle w:val="FootnoteText"/>
      </w:pPr>
      <w:r>
        <w:rPr>
          <w:rStyle w:val="FootnoteReference"/>
        </w:rPr>
        <w:footnoteRef/>
      </w:r>
      <w:r>
        <w:t xml:space="preserve"> </w:t>
      </w:r>
      <w:r>
        <w:tab/>
        <w:t>NER, clause 6.2.2(c)(1).</w:t>
      </w:r>
    </w:p>
  </w:footnote>
  <w:footnote w:id="90">
    <w:p w:rsidR="003434F8" w:rsidRDefault="003434F8" w:rsidP="00770C24">
      <w:pPr>
        <w:pStyle w:val="FootnoteText"/>
      </w:pPr>
      <w:r>
        <w:rPr>
          <w:rStyle w:val="FootnoteReference"/>
        </w:rPr>
        <w:footnoteRef/>
      </w:r>
      <w:r>
        <w:t xml:space="preserve"> </w:t>
      </w:r>
      <w:r>
        <w:tab/>
        <w:t>NER, clause 7.4.2(c) establishes that a distributor who is the responsible person for a metering installation must either register with AEMO as a metering provider or engage registered metering providers for such installations.</w:t>
      </w:r>
    </w:p>
  </w:footnote>
  <w:footnote w:id="91">
    <w:p w:rsidR="003434F8" w:rsidRDefault="003434F8" w:rsidP="00770C24">
      <w:pPr>
        <w:pStyle w:val="FootnoteText"/>
      </w:pPr>
      <w:r>
        <w:rPr>
          <w:rStyle w:val="FootnoteReference"/>
        </w:rPr>
        <w:footnoteRef/>
      </w:r>
      <w:r>
        <w:t xml:space="preserve"> </w:t>
      </w:r>
      <w:r>
        <w:tab/>
        <w:t>NER, clauses 6.2.2(c)(1) and (c)(6).</w:t>
      </w:r>
    </w:p>
  </w:footnote>
  <w:footnote w:id="92">
    <w:p w:rsidR="003434F8" w:rsidRDefault="003434F8" w:rsidP="00770C24">
      <w:pPr>
        <w:pStyle w:val="FootnoteText"/>
      </w:pPr>
      <w:r>
        <w:rPr>
          <w:rStyle w:val="FootnoteReference"/>
        </w:rPr>
        <w:footnoteRef/>
      </w:r>
      <w:r>
        <w:t xml:space="preserve"> </w:t>
      </w:r>
      <w:r>
        <w:tab/>
        <w:t>NER, clause 6.2.2(c)(6).</w:t>
      </w:r>
    </w:p>
  </w:footnote>
  <w:footnote w:id="93">
    <w:p w:rsidR="003434F8" w:rsidRDefault="003434F8" w:rsidP="00770C24">
      <w:pPr>
        <w:pStyle w:val="FootnoteText"/>
      </w:pPr>
      <w:r>
        <w:rPr>
          <w:rStyle w:val="FootnoteReference"/>
        </w:rPr>
        <w:footnoteRef/>
      </w:r>
      <w:r>
        <w:t xml:space="preserve"> </w:t>
      </w:r>
      <w:r>
        <w:tab/>
      </w:r>
      <w:r w:rsidRPr="007D1E76">
        <w:t xml:space="preserve">AEMC, </w:t>
      </w:r>
      <w:r w:rsidRPr="00013ACA">
        <w:rPr>
          <w:rStyle w:val="AERtextitalic"/>
        </w:rPr>
        <w:t xml:space="preserve">Power of choice review </w:t>
      </w:r>
      <w:r>
        <w:rPr>
          <w:rStyle w:val="AERtextitalic"/>
          <w:rFonts w:cs="Gautami"/>
        </w:rPr>
        <w:t>–</w:t>
      </w:r>
      <w:r w:rsidRPr="00013ACA">
        <w:rPr>
          <w:rStyle w:val="AERtextitalic"/>
        </w:rPr>
        <w:t xml:space="preserve"> giving consumers options in the way they use electricity </w:t>
      </w:r>
      <w:r>
        <w:rPr>
          <w:rStyle w:val="AERtextitalic"/>
          <w:rFonts w:cs="Gautami"/>
        </w:rPr>
        <w:t>–</w:t>
      </w:r>
      <w:r w:rsidRPr="00013ACA">
        <w:rPr>
          <w:rStyle w:val="AERtextitalic"/>
        </w:rPr>
        <w:t xml:space="preserve"> final report</w:t>
      </w:r>
      <w:r w:rsidRPr="007D1E76">
        <w:t xml:space="preserve">, November 2012, </w:t>
      </w:r>
      <w:r>
        <w:t>c</w:t>
      </w:r>
      <w:r w:rsidRPr="007D1E76">
        <w:t>hapter 4.</w:t>
      </w:r>
    </w:p>
  </w:footnote>
  <w:footnote w:id="94">
    <w:p w:rsidR="003434F8" w:rsidRDefault="003434F8" w:rsidP="00770C24">
      <w:pPr>
        <w:pStyle w:val="FootnoteText"/>
      </w:pPr>
      <w:r>
        <w:rPr>
          <w:rStyle w:val="FootnoteReference"/>
        </w:rPr>
        <w:footnoteRef/>
      </w:r>
      <w:r>
        <w:t xml:space="preserve"> </w:t>
      </w:r>
      <w:r>
        <w:tab/>
      </w:r>
      <w:r w:rsidRPr="00FA7DB2">
        <w:t xml:space="preserve">AEMC, </w:t>
      </w:r>
      <w:r w:rsidRPr="00013ACA">
        <w:rPr>
          <w:rStyle w:val="AERtextitalic"/>
        </w:rPr>
        <w:t xml:space="preserve">Power of choice review </w:t>
      </w:r>
      <w:r>
        <w:rPr>
          <w:rStyle w:val="AERtextitalic"/>
          <w:rFonts w:cs="Gautami"/>
        </w:rPr>
        <w:t>–</w:t>
      </w:r>
      <w:r w:rsidRPr="00013ACA">
        <w:rPr>
          <w:rStyle w:val="AERtextitalic"/>
        </w:rPr>
        <w:t xml:space="preserve"> giving consumers options in the way they use electricity </w:t>
      </w:r>
      <w:r>
        <w:rPr>
          <w:rStyle w:val="AERtextitalic"/>
          <w:rFonts w:cs="Gautami"/>
        </w:rPr>
        <w:t>–</w:t>
      </w:r>
      <w:r w:rsidRPr="00013ACA">
        <w:rPr>
          <w:rStyle w:val="AERtextitalic"/>
        </w:rPr>
        <w:t xml:space="preserve"> final report</w:t>
      </w:r>
      <w:r>
        <w:t>, November 2012, p. 83.</w:t>
      </w:r>
    </w:p>
  </w:footnote>
  <w:footnote w:id="95">
    <w:p w:rsidR="003434F8" w:rsidRDefault="003434F8">
      <w:pPr>
        <w:pStyle w:val="FootnoteText"/>
      </w:pPr>
      <w:r>
        <w:rPr>
          <w:rStyle w:val="FootnoteReference"/>
        </w:rPr>
        <w:footnoteRef/>
      </w:r>
      <w:r>
        <w:t xml:space="preserve"> </w:t>
      </w:r>
      <w:r>
        <w:tab/>
        <w:t xml:space="preserve">See: </w:t>
      </w:r>
      <w:hyperlink r:id="rId6" w:history="1">
        <w:r w:rsidRPr="0035621C">
          <w:rPr>
            <w:rStyle w:val="Hyperlink"/>
          </w:rPr>
          <w:t>http://www.aemc.gov.au/Rule-Changes/Expanding-competition-in-metering-and-related-serv</w:t>
        </w:r>
      </w:hyperlink>
      <w:r>
        <w:t xml:space="preserve"> </w:t>
      </w:r>
    </w:p>
  </w:footnote>
  <w:footnote w:id="96">
    <w:p w:rsidR="003434F8" w:rsidRDefault="003434F8" w:rsidP="00770C24">
      <w:pPr>
        <w:pStyle w:val="FootnoteText"/>
      </w:pPr>
      <w:r>
        <w:rPr>
          <w:rStyle w:val="FootnoteReference"/>
        </w:rPr>
        <w:footnoteRef/>
      </w:r>
      <w:r>
        <w:t xml:space="preserve"> </w:t>
      </w:r>
      <w:r>
        <w:tab/>
        <w:t>This is because an equation is used to calculate type 7 metering usage. No physical meter or associated services are necessary.</w:t>
      </w:r>
    </w:p>
  </w:footnote>
  <w:footnote w:id="97">
    <w:p w:rsidR="003434F8" w:rsidRDefault="003434F8" w:rsidP="00770C24">
      <w:pPr>
        <w:pStyle w:val="FootnoteText"/>
      </w:pPr>
      <w:r>
        <w:rPr>
          <w:rStyle w:val="FootnoteReference"/>
        </w:rPr>
        <w:footnoteRef/>
      </w:r>
      <w:r>
        <w:t xml:space="preserve"> </w:t>
      </w:r>
      <w:r>
        <w:tab/>
        <w:t>NEL, s. 2F(a).</w:t>
      </w:r>
    </w:p>
  </w:footnote>
  <w:footnote w:id="98">
    <w:p w:rsidR="003434F8" w:rsidRDefault="003434F8" w:rsidP="00770C24">
      <w:pPr>
        <w:pStyle w:val="FootnoteText"/>
      </w:pPr>
      <w:r>
        <w:rPr>
          <w:rStyle w:val="FootnoteReference"/>
        </w:rPr>
        <w:footnoteRef/>
      </w:r>
      <w:r>
        <w:t xml:space="preserve"> </w:t>
      </w:r>
      <w:r>
        <w:tab/>
        <w:t>NER, clause 6.2.1(d)(1).</w:t>
      </w:r>
    </w:p>
  </w:footnote>
  <w:footnote w:id="99">
    <w:p w:rsidR="003434F8" w:rsidRDefault="003434F8" w:rsidP="00770C24">
      <w:pPr>
        <w:pStyle w:val="FootnoteText"/>
      </w:pPr>
      <w:r>
        <w:rPr>
          <w:rStyle w:val="FootnoteReference"/>
        </w:rPr>
        <w:footnoteRef/>
      </w:r>
      <w:r>
        <w:t xml:space="preserve"> </w:t>
      </w:r>
      <w:r>
        <w:tab/>
        <w:t>NEL, s. 2F(a) and (d).</w:t>
      </w:r>
    </w:p>
  </w:footnote>
  <w:footnote w:id="100">
    <w:p w:rsidR="003434F8" w:rsidRDefault="003434F8" w:rsidP="00770C24">
      <w:pPr>
        <w:pStyle w:val="FootnoteText"/>
      </w:pPr>
      <w:r>
        <w:rPr>
          <w:rStyle w:val="FootnoteReference"/>
        </w:rPr>
        <w:footnoteRef/>
      </w:r>
      <w:r>
        <w:t xml:space="preserve"> </w:t>
      </w:r>
      <w:r>
        <w:tab/>
      </w:r>
      <w:r w:rsidRPr="00F728E3">
        <w:t>NER, cl</w:t>
      </w:r>
      <w:r>
        <w:t>ause</w:t>
      </w:r>
      <w:r w:rsidRPr="00F728E3">
        <w:t xml:space="preserve"> 7.2.3(a)(2).</w:t>
      </w:r>
    </w:p>
  </w:footnote>
  <w:footnote w:id="101">
    <w:p w:rsidR="003434F8" w:rsidRDefault="003434F8" w:rsidP="00770C24">
      <w:pPr>
        <w:pStyle w:val="FootnoteText"/>
      </w:pPr>
      <w:r>
        <w:rPr>
          <w:rStyle w:val="FootnoteReference"/>
        </w:rPr>
        <w:footnoteRef/>
      </w:r>
      <w:r>
        <w:t xml:space="preserve"> </w:t>
      </w:r>
      <w:r>
        <w:tab/>
        <w:t>NER, clause 6.2.2(c)(5).</w:t>
      </w:r>
    </w:p>
  </w:footnote>
  <w:footnote w:id="102">
    <w:p w:rsidR="003434F8" w:rsidRDefault="003434F8" w:rsidP="00FF50D6">
      <w:pPr>
        <w:pStyle w:val="FootnoteText"/>
      </w:pPr>
      <w:r>
        <w:rPr>
          <w:rStyle w:val="FootnoteReference"/>
        </w:rPr>
        <w:footnoteRef/>
      </w:r>
      <w:r>
        <w:t xml:space="preserve"> </w:t>
      </w:r>
      <w:r>
        <w:tab/>
      </w:r>
      <w:r w:rsidRPr="009274DD">
        <w:t xml:space="preserve">AER, </w:t>
      </w:r>
      <w:r w:rsidRPr="003D332E">
        <w:rPr>
          <w:rStyle w:val="AERtextitalic"/>
        </w:rPr>
        <w:t xml:space="preserve">Framework and approach paper </w:t>
      </w:r>
      <w:r>
        <w:rPr>
          <w:rStyle w:val="AERtextitalic"/>
        </w:rPr>
        <w:t xml:space="preserve">for Victorian electricity distribution regulation </w:t>
      </w:r>
      <w:r>
        <w:rPr>
          <w:rStyle w:val="AERtextitalic"/>
          <w:rFonts w:cs="Gautami"/>
        </w:rPr>
        <w:t>–</w:t>
      </w:r>
      <w:r w:rsidRPr="003D332E">
        <w:rPr>
          <w:rStyle w:val="AERtextitalic"/>
        </w:rPr>
        <w:t xml:space="preserve"> </w:t>
      </w:r>
      <w:r>
        <w:rPr>
          <w:rStyle w:val="AERtextitalic"/>
        </w:rPr>
        <w:t>CitiPower, Jemena, Powercor, SP AusNet,</w:t>
      </w:r>
      <w:r w:rsidRPr="003D332E">
        <w:rPr>
          <w:rStyle w:val="AERtextitalic"/>
        </w:rPr>
        <w:t xml:space="preserve"> and </w:t>
      </w:r>
      <w:r>
        <w:rPr>
          <w:rStyle w:val="AERtextitalic"/>
        </w:rPr>
        <w:t>United Energy</w:t>
      </w:r>
      <w:r w:rsidRPr="009274DD">
        <w:t xml:space="preserve">, </w:t>
      </w:r>
      <w:r>
        <w:t>29 May</w:t>
      </w:r>
      <w:r w:rsidRPr="009274DD">
        <w:t xml:space="preserve"> </w:t>
      </w:r>
      <w:r w:rsidRPr="00FF50D6">
        <w:t xml:space="preserve">2009, </w:t>
      </w:r>
      <w:r w:rsidRPr="00FF50D6">
        <w:rPr>
          <w:rStyle w:val="AERtexthighlight"/>
          <w:shd w:val="clear" w:color="auto" w:fill="auto"/>
        </w:rPr>
        <w:t>p. 60</w:t>
      </w:r>
      <w:r w:rsidRPr="009274DD">
        <w:t>.</w:t>
      </w:r>
    </w:p>
  </w:footnote>
  <w:footnote w:id="103">
    <w:p w:rsidR="003434F8" w:rsidRDefault="003434F8" w:rsidP="00770C24">
      <w:pPr>
        <w:pStyle w:val="FootnoteText"/>
      </w:pPr>
      <w:r>
        <w:rPr>
          <w:rStyle w:val="FootnoteReference"/>
        </w:rPr>
        <w:footnoteRef/>
      </w:r>
      <w:r>
        <w:t xml:space="preserve"> </w:t>
      </w:r>
      <w:r>
        <w:tab/>
        <w:t>NEL, s. 2F(a).</w:t>
      </w:r>
    </w:p>
  </w:footnote>
  <w:footnote w:id="104">
    <w:p w:rsidR="003434F8" w:rsidRDefault="003434F8" w:rsidP="00770C24">
      <w:pPr>
        <w:pStyle w:val="FootnoteText"/>
      </w:pPr>
      <w:r>
        <w:rPr>
          <w:rStyle w:val="FootnoteReference"/>
        </w:rPr>
        <w:footnoteRef/>
      </w:r>
      <w:r>
        <w:t xml:space="preserve"> </w:t>
      </w:r>
      <w:r>
        <w:tab/>
        <w:t>NEL, s. 2F(d).</w:t>
      </w:r>
    </w:p>
  </w:footnote>
  <w:footnote w:id="105">
    <w:p w:rsidR="003434F8" w:rsidRDefault="003434F8" w:rsidP="00770C24">
      <w:pPr>
        <w:pStyle w:val="FootnoteText"/>
      </w:pPr>
      <w:r>
        <w:rPr>
          <w:rStyle w:val="FootnoteReference"/>
        </w:rPr>
        <w:footnoteRef/>
      </w:r>
      <w:r>
        <w:t xml:space="preserve"> </w:t>
      </w:r>
      <w:r>
        <w:tab/>
        <w:t>NEL, s. 2F(a)(d).</w:t>
      </w:r>
    </w:p>
  </w:footnote>
  <w:footnote w:id="106">
    <w:p w:rsidR="003434F8" w:rsidRDefault="003434F8" w:rsidP="00770C24">
      <w:pPr>
        <w:pStyle w:val="FootnoteText"/>
      </w:pPr>
      <w:r>
        <w:rPr>
          <w:rStyle w:val="FootnoteReference"/>
        </w:rPr>
        <w:footnoteRef/>
      </w:r>
      <w:r>
        <w:t xml:space="preserve"> </w:t>
      </w:r>
      <w:r>
        <w:tab/>
        <w:t>NER, clause 6.2.2(c)(5).</w:t>
      </w:r>
    </w:p>
  </w:footnote>
  <w:footnote w:id="107">
    <w:p w:rsidR="003434F8" w:rsidRDefault="003434F8" w:rsidP="00770C24">
      <w:pPr>
        <w:pStyle w:val="FootnoteText"/>
      </w:pPr>
      <w:r>
        <w:rPr>
          <w:rStyle w:val="FootnoteReference"/>
        </w:rPr>
        <w:footnoteRef/>
      </w:r>
      <w:r>
        <w:t xml:space="preserve"> </w:t>
      </w:r>
      <w:r>
        <w:tab/>
        <w:t>NER, clause 6.2.2(c)(2).</w:t>
      </w:r>
    </w:p>
  </w:footnote>
  <w:footnote w:id="108">
    <w:p w:rsidR="003434F8" w:rsidRDefault="003434F8" w:rsidP="00770C24">
      <w:pPr>
        <w:pStyle w:val="FootnoteText"/>
      </w:pPr>
      <w:r>
        <w:rPr>
          <w:rStyle w:val="FootnoteReference"/>
        </w:rPr>
        <w:footnoteRef/>
      </w:r>
      <w:r>
        <w:t xml:space="preserve"> </w:t>
      </w:r>
      <w:r>
        <w:tab/>
        <w:t>NER, clause 6.2.2(c)(5).</w:t>
      </w:r>
    </w:p>
  </w:footnote>
  <w:footnote w:id="109">
    <w:p w:rsidR="003434F8" w:rsidRDefault="003434F8">
      <w:pPr>
        <w:pStyle w:val="FootnoteText"/>
      </w:pPr>
      <w:r>
        <w:rPr>
          <w:rStyle w:val="FootnoteReference"/>
        </w:rPr>
        <w:footnoteRef/>
      </w:r>
      <w:r>
        <w:t xml:space="preserve"> </w:t>
      </w:r>
      <w:r>
        <w:tab/>
        <w:t>That is, they own the public lighting assets, which are separately recorded in a dedicated public lighting asset base.</w:t>
      </w:r>
    </w:p>
  </w:footnote>
  <w:footnote w:id="110">
    <w:p w:rsidR="003434F8" w:rsidRDefault="003434F8">
      <w:pPr>
        <w:pStyle w:val="FootnoteText"/>
      </w:pPr>
      <w:r>
        <w:rPr>
          <w:rStyle w:val="FootnoteReference"/>
        </w:rPr>
        <w:footnoteRef/>
      </w:r>
      <w:r>
        <w:t xml:space="preserve"> </w:t>
      </w:r>
      <w:r>
        <w:tab/>
        <w:t xml:space="preserve">See: </w:t>
      </w:r>
      <w:hyperlink r:id="rId7" w:history="1">
        <w:r w:rsidRPr="004F6B17">
          <w:rPr>
            <w:rStyle w:val="Hyperlink"/>
          </w:rPr>
          <w:t>http://www.esc.vic.gov.au/Energy/Distribution/RI_FinalPublicLightCodeFollow04ReviewNCM_Apr05</w:t>
        </w:r>
      </w:hyperlink>
      <w:r>
        <w:t xml:space="preserve"> </w:t>
      </w:r>
    </w:p>
  </w:footnote>
  <w:footnote w:id="111">
    <w:p w:rsidR="003434F8" w:rsidRDefault="003434F8" w:rsidP="00770C24">
      <w:pPr>
        <w:pStyle w:val="FootnoteText"/>
      </w:pPr>
      <w:r>
        <w:rPr>
          <w:rStyle w:val="FootnoteReference"/>
        </w:rPr>
        <w:footnoteRef/>
      </w:r>
      <w:r>
        <w:t xml:space="preserve"> </w:t>
      </w:r>
      <w:r>
        <w:tab/>
        <w:t xml:space="preserve">AER, </w:t>
      </w:r>
      <w:r w:rsidRPr="0037547B">
        <w:rPr>
          <w:rStyle w:val="AERtextitalic"/>
        </w:rPr>
        <w:t>Framework and approach paper for Victorian electricity distribution regulation</w:t>
      </w:r>
      <w:r>
        <w:rPr>
          <w:rStyle w:val="AERtextitalic"/>
        </w:rPr>
        <w:t xml:space="preserve"> – </w:t>
      </w:r>
      <w:r w:rsidRPr="0037547B">
        <w:rPr>
          <w:rStyle w:val="AERtextitalic"/>
        </w:rPr>
        <w:t>CitiPower, Powercor, Jemena, SP AusNet and United Energy for regulatory control period commencing 1 January 2010 (final)</w:t>
      </w:r>
      <w:r>
        <w:t xml:space="preserve">, May 2009, pp. 25–26; AER, </w:t>
      </w:r>
      <w:r w:rsidRPr="0037547B">
        <w:rPr>
          <w:rStyle w:val="AERtextitalic"/>
        </w:rPr>
        <w:t>Preliminary positions, Framework and approach paper for Aurora Energy Pty Ltd for regulatory control period commencing 1 July 2012</w:t>
      </w:r>
      <w:r>
        <w:t xml:space="preserve">, June 2010, p. 33.  </w:t>
      </w:r>
    </w:p>
  </w:footnote>
  <w:footnote w:id="112">
    <w:p w:rsidR="003434F8" w:rsidRDefault="003434F8" w:rsidP="00770C24">
      <w:pPr>
        <w:pStyle w:val="FootnoteText"/>
      </w:pPr>
      <w:r>
        <w:rPr>
          <w:rStyle w:val="FootnoteReference"/>
        </w:rPr>
        <w:footnoteRef/>
      </w:r>
      <w:r>
        <w:t xml:space="preserve"> </w:t>
      </w:r>
      <w:r>
        <w:tab/>
        <w:t>NEL, s. 2F(d).</w:t>
      </w:r>
    </w:p>
  </w:footnote>
  <w:footnote w:id="113">
    <w:p w:rsidR="003434F8" w:rsidRDefault="003434F8" w:rsidP="00770C24">
      <w:pPr>
        <w:pStyle w:val="FootnoteText"/>
      </w:pPr>
      <w:r>
        <w:rPr>
          <w:rStyle w:val="FootnoteReference"/>
        </w:rPr>
        <w:footnoteRef/>
      </w:r>
      <w:r>
        <w:t xml:space="preserve"> </w:t>
      </w:r>
      <w:r>
        <w:tab/>
        <w:t>NEL, s. 2F(a).</w:t>
      </w:r>
    </w:p>
  </w:footnote>
  <w:footnote w:id="114">
    <w:p w:rsidR="003434F8" w:rsidRDefault="003434F8" w:rsidP="00770C24">
      <w:pPr>
        <w:pStyle w:val="FootnoteText"/>
      </w:pPr>
      <w:r>
        <w:rPr>
          <w:rStyle w:val="FootnoteReference"/>
        </w:rPr>
        <w:footnoteRef/>
      </w:r>
      <w:r>
        <w:t xml:space="preserve"> </w:t>
      </w:r>
      <w:r>
        <w:tab/>
        <w:t>NEL, s. 2F(a)(d).</w:t>
      </w:r>
    </w:p>
  </w:footnote>
  <w:footnote w:id="115">
    <w:p w:rsidR="003434F8" w:rsidRDefault="003434F8" w:rsidP="00770C24">
      <w:pPr>
        <w:pStyle w:val="FootnoteText"/>
      </w:pPr>
      <w:r>
        <w:rPr>
          <w:rStyle w:val="FootnoteReference"/>
        </w:rPr>
        <w:footnoteRef/>
      </w:r>
      <w:r>
        <w:t xml:space="preserve"> </w:t>
      </w:r>
      <w:r>
        <w:tab/>
        <w:t>NER, clause 6.2.1.</w:t>
      </w:r>
    </w:p>
  </w:footnote>
  <w:footnote w:id="116">
    <w:p w:rsidR="003434F8" w:rsidRDefault="003434F8" w:rsidP="0053490C">
      <w:pPr>
        <w:pStyle w:val="FootnoteText"/>
      </w:pPr>
      <w:r>
        <w:rPr>
          <w:rStyle w:val="FootnoteReference"/>
        </w:rPr>
        <w:footnoteRef/>
      </w:r>
      <w:r>
        <w:t xml:space="preserve"> </w:t>
      </w:r>
      <w:r>
        <w:tab/>
        <w:t>NER, clause 6.2.2(c).</w:t>
      </w:r>
    </w:p>
  </w:footnote>
  <w:footnote w:id="117">
    <w:p w:rsidR="003434F8" w:rsidRDefault="003434F8" w:rsidP="0053490C">
      <w:pPr>
        <w:pStyle w:val="FootnoteText"/>
      </w:pPr>
      <w:r>
        <w:rPr>
          <w:rStyle w:val="FootnoteReference"/>
        </w:rPr>
        <w:footnoteRef/>
      </w:r>
      <w:r>
        <w:t xml:space="preserve"> </w:t>
      </w:r>
      <w:r>
        <w:tab/>
        <w:t>NER, clause 6.2.2(c)(1).</w:t>
      </w:r>
    </w:p>
  </w:footnote>
  <w:footnote w:id="118">
    <w:p w:rsidR="003434F8" w:rsidRDefault="003434F8" w:rsidP="0053490C">
      <w:pPr>
        <w:pStyle w:val="FootnoteText"/>
      </w:pPr>
      <w:r>
        <w:rPr>
          <w:rStyle w:val="FootnoteReference"/>
        </w:rPr>
        <w:footnoteRef/>
      </w:r>
      <w:r>
        <w:t xml:space="preserve"> </w:t>
      </w:r>
      <w:r>
        <w:tab/>
        <w:t>NER, clause 6.2.2(c)(2).</w:t>
      </w:r>
    </w:p>
  </w:footnote>
  <w:footnote w:id="119">
    <w:p w:rsidR="003434F8" w:rsidRDefault="003434F8" w:rsidP="0053490C">
      <w:pPr>
        <w:pStyle w:val="FootnoteText"/>
      </w:pPr>
      <w:r>
        <w:rPr>
          <w:rStyle w:val="FootnoteReference"/>
        </w:rPr>
        <w:footnoteRef/>
      </w:r>
      <w:r>
        <w:t xml:space="preserve"> </w:t>
      </w:r>
      <w:r>
        <w:tab/>
        <w:t>NER, clause 6.2.2(c)(3) and (5).</w:t>
      </w:r>
    </w:p>
  </w:footnote>
  <w:footnote w:id="120">
    <w:p w:rsidR="003434F8" w:rsidRDefault="003434F8" w:rsidP="00FA0F3B">
      <w:pPr>
        <w:pStyle w:val="FootnoteText"/>
      </w:pPr>
      <w:r>
        <w:rPr>
          <w:rStyle w:val="FootnoteReference"/>
        </w:rPr>
        <w:footnoteRef/>
      </w:r>
      <w:r>
        <w:t xml:space="preserve"> </w:t>
      </w:r>
      <w:r>
        <w:tab/>
        <w:t>NER, clause 6.12.3(c).</w:t>
      </w:r>
    </w:p>
  </w:footnote>
  <w:footnote w:id="121">
    <w:p w:rsidR="003434F8" w:rsidRDefault="003434F8" w:rsidP="00FA0F3B">
      <w:pPr>
        <w:pStyle w:val="FootnoteText"/>
      </w:pPr>
      <w:r>
        <w:rPr>
          <w:rStyle w:val="FootnoteReference"/>
        </w:rPr>
        <w:footnoteRef/>
      </w:r>
      <w:r>
        <w:t xml:space="preserve"> </w:t>
      </w:r>
      <w:r>
        <w:tab/>
        <w:t>NER, clause 6.12.3(c1).</w:t>
      </w:r>
    </w:p>
  </w:footnote>
  <w:footnote w:id="122">
    <w:p w:rsidR="003434F8" w:rsidRDefault="003434F8" w:rsidP="00FA0F3B">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6.2.5(b).</w:t>
      </w:r>
    </w:p>
  </w:footnote>
  <w:footnote w:id="123">
    <w:p w:rsidR="003434F8" w:rsidRDefault="003434F8" w:rsidP="00FA0F3B">
      <w:pPr>
        <w:pStyle w:val="FootnoteText"/>
      </w:pPr>
      <w:r>
        <w:rPr>
          <w:rStyle w:val="FootnoteReference"/>
        </w:rPr>
        <w:footnoteRef/>
      </w:r>
      <w:r>
        <w:t xml:space="preserve"> </w:t>
      </w:r>
      <w:r>
        <w:tab/>
      </w:r>
      <w:r w:rsidRPr="00ED31FB">
        <w:rPr>
          <w:rFonts w:eastAsia="Calibri"/>
        </w:rPr>
        <w:t>NER, cl</w:t>
      </w:r>
      <w:r>
        <w:rPr>
          <w:rFonts w:eastAsia="Calibri"/>
        </w:rPr>
        <w:t>ause</w:t>
      </w:r>
      <w:r w:rsidRPr="00ED31FB">
        <w:rPr>
          <w:rFonts w:eastAsia="Calibri"/>
        </w:rPr>
        <w:t xml:space="preserve"> 6.2.6(a).</w:t>
      </w:r>
    </w:p>
  </w:footnote>
  <w:footnote w:id="124">
    <w:p w:rsidR="003434F8" w:rsidRDefault="003434F8" w:rsidP="00FA0F3B">
      <w:pPr>
        <w:pStyle w:val="FootnoteText"/>
      </w:pPr>
      <w:r>
        <w:rPr>
          <w:rStyle w:val="FootnoteReference"/>
        </w:rPr>
        <w:footnoteRef/>
      </w:r>
      <w:r>
        <w:t xml:space="preserve"> </w:t>
      </w:r>
      <w:r>
        <w:tab/>
        <w:t>NER, clause 6.2.5(b).</w:t>
      </w:r>
    </w:p>
  </w:footnote>
  <w:footnote w:id="125">
    <w:p w:rsidR="003434F8" w:rsidRDefault="003434F8" w:rsidP="00FA0F3B">
      <w:pPr>
        <w:pStyle w:val="FootnoteText"/>
      </w:pPr>
      <w:r>
        <w:rPr>
          <w:rStyle w:val="FootnoteReference"/>
        </w:rPr>
        <w:footnoteRef/>
      </w:r>
      <w:r>
        <w:t xml:space="preserve"> </w:t>
      </w:r>
      <w:r>
        <w:tab/>
        <w:t>A p</w:t>
      </w:r>
      <w:r w:rsidRPr="00DE5253">
        <w:t xml:space="preserve">rice cap and </w:t>
      </w:r>
      <w:r>
        <w:t xml:space="preserve">a </w:t>
      </w:r>
      <w:r w:rsidRPr="00DE5253">
        <w:t xml:space="preserve">schedule of fixed prices are largely the same mechanism, with the only difference being that a price cap allows the </w:t>
      </w:r>
      <w:r>
        <w:t>distributor</w:t>
      </w:r>
      <w:r w:rsidRPr="00DE5253">
        <w:t xml:space="preserve">s to charge below the </w:t>
      </w:r>
      <w:r>
        <w:t xml:space="preserve">capped </w:t>
      </w:r>
      <w:r w:rsidRPr="00DE5253">
        <w:t>price on some or all of the services.</w:t>
      </w:r>
    </w:p>
  </w:footnote>
  <w:footnote w:id="126">
    <w:p w:rsidR="003434F8" w:rsidRDefault="003434F8" w:rsidP="00FA0F3B">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6.2.6(a).</w:t>
      </w:r>
    </w:p>
  </w:footnote>
  <w:footnote w:id="127">
    <w:p w:rsidR="003434F8" w:rsidRDefault="003434F8" w:rsidP="00FA0F3B">
      <w:pPr>
        <w:pStyle w:val="FootnoteText"/>
      </w:pPr>
      <w:r>
        <w:rPr>
          <w:rStyle w:val="FootnoteReference"/>
        </w:rPr>
        <w:footnoteRef/>
      </w:r>
      <w:r>
        <w:t xml:space="preserve"> </w:t>
      </w:r>
      <w:r>
        <w:tab/>
      </w:r>
      <w:r w:rsidRPr="00361283">
        <w:t xml:space="preserve">Allocative efficiency is achieved when the value consumers place on a good or service (reflected in the price they are willing to pay) equals the cost of the resources used up in production. </w:t>
      </w:r>
      <w:r>
        <w:t>The c</w:t>
      </w:r>
      <w:r w:rsidRPr="00361283">
        <w:t xml:space="preserve">ondition required is that price </w:t>
      </w:r>
      <w:r>
        <w:t>equals</w:t>
      </w:r>
      <w:r w:rsidRPr="00361283">
        <w:t xml:space="preserve"> marginal cost. When this condition is satisfied, total economic welfare is maximised</w:t>
      </w:r>
      <w:r>
        <w:t>.</w:t>
      </w:r>
    </w:p>
  </w:footnote>
  <w:footnote w:id="128">
    <w:p w:rsidR="003434F8" w:rsidRDefault="003434F8" w:rsidP="00FA0F3B">
      <w:pPr>
        <w:pStyle w:val="FootnoteText"/>
      </w:pPr>
      <w:r>
        <w:rPr>
          <w:rStyle w:val="FootnoteReference"/>
        </w:rPr>
        <w:footnoteRef/>
      </w:r>
      <w:r>
        <w:t xml:space="preserve"> </w:t>
      </w:r>
      <w:r>
        <w:tab/>
        <w:t>Generally p</w:t>
      </w:r>
      <w:r w:rsidRPr="009C517D">
        <w:t xml:space="preserve">eak demand is referred to as the maximum load on a section of the network over a very short time period.  </w:t>
      </w:r>
    </w:p>
  </w:footnote>
  <w:footnote w:id="129">
    <w:p w:rsidR="003434F8" w:rsidRDefault="003434F8" w:rsidP="00FA0F3B">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6.2.6(b).</w:t>
      </w:r>
    </w:p>
  </w:footnote>
  <w:footnote w:id="130">
    <w:p w:rsidR="003434F8" w:rsidRDefault="003434F8" w:rsidP="00FA0F3B">
      <w:pPr>
        <w:pStyle w:val="FootnoteText"/>
      </w:pPr>
      <w:r>
        <w:rPr>
          <w:rStyle w:val="FootnoteReference"/>
        </w:rPr>
        <w:footnoteRef/>
      </w:r>
      <w:r>
        <w:t xml:space="preserve"> </w:t>
      </w:r>
      <w:r>
        <w:tab/>
      </w:r>
      <w:r w:rsidRPr="00AF0D3A">
        <w:rPr>
          <w:rFonts w:eastAsia="Calibri"/>
        </w:rPr>
        <w:t>NER, cl</w:t>
      </w:r>
      <w:r>
        <w:rPr>
          <w:rFonts w:eastAsia="Calibri"/>
        </w:rPr>
        <w:t>ause</w:t>
      </w:r>
      <w:r w:rsidRPr="00AF0D3A">
        <w:rPr>
          <w:rFonts w:eastAsia="Calibri"/>
        </w:rPr>
        <w:t xml:space="preserve"> 6.2.6(c).</w:t>
      </w:r>
    </w:p>
  </w:footnote>
  <w:footnote w:id="131">
    <w:p w:rsidR="003434F8" w:rsidRDefault="003434F8" w:rsidP="00FA0F3B">
      <w:pPr>
        <w:pStyle w:val="FootnoteText"/>
      </w:pPr>
      <w:r>
        <w:rPr>
          <w:rStyle w:val="FootnoteReference"/>
        </w:rPr>
        <w:footnoteRef/>
      </w:r>
      <w:r>
        <w:t xml:space="preserve"> </w:t>
      </w:r>
      <w:r>
        <w:tab/>
        <w:t>Peak prices include peak energy, demand and capacity prices.</w:t>
      </w:r>
    </w:p>
  </w:footnote>
  <w:footnote w:id="132">
    <w:p w:rsidR="003434F8" w:rsidRDefault="003434F8">
      <w:pPr>
        <w:pStyle w:val="FootnoteText"/>
      </w:pPr>
      <w:r>
        <w:rPr>
          <w:rStyle w:val="FootnoteReference"/>
        </w:rPr>
        <w:footnoteRef/>
      </w:r>
      <w:r>
        <w:t xml:space="preserve"> </w:t>
      </w:r>
      <w:r>
        <w:tab/>
        <w:t xml:space="preserve">AER, </w:t>
      </w:r>
      <w:r w:rsidRPr="006D4728">
        <w:rPr>
          <w:rStyle w:val="AERtextitalic"/>
        </w:rPr>
        <w:t>Stage 1 NSW framework and approach Ausgrid, Endeavour Energy and Essential Energy, 1 July 2014–30 June 2019</w:t>
      </w:r>
      <w:r w:rsidRPr="006D4728">
        <w:t>, March 2013, p. 45</w:t>
      </w:r>
    </w:p>
  </w:footnote>
  <w:footnote w:id="133">
    <w:p w:rsidR="003434F8" w:rsidRDefault="003434F8" w:rsidP="00FA0F3B">
      <w:pPr>
        <w:pStyle w:val="FootnoteText"/>
      </w:pPr>
      <w:r>
        <w:rPr>
          <w:rStyle w:val="FootnoteReference"/>
        </w:rPr>
        <w:footnoteRef/>
      </w:r>
      <w:r>
        <w:t xml:space="preserve"> </w:t>
      </w:r>
      <w:r>
        <w:tab/>
        <w:t xml:space="preserve">AER, </w:t>
      </w:r>
      <w:r w:rsidRPr="006D4728">
        <w:rPr>
          <w:rStyle w:val="AERtextitalic"/>
        </w:rPr>
        <w:t>Stage 1 NSW framework and approach Ausgrid, Endeavour Energy and Essential Energy, 1 July 2014–30 June 2019</w:t>
      </w:r>
      <w:r w:rsidRPr="006D4728">
        <w:t>, March 2013, p. 45.</w:t>
      </w:r>
    </w:p>
  </w:footnote>
  <w:footnote w:id="134">
    <w:p w:rsidR="003434F8" w:rsidRDefault="003434F8">
      <w:pPr>
        <w:pStyle w:val="FootnoteText"/>
      </w:pPr>
      <w:r>
        <w:rPr>
          <w:rStyle w:val="FootnoteReference"/>
        </w:rPr>
        <w:footnoteRef/>
      </w:r>
      <w:r>
        <w:t xml:space="preserve"> </w:t>
      </w:r>
      <w:r>
        <w:tab/>
        <w:t>Letter to AER, CCP sub-panel3, 23 May 2014</w:t>
      </w:r>
    </w:p>
  </w:footnote>
  <w:footnote w:id="135">
    <w:p w:rsidR="003434F8" w:rsidRDefault="003434F8" w:rsidP="00FA0F3B">
      <w:pPr>
        <w:pStyle w:val="FootnoteText"/>
      </w:pPr>
      <w:r>
        <w:rPr>
          <w:rStyle w:val="FootnoteReference"/>
        </w:rPr>
        <w:footnoteRef/>
      </w:r>
      <w:r>
        <w:t xml:space="preserve"> </w:t>
      </w:r>
      <w:r>
        <w:tab/>
        <w:t xml:space="preserve">AER, </w:t>
      </w:r>
      <w:r w:rsidRPr="008A1CC0">
        <w:rPr>
          <w:rStyle w:val="AERtextitalic"/>
        </w:rPr>
        <w:t>Stage 1 Framework and approach, Ausgrid, Endeavour Energy and Essential Energy, 1 July 2014–30 June 2019</w:t>
      </w:r>
      <w:r>
        <w:t>, March 2013, p. 45.</w:t>
      </w:r>
    </w:p>
  </w:footnote>
  <w:footnote w:id="136">
    <w:p w:rsidR="003434F8" w:rsidRDefault="003434F8" w:rsidP="00FA0F3B">
      <w:pPr>
        <w:pStyle w:val="FootnoteText"/>
      </w:pPr>
      <w:r>
        <w:rPr>
          <w:rStyle w:val="FootnoteReference"/>
        </w:rPr>
        <w:footnoteRef/>
      </w:r>
      <w:r>
        <w:t xml:space="preserve"> </w:t>
      </w:r>
      <w:r>
        <w:tab/>
        <w:t>These</w:t>
      </w:r>
      <w:r w:rsidRPr="002C0566">
        <w:t xml:space="preserve"> includ</w:t>
      </w:r>
      <w:r>
        <w:t>e</w:t>
      </w:r>
      <w:r w:rsidRPr="002C0566">
        <w:t xml:space="preserve"> cost pass throughs, jurisdictional scheme obligations, tribunal decisions and transmission price</w:t>
      </w:r>
      <w:r>
        <w:t>s</w:t>
      </w:r>
      <w:r w:rsidRPr="002C0566">
        <w:t xml:space="preserve"> passed on to </w:t>
      </w:r>
      <w:r>
        <w:t>the distributor</w:t>
      </w:r>
      <w:r w:rsidRPr="002C0566">
        <w:t xml:space="preserve">s </w:t>
      </w:r>
      <w:r>
        <w:t>from</w:t>
      </w:r>
      <w:r w:rsidRPr="002C0566">
        <w:t xml:space="preserve"> T</w:t>
      </w:r>
      <w:r>
        <w:t xml:space="preserve">ransmission </w:t>
      </w:r>
      <w:r w:rsidRPr="002C0566">
        <w:t>N</w:t>
      </w:r>
      <w:r>
        <w:t xml:space="preserve">etwork </w:t>
      </w:r>
      <w:r w:rsidRPr="002C0566">
        <w:t>S</w:t>
      </w:r>
      <w:r>
        <w:t xml:space="preserve">ervice </w:t>
      </w:r>
      <w:r w:rsidRPr="002C0566">
        <w:t>P</w:t>
      </w:r>
      <w:r>
        <w:t>rovider</w:t>
      </w:r>
      <w:r w:rsidRPr="002C0566">
        <w:t>s</w:t>
      </w:r>
      <w:r>
        <w:t>.</w:t>
      </w:r>
    </w:p>
  </w:footnote>
  <w:footnote w:id="137">
    <w:p w:rsidR="003434F8" w:rsidRDefault="003434F8" w:rsidP="00FA0F3B">
      <w:pPr>
        <w:pStyle w:val="FootnoteText"/>
      </w:pPr>
      <w:r>
        <w:rPr>
          <w:rStyle w:val="FootnoteReference"/>
        </w:rPr>
        <w:footnoteRef/>
      </w:r>
      <w:r>
        <w:t xml:space="preserve"> </w:t>
      </w:r>
      <w:r>
        <w:tab/>
        <w:t xml:space="preserve">AER, </w:t>
      </w:r>
      <w:r w:rsidRPr="002C7C40">
        <w:rPr>
          <w:rStyle w:val="AERtextitalic"/>
        </w:rPr>
        <w:t>Final distribution determination, Aurora Energy Pty Ltd, 2012–13 to 2016–17, attachments</w:t>
      </w:r>
      <w:r>
        <w:t>, April 2012, pp. 2</w:t>
      </w:r>
      <w:r>
        <w:rPr>
          <w:rFonts w:cs="Gautami"/>
        </w:rPr>
        <w:t>–</w:t>
      </w:r>
      <w:r>
        <w:t>24.</w:t>
      </w:r>
    </w:p>
  </w:footnote>
  <w:footnote w:id="138">
    <w:p w:rsidR="003434F8" w:rsidRPr="009C0841" w:rsidRDefault="003434F8" w:rsidP="00FA0F3B">
      <w:pPr>
        <w:pStyle w:val="FootnoteText"/>
      </w:pPr>
      <w:r>
        <w:rPr>
          <w:rStyle w:val="FootnoteReference"/>
        </w:rPr>
        <w:footnoteRef/>
      </w:r>
      <w:r>
        <w:t xml:space="preserve"> </w:t>
      </w:r>
      <w:r>
        <w:tab/>
        <w:t xml:space="preserve">AER, </w:t>
      </w:r>
      <w:r w:rsidRPr="006B33B1">
        <w:rPr>
          <w:rStyle w:val="AERtextitalic"/>
        </w:rPr>
        <w:t>Final Distribution Determination Aurora Energy Pty Ltd 2012–13 to 2016–17</w:t>
      </w:r>
      <w:r w:rsidRPr="009C0841">
        <w:t>, pp. 20–23, April 2012.</w:t>
      </w:r>
    </w:p>
    <w:p w:rsidR="003434F8" w:rsidRDefault="003434F8" w:rsidP="00FA0F3B">
      <w:pPr>
        <w:pStyle w:val="FootnoteText"/>
      </w:pPr>
      <w:r w:rsidRPr="009C0841">
        <w:t xml:space="preserve"> </w:t>
      </w:r>
      <w:r w:rsidRPr="009C0841">
        <w:tab/>
        <w:t>This approach means that instead of waiting two years before incorporating the under or over recovery into prices, an estimate (based on nine months of data) used in the calculation of the under or over recovery. This will reduce the likelihood of undesirable price shocks by smoothing the under and over recovery using more updated and accurate estimated and forecast data in the middle year.</w:t>
      </w:r>
    </w:p>
  </w:footnote>
  <w:footnote w:id="139">
    <w:p w:rsidR="003434F8" w:rsidRDefault="003434F8" w:rsidP="00FA0F3B">
      <w:pPr>
        <w:pStyle w:val="FootnoteText"/>
      </w:pPr>
      <w:r>
        <w:rPr>
          <w:rStyle w:val="FootnoteReference"/>
        </w:rPr>
        <w:footnoteRef/>
      </w:r>
      <w:r>
        <w:t xml:space="preserve"> </w:t>
      </w:r>
      <w:r>
        <w:tab/>
        <w:t>Currently under revenue caps the X-factors perform an adjustment of prices from revenue year on year without taking into account forecasted changes in customer numbers, energy sales and demand.</w:t>
      </w:r>
    </w:p>
  </w:footnote>
  <w:footnote w:id="140">
    <w:p w:rsidR="003434F8" w:rsidRDefault="003434F8" w:rsidP="00FA0F3B">
      <w:pPr>
        <w:pStyle w:val="FootnoteText"/>
      </w:pPr>
      <w:r>
        <w:rPr>
          <w:rStyle w:val="FootnoteReference"/>
        </w:rPr>
        <w:footnoteRef/>
      </w:r>
      <w:r>
        <w:t xml:space="preserve"> </w:t>
      </w:r>
      <w:r>
        <w:tab/>
        <w:t xml:space="preserve">IPART, </w:t>
      </w:r>
      <w:r w:rsidRPr="00C24C4E">
        <w:rPr>
          <w:rStyle w:val="AERtextitalic"/>
        </w:rPr>
        <w:t>Form of Economic Regulation for NSW Electricity Network Charges: Discussion Paper 48</w:t>
      </w:r>
      <w:r>
        <w:t xml:space="preserve">, August 2001, p. 10. </w:t>
      </w:r>
    </w:p>
  </w:footnote>
  <w:footnote w:id="141">
    <w:p w:rsidR="003434F8" w:rsidRDefault="003434F8" w:rsidP="00FA0F3B">
      <w:pPr>
        <w:pStyle w:val="FootnoteText"/>
      </w:pPr>
      <w:r>
        <w:rPr>
          <w:rStyle w:val="FootnoteReference"/>
        </w:rPr>
        <w:footnoteRef/>
      </w:r>
      <w:r>
        <w:t xml:space="preserve"> </w:t>
      </w:r>
      <w:r>
        <w:tab/>
        <w:t xml:space="preserve">QCA, </w:t>
      </w:r>
      <w:r w:rsidRPr="0093794D">
        <w:rPr>
          <w:rStyle w:val="AERtextitalic"/>
        </w:rPr>
        <w:t>Final Determination – Regulation of Electricity Distribution</w:t>
      </w:r>
      <w:r>
        <w:t>, May 2005, p. 30; OTTER,</w:t>
      </w:r>
      <w:r w:rsidRPr="00676B9C">
        <w:t xml:space="preserve"> </w:t>
      </w:r>
      <w:r w:rsidRPr="0093794D">
        <w:rPr>
          <w:rStyle w:val="AERtextitalic"/>
        </w:rPr>
        <w:t>Investigation of Prices for Electricity Distribution Services and Retail Tariffs on Mainland Tasmania Final Report and Proposed Maximum Prices</w:t>
      </w:r>
      <w:r w:rsidRPr="00676B9C">
        <w:t>, September 2003, p. 99.</w:t>
      </w:r>
    </w:p>
  </w:footnote>
  <w:footnote w:id="142">
    <w:p w:rsidR="003434F8" w:rsidRDefault="003434F8" w:rsidP="00FA0F3B">
      <w:pPr>
        <w:pStyle w:val="FootnoteText"/>
      </w:pPr>
      <w:r>
        <w:rPr>
          <w:rStyle w:val="FootnoteReference"/>
        </w:rPr>
        <w:footnoteRef/>
      </w:r>
      <w:r>
        <w:t xml:space="preserve"> </w:t>
      </w:r>
      <w:r>
        <w:tab/>
        <w:t>NER, clause 6.8.1(b)(2)(ii).</w:t>
      </w:r>
    </w:p>
  </w:footnote>
  <w:footnote w:id="143">
    <w:p w:rsidR="003434F8" w:rsidRDefault="003434F8" w:rsidP="00FA0F3B">
      <w:pPr>
        <w:pStyle w:val="FootnoteText"/>
      </w:pPr>
      <w:r>
        <w:rPr>
          <w:rStyle w:val="FootnoteReference"/>
        </w:rPr>
        <w:footnoteRef/>
      </w:r>
      <w:r>
        <w:t xml:space="preserve"> </w:t>
      </w:r>
      <w:r>
        <w:tab/>
        <w:t>NER, clause 6.12.3(c1).</w:t>
      </w:r>
    </w:p>
  </w:footnote>
  <w:footnote w:id="144">
    <w:p w:rsidR="003434F8" w:rsidRPr="003434F8" w:rsidRDefault="003434F8" w:rsidP="003434F8">
      <w:pPr>
        <w:pStyle w:val="FootnoteText"/>
        <w:rPr>
          <w:rStyle w:val="AERtexthighlight"/>
          <w:shd w:val="clear" w:color="auto" w:fill="auto"/>
        </w:rPr>
      </w:pPr>
      <w:r w:rsidRPr="003434F8">
        <w:rPr>
          <w:rStyle w:val="AERsuperscript"/>
        </w:rPr>
        <w:footnoteRef/>
      </w:r>
      <w:r w:rsidRPr="003434F8">
        <w:rPr>
          <w:rStyle w:val="AERtexthighlight"/>
          <w:shd w:val="clear" w:color="auto" w:fill="auto"/>
        </w:rPr>
        <w:t xml:space="preserve"> </w:t>
      </w:r>
      <w:r w:rsidRPr="003434F8">
        <w:rPr>
          <w:rStyle w:val="AERtexthighlight"/>
          <w:shd w:val="clear" w:color="auto" w:fill="auto"/>
        </w:rPr>
        <w:tab/>
        <w:t>In Victoria, the transitional period is the period between the initial determination and the substitute determination.</w:t>
      </w:r>
    </w:p>
  </w:footnote>
  <w:footnote w:id="145">
    <w:p w:rsidR="003434F8" w:rsidRDefault="003434F8" w:rsidP="00FA0F3B">
      <w:pPr>
        <w:pStyle w:val="FootnoteText"/>
      </w:pPr>
      <w:r>
        <w:rPr>
          <w:rStyle w:val="FootnoteReference"/>
        </w:rPr>
        <w:footnoteRef/>
      </w:r>
      <w:r>
        <w:t xml:space="preserve"> </w:t>
      </w:r>
      <w:r>
        <w:tab/>
        <w:t xml:space="preserve">The basis of the control mechanism is the method used to calculate the revenue to be recovered or prices to be set for a group of services. Clause 6.2.6(b) of the rules states that for alternative control services, the control mechanism must have a basis stated in the distribution determination. We are able to apply a control mechanism to a distributor's alternative control services as set out under chapter 6, Part C of the rules. This involves applying the building block approach, although we may only apply certain elements of the building block approach. Alternatively, we may implement a control mechanism that does not use the building block approach. </w:t>
      </w:r>
    </w:p>
  </w:footnote>
  <w:footnote w:id="146">
    <w:p w:rsidR="003434F8" w:rsidRDefault="003434F8" w:rsidP="00FA0F3B">
      <w:pPr>
        <w:pStyle w:val="FootnoteText"/>
      </w:pPr>
      <w:r>
        <w:rPr>
          <w:rStyle w:val="FootnoteReference"/>
        </w:rPr>
        <w:footnoteRef/>
      </w:r>
      <w:r>
        <w:t xml:space="preserve"> </w:t>
      </w:r>
      <w:r>
        <w:tab/>
        <w:t>NER, clause 6.8.1(b)(2)(ii).</w:t>
      </w:r>
    </w:p>
  </w:footnote>
  <w:footnote w:id="147">
    <w:p w:rsidR="003434F8" w:rsidRDefault="003434F8" w:rsidP="00FA0F3B">
      <w:pPr>
        <w:pStyle w:val="FootnoteText"/>
      </w:pPr>
      <w:r>
        <w:rPr>
          <w:rStyle w:val="FootnoteReference"/>
        </w:rPr>
        <w:footnoteRef/>
      </w:r>
      <w:r>
        <w:t xml:space="preserve"> </w:t>
      </w:r>
      <w:r>
        <w:tab/>
        <w:t>NER, clause 6.12.3(c1).</w:t>
      </w:r>
    </w:p>
  </w:footnote>
  <w:footnote w:id="148">
    <w:p w:rsidR="003434F8" w:rsidRDefault="003434F8" w:rsidP="00E666C2">
      <w:pPr>
        <w:pStyle w:val="FootnoteText"/>
      </w:pPr>
      <w:r>
        <w:rPr>
          <w:rStyle w:val="FootnoteReference"/>
        </w:rPr>
        <w:footnoteRef/>
      </w:r>
      <w:r>
        <w:t xml:space="preserve"> </w:t>
      </w:r>
      <w:r>
        <w:tab/>
        <w:t xml:space="preserve">AER, </w:t>
      </w:r>
      <w:r w:rsidRPr="0017555B">
        <w:rPr>
          <w:rStyle w:val="AERtextitalic"/>
        </w:rPr>
        <w:t>Electricity distribution network service providers</w:t>
      </w:r>
      <w:r>
        <w:rPr>
          <w:rStyle w:val="AERtextitalic"/>
        </w:rPr>
        <w:t xml:space="preserve"> -</w:t>
      </w:r>
      <w:r w:rsidRPr="0017555B">
        <w:rPr>
          <w:rStyle w:val="AERtextitalic"/>
        </w:rPr>
        <w:t xml:space="preserve"> </w:t>
      </w:r>
      <w:r>
        <w:rPr>
          <w:rStyle w:val="AERtextitalic"/>
        </w:rPr>
        <w:t>s</w:t>
      </w:r>
      <w:r w:rsidRPr="0017555B">
        <w:rPr>
          <w:rStyle w:val="AERtextitalic"/>
        </w:rPr>
        <w:t>ervice target performance incentive scheme</w:t>
      </w:r>
      <w:r>
        <w:t xml:space="preserve">, 1 </w:t>
      </w:r>
      <w:r w:rsidRPr="000F2888">
        <w:t>November 2009</w:t>
      </w:r>
      <w:r>
        <w:t>.</w:t>
      </w:r>
    </w:p>
  </w:footnote>
  <w:footnote w:id="149">
    <w:p w:rsidR="003434F8" w:rsidRDefault="003434F8" w:rsidP="00E666C2">
      <w:pPr>
        <w:pStyle w:val="FootnoteText"/>
      </w:pPr>
      <w:r>
        <w:rPr>
          <w:rStyle w:val="FootnoteReference"/>
        </w:rPr>
        <w:footnoteRef/>
      </w:r>
      <w:r>
        <w:t xml:space="preserve"> </w:t>
      </w:r>
      <w:r>
        <w:tab/>
        <w:t xml:space="preserve">Except where a jurisdictional electricity GSL requirement applies. </w:t>
      </w:r>
    </w:p>
  </w:footnote>
  <w:footnote w:id="150">
    <w:p w:rsidR="003434F8" w:rsidRDefault="003434F8" w:rsidP="00E666C2">
      <w:pPr>
        <w:pStyle w:val="FootnoteText"/>
      </w:pPr>
      <w:r>
        <w:rPr>
          <w:rStyle w:val="FootnoteReference"/>
        </w:rPr>
        <w:footnoteRef/>
      </w:r>
      <w:r>
        <w:t xml:space="preserve"> </w:t>
      </w:r>
      <w:r>
        <w:tab/>
        <w:t xml:space="preserve">Service level is assessed (unless we determine otherwise) with respect to parameters pertaining to the frequency and duration of interruptions; and time taken for streetlight repair, new connections and publication of notices for planned interruptions. </w:t>
      </w:r>
    </w:p>
  </w:footnote>
  <w:footnote w:id="151">
    <w:p w:rsidR="003434F8" w:rsidRDefault="003434F8" w:rsidP="00E666C2">
      <w:pPr>
        <w:pStyle w:val="FootnoteText"/>
      </w:pPr>
      <w:r>
        <w:rPr>
          <w:rStyle w:val="FootnoteReference"/>
        </w:rPr>
        <w:footnoteRef/>
      </w:r>
      <w:r>
        <w:t xml:space="preserve"> </w:t>
      </w:r>
      <w:r>
        <w:tab/>
      </w:r>
      <w:r w:rsidRPr="00F02FAF">
        <w:t xml:space="preserve">AER, </w:t>
      </w:r>
      <w:r w:rsidRPr="00D50CAB">
        <w:rPr>
          <w:rStyle w:val="AERtextitalic"/>
        </w:rPr>
        <w:t xml:space="preserve">Electricity distribution network service providers </w:t>
      </w:r>
      <w:r>
        <w:rPr>
          <w:rStyle w:val="AERtextitalic"/>
          <w:rFonts w:cs="Gautami"/>
        </w:rPr>
        <w:t>–</w:t>
      </w:r>
      <w:r w:rsidRPr="00D50CAB">
        <w:rPr>
          <w:rStyle w:val="AERtextitalic"/>
        </w:rPr>
        <w:t xml:space="preserve"> service target performance incentive scheme</w:t>
      </w:r>
      <w:r w:rsidRPr="00F02FAF">
        <w:t>, 1 November 2009</w:t>
      </w:r>
      <w:r>
        <w:t xml:space="preserve">, </w:t>
      </w:r>
      <w:r w:rsidRPr="00A01C76">
        <w:t>cl</w:t>
      </w:r>
      <w:r>
        <w:t>ause</w:t>
      </w:r>
      <w:r w:rsidRPr="00A01C76">
        <w:t xml:space="preserve"> 2.2</w:t>
      </w:r>
      <w:r>
        <w:t xml:space="preserve">. </w:t>
      </w:r>
    </w:p>
  </w:footnote>
  <w:footnote w:id="152">
    <w:p w:rsidR="003434F8" w:rsidRDefault="003434F8" w:rsidP="00E666C2">
      <w:pPr>
        <w:pStyle w:val="FootnoteText"/>
      </w:pPr>
      <w:r>
        <w:rPr>
          <w:rStyle w:val="FootnoteReference"/>
        </w:rPr>
        <w:footnoteRef/>
      </w:r>
      <w:r>
        <w:t xml:space="preserve"> </w:t>
      </w:r>
      <w:r>
        <w:tab/>
      </w:r>
      <w:r w:rsidRPr="00F02FAF">
        <w:t xml:space="preserve">AER, </w:t>
      </w:r>
      <w:r w:rsidRPr="00D50CAB">
        <w:rPr>
          <w:rStyle w:val="AERtextitalic"/>
        </w:rPr>
        <w:t xml:space="preserve">Electricity distribution network service providers </w:t>
      </w:r>
      <w:r>
        <w:rPr>
          <w:rStyle w:val="AERtextitalic"/>
          <w:rFonts w:cs="Gautami"/>
        </w:rPr>
        <w:t>–</w:t>
      </w:r>
      <w:r>
        <w:rPr>
          <w:rStyle w:val="AERtextitalic"/>
        </w:rPr>
        <w:t xml:space="preserve"> </w:t>
      </w:r>
      <w:r w:rsidRPr="00D50CAB">
        <w:rPr>
          <w:rStyle w:val="AERtextitalic"/>
        </w:rPr>
        <w:t>service target performance incentive scheme</w:t>
      </w:r>
      <w:r w:rsidRPr="00F02FAF">
        <w:t>, 1 November 2009, c</w:t>
      </w:r>
      <w:r>
        <w:t>lauses</w:t>
      </w:r>
      <w:r w:rsidRPr="00F02FAF">
        <w:t xml:space="preserve"> 2.</w:t>
      </w:r>
      <w:r>
        <w:t>5</w:t>
      </w:r>
      <w:r w:rsidRPr="00A01C76">
        <w:t>(d)</w:t>
      </w:r>
      <w:r>
        <w:t xml:space="preserve"> and </w:t>
      </w:r>
      <w:r w:rsidRPr="00A01C76">
        <w:t>(e)</w:t>
      </w:r>
      <w:r>
        <w:t>.</w:t>
      </w:r>
    </w:p>
  </w:footnote>
  <w:footnote w:id="153">
    <w:p w:rsidR="003434F8" w:rsidRDefault="003434F8" w:rsidP="00E666C2">
      <w:pPr>
        <w:pStyle w:val="FootnoteText"/>
      </w:pPr>
      <w:r>
        <w:rPr>
          <w:rStyle w:val="FootnoteReference"/>
        </w:rPr>
        <w:footnoteRef/>
      </w:r>
      <w:r>
        <w:t xml:space="preserve"> </w:t>
      </w:r>
      <w:r>
        <w:tab/>
        <w:t xml:space="preserve">Essential Services Commission of Victoria, </w:t>
      </w:r>
      <w:r>
        <w:rPr>
          <w:rStyle w:val="AERtextitalic"/>
        </w:rPr>
        <w:t>Electricity Distribution Code</w:t>
      </w:r>
      <w:r w:rsidRPr="00D0041C">
        <w:rPr>
          <w:rStyle w:val="AERtextitalic"/>
        </w:rPr>
        <w:t>,</w:t>
      </w:r>
      <w:r>
        <w:t xml:space="preserve"> version 7, May 2012, p. 19; Essential Services Commission of Victoria, </w:t>
      </w:r>
      <w:r>
        <w:rPr>
          <w:rStyle w:val="AERtextitalic"/>
        </w:rPr>
        <w:t>Public Lighting Code</w:t>
      </w:r>
      <w:r w:rsidRPr="00D0041C">
        <w:rPr>
          <w:rStyle w:val="AERtextitalic"/>
        </w:rPr>
        <w:t>,</w:t>
      </w:r>
      <w:r>
        <w:t xml:space="preserve"> April 2005, p. 3. </w:t>
      </w:r>
    </w:p>
  </w:footnote>
  <w:footnote w:id="154">
    <w:p w:rsidR="003434F8" w:rsidRDefault="003434F8">
      <w:pPr>
        <w:pStyle w:val="FootnoteText"/>
      </w:pPr>
      <w:r>
        <w:rPr>
          <w:rStyle w:val="FootnoteReference"/>
        </w:rPr>
        <w:footnoteRef/>
      </w:r>
      <w:r>
        <w:t xml:space="preserve"> </w:t>
      </w:r>
      <w:r>
        <w:tab/>
        <w:t xml:space="preserve">AEMC, </w:t>
      </w:r>
      <w:r w:rsidRPr="00385A87">
        <w:rPr>
          <w:rStyle w:val="AERtextitalic"/>
        </w:rPr>
        <w:t>Advice on linking the reliability standard and reliability settings with VCR</w:t>
      </w:r>
      <w:r>
        <w:t xml:space="preserve">, 29 October 2013. See: </w:t>
      </w:r>
      <w:r w:rsidRPr="00385A87">
        <w:t>www.aemc.gov.au/Market-Reviews/Open/advice-on-linking-the-reliability-standard-and-reliability-settings-with-vcr.html</w:t>
      </w:r>
    </w:p>
  </w:footnote>
  <w:footnote w:id="155">
    <w:p w:rsidR="003434F8" w:rsidRDefault="003434F8" w:rsidP="00E666C2">
      <w:pPr>
        <w:pStyle w:val="FootnoteText"/>
      </w:pPr>
      <w:r>
        <w:rPr>
          <w:rStyle w:val="FootnoteReference"/>
        </w:rPr>
        <w:footnoteRef/>
      </w:r>
      <w:r>
        <w:t xml:space="preserve"> </w:t>
      </w:r>
      <w:r>
        <w:tab/>
        <w:t xml:space="preserve">AEMC, </w:t>
      </w:r>
      <w:r w:rsidRPr="00D0041C">
        <w:rPr>
          <w:rStyle w:val="AERtextitalic"/>
        </w:rPr>
        <w:t>Review on national framework for distribution reliability</w:t>
      </w:r>
      <w:r>
        <w:t>, 27 September 2013.</w:t>
      </w:r>
    </w:p>
  </w:footnote>
  <w:footnote w:id="156">
    <w:p w:rsidR="003434F8" w:rsidRDefault="003434F8" w:rsidP="00277510">
      <w:pPr>
        <w:pStyle w:val="FootnoteText"/>
      </w:pPr>
      <w:r>
        <w:rPr>
          <w:rStyle w:val="FootnoteReference"/>
        </w:rPr>
        <w:footnoteRef/>
      </w:r>
      <w:r>
        <w:t xml:space="preserve"> </w:t>
      </w:r>
      <w:r>
        <w:tab/>
        <w:t xml:space="preserve">AEMC, </w:t>
      </w:r>
      <w:r>
        <w:rPr>
          <w:rStyle w:val="AERtextitalic"/>
        </w:rPr>
        <w:t>Network reliability requirements - developing values of customer reliability</w:t>
      </w:r>
      <w:r>
        <w:t>, letter from SCER to AEMC (terms of reference), 21 January 2014.</w:t>
      </w:r>
    </w:p>
  </w:footnote>
  <w:footnote w:id="157">
    <w:p w:rsidR="003434F8" w:rsidRDefault="003434F8" w:rsidP="00E666C2">
      <w:pPr>
        <w:pStyle w:val="FootnoteText"/>
      </w:pPr>
      <w:r>
        <w:rPr>
          <w:rStyle w:val="FootnoteReference"/>
        </w:rPr>
        <w:footnoteRef/>
      </w:r>
      <w:r>
        <w:t xml:space="preserve"> </w:t>
      </w:r>
      <w:r>
        <w:tab/>
        <w:t xml:space="preserve">AEMO, </w:t>
      </w:r>
      <w:r w:rsidRPr="00D11F59">
        <w:rPr>
          <w:rStyle w:val="AERtextitalic"/>
        </w:rPr>
        <w:t>Value of customer reliability issues paper</w:t>
      </w:r>
      <w:r>
        <w:t xml:space="preserve">, 11 March 2013; AEMC, </w:t>
      </w:r>
      <w:r w:rsidRPr="00D11F59">
        <w:rPr>
          <w:rStyle w:val="AERtextitalic"/>
        </w:rPr>
        <w:t>Advice on linking the reliability standard and reliability settings with VCR</w:t>
      </w:r>
      <w:r>
        <w:t>, October 2013.</w:t>
      </w:r>
    </w:p>
  </w:footnote>
  <w:footnote w:id="158">
    <w:p w:rsidR="003434F8" w:rsidRDefault="003434F8" w:rsidP="00E666C2">
      <w:pPr>
        <w:pStyle w:val="FootnoteText"/>
      </w:pPr>
      <w:r>
        <w:rPr>
          <w:rStyle w:val="FootnoteReference"/>
        </w:rPr>
        <w:footnoteRef/>
      </w:r>
      <w:r>
        <w:t xml:space="preserve"> </w:t>
      </w:r>
      <w:r>
        <w:tab/>
        <w:t>NER, clause 6.6.2(b).</w:t>
      </w:r>
    </w:p>
  </w:footnote>
  <w:footnote w:id="159">
    <w:p w:rsidR="003434F8" w:rsidRDefault="003434F8" w:rsidP="00E666C2">
      <w:pPr>
        <w:pStyle w:val="FootnoteText"/>
      </w:pPr>
      <w:r>
        <w:rPr>
          <w:rStyle w:val="FootnoteReference"/>
        </w:rPr>
        <w:footnoteRef/>
      </w:r>
      <w:r>
        <w:t xml:space="preserve"> </w:t>
      </w:r>
      <w:r>
        <w:tab/>
        <w:t xml:space="preserve">AER, </w:t>
      </w:r>
      <w:r w:rsidRPr="0017555B">
        <w:rPr>
          <w:rStyle w:val="AERtextitalic"/>
        </w:rPr>
        <w:t>Final decision: Electricity distribution network service providers Service target performance incentive scheme</w:t>
      </w:r>
      <w:r>
        <w:t xml:space="preserve">, 1 </w:t>
      </w:r>
      <w:r w:rsidRPr="000F2888">
        <w:t>November 2009</w:t>
      </w:r>
      <w:r>
        <w:t>.</w:t>
      </w:r>
    </w:p>
  </w:footnote>
  <w:footnote w:id="160">
    <w:p w:rsidR="003434F8" w:rsidRDefault="003434F8" w:rsidP="007B0521">
      <w:pPr>
        <w:pStyle w:val="FootnoteText"/>
      </w:pPr>
      <w:r>
        <w:rPr>
          <w:rStyle w:val="FootnoteReference"/>
        </w:rPr>
        <w:footnoteRef/>
      </w:r>
      <w:r>
        <w:t xml:space="preserve"> </w:t>
      </w:r>
      <w:r>
        <w:tab/>
        <w:t xml:space="preserve">Essential Services Commission of Victoria, </w:t>
      </w:r>
      <w:r>
        <w:rPr>
          <w:rStyle w:val="AERtextitalic"/>
        </w:rPr>
        <w:t>Electricity Distribution Code</w:t>
      </w:r>
      <w:r w:rsidRPr="00D0041C">
        <w:rPr>
          <w:rStyle w:val="AERtextitalic"/>
        </w:rPr>
        <w:t>,</w:t>
      </w:r>
      <w:r>
        <w:t xml:space="preserve"> version 7, May 2012, p. 19; Essential Services Commission of Victoria, </w:t>
      </w:r>
      <w:r>
        <w:rPr>
          <w:rStyle w:val="AERtextitalic"/>
        </w:rPr>
        <w:t>Public Lighting Code</w:t>
      </w:r>
      <w:r w:rsidRPr="00D0041C">
        <w:rPr>
          <w:rStyle w:val="AERtextitalic"/>
        </w:rPr>
        <w:t>,</w:t>
      </w:r>
      <w:r>
        <w:t xml:space="preserve"> April 2005, p. 3. </w:t>
      </w:r>
    </w:p>
  </w:footnote>
  <w:footnote w:id="161">
    <w:p w:rsidR="003434F8" w:rsidRDefault="003434F8" w:rsidP="00E666C2">
      <w:pPr>
        <w:pStyle w:val="FootnoteText"/>
      </w:pPr>
      <w:r>
        <w:rPr>
          <w:rStyle w:val="FootnoteReference"/>
        </w:rPr>
        <w:footnoteRef/>
      </w:r>
      <w:r>
        <w:t xml:space="preserve"> </w:t>
      </w:r>
      <w:r>
        <w:tab/>
        <w:t xml:space="preserve">NER, clause 6.6.2(b)(3)(vi). </w:t>
      </w:r>
    </w:p>
  </w:footnote>
  <w:footnote w:id="162">
    <w:p w:rsidR="003434F8" w:rsidRDefault="003434F8" w:rsidP="00E666C2">
      <w:pPr>
        <w:pStyle w:val="FootnoteText"/>
      </w:pPr>
      <w:r>
        <w:rPr>
          <w:rStyle w:val="FootnoteReference"/>
        </w:rPr>
        <w:footnoteRef/>
      </w:r>
      <w:r>
        <w:t xml:space="preserve"> </w:t>
      </w:r>
      <w:r>
        <w:tab/>
        <w:t xml:space="preserve">Charles River Associates, </w:t>
      </w:r>
      <w:r w:rsidRPr="00041A18">
        <w:rPr>
          <w:rStyle w:val="AERtextitalic"/>
        </w:rPr>
        <w:t>Assessment of the Value of Consumer Reliability (VCR)</w:t>
      </w:r>
      <w:r>
        <w:t xml:space="preserve"> - Report prepared for VENCorp, Melbourne 2002; KPMG, </w:t>
      </w:r>
      <w:r w:rsidRPr="00041A18">
        <w:rPr>
          <w:rStyle w:val="AERtextitalic"/>
        </w:rPr>
        <w:t>Consumer Preferences for Electricity Service Standards</w:t>
      </w:r>
      <w:r>
        <w:t>, 2003.</w:t>
      </w:r>
    </w:p>
  </w:footnote>
  <w:footnote w:id="163">
    <w:p w:rsidR="003434F8" w:rsidRDefault="003434F8" w:rsidP="00E666C2">
      <w:pPr>
        <w:pStyle w:val="FootnoteText"/>
      </w:pPr>
      <w:r>
        <w:rPr>
          <w:rStyle w:val="FootnoteReference"/>
        </w:rPr>
        <w:footnoteRef/>
      </w:r>
      <w:r>
        <w:t xml:space="preserve"> </w:t>
      </w:r>
      <w:r>
        <w:tab/>
        <w:t xml:space="preserve">AEMC, </w:t>
      </w:r>
      <w:r w:rsidRPr="009E6DD2">
        <w:rPr>
          <w:rStyle w:val="AERtextitalic"/>
        </w:rPr>
        <w:t>Draft report: Review of distribution reliability outcomes and standards</w:t>
      </w:r>
      <w:r>
        <w:t>, 28 November 2012.</w:t>
      </w:r>
    </w:p>
  </w:footnote>
  <w:footnote w:id="164">
    <w:p w:rsidR="003434F8" w:rsidRDefault="003434F8" w:rsidP="00E666C2">
      <w:pPr>
        <w:pStyle w:val="FootnoteText"/>
      </w:pPr>
      <w:r>
        <w:rPr>
          <w:rStyle w:val="FootnoteReference"/>
        </w:rPr>
        <w:footnoteRef/>
      </w:r>
      <w:r>
        <w:t xml:space="preserve"> </w:t>
      </w:r>
      <w:r>
        <w:tab/>
        <w:t xml:space="preserve">NER, Part G. </w:t>
      </w:r>
    </w:p>
  </w:footnote>
  <w:footnote w:id="165">
    <w:p w:rsidR="003434F8" w:rsidRDefault="003434F8" w:rsidP="00E666C2">
      <w:pPr>
        <w:pStyle w:val="FootnoteText"/>
      </w:pPr>
      <w:r>
        <w:rPr>
          <w:rStyle w:val="FootnoteReference"/>
        </w:rPr>
        <w:footnoteRef/>
      </w:r>
      <w:r>
        <w:t xml:space="preserve"> </w:t>
      </w:r>
      <w:r>
        <w:tab/>
        <w:t>NER, clause 6.6.2(b)(3)(iii).</w:t>
      </w:r>
    </w:p>
  </w:footnote>
  <w:footnote w:id="166">
    <w:p w:rsidR="003434F8" w:rsidRDefault="003434F8" w:rsidP="00E666C2">
      <w:pPr>
        <w:pStyle w:val="FootnoteText"/>
      </w:pPr>
      <w:r>
        <w:rPr>
          <w:rStyle w:val="FootnoteReference"/>
        </w:rPr>
        <w:footnoteRef/>
      </w:r>
      <w:r>
        <w:t xml:space="preserve"> </w:t>
      </w:r>
      <w:r>
        <w:tab/>
        <w:t>S</w:t>
      </w:r>
      <w:r w:rsidRPr="009A4F34">
        <w:t>ubject to</w:t>
      </w:r>
      <w:r>
        <w:t xml:space="preserve"> any</w:t>
      </w:r>
      <w:r w:rsidRPr="009A4F34">
        <w:t xml:space="preserve"> modifications required under clauses 3.2.1(a) and (b) of the national STPIS.</w:t>
      </w:r>
    </w:p>
  </w:footnote>
  <w:footnote w:id="167">
    <w:p w:rsidR="003434F8" w:rsidRDefault="003434F8" w:rsidP="00E666C2">
      <w:pPr>
        <w:pStyle w:val="FootnoteText"/>
      </w:pPr>
      <w:r>
        <w:rPr>
          <w:rStyle w:val="FootnoteReference"/>
        </w:rPr>
        <w:footnoteRef/>
      </w:r>
      <w:r>
        <w:t xml:space="preserve"> </w:t>
      </w:r>
      <w:r>
        <w:tab/>
        <w:t>NER, clause 6.6.2(b)(3)(iv).</w:t>
      </w:r>
    </w:p>
  </w:footnote>
  <w:footnote w:id="168">
    <w:p w:rsidR="003434F8" w:rsidRDefault="003434F8" w:rsidP="00E666C2">
      <w:pPr>
        <w:pStyle w:val="FootnoteText"/>
      </w:pPr>
      <w:r>
        <w:rPr>
          <w:rStyle w:val="FootnoteReference"/>
        </w:rPr>
        <w:footnoteRef/>
      </w:r>
      <w:r>
        <w:t xml:space="preserve"> </w:t>
      </w:r>
      <w:r>
        <w:tab/>
        <w:t>NER, clause 6.6.2(b)(3)(v).</w:t>
      </w:r>
    </w:p>
  </w:footnote>
  <w:footnote w:id="169">
    <w:p w:rsidR="003434F8" w:rsidRDefault="003434F8" w:rsidP="00E666C2">
      <w:pPr>
        <w:pStyle w:val="FootnoteText"/>
      </w:pPr>
      <w:r>
        <w:rPr>
          <w:rStyle w:val="FootnoteReference"/>
        </w:rPr>
        <w:footnoteRef/>
      </w:r>
      <w:r>
        <w:t xml:space="preserve"> </w:t>
      </w:r>
      <w:r>
        <w:tab/>
        <w:t>I</w:t>
      </w:r>
      <w:r w:rsidRPr="00233A32">
        <w:t xml:space="preserve">ncluded in the distributor's approved forecast capex for the </w:t>
      </w:r>
      <w:r>
        <w:t>next</w:t>
      </w:r>
      <w:r w:rsidRPr="00233A32">
        <w:t xml:space="preserve"> period</w:t>
      </w:r>
      <w:r w:rsidRPr="009A4F34">
        <w:t>.</w:t>
      </w:r>
    </w:p>
  </w:footnote>
  <w:footnote w:id="170">
    <w:p w:rsidR="003434F8" w:rsidRDefault="003434F8" w:rsidP="00396A6A">
      <w:pPr>
        <w:pStyle w:val="FootnoteText"/>
      </w:pPr>
      <w:r>
        <w:rPr>
          <w:rStyle w:val="FootnoteReference"/>
        </w:rPr>
        <w:footnoteRef/>
      </w:r>
      <w:r>
        <w:t xml:space="preserve"> </w:t>
      </w:r>
      <w:r>
        <w:tab/>
        <w:t xml:space="preserve">AER, </w:t>
      </w:r>
      <w:r w:rsidRPr="00A83B5E">
        <w:rPr>
          <w:rStyle w:val="AERtextitalic"/>
        </w:rPr>
        <w:t>Efficiency benefit sharing scheme</w:t>
      </w:r>
      <w:r>
        <w:t>, 29 November 2013.</w:t>
      </w:r>
    </w:p>
  </w:footnote>
  <w:footnote w:id="171">
    <w:p w:rsidR="003434F8" w:rsidRDefault="003434F8" w:rsidP="00396A6A">
      <w:pPr>
        <w:pStyle w:val="FootnoteText"/>
      </w:pPr>
      <w:r>
        <w:rPr>
          <w:rStyle w:val="FootnoteReference"/>
        </w:rPr>
        <w:footnoteRef/>
      </w:r>
      <w:r>
        <w:t xml:space="preserve"> </w:t>
      </w:r>
      <w:r>
        <w:tab/>
        <w:t>NER, clause 6.5.8(a).</w:t>
      </w:r>
    </w:p>
  </w:footnote>
  <w:footnote w:id="172">
    <w:p w:rsidR="003434F8" w:rsidRDefault="003434F8" w:rsidP="00396A6A">
      <w:pPr>
        <w:pStyle w:val="FootnoteText"/>
      </w:pPr>
      <w:r>
        <w:rPr>
          <w:rStyle w:val="FootnoteReference"/>
        </w:rPr>
        <w:footnoteRef/>
      </w:r>
      <w:r>
        <w:t xml:space="preserve"> </w:t>
      </w:r>
      <w:r>
        <w:tab/>
        <w:t>NER, clause 6.5.8(c).</w:t>
      </w:r>
    </w:p>
  </w:footnote>
  <w:footnote w:id="173">
    <w:p w:rsidR="003434F8" w:rsidRDefault="003434F8" w:rsidP="00396A6A">
      <w:pPr>
        <w:pStyle w:val="FootnoteText"/>
      </w:pPr>
      <w:r>
        <w:rPr>
          <w:rStyle w:val="FootnoteReference"/>
        </w:rPr>
        <w:footnoteRef/>
      </w:r>
      <w:r>
        <w:t xml:space="preserve"> </w:t>
      </w:r>
      <w:r>
        <w:tab/>
        <w:t xml:space="preserve">AER, </w:t>
      </w:r>
      <w:r w:rsidRPr="00A83B5E">
        <w:rPr>
          <w:rStyle w:val="AERtextitalic"/>
        </w:rPr>
        <w:t>Electricity distribution network service providers,</w:t>
      </w:r>
      <w:r>
        <w:t xml:space="preserve"> e</w:t>
      </w:r>
      <w:r w:rsidRPr="00E05B60">
        <w:rPr>
          <w:rStyle w:val="AERtextitalic"/>
        </w:rPr>
        <w:t>fficiency benefit sharing scheme</w:t>
      </w:r>
      <w:r>
        <w:rPr>
          <w:rStyle w:val="AERtextitalic"/>
        </w:rPr>
        <w:t xml:space="preserve">, </w:t>
      </w:r>
      <w:r w:rsidRPr="00A83B5E">
        <w:rPr>
          <w:rStyle w:val="AERbody"/>
          <w:sz w:val="16"/>
        </w:rPr>
        <w:t xml:space="preserve">26 June </w:t>
      </w:r>
      <w:r w:rsidRPr="00541F86">
        <w:t>2008</w:t>
      </w:r>
      <w:r>
        <w:t>.</w:t>
      </w:r>
    </w:p>
  </w:footnote>
  <w:footnote w:id="174">
    <w:p w:rsidR="003434F8" w:rsidRDefault="003434F8" w:rsidP="00396A6A">
      <w:pPr>
        <w:pStyle w:val="FootnoteText"/>
      </w:pPr>
      <w:r>
        <w:rPr>
          <w:rStyle w:val="FootnoteReference"/>
        </w:rPr>
        <w:footnoteRef/>
      </w:r>
      <w:r>
        <w:t xml:space="preserve"> </w:t>
      </w:r>
      <w:r>
        <w:tab/>
      </w:r>
      <w:r w:rsidRPr="00784DA1">
        <w:t>We will no longer allow for specific exclusions such as uncontrollable opex or for changes in opex due to unexpected increases or decreases in network growth. We may also exclude categories of opex not forecast using a single year revealed cost approach from the scheme on an ex post basis if doing so better achieves the requirements of the rules.</w:t>
      </w:r>
    </w:p>
  </w:footnote>
  <w:footnote w:id="175">
    <w:p w:rsidR="003434F8" w:rsidRDefault="003434F8" w:rsidP="00396A6A">
      <w:pPr>
        <w:pStyle w:val="FootnoteText"/>
      </w:pPr>
      <w:r>
        <w:rPr>
          <w:rStyle w:val="FootnoteReference"/>
        </w:rPr>
        <w:footnoteRef/>
      </w:r>
      <w:r>
        <w:t xml:space="preserve"> </w:t>
      </w:r>
      <w:r>
        <w:tab/>
        <w:t xml:space="preserve">AER, </w:t>
      </w:r>
      <w:r w:rsidRPr="00E05B60">
        <w:rPr>
          <w:rStyle w:val="AERtextitalic"/>
        </w:rPr>
        <w:t>Efficiency benefit sharing scheme</w:t>
      </w:r>
      <w:r>
        <w:rPr>
          <w:rStyle w:val="AERtextitalic"/>
        </w:rPr>
        <w:t xml:space="preserve"> for electricity network service providers</w:t>
      </w:r>
      <w:r>
        <w:t>, 29 November 2013.</w:t>
      </w:r>
    </w:p>
  </w:footnote>
  <w:footnote w:id="176">
    <w:p w:rsidR="003434F8" w:rsidRDefault="003434F8" w:rsidP="00396A6A">
      <w:pPr>
        <w:pStyle w:val="FootnoteText"/>
      </w:pPr>
      <w:r>
        <w:rPr>
          <w:rStyle w:val="FootnoteReference"/>
        </w:rPr>
        <w:footnoteRef/>
      </w:r>
      <w:r>
        <w:t xml:space="preserve"> </w:t>
      </w:r>
      <w:r>
        <w:tab/>
        <w:t xml:space="preserve">AER, </w:t>
      </w:r>
      <w:r w:rsidRPr="00E05B60">
        <w:rPr>
          <w:rStyle w:val="AERtextitalic"/>
        </w:rPr>
        <w:t>Efficiency benefit sharing scheme</w:t>
      </w:r>
      <w:r>
        <w:rPr>
          <w:rStyle w:val="AERtextitalic"/>
        </w:rPr>
        <w:t xml:space="preserve"> for electricity network service providers</w:t>
      </w:r>
      <w:r>
        <w:t xml:space="preserve">, 29 November 2013; AER, </w:t>
      </w:r>
      <w:r w:rsidRPr="00E05B60">
        <w:rPr>
          <w:rStyle w:val="AERtextitalic"/>
        </w:rPr>
        <w:t>E</w:t>
      </w:r>
      <w:r>
        <w:rPr>
          <w:rStyle w:val="AERtextitalic"/>
        </w:rPr>
        <w:t>xplanatory statement, E</w:t>
      </w:r>
      <w:r w:rsidRPr="00E05B60">
        <w:rPr>
          <w:rStyle w:val="AERtextitalic"/>
        </w:rPr>
        <w:t>fficiency benefit sharing scheme</w:t>
      </w:r>
      <w:r>
        <w:rPr>
          <w:rStyle w:val="AERtextitalic"/>
        </w:rPr>
        <w:t xml:space="preserve"> for electricity network service providers</w:t>
      </w:r>
      <w:r>
        <w:t>, 29 November 2013.</w:t>
      </w:r>
    </w:p>
  </w:footnote>
  <w:footnote w:id="177">
    <w:p w:rsidR="003434F8" w:rsidRDefault="003434F8" w:rsidP="00396A6A">
      <w:pPr>
        <w:pStyle w:val="FootnoteText"/>
      </w:pPr>
      <w:r>
        <w:rPr>
          <w:rStyle w:val="FootnoteReference"/>
        </w:rPr>
        <w:footnoteRef/>
      </w:r>
      <w:r>
        <w:t xml:space="preserve"> </w:t>
      </w:r>
      <w:r>
        <w:tab/>
        <w:t>NER, clause 6.5.8(a).</w:t>
      </w:r>
    </w:p>
  </w:footnote>
  <w:footnote w:id="178">
    <w:p w:rsidR="003434F8" w:rsidRDefault="003434F8" w:rsidP="003D7990">
      <w:pPr>
        <w:pStyle w:val="FootnoteText"/>
      </w:pPr>
      <w:r>
        <w:rPr>
          <w:rStyle w:val="FootnoteReference"/>
        </w:rPr>
        <w:footnoteRef/>
      </w:r>
      <w:r>
        <w:t xml:space="preserve"> </w:t>
      </w:r>
      <w:r>
        <w:tab/>
      </w:r>
      <w:r w:rsidRPr="004A0E4D">
        <w:t xml:space="preserve">NER, </w:t>
      </w:r>
      <w:r>
        <w:t>clauses</w:t>
      </w:r>
      <w:r w:rsidRPr="004A0E4D">
        <w:t xml:space="preserve"> 6.5.8(c)(</w:t>
      </w:r>
      <w:r>
        <w:t>3) and 6.5.8(a).</w:t>
      </w:r>
    </w:p>
  </w:footnote>
  <w:footnote w:id="179">
    <w:p w:rsidR="003434F8" w:rsidRDefault="003434F8" w:rsidP="003D7990">
      <w:pPr>
        <w:pStyle w:val="FootnoteText"/>
      </w:pPr>
      <w:r>
        <w:rPr>
          <w:rStyle w:val="FootnoteReference"/>
        </w:rPr>
        <w:footnoteRef/>
      </w:r>
      <w:r>
        <w:t xml:space="preserve"> </w:t>
      </w:r>
      <w:r>
        <w:tab/>
      </w:r>
      <w:r w:rsidRPr="001E5CDC">
        <w:t xml:space="preserve">NER, </w:t>
      </w:r>
      <w:r>
        <w:t>clause</w:t>
      </w:r>
      <w:r w:rsidRPr="001E5CDC">
        <w:t xml:space="preserve"> 6.5.8(c)(</w:t>
      </w:r>
      <w:r>
        <w:t>2</w:t>
      </w:r>
      <w:r w:rsidRPr="001E5CDC">
        <w:t>).</w:t>
      </w:r>
    </w:p>
  </w:footnote>
  <w:footnote w:id="180">
    <w:p w:rsidR="003434F8" w:rsidRDefault="003434F8" w:rsidP="003D7990">
      <w:pPr>
        <w:pStyle w:val="FootnoteText"/>
      </w:pPr>
      <w:r>
        <w:rPr>
          <w:rStyle w:val="FootnoteReference"/>
        </w:rPr>
        <w:footnoteRef/>
      </w:r>
      <w:r>
        <w:t xml:space="preserve"> </w:t>
      </w:r>
      <w:r>
        <w:tab/>
        <w:t>NER, clause 6.5.8(c)(1</w:t>
      </w:r>
      <w:r w:rsidRPr="00256B51">
        <w:t>).</w:t>
      </w:r>
    </w:p>
  </w:footnote>
  <w:footnote w:id="181">
    <w:p w:rsidR="003434F8" w:rsidRDefault="003434F8" w:rsidP="003D7990">
      <w:pPr>
        <w:pStyle w:val="FootnoteText"/>
      </w:pPr>
      <w:r>
        <w:rPr>
          <w:rStyle w:val="FootnoteReference"/>
        </w:rPr>
        <w:footnoteRef/>
      </w:r>
      <w:r>
        <w:t xml:space="preserve"> </w:t>
      </w:r>
      <w:r>
        <w:tab/>
        <w:t>NER, clause 6.5.8(c)(4</w:t>
      </w:r>
      <w:r w:rsidRPr="00256B51">
        <w:t>).</w:t>
      </w:r>
    </w:p>
  </w:footnote>
  <w:footnote w:id="182">
    <w:p w:rsidR="003434F8" w:rsidRDefault="003434F8" w:rsidP="00396A6A">
      <w:pPr>
        <w:pStyle w:val="FootnoteText"/>
      </w:pPr>
      <w:r>
        <w:rPr>
          <w:rStyle w:val="FootnoteReference"/>
        </w:rPr>
        <w:footnoteRef/>
      </w:r>
      <w:r>
        <w:t xml:space="preserve"> </w:t>
      </w:r>
      <w:r>
        <w:tab/>
        <w:t>NER, clause 6.5.8(c)(5</w:t>
      </w:r>
      <w:r w:rsidRPr="00256B51">
        <w:t>).</w:t>
      </w:r>
    </w:p>
  </w:footnote>
  <w:footnote w:id="183">
    <w:p w:rsidR="003434F8" w:rsidRDefault="003434F8" w:rsidP="00396A6A">
      <w:pPr>
        <w:pStyle w:val="FootnoteText"/>
      </w:pPr>
      <w:r>
        <w:rPr>
          <w:rStyle w:val="FootnoteReference"/>
        </w:rPr>
        <w:footnoteRef/>
      </w:r>
      <w:r>
        <w:t xml:space="preserve"> </w:t>
      </w:r>
      <w:r>
        <w:tab/>
        <w:t>When the distributor spends more on opex it receives a 30 per cent penalty under the EBSS. However, when there is a corresponding decrease in capex the distributor receives a 30 per cent reward under the CESS. So where the decrease in capex is larger than the increase in opex the distributor receives a larger reward than penalty, a net reward.</w:t>
      </w:r>
    </w:p>
  </w:footnote>
  <w:footnote w:id="184">
    <w:p w:rsidR="003434F8" w:rsidRDefault="003434F8" w:rsidP="00396A6A">
      <w:pPr>
        <w:pStyle w:val="FootnoteText"/>
      </w:pPr>
      <w:r>
        <w:rPr>
          <w:rStyle w:val="FootnoteReference"/>
        </w:rPr>
        <w:footnoteRef/>
      </w:r>
      <w:r>
        <w:t xml:space="preserve"> </w:t>
      </w:r>
      <w:r>
        <w:tab/>
        <w:t>Without a CESS the reward for capex declines over the regulatory period. If an increase in opex corresponded with a decrease in capex, the off-setting benefit of the decrease in capex depends on the year in which it occurs.</w:t>
      </w:r>
    </w:p>
  </w:footnote>
  <w:footnote w:id="185">
    <w:p w:rsidR="003434F8" w:rsidRDefault="003434F8" w:rsidP="00E666C2">
      <w:pPr>
        <w:pStyle w:val="FootnoteText"/>
      </w:pPr>
      <w:r>
        <w:rPr>
          <w:rStyle w:val="FootnoteReference"/>
        </w:rPr>
        <w:footnoteRef/>
      </w:r>
      <w:r>
        <w:t xml:space="preserve"> </w:t>
      </w:r>
      <w:r>
        <w:tab/>
      </w:r>
      <w:r w:rsidRPr="00F34E0F">
        <w:t xml:space="preserve">We calculate benefits as the benefits </w:t>
      </w:r>
      <w:r>
        <w:t xml:space="preserve">to the distributor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distributor </w:t>
      </w:r>
      <w:r w:rsidRPr="00F34E0F">
        <w:t>of the overspend.</w:t>
      </w:r>
    </w:p>
  </w:footnote>
  <w:footnote w:id="186">
    <w:p w:rsidR="003434F8" w:rsidRDefault="003434F8" w:rsidP="00E666C2">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5</w:t>
      </w:r>
      <w:r>
        <w:rPr>
          <w:rFonts w:cs="Gautami"/>
        </w:rPr>
        <w:t>–</w:t>
      </w:r>
      <w:r>
        <w:t>9.</w:t>
      </w:r>
    </w:p>
  </w:footnote>
  <w:footnote w:id="187">
    <w:p w:rsidR="003434F8" w:rsidRDefault="003434F8" w:rsidP="00E666C2">
      <w:pPr>
        <w:pStyle w:val="FootnoteText"/>
      </w:pPr>
      <w:r>
        <w:rPr>
          <w:rStyle w:val="FootnoteReference"/>
        </w:rPr>
        <w:footnoteRef/>
      </w:r>
      <w:r>
        <w:t xml:space="preserve"> </w:t>
      </w:r>
      <w:r>
        <w:tab/>
        <w:t>NER, clause 6.5.8A(e).</w:t>
      </w:r>
    </w:p>
  </w:footnote>
  <w:footnote w:id="188">
    <w:p w:rsidR="003434F8" w:rsidRDefault="003434F8" w:rsidP="00E666C2">
      <w:pPr>
        <w:pStyle w:val="FootnoteText"/>
      </w:pPr>
      <w:r>
        <w:rPr>
          <w:rStyle w:val="FootnoteReference"/>
        </w:rPr>
        <w:footnoteRef/>
      </w:r>
      <w:r>
        <w:t xml:space="preserve"> </w:t>
      </w:r>
      <w:r>
        <w:tab/>
        <w:t xml:space="preserve">NER, clause </w:t>
      </w:r>
      <w:r w:rsidRPr="00BD64DE">
        <w:t>6.4A(a)</w:t>
      </w:r>
      <w:r>
        <w:t xml:space="preserve">; the capex criteria are set out in clause </w:t>
      </w:r>
      <w:r w:rsidRPr="00BD64DE">
        <w:t>6.5.7(c)</w:t>
      </w:r>
      <w:r>
        <w:t xml:space="preserve"> of the NER.</w:t>
      </w:r>
    </w:p>
  </w:footnote>
  <w:footnote w:id="189">
    <w:p w:rsidR="003434F8" w:rsidRDefault="003434F8" w:rsidP="00E666C2">
      <w:pPr>
        <w:pStyle w:val="FootnoteText"/>
      </w:pPr>
      <w:r>
        <w:rPr>
          <w:rStyle w:val="FootnoteReference"/>
        </w:rPr>
        <w:footnoteRef/>
      </w:r>
      <w:r>
        <w:t xml:space="preserve"> </w:t>
      </w:r>
      <w:r>
        <w:tab/>
        <w:t>NER, clause 6.5.8A(c).</w:t>
      </w:r>
    </w:p>
  </w:footnote>
  <w:footnote w:id="190">
    <w:p w:rsidR="003434F8" w:rsidRDefault="003434F8" w:rsidP="00E666C2">
      <w:pPr>
        <w:pStyle w:val="FootnoteText"/>
      </w:pPr>
      <w:r>
        <w:rPr>
          <w:rStyle w:val="FootnoteReference"/>
        </w:rPr>
        <w:footnoteRef/>
      </w:r>
      <w:r>
        <w:t xml:space="preserve"> </w:t>
      </w:r>
      <w:r>
        <w:tab/>
        <w:t>NER, clause 6.5.7(a).</w:t>
      </w:r>
    </w:p>
  </w:footnote>
  <w:footnote w:id="191">
    <w:p w:rsidR="003434F8" w:rsidRDefault="003434F8" w:rsidP="00E666C2">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5</w:t>
      </w:r>
      <w:r>
        <w:rPr>
          <w:rFonts w:cs="Gautami"/>
        </w:rPr>
        <w:t>–</w:t>
      </w:r>
      <w:r>
        <w:t>9.</w:t>
      </w:r>
    </w:p>
  </w:footnote>
  <w:footnote w:id="192">
    <w:p w:rsidR="003434F8" w:rsidRDefault="003434F8" w:rsidP="00E666C2">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10</w:t>
      </w:r>
      <w:r>
        <w:rPr>
          <w:rFonts w:cs="Gautami"/>
        </w:rPr>
        <w:t>–</w:t>
      </w:r>
      <w:r>
        <w:t>12.</w:t>
      </w:r>
    </w:p>
  </w:footnote>
  <w:footnote w:id="193">
    <w:p w:rsidR="003434F8" w:rsidRDefault="003434F8" w:rsidP="00E666C2">
      <w:pPr>
        <w:pStyle w:val="FootnoteText"/>
      </w:pPr>
      <w:r>
        <w:rPr>
          <w:rStyle w:val="FootnoteReference"/>
        </w:rPr>
        <w:footnoteRef/>
      </w:r>
      <w:r>
        <w:t xml:space="preserve"> </w:t>
      </w:r>
      <w:r>
        <w:tab/>
      </w:r>
      <w:r w:rsidRPr="0037766C">
        <w:t xml:space="preserve">As the end of the regulatory period approaches, the time available for the distributor to retain any savings gets shorter. So the earlier a </w:t>
      </w:r>
      <w:r>
        <w:t>distributor</w:t>
      </w:r>
      <w:r w:rsidRPr="0037766C">
        <w:t xml:space="preserve"> incurs an underspend in the regulatory period, the greater its reward will be. </w:t>
      </w:r>
    </w:p>
  </w:footnote>
  <w:footnote w:id="194">
    <w:p w:rsidR="003434F8" w:rsidRDefault="003434F8" w:rsidP="00211E9F">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w:t>
      </w:r>
      <w:r w:rsidRPr="00211E9F">
        <w:t xml:space="preserve">cover innovation with respect to the connection of embedded generation. </w:t>
      </w:r>
      <w:r w:rsidRPr="00211E9F">
        <w:rPr>
          <w:rStyle w:val="AERtexthighlight"/>
          <w:shd w:val="clear" w:color="auto" w:fill="auto"/>
        </w:rPr>
        <w:t>Our current and proposed DMIS include embedded generation</w:t>
      </w:r>
      <w:r w:rsidRPr="00211E9F">
        <w:t>.</w:t>
      </w:r>
      <w:r>
        <w:t xml:space="preserve"> We consider embedded generation to be one means of demand management, as it typically decreases demand for power drawn from a distribution network. </w:t>
      </w:r>
    </w:p>
  </w:footnote>
  <w:footnote w:id="195">
    <w:p w:rsidR="003434F8" w:rsidRDefault="003434F8" w:rsidP="00A165F2">
      <w:pPr>
        <w:pStyle w:val="FootnoteText"/>
      </w:pPr>
      <w:r>
        <w:rPr>
          <w:rStyle w:val="FootnoteReference"/>
        </w:rPr>
        <w:footnoteRef/>
      </w:r>
      <w:r>
        <w:t xml:space="preserve"> </w:t>
      </w:r>
      <w:r>
        <w:tab/>
      </w:r>
      <w:r w:rsidRPr="0086570A">
        <w:t xml:space="preserve">For example, </w:t>
      </w:r>
      <w:r w:rsidRPr="00F96BB4">
        <w:t>agreements between distributors and consumers to switch off loads at certain times and the connection of small-scale 'embedded' generation reducing the demand for power drawn from the distribution network</w:t>
      </w:r>
      <w:r>
        <w:t xml:space="preserve">. </w:t>
      </w:r>
    </w:p>
  </w:footnote>
  <w:footnote w:id="196">
    <w:p w:rsidR="003434F8" w:rsidRDefault="003434F8" w:rsidP="00A165F2">
      <w:pPr>
        <w:pStyle w:val="FootnoteText"/>
      </w:pPr>
      <w:r>
        <w:rPr>
          <w:rStyle w:val="FootnoteReference"/>
        </w:rPr>
        <w:footnoteRef/>
      </w:r>
      <w:r>
        <w:t xml:space="preserve"> </w:t>
      </w:r>
      <w:r>
        <w:tab/>
        <w:t xml:space="preserve">NER, clause 6.6.3(a). </w:t>
      </w:r>
    </w:p>
  </w:footnote>
  <w:footnote w:id="197">
    <w:p w:rsidR="003434F8" w:rsidRDefault="003434F8" w:rsidP="00A165F2">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 our determination for the 2009</w:t>
      </w:r>
      <w:r>
        <w:rPr>
          <w:rFonts w:cs="Gautami"/>
        </w:rPr>
        <w:t>–</w:t>
      </w:r>
      <w:r>
        <w:t>14 period</w:t>
      </w:r>
      <w:r>
        <w:rPr>
          <w:rStyle w:val="AERtextitalic"/>
        </w:rPr>
        <w:t>.</w:t>
      </w:r>
    </w:p>
  </w:footnote>
  <w:footnote w:id="198">
    <w:p w:rsidR="003434F8" w:rsidRDefault="003434F8" w:rsidP="00A165F2">
      <w:pPr>
        <w:pStyle w:val="FootnoteText"/>
      </w:pPr>
      <w:r>
        <w:rPr>
          <w:rStyle w:val="FootnoteReference"/>
        </w:rPr>
        <w:footnoteRef/>
      </w:r>
      <w:r>
        <w:t xml:space="preserve"> </w:t>
      </w:r>
      <w:r>
        <w:tab/>
        <w:t xml:space="preserve">SCER, </w:t>
      </w:r>
      <w:r w:rsidRPr="00C97F5A">
        <w:rPr>
          <w:rStyle w:val="AERtextitalic"/>
        </w:rPr>
        <w:t>Demand side participation – proposed rule changes</w:t>
      </w:r>
      <w:r>
        <w:t xml:space="preserve">, 18 September 2013. </w:t>
      </w:r>
    </w:p>
    <w:p w:rsidR="003434F8" w:rsidRDefault="003434F8" w:rsidP="00A165F2">
      <w:pPr>
        <w:pStyle w:val="FootnoteText"/>
      </w:pPr>
      <w:r>
        <w:tab/>
        <w:t xml:space="preserve">See: </w:t>
      </w:r>
      <w:r w:rsidRPr="00C97F5A">
        <w:t>www.scer.gov.au/workstreams/energy-market-reform/demand-side-participation/proposed-rule-changes</w:t>
      </w:r>
      <w:r>
        <w:t>.</w:t>
      </w:r>
    </w:p>
  </w:footnote>
  <w:footnote w:id="199">
    <w:p w:rsidR="003434F8" w:rsidRDefault="003434F8" w:rsidP="00A165F2">
      <w:pPr>
        <w:pStyle w:val="FootnoteText"/>
      </w:pPr>
      <w:r>
        <w:rPr>
          <w:rStyle w:val="FootnoteReference"/>
        </w:rPr>
        <w:footnoteRef/>
      </w:r>
      <w:r>
        <w:t xml:space="preserve"> </w:t>
      </w:r>
      <w:r>
        <w:tab/>
        <w:t xml:space="preserve">AEMC, </w:t>
      </w:r>
      <w:r w:rsidRPr="005578DF">
        <w:rPr>
          <w:rStyle w:val="AERtextitalic"/>
        </w:rPr>
        <w:t>Final report, Power of choice review – giving consumers' choice in the way they use electricity</w:t>
      </w:r>
      <w:r>
        <w:t>, 30 November 2012.</w:t>
      </w:r>
    </w:p>
  </w:footnote>
  <w:footnote w:id="200">
    <w:p w:rsidR="003434F8" w:rsidRDefault="003434F8" w:rsidP="00A165F2">
      <w:pPr>
        <w:pStyle w:val="FootnoteText"/>
      </w:pPr>
      <w:r>
        <w:rPr>
          <w:rStyle w:val="FootnoteReference"/>
        </w:rPr>
        <w:footnoteRef/>
      </w:r>
      <w:r>
        <w:t xml:space="preserve"> </w:t>
      </w:r>
      <w:r>
        <w:tab/>
        <w:t>NER, clause 6.6.3(b).</w:t>
      </w:r>
    </w:p>
  </w:footnote>
  <w:footnote w:id="201">
    <w:p w:rsidR="003434F8" w:rsidRDefault="003434F8" w:rsidP="00A165F2">
      <w:pPr>
        <w:pStyle w:val="FootnoteText"/>
      </w:pPr>
      <w:r>
        <w:rPr>
          <w:rStyle w:val="FootnoteReference"/>
        </w:rPr>
        <w:footnoteRef/>
      </w:r>
      <w:r>
        <w:t xml:space="preserve"> </w:t>
      </w:r>
      <w:r>
        <w:tab/>
        <w:t>NER, clause 6.6.3(b)(1).</w:t>
      </w:r>
    </w:p>
  </w:footnote>
  <w:footnote w:id="202">
    <w:p w:rsidR="003434F8" w:rsidRDefault="003434F8" w:rsidP="00A165F2">
      <w:pPr>
        <w:pStyle w:val="FootnoteText"/>
      </w:pPr>
      <w:r>
        <w:rPr>
          <w:rStyle w:val="FootnoteReference"/>
        </w:rPr>
        <w:footnoteRef/>
      </w:r>
      <w:r>
        <w:t xml:space="preserve"> </w:t>
      </w:r>
      <w:r>
        <w:tab/>
        <w:t xml:space="preserve">For example, Oakley Greenwood, </w:t>
      </w:r>
      <w:r w:rsidRPr="00035F7F">
        <w:rPr>
          <w:rStyle w:val="AERtextitalic"/>
        </w:rPr>
        <w:t>Valuing reliability in the national electricity market, final report</w:t>
      </w:r>
      <w:r>
        <w:t xml:space="preserve">, March 2011. This report was prepared for AEMO. </w:t>
      </w:r>
    </w:p>
  </w:footnote>
  <w:footnote w:id="203">
    <w:p w:rsidR="003434F8" w:rsidRDefault="003434F8" w:rsidP="00A165F2">
      <w:pPr>
        <w:pStyle w:val="FootnoteText"/>
      </w:pPr>
      <w:r>
        <w:rPr>
          <w:rStyle w:val="FootnoteReference"/>
        </w:rPr>
        <w:footnoteRef/>
      </w:r>
      <w:r>
        <w:t xml:space="preserve"> </w:t>
      </w:r>
      <w:r>
        <w:tab/>
        <w:t>NER, clause 6.6.3(b)(2).</w:t>
      </w:r>
    </w:p>
  </w:footnote>
  <w:footnote w:id="204">
    <w:p w:rsidR="003434F8" w:rsidRDefault="003434F8" w:rsidP="00A165F2">
      <w:pPr>
        <w:pStyle w:val="FootnoteText"/>
      </w:pPr>
      <w:r>
        <w:rPr>
          <w:rStyle w:val="FootnoteReference"/>
        </w:rPr>
        <w:footnoteRef/>
      </w:r>
      <w:r>
        <w:t xml:space="preserve"> </w:t>
      </w:r>
      <w:r>
        <w:tab/>
        <w:t>NER, clause 6.6.3(b)(6).</w:t>
      </w:r>
    </w:p>
  </w:footnote>
  <w:footnote w:id="205">
    <w:p w:rsidR="003434F8" w:rsidRDefault="003434F8" w:rsidP="00A165F2">
      <w:pPr>
        <w:pStyle w:val="FootnoteText"/>
      </w:pPr>
      <w:r>
        <w:rPr>
          <w:rStyle w:val="FootnoteReference"/>
        </w:rPr>
        <w:footnoteRef/>
      </w:r>
      <w:r>
        <w:t xml:space="preserve"> </w:t>
      </w:r>
      <w:r>
        <w:tab/>
        <w:t>NER, clause 6.6.3(b)(3).</w:t>
      </w:r>
    </w:p>
  </w:footnote>
  <w:footnote w:id="206">
    <w:p w:rsidR="003434F8" w:rsidRDefault="003434F8" w:rsidP="00A165F2">
      <w:pPr>
        <w:pStyle w:val="FootnoteText"/>
      </w:pPr>
      <w:r>
        <w:rPr>
          <w:rStyle w:val="FootnoteReference"/>
        </w:rPr>
        <w:footnoteRef/>
      </w:r>
      <w:r>
        <w:t xml:space="preserve"> </w:t>
      </w:r>
      <w:r>
        <w:tab/>
        <w:t>NER, clause 6.6.3(b)(4).</w:t>
      </w:r>
    </w:p>
  </w:footnote>
  <w:footnote w:id="207">
    <w:p w:rsidR="003434F8" w:rsidRDefault="003434F8" w:rsidP="00EF33EF">
      <w:pPr>
        <w:pStyle w:val="FootnoteText"/>
      </w:pPr>
      <w:r>
        <w:rPr>
          <w:rStyle w:val="FootnoteReference"/>
        </w:rPr>
        <w:footnoteRef/>
      </w:r>
      <w:r>
        <w:t xml:space="preserve"> </w:t>
      </w:r>
      <w:r>
        <w:tab/>
        <w:t>U</w:t>
      </w:r>
      <w:r w:rsidRPr="006B282F">
        <w:t>nder the EBSS we can exclude any categories of opex not forecast using a single year revealed cost approach where it would better achieve the requirements</w:t>
      </w:r>
      <w:r>
        <w:t xml:space="preserve"> (of the EBSS) under</w:t>
      </w:r>
      <w:r w:rsidRPr="006B282F">
        <w:t xml:space="preserve"> cl. 6.5.8 of the NER. </w:t>
      </w:r>
      <w:r>
        <w:t>DMIA</w:t>
      </w:r>
      <w:r w:rsidRPr="006B282F">
        <w:t xml:space="preserve"> projects </w:t>
      </w:r>
      <w:r>
        <w:t>are</w:t>
      </w:r>
      <w:r w:rsidRPr="006B282F">
        <w:t xml:space="preserve"> excluded from forecast opex</w:t>
      </w:r>
      <w:r>
        <w:t xml:space="preserve"> so </w:t>
      </w:r>
      <w:r w:rsidRPr="006B282F">
        <w:t>not considered to be forecast using a sin</w:t>
      </w:r>
      <w:r>
        <w:t>gle year revealed cost approach</w:t>
      </w:r>
      <w:r w:rsidRPr="006C4178">
        <w:t xml:space="preserve">. </w:t>
      </w:r>
      <w:r>
        <w:t xml:space="preserve">AER, </w:t>
      </w:r>
      <w:r w:rsidRPr="00341BFF">
        <w:rPr>
          <w:rStyle w:val="AERtextitalic"/>
        </w:rPr>
        <w:t>Efficiency Benefit Sharing Scheme for Electricity Network Service Providers</w:t>
      </w:r>
      <w:r>
        <w:t xml:space="preserve">, 29 </w:t>
      </w:r>
      <w:r w:rsidRPr="00341BFF">
        <w:t>November 2013</w:t>
      </w:r>
      <w:r>
        <w:t>.</w:t>
      </w:r>
    </w:p>
  </w:footnote>
  <w:footnote w:id="208">
    <w:p w:rsidR="003434F8" w:rsidRDefault="003434F8">
      <w:pPr>
        <w:pStyle w:val="FootnoteText"/>
      </w:pPr>
      <w:r>
        <w:rPr>
          <w:rStyle w:val="FootnoteReference"/>
        </w:rPr>
        <w:footnoteRef/>
      </w:r>
      <w:r>
        <w:t xml:space="preserve"> </w:t>
      </w:r>
      <w:r>
        <w:tab/>
        <w:t>Including the DMIA amount. The issues surrounding the EBSS and CESS benchmarks apply to our determination on the DMIA amount. The DMIA could be overspent or underspent, but no sharing mechanism is applied to DMIA expenditure.</w:t>
      </w:r>
    </w:p>
  </w:footnote>
  <w:footnote w:id="209">
    <w:p w:rsidR="003434F8" w:rsidRDefault="003434F8">
      <w:pPr>
        <w:pStyle w:val="FootnoteText"/>
      </w:pPr>
      <w:r>
        <w:rPr>
          <w:rStyle w:val="FootnoteReference"/>
        </w:rPr>
        <w:footnoteRef/>
      </w:r>
      <w:r>
        <w:t xml:space="preserve"> </w:t>
      </w:r>
      <w:r>
        <w:tab/>
        <w:t>NER clauses 6.5.8(c), 6.5.8A(e), and 6.6.3(b).</w:t>
      </w:r>
    </w:p>
  </w:footnote>
  <w:footnote w:id="210">
    <w:p w:rsidR="003434F8" w:rsidRDefault="003434F8" w:rsidP="00562F66">
      <w:pPr>
        <w:pStyle w:val="FootnoteText"/>
      </w:pPr>
      <w:r>
        <w:rPr>
          <w:rStyle w:val="FootnoteReference"/>
        </w:rPr>
        <w:footnoteRef/>
      </w:r>
      <w:r>
        <w:t xml:space="preserve"> </w:t>
      </w:r>
      <w:r>
        <w:tab/>
        <w:t xml:space="preserve">We published this guideline on </w:t>
      </w:r>
      <w:r w:rsidRPr="005256EB">
        <w:rPr>
          <w:rStyle w:val="AERbody"/>
          <w:sz w:val="16"/>
        </w:rPr>
        <w:t>29</w:t>
      </w:r>
      <w:r>
        <w:t xml:space="preserve"> November 2013. It can be located at </w:t>
      </w:r>
      <w:r w:rsidRPr="00B46E96">
        <w:t>www.aer.gov.au/node/18864</w:t>
      </w:r>
      <w:r>
        <w:t>.</w:t>
      </w:r>
    </w:p>
  </w:footnote>
  <w:footnote w:id="211">
    <w:p w:rsidR="003434F8" w:rsidRDefault="003434F8">
      <w:pPr>
        <w:pStyle w:val="FootnoteText"/>
      </w:pPr>
      <w:r>
        <w:rPr>
          <w:rStyle w:val="FootnoteReference"/>
        </w:rPr>
        <w:footnoteRef/>
      </w:r>
      <w:r>
        <w:t xml:space="preserve"> </w:t>
      </w:r>
      <w:r>
        <w:tab/>
        <w:t>Letter to the AER, CCP sub-panel 3, 23 May 2014</w:t>
      </w:r>
    </w:p>
  </w:footnote>
  <w:footnote w:id="212">
    <w:p w:rsidR="003434F8" w:rsidRDefault="003434F8" w:rsidP="00562F66">
      <w:pPr>
        <w:pStyle w:val="FootnoteText"/>
      </w:pPr>
      <w:r>
        <w:rPr>
          <w:rStyle w:val="FootnoteReference"/>
        </w:rPr>
        <w:footnoteRef/>
      </w:r>
      <w:r>
        <w:t xml:space="preserve"> </w:t>
      </w:r>
      <w:r>
        <w:tab/>
        <w:t>NER, clauses 6.4.5, 6A.5.6, 11.53.4 and 11.54.4.</w:t>
      </w:r>
    </w:p>
  </w:footnote>
  <w:footnote w:id="213">
    <w:p w:rsidR="003434F8" w:rsidRDefault="003434F8" w:rsidP="00562F66">
      <w:pPr>
        <w:pStyle w:val="FootnoteText"/>
      </w:pPr>
      <w:r>
        <w:rPr>
          <w:rStyle w:val="FootnoteReference"/>
        </w:rPr>
        <w:footnoteRef/>
      </w:r>
      <w:r>
        <w:t xml:space="preserve"> </w:t>
      </w:r>
      <w:r>
        <w:tab/>
        <w:t>NER, clauses 6.8.1A(b)(1) and 11.60.3(c).</w:t>
      </w:r>
    </w:p>
  </w:footnote>
  <w:footnote w:id="214">
    <w:p w:rsidR="003434F8" w:rsidRDefault="003434F8" w:rsidP="00562F66">
      <w:pPr>
        <w:pStyle w:val="FootnoteText"/>
      </w:pPr>
      <w:r>
        <w:rPr>
          <w:rStyle w:val="FootnoteReference"/>
        </w:rPr>
        <w:footnoteRef/>
      </w:r>
      <w:r>
        <w:t xml:space="preserve"> </w:t>
      </w:r>
      <w:r>
        <w:tab/>
        <w:t>NER, clause 6.8.1(b)(2)(viii).</w:t>
      </w:r>
    </w:p>
  </w:footnote>
  <w:footnote w:id="215">
    <w:p w:rsidR="003434F8" w:rsidRDefault="003434F8" w:rsidP="00562F66">
      <w:pPr>
        <w:pStyle w:val="FootnoteText"/>
      </w:pPr>
      <w:r>
        <w:rPr>
          <w:rStyle w:val="FootnoteReference"/>
        </w:rPr>
        <w:footnoteRef/>
      </w:r>
      <w:r>
        <w:t xml:space="preserve"> </w:t>
      </w:r>
      <w:r>
        <w:tab/>
        <w:t xml:space="preserve">AER, </w:t>
      </w:r>
      <w:r w:rsidRPr="008F375A">
        <w:rPr>
          <w:rStyle w:val="AERtextitalic"/>
        </w:rPr>
        <w:t>Explanatory statement: Expenditure assessment guideline for electricity transmission and distribution</w:t>
      </w:r>
      <w:r>
        <w:t xml:space="preserve">, </w:t>
      </w:r>
      <w:r w:rsidRPr="005256EB">
        <w:t>29</w:t>
      </w:r>
      <w:r>
        <w:t xml:space="preserve"> November 2013.</w:t>
      </w:r>
    </w:p>
  </w:footnote>
  <w:footnote w:id="216">
    <w:p w:rsidR="003434F8" w:rsidRDefault="003434F8" w:rsidP="00C1300B">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10</w:t>
      </w:r>
      <w:r>
        <w:rPr>
          <w:rFonts w:cs="Gautami"/>
        </w:rPr>
        <w:t>–</w:t>
      </w:r>
      <w:r>
        <w:t>12.</w:t>
      </w:r>
    </w:p>
  </w:footnote>
  <w:footnote w:id="217">
    <w:p w:rsidR="003434F8" w:rsidRDefault="003434F8" w:rsidP="00C1300B">
      <w:pPr>
        <w:pStyle w:val="FootnoteText"/>
      </w:pPr>
      <w:r>
        <w:rPr>
          <w:rStyle w:val="FootnoteReference"/>
        </w:rPr>
        <w:footnoteRef/>
      </w:r>
      <w:r>
        <w:t xml:space="preserve"> </w:t>
      </w:r>
      <w:r>
        <w:tab/>
        <w:t xml:space="preserve">NER, clause </w:t>
      </w:r>
      <w:r w:rsidRPr="00713B38">
        <w:t>S6.2.2B</w:t>
      </w:r>
      <w:r>
        <w:t>.</w:t>
      </w:r>
    </w:p>
  </w:footnote>
  <w:footnote w:id="218">
    <w:p w:rsidR="003434F8" w:rsidRDefault="003434F8" w:rsidP="00C1300B">
      <w:pPr>
        <w:pStyle w:val="FootnoteText"/>
      </w:pPr>
      <w:r>
        <w:rPr>
          <w:rStyle w:val="FootnoteReference"/>
        </w:rPr>
        <w:footnoteRef/>
      </w:r>
      <w:r>
        <w:t xml:space="preserve"> </w:t>
      </w:r>
      <w:r>
        <w:tab/>
        <w:t xml:space="preserve">NER, clause </w:t>
      </w:r>
      <w:r w:rsidRPr="00E63564">
        <w:t>6.4A(b)(3)</w:t>
      </w:r>
      <w:r>
        <w:t>.</w:t>
      </w:r>
    </w:p>
  </w:footnote>
  <w:footnote w:id="219">
    <w:p w:rsidR="003434F8" w:rsidRDefault="003434F8" w:rsidP="00C1300B">
      <w:pPr>
        <w:pStyle w:val="FootnoteText"/>
      </w:pPr>
      <w:r>
        <w:rPr>
          <w:rStyle w:val="FootnoteReference"/>
        </w:rPr>
        <w:footnoteRef/>
      </w:r>
      <w:r>
        <w:tab/>
      </w:r>
      <w:r>
        <w:rPr>
          <w:rFonts w:eastAsia="Calibri"/>
        </w:rPr>
        <w:t xml:space="preserve">NER, clause </w:t>
      </w:r>
      <w:r>
        <w:t>S6.2.2B.</w:t>
      </w:r>
    </w:p>
  </w:footnote>
  <w:footnote w:id="220">
    <w:p w:rsidR="003434F8" w:rsidRDefault="003434F8" w:rsidP="00C1300B">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pp. 10</w:t>
      </w:r>
      <w:r>
        <w:rPr>
          <w:rFonts w:cs="Gautami"/>
        </w:rPr>
        <w:t>–</w:t>
      </w:r>
      <w:r>
        <w:t>12.</w:t>
      </w:r>
    </w:p>
  </w:footnote>
  <w:footnote w:id="221">
    <w:p w:rsidR="003434F8" w:rsidRDefault="003434F8" w:rsidP="00C1300B">
      <w:pPr>
        <w:pStyle w:val="FootnoteText"/>
      </w:pPr>
      <w:r>
        <w:rPr>
          <w:rStyle w:val="FootnoteReference"/>
        </w:rPr>
        <w:footnoteRef/>
      </w:r>
      <w:r>
        <w:t xml:space="preserve"> </w:t>
      </w:r>
      <w:r>
        <w:tab/>
        <w:t xml:space="preserve">Our ex post capex measures are set out in the capex incentives guideline, AER </w:t>
      </w:r>
      <w:r w:rsidRPr="00AE091F">
        <w:rPr>
          <w:rStyle w:val="AERtextitalic"/>
        </w:rPr>
        <w:t>capex incentives guideline</w:t>
      </w:r>
      <w:r>
        <w:t xml:space="preserve">, pp. 13–19; the guideline also sets out how all our capex incentive measures </w:t>
      </w:r>
      <w:r w:rsidRPr="008269B2">
        <w:t>are consistent with the capex incentive objective</w:t>
      </w:r>
      <w:r>
        <w:t xml:space="preserve">, AER </w:t>
      </w:r>
      <w:r w:rsidRPr="003162D2">
        <w:rPr>
          <w:rStyle w:val="AERtextitalic"/>
        </w:rPr>
        <w:t>capex incentives guideline</w:t>
      </w:r>
      <w:r>
        <w:t>, pp. 20–21.</w:t>
      </w:r>
    </w:p>
  </w:footnote>
  <w:footnote w:id="222">
    <w:p w:rsidR="003434F8" w:rsidRDefault="003434F8" w:rsidP="007B0521">
      <w:pPr>
        <w:pStyle w:val="FootnoteText"/>
      </w:pPr>
      <w:r>
        <w:rPr>
          <w:rStyle w:val="FootnoteReference"/>
        </w:rPr>
        <w:footnoteRef/>
      </w:r>
      <w:r>
        <w:t xml:space="preserve"> </w:t>
      </w:r>
      <w:r>
        <w:tab/>
        <w:t xml:space="preserve">NER, clause 6.8.1(c)(1). </w:t>
      </w:r>
    </w:p>
  </w:footnote>
  <w:footnote w:id="223">
    <w:p w:rsidR="003434F8" w:rsidRDefault="003434F8" w:rsidP="007B0521">
      <w:pPr>
        <w:pStyle w:val="FootnoteText"/>
      </w:pPr>
      <w:r>
        <w:rPr>
          <w:rStyle w:val="FootnoteReference"/>
        </w:rPr>
        <w:footnoteRef/>
      </w:r>
      <w:r>
        <w:t xml:space="preserve"> </w:t>
      </w:r>
      <w:r>
        <w:tab/>
        <w:t>NER, clause 6.8.1(g).</w:t>
      </w:r>
    </w:p>
  </w:footnote>
  <w:footnote w:id="224">
    <w:p w:rsidR="003434F8" w:rsidRDefault="003434F8" w:rsidP="00285132">
      <w:pPr>
        <w:pStyle w:val="FootnoteText"/>
      </w:pPr>
      <w:r>
        <w:rPr>
          <w:rStyle w:val="FootnoteReference"/>
        </w:rPr>
        <w:footnoteRef/>
      </w:r>
      <w:r>
        <w:t xml:space="preserve"> </w:t>
      </w:r>
      <w:r>
        <w:tab/>
        <w:t>NER, clauses 6.8.1(b)(1)(ii) and 6.25(b).</w:t>
      </w:r>
    </w:p>
  </w:footnote>
  <w:footnote w:id="225">
    <w:p w:rsidR="003434F8" w:rsidRPr="00023A57" w:rsidRDefault="003434F8" w:rsidP="004B5F42">
      <w:pPr>
        <w:pStyle w:val="FootnoteText"/>
      </w:pPr>
      <w:r>
        <w:rPr>
          <w:rStyle w:val="FootnoteReference"/>
        </w:rPr>
        <w:footnoteRef/>
      </w:r>
      <w:r>
        <w:t xml:space="preserve"> </w:t>
      </w:r>
      <w:r>
        <w:tab/>
        <w:t>Energy and Resources Legislation Amendment Bill 2010, Explanatory Memorandum, p.10.</w:t>
      </w:r>
    </w:p>
  </w:footnote>
  <w:footnote w:id="226">
    <w:p w:rsidR="003434F8" w:rsidRDefault="003434F8" w:rsidP="008B1835">
      <w:pPr>
        <w:pStyle w:val="FootnoteText"/>
      </w:pPr>
      <w:r>
        <w:rPr>
          <w:rStyle w:val="FootnoteReference"/>
        </w:rPr>
        <w:footnoteRef/>
      </w:r>
      <w:r>
        <w:t xml:space="preserve"> </w:t>
      </w:r>
      <w:r>
        <w:tab/>
        <w:t xml:space="preserve">NER, clause 6.2.1(c). </w:t>
      </w:r>
    </w:p>
  </w:footnote>
  <w:footnote w:id="227">
    <w:p w:rsidR="003434F8" w:rsidRDefault="003434F8" w:rsidP="008B1835">
      <w:pPr>
        <w:pStyle w:val="FootnoteText"/>
      </w:pPr>
      <w:r>
        <w:rPr>
          <w:rStyle w:val="FootnoteReference"/>
        </w:rPr>
        <w:footnoteRef/>
      </w:r>
      <w:r>
        <w:t xml:space="preserve"> </w:t>
      </w:r>
      <w:r>
        <w:tab/>
        <w:t>NEL, s. 2F.</w:t>
      </w:r>
    </w:p>
  </w:footnote>
  <w:footnote w:id="228">
    <w:p w:rsidR="003434F8" w:rsidRDefault="003434F8" w:rsidP="008B1835">
      <w:pPr>
        <w:pStyle w:val="FootnoteText"/>
      </w:pPr>
      <w:r>
        <w:rPr>
          <w:rStyle w:val="FootnoteReference"/>
        </w:rPr>
        <w:footnoteRef/>
      </w:r>
      <w:r>
        <w:t xml:space="preserve"> </w:t>
      </w:r>
      <w:r>
        <w:tab/>
        <w:t xml:space="preserve">NER, clause 6.2.1(c)(2). </w:t>
      </w:r>
    </w:p>
  </w:footnote>
  <w:footnote w:id="229">
    <w:p w:rsidR="003434F8" w:rsidRDefault="003434F8" w:rsidP="008B1835">
      <w:pPr>
        <w:pStyle w:val="FootnoteText"/>
      </w:pPr>
      <w:r>
        <w:rPr>
          <w:rStyle w:val="FootnoteReference"/>
        </w:rPr>
        <w:footnoteRef/>
      </w:r>
      <w:r>
        <w:t xml:space="preserve"> </w:t>
      </w:r>
      <w:r>
        <w:tab/>
        <w:t xml:space="preserve">NER, clause 6.2.1(c)(3). </w:t>
      </w:r>
    </w:p>
  </w:footnote>
  <w:footnote w:id="230">
    <w:p w:rsidR="003434F8" w:rsidRDefault="003434F8" w:rsidP="008B1835">
      <w:pPr>
        <w:pStyle w:val="FootnoteText"/>
      </w:pPr>
      <w:r>
        <w:rPr>
          <w:rStyle w:val="FootnoteReference"/>
        </w:rPr>
        <w:footnoteRef/>
      </w:r>
      <w:r>
        <w:t xml:space="preserve"> </w:t>
      </w:r>
      <w:r>
        <w:tab/>
        <w:t>NER, clause 6.2.1(c).</w:t>
      </w:r>
    </w:p>
  </w:footnote>
  <w:footnote w:id="231">
    <w:p w:rsidR="003434F8" w:rsidRDefault="003434F8" w:rsidP="008B1835">
      <w:pPr>
        <w:pStyle w:val="FootnoteText"/>
      </w:pPr>
      <w:r>
        <w:rPr>
          <w:rStyle w:val="FootnoteReference"/>
        </w:rPr>
        <w:footnoteRef/>
      </w:r>
      <w:r>
        <w:t xml:space="preserve"> </w:t>
      </w:r>
      <w:r>
        <w:tab/>
        <w:t>NER, clause 6.2.1(d).</w:t>
      </w:r>
    </w:p>
  </w:footnote>
  <w:footnote w:id="232">
    <w:p w:rsidR="003434F8" w:rsidRDefault="003434F8" w:rsidP="008B1835">
      <w:pPr>
        <w:pStyle w:val="FootnoteText"/>
      </w:pPr>
      <w:r>
        <w:rPr>
          <w:rStyle w:val="FootnoteReference"/>
        </w:rPr>
        <w:footnoteRef/>
      </w:r>
      <w:r>
        <w:t xml:space="preserve"> </w:t>
      </w:r>
      <w:r>
        <w:tab/>
        <w:t xml:space="preserve">NER, clause 6.2.2(c). </w:t>
      </w:r>
    </w:p>
  </w:footnote>
  <w:footnote w:id="233">
    <w:p w:rsidR="003434F8" w:rsidRDefault="003434F8" w:rsidP="008B1835">
      <w:pPr>
        <w:pStyle w:val="FootnoteText"/>
      </w:pPr>
      <w:r>
        <w:rPr>
          <w:rStyle w:val="FootnoteReference"/>
        </w:rPr>
        <w:footnoteRef/>
      </w:r>
      <w:r>
        <w:t xml:space="preserve"> </w:t>
      </w:r>
      <w:r>
        <w:tab/>
        <w:t>NER, clause 6.2.2(c).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AB91CD4"/>
    <w:multiLevelType w:val="multilevel"/>
    <w:tmpl w:val="3D7897B2"/>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102140"/>
    <w:multiLevelType w:val="multilevel"/>
    <w:tmpl w:val="39D4CB02"/>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39D4CB02"/>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39D4CB02"/>
    <w:numStyleLink w:val="AERnumberedlist"/>
  </w:abstractNum>
  <w:abstractNum w:abstractNumId="9">
    <w:nsid w:val="233428C7"/>
    <w:multiLevelType w:val="multilevel"/>
    <w:tmpl w:val="39D4CB02"/>
    <w:numStyleLink w:val="AERnumberedlist"/>
  </w:abstractNum>
  <w:abstractNum w:abstractNumId="10">
    <w:nsid w:val="26C630D0"/>
    <w:multiLevelType w:val="hybridMultilevel"/>
    <w:tmpl w:val="A46C656E"/>
    <w:lvl w:ilvl="0" w:tplc="17E04C8C">
      <w:start w:val="3"/>
      <w:numFmt w:val="bullet"/>
      <w:lvlText w:val="-"/>
      <w:lvlJc w:val="left"/>
      <w:pPr>
        <w:ind w:left="720" w:hanging="360"/>
      </w:pPr>
      <w:rPr>
        <w:rFonts w:ascii="Gautami" w:eastAsia="Times New Roman" w:hAnsi="Gautami" w:cs="Gautami" w:hint="default"/>
      </w:rPr>
    </w:lvl>
    <w:lvl w:ilvl="1" w:tplc="F5763026" w:tentative="1">
      <w:start w:val="1"/>
      <w:numFmt w:val="bullet"/>
      <w:lvlText w:val="o"/>
      <w:lvlJc w:val="left"/>
      <w:pPr>
        <w:ind w:left="1440" w:hanging="360"/>
      </w:pPr>
      <w:rPr>
        <w:rFonts w:ascii="Courier New" w:hAnsi="Courier New" w:cs="Courier New" w:hint="default"/>
      </w:rPr>
    </w:lvl>
    <w:lvl w:ilvl="2" w:tplc="9228AFF4" w:tentative="1">
      <w:start w:val="1"/>
      <w:numFmt w:val="bullet"/>
      <w:lvlText w:val=""/>
      <w:lvlJc w:val="left"/>
      <w:pPr>
        <w:ind w:left="2160" w:hanging="360"/>
      </w:pPr>
      <w:rPr>
        <w:rFonts w:ascii="Wingdings" w:hAnsi="Wingdings" w:hint="default"/>
      </w:rPr>
    </w:lvl>
    <w:lvl w:ilvl="3" w:tplc="A9B87132" w:tentative="1">
      <w:start w:val="1"/>
      <w:numFmt w:val="bullet"/>
      <w:lvlText w:val=""/>
      <w:lvlJc w:val="left"/>
      <w:pPr>
        <w:ind w:left="2880" w:hanging="360"/>
      </w:pPr>
      <w:rPr>
        <w:rFonts w:ascii="Symbol" w:hAnsi="Symbol" w:hint="default"/>
      </w:rPr>
    </w:lvl>
    <w:lvl w:ilvl="4" w:tplc="0166E9C4" w:tentative="1">
      <w:start w:val="1"/>
      <w:numFmt w:val="bullet"/>
      <w:lvlText w:val="o"/>
      <w:lvlJc w:val="left"/>
      <w:pPr>
        <w:ind w:left="3600" w:hanging="360"/>
      </w:pPr>
      <w:rPr>
        <w:rFonts w:ascii="Courier New" w:hAnsi="Courier New" w:cs="Courier New" w:hint="default"/>
      </w:rPr>
    </w:lvl>
    <w:lvl w:ilvl="5" w:tplc="8F8A2E6E" w:tentative="1">
      <w:start w:val="1"/>
      <w:numFmt w:val="bullet"/>
      <w:lvlText w:val=""/>
      <w:lvlJc w:val="left"/>
      <w:pPr>
        <w:ind w:left="4320" w:hanging="360"/>
      </w:pPr>
      <w:rPr>
        <w:rFonts w:ascii="Wingdings" w:hAnsi="Wingdings" w:hint="default"/>
      </w:rPr>
    </w:lvl>
    <w:lvl w:ilvl="6" w:tplc="81FABF52" w:tentative="1">
      <w:start w:val="1"/>
      <w:numFmt w:val="bullet"/>
      <w:lvlText w:val=""/>
      <w:lvlJc w:val="left"/>
      <w:pPr>
        <w:ind w:left="5040" w:hanging="360"/>
      </w:pPr>
      <w:rPr>
        <w:rFonts w:ascii="Symbol" w:hAnsi="Symbol" w:hint="default"/>
      </w:rPr>
    </w:lvl>
    <w:lvl w:ilvl="7" w:tplc="4F10AEEA" w:tentative="1">
      <w:start w:val="1"/>
      <w:numFmt w:val="bullet"/>
      <w:lvlText w:val="o"/>
      <w:lvlJc w:val="left"/>
      <w:pPr>
        <w:ind w:left="5760" w:hanging="360"/>
      </w:pPr>
      <w:rPr>
        <w:rFonts w:ascii="Courier New" w:hAnsi="Courier New" w:cs="Courier New" w:hint="default"/>
      </w:rPr>
    </w:lvl>
    <w:lvl w:ilvl="8" w:tplc="D8F019A4" w:tentative="1">
      <w:start w:val="1"/>
      <w:numFmt w:val="bullet"/>
      <w:lvlText w:val=""/>
      <w:lvlJc w:val="left"/>
      <w:pPr>
        <w:ind w:left="6480" w:hanging="360"/>
      </w:pPr>
      <w:rPr>
        <w:rFonts w:ascii="Wingdings" w:hAnsi="Wingdings" w:hint="default"/>
      </w:rPr>
    </w:lvl>
  </w:abstractNum>
  <w:abstractNum w:abstractNumId="11">
    <w:nsid w:val="2776270C"/>
    <w:multiLevelType w:val="multilevel"/>
    <w:tmpl w:val="39D4CB02"/>
    <w:numStyleLink w:val="AERnumberedlist"/>
  </w:abstractNum>
  <w:abstractNum w:abstractNumId="12">
    <w:nsid w:val="281977C0"/>
    <w:multiLevelType w:val="multilevel"/>
    <w:tmpl w:val="950A1C52"/>
    <w:numStyleLink w:val="AERHeadings"/>
  </w:abstractNum>
  <w:abstractNum w:abstractNumId="13">
    <w:nsid w:val="28934CBD"/>
    <w:multiLevelType w:val="hybridMultilevel"/>
    <w:tmpl w:val="67767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5C7239"/>
    <w:multiLevelType w:val="multilevel"/>
    <w:tmpl w:val="950A1C52"/>
    <w:numStyleLink w:val="AERHeadings"/>
  </w:abstractNum>
  <w:abstractNum w:abstractNumId="15">
    <w:nsid w:val="2C2D6B9E"/>
    <w:multiLevelType w:val="multilevel"/>
    <w:tmpl w:val="950A1C52"/>
    <w:numStyleLink w:val="AERHeadings"/>
  </w:abstractNum>
  <w:abstractNum w:abstractNumId="16">
    <w:nsid w:val="2DB12A3A"/>
    <w:multiLevelType w:val="multilevel"/>
    <w:tmpl w:val="950A1C52"/>
    <w:numStyleLink w:val="AERHeadings"/>
  </w:abstractNum>
  <w:abstractNum w:abstractNumId="17">
    <w:nsid w:val="2DF54A52"/>
    <w:multiLevelType w:val="hybridMultilevel"/>
    <w:tmpl w:val="EA96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33E0E05"/>
    <w:multiLevelType w:val="multilevel"/>
    <w:tmpl w:val="950A1C52"/>
    <w:numStyleLink w:val="AERHeadings"/>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721288"/>
    <w:multiLevelType w:val="multilevel"/>
    <w:tmpl w:val="950A1C52"/>
    <w:numStyleLink w:val="AERHeadings"/>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F037C49"/>
    <w:multiLevelType w:val="multilevel"/>
    <w:tmpl w:val="39D4CB02"/>
    <w:numStyleLink w:val="AERnumberedlist"/>
  </w:abstractNum>
  <w:abstractNum w:abstractNumId="27">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1807103"/>
    <w:multiLevelType w:val="multilevel"/>
    <w:tmpl w:val="39D4CB02"/>
    <w:numStyleLink w:val="AERnumberedlist"/>
  </w:abstractNum>
  <w:abstractNum w:abstractNumId="30">
    <w:nsid w:val="55C93D93"/>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D386EA7"/>
    <w:multiLevelType w:val="multilevel"/>
    <w:tmpl w:val="950A1C52"/>
    <w:numStyleLink w:val="AERHeadings"/>
  </w:abstractNum>
  <w:abstractNum w:abstractNumId="32">
    <w:nsid w:val="5DCC1B18"/>
    <w:multiLevelType w:val="multilevel"/>
    <w:tmpl w:val="39D4CB02"/>
    <w:numStyleLink w:val="AERnumberedlist"/>
  </w:abstractNum>
  <w:abstractNum w:abstractNumId="33">
    <w:nsid w:val="68247CF7"/>
    <w:multiLevelType w:val="multilevel"/>
    <w:tmpl w:val="950A1C52"/>
    <w:numStyleLink w:val="AERHeadings"/>
  </w:abstractNum>
  <w:abstractNum w:abstractNumId="34">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B766131"/>
    <w:multiLevelType w:val="hybridMultilevel"/>
    <w:tmpl w:val="AC421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595980"/>
    <w:multiLevelType w:val="multilevel"/>
    <w:tmpl w:val="950A1C52"/>
    <w:numStyleLink w:val="AERHeadings"/>
  </w:abstractNum>
  <w:abstractNum w:abstractNumId="37">
    <w:nsid w:val="74F81DDF"/>
    <w:multiLevelType w:val="multilevel"/>
    <w:tmpl w:val="950A1C52"/>
    <w:numStyleLink w:val="AERHeadings"/>
  </w:abstractNum>
  <w:abstractNum w:abstractNumId="38">
    <w:nsid w:val="787F66A4"/>
    <w:multiLevelType w:val="multilevel"/>
    <w:tmpl w:val="950A1C52"/>
    <w:numStyleLink w:val="AERHeadings"/>
  </w:abstractNum>
  <w:abstractNum w:abstractNumId="39">
    <w:nsid w:val="7AAC6DD7"/>
    <w:multiLevelType w:val="multilevel"/>
    <w:tmpl w:val="950A1C52"/>
    <w:numStyleLink w:val="AERHeadings"/>
  </w:abstractNum>
  <w:abstractNum w:abstractNumId="40">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E97BF8"/>
    <w:multiLevelType w:val="multilevel"/>
    <w:tmpl w:val="950A1C52"/>
    <w:numStyleLink w:val="AERHeadings"/>
  </w:abstractNum>
  <w:abstractNum w:abstractNumId="42">
    <w:nsid w:val="7CDA0F5F"/>
    <w:multiLevelType w:val="multilevel"/>
    <w:tmpl w:val="950A1C52"/>
    <w:numStyleLink w:val="AERHeadings"/>
  </w:abstractNum>
  <w:num w:numId="1">
    <w:abstractNumId w:val="34"/>
  </w:num>
  <w:num w:numId="2">
    <w:abstractNumId w:val="18"/>
  </w:num>
  <w:num w:numId="3">
    <w:abstractNumId w:val="2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5"/>
    <w:lvlOverride w:ilvl="0">
      <w:startOverride w:val="1"/>
    </w:lvlOverride>
  </w:num>
  <w:num w:numId="7">
    <w:abstractNumId w:val="23"/>
  </w:num>
  <w:num w:numId="8">
    <w:abstractNumId w:val="20"/>
  </w:num>
  <w:num w:numId="9">
    <w:abstractNumId w:val="40"/>
  </w:num>
  <w:num w:numId="10">
    <w:abstractNumId w:val="25"/>
    <w:lvlOverride w:ilvl="0">
      <w:startOverride w:val="1"/>
    </w:lvlOverride>
  </w:num>
  <w:num w:numId="11">
    <w:abstractNumId w:val="1"/>
  </w:num>
  <w:num w:numId="12">
    <w:abstractNumId w:val="25"/>
    <w:lvlOverride w:ilvl="0">
      <w:startOverride w:val="1"/>
    </w:lvlOverride>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6"/>
  </w:num>
  <w:num w:numId="18">
    <w:abstractNumId w:val="8"/>
  </w:num>
  <w:num w:numId="19">
    <w:abstractNumId w:val="11"/>
  </w:num>
  <w:num w:numId="20">
    <w:abstractNumId w:val="37"/>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2"/>
  </w:num>
  <w:num w:numId="28">
    <w:abstractNumId w:val="21"/>
  </w:num>
  <w:num w:numId="29">
    <w:abstractNumId w:val="12"/>
  </w:num>
  <w:num w:numId="30">
    <w:abstractNumId w:val="6"/>
  </w:num>
  <w:num w:numId="31">
    <w:abstractNumId w:val="0"/>
  </w:num>
  <w:num w:numId="32">
    <w:abstractNumId w:val="7"/>
  </w:num>
  <w:num w:numId="33">
    <w:abstractNumId w:val="38"/>
  </w:num>
  <w:num w:numId="34">
    <w:abstractNumId w:val="33"/>
  </w:num>
  <w:num w:numId="35">
    <w:abstractNumId w:val="36"/>
  </w:num>
  <w:num w:numId="36">
    <w:abstractNumId w:val="41"/>
  </w:num>
  <w:num w:numId="37">
    <w:abstractNumId w:val="31"/>
  </w:num>
  <w:num w:numId="38">
    <w:abstractNumId w:val="15"/>
  </w:num>
  <w:num w:numId="39">
    <w:abstractNumId w:val="16"/>
  </w:num>
  <w:num w:numId="40">
    <w:abstractNumId w:val="24"/>
  </w:num>
  <w:num w:numId="41">
    <w:abstractNumId w:val="29"/>
  </w:num>
  <w:num w:numId="42">
    <w:abstractNumId w:val="5"/>
  </w:num>
  <w:num w:numId="43">
    <w:abstractNumId w:val="39"/>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4">
    <w:abstractNumId w:val="27"/>
  </w:num>
  <w:num w:numId="45">
    <w:abstractNumId w:val="39"/>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17"/>
  </w:num>
  <w:num w:numId="47">
    <w:abstractNumId w:val="39"/>
  </w:num>
  <w:num w:numId="48">
    <w:abstractNumId w:val="10"/>
  </w:num>
  <w:num w:numId="49">
    <w:abstractNumId w:val="30"/>
  </w:num>
  <w:num w:numId="50">
    <w:abstractNumId w:val="35"/>
  </w:num>
  <w:num w:numId="51">
    <w:abstractNumId w:val="13"/>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formatting="1" w:enforcement="1"/>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C:\Documents and Settings\tpits\Local Settings\Temporary Internet Files\Content.Outlook\9BPVXH9C\Victorian FA - Decision to replace and preliminary positions.DOCX"/>
  </w:docVars>
  <w:rsids>
    <w:rsidRoot w:val="000C052F"/>
    <w:rsid w:val="00011129"/>
    <w:rsid w:val="00013771"/>
    <w:rsid w:val="00020F3A"/>
    <w:rsid w:val="00022606"/>
    <w:rsid w:val="00026623"/>
    <w:rsid w:val="00033E99"/>
    <w:rsid w:val="00034354"/>
    <w:rsid w:val="000373AE"/>
    <w:rsid w:val="00040599"/>
    <w:rsid w:val="00040749"/>
    <w:rsid w:val="00042E15"/>
    <w:rsid w:val="000431E2"/>
    <w:rsid w:val="00052DFA"/>
    <w:rsid w:val="00053F5C"/>
    <w:rsid w:val="000542B1"/>
    <w:rsid w:val="00055EED"/>
    <w:rsid w:val="000562AD"/>
    <w:rsid w:val="00057936"/>
    <w:rsid w:val="00062B8B"/>
    <w:rsid w:val="00066C46"/>
    <w:rsid w:val="00074981"/>
    <w:rsid w:val="0007535C"/>
    <w:rsid w:val="00075EAB"/>
    <w:rsid w:val="00080E80"/>
    <w:rsid w:val="000822EC"/>
    <w:rsid w:val="00084259"/>
    <w:rsid w:val="0008618A"/>
    <w:rsid w:val="00087FD0"/>
    <w:rsid w:val="00091EF0"/>
    <w:rsid w:val="00093561"/>
    <w:rsid w:val="0009397F"/>
    <w:rsid w:val="0009725D"/>
    <w:rsid w:val="000A1CC2"/>
    <w:rsid w:val="000A1F17"/>
    <w:rsid w:val="000A5342"/>
    <w:rsid w:val="000B15CA"/>
    <w:rsid w:val="000B54A9"/>
    <w:rsid w:val="000C052F"/>
    <w:rsid w:val="000C0986"/>
    <w:rsid w:val="000C0FD2"/>
    <w:rsid w:val="000C3173"/>
    <w:rsid w:val="000C3430"/>
    <w:rsid w:val="000D03C2"/>
    <w:rsid w:val="000D04B1"/>
    <w:rsid w:val="000D0FAA"/>
    <w:rsid w:val="000D3E6A"/>
    <w:rsid w:val="000D401F"/>
    <w:rsid w:val="000D4047"/>
    <w:rsid w:val="000D4B25"/>
    <w:rsid w:val="000D55E9"/>
    <w:rsid w:val="000E07AE"/>
    <w:rsid w:val="000E1A25"/>
    <w:rsid w:val="000E3DF2"/>
    <w:rsid w:val="000E6995"/>
    <w:rsid w:val="000F191B"/>
    <w:rsid w:val="000F3A6A"/>
    <w:rsid w:val="000F6F7C"/>
    <w:rsid w:val="001033B3"/>
    <w:rsid w:val="0010533F"/>
    <w:rsid w:val="00105460"/>
    <w:rsid w:val="00105636"/>
    <w:rsid w:val="00105E06"/>
    <w:rsid w:val="00107ADF"/>
    <w:rsid w:val="001109C0"/>
    <w:rsid w:val="00122563"/>
    <w:rsid w:val="00123517"/>
    <w:rsid w:val="00123C9D"/>
    <w:rsid w:val="0012751A"/>
    <w:rsid w:val="0013022D"/>
    <w:rsid w:val="0013033D"/>
    <w:rsid w:val="00140DDF"/>
    <w:rsid w:val="001512EF"/>
    <w:rsid w:val="001543D2"/>
    <w:rsid w:val="00155726"/>
    <w:rsid w:val="00161F13"/>
    <w:rsid w:val="001665FC"/>
    <w:rsid w:val="00167C00"/>
    <w:rsid w:val="0017084C"/>
    <w:rsid w:val="00170E10"/>
    <w:rsid w:val="00174026"/>
    <w:rsid w:val="00175CCA"/>
    <w:rsid w:val="001765E6"/>
    <w:rsid w:val="0018088A"/>
    <w:rsid w:val="00181ED8"/>
    <w:rsid w:val="001856EE"/>
    <w:rsid w:val="0018792F"/>
    <w:rsid w:val="00190309"/>
    <w:rsid w:val="00190602"/>
    <w:rsid w:val="00194C3C"/>
    <w:rsid w:val="001950F7"/>
    <w:rsid w:val="001A019C"/>
    <w:rsid w:val="001A2726"/>
    <w:rsid w:val="001A4950"/>
    <w:rsid w:val="001A5F4C"/>
    <w:rsid w:val="001A7722"/>
    <w:rsid w:val="001A7D01"/>
    <w:rsid w:val="001B1E76"/>
    <w:rsid w:val="001C07F3"/>
    <w:rsid w:val="001C12E5"/>
    <w:rsid w:val="001C5A3D"/>
    <w:rsid w:val="001D5A72"/>
    <w:rsid w:val="001D6A8D"/>
    <w:rsid w:val="001D77B7"/>
    <w:rsid w:val="001E76B5"/>
    <w:rsid w:val="001F171F"/>
    <w:rsid w:val="001F3C68"/>
    <w:rsid w:val="001F66E8"/>
    <w:rsid w:val="001F6C13"/>
    <w:rsid w:val="00200B8B"/>
    <w:rsid w:val="00200E9A"/>
    <w:rsid w:val="00202F48"/>
    <w:rsid w:val="0020361C"/>
    <w:rsid w:val="002049D3"/>
    <w:rsid w:val="002063B3"/>
    <w:rsid w:val="00206848"/>
    <w:rsid w:val="0020711E"/>
    <w:rsid w:val="00210613"/>
    <w:rsid w:val="00210880"/>
    <w:rsid w:val="00211E9F"/>
    <w:rsid w:val="00212B44"/>
    <w:rsid w:val="002216BB"/>
    <w:rsid w:val="002239CF"/>
    <w:rsid w:val="00225092"/>
    <w:rsid w:val="002257B9"/>
    <w:rsid w:val="00227351"/>
    <w:rsid w:val="0023137D"/>
    <w:rsid w:val="0023405C"/>
    <w:rsid w:val="00235B2D"/>
    <w:rsid w:val="00236713"/>
    <w:rsid w:val="00243C32"/>
    <w:rsid w:val="00244AF1"/>
    <w:rsid w:val="00245029"/>
    <w:rsid w:val="00247731"/>
    <w:rsid w:val="00255833"/>
    <w:rsid w:val="00260CC5"/>
    <w:rsid w:val="00264A75"/>
    <w:rsid w:val="00265962"/>
    <w:rsid w:val="00266710"/>
    <w:rsid w:val="00267E48"/>
    <w:rsid w:val="00277510"/>
    <w:rsid w:val="002805B8"/>
    <w:rsid w:val="00281A0F"/>
    <w:rsid w:val="00285132"/>
    <w:rsid w:val="002869D7"/>
    <w:rsid w:val="002938CE"/>
    <w:rsid w:val="00293D8F"/>
    <w:rsid w:val="00295919"/>
    <w:rsid w:val="002960F6"/>
    <w:rsid w:val="002A050D"/>
    <w:rsid w:val="002A39D0"/>
    <w:rsid w:val="002A5A97"/>
    <w:rsid w:val="002B1A88"/>
    <w:rsid w:val="002B39CB"/>
    <w:rsid w:val="002B6640"/>
    <w:rsid w:val="002B6D2E"/>
    <w:rsid w:val="002B764C"/>
    <w:rsid w:val="002C4ED1"/>
    <w:rsid w:val="002C582A"/>
    <w:rsid w:val="002C7A3C"/>
    <w:rsid w:val="002D360F"/>
    <w:rsid w:val="002D3C7C"/>
    <w:rsid w:val="002D61AC"/>
    <w:rsid w:val="002E1118"/>
    <w:rsid w:val="002E1205"/>
    <w:rsid w:val="002E15F8"/>
    <w:rsid w:val="002E3EF6"/>
    <w:rsid w:val="002E4720"/>
    <w:rsid w:val="002F0B15"/>
    <w:rsid w:val="002F2718"/>
    <w:rsid w:val="002F35B6"/>
    <w:rsid w:val="002F4AE2"/>
    <w:rsid w:val="002F58A5"/>
    <w:rsid w:val="003031E7"/>
    <w:rsid w:val="00303452"/>
    <w:rsid w:val="00313FC6"/>
    <w:rsid w:val="003169CA"/>
    <w:rsid w:val="003177E7"/>
    <w:rsid w:val="00326D39"/>
    <w:rsid w:val="003324F7"/>
    <w:rsid w:val="00334F88"/>
    <w:rsid w:val="003356C0"/>
    <w:rsid w:val="00342EE6"/>
    <w:rsid w:val="003434F8"/>
    <w:rsid w:val="003515FC"/>
    <w:rsid w:val="00355473"/>
    <w:rsid w:val="00355E85"/>
    <w:rsid w:val="00361B51"/>
    <w:rsid w:val="003621FD"/>
    <w:rsid w:val="00362A42"/>
    <w:rsid w:val="00364CA2"/>
    <w:rsid w:val="003659D5"/>
    <w:rsid w:val="003676CE"/>
    <w:rsid w:val="003677BC"/>
    <w:rsid w:val="003707DB"/>
    <w:rsid w:val="003739D1"/>
    <w:rsid w:val="00375AEC"/>
    <w:rsid w:val="00376236"/>
    <w:rsid w:val="0037625E"/>
    <w:rsid w:val="0037652C"/>
    <w:rsid w:val="003800E4"/>
    <w:rsid w:val="00380FF5"/>
    <w:rsid w:val="00382251"/>
    <w:rsid w:val="00385A87"/>
    <w:rsid w:val="00385C80"/>
    <w:rsid w:val="00390314"/>
    <w:rsid w:val="00391E93"/>
    <w:rsid w:val="00392581"/>
    <w:rsid w:val="00396A6A"/>
    <w:rsid w:val="003971D8"/>
    <w:rsid w:val="003A06DD"/>
    <w:rsid w:val="003A16FE"/>
    <w:rsid w:val="003A4705"/>
    <w:rsid w:val="003A6174"/>
    <w:rsid w:val="003B0F92"/>
    <w:rsid w:val="003B47DE"/>
    <w:rsid w:val="003B4DE1"/>
    <w:rsid w:val="003B675B"/>
    <w:rsid w:val="003B67CF"/>
    <w:rsid w:val="003B7B3E"/>
    <w:rsid w:val="003C051B"/>
    <w:rsid w:val="003C3579"/>
    <w:rsid w:val="003C5962"/>
    <w:rsid w:val="003D76EA"/>
    <w:rsid w:val="003D7990"/>
    <w:rsid w:val="003E0472"/>
    <w:rsid w:val="003E2CB0"/>
    <w:rsid w:val="003F32CF"/>
    <w:rsid w:val="00401721"/>
    <w:rsid w:val="004030AB"/>
    <w:rsid w:val="00403D07"/>
    <w:rsid w:val="00405518"/>
    <w:rsid w:val="0040596D"/>
    <w:rsid w:val="00405D5E"/>
    <w:rsid w:val="00406E8B"/>
    <w:rsid w:val="00412282"/>
    <w:rsid w:val="004131F5"/>
    <w:rsid w:val="004140E0"/>
    <w:rsid w:val="00417CEC"/>
    <w:rsid w:val="004220A4"/>
    <w:rsid w:val="004232C3"/>
    <w:rsid w:val="004256BA"/>
    <w:rsid w:val="00425F12"/>
    <w:rsid w:val="004306B6"/>
    <w:rsid w:val="00431999"/>
    <w:rsid w:val="00432E14"/>
    <w:rsid w:val="00434CCF"/>
    <w:rsid w:val="004355BB"/>
    <w:rsid w:val="00435682"/>
    <w:rsid w:val="00445DAE"/>
    <w:rsid w:val="0045178E"/>
    <w:rsid w:val="00452440"/>
    <w:rsid w:val="004530D4"/>
    <w:rsid w:val="00455C46"/>
    <w:rsid w:val="00456081"/>
    <w:rsid w:val="00463F16"/>
    <w:rsid w:val="00464F5D"/>
    <w:rsid w:val="004706EE"/>
    <w:rsid w:val="00474FBD"/>
    <w:rsid w:val="00476ACA"/>
    <w:rsid w:val="004806F5"/>
    <w:rsid w:val="004814F2"/>
    <w:rsid w:val="00491D7D"/>
    <w:rsid w:val="00491ECF"/>
    <w:rsid w:val="00496EDC"/>
    <w:rsid w:val="004A0D81"/>
    <w:rsid w:val="004A542F"/>
    <w:rsid w:val="004B5D32"/>
    <w:rsid w:val="004B5F42"/>
    <w:rsid w:val="004C0C5C"/>
    <w:rsid w:val="004C3F45"/>
    <w:rsid w:val="004C53B6"/>
    <w:rsid w:val="004C673C"/>
    <w:rsid w:val="004C6DF4"/>
    <w:rsid w:val="004D6A24"/>
    <w:rsid w:val="004D726C"/>
    <w:rsid w:val="004E28D8"/>
    <w:rsid w:val="004E40EF"/>
    <w:rsid w:val="004E6204"/>
    <w:rsid w:val="004E73F7"/>
    <w:rsid w:val="004E760A"/>
    <w:rsid w:val="004F0AE8"/>
    <w:rsid w:val="004F0FDB"/>
    <w:rsid w:val="004F182E"/>
    <w:rsid w:val="004F5C72"/>
    <w:rsid w:val="004F6AD1"/>
    <w:rsid w:val="004F76A0"/>
    <w:rsid w:val="00500E7F"/>
    <w:rsid w:val="00504001"/>
    <w:rsid w:val="005060A2"/>
    <w:rsid w:val="00510A67"/>
    <w:rsid w:val="0051551D"/>
    <w:rsid w:val="0052179D"/>
    <w:rsid w:val="00531511"/>
    <w:rsid w:val="0053201E"/>
    <w:rsid w:val="0053490C"/>
    <w:rsid w:val="00536501"/>
    <w:rsid w:val="00537FB6"/>
    <w:rsid w:val="00540189"/>
    <w:rsid w:val="00541C21"/>
    <w:rsid w:val="00542D8C"/>
    <w:rsid w:val="00543F32"/>
    <w:rsid w:val="005456A9"/>
    <w:rsid w:val="00553B26"/>
    <w:rsid w:val="0055418F"/>
    <w:rsid w:val="005546EC"/>
    <w:rsid w:val="00555D52"/>
    <w:rsid w:val="005566D7"/>
    <w:rsid w:val="00557780"/>
    <w:rsid w:val="00561A64"/>
    <w:rsid w:val="00561F7F"/>
    <w:rsid w:val="005623E9"/>
    <w:rsid w:val="00562F66"/>
    <w:rsid w:val="00565606"/>
    <w:rsid w:val="0056680E"/>
    <w:rsid w:val="00566B35"/>
    <w:rsid w:val="00570A9F"/>
    <w:rsid w:val="005732CC"/>
    <w:rsid w:val="00575422"/>
    <w:rsid w:val="00575D34"/>
    <w:rsid w:val="005762DD"/>
    <w:rsid w:val="0057704F"/>
    <w:rsid w:val="0058310F"/>
    <w:rsid w:val="0058441E"/>
    <w:rsid w:val="00586E9B"/>
    <w:rsid w:val="005916D2"/>
    <w:rsid w:val="005938C6"/>
    <w:rsid w:val="00597C44"/>
    <w:rsid w:val="005A0431"/>
    <w:rsid w:val="005A4670"/>
    <w:rsid w:val="005A64CB"/>
    <w:rsid w:val="005B0D9D"/>
    <w:rsid w:val="005B10EA"/>
    <w:rsid w:val="005B2434"/>
    <w:rsid w:val="005B3752"/>
    <w:rsid w:val="005B61C2"/>
    <w:rsid w:val="005C46F7"/>
    <w:rsid w:val="005C5FB5"/>
    <w:rsid w:val="005D07CC"/>
    <w:rsid w:val="005D26B7"/>
    <w:rsid w:val="005D4AA1"/>
    <w:rsid w:val="005D738B"/>
    <w:rsid w:val="005E0ABA"/>
    <w:rsid w:val="005E553D"/>
    <w:rsid w:val="005F099B"/>
    <w:rsid w:val="005F52A6"/>
    <w:rsid w:val="005F5C50"/>
    <w:rsid w:val="006002D2"/>
    <w:rsid w:val="0060146C"/>
    <w:rsid w:val="0060207D"/>
    <w:rsid w:val="006026DA"/>
    <w:rsid w:val="00602C74"/>
    <w:rsid w:val="006039F2"/>
    <w:rsid w:val="00605E0C"/>
    <w:rsid w:val="00605E61"/>
    <w:rsid w:val="006061B0"/>
    <w:rsid w:val="00606CB1"/>
    <w:rsid w:val="0060732E"/>
    <w:rsid w:val="006076A9"/>
    <w:rsid w:val="006150A8"/>
    <w:rsid w:val="00616A26"/>
    <w:rsid w:val="00616E31"/>
    <w:rsid w:val="00624F86"/>
    <w:rsid w:val="00627716"/>
    <w:rsid w:val="00632843"/>
    <w:rsid w:val="006332D0"/>
    <w:rsid w:val="00633387"/>
    <w:rsid w:val="006336FA"/>
    <w:rsid w:val="00633A44"/>
    <w:rsid w:val="0064083C"/>
    <w:rsid w:val="00644B5D"/>
    <w:rsid w:val="006456C0"/>
    <w:rsid w:val="0064699E"/>
    <w:rsid w:val="006501DD"/>
    <w:rsid w:val="00651978"/>
    <w:rsid w:val="006544EA"/>
    <w:rsid w:val="00654743"/>
    <w:rsid w:val="00654EA0"/>
    <w:rsid w:val="006571DB"/>
    <w:rsid w:val="00657F0A"/>
    <w:rsid w:val="0066569F"/>
    <w:rsid w:val="00665E0E"/>
    <w:rsid w:val="0067285C"/>
    <w:rsid w:val="00673C1F"/>
    <w:rsid w:val="00674B91"/>
    <w:rsid w:val="0068102A"/>
    <w:rsid w:val="00682C51"/>
    <w:rsid w:val="006842F9"/>
    <w:rsid w:val="006846C9"/>
    <w:rsid w:val="00686D3A"/>
    <w:rsid w:val="0068732A"/>
    <w:rsid w:val="0069004B"/>
    <w:rsid w:val="00690D25"/>
    <w:rsid w:val="00690D7F"/>
    <w:rsid w:val="00691283"/>
    <w:rsid w:val="00694528"/>
    <w:rsid w:val="00697048"/>
    <w:rsid w:val="00697D10"/>
    <w:rsid w:val="006A23CD"/>
    <w:rsid w:val="006A312F"/>
    <w:rsid w:val="006A3871"/>
    <w:rsid w:val="006A3B83"/>
    <w:rsid w:val="006A5343"/>
    <w:rsid w:val="006A6246"/>
    <w:rsid w:val="006B0746"/>
    <w:rsid w:val="006B08EB"/>
    <w:rsid w:val="006B481F"/>
    <w:rsid w:val="006B4D49"/>
    <w:rsid w:val="006B59C6"/>
    <w:rsid w:val="006B7CD4"/>
    <w:rsid w:val="006C5BB2"/>
    <w:rsid w:val="006C650E"/>
    <w:rsid w:val="006C79BF"/>
    <w:rsid w:val="006D3937"/>
    <w:rsid w:val="006D494B"/>
    <w:rsid w:val="006D4BDB"/>
    <w:rsid w:val="006D5D49"/>
    <w:rsid w:val="006D5F57"/>
    <w:rsid w:val="006D5F68"/>
    <w:rsid w:val="006D6C1B"/>
    <w:rsid w:val="006E65D3"/>
    <w:rsid w:val="006F482A"/>
    <w:rsid w:val="006F6316"/>
    <w:rsid w:val="006F638E"/>
    <w:rsid w:val="00701E26"/>
    <w:rsid w:val="00703E42"/>
    <w:rsid w:val="00705AA9"/>
    <w:rsid w:val="00706141"/>
    <w:rsid w:val="00707381"/>
    <w:rsid w:val="00707481"/>
    <w:rsid w:val="00711DDE"/>
    <w:rsid w:val="00713BC7"/>
    <w:rsid w:val="00720654"/>
    <w:rsid w:val="0072425E"/>
    <w:rsid w:val="0072542C"/>
    <w:rsid w:val="00725AFB"/>
    <w:rsid w:val="007272F3"/>
    <w:rsid w:val="0073432D"/>
    <w:rsid w:val="007368AD"/>
    <w:rsid w:val="00740126"/>
    <w:rsid w:val="00743083"/>
    <w:rsid w:val="00751118"/>
    <w:rsid w:val="007518CE"/>
    <w:rsid w:val="00751B70"/>
    <w:rsid w:val="00751D2A"/>
    <w:rsid w:val="00755095"/>
    <w:rsid w:val="007562D4"/>
    <w:rsid w:val="00760C28"/>
    <w:rsid w:val="007626ED"/>
    <w:rsid w:val="00770C24"/>
    <w:rsid w:val="007745EA"/>
    <w:rsid w:val="00781568"/>
    <w:rsid w:val="00784A41"/>
    <w:rsid w:val="00786415"/>
    <w:rsid w:val="00790A81"/>
    <w:rsid w:val="00796A07"/>
    <w:rsid w:val="007B0521"/>
    <w:rsid w:val="007B0CA3"/>
    <w:rsid w:val="007B0CA6"/>
    <w:rsid w:val="007B177B"/>
    <w:rsid w:val="007C215A"/>
    <w:rsid w:val="007C2558"/>
    <w:rsid w:val="007D17A9"/>
    <w:rsid w:val="007D1EDB"/>
    <w:rsid w:val="007D5190"/>
    <w:rsid w:val="007E52B7"/>
    <w:rsid w:val="007F10E3"/>
    <w:rsid w:val="007F2C0E"/>
    <w:rsid w:val="007F2F9B"/>
    <w:rsid w:val="007F5354"/>
    <w:rsid w:val="007F7DF7"/>
    <w:rsid w:val="00802962"/>
    <w:rsid w:val="00804AEB"/>
    <w:rsid w:val="008112A0"/>
    <w:rsid w:val="008124ED"/>
    <w:rsid w:val="00812C29"/>
    <w:rsid w:val="00814ADA"/>
    <w:rsid w:val="00814CFB"/>
    <w:rsid w:val="00814DBC"/>
    <w:rsid w:val="00817EA5"/>
    <w:rsid w:val="00821442"/>
    <w:rsid w:val="00821636"/>
    <w:rsid w:val="00821903"/>
    <w:rsid w:val="00821F7A"/>
    <w:rsid w:val="0082366D"/>
    <w:rsid w:val="00823DEC"/>
    <w:rsid w:val="00824CC8"/>
    <w:rsid w:val="00826760"/>
    <w:rsid w:val="00826A8B"/>
    <w:rsid w:val="0083206F"/>
    <w:rsid w:val="008342CA"/>
    <w:rsid w:val="0083563D"/>
    <w:rsid w:val="00836768"/>
    <w:rsid w:val="00836D17"/>
    <w:rsid w:val="0083750A"/>
    <w:rsid w:val="00840A55"/>
    <w:rsid w:val="00841E25"/>
    <w:rsid w:val="00845982"/>
    <w:rsid w:val="008464CD"/>
    <w:rsid w:val="00847BF1"/>
    <w:rsid w:val="008504E3"/>
    <w:rsid w:val="00850832"/>
    <w:rsid w:val="00850953"/>
    <w:rsid w:val="008515EE"/>
    <w:rsid w:val="008516E3"/>
    <w:rsid w:val="008518AE"/>
    <w:rsid w:val="00855671"/>
    <w:rsid w:val="0085620F"/>
    <w:rsid w:val="008603E4"/>
    <w:rsid w:val="00860595"/>
    <w:rsid w:val="00861C4E"/>
    <w:rsid w:val="008629DB"/>
    <w:rsid w:val="00862E42"/>
    <w:rsid w:val="00863CE0"/>
    <w:rsid w:val="00866D21"/>
    <w:rsid w:val="0087150B"/>
    <w:rsid w:val="00872D85"/>
    <w:rsid w:val="00872FDE"/>
    <w:rsid w:val="00873206"/>
    <w:rsid w:val="00873E21"/>
    <w:rsid w:val="00875948"/>
    <w:rsid w:val="00875ADE"/>
    <w:rsid w:val="00875D11"/>
    <w:rsid w:val="00883DDA"/>
    <w:rsid w:val="008840F2"/>
    <w:rsid w:val="00884690"/>
    <w:rsid w:val="00884AD3"/>
    <w:rsid w:val="00891FF9"/>
    <w:rsid w:val="008921F1"/>
    <w:rsid w:val="00893367"/>
    <w:rsid w:val="00893D07"/>
    <w:rsid w:val="008A0367"/>
    <w:rsid w:val="008A2016"/>
    <w:rsid w:val="008A22AC"/>
    <w:rsid w:val="008A6E05"/>
    <w:rsid w:val="008A7FA9"/>
    <w:rsid w:val="008B1835"/>
    <w:rsid w:val="008B7956"/>
    <w:rsid w:val="008C3722"/>
    <w:rsid w:val="008C3903"/>
    <w:rsid w:val="008C3B67"/>
    <w:rsid w:val="008C3F48"/>
    <w:rsid w:val="008C7E76"/>
    <w:rsid w:val="008D0A1C"/>
    <w:rsid w:val="008D227B"/>
    <w:rsid w:val="008D3EFB"/>
    <w:rsid w:val="008D49B4"/>
    <w:rsid w:val="008D7498"/>
    <w:rsid w:val="008E17D9"/>
    <w:rsid w:val="008E3748"/>
    <w:rsid w:val="008E3CA8"/>
    <w:rsid w:val="008E6CB1"/>
    <w:rsid w:val="008E7A6B"/>
    <w:rsid w:val="008F04E3"/>
    <w:rsid w:val="008F484C"/>
    <w:rsid w:val="008F6D31"/>
    <w:rsid w:val="008F6EA5"/>
    <w:rsid w:val="00900B5C"/>
    <w:rsid w:val="00906B4A"/>
    <w:rsid w:val="009116F1"/>
    <w:rsid w:val="0091248D"/>
    <w:rsid w:val="0091249E"/>
    <w:rsid w:val="00916DDD"/>
    <w:rsid w:val="00920B38"/>
    <w:rsid w:val="009258EF"/>
    <w:rsid w:val="00932CB7"/>
    <w:rsid w:val="00932E96"/>
    <w:rsid w:val="009418E6"/>
    <w:rsid w:val="0094235F"/>
    <w:rsid w:val="00942402"/>
    <w:rsid w:val="0094279F"/>
    <w:rsid w:val="00946AF2"/>
    <w:rsid w:val="00946B98"/>
    <w:rsid w:val="0095052A"/>
    <w:rsid w:val="0095056F"/>
    <w:rsid w:val="009518E1"/>
    <w:rsid w:val="0095196E"/>
    <w:rsid w:val="00954F9B"/>
    <w:rsid w:val="00955853"/>
    <w:rsid w:val="00956645"/>
    <w:rsid w:val="009633E7"/>
    <w:rsid w:val="00963C95"/>
    <w:rsid w:val="009650DA"/>
    <w:rsid w:val="0096561C"/>
    <w:rsid w:val="009658F0"/>
    <w:rsid w:val="00966C92"/>
    <w:rsid w:val="00971655"/>
    <w:rsid w:val="00971C63"/>
    <w:rsid w:val="009721B0"/>
    <w:rsid w:val="00984094"/>
    <w:rsid w:val="00986077"/>
    <w:rsid w:val="0099755B"/>
    <w:rsid w:val="009A061E"/>
    <w:rsid w:val="009A1A75"/>
    <w:rsid w:val="009A4AE9"/>
    <w:rsid w:val="009B0503"/>
    <w:rsid w:val="009B06FB"/>
    <w:rsid w:val="009B0A9A"/>
    <w:rsid w:val="009B299E"/>
    <w:rsid w:val="009C37DE"/>
    <w:rsid w:val="009C71D5"/>
    <w:rsid w:val="009D005D"/>
    <w:rsid w:val="009D3A8A"/>
    <w:rsid w:val="009D6AD5"/>
    <w:rsid w:val="009E229B"/>
    <w:rsid w:val="009E2BB1"/>
    <w:rsid w:val="009E453B"/>
    <w:rsid w:val="009E72CB"/>
    <w:rsid w:val="009F1B14"/>
    <w:rsid w:val="009F7CE4"/>
    <w:rsid w:val="00A00CD0"/>
    <w:rsid w:val="00A00FBB"/>
    <w:rsid w:val="00A0564F"/>
    <w:rsid w:val="00A10159"/>
    <w:rsid w:val="00A10411"/>
    <w:rsid w:val="00A11162"/>
    <w:rsid w:val="00A165F2"/>
    <w:rsid w:val="00A167C6"/>
    <w:rsid w:val="00A16EE0"/>
    <w:rsid w:val="00A16FF5"/>
    <w:rsid w:val="00A172E2"/>
    <w:rsid w:val="00A21D5F"/>
    <w:rsid w:val="00A24BB9"/>
    <w:rsid w:val="00A300E3"/>
    <w:rsid w:val="00A37829"/>
    <w:rsid w:val="00A37E69"/>
    <w:rsid w:val="00A43227"/>
    <w:rsid w:val="00A43BF9"/>
    <w:rsid w:val="00A43CC1"/>
    <w:rsid w:val="00A44CB3"/>
    <w:rsid w:val="00A46CCD"/>
    <w:rsid w:val="00A511B4"/>
    <w:rsid w:val="00A52024"/>
    <w:rsid w:val="00A537F6"/>
    <w:rsid w:val="00A56F37"/>
    <w:rsid w:val="00A6449C"/>
    <w:rsid w:val="00A65133"/>
    <w:rsid w:val="00A652C5"/>
    <w:rsid w:val="00A65EE6"/>
    <w:rsid w:val="00A666C0"/>
    <w:rsid w:val="00A825FE"/>
    <w:rsid w:val="00A84DE3"/>
    <w:rsid w:val="00A85C5A"/>
    <w:rsid w:val="00A94F83"/>
    <w:rsid w:val="00A96A08"/>
    <w:rsid w:val="00A978E3"/>
    <w:rsid w:val="00AA0161"/>
    <w:rsid w:val="00AA17C0"/>
    <w:rsid w:val="00AA4437"/>
    <w:rsid w:val="00AA7C5D"/>
    <w:rsid w:val="00AB1D08"/>
    <w:rsid w:val="00AB3BB3"/>
    <w:rsid w:val="00AB4345"/>
    <w:rsid w:val="00AB5719"/>
    <w:rsid w:val="00AB5BD7"/>
    <w:rsid w:val="00AB7918"/>
    <w:rsid w:val="00AC0135"/>
    <w:rsid w:val="00AC070D"/>
    <w:rsid w:val="00AC09EE"/>
    <w:rsid w:val="00AC1B94"/>
    <w:rsid w:val="00AC4AD4"/>
    <w:rsid w:val="00AC64E9"/>
    <w:rsid w:val="00AD0616"/>
    <w:rsid w:val="00AD211C"/>
    <w:rsid w:val="00AD34FF"/>
    <w:rsid w:val="00AD4DE6"/>
    <w:rsid w:val="00AD4FBB"/>
    <w:rsid w:val="00AD4FF5"/>
    <w:rsid w:val="00AE3511"/>
    <w:rsid w:val="00AE4A4A"/>
    <w:rsid w:val="00AE5619"/>
    <w:rsid w:val="00AE56FC"/>
    <w:rsid w:val="00AE6DBC"/>
    <w:rsid w:val="00AE6E6C"/>
    <w:rsid w:val="00AE7D34"/>
    <w:rsid w:val="00AF0398"/>
    <w:rsid w:val="00AF2C47"/>
    <w:rsid w:val="00AF3E95"/>
    <w:rsid w:val="00AF6463"/>
    <w:rsid w:val="00AF7C67"/>
    <w:rsid w:val="00B00E8C"/>
    <w:rsid w:val="00B02852"/>
    <w:rsid w:val="00B0480E"/>
    <w:rsid w:val="00B05A92"/>
    <w:rsid w:val="00B05B4A"/>
    <w:rsid w:val="00B06A0C"/>
    <w:rsid w:val="00B07796"/>
    <w:rsid w:val="00B11981"/>
    <w:rsid w:val="00B15FE9"/>
    <w:rsid w:val="00B22485"/>
    <w:rsid w:val="00B23384"/>
    <w:rsid w:val="00B26BEF"/>
    <w:rsid w:val="00B328EA"/>
    <w:rsid w:val="00B36D93"/>
    <w:rsid w:val="00B45378"/>
    <w:rsid w:val="00B47519"/>
    <w:rsid w:val="00B50023"/>
    <w:rsid w:val="00B500F5"/>
    <w:rsid w:val="00B51883"/>
    <w:rsid w:val="00B51C83"/>
    <w:rsid w:val="00B56A03"/>
    <w:rsid w:val="00B61FD4"/>
    <w:rsid w:val="00B62DD4"/>
    <w:rsid w:val="00B674DB"/>
    <w:rsid w:val="00B73E82"/>
    <w:rsid w:val="00B82E8D"/>
    <w:rsid w:val="00B83565"/>
    <w:rsid w:val="00B83B93"/>
    <w:rsid w:val="00B87726"/>
    <w:rsid w:val="00B923E4"/>
    <w:rsid w:val="00B9264D"/>
    <w:rsid w:val="00B94D99"/>
    <w:rsid w:val="00B9593A"/>
    <w:rsid w:val="00BA1A03"/>
    <w:rsid w:val="00BA3E82"/>
    <w:rsid w:val="00BA6DC0"/>
    <w:rsid w:val="00BA7E66"/>
    <w:rsid w:val="00BB0FF0"/>
    <w:rsid w:val="00BB32C7"/>
    <w:rsid w:val="00BB34B3"/>
    <w:rsid w:val="00BB3FA1"/>
    <w:rsid w:val="00BB4CA4"/>
    <w:rsid w:val="00BB5D79"/>
    <w:rsid w:val="00BB62BB"/>
    <w:rsid w:val="00BB6DCE"/>
    <w:rsid w:val="00BB7216"/>
    <w:rsid w:val="00BC05C5"/>
    <w:rsid w:val="00BC1A28"/>
    <w:rsid w:val="00BC1A48"/>
    <w:rsid w:val="00BC4650"/>
    <w:rsid w:val="00BD04BE"/>
    <w:rsid w:val="00BD0D12"/>
    <w:rsid w:val="00BD1C28"/>
    <w:rsid w:val="00BD2FBA"/>
    <w:rsid w:val="00BD61A2"/>
    <w:rsid w:val="00BE3EBF"/>
    <w:rsid w:val="00BE4CCB"/>
    <w:rsid w:val="00BE5B2A"/>
    <w:rsid w:val="00BE6F28"/>
    <w:rsid w:val="00BF29FA"/>
    <w:rsid w:val="00BF38F1"/>
    <w:rsid w:val="00BF5F39"/>
    <w:rsid w:val="00C005A9"/>
    <w:rsid w:val="00C00AF1"/>
    <w:rsid w:val="00C00EFD"/>
    <w:rsid w:val="00C0143A"/>
    <w:rsid w:val="00C03BD1"/>
    <w:rsid w:val="00C041E9"/>
    <w:rsid w:val="00C04D2B"/>
    <w:rsid w:val="00C050DA"/>
    <w:rsid w:val="00C1300B"/>
    <w:rsid w:val="00C15A37"/>
    <w:rsid w:val="00C16C91"/>
    <w:rsid w:val="00C2356C"/>
    <w:rsid w:val="00C263AC"/>
    <w:rsid w:val="00C31D3A"/>
    <w:rsid w:val="00C40968"/>
    <w:rsid w:val="00C461BE"/>
    <w:rsid w:val="00C46613"/>
    <w:rsid w:val="00C477C5"/>
    <w:rsid w:val="00C50805"/>
    <w:rsid w:val="00C55825"/>
    <w:rsid w:val="00C60E5F"/>
    <w:rsid w:val="00C611F8"/>
    <w:rsid w:val="00C6166E"/>
    <w:rsid w:val="00C6247A"/>
    <w:rsid w:val="00C63283"/>
    <w:rsid w:val="00C66E11"/>
    <w:rsid w:val="00C710D1"/>
    <w:rsid w:val="00C7159B"/>
    <w:rsid w:val="00C737C5"/>
    <w:rsid w:val="00C7473A"/>
    <w:rsid w:val="00C7530E"/>
    <w:rsid w:val="00C76A6C"/>
    <w:rsid w:val="00C76D24"/>
    <w:rsid w:val="00C80AAF"/>
    <w:rsid w:val="00C810D3"/>
    <w:rsid w:val="00C8618D"/>
    <w:rsid w:val="00C864EB"/>
    <w:rsid w:val="00C90B78"/>
    <w:rsid w:val="00C95682"/>
    <w:rsid w:val="00C95E15"/>
    <w:rsid w:val="00CA085C"/>
    <w:rsid w:val="00CA33BC"/>
    <w:rsid w:val="00CA3540"/>
    <w:rsid w:val="00CA6DED"/>
    <w:rsid w:val="00CB1046"/>
    <w:rsid w:val="00CB2A0F"/>
    <w:rsid w:val="00CB46E2"/>
    <w:rsid w:val="00CB5B54"/>
    <w:rsid w:val="00CB5C24"/>
    <w:rsid w:val="00CC3CD5"/>
    <w:rsid w:val="00CC49D4"/>
    <w:rsid w:val="00CD3B6D"/>
    <w:rsid w:val="00CD4185"/>
    <w:rsid w:val="00CD4D5E"/>
    <w:rsid w:val="00CE24D6"/>
    <w:rsid w:val="00CE2BC0"/>
    <w:rsid w:val="00CE6F5A"/>
    <w:rsid w:val="00CF025A"/>
    <w:rsid w:val="00CF03E6"/>
    <w:rsid w:val="00CF1B8E"/>
    <w:rsid w:val="00CF42CF"/>
    <w:rsid w:val="00D1003C"/>
    <w:rsid w:val="00D102E9"/>
    <w:rsid w:val="00D10773"/>
    <w:rsid w:val="00D10D35"/>
    <w:rsid w:val="00D13EE4"/>
    <w:rsid w:val="00D1688F"/>
    <w:rsid w:val="00D2117F"/>
    <w:rsid w:val="00D24557"/>
    <w:rsid w:val="00D25317"/>
    <w:rsid w:val="00D31E38"/>
    <w:rsid w:val="00D34F6A"/>
    <w:rsid w:val="00D35004"/>
    <w:rsid w:val="00D421E8"/>
    <w:rsid w:val="00D45119"/>
    <w:rsid w:val="00D4557C"/>
    <w:rsid w:val="00D47009"/>
    <w:rsid w:val="00D50CAB"/>
    <w:rsid w:val="00D5187F"/>
    <w:rsid w:val="00D53B39"/>
    <w:rsid w:val="00D53F4A"/>
    <w:rsid w:val="00D6014A"/>
    <w:rsid w:val="00D64964"/>
    <w:rsid w:val="00D66E8B"/>
    <w:rsid w:val="00D73394"/>
    <w:rsid w:val="00D73EB4"/>
    <w:rsid w:val="00D7517D"/>
    <w:rsid w:val="00D77096"/>
    <w:rsid w:val="00D8021D"/>
    <w:rsid w:val="00D8058E"/>
    <w:rsid w:val="00D80B10"/>
    <w:rsid w:val="00D81F11"/>
    <w:rsid w:val="00D83077"/>
    <w:rsid w:val="00D845CA"/>
    <w:rsid w:val="00D85715"/>
    <w:rsid w:val="00D8706C"/>
    <w:rsid w:val="00D93297"/>
    <w:rsid w:val="00D944B1"/>
    <w:rsid w:val="00D944CD"/>
    <w:rsid w:val="00D94884"/>
    <w:rsid w:val="00DA197F"/>
    <w:rsid w:val="00DA4805"/>
    <w:rsid w:val="00DA4C62"/>
    <w:rsid w:val="00DB21BD"/>
    <w:rsid w:val="00DB28B1"/>
    <w:rsid w:val="00DB2B43"/>
    <w:rsid w:val="00DB2D97"/>
    <w:rsid w:val="00DB34FA"/>
    <w:rsid w:val="00DB6131"/>
    <w:rsid w:val="00DB625D"/>
    <w:rsid w:val="00DB6A17"/>
    <w:rsid w:val="00DB6F44"/>
    <w:rsid w:val="00DC1E20"/>
    <w:rsid w:val="00DC36D7"/>
    <w:rsid w:val="00DC3804"/>
    <w:rsid w:val="00DC557C"/>
    <w:rsid w:val="00DD4E84"/>
    <w:rsid w:val="00DD5520"/>
    <w:rsid w:val="00DD625A"/>
    <w:rsid w:val="00DE0CCA"/>
    <w:rsid w:val="00DE74F7"/>
    <w:rsid w:val="00DF0BC1"/>
    <w:rsid w:val="00DF16C2"/>
    <w:rsid w:val="00DF31E5"/>
    <w:rsid w:val="00DF67EE"/>
    <w:rsid w:val="00DF754E"/>
    <w:rsid w:val="00E00F76"/>
    <w:rsid w:val="00E0257F"/>
    <w:rsid w:val="00E02994"/>
    <w:rsid w:val="00E02F41"/>
    <w:rsid w:val="00E04172"/>
    <w:rsid w:val="00E05460"/>
    <w:rsid w:val="00E1481B"/>
    <w:rsid w:val="00E16411"/>
    <w:rsid w:val="00E170E9"/>
    <w:rsid w:val="00E17520"/>
    <w:rsid w:val="00E17ED1"/>
    <w:rsid w:val="00E21E75"/>
    <w:rsid w:val="00E22993"/>
    <w:rsid w:val="00E27C6F"/>
    <w:rsid w:val="00E31A75"/>
    <w:rsid w:val="00E333B1"/>
    <w:rsid w:val="00E35538"/>
    <w:rsid w:val="00E44B1D"/>
    <w:rsid w:val="00E50BDE"/>
    <w:rsid w:val="00E519DC"/>
    <w:rsid w:val="00E52DA7"/>
    <w:rsid w:val="00E55707"/>
    <w:rsid w:val="00E56AE6"/>
    <w:rsid w:val="00E62FED"/>
    <w:rsid w:val="00E639EA"/>
    <w:rsid w:val="00E63B08"/>
    <w:rsid w:val="00E666C2"/>
    <w:rsid w:val="00E71B87"/>
    <w:rsid w:val="00E72625"/>
    <w:rsid w:val="00E728EC"/>
    <w:rsid w:val="00E807DA"/>
    <w:rsid w:val="00E84E3A"/>
    <w:rsid w:val="00E85D2A"/>
    <w:rsid w:val="00E86490"/>
    <w:rsid w:val="00EA05AF"/>
    <w:rsid w:val="00EA5468"/>
    <w:rsid w:val="00EB3665"/>
    <w:rsid w:val="00EB5CDF"/>
    <w:rsid w:val="00EB6DFA"/>
    <w:rsid w:val="00EC3B02"/>
    <w:rsid w:val="00EC43B9"/>
    <w:rsid w:val="00EC4960"/>
    <w:rsid w:val="00EC56DD"/>
    <w:rsid w:val="00EC6B91"/>
    <w:rsid w:val="00EC7863"/>
    <w:rsid w:val="00ED0C14"/>
    <w:rsid w:val="00ED2EB9"/>
    <w:rsid w:val="00ED4207"/>
    <w:rsid w:val="00ED4D69"/>
    <w:rsid w:val="00ED522C"/>
    <w:rsid w:val="00ED6002"/>
    <w:rsid w:val="00EE2429"/>
    <w:rsid w:val="00EE362F"/>
    <w:rsid w:val="00EE3FC6"/>
    <w:rsid w:val="00EE63E1"/>
    <w:rsid w:val="00EF0E19"/>
    <w:rsid w:val="00EF2006"/>
    <w:rsid w:val="00EF33EF"/>
    <w:rsid w:val="00EF5F21"/>
    <w:rsid w:val="00EF67BA"/>
    <w:rsid w:val="00F00C57"/>
    <w:rsid w:val="00F106F7"/>
    <w:rsid w:val="00F114AE"/>
    <w:rsid w:val="00F13B39"/>
    <w:rsid w:val="00F22675"/>
    <w:rsid w:val="00F2427E"/>
    <w:rsid w:val="00F33D21"/>
    <w:rsid w:val="00F36E7B"/>
    <w:rsid w:val="00F42C77"/>
    <w:rsid w:val="00F42CAE"/>
    <w:rsid w:val="00F43CA0"/>
    <w:rsid w:val="00F45E64"/>
    <w:rsid w:val="00F46292"/>
    <w:rsid w:val="00F46EB3"/>
    <w:rsid w:val="00F52EAB"/>
    <w:rsid w:val="00F53774"/>
    <w:rsid w:val="00F538F6"/>
    <w:rsid w:val="00F54F51"/>
    <w:rsid w:val="00F54FA2"/>
    <w:rsid w:val="00F55030"/>
    <w:rsid w:val="00F63597"/>
    <w:rsid w:val="00F6410D"/>
    <w:rsid w:val="00F651C2"/>
    <w:rsid w:val="00F65DCB"/>
    <w:rsid w:val="00F7039A"/>
    <w:rsid w:val="00F70937"/>
    <w:rsid w:val="00F71288"/>
    <w:rsid w:val="00F73F6F"/>
    <w:rsid w:val="00F74DFF"/>
    <w:rsid w:val="00F75AE4"/>
    <w:rsid w:val="00F75E67"/>
    <w:rsid w:val="00F7696F"/>
    <w:rsid w:val="00F81B52"/>
    <w:rsid w:val="00F8209B"/>
    <w:rsid w:val="00F87851"/>
    <w:rsid w:val="00F960CF"/>
    <w:rsid w:val="00F97CD9"/>
    <w:rsid w:val="00FA0576"/>
    <w:rsid w:val="00FA0F3B"/>
    <w:rsid w:val="00FA1B14"/>
    <w:rsid w:val="00FA23DC"/>
    <w:rsid w:val="00FA34D0"/>
    <w:rsid w:val="00FB50B4"/>
    <w:rsid w:val="00FC082E"/>
    <w:rsid w:val="00FC160D"/>
    <w:rsid w:val="00FC4C27"/>
    <w:rsid w:val="00FC5A9F"/>
    <w:rsid w:val="00FC6164"/>
    <w:rsid w:val="00FC6207"/>
    <w:rsid w:val="00FD312C"/>
    <w:rsid w:val="00FD3C5B"/>
    <w:rsid w:val="00FD4B97"/>
    <w:rsid w:val="00FD549A"/>
    <w:rsid w:val="00FD673E"/>
    <w:rsid w:val="00FD6D99"/>
    <w:rsid w:val="00FE55EB"/>
    <w:rsid w:val="00FE594A"/>
    <w:rsid w:val="00FF05C8"/>
    <w:rsid w:val="00FF50D6"/>
    <w:rsid w:val="00FF531D"/>
    <w:rsid w:val="00FF7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0"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F46EB3"/>
    <w:rPr>
      <w:lang w:eastAsia="en-US"/>
    </w:rPr>
  </w:style>
  <w:style w:type="table" w:styleId="LightShading-Accent2">
    <w:name w:val="Light Shading Accent 2"/>
    <w:basedOn w:val="TableNormal"/>
    <w:uiPriority w:val="60"/>
    <w:locked/>
    <w:rsid w:val="00770C24"/>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770C24"/>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770C24"/>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2">
    <w:name w:val="Medium Shading 1 Accent 2"/>
    <w:basedOn w:val="TableNormal"/>
    <w:uiPriority w:val="63"/>
    <w:locked/>
    <w:rsid w:val="00770C24"/>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6">
    <w:name w:val="Light Grid Accent 6"/>
    <w:basedOn w:val="TableNormal"/>
    <w:uiPriority w:val="62"/>
    <w:locked/>
    <w:rsid w:val="00770C2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locked/>
    <w:rsid w:val="00770C2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locked/>
    <w:rsid w:val="00770C2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6">
    <w:name w:val="Light List Accent 6"/>
    <w:basedOn w:val="TableNormal"/>
    <w:uiPriority w:val="61"/>
    <w:locked/>
    <w:rsid w:val="00770C2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TMLCite">
    <w:name w:val="HTML Cite"/>
    <w:basedOn w:val="DefaultParagraphFont"/>
    <w:uiPriority w:val="99"/>
    <w:semiHidden/>
    <w:unhideWhenUsed/>
    <w:rsid w:val="00770C24"/>
    <w:rPr>
      <w:i/>
      <w:iCs/>
    </w:rPr>
  </w:style>
  <w:style w:type="paragraph" w:styleId="NormalWeb">
    <w:name w:val="Normal (Web)"/>
    <w:basedOn w:val="Normal"/>
    <w:uiPriority w:val="99"/>
    <w:semiHidden/>
    <w:unhideWhenUsed/>
    <w:locked/>
    <w:rsid w:val="00770C24"/>
    <w:rPr>
      <w:rFonts w:ascii="Times New Roman" w:hAnsi="Times New Roman"/>
      <w:sz w:val="24"/>
      <w:szCs w:val="24"/>
    </w:rPr>
  </w:style>
  <w:style w:type="paragraph" w:styleId="EndnoteText">
    <w:name w:val="endnote text"/>
    <w:basedOn w:val="Normal"/>
    <w:link w:val="EndnoteTextChar"/>
    <w:uiPriority w:val="99"/>
    <w:semiHidden/>
    <w:unhideWhenUsed/>
    <w:rsid w:val="00770C24"/>
    <w:pPr>
      <w:spacing w:after="0" w:line="240" w:lineRule="auto"/>
    </w:pPr>
  </w:style>
  <w:style w:type="character" w:customStyle="1" w:styleId="EndnoteTextChar">
    <w:name w:val="Endnote Text Char"/>
    <w:basedOn w:val="DefaultParagraphFont"/>
    <w:link w:val="EndnoteText"/>
    <w:uiPriority w:val="99"/>
    <w:semiHidden/>
    <w:rsid w:val="00770C24"/>
    <w:rPr>
      <w:lang w:eastAsia="en-US"/>
    </w:rPr>
  </w:style>
  <w:style w:type="character" w:styleId="EndnoteReference">
    <w:name w:val="endnote reference"/>
    <w:basedOn w:val="DefaultParagraphFont"/>
    <w:uiPriority w:val="99"/>
    <w:semiHidden/>
    <w:unhideWhenUsed/>
    <w:rsid w:val="00770C24"/>
    <w:rPr>
      <w:vertAlign w:val="superscript"/>
    </w:rPr>
  </w:style>
  <w:style w:type="character" w:styleId="HTMLDefinition">
    <w:name w:val="HTML Definition"/>
    <w:basedOn w:val="DefaultParagraphFont"/>
    <w:uiPriority w:val="99"/>
    <w:semiHidden/>
    <w:unhideWhenUsed/>
    <w:rsid w:val="00770C24"/>
    <w:rPr>
      <w:i/>
      <w:iCs/>
    </w:rPr>
  </w:style>
  <w:style w:type="character" w:styleId="PlaceholderText">
    <w:name w:val="Placeholder Text"/>
    <w:basedOn w:val="DefaultParagraphFont"/>
    <w:uiPriority w:val="99"/>
    <w:unhideWhenUsed/>
    <w:rsid w:val="004F6A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284">
      <w:bodyDiv w:val="1"/>
      <w:marLeft w:val="0"/>
      <w:marRight w:val="0"/>
      <w:marTop w:val="0"/>
      <w:marBottom w:val="0"/>
      <w:divBdr>
        <w:top w:val="none" w:sz="0" w:space="0" w:color="auto"/>
        <w:left w:val="none" w:sz="0" w:space="0" w:color="auto"/>
        <w:bottom w:val="none" w:sz="0" w:space="0" w:color="auto"/>
        <w:right w:val="none" w:sz="0" w:space="0" w:color="auto"/>
      </w:divBdr>
      <w:divsChild>
        <w:div w:id="713164560">
          <w:marLeft w:val="547"/>
          <w:marRight w:val="0"/>
          <w:marTop w:val="0"/>
          <w:marBottom w:val="0"/>
          <w:divBdr>
            <w:top w:val="none" w:sz="0" w:space="0" w:color="auto"/>
            <w:left w:val="none" w:sz="0" w:space="0" w:color="auto"/>
            <w:bottom w:val="none" w:sz="0" w:space="0" w:color="auto"/>
            <w:right w:val="none" w:sz="0" w:space="0" w:color="auto"/>
          </w:divBdr>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chart" Target="charts/chart1.xml"/><Relationship Id="rId39" Type="http://schemas.openxmlformats.org/officeDocument/2006/relationships/image" Target="media/image11.wmf"/><Relationship Id="rId21" Type="http://schemas.openxmlformats.org/officeDocument/2006/relationships/diagramQuickStyle" Target="diagrams/quickStyle2.xml"/><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15.wmf"/><Relationship Id="rId50" Type="http://schemas.openxmlformats.org/officeDocument/2006/relationships/oleObject" Target="embeddings/oleObject12.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Celectricity2016@aer.gov.au" TargetMode="External"/><Relationship Id="rId24" Type="http://schemas.openxmlformats.org/officeDocument/2006/relationships/image" Target="media/image3.png"/><Relationship Id="rId32" Type="http://schemas.openxmlformats.org/officeDocument/2006/relationships/oleObject" Target="embeddings/oleObject3.bin"/><Relationship Id="rId37" Type="http://schemas.openxmlformats.org/officeDocument/2006/relationships/image" Target="media/image10.wmf"/><Relationship Id="rId40" Type="http://schemas.openxmlformats.org/officeDocument/2006/relationships/oleObject" Target="embeddings/oleObject7.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6.bin"/><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QuickStyle" Target="diagrams/quickStyle1.xml"/><Relationship Id="rId23" Type="http://schemas.microsoft.com/office/2007/relationships/diagramDrawing" Target="diagrams/drawing2.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6.wmf"/><Relationship Id="rId57" Type="http://schemas.openxmlformats.org/officeDocument/2006/relationships/image" Target="media/image20.wmf"/><Relationship Id="rId61" Type="http://schemas.openxmlformats.org/officeDocument/2006/relationships/image" Target="media/image22.wmf"/><Relationship Id="rId10" Type="http://schemas.openxmlformats.org/officeDocument/2006/relationships/hyperlink" Target="mailto:AERInquiry@aer.gov.au" TargetMode="External"/><Relationship Id="rId19" Type="http://schemas.openxmlformats.org/officeDocument/2006/relationships/diagramData" Target="diagrams/data2.xml"/><Relationship Id="rId31" Type="http://schemas.openxmlformats.org/officeDocument/2006/relationships/image" Target="media/image7.wmf"/><Relationship Id="rId44" Type="http://schemas.openxmlformats.org/officeDocument/2006/relationships/oleObject" Target="embeddings/oleObject9.bin"/><Relationship Id="rId52" Type="http://schemas.openxmlformats.org/officeDocument/2006/relationships/oleObject" Target="embeddings/oleObject13.bin"/><Relationship Id="rId60" Type="http://schemas.openxmlformats.org/officeDocument/2006/relationships/oleObject" Target="embeddings/oleObject17.bin"/><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image" Target="media/image5.wmf"/><Relationship Id="rId30" Type="http://schemas.openxmlformats.org/officeDocument/2006/relationships/oleObject" Target="embeddings/oleObject2.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hyperlink" Target="http://www.aer.gov.au" TargetMode="External"/><Relationship Id="rId17" Type="http://schemas.microsoft.com/office/2007/relationships/diagramDrawing" Target="diagrams/drawing1.xml"/><Relationship Id="rId25" Type="http://schemas.openxmlformats.org/officeDocument/2006/relationships/image" Target="media/image4.png"/><Relationship Id="rId33" Type="http://schemas.openxmlformats.org/officeDocument/2006/relationships/image" Target="media/image8.wmf"/><Relationship Id="rId38" Type="http://schemas.openxmlformats.org/officeDocument/2006/relationships/oleObject" Target="embeddings/oleObject6.bin"/><Relationship Id="rId46" Type="http://schemas.openxmlformats.org/officeDocument/2006/relationships/oleObject" Target="embeddings/oleObject10.bin"/><Relationship Id="rId59" Type="http://schemas.openxmlformats.org/officeDocument/2006/relationships/image" Target="media/image21.wmf"/><Relationship Id="rId67" Type="http://schemas.openxmlformats.org/officeDocument/2006/relationships/fontTable" Target="fontTable.xml"/><Relationship Id="rId20" Type="http://schemas.openxmlformats.org/officeDocument/2006/relationships/diagramLayout" Target="diagrams/layout2.xml"/><Relationship Id="rId41" Type="http://schemas.openxmlformats.org/officeDocument/2006/relationships/image" Target="media/image12.wmf"/><Relationship Id="rId54" Type="http://schemas.openxmlformats.org/officeDocument/2006/relationships/oleObject" Target="embeddings/oleObject14.bin"/><Relationship Id="rId62" Type="http://schemas.openxmlformats.org/officeDocument/2006/relationships/oleObject" Target="embeddings/oleObject18.bin"/></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7258" TargetMode="External"/><Relationship Id="rId7" Type="http://schemas.openxmlformats.org/officeDocument/2006/relationships/hyperlink" Target="http://www.esc.vic.gov.au/Energy/Distribution/RI_FinalPublicLightCodeFollow04ReviewNCM_Apr05" TargetMode="External"/><Relationship Id="rId2" Type="http://schemas.openxmlformats.org/officeDocument/2006/relationships/hyperlink" Target="http://www.scer.gov.au/workstreams/energy-market-reform/national-energy-customer-framework" TargetMode="External"/><Relationship Id="rId1" Type="http://schemas.openxmlformats.org/officeDocument/2006/relationships/hyperlink" Target="http://www.aer.gov.au" TargetMode="External"/><Relationship Id="rId6" Type="http://schemas.openxmlformats.org/officeDocument/2006/relationships/hyperlink" Target="http://www.aemc.gov.au/Rule-Changes/Expanding-competition-in-metering-and-related-serv" TargetMode="External"/><Relationship Id="rId5" Type="http://schemas.openxmlformats.org/officeDocument/2006/relationships/hyperlink" Target="http://www.aemc.gov.au/Rule-Changes/Expanding-competition-in-metering-and-related-serv" TargetMode="External"/><Relationship Id="rId4" Type="http://schemas.openxmlformats.org/officeDocument/2006/relationships/hyperlink" Target="http://www.aemc.gov.au/Rule-Changes/Connecting-embedded-generators-under-Chapter-5A"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Documents%20and%20Settings\rlowi\Local%20Settings\Temporary%20Internet%20Files\Content.Outlook\D1R4BKGU\Qld%20retail%20bil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AU" sz="1100"/>
              <a:t>Tariff 11 - Annual charges (incl. GST)</a:t>
            </a:r>
          </a:p>
        </c:rich>
      </c:tx>
      <c:layout>
        <c:manualLayout>
          <c:xMode val="edge"/>
          <c:yMode val="edge"/>
          <c:x val="0.1854096675415573"/>
          <c:y val="2.4960994351674204E-2"/>
        </c:manualLayout>
      </c:layout>
      <c:overlay val="0"/>
    </c:title>
    <c:autoTitleDeleted val="0"/>
    <c:plotArea>
      <c:layout>
        <c:manualLayout>
          <c:layoutTarget val="inner"/>
          <c:xMode val="edge"/>
          <c:yMode val="edge"/>
          <c:x val="0.30015507436570427"/>
          <c:y val="0.20417833187518228"/>
          <c:w val="0.66928937007874012"/>
          <c:h val="0.54056904345290169"/>
        </c:manualLayout>
      </c:layout>
      <c:barChart>
        <c:barDir val="col"/>
        <c:grouping val="stacked"/>
        <c:varyColors val="0"/>
        <c:ser>
          <c:idx val="0"/>
          <c:order val="0"/>
          <c:tx>
            <c:strRef>
              <c:f>Sheet1!$B$28</c:f>
              <c:strCache>
                <c:ptCount val="1"/>
                <c:pt idx="0">
                  <c:v>Variable charge pa</c:v>
                </c:pt>
              </c:strCache>
            </c:strRef>
          </c:tx>
          <c:invertIfNegative val="0"/>
          <c:cat>
            <c:numRef>
              <c:f>Sheet1!$C$27:$J$27</c:f>
              <c:numCache>
                <c:formatCode>0</c:formatCode>
                <c:ptCount val="8"/>
                <c:pt idx="0">
                  <c:v>2006</c:v>
                </c:pt>
                <c:pt idx="1">
                  <c:v>2007</c:v>
                </c:pt>
                <c:pt idx="2">
                  <c:v>2008</c:v>
                </c:pt>
                <c:pt idx="3">
                  <c:v>2009</c:v>
                </c:pt>
                <c:pt idx="4">
                  <c:v>2010</c:v>
                </c:pt>
                <c:pt idx="5">
                  <c:v>2011</c:v>
                </c:pt>
                <c:pt idx="6">
                  <c:v>2012</c:v>
                </c:pt>
                <c:pt idx="7">
                  <c:v>2013</c:v>
                </c:pt>
              </c:numCache>
            </c:numRef>
          </c:cat>
          <c:val>
            <c:numRef>
              <c:f>Sheet1!$C$28:$J$28</c:f>
              <c:numCache>
                <c:formatCode>0</c:formatCode>
                <c:ptCount val="8"/>
                <c:pt idx="0">
                  <c:v>589.98500000000013</c:v>
                </c:pt>
                <c:pt idx="1">
                  <c:v>656.83750000000009</c:v>
                </c:pt>
                <c:pt idx="2">
                  <c:v>692.36749999999995</c:v>
                </c:pt>
                <c:pt idx="3">
                  <c:v>800.82749999999999</c:v>
                </c:pt>
                <c:pt idx="4">
                  <c:v>907.41750000000002</c:v>
                </c:pt>
                <c:pt idx="5">
                  <c:v>967.25750000000016</c:v>
                </c:pt>
                <c:pt idx="6">
                  <c:v>1078.5692500000002</c:v>
                </c:pt>
                <c:pt idx="7">
                  <c:v>1249.6275000000003</c:v>
                </c:pt>
              </c:numCache>
            </c:numRef>
          </c:val>
        </c:ser>
        <c:ser>
          <c:idx val="1"/>
          <c:order val="1"/>
          <c:tx>
            <c:strRef>
              <c:f>Sheet1!$B$29</c:f>
              <c:strCache>
                <c:ptCount val="1"/>
                <c:pt idx="0">
                  <c:v>Service fee ($/year)</c:v>
                </c:pt>
              </c:strCache>
            </c:strRef>
          </c:tx>
          <c:invertIfNegative val="0"/>
          <c:cat>
            <c:numRef>
              <c:f>Sheet1!$C$27:$J$27</c:f>
              <c:numCache>
                <c:formatCode>0</c:formatCode>
                <c:ptCount val="8"/>
                <c:pt idx="0">
                  <c:v>2006</c:v>
                </c:pt>
                <c:pt idx="1">
                  <c:v>2007</c:v>
                </c:pt>
                <c:pt idx="2">
                  <c:v>2008</c:v>
                </c:pt>
                <c:pt idx="3">
                  <c:v>2009</c:v>
                </c:pt>
                <c:pt idx="4">
                  <c:v>2010</c:v>
                </c:pt>
                <c:pt idx="5">
                  <c:v>2011</c:v>
                </c:pt>
                <c:pt idx="6">
                  <c:v>2012</c:v>
                </c:pt>
                <c:pt idx="7">
                  <c:v>2013</c:v>
                </c:pt>
              </c:numCache>
            </c:numRef>
          </c:cat>
          <c:val>
            <c:numRef>
              <c:f>Sheet1!$C$29:$J$29</c:f>
              <c:numCache>
                <c:formatCode>0</c:formatCode>
                <c:ptCount val="8"/>
                <c:pt idx="0">
                  <c:v>64.03925000000001</c:v>
                </c:pt>
                <c:pt idx="1">
                  <c:v>71.266249999999999</c:v>
                </c:pt>
                <c:pt idx="2">
                  <c:v>75.120650000000012</c:v>
                </c:pt>
                <c:pt idx="3">
                  <c:v>87.005050000000011</c:v>
                </c:pt>
                <c:pt idx="4">
                  <c:v>98.608400000000003</c:v>
                </c:pt>
                <c:pt idx="5">
                  <c:v>105.07255000000002</c:v>
                </c:pt>
                <c:pt idx="6">
                  <c:v>105.07255000000002</c:v>
                </c:pt>
                <c:pt idx="7">
                  <c:v>201.63330000000002</c:v>
                </c:pt>
              </c:numCache>
            </c:numRef>
          </c:val>
        </c:ser>
        <c:dLbls>
          <c:showLegendKey val="0"/>
          <c:showVal val="0"/>
          <c:showCatName val="0"/>
          <c:showSerName val="0"/>
          <c:showPercent val="0"/>
          <c:showBubbleSize val="0"/>
        </c:dLbls>
        <c:gapWidth val="150"/>
        <c:overlap val="100"/>
        <c:axId val="398926592"/>
        <c:axId val="143193216"/>
      </c:barChart>
      <c:catAx>
        <c:axId val="398926592"/>
        <c:scaling>
          <c:orientation val="minMax"/>
        </c:scaling>
        <c:delete val="0"/>
        <c:axPos val="b"/>
        <c:numFmt formatCode="0" sourceLinked="1"/>
        <c:majorTickMark val="out"/>
        <c:minorTickMark val="none"/>
        <c:tickLblPos val="nextTo"/>
        <c:crossAx val="143193216"/>
        <c:crosses val="autoZero"/>
        <c:auto val="1"/>
        <c:lblAlgn val="ctr"/>
        <c:lblOffset val="100"/>
        <c:noMultiLvlLbl val="0"/>
      </c:catAx>
      <c:valAx>
        <c:axId val="143193216"/>
        <c:scaling>
          <c:orientation val="minMax"/>
        </c:scaling>
        <c:delete val="0"/>
        <c:axPos val="l"/>
        <c:majorGridlines/>
        <c:numFmt formatCode="0" sourceLinked="1"/>
        <c:majorTickMark val="out"/>
        <c:minorTickMark val="none"/>
        <c:tickLblPos val="nextTo"/>
        <c:crossAx val="398926592"/>
        <c:crosses val="autoZero"/>
        <c:crossBetween val="between"/>
      </c:valAx>
    </c:plotArea>
    <c:legend>
      <c:legendPos val="b"/>
      <c:overlay val="0"/>
    </c:legend>
    <c:plotVisOnly val="1"/>
    <c:dispBlanksAs val="gap"/>
    <c:showDLblsOverMax val="0"/>
  </c:chart>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1" y="1366"/>
          <a:ext cx="5494650" cy="4397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Victorian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64" y="475663"/>
          <a:ext cx="3132811" cy="439772"/>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40" y="949959"/>
          <a:ext cx="1533107" cy="439772"/>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(general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4791" y="949959"/>
          <a:ext cx="1533107" cy="439772"/>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9506" y="475663"/>
          <a:ext cx="1084625" cy="439772"/>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405062" y="475663"/>
          <a:ext cx="1084625" cy="439772"/>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8232" y="949959"/>
          <a:ext cx="1078286" cy="439772"/>
        </a:xfrm>
        <a:prstGeom prst="roundRect">
          <a:avLst>
            <a:gd name="adj" fmla="val 10000"/>
          </a:avLst>
        </a:prstGeo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14517" y="1424256"/>
          <a:ext cx="1065717"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Type 1-4 metering services (excluding smart meters after AMI expiry)</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Type 5-6 metering services (before AMI expiry)</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Emergency recoverable works</a:t>
          </a: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102" y="1424476"/>
          <a:ext cx="1497575"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Network services</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New connections requiring augmentation</a:t>
          </a: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5205" y="1424256"/>
          <a:ext cx="1512279"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Routine connections </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Type 5-6 and smart metering services (after AMI expiry)</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Existing public lighting services</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Ancillary network services</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Ancillary connection services</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Ancillary metering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33202" y="949959"/>
          <a:ext cx="1077233" cy="439772"/>
        </a:xfrm>
        <a:prstGeom prst="roundRect">
          <a:avLst>
            <a:gd name="adj" fmla="val 10000"/>
          </a:avLst>
        </a:prstGeo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40520" y="1424256"/>
          <a:ext cx="1062598"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New public lighting services (incl. greenfield sites)</a:t>
          </a: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pt>
    <dgm:pt modelId="{718D3AC5-6553-4309-AF42-FCECAFABA656}" type="pres">
      <dgm:prSet presAssocID="{55A47DEC-5BD8-43FF-92F5-E186C868192C}" presName="txOne" presStyleLbl="node0" presStyleIdx="0" presStyleCnt="1">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pt>
    <dgm:pt modelId="{62961143-FF02-4A14-8E52-6DDE89741CBC}" type="pres">
      <dgm:prSet presAssocID="{55A47DEC-5BD8-43FF-92F5-E186C868192C}" presName="horzOne" presStyleCnt="0"/>
      <dgm:spPr/>
    </dgm:pt>
    <dgm:pt modelId="{1F53BA3A-0466-4B3E-925E-C15B3723B3C0}" type="pres">
      <dgm:prSet presAssocID="{7E1F13C2-8303-4BE6-BD51-58E6E2D0CCBD}" presName="vertTwo" presStyleCnt="0"/>
      <dgm:spPr/>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pt>
    <dgm:pt modelId="{8F5464E6-689E-4C8F-9DDF-15E1198A2ED4}" type="pres">
      <dgm:prSet presAssocID="{7E1F13C2-8303-4BE6-BD51-58E6E2D0CCBD}" presName="horzTwo" presStyleCnt="0"/>
      <dgm:spPr/>
    </dgm:pt>
    <dgm:pt modelId="{5751DC98-1DFA-492E-A07A-076714AE6B8F}" type="pres">
      <dgm:prSet presAssocID="{3DA4D3B1-BDC4-4286-BC76-1975308602A3}" presName="vertThree" presStyleCnt="0"/>
      <dgm:spPr/>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pt>
    <dgm:pt modelId="{27752314-A407-4A36-B678-E9A5970E0BD4}" type="pres">
      <dgm:prSet presAssocID="{3DA4D3B1-BDC4-4286-BC76-1975308602A3}" presName="horzThree" presStyleCnt="0"/>
      <dgm:spPr/>
    </dgm:pt>
    <dgm:pt modelId="{5FE697D5-3E9B-415A-AD1C-37D5386A2B41}" type="pres">
      <dgm:prSet presAssocID="{264E86EB-59BD-459B-85BB-BF64ACA0608A}" presName="vertFour" presStyleCnt="0">
        <dgm:presLayoutVars>
          <dgm:chPref val="3"/>
        </dgm:presLayoutVars>
      </dgm:prSet>
      <dgm:spPr/>
    </dgm:pt>
    <dgm:pt modelId="{A02E9E10-9EFD-4B93-9024-F27DFA07DAF0}" type="pres">
      <dgm:prSet presAssocID="{264E86EB-59BD-459B-85BB-BF64ACA0608A}" presName="txFour" presStyleLbl="node4" presStyleIdx="0" presStyleCnt="4" custScaleX="142319" custScaleY="567231"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pt>
    <dgm:pt modelId="{C94DD181-18DE-470D-A9B9-F490FAFE6562}" type="pres">
      <dgm:prSet presAssocID="{9D399AB0-BE5D-49EA-BD3F-0BBD5D2E1CAA}" presName="sibSpaceThree" presStyleCnt="0"/>
      <dgm:spPr/>
    </dgm:pt>
    <dgm:pt modelId="{8E950F4B-09F2-451B-9D7F-BB86301BF180}" type="pres">
      <dgm:prSet presAssocID="{9A1AA23F-C1C0-4477-B302-3E60A402D137}" presName="vertThree" presStyleCnt="0"/>
      <dgm:spPr/>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pt>
    <dgm:pt modelId="{81394379-5A0F-434F-92B0-B3898F744DBE}" type="pres">
      <dgm:prSet presAssocID="{9A1AA23F-C1C0-4477-B302-3E60A402D137}" presName="horzThree" presStyleCnt="0"/>
      <dgm:spPr/>
    </dgm:pt>
    <dgm:pt modelId="{52D88C3F-C342-4D0B-A570-AB44121EF5CF}" type="pres">
      <dgm:prSet presAssocID="{A49C721B-AC5B-441C-AFA9-A644FC358A66}" presName="vertFour" presStyleCnt="0">
        <dgm:presLayoutVars>
          <dgm:chPref val="3"/>
        </dgm:presLayoutVars>
      </dgm:prSet>
      <dgm:spPr/>
    </dgm:pt>
    <dgm:pt modelId="{0FD70A2D-5363-4F60-8857-8DCBA108EC51}" type="pres">
      <dgm:prSet presAssocID="{A49C721B-AC5B-441C-AFA9-A644FC358A66}" presName="txFour" presStyleLbl="node4" presStyleIdx="1" presStyleCnt="4" custScaleX="142319" custScaleY="567231">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pt>
    <dgm:pt modelId="{B79FC79B-95B0-460F-A9E2-C9EC7326C334}" type="pres">
      <dgm:prSet presAssocID="{8034AC81-1C30-4867-B0A4-C93CEE24174C}" presName="sibSpaceTwo" presStyleCnt="0"/>
      <dgm:spPr/>
    </dgm:pt>
    <dgm:pt modelId="{43B3714E-05D4-4C8D-8010-CAEF93055560}" type="pres">
      <dgm:prSet presAssocID="{D5ED0B09-3CC2-406A-A1A9-488AFBB60D8B}" presName="vertTwo" presStyleCnt="0"/>
      <dgm:spPr/>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pt>
    <dgm:pt modelId="{92627873-E9AE-43DA-938C-C750A1BF6B61}" type="pres">
      <dgm:prSet presAssocID="{D5ED0B09-3CC2-406A-A1A9-488AFBB60D8B}" presName="horzTwo" presStyleCnt="0"/>
      <dgm:spPr/>
    </dgm:pt>
    <dgm:pt modelId="{30C202DA-B487-4874-988E-FD2E70174694}" type="pres">
      <dgm:prSet presAssocID="{3EB5BBF6-FCA7-4E3A-BDFE-A4AAE3DDDAAA}" presName="vertThree" presStyleCnt="0"/>
      <dgm:spPr/>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pt>
    <dgm:pt modelId="{F9FFAB89-C2E1-4D4A-BB80-DE08B2354399}" type="pres">
      <dgm:prSet presAssocID="{3EB5BBF6-FCA7-4E3A-BDFE-A4AAE3DDDAAA}" presName="horzThree" presStyleCnt="0"/>
      <dgm:spPr/>
    </dgm:pt>
    <dgm:pt modelId="{E49FC716-2969-4249-B96F-E553B1D9E20F}" type="pres">
      <dgm:prSet presAssocID="{F3E2F0B6-E4F5-49C8-A3B6-DCE119FE3F90}" presName="vertFour" presStyleCnt="0">
        <dgm:presLayoutVars>
          <dgm:chPref val="3"/>
        </dgm:presLayoutVars>
      </dgm:prSet>
      <dgm:spPr/>
    </dgm:pt>
    <dgm:pt modelId="{BB868717-16F5-4D38-9AD8-7855AA823BED}" type="pres">
      <dgm:prSet presAssocID="{F3E2F0B6-E4F5-49C8-A3B6-DCE119FE3F90}" presName="txFour" presStyleLbl="node4" presStyleIdx="2" presStyleCnt="4" custScaleY="567231">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pt>
    <dgm:pt modelId="{3F7F9B29-69DD-4DA1-B75D-C864E8FFB799}" type="pres">
      <dgm:prSet presAssocID="{7E7E5946-21F8-4169-B807-028B5A69728C}" presName="sibSpaceTwo" presStyleCnt="0"/>
      <dgm:spPr/>
    </dgm:pt>
    <dgm:pt modelId="{6B1DACA4-D9F0-43F8-AF5D-7FD7AF71CAEB}" type="pres">
      <dgm:prSet presAssocID="{0972259D-A07B-4081-9258-26BA55892F25}" presName="vertTwo" presStyleCnt="0"/>
      <dgm:spPr/>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pt>
    <dgm:pt modelId="{FAF863C0-70D2-4D0A-B57B-2126794BD37E}" type="pres">
      <dgm:prSet presAssocID="{0972259D-A07B-4081-9258-26BA55892F25}" presName="horzTwo" presStyleCnt="0"/>
      <dgm:spPr/>
    </dgm:pt>
    <dgm:pt modelId="{47211008-5016-4889-8A6D-235708A54ED8}" type="pres">
      <dgm:prSet presAssocID="{C7D5A529-3A7D-47FC-8FBB-0B536C37E55D}" presName="vertThree" presStyleCnt="0"/>
      <dgm:spPr/>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pt>
    <dgm:pt modelId="{303155D3-7ACE-435F-B5DA-330DDE50428B}" type="pres">
      <dgm:prSet presAssocID="{C7D5A529-3A7D-47FC-8FBB-0B536C37E55D}" presName="horzThree" presStyleCnt="0"/>
      <dgm:spPr/>
    </dgm:pt>
    <dgm:pt modelId="{B80F9211-0144-43E5-A826-E5B32CA7BF5C}" type="pres">
      <dgm:prSet presAssocID="{7620C068-1A7C-40DE-8116-5F3CCBB61608}" presName="vertFour" presStyleCnt="0">
        <dgm:presLayoutVars>
          <dgm:chPref val="3"/>
        </dgm:presLayoutVars>
      </dgm:prSet>
      <dgm:spPr/>
    </dgm:pt>
    <dgm:pt modelId="{D2DAAA64-C9BC-43E6-9DE3-61A114420CF1}" type="pres">
      <dgm:prSet presAssocID="{7620C068-1A7C-40DE-8116-5F3CCBB61608}" presName="txFour" presStyleLbl="node4" presStyleIdx="3" presStyleCnt="4" custScaleY="56723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pt>
  </dgm:ptLst>
  <dgm:cxnLst>
    <dgm:cxn modelId="{B4659D90-7805-4CB2-B036-664E9CC10C06}" type="presOf" srcId="{3DA4D3B1-BDC4-4286-BC76-1975308602A3}" destId="{1B6E1A6C-15B5-4415-95F1-F7162486BD52}"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1A57219C-B6E0-45E4-BBAA-F1E6074A5C73}" srcId="{55A47DEC-5BD8-43FF-92F5-E186C868192C}" destId="{7E1F13C2-8303-4BE6-BD51-58E6E2D0CCBD}" srcOrd="0" destOrd="0" parTransId="{90AD1E71-36FD-4205-8A17-796C347C9A11}" sibTransId="{8034AC81-1C30-4867-B0A4-C93CEE24174C}"/>
    <dgm:cxn modelId="{F47D3E68-7B3B-418C-AF61-DBB1B631FAD5}" type="presOf" srcId="{9A1AA23F-C1C0-4477-B302-3E60A402D137}" destId="{D2325AFA-C9C0-4A75-A6B5-BA5F65ED3BB1}" srcOrd="0" destOrd="0" presId="urn:microsoft.com/office/officeart/2005/8/layout/hierarchy4"/>
    <dgm:cxn modelId="{EF5EDE8B-3084-4BE8-A627-CA35B0E1E4FA}" type="presOf" srcId="{D5ED0B09-3CC2-406A-A1A9-488AFBB60D8B}" destId="{CF2E5284-F5F8-48E4-B373-A24D35776BE0}" srcOrd="0" destOrd="0" presId="urn:microsoft.com/office/officeart/2005/8/layout/hierarchy4"/>
    <dgm:cxn modelId="{C0FE30E8-F1A1-4F66-9B8F-81AA0B4F5015}" type="presOf" srcId="{55A47DEC-5BD8-43FF-92F5-E186C868192C}" destId="{718D3AC5-6553-4309-AF42-FCECAFABA656}" srcOrd="0" destOrd="0" presId="urn:microsoft.com/office/officeart/2005/8/layout/hierarchy4"/>
    <dgm:cxn modelId="{B25E9F78-2255-422D-9A5E-081421D87553}" type="presOf" srcId="{F3E2F0B6-E4F5-49C8-A3B6-DCE119FE3F90}" destId="{BB868717-16F5-4D38-9AD8-7855AA823BED}" srcOrd="0" destOrd="0" presId="urn:microsoft.com/office/officeart/2005/8/layout/hierarchy4"/>
    <dgm:cxn modelId="{A1C51A1C-4E1D-46A8-8464-662DB1F67306}" type="presOf" srcId="{0972259D-A07B-4081-9258-26BA55892F25}" destId="{91A38FA1-A5BD-4AEA-88BE-34EC6ABDEDE5}" srcOrd="0" destOrd="0" presId="urn:microsoft.com/office/officeart/2005/8/layout/hierarchy4"/>
    <dgm:cxn modelId="{049743E3-CB29-4510-AB22-C5C7CD7530EB}" srcId="{9A1AA23F-C1C0-4477-B302-3E60A402D137}" destId="{A49C721B-AC5B-441C-AFA9-A644FC358A66}" srcOrd="0" destOrd="0" parTransId="{AA1CEBFC-9415-46ED-8830-648A985C84FE}" sibTransId="{CACA051E-2660-4797-9B54-CCF23A474144}"/>
    <dgm:cxn modelId="{FADC6CFA-297E-4D8E-AAAB-5BA43273ECB4}" type="presOf" srcId="{6C9654DF-EAAD-41C9-9A04-63DC7DFBB9B5}" destId="{7281DBB9-4EE7-4A14-9CDA-9DB944766842}" srcOrd="0" destOrd="0" presId="urn:microsoft.com/office/officeart/2005/8/layout/hierarchy4"/>
    <dgm:cxn modelId="{88E630CE-96D6-481C-B0AB-D3CE0C74F68C}" srcId="{C7D5A529-3A7D-47FC-8FBB-0B536C37E55D}" destId="{7620C068-1A7C-40DE-8116-5F3CCBB61608}" srcOrd="0" destOrd="0" parTransId="{A507DD36-7E8A-42C6-86C5-0668F87BDAAB}" sibTransId="{21A58F11-2D42-4FC0-BF01-E8BD93057A2B}"/>
    <dgm:cxn modelId="{C9C92AB6-6F86-44ED-92B3-9E87CC4E4664}" srcId="{3EB5BBF6-FCA7-4E3A-BDFE-A4AAE3DDDAAA}" destId="{F3E2F0B6-E4F5-49C8-A3B6-DCE119FE3F90}" srcOrd="0" destOrd="0" parTransId="{196183CE-F8A3-4787-9EDA-7A991E6301BD}" sibTransId="{5828DA98-FD56-4BC8-8B5C-496113443C5D}"/>
    <dgm:cxn modelId="{FFEFA698-761F-417F-A344-B1D6FF203891}" type="presOf" srcId="{C7D5A529-3A7D-47FC-8FBB-0B536C37E55D}" destId="{4F70EE44-0EE9-4D32-9F6E-0E663D7B1797}" srcOrd="0" destOrd="0" presId="urn:microsoft.com/office/officeart/2005/8/layout/hierarchy4"/>
    <dgm:cxn modelId="{A338B58B-C2F8-41D9-A775-781CB6D84F8C}" srcId="{0972259D-A07B-4081-9258-26BA55892F25}" destId="{C7D5A529-3A7D-47FC-8FBB-0B536C37E55D}" srcOrd="0" destOrd="0" parTransId="{DD226C01-D0F2-4093-9E74-75CE0BFFF02B}" sibTransId="{38302B12-0698-48A4-80A0-F728C945A3FD}"/>
    <dgm:cxn modelId="{8496A4DC-A5DB-4928-B5C5-81BB1CD84BF4}" srcId="{7E1F13C2-8303-4BE6-BD51-58E6E2D0CCBD}" destId="{9A1AA23F-C1C0-4477-B302-3E60A402D137}" srcOrd="1" destOrd="0" parTransId="{28A8273E-3008-463E-B6B1-241EC867AB43}" sibTransId="{4F13A9A4-4E77-4919-AC40-17A56A38EE26}"/>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83704F26-5D64-418B-ACAF-F6827AEBC27A}" srcId="{7E1F13C2-8303-4BE6-BD51-58E6E2D0CCBD}" destId="{3DA4D3B1-BDC4-4286-BC76-1975308602A3}" srcOrd="0" destOrd="0" parTransId="{4A944CA0-B3AB-4B98-9DD0-F02C72063072}" sibTransId="{9D399AB0-BE5D-49EA-BD3F-0BBD5D2E1CAA}"/>
    <dgm:cxn modelId="{673B63C1-65BE-46B4-AF32-5DE07B5BEBA4}" srcId="{6C9654DF-EAAD-41C9-9A04-63DC7DFBB9B5}" destId="{55A47DEC-5BD8-43FF-92F5-E186C868192C}" srcOrd="0" destOrd="0" parTransId="{40DBC75D-7719-446D-9DE5-D46B0AB99411}" sibTransId="{8D5F0354-CDBD-4C47-9193-51362C6B9B55}"/>
    <dgm:cxn modelId="{FAE7DC9A-9236-4C88-B90C-84CF7200D157}" type="presOf" srcId="{7E1F13C2-8303-4BE6-BD51-58E6E2D0CCBD}" destId="{F9A5BDCA-160C-4D0D-BC3B-46DBFB70E008}" srcOrd="0" destOrd="0" presId="urn:microsoft.com/office/officeart/2005/8/layout/hierarchy4"/>
    <dgm:cxn modelId="{7E623B88-E872-4502-A6CF-DC887C4638C7}" srcId="{D5ED0B09-3CC2-406A-A1A9-488AFBB60D8B}" destId="{3EB5BBF6-FCA7-4E3A-BDFE-A4AAE3DDDAAA}" srcOrd="0" destOrd="0" parTransId="{7B91A456-4B53-4FBE-B958-29A89FFC7A7C}" sibTransId="{A25CB7E6-0DA2-4002-B9A6-C3787F309536}"/>
    <dgm:cxn modelId="{100D7D63-2834-41CA-91A4-82082EA7C777}" type="presOf" srcId="{264E86EB-59BD-459B-85BB-BF64ACA0608A}" destId="{A02E9E10-9EFD-4B93-9024-F27DFA07DAF0}" srcOrd="0" destOrd="0" presId="urn:microsoft.com/office/officeart/2005/8/layout/hierarchy4"/>
    <dgm:cxn modelId="{29FB0008-C47E-48FF-9A6B-BF42DB56CEAA}" type="presOf" srcId="{7620C068-1A7C-40DE-8116-5F3CCBB61608}" destId="{D2DAAA64-C9BC-43E6-9DE3-61A114420CF1}" srcOrd="0" destOrd="0" presId="urn:microsoft.com/office/officeart/2005/8/layout/hierarchy4"/>
    <dgm:cxn modelId="{4CD7940B-C697-4DA5-8434-61FA0F9947A4}" type="presOf" srcId="{A49C721B-AC5B-441C-AFA9-A644FC358A66}" destId="{0FD70A2D-5363-4F60-8857-8DCBA108EC51}" srcOrd="0" destOrd="0" presId="urn:microsoft.com/office/officeart/2005/8/layout/hierarchy4"/>
    <dgm:cxn modelId="{0121E7C3-4519-450F-9644-C21142166AFC}" type="presOf" srcId="{3EB5BBF6-FCA7-4E3A-BDFE-A4AAE3DDDAAA}" destId="{DBA12B8F-CFD6-40CA-A43B-751407D3F421}" srcOrd="0" destOrd="0" presId="urn:microsoft.com/office/officeart/2005/8/layout/hierarchy4"/>
    <dgm:cxn modelId="{56FC8689-1DE3-44F7-8434-32838A142EC4}" type="presParOf" srcId="{7281DBB9-4EE7-4A14-9CDA-9DB944766842}" destId="{2F1E9DB6-F239-464B-8978-85171DC6A13C}" srcOrd="0" destOrd="0" presId="urn:microsoft.com/office/officeart/2005/8/layout/hierarchy4"/>
    <dgm:cxn modelId="{60715CFC-4DC1-44AF-9040-DB6E760E68CD}" type="presParOf" srcId="{2F1E9DB6-F239-464B-8978-85171DC6A13C}" destId="{718D3AC5-6553-4309-AF42-FCECAFABA656}" srcOrd="0" destOrd="0" presId="urn:microsoft.com/office/officeart/2005/8/layout/hierarchy4"/>
    <dgm:cxn modelId="{1093A9B7-0BB6-412F-9FCE-915B9966E5C6}" type="presParOf" srcId="{2F1E9DB6-F239-464B-8978-85171DC6A13C}" destId="{FD3DD701-7BAE-4724-86FD-7A411C0BA911}" srcOrd="1" destOrd="0" presId="urn:microsoft.com/office/officeart/2005/8/layout/hierarchy4"/>
    <dgm:cxn modelId="{D971AEC7-79C4-44B0-BDC5-6E76C7BAAD9B}" type="presParOf" srcId="{2F1E9DB6-F239-464B-8978-85171DC6A13C}" destId="{62961143-FF02-4A14-8E52-6DDE89741CBC}" srcOrd="2" destOrd="0" presId="urn:microsoft.com/office/officeart/2005/8/layout/hierarchy4"/>
    <dgm:cxn modelId="{77402990-0B21-4D9F-A552-0E4BB863C779}" type="presParOf" srcId="{62961143-FF02-4A14-8E52-6DDE89741CBC}" destId="{1F53BA3A-0466-4B3E-925E-C15B3723B3C0}" srcOrd="0" destOrd="0" presId="urn:microsoft.com/office/officeart/2005/8/layout/hierarchy4"/>
    <dgm:cxn modelId="{39D04558-F287-4FE8-8DAA-D7C4820F0D9A}" type="presParOf" srcId="{1F53BA3A-0466-4B3E-925E-C15B3723B3C0}" destId="{F9A5BDCA-160C-4D0D-BC3B-46DBFB70E008}" srcOrd="0" destOrd="0" presId="urn:microsoft.com/office/officeart/2005/8/layout/hierarchy4"/>
    <dgm:cxn modelId="{63F3BA5C-9B0D-4A39-843D-D7E6C47FFE2E}" type="presParOf" srcId="{1F53BA3A-0466-4B3E-925E-C15B3723B3C0}" destId="{9FCD82B5-B882-4A54-B7E4-3D0E0B87FAFA}" srcOrd="1" destOrd="0" presId="urn:microsoft.com/office/officeart/2005/8/layout/hierarchy4"/>
    <dgm:cxn modelId="{93A216E8-46BA-4EE3-B987-D6F34EA1F2A5}" type="presParOf" srcId="{1F53BA3A-0466-4B3E-925E-C15B3723B3C0}" destId="{8F5464E6-689E-4C8F-9DDF-15E1198A2ED4}" srcOrd="2" destOrd="0" presId="urn:microsoft.com/office/officeart/2005/8/layout/hierarchy4"/>
    <dgm:cxn modelId="{B94B4E29-260A-4517-AA2A-65C35B156544}" type="presParOf" srcId="{8F5464E6-689E-4C8F-9DDF-15E1198A2ED4}" destId="{5751DC98-1DFA-492E-A07A-076714AE6B8F}" srcOrd="0" destOrd="0" presId="urn:microsoft.com/office/officeart/2005/8/layout/hierarchy4"/>
    <dgm:cxn modelId="{3CD4AABA-0C0A-4EBF-B1DA-0E3239B69284}" type="presParOf" srcId="{5751DC98-1DFA-492E-A07A-076714AE6B8F}" destId="{1B6E1A6C-15B5-4415-95F1-F7162486BD52}" srcOrd="0" destOrd="0" presId="urn:microsoft.com/office/officeart/2005/8/layout/hierarchy4"/>
    <dgm:cxn modelId="{EF03D775-63CB-46B2-A9FD-6384FFCB3C85}" type="presParOf" srcId="{5751DC98-1DFA-492E-A07A-076714AE6B8F}" destId="{98BB3AC5-EC44-4547-8B72-499A2C81DBE5}" srcOrd="1" destOrd="0" presId="urn:microsoft.com/office/officeart/2005/8/layout/hierarchy4"/>
    <dgm:cxn modelId="{E7AA913E-9E2D-4882-A9E3-2F2D8350CF1A}" type="presParOf" srcId="{5751DC98-1DFA-492E-A07A-076714AE6B8F}" destId="{27752314-A407-4A36-B678-E9A5970E0BD4}" srcOrd="2" destOrd="0" presId="urn:microsoft.com/office/officeart/2005/8/layout/hierarchy4"/>
    <dgm:cxn modelId="{76AF61F4-73F4-436C-B4D1-3C45226ED10E}" type="presParOf" srcId="{27752314-A407-4A36-B678-E9A5970E0BD4}" destId="{5FE697D5-3E9B-415A-AD1C-37D5386A2B41}" srcOrd="0" destOrd="0" presId="urn:microsoft.com/office/officeart/2005/8/layout/hierarchy4"/>
    <dgm:cxn modelId="{6747C4EA-36BD-4DD3-9FE3-FCD560BBF7B9}" type="presParOf" srcId="{5FE697D5-3E9B-415A-AD1C-37D5386A2B41}" destId="{A02E9E10-9EFD-4B93-9024-F27DFA07DAF0}" srcOrd="0" destOrd="0" presId="urn:microsoft.com/office/officeart/2005/8/layout/hierarchy4"/>
    <dgm:cxn modelId="{90163F93-506C-4970-8C71-3C17EE48E6D7}" type="presParOf" srcId="{5FE697D5-3E9B-415A-AD1C-37D5386A2B41}" destId="{A18FEA76-7BB6-4958-A44A-692E6FBEE75A}" srcOrd="1" destOrd="0" presId="urn:microsoft.com/office/officeart/2005/8/layout/hierarchy4"/>
    <dgm:cxn modelId="{6D35FC05-5178-4ED3-A4C5-F0A4FDB6EBBF}" type="presParOf" srcId="{8F5464E6-689E-4C8F-9DDF-15E1198A2ED4}" destId="{C94DD181-18DE-470D-A9B9-F490FAFE6562}" srcOrd="1" destOrd="0" presId="urn:microsoft.com/office/officeart/2005/8/layout/hierarchy4"/>
    <dgm:cxn modelId="{1D4B4F8B-DFE7-4FFC-B5E1-21269B56986C}" type="presParOf" srcId="{8F5464E6-689E-4C8F-9DDF-15E1198A2ED4}" destId="{8E950F4B-09F2-451B-9D7F-BB86301BF180}" srcOrd="2" destOrd="0" presId="urn:microsoft.com/office/officeart/2005/8/layout/hierarchy4"/>
    <dgm:cxn modelId="{B9C48490-935B-4FC6-B90D-6A578AB6525C}" type="presParOf" srcId="{8E950F4B-09F2-451B-9D7F-BB86301BF180}" destId="{D2325AFA-C9C0-4A75-A6B5-BA5F65ED3BB1}" srcOrd="0" destOrd="0" presId="urn:microsoft.com/office/officeart/2005/8/layout/hierarchy4"/>
    <dgm:cxn modelId="{DA1A065F-7206-4EE0-959E-81EB3DDBB680}" type="presParOf" srcId="{8E950F4B-09F2-451B-9D7F-BB86301BF180}" destId="{4708C78F-9FF7-4395-B346-8CE5B835B19A}" srcOrd="1" destOrd="0" presId="urn:microsoft.com/office/officeart/2005/8/layout/hierarchy4"/>
    <dgm:cxn modelId="{FAAC0FB2-4C10-4C7D-BF42-78E46F12338F}" type="presParOf" srcId="{8E950F4B-09F2-451B-9D7F-BB86301BF180}" destId="{81394379-5A0F-434F-92B0-B3898F744DBE}" srcOrd="2" destOrd="0" presId="urn:microsoft.com/office/officeart/2005/8/layout/hierarchy4"/>
    <dgm:cxn modelId="{AC9668D7-5EF1-4A7D-B488-8048600CF782}" type="presParOf" srcId="{81394379-5A0F-434F-92B0-B3898F744DBE}" destId="{52D88C3F-C342-4D0B-A570-AB44121EF5CF}" srcOrd="0" destOrd="0" presId="urn:microsoft.com/office/officeart/2005/8/layout/hierarchy4"/>
    <dgm:cxn modelId="{167E038F-790A-43C0-A954-819F34233C5B}" type="presParOf" srcId="{52D88C3F-C342-4D0B-A570-AB44121EF5CF}" destId="{0FD70A2D-5363-4F60-8857-8DCBA108EC51}" srcOrd="0" destOrd="0" presId="urn:microsoft.com/office/officeart/2005/8/layout/hierarchy4"/>
    <dgm:cxn modelId="{A26C8FAD-B6C1-4E44-B621-B35419D26D24}" type="presParOf" srcId="{52D88C3F-C342-4D0B-A570-AB44121EF5CF}" destId="{9AC65157-1D3A-4B1B-9642-FE486F292B72}" srcOrd="1" destOrd="0" presId="urn:microsoft.com/office/officeart/2005/8/layout/hierarchy4"/>
    <dgm:cxn modelId="{D52FCCFD-B99D-4606-A17B-26744674125C}" type="presParOf" srcId="{62961143-FF02-4A14-8E52-6DDE89741CBC}" destId="{B79FC79B-95B0-460F-A9E2-C9EC7326C334}" srcOrd="1" destOrd="0" presId="urn:microsoft.com/office/officeart/2005/8/layout/hierarchy4"/>
    <dgm:cxn modelId="{B94D4535-3E26-4137-9936-43FD91703A44}" type="presParOf" srcId="{62961143-FF02-4A14-8E52-6DDE89741CBC}" destId="{43B3714E-05D4-4C8D-8010-CAEF93055560}" srcOrd="2" destOrd="0" presId="urn:microsoft.com/office/officeart/2005/8/layout/hierarchy4"/>
    <dgm:cxn modelId="{D22DCC3E-01C9-4A38-BFE9-6BC72D966758}" type="presParOf" srcId="{43B3714E-05D4-4C8D-8010-CAEF93055560}" destId="{CF2E5284-F5F8-48E4-B373-A24D35776BE0}" srcOrd="0" destOrd="0" presId="urn:microsoft.com/office/officeart/2005/8/layout/hierarchy4"/>
    <dgm:cxn modelId="{B54DE067-80E7-4FB4-858C-45CBBEA28F43}" type="presParOf" srcId="{43B3714E-05D4-4C8D-8010-CAEF93055560}" destId="{598B938B-8160-45F2-ABAD-795190621085}" srcOrd="1" destOrd="0" presId="urn:microsoft.com/office/officeart/2005/8/layout/hierarchy4"/>
    <dgm:cxn modelId="{0DC2BCB9-E0F4-4D52-9574-9A09FF4EE020}" type="presParOf" srcId="{43B3714E-05D4-4C8D-8010-CAEF93055560}" destId="{92627873-E9AE-43DA-938C-C750A1BF6B61}" srcOrd="2" destOrd="0" presId="urn:microsoft.com/office/officeart/2005/8/layout/hierarchy4"/>
    <dgm:cxn modelId="{9C8CB77F-C26D-4B5A-9DFD-AB51B4BCFE53}" type="presParOf" srcId="{92627873-E9AE-43DA-938C-C750A1BF6B61}" destId="{30C202DA-B487-4874-988E-FD2E70174694}" srcOrd="0" destOrd="0" presId="urn:microsoft.com/office/officeart/2005/8/layout/hierarchy4"/>
    <dgm:cxn modelId="{DDA9BAB8-F429-41E4-8335-81461F1339B7}" type="presParOf" srcId="{30C202DA-B487-4874-988E-FD2E70174694}" destId="{DBA12B8F-CFD6-40CA-A43B-751407D3F421}" srcOrd="0" destOrd="0" presId="urn:microsoft.com/office/officeart/2005/8/layout/hierarchy4"/>
    <dgm:cxn modelId="{F9886135-6BCB-405D-9028-47FC94975DD6}" type="presParOf" srcId="{30C202DA-B487-4874-988E-FD2E70174694}" destId="{4F972BE5-0A80-41B5-9C7F-4EF86D596E94}" srcOrd="1" destOrd="0" presId="urn:microsoft.com/office/officeart/2005/8/layout/hierarchy4"/>
    <dgm:cxn modelId="{534B3E1F-FA73-42C1-8D51-D3C216AFF99A}" type="presParOf" srcId="{30C202DA-B487-4874-988E-FD2E70174694}" destId="{F9FFAB89-C2E1-4D4A-BB80-DE08B2354399}" srcOrd="2" destOrd="0" presId="urn:microsoft.com/office/officeart/2005/8/layout/hierarchy4"/>
    <dgm:cxn modelId="{385C0AD5-56A3-44C8-A1CC-5AA8A8B35C3B}" type="presParOf" srcId="{F9FFAB89-C2E1-4D4A-BB80-DE08B2354399}" destId="{E49FC716-2969-4249-B96F-E553B1D9E20F}" srcOrd="0" destOrd="0" presId="urn:microsoft.com/office/officeart/2005/8/layout/hierarchy4"/>
    <dgm:cxn modelId="{B090C267-AB32-4513-A580-7B45EA8BC110}" type="presParOf" srcId="{E49FC716-2969-4249-B96F-E553B1D9E20F}" destId="{BB868717-16F5-4D38-9AD8-7855AA823BED}" srcOrd="0" destOrd="0" presId="urn:microsoft.com/office/officeart/2005/8/layout/hierarchy4"/>
    <dgm:cxn modelId="{E898B58C-599A-430D-82C9-5F289F3BCFC5}" type="presParOf" srcId="{E49FC716-2969-4249-B96F-E553B1D9E20F}" destId="{F4189AA5-702F-4BCC-BFBB-9C2B34F784A9}" srcOrd="1" destOrd="0" presId="urn:microsoft.com/office/officeart/2005/8/layout/hierarchy4"/>
    <dgm:cxn modelId="{8E5BCFF2-49DF-4622-AA3A-8204765AD393}" type="presParOf" srcId="{62961143-FF02-4A14-8E52-6DDE89741CBC}" destId="{3F7F9B29-69DD-4DA1-B75D-C864E8FFB799}" srcOrd="3" destOrd="0" presId="urn:microsoft.com/office/officeart/2005/8/layout/hierarchy4"/>
    <dgm:cxn modelId="{5D4A2F3E-225F-4C07-96ED-1ECD6D79746A}" type="presParOf" srcId="{62961143-FF02-4A14-8E52-6DDE89741CBC}" destId="{6B1DACA4-D9F0-43F8-AF5D-7FD7AF71CAEB}" srcOrd="4" destOrd="0" presId="urn:microsoft.com/office/officeart/2005/8/layout/hierarchy4"/>
    <dgm:cxn modelId="{BE19BCE6-C2E0-462E-AFF5-80F652DDF646}" type="presParOf" srcId="{6B1DACA4-D9F0-43F8-AF5D-7FD7AF71CAEB}" destId="{91A38FA1-A5BD-4AEA-88BE-34EC6ABDEDE5}" srcOrd="0" destOrd="0" presId="urn:microsoft.com/office/officeart/2005/8/layout/hierarchy4"/>
    <dgm:cxn modelId="{D6D58C08-4D68-4837-8F42-0E05980E3A3F}" type="presParOf" srcId="{6B1DACA4-D9F0-43F8-AF5D-7FD7AF71CAEB}" destId="{5CB34F75-835A-4F62-98BD-B8F2D06F5796}" srcOrd="1" destOrd="0" presId="urn:microsoft.com/office/officeart/2005/8/layout/hierarchy4"/>
    <dgm:cxn modelId="{86281DC4-E83D-486B-9234-AD4871896280}" type="presParOf" srcId="{6B1DACA4-D9F0-43F8-AF5D-7FD7AF71CAEB}" destId="{FAF863C0-70D2-4D0A-B57B-2126794BD37E}" srcOrd="2" destOrd="0" presId="urn:microsoft.com/office/officeart/2005/8/layout/hierarchy4"/>
    <dgm:cxn modelId="{FFA39D81-3B50-4734-A033-734C47A1B320}" type="presParOf" srcId="{FAF863C0-70D2-4D0A-B57B-2126794BD37E}" destId="{47211008-5016-4889-8A6D-235708A54ED8}" srcOrd="0" destOrd="0" presId="urn:microsoft.com/office/officeart/2005/8/layout/hierarchy4"/>
    <dgm:cxn modelId="{9178E38B-6048-4403-989A-B0441F4367BC}" type="presParOf" srcId="{47211008-5016-4889-8A6D-235708A54ED8}" destId="{4F70EE44-0EE9-4D32-9F6E-0E663D7B1797}" srcOrd="0" destOrd="0" presId="urn:microsoft.com/office/officeart/2005/8/layout/hierarchy4"/>
    <dgm:cxn modelId="{7949AF25-11CB-48F4-8FE1-0A006B9E49B9}" type="presParOf" srcId="{47211008-5016-4889-8A6D-235708A54ED8}" destId="{0791ECCB-842F-4007-9194-D8A01E5A40D2}" srcOrd="1" destOrd="0" presId="urn:microsoft.com/office/officeart/2005/8/layout/hierarchy4"/>
    <dgm:cxn modelId="{B1A62282-BFAB-477B-AFBB-7A96ADF3DA0A}" type="presParOf" srcId="{47211008-5016-4889-8A6D-235708A54ED8}" destId="{303155D3-7ACE-435F-B5DA-330DDE50428B}" srcOrd="2" destOrd="0" presId="urn:microsoft.com/office/officeart/2005/8/layout/hierarchy4"/>
    <dgm:cxn modelId="{5325DFDB-730D-459B-8683-0CE5E645F325}" type="presParOf" srcId="{303155D3-7ACE-435F-B5DA-330DDE50428B}" destId="{B80F9211-0144-43E5-A826-E5B32CA7BF5C}" srcOrd="0" destOrd="0" presId="urn:microsoft.com/office/officeart/2005/8/layout/hierarchy4"/>
    <dgm:cxn modelId="{B07F40D7-3FBB-44C4-AE44-988B82C139BF}" type="presParOf" srcId="{B80F9211-0144-43E5-A826-E5B32CA7BF5C}" destId="{D2DAAA64-C9BC-43E6-9DE3-61A114420CF1}" srcOrd="0" destOrd="0" presId="urn:microsoft.com/office/officeart/2005/8/layout/hierarchy4"/>
    <dgm:cxn modelId="{CA63C7FF-0A7D-4F9C-B700-9C1D02211D9E}"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9654DF-EAAD-41C9-9A04-63DC7DFBB9B5}"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en-AU"/>
        </a:p>
      </dgm:t>
    </dgm:pt>
    <dgm:pt modelId="{55A47DEC-5BD8-43FF-92F5-E186C868192C}">
      <dgm:prSet phldrT="[Text]"/>
      <dgm:spPr>
        <a:xfrm>
          <a:off x="400" y="1379"/>
          <a:ext cx="5485599" cy="43916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Victorian distribution services</a:t>
          </a:r>
        </a:p>
      </dgm:t>
    </dgm:pt>
    <dgm:pt modelId="{40DBC75D-7719-446D-9DE5-D46B0AB99411}" type="parTrans" cxnId="{673B63C1-65BE-46B4-AF32-5DE07B5BEBA4}">
      <dgm:prSet/>
      <dgm:spPr/>
      <dgm:t>
        <a:bodyPr/>
        <a:lstStyle/>
        <a:p>
          <a:endParaRPr lang="en-AU"/>
        </a:p>
      </dgm:t>
    </dgm:pt>
    <dgm:pt modelId="{8D5F0354-CDBD-4C47-9193-51362C6B9B55}" type="sibTrans" cxnId="{673B63C1-65BE-46B4-AF32-5DE07B5BEBA4}">
      <dgm:prSet/>
      <dgm:spPr/>
      <dgm:t>
        <a:bodyPr/>
        <a:lstStyle/>
        <a:p>
          <a:endParaRPr lang="en-AU"/>
        </a:p>
      </dgm:t>
    </dgm:pt>
    <dgm:pt modelId="{7E1F13C2-8303-4BE6-BD51-58E6E2D0CCBD}">
      <dgm:prSet phldrT="[Text]">
        <dgm:style>
          <a:lnRef idx="1">
            <a:schemeClr val="accent1"/>
          </a:lnRef>
          <a:fillRef idx="2">
            <a:schemeClr val="accent1"/>
          </a:fillRef>
          <a:effectRef idx="1">
            <a:schemeClr val="accent1"/>
          </a:effectRef>
          <a:fontRef idx="minor">
            <a:schemeClr val="dk1"/>
          </a:fontRef>
        </dgm:style>
      </dgm:prSet>
      <dgm:spPr>
        <a:xfrm>
          <a:off x="5754" y="475015"/>
          <a:ext cx="3127650" cy="439169"/>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Direct control (revenue/price regulated)</a:t>
          </a:r>
        </a:p>
      </dgm:t>
    </dgm:pt>
    <dgm:pt modelId="{90AD1E71-36FD-4205-8A17-796C347C9A11}" type="parTrans" cxnId="{1A57219C-B6E0-45E4-BBAA-F1E6074A5C73}">
      <dgm:prSet/>
      <dgm:spPr/>
      <dgm:t>
        <a:bodyPr/>
        <a:lstStyle/>
        <a:p>
          <a:endParaRPr lang="en-AU"/>
        </a:p>
      </dgm:t>
    </dgm:pt>
    <dgm:pt modelId="{8034AC81-1C30-4867-B0A4-C93CEE24174C}" type="sibTrans" cxnId="{1A57219C-B6E0-45E4-BBAA-F1E6074A5C73}">
      <dgm:prSet/>
      <dgm:spPr/>
      <dgm:t>
        <a:bodyPr/>
        <a:lstStyle/>
        <a:p>
          <a:endParaRPr lang="en-AU"/>
        </a:p>
      </dgm:t>
    </dgm:pt>
    <dgm:pt modelId="{3DA4D3B1-BDC4-4286-BC76-1975308602A3}">
      <dgm:prSet phldrT="[Text]">
        <dgm:style>
          <a:lnRef idx="1">
            <a:schemeClr val="accent1"/>
          </a:lnRef>
          <a:fillRef idx="2">
            <a:schemeClr val="accent1"/>
          </a:fillRef>
          <a:effectRef idx="1">
            <a:schemeClr val="accent1"/>
          </a:effectRef>
          <a:fontRef idx="minor">
            <a:schemeClr val="dk1"/>
          </a:fontRef>
        </dgm:style>
      </dgm:prSet>
      <dgm:spPr>
        <a:xfrm>
          <a:off x="16413" y="948652"/>
          <a:ext cx="1530581" cy="439169"/>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Standard control </a:t>
          </a:r>
        </a:p>
        <a:p>
          <a:r>
            <a:rPr lang="en-AU">
              <a:solidFill>
                <a:sysClr val="windowText" lastClr="000000"/>
              </a:solidFill>
              <a:latin typeface="Calibri"/>
              <a:ea typeface="+mn-ea"/>
              <a:cs typeface="+mn-cs"/>
            </a:rPr>
            <a:t>(general network charges)</a:t>
          </a:r>
        </a:p>
      </dgm:t>
    </dgm:pt>
    <dgm:pt modelId="{4A944CA0-B3AB-4B98-9DD0-F02C72063072}" type="parTrans" cxnId="{83704F26-5D64-418B-ACAF-F6827AEBC27A}">
      <dgm:prSet/>
      <dgm:spPr/>
      <dgm:t>
        <a:bodyPr/>
        <a:lstStyle/>
        <a:p>
          <a:endParaRPr lang="en-AU"/>
        </a:p>
      </dgm:t>
    </dgm:pt>
    <dgm:pt modelId="{9D399AB0-BE5D-49EA-BD3F-0BBD5D2E1CAA}" type="sibTrans" cxnId="{83704F26-5D64-418B-ACAF-F6827AEBC27A}">
      <dgm:prSet/>
      <dgm:spPr/>
      <dgm:t>
        <a:bodyPr/>
        <a:lstStyle/>
        <a:p>
          <a:endParaRPr lang="en-AU"/>
        </a:p>
      </dgm:t>
    </dgm:pt>
    <dgm:pt modelId="{9A1AA23F-C1C0-4477-B302-3E60A402D137}">
      <dgm:prSet phldrT="[Text]">
        <dgm:style>
          <a:lnRef idx="1">
            <a:schemeClr val="accent1"/>
          </a:lnRef>
          <a:fillRef idx="2">
            <a:schemeClr val="accent1"/>
          </a:fillRef>
          <a:effectRef idx="1">
            <a:schemeClr val="accent1"/>
          </a:effectRef>
          <a:fontRef idx="minor">
            <a:schemeClr val="dk1"/>
          </a:fontRef>
        </dgm:style>
      </dgm:prSet>
      <dgm:spPr>
        <a:xfrm>
          <a:off x="1592164" y="948652"/>
          <a:ext cx="1530581" cy="439169"/>
        </a:xfr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Alternative control </a:t>
          </a:r>
        </a:p>
        <a:p>
          <a:r>
            <a:rPr lang="en-AU">
              <a:solidFill>
                <a:sysClr val="windowText" lastClr="000000"/>
              </a:solidFill>
              <a:latin typeface="Calibri"/>
              <a:ea typeface="+mn-ea"/>
              <a:cs typeface="+mn-cs"/>
            </a:rPr>
            <a:t>(service specific charges)</a:t>
          </a:r>
        </a:p>
      </dgm:t>
    </dgm:pt>
    <dgm:pt modelId="{28A8273E-3008-463E-B6B1-241EC867AB43}" type="parTrans" cxnId="{8496A4DC-A5DB-4928-B5C5-81BB1CD84BF4}">
      <dgm:prSet/>
      <dgm:spPr/>
      <dgm:t>
        <a:bodyPr/>
        <a:lstStyle/>
        <a:p>
          <a:endParaRPr lang="en-AU"/>
        </a:p>
      </dgm:t>
    </dgm:pt>
    <dgm:pt modelId="{4F13A9A4-4E77-4919-AC40-17A56A38EE26}" type="sibTrans" cxnId="{8496A4DC-A5DB-4928-B5C5-81BB1CD84BF4}">
      <dgm:prSet/>
      <dgm:spPr/>
      <dgm:t>
        <a:bodyPr/>
        <a:lstStyle/>
        <a:p>
          <a:endParaRPr lang="en-AU"/>
        </a:p>
      </dgm:t>
    </dgm:pt>
    <dgm:pt modelId="{D5ED0B09-3CC2-406A-A1A9-488AFBB60D8B}">
      <dgm:prSet phldrT="[Text]">
        <dgm:style>
          <a:lnRef idx="1">
            <a:schemeClr val="accent1"/>
          </a:lnRef>
          <a:fillRef idx="2">
            <a:schemeClr val="accent1"/>
          </a:fillRef>
          <a:effectRef idx="1">
            <a:schemeClr val="accent1"/>
          </a:effectRef>
          <a:fontRef idx="minor">
            <a:schemeClr val="dk1"/>
          </a:fontRef>
        </dgm:style>
      </dgm:prSet>
      <dgm:spPr>
        <a:xfrm>
          <a:off x="3224186" y="475015"/>
          <a:ext cx="1082839" cy="439169"/>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Negotiated</a:t>
          </a:r>
        </a:p>
      </dgm:t>
    </dgm:pt>
    <dgm:pt modelId="{CCEC452A-D0A3-4815-B0F9-2E4410381E4D}" type="parTrans" cxnId="{3D7FF409-8D0E-45B1-85C1-FEF0680B791B}">
      <dgm:prSet/>
      <dgm:spPr/>
      <dgm:t>
        <a:bodyPr/>
        <a:lstStyle/>
        <a:p>
          <a:endParaRPr lang="en-AU"/>
        </a:p>
      </dgm:t>
    </dgm:pt>
    <dgm:pt modelId="{7E7E5946-21F8-4169-B807-028B5A69728C}" type="sibTrans" cxnId="{3D7FF409-8D0E-45B1-85C1-FEF0680B791B}">
      <dgm:prSet/>
      <dgm:spPr/>
      <dgm:t>
        <a:bodyPr/>
        <a:lstStyle/>
        <a:p>
          <a:endParaRPr lang="en-AU"/>
        </a:p>
      </dgm:t>
    </dgm:pt>
    <dgm:pt modelId="{0972259D-A07B-4081-9258-26BA55892F25}">
      <dgm:prSet>
        <dgm:style>
          <a:lnRef idx="1">
            <a:schemeClr val="accent1"/>
          </a:lnRef>
          <a:fillRef idx="2">
            <a:schemeClr val="accent1"/>
          </a:fillRef>
          <a:effectRef idx="1">
            <a:schemeClr val="accent1"/>
          </a:effectRef>
          <a:fontRef idx="minor">
            <a:schemeClr val="dk1"/>
          </a:fontRef>
        </dgm:style>
      </dgm:prSet>
      <dgm:spPr>
        <a:xfrm>
          <a:off x="4397806" y="475015"/>
          <a:ext cx="1082839" cy="439169"/>
        </a:xfr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AU">
              <a:solidFill>
                <a:sysClr val="windowText" lastClr="000000"/>
              </a:solidFill>
              <a:latin typeface="Calibri"/>
              <a:ea typeface="+mn-ea"/>
              <a:cs typeface="+mn-cs"/>
            </a:rPr>
            <a:t>Unclassified</a:t>
          </a:r>
        </a:p>
      </dgm:t>
    </dgm:pt>
    <dgm:pt modelId="{D7479465-DD2D-4459-9FAB-E2348016BF89}" type="parTrans" cxnId="{EE3AE301-49A5-46E6-9566-EB26F27D2DA7}">
      <dgm:prSet/>
      <dgm:spPr/>
      <dgm:t>
        <a:bodyPr/>
        <a:lstStyle/>
        <a:p>
          <a:endParaRPr lang="en-AU"/>
        </a:p>
      </dgm:t>
    </dgm:pt>
    <dgm:pt modelId="{3A45A261-1D43-4ECE-9967-D35872F06700}" type="sibTrans" cxnId="{EE3AE301-49A5-46E6-9566-EB26F27D2DA7}">
      <dgm:prSet/>
      <dgm:spPr/>
      <dgm:t>
        <a:bodyPr/>
        <a:lstStyle/>
        <a:p>
          <a:endParaRPr lang="en-AU"/>
        </a:p>
      </dgm:t>
    </dgm:pt>
    <dgm:pt modelId="{C7D5A529-3A7D-47FC-8FBB-0B536C37E55D}">
      <dgm:prSet/>
      <dgm:spPr>
        <a:xfrm>
          <a:off x="4400970" y="948652"/>
          <a:ext cx="1076509" cy="439169"/>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DD226C01-D0F2-4093-9E74-75CE0BFFF02B}" type="parTrans" cxnId="{A338B58B-C2F8-41D9-A775-781CB6D84F8C}">
      <dgm:prSet/>
      <dgm:spPr/>
      <dgm:t>
        <a:bodyPr/>
        <a:lstStyle/>
        <a:p>
          <a:endParaRPr lang="en-AU"/>
        </a:p>
      </dgm:t>
    </dgm:pt>
    <dgm:pt modelId="{38302B12-0698-48A4-80A0-F728C945A3FD}" type="sibTrans" cxnId="{A338B58B-C2F8-41D9-A775-781CB6D84F8C}">
      <dgm:prSet/>
      <dgm:spPr/>
      <dgm:t>
        <a:bodyPr/>
        <a:lstStyle/>
        <a:p>
          <a:endParaRPr lang="en-AU"/>
        </a:p>
      </dgm:t>
    </dgm:pt>
    <dgm:pt modelId="{7620C068-1A7C-40DE-8116-5F3CCBB61608}">
      <dgm:prSet>
        <dgm:style>
          <a:lnRef idx="1">
            <a:schemeClr val="accent1"/>
          </a:lnRef>
          <a:fillRef idx="2">
            <a:schemeClr val="accent1"/>
          </a:fillRef>
          <a:effectRef idx="1">
            <a:schemeClr val="accent1"/>
          </a:effectRef>
          <a:fontRef idx="minor">
            <a:schemeClr val="dk1"/>
          </a:fontRef>
        </dgm:style>
      </dgm:prSet>
      <dgm:spPr>
        <a:xfrm>
          <a:off x="4407244" y="1422288"/>
          <a:ext cx="1063961" cy="2491106"/>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Type 1-4 metering services (excluding smart meters after AMI expiry)</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Type 5-6 metering services (before AMI expiry)</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Emergency recoverable works</a:t>
          </a:r>
        </a:p>
      </dgm:t>
    </dgm:pt>
    <dgm:pt modelId="{A507DD36-7E8A-42C6-86C5-0668F87BDAAB}" type="parTrans" cxnId="{88E630CE-96D6-481C-B0AB-D3CE0C74F68C}">
      <dgm:prSet/>
      <dgm:spPr/>
      <dgm:t>
        <a:bodyPr/>
        <a:lstStyle/>
        <a:p>
          <a:endParaRPr lang="en-AU"/>
        </a:p>
      </dgm:t>
    </dgm:pt>
    <dgm:pt modelId="{21A58F11-2D42-4FC0-BF01-E8BD93057A2B}" type="sibTrans" cxnId="{88E630CE-96D6-481C-B0AB-D3CE0C74F68C}">
      <dgm:prSet/>
      <dgm:spPr/>
      <dgm:t>
        <a:bodyPr/>
        <a:lstStyle/>
        <a:p>
          <a:endParaRPr lang="en-AU"/>
        </a:p>
      </dgm:t>
    </dgm:pt>
    <dgm:pt modelId="{264E86EB-59BD-459B-85BB-BF64ACA0608A}">
      <dgm:prSet>
        <dgm:style>
          <a:lnRef idx="1">
            <a:schemeClr val="accent1"/>
          </a:lnRef>
          <a:fillRef idx="2">
            <a:schemeClr val="accent1"/>
          </a:fillRef>
          <a:effectRef idx="1">
            <a:schemeClr val="accent1"/>
          </a:effectRef>
          <a:fontRef idx="minor">
            <a:schemeClr val="dk1"/>
          </a:fontRef>
        </dgm:style>
      </dgm:prSet>
      <dgm:spPr>
        <a:xfrm>
          <a:off x="32049" y="1422508"/>
          <a:ext cx="1495108" cy="2491106"/>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Network services</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New connections requiring augmentation</a:t>
          </a:r>
        </a:p>
      </dgm:t>
    </dgm:pt>
    <dgm:pt modelId="{8255ADAA-8291-4A8C-BF8E-4046836270FD}" type="parTrans" cxnId="{BF1A8EB7-EEBD-499C-B4CB-20B2B75BCC2D}">
      <dgm:prSet/>
      <dgm:spPr/>
      <dgm:t>
        <a:bodyPr/>
        <a:lstStyle/>
        <a:p>
          <a:endParaRPr lang="en-AU"/>
        </a:p>
      </dgm:t>
    </dgm:pt>
    <dgm:pt modelId="{7BC419A3-1CF9-4C3A-81EB-E3BDD0029413}" type="sibTrans" cxnId="{BF1A8EB7-EEBD-499C-B4CB-20B2B75BCC2D}">
      <dgm:prSet/>
      <dgm:spPr/>
      <dgm:t>
        <a:bodyPr/>
        <a:lstStyle/>
        <a:p>
          <a:endParaRPr lang="en-AU"/>
        </a:p>
      </dgm:t>
    </dgm:pt>
    <dgm:pt modelId="{A49C721B-AC5B-441C-AFA9-A644FC358A66}">
      <dgm:prSet>
        <dgm:style>
          <a:lnRef idx="1">
            <a:schemeClr val="accent1"/>
          </a:lnRef>
          <a:fillRef idx="2">
            <a:schemeClr val="accent1"/>
          </a:fillRef>
          <a:effectRef idx="1">
            <a:schemeClr val="accent1"/>
          </a:effectRef>
          <a:fontRef idx="minor">
            <a:schemeClr val="dk1"/>
          </a:fontRef>
        </dgm:style>
      </dgm:prSet>
      <dgm:spPr>
        <a:xfrm>
          <a:off x="1602561" y="1422288"/>
          <a:ext cx="1509788" cy="2491106"/>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Routine connections </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Type 5-6 and smart metering services (after AMI expiry)</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Existing public lighting services</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Ancillary network services</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Ancillary connection services</a:t>
          </a:r>
        </a:p>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Ancillary metering services</a:t>
          </a:r>
        </a:p>
      </dgm:t>
    </dgm:pt>
    <dgm:pt modelId="{AA1CEBFC-9415-46ED-8830-648A985C84FE}" type="parTrans" cxnId="{049743E3-CB29-4510-AB22-C5C7CD7530EB}">
      <dgm:prSet/>
      <dgm:spPr/>
      <dgm:t>
        <a:bodyPr/>
        <a:lstStyle/>
        <a:p>
          <a:endParaRPr lang="en-AU"/>
        </a:p>
      </dgm:t>
    </dgm:pt>
    <dgm:pt modelId="{CACA051E-2660-4797-9B54-CCF23A474144}" type="sibTrans" cxnId="{049743E3-CB29-4510-AB22-C5C7CD7530EB}">
      <dgm:prSet/>
      <dgm:spPr/>
      <dgm:t>
        <a:bodyPr/>
        <a:lstStyle/>
        <a:p>
          <a:endParaRPr lang="en-AU"/>
        </a:p>
      </dgm:t>
    </dgm:pt>
    <dgm:pt modelId="{3EB5BBF6-FCA7-4E3A-BDFE-A4AAE3DDDAAA}">
      <dgm:prSet/>
      <dgm:spPr>
        <a:xfrm>
          <a:off x="3227876" y="948652"/>
          <a:ext cx="1075458" cy="439169"/>
        </a:xfrm>
        <a:noFill/>
        <a:ln w="25400" cap="flat" cmpd="sng" algn="ctr">
          <a:noFill/>
          <a:prstDash val="solid"/>
        </a:ln>
        <a:effectLst/>
      </dgm:spPr>
      <dgm:t>
        <a:bodyPr/>
        <a:lstStyle/>
        <a:p>
          <a:endParaRPr lang="en-AU">
            <a:solidFill>
              <a:sysClr val="window" lastClr="FFFFFF"/>
            </a:solidFill>
            <a:latin typeface="Calibri"/>
            <a:ea typeface="+mn-ea"/>
            <a:cs typeface="+mn-cs"/>
          </a:endParaRPr>
        </a:p>
      </dgm:t>
    </dgm:pt>
    <dgm:pt modelId="{7B91A456-4B53-4FBE-B958-29A89FFC7A7C}" type="parTrans" cxnId="{7E623B88-E872-4502-A6CF-DC887C4638C7}">
      <dgm:prSet/>
      <dgm:spPr/>
      <dgm:t>
        <a:bodyPr/>
        <a:lstStyle/>
        <a:p>
          <a:endParaRPr lang="en-AU"/>
        </a:p>
      </dgm:t>
    </dgm:pt>
    <dgm:pt modelId="{A25CB7E6-0DA2-4002-B9A6-C3787F309536}" type="sibTrans" cxnId="{7E623B88-E872-4502-A6CF-DC887C4638C7}">
      <dgm:prSet/>
      <dgm:spPr/>
      <dgm:t>
        <a:bodyPr/>
        <a:lstStyle/>
        <a:p>
          <a:endParaRPr lang="en-AU"/>
        </a:p>
      </dgm:t>
    </dgm:pt>
    <dgm:pt modelId="{F3E2F0B6-E4F5-49C8-A3B6-DCE119FE3F90}">
      <dgm:prSet>
        <dgm:style>
          <a:lnRef idx="1">
            <a:schemeClr val="accent1"/>
          </a:lnRef>
          <a:fillRef idx="2">
            <a:schemeClr val="accent1"/>
          </a:fillRef>
          <a:effectRef idx="1">
            <a:schemeClr val="accent1"/>
          </a:effectRef>
          <a:fontRef idx="minor">
            <a:schemeClr val="dk1"/>
          </a:fontRef>
        </dgm:style>
      </dgm:prSet>
      <dgm:spPr>
        <a:xfrm>
          <a:off x="3235181" y="1422288"/>
          <a:ext cx="1060847" cy="2491106"/>
        </a:xfr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gm:spPr>
      <dgm:t>
        <a:bodyPr/>
        <a:lstStyle/>
        <a:p>
          <a:pPr algn="l"/>
          <a:r>
            <a:rPr lang="en-AU">
              <a:solidFill>
                <a:sysClr val="windowText" lastClr="000000"/>
              </a:solidFill>
              <a:latin typeface="Times New Roman"/>
              <a:ea typeface="+mn-ea"/>
              <a:cs typeface="Times New Roman"/>
            </a:rPr>
            <a:t>• </a:t>
          </a:r>
          <a:r>
            <a:rPr lang="en-AU">
              <a:solidFill>
                <a:sysClr val="windowText" lastClr="000000"/>
              </a:solidFill>
              <a:latin typeface="Calibri"/>
              <a:ea typeface="+mn-ea"/>
              <a:cs typeface="+mn-cs"/>
            </a:rPr>
            <a:t>New public lighting services (incl. greenfield sites)</a:t>
          </a:r>
        </a:p>
      </dgm:t>
    </dgm:pt>
    <dgm:pt modelId="{196183CE-F8A3-4787-9EDA-7A991E6301BD}" type="parTrans" cxnId="{C9C92AB6-6F86-44ED-92B3-9E87CC4E4664}">
      <dgm:prSet/>
      <dgm:spPr/>
      <dgm:t>
        <a:bodyPr/>
        <a:lstStyle/>
        <a:p>
          <a:endParaRPr lang="en-AU"/>
        </a:p>
      </dgm:t>
    </dgm:pt>
    <dgm:pt modelId="{5828DA98-FD56-4BC8-8B5C-496113443C5D}" type="sibTrans" cxnId="{C9C92AB6-6F86-44ED-92B3-9E87CC4E4664}">
      <dgm:prSet/>
      <dgm:spPr/>
      <dgm:t>
        <a:bodyPr/>
        <a:lstStyle/>
        <a:p>
          <a:endParaRPr lang="en-AU"/>
        </a:p>
      </dgm:t>
    </dgm:pt>
    <dgm:pt modelId="{7281DBB9-4EE7-4A14-9CDA-9DB944766842}" type="pres">
      <dgm:prSet presAssocID="{6C9654DF-EAAD-41C9-9A04-63DC7DFBB9B5}" presName="Name0" presStyleCnt="0">
        <dgm:presLayoutVars>
          <dgm:chPref val="1"/>
          <dgm:dir/>
          <dgm:animOne val="branch"/>
          <dgm:animLvl val="lvl"/>
          <dgm:resizeHandles/>
        </dgm:presLayoutVars>
      </dgm:prSet>
      <dgm:spPr/>
      <dgm:t>
        <a:bodyPr/>
        <a:lstStyle/>
        <a:p>
          <a:endParaRPr lang="en-AU"/>
        </a:p>
      </dgm:t>
    </dgm:pt>
    <dgm:pt modelId="{2F1E9DB6-F239-464B-8978-85171DC6A13C}" type="pres">
      <dgm:prSet presAssocID="{55A47DEC-5BD8-43FF-92F5-E186C868192C}" presName="vertOne" presStyleCnt="0"/>
      <dgm:spPr/>
    </dgm:pt>
    <dgm:pt modelId="{718D3AC5-6553-4309-AF42-FCECAFABA656}" type="pres">
      <dgm:prSet presAssocID="{55A47DEC-5BD8-43FF-92F5-E186C868192C}" presName="txOne" presStyleLbl="node0" presStyleIdx="0" presStyleCnt="1">
        <dgm:presLayoutVars>
          <dgm:chPref val="3"/>
        </dgm:presLayoutVars>
      </dgm:prSet>
      <dgm:spPr>
        <a:prstGeom prst="roundRect">
          <a:avLst>
            <a:gd name="adj" fmla="val 10000"/>
          </a:avLst>
        </a:prstGeom>
      </dgm:spPr>
      <dgm:t>
        <a:bodyPr/>
        <a:lstStyle/>
        <a:p>
          <a:endParaRPr lang="en-AU"/>
        </a:p>
      </dgm:t>
    </dgm:pt>
    <dgm:pt modelId="{FD3DD701-7BAE-4724-86FD-7A411C0BA911}" type="pres">
      <dgm:prSet presAssocID="{55A47DEC-5BD8-43FF-92F5-E186C868192C}" presName="parTransOne" presStyleCnt="0"/>
      <dgm:spPr/>
    </dgm:pt>
    <dgm:pt modelId="{62961143-FF02-4A14-8E52-6DDE89741CBC}" type="pres">
      <dgm:prSet presAssocID="{55A47DEC-5BD8-43FF-92F5-E186C868192C}" presName="horzOne" presStyleCnt="0"/>
      <dgm:spPr/>
    </dgm:pt>
    <dgm:pt modelId="{1F53BA3A-0466-4B3E-925E-C15B3723B3C0}" type="pres">
      <dgm:prSet presAssocID="{7E1F13C2-8303-4BE6-BD51-58E6E2D0CCBD}" presName="vertTwo" presStyleCnt="0"/>
      <dgm:spPr/>
    </dgm:pt>
    <dgm:pt modelId="{F9A5BDCA-160C-4D0D-BC3B-46DBFB70E008}" type="pres">
      <dgm:prSet presAssocID="{7E1F13C2-8303-4BE6-BD51-58E6E2D0CCBD}" presName="txTwo" presStyleLbl="node2" presStyleIdx="0" presStyleCnt="3">
        <dgm:presLayoutVars>
          <dgm:chPref val="3"/>
        </dgm:presLayoutVars>
      </dgm:prSet>
      <dgm:spPr>
        <a:prstGeom prst="roundRect">
          <a:avLst>
            <a:gd name="adj" fmla="val 10000"/>
          </a:avLst>
        </a:prstGeom>
      </dgm:spPr>
      <dgm:t>
        <a:bodyPr/>
        <a:lstStyle/>
        <a:p>
          <a:endParaRPr lang="en-AU"/>
        </a:p>
      </dgm:t>
    </dgm:pt>
    <dgm:pt modelId="{9FCD82B5-B882-4A54-B7E4-3D0E0B87FAFA}" type="pres">
      <dgm:prSet presAssocID="{7E1F13C2-8303-4BE6-BD51-58E6E2D0CCBD}" presName="parTransTwo" presStyleCnt="0"/>
      <dgm:spPr/>
    </dgm:pt>
    <dgm:pt modelId="{8F5464E6-689E-4C8F-9DDF-15E1198A2ED4}" type="pres">
      <dgm:prSet presAssocID="{7E1F13C2-8303-4BE6-BD51-58E6E2D0CCBD}" presName="horzTwo" presStyleCnt="0"/>
      <dgm:spPr/>
    </dgm:pt>
    <dgm:pt modelId="{5751DC98-1DFA-492E-A07A-076714AE6B8F}" type="pres">
      <dgm:prSet presAssocID="{3DA4D3B1-BDC4-4286-BC76-1975308602A3}" presName="vertThree" presStyleCnt="0"/>
      <dgm:spPr/>
    </dgm:pt>
    <dgm:pt modelId="{1B6E1A6C-15B5-4415-95F1-F7162486BD52}" type="pres">
      <dgm:prSet presAssocID="{3DA4D3B1-BDC4-4286-BC76-1975308602A3}" presName="txThree" presStyleLbl="node3" presStyleIdx="0" presStyleCnt="4">
        <dgm:presLayoutVars>
          <dgm:chPref val="3"/>
        </dgm:presLayoutVars>
      </dgm:prSet>
      <dgm:spPr>
        <a:prstGeom prst="roundRect">
          <a:avLst>
            <a:gd name="adj" fmla="val 10000"/>
          </a:avLst>
        </a:prstGeom>
      </dgm:spPr>
      <dgm:t>
        <a:bodyPr/>
        <a:lstStyle/>
        <a:p>
          <a:endParaRPr lang="en-AU"/>
        </a:p>
      </dgm:t>
    </dgm:pt>
    <dgm:pt modelId="{98BB3AC5-EC44-4547-8B72-499A2C81DBE5}" type="pres">
      <dgm:prSet presAssocID="{3DA4D3B1-BDC4-4286-BC76-1975308602A3}" presName="parTransThree" presStyleCnt="0"/>
      <dgm:spPr/>
    </dgm:pt>
    <dgm:pt modelId="{27752314-A407-4A36-B678-E9A5970E0BD4}" type="pres">
      <dgm:prSet presAssocID="{3DA4D3B1-BDC4-4286-BC76-1975308602A3}" presName="horzThree" presStyleCnt="0"/>
      <dgm:spPr/>
    </dgm:pt>
    <dgm:pt modelId="{5FE697D5-3E9B-415A-AD1C-37D5386A2B41}" type="pres">
      <dgm:prSet presAssocID="{264E86EB-59BD-459B-85BB-BF64ACA0608A}" presName="vertFour" presStyleCnt="0">
        <dgm:presLayoutVars>
          <dgm:chPref val="3"/>
        </dgm:presLayoutVars>
      </dgm:prSet>
      <dgm:spPr/>
    </dgm:pt>
    <dgm:pt modelId="{A02E9E10-9EFD-4B93-9024-F27DFA07DAF0}" type="pres">
      <dgm:prSet presAssocID="{264E86EB-59BD-459B-85BB-BF64ACA0608A}" presName="txFour" presStyleLbl="node4" presStyleIdx="0" presStyleCnt="4" custScaleX="142319" custScaleY="567231" custLinFactNeighborX="-200" custLinFactNeighborY="50">
        <dgm:presLayoutVars>
          <dgm:chPref val="3"/>
        </dgm:presLayoutVars>
      </dgm:prSet>
      <dgm:spPr>
        <a:prstGeom prst="roundRect">
          <a:avLst>
            <a:gd name="adj" fmla="val 10000"/>
          </a:avLst>
        </a:prstGeom>
      </dgm:spPr>
      <dgm:t>
        <a:bodyPr/>
        <a:lstStyle/>
        <a:p>
          <a:endParaRPr lang="en-AU"/>
        </a:p>
      </dgm:t>
    </dgm:pt>
    <dgm:pt modelId="{A18FEA76-7BB6-4958-A44A-692E6FBEE75A}" type="pres">
      <dgm:prSet presAssocID="{264E86EB-59BD-459B-85BB-BF64ACA0608A}" presName="horzFour" presStyleCnt="0"/>
      <dgm:spPr/>
    </dgm:pt>
    <dgm:pt modelId="{C94DD181-18DE-470D-A9B9-F490FAFE6562}" type="pres">
      <dgm:prSet presAssocID="{9D399AB0-BE5D-49EA-BD3F-0BBD5D2E1CAA}" presName="sibSpaceThree" presStyleCnt="0"/>
      <dgm:spPr/>
    </dgm:pt>
    <dgm:pt modelId="{8E950F4B-09F2-451B-9D7F-BB86301BF180}" type="pres">
      <dgm:prSet presAssocID="{9A1AA23F-C1C0-4477-B302-3E60A402D137}" presName="vertThree" presStyleCnt="0"/>
      <dgm:spPr/>
    </dgm:pt>
    <dgm:pt modelId="{D2325AFA-C9C0-4A75-A6B5-BA5F65ED3BB1}" type="pres">
      <dgm:prSet presAssocID="{9A1AA23F-C1C0-4477-B302-3E60A402D137}" presName="txThree" presStyleLbl="node3" presStyleIdx="1" presStyleCnt="4">
        <dgm:presLayoutVars>
          <dgm:chPref val="3"/>
        </dgm:presLayoutVars>
      </dgm:prSet>
      <dgm:spPr>
        <a:prstGeom prst="roundRect">
          <a:avLst>
            <a:gd name="adj" fmla="val 10000"/>
          </a:avLst>
        </a:prstGeom>
      </dgm:spPr>
      <dgm:t>
        <a:bodyPr/>
        <a:lstStyle/>
        <a:p>
          <a:endParaRPr lang="en-AU"/>
        </a:p>
      </dgm:t>
    </dgm:pt>
    <dgm:pt modelId="{4708C78F-9FF7-4395-B346-8CE5B835B19A}" type="pres">
      <dgm:prSet presAssocID="{9A1AA23F-C1C0-4477-B302-3E60A402D137}" presName="parTransThree" presStyleCnt="0"/>
      <dgm:spPr/>
    </dgm:pt>
    <dgm:pt modelId="{81394379-5A0F-434F-92B0-B3898F744DBE}" type="pres">
      <dgm:prSet presAssocID="{9A1AA23F-C1C0-4477-B302-3E60A402D137}" presName="horzThree" presStyleCnt="0"/>
      <dgm:spPr/>
    </dgm:pt>
    <dgm:pt modelId="{52D88C3F-C342-4D0B-A570-AB44121EF5CF}" type="pres">
      <dgm:prSet presAssocID="{A49C721B-AC5B-441C-AFA9-A644FC358A66}" presName="vertFour" presStyleCnt="0">
        <dgm:presLayoutVars>
          <dgm:chPref val="3"/>
        </dgm:presLayoutVars>
      </dgm:prSet>
      <dgm:spPr/>
    </dgm:pt>
    <dgm:pt modelId="{0FD70A2D-5363-4F60-8857-8DCBA108EC51}" type="pres">
      <dgm:prSet presAssocID="{A49C721B-AC5B-441C-AFA9-A644FC358A66}" presName="txFour" presStyleLbl="node4" presStyleIdx="1" presStyleCnt="4" custScaleX="142319" custScaleY="567231">
        <dgm:presLayoutVars>
          <dgm:chPref val="3"/>
        </dgm:presLayoutVars>
      </dgm:prSet>
      <dgm:spPr>
        <a:prstGeom prst="roundRect">
          <a:avLst>
            <a:gd name="adj" fmla="val 10000"/>
          </a:avLst>
        </a:prstGeom>
      </dgm:spPr>
      <dgm:t>
        <a:bodyPr/>
        <a:lstStyle/>
        <a:p>
          <a:endParaRPr lang="en-AU"/>
        </a:p>
      </dgm:t>
    </dgm:pt>
    <dgm:pt modelId="{9AC65157-1D3A-4B1B-9642-FE486F292B72}" type="pres">
      <dgm:prSet presAssocID="{A49C721B-AC5B-441C-AFA9-A644FC358A66}" presName="horzFour" presStyleCnt="0"/>
      <dgm:spPr/>
    </dgm:pt>
    <dgm:pt modelId="{B79FC79B-95B0-460F-A9E2-C9EC7326C334}" type="pres">
      <dgm:prSet presAssocID="{8034AC81-1C30-4867-B0A4-C93CEE24174C}" presName="sibSpaceTwo" presStyleCnt="0"/>
      <dgm:spPr/>
    </dgm:pt>
    <dgm:pt modelId="{43B3714E-05D4-4C8D-8010-CAEF93055560}" type="pres">
      <dgm:prSet presAssocID="{D5ED0B09-3CC2-406A-A1A9-488AFBB60D8B}" presName="vertTwo" presStyleCnt="0"/>
      <dgm:spPr/>
    </dgm:pt>
    <dgm:pt modelId="{CF2E5284-F5F8-48E4-B373-A24D35776BE0}" type="pres">
      <dgm:prSet presAssocID="{D5ED0B09-3CC2-406A-A1A9-488AFBB60D8B}" presName="txTwo" presStyleLbl="node2" presStyleIdx="1" presStyleCnt="3">
        <dgm:presLayoutVars>
          <dgm:chPref val="3"/>
        </dgm:presLayoutVars>
      </dgm:prSet>
      <dgm:spPr>
        <a:prstGeom prst="roundRect">
          <a:avLst>
            <a:gd name="adj" fmla="val 10000"/>
          </a:avLst>
        </a:prstGeom>
      </dgm:spPr>
      <dgm:t>
        <a:bodyPr/>
        <a:lstStyle/>
        <a:p>
          <a:endParaRPr lang="en-AU"/>
        </a:p>
      </dgm:t>
    </dgm:pt>
    <dgm:pt modelId="{598B938B-8160-45F2-ABAD-795190621085}" type="pres">
      <dgm:prSet presAssocID="{D5ED0B09-3CC2-406A-A1A9-488AFBB60D8B}" presName="parTransTwo" presStyleCnt="0"/>
      <dgm:spPr/>
    </dgm:pt>
    <dgm:pt modelId="{92627873-E9AE-43DA-938C-C750A1BF6B61}" type="pres">
      <dgm:prSet presAssocID="{D5ED0B09-3CC2-406A-A1A9-488AFBB60D8B}" presName="horzTwo" presStyleCnt="0"/>
      <dgm:spPr/>
    </dgm:pt>
    <dgm:pt modelId="{30C202DA-B487-4874-988E-FD2E70174694}" type="pres">
      <dgm:prSet presAssocID="{3EB5BBF6-FCA7-4E3A-BDFE-A4AAE3DDDAAA}" presName="vertThree" presStyleCnt="0"/>
      <dgm:spPr/>
    </dgm:pt>
    <dgm:pt modelId="{DBA12B8F-CFD6-40CA-A43B-751407D3F421}" type="pres">
      <dgm:prSet presAssocID="{3EB5BBF6-FCA7-4E3A-BDFE-A4AAE3DDDAAA}" presName="txThree" presStyleLbl="node3" presStyleIdx="2" presStyleCnt="4">
        <dgm:presLayoutVars>
          <dgm:chPref val="3"/>
        </dgm:presLayoutVars>
      </dgm:prSet>
      <dgm:spPr>
        <a:prstGeom prst="roundRect">
          <a:avLst>
            <a:gd name="adj" fmla="val 10000"/>
          </a:avLst>
        </a:prstGeom>
      </dgm:spPr>
      <dgm:t>
        <a:bodyPr/>
        <a:lstStyle/>
        <a:p>
          <a:endParaRPr lang="en-AU"/>
        </a:p>
      </dgm:t>
    </dgm:pt>
    <dgm:pt modelId="{4F972BE5-0A80-41B5-9C7F-4EF86D596E94}" type="pres">
      <dgm:prSet presAssocID="{3EB5BBF6-FCA7-4E3A-BDFE-A4AAE3DDDAAA}" presName="parTransThree" presStyleCnt="0"/>
      <dgm:spPr/>
    </dgm:pt>
    <dgm:pt modelId="{F9FFAB89-C2E1-4D4A-BB80-DE08B2354399}" type="pres">
      <dgm:prSet presAssocID="{3EB5BBF6-FCA7-4E3A-BDFE-A4AAE3DDDAAA}" presName="horzThree" presStyleCnt="0"/>
      <dgm:spPr/>
    </dgm:pt>
    <dgm:pt modelId="{E49FC716-2969-4249-B96F-E553B1D9E20F}" type="pres">
      <dgm:prSet presAssocID="{F3E2F0B6-E4F5-49C8-A3B6-DCE119FE3F90}" presName="vertFour" presStyleCnt="0">
        <dgm:presLayoutVars>
          <dgm:chPref val="3"/>
        </dgm:presLayoutVars>
      </dgm:prSet>
      <dgm:spPr/>
    </dgm:pt>
    <dgm:pt modelId="{BB868717-16F5-4D38-9AD8-7855AA823BED}" type="pres">
      <dgm:prSet presAssocID="{F3E2F0B6-E4F5-49C8-A3B6-DCE119FE3F90}" presName="txFour" presStyleLbl="node4" presStyleIdx="2" presStyleCnt="4" custScaleY="567231">
        <dgm:presLayoutVars>
          <dgm:chPref val="3"/>
        </dgm:presLayoutVars>
      </dgm:prSet>
      <dgm:spPr>
        <a:prstGeom prst="roundRect">
          <a:avLst>
            <a:gd name="adj" fmla="val 10000"/>
          </a:avLst>
        </a:prstGeom>
      </dgm:spPr>
      <dgm:t>
        <a:bodyPr/>
        <a:lstStyle/>
        <a:p>
          <a:endParaRPr lang="en-AU"/>
        </a:p>
      </dgm:t>
    </dgm:pt>
    <dgm:pt modelId="{F4189AA5-702F-4BCC-BFBB-9C2B34F784A9}" type="pres">
      <dgm:prSet presAssocID="{F3E2F0B6-E4F5-49C8-A3B6-DCE119FE3F90}" presName="horzFour" presStyleCnt="0"/>
      <dgm:spPr/>
    </dgm:pt>
    <dgm:pt modelId="{3F7F9B29-69DD-4DA1-B75D-C864E8FFB799}" type="pres">
      <dgm:prSet presAssocID="{7E7E5946-21F8-4169-B807-028B5A69728C}" presName="sibSpaceTwo" presStyleCnt="0"/>
      <dgm:spPr/>
    </dgm:pt>
    <dgm:pt modelId="{6B1DACA4-D9F0-43F8-AF5D-7FD7AF71CAEB}" type="pres">
      <dgm:prSet presAssocID="{0972259D-A07B-4081-9258-26BA55892F25}" presName="vertTwo" presStyleCnt="0"/>
      <dgm:spPr/>
    </dgm:pt>
    <dgm:pt modelId="{91A38FA1-A5BD-4AEA-88BE-34EC6ABDEDE5}" type="pres">
      <dgm:prSet presAssocID="{0972259D-A07B-4081-9258-26BA55892F25}" presName="txTwo" presStyleLbl="node2" presStyleIdx="2" presStyleCnt="3">
        <dgm:presLayoutVars>
          <dgm:chPref val="3"/>
        </dgm:presLayoutVars>
      </dgm:prSet>
      <dgm:spPr>
        <a:prstGeom prst="roundRect">
          <a:avLst>
            <a:gd name="adj" fmla="val 10000"/>
          </a:avLst>
        </a:prstGeom>
      </dgm:spPr>
      <dgm:t>
        <a:bodyPr/>
        <a:lstStyle/>
        <a:p>
          <a:endParaRPr lang="en-AU"/>
        </a:p>
      </dgm:t>
    </dgm:pt>
    <dgm:pt modelId="{5CB34F75-835A-4F62-98BD-B8F2D06F5796}" type="pres">
      <dgm:prSet presAssocID="{0972259D-A07B-4081-9258-26BA55892F25}" presName="parTransTwo" presStyleCnt="0"/>
      <dgm:spPr/>
    </dgm:pt>
    <dgm:pt modelId="{FAF863C0-70D2-4D0A-B57B-2126794BD37E}" type="pres">
      <dgm:prSet presAssocID="{0972259D-A07B-4081-9258-26BA55892F25}" presName="horzTwo" presStyleCnt="0"/>
      <dgm:spPr/>
    </dgm:pt>
    <dgm:pt modelId="{47211008-5016-4889-8A6D-235708A54ED8}" type="pres">
      <dgm:prSet presAssocID="{C7D5A529-3A7D-47FC-8FBB-0B536C37E55D}" presName="vertThree" presStyleCnt="0"/>
      <dgm:spPr/>
    </dgm:pt>
    <dgm:pt modelId="{4F70EE44-0EE9-4D32-9F6E-0E663D7B1797}" type="pres">
      <dgm:prSet presAssocID="{C7D5A529-3A7D-47FC-8FBB-0B536C37E55D}" presName="txThree" presStyleLbl="node3" presStyleIdx="3" presStyleCnt="4">
        <dgm:presLayoutVars>
          <dgm:chPref val="3"/>
        </dgm:presLayoutVars>
      </dgm:prSet>
      <dgm:spPr>
        <a:prstGeom prst="roundRect">
          <a:avLst>
            <a:gd name="adj" fmla="val 10000"/>
          </a:avLst>
        </a:prstGeom>
      </dgm:spPr>
      <dgm:t>
        <a:bodyPr/>
        <a:lstStyle/>
        <a:p>
          <a:endParaRPr lang="en-AU"/>
        </a:p>
      </dgm:t>
    </dgm:pt>
    <dgm:pt modelId="{0791ECCB-842F-4007-9194-D8A01E5A40D2}" type="pres">
      <dgm:prSet presAssocID="{C7D5A529-3A7D-47FC-8FBB-0B536C37E55D}" presName="parTransThree" presStyleCnt="0"/>
      <dgm:spPr/>
    </dgm:pt>
    <dgm:pt modelId="{303155D3-7ACE-435F-B5DA-330DDE50428B}" type="pres">
      <dgm:prSet presAssocID="{C7D5A529-3A7D-47FC-8FBB-0B536C37E55D}" presName="horzThree" presStyleCnt="0"/>
      <dgm:spPr/>
    </dgm:pt>
    <dgm:pt modelId="{B80F9211-0144-43E5-A826-E5B32CA7BF5C}" type="pres">
      <dgm:prSet presAssocID="{7620C068-1A7C-40DE-8116-5F3CCBB61608}" presName="vertFour" presStyleCnt="0">
        <dgm:presLayoutVars>
          <dgm:chPref val="3"/>
        </dgm:presLayoutVars>
      </dgm:prSet>
      <dgm:spPr/>
    </dgm:pt>
    <dgm:pt modelId="{D2DAAA64-C9BC-43E6-9DE3-61A114420CF1}" type="pres">
      <dgm:prSet presAssocID="{7620C068-1A7C-40DE-8116-5F3CCBB61608}" presName="txFour" presStyleLbl="node4" presStyleIdx="3" presStyleCnt="4" custScaleY="567231">
        <dgm:presLayoutVars>
          <dgm:chPref val="3"/>
        </dgm:presLayoutVars>
      </dgm:prSet>
      <dgm:spPr>
        <a:prstGeom prst="roundRect">
          <a:avLst>
            <a:gd name="adj" fmla="val 10000"/>
          </a:avLst>
        </a:prstGeom>
      </dgm:spPr>
      <dgm:t>
        <a:bodyPr/>
        <a:lstStyle/>
        <a:p>
          <a:endParaRPr lang="en-AU"/>
        </a:p>
      </dgm:t>
    </dgm:pt>
    <dgm:pt modelId="{6BDD853D-5BE5-4C98-9CBA-A335E525017A}" type="pres">
      <dgm:prSet presAssocID="{7620C068-1A7C-40DE-8116-5F3CCBB61608}" presName="horzFour" presStyleCnt="0"/>
      <dgm:spPr/>
    </dgm:pt>
  </dgm:ptLst>
  <dgm:cxnLst>
    <dgm:cxn modelId="{88E630CE-96D6-481C-B0AB-D3CE0C74F68C}" srcId="{C7D5A529-3A7D-47FC-8FBB-0B536C37E55D}" destId="{7620C068-1A7C-40DE-8116-5F3CCBB61608}" srcOrd="0" destOrd="0" parTransId="{A507DD36-7E8A-42C6-86C5-0668F87BDAAB}" sibTransId="{21A58F11-2D42-4FC0-BF01-E8BD93057A2B}"/>
    <dgm:cxn modelId="{8496A4DC-A5DB-4928-B5C5-81BB1CD84BF4}" srcId="{7E1F13C2-8303-4BE6-BD51-58E6E2D0CCBD}" destId="{9A1AA23F-C1C0-4477-B302-3E60A402D137}" srcOrd="1" destOrd="0" parTransId="{28A8273E-3008-463E-B6B1-241EC867AB43}" sibTransId="{4F13A9A4-4E77-4919-AC40-17A56A38EE26}"/>
    <dgm:cxn modelId="{06E62A2A-42D5-4AE2-9D6B-0138F12A05AE}" type="presOf" srcId="{D5ED0B09-3CC2-406A-A1A9-488AFBB60D8B}" destId="{CF2E5284-F5F8-48E4-B373-A24D35776BE0}" srcOrd="0" destOrd="0" presId="urn:microsoft.com/office/officeart/2005/8/layout/hierarchy4"/>
    <dgm:cxn modelId="{C9C92AB6-6F86-44ED-92B3-9E87CC4E4664}" srcId="{3EB5BBF6-FCA7-4E3A-BDFE-A4AAE3DDDAAA}" destId="{F3E2F0B6-E4F5-49C8-A3B6-DCE119FE3F90}" srcOrd="0" destOrd="0" parTransId="{196183CE-F8A3-4787-9EDA-7A991E6301BD}" sibTransId="{5828DA98-FD56-4BC8-8B5C-496113443C5D}"/>
    <dgm:cxn modelId="{A338B58B-C2F8-41D9-A775-781CB6D84F8C}" srcId="{0972259D-A07B-4081-9258-26BA55892F25}" destId="{C7D5A529-3A7D-47FC-8FBB-0B536C37E55D}" srcOrd="0" destOrd="0" parTransId="{DD226C01-D0F2-4093-9E74-75CE0BFFF02B}" sibTransId="{38302B12-0698-48A4-80A0-F728C945A3FD}"/>
    <dgm:cxn modelId="{049743E3-CB29-4510-AB22-C5C7CD7530EB}" srcId="{9A1AA23F-C1C0-4477-B302-3E60A402D137}" destId="{A49C721B-AC5B-441C-AFA9-A644FC358A66}" srcOrd="0" destOrd="0" parTransId="{AA1CEBFC-9415-46ED-8830-648A985C84FE}" sibTransId="{CACA051E-2660-4797-9B54-CCF23A474144}"/>
    <dgm:cxn modelId="{83704F26-5D64-418B-ACAF-F6827AEBC27A}" srcId="{7E1F13C2-8303-4BE6-BD51-58E6E2D0CCBD}" destId="{3DA4D3B1-BDC4-4286-BC76-1975308602A3}" srcOrd="0" destOrd="0" parTransId="{4A944CA0-B3AB-4B98-9DD0-F02C72063072}" sibTransId="{9D399AB0-BE5D-49EA-BD3F-0BBD5D2E1CAA}"/>
    <dgm:cxn modelId="{397790C5-833B-4B73-AE60-51C92E5C6765}" type="presOf" srcId="{3EB5BBF6-FCA7-4E3A-BDFE-A4AAE3DDDAAA}" destId="{DBA12B8F-CFD6-40CA-A43B-751407D3F421}" srcOrd="0" destOrd="0" presId="urn:microsoft.com/office/officeart/2005/8/layout/hierarchy4"/>
    <dgm:cxn modelId="{9AE318B1-FDF2-4FB6-BFA8-F4E478839DC2}" type="presOf" srcId="{A49C721B-AC5B-441C-AFA9-A644FC358A66}" destId="{0FD70A2D-5363-4F60-8857-8DCBA108EC51}" srcOrd="0" destOrd="0" presId="urn:microsoft.com/office/officeart/2005/8/layout/hierarchy4"/>
    <dgm:cxn modelId="{F58F2793-6298-4B9D-9903-2F65F0B9B240}" type="presOf" srcId="{F3E2F0B6-E4F5-49C8-A3B6-DCE119FE3F90}" destId="{BB868717-16F5-4D38-9AD8-7855AA823BED}" srcOrd="0" destOrd="0" presId="urn:microsoft.com/office/officeart/2005/8/layout/hierarchy4"/>
    <dgm:cxn modelId="{1A57219C-B6E0-45E4-BBAA-F1E6074A5C73}" srcId="{55A47DEC-5BD8-43FF-92F5-E186C868192C}" destId="{7E1F13C2-8303-4BE6-BD51-58E6E2D0CCBD}" srcOrd="0" destOrd="0" parTransId="{90AD1E71-36FD-4205-8A17-796C347C9A11}" sibTransId="{8034AC81-1C30-4867-B0A4-C93CEE24174C}"/>
    <dgm:cxn modelId="{269DF678-CAE5-4A0C-9F7A-0A5D399FBB65}" type="presOf" srcId="{55A47DEC-5BD8-43FF-92F5-E186C868192C}" destId="{718D3AC5-6553-4309-AF42-FCECAFABA656}" srcOrd="0" destOrd="0" presId="urn:microsoft.com/office/officeart/2005/8/layout/hierarchy4"/>
    <dgm:cxn modelId="{E2B0E24F-08D3-4B98-A615-5CDF7C55D33F}" type="presOf" srcId="{0972259D-A07B-4081-9258-26BA55892F25}" destId="{91A38FA1-A5BD-4AEA-88BE-34EC6ABDEDE5}" srcOrd="0" destOrd="0" presId="urn:microsoft.com/office/officeart/2005/8/layout/hierarchy4"/>
    <dgm:cxn modelId="{EE3AE301-49A5-46E6-9566-EB26F27D2DA7}" srcId="{55A47DEC-5BD8-43FF-92F5-E186C868192C}" destId="{0972259D-A07B-4081-9258-26BA55892F25}" srcOrd="2" destOrd="0" parTransId="{D7479465-DD2D-4459-9FAB-E2348016BF89}" sibTransId="{3A45A261-1D43-4ECE-9967-D35872F06700}"/>
    <dgm:cxn modelId="{3CDDBB2C-1936-4935-BBF0-CAED0AF98A5B}" type="presOf" srcId="{7620C068-1A7C-40DE-8116-5F3CCBB61608}" destId="{D2DAAA64-C9BC-43E6-9DE3-61A114420CF1}" srcOrd="0" destOrd="0" presId="urn:microsoft.com/office/officeart/2005/8/layout/hierarchy4"/>
    <dgm:cxn modelId="{673B63C1-65BE-46B4-AF32-5DE07B5BEBA4}" srcId="{6C9654DF-EAAD-41C9-9A04-63DC7DFBB9B5}" destId="{55A47DEC-5BD8-43FF-92F5-E186C868192C}" srcOrd="0" destOrd="0" parTransId="{40DBC75D-7719-446D-9DE5-D46B0AB99411}" sibTransId="{8D5F0354-CDBD-4C47-9193-51362C6B9B55}"/>
    <dgm:cxn modelId="{BF1A8EB7-EEBD-499C-B4CB-20B2B75BCC2D}" srcId="{3DA4D3B1-BDC4-4286-BC76-1975308602A3}" destId="{264E86EB-59BD-459B-85BB-BF64ACA0608A}" srcOrd="0" destOrd="0" parTransId="{8255ADAA-8291-4A8C-BF8E-4046836270FD}" sibTransId="{7BC419A3-1CF9-4C3A-81EB-E3BDD0029413}"/>
    <dgm:cxn modelId="{3D7FF409-8D0E-45B1-85C1-FEF0680B791B}" srcId="{55A47DEC-5BD8-43FF-92F5-E186C868192C}" destId="{D5ED0B09-3CC2-406A-A1A9-488AFBB60D8B}" srcOrd="1" destOrd="0" parTransId="{CCEC452A-D0A3-4815-B0F9-2E4410381E4D}" sibTransId="{7E7E5946-21F8-4169-B807-028B5A69728C}"/>
    <dgm:cxn modelId="{7E623B88-E872-4502-A6CF-DC887C4638C7}" srcId="{D5ED0B09-3CC2-406A-A1A9-488AFBB60D8B}" destId="{3EB5BBF6-FCA7-4E3A-BDFE-A4AAE3DDDAAA}" srcOrd="0" destOrd="0" parTransId="{7B91A456-4B53-4FBE-B958-29A89FFC7A7C}" sibTransId="{A25CB7E6-0DA2-4002-B9A6-C3787F309536}"/>
    <dgm:cxn modelId="{9E4C765F-28D6-4423-BEEF-2C11923C3200}" type="presOf" srcId="{3DA4D3B1-BDC4-4286-BC76-1975308602A3}" destId="{1B6E1A6C-15B5-4415-95F1-F7162486BD52}" srcOrd="0" destOrd="0" presId="urn:microsoft.com/office/officeart/2005/8/layout/hierarchy4"/>
    <dgm:cxn modelId="{4160CC82-D3A3-4D52-8E47-2D0882469AC2}" type="presOf" srcId="{6C9654DF-EAAD-41C9-9A04-63DC7DFBB9B5}" destId="{7281DBB9-4EE7-4A14-9CDA-9DB944766842}" srcOrd="0" destOrd="0" presId="urn:microsoft.com/office/officeart/2005/8/layout/hierarchy4"/>
    <dgm:cxn modelId="{E2DBEF88-48BC-402B-933C-B7C4AC0057E7}" type="presOf" srcId="{C7D5A529-3A7D-47FC-8FBB-0B536C37E55D}" destId="{4F70EE44-0EE9-4D32-9F6E-0E663D7B1797}" srcOrd="0" destOrd="0" presId="urn:microsoft.com/office/officeart/2005/8/layout/hierarchy4"/>
    <dgm:cxn modelId="{C2961F75-1C37-47F3-9BB8-62DEA3289FE2}" type="presOf" srcId="{9A1AA23F-C1C0-4477-B302-3E60A402D137}" destId="{D2325AFA-C9C0-4A75-A6B5-BA5F65ED3BB1}" srcOrd="0" destOrd="0" presId="urn:microsoft.com/office/officeart/2005/8/layout/hierarchy4"/>
    <dgm:cxn modelId="{4487CBE6-DE16-4F86-B6EC-B24A108DA6D8}" type="presOf" srcId="{264E86EB-59BD-459B-85BB-BF64ACA0608A}" destId="{A02E9E10-9EFD-4B93-9024-F27DFA07DAF0}" srcOrd="0" destOrd="0" presId="urn:microsoft.com/office/officeart/2005/8/layout/hierarchy4"/>
    <dgm:cxn modelId="{36EC9C1B-62A1-4E43-9D9D-373712384E70}" type="presOf" srcId="{7E1F13C2-8303-4BE6-BD51-58E6E2D0CCBD}" destId="{F9A5BDCA-160C-4D0D-BC3B-46DBFB70E008}" srcOrd="0" destOrd="0" presId="urn:microsoft.com/office/officeart/2005/8/layout/hierarchy4"/>
    <dgm:cxn modelId="{76845E0B-5421-4728-B6B1-CAA03A1F3409}" type="presParOf" srcId="{7281DBB9-4EE7-4A14-9CDA-9DB944766842}" destId="{2F1E9DB6-F239-464B-8978-85171DC6A13C}" srcOrd="0" destOrd="0" presId="urn:microsoft.com/office/officeart/2005/8/layout/hierarchy4"/>
    <dgm:cxn modelId="{83C3D153-4A86-4ADB-9D16-EB5B69D1992E}" type="presParOf" srcId="{2F1E9DB6-F239-464B-8978-85171DC6A13C}" destId="{718D3AC5-6553-4309-AF42-FCECAFABA656}" srcOrd="0" destOrd="0" presId="urn:microsoft.com/office/officeart/2005/8/layout/hierarchy4"/>
    <dgm:cxn modelId="{580A725E-E9E2-4C37-A056-301DA1008D6B}" type="presParOf" srcId="{2F1E9DB6-F239-464B-8978-85171DC6A13C}" destId="{FD3DD701-7BAE-4724-86FD-7A411C0BA911}" srcOrd="1" destOrd="0" presId="urn:microsoft.com/office/officeart/2005/8/layout/hierarchy4"/>
    <dgm:cxn modelId="{7C9624F2-3F3C-4ED8-A487-9D55C91E46A1}" type="presParOf" srcId="{2F1E9DB6-F239-464B-8978-85171DC6A13C}" destId="{62961143-FF02-4A14-8E52-6DDE89741CBC}" srcOrd="2" destOrd="0" presId="urn:microsoft.com/office/officeart/2005/8/layout/hierarchy4"/>
    <dgm:cxn modelId="{6CF27786-31EC-479D-A814-BB14BE5E9FBF}" type="presParOf" srcId="{62961143-FF02-4A14-8E52-6DDE89741CBC}" destId="{1F53BA3A-0466-4B3E-925E-C15B3723B3C0}" srcOrd="0" destOrd="0" presId="urn:microsoft.com/office/officeart/2005/8/layout/hierarchy4"/>
    <dgm:cxn modelId="{9592FAE3-6F40-43EB-967A-FF3B030D70B0}" type="presParOf" srcId="{1F53BA3A-0466-4B3E-925E-C15B3723B3C0}" destId="{F9A5BDCA-160C-4D0D-BC3B-46DBFB70E008}" srcOrd="0" destOrd="0" presId="urn:microsoft.com/office/officeart/2005/8/layout/hierarchy4"/>
    <dgm:cxn modelId="{597DDEAB-44BC-4A2F-9BDE-ED830A5C0AFD}" type="presParOf" srcId="{1F53BA3A-0466-4B3E-925E-C15B3723B3C0}" destId="{9FCD82B5-B882-4A54-B7E4-3D0E0B87FAFA}" srcOrd="1" destOrd="0" presId="urn:microsoft.com/office/officeart/2005/8/layout/hierarchy4"/>
    <dgm:cxn modelId="{6ABFA4E8-3DE9-4159-8D53-3A82A75CEA78}" type="presParOf" srcId="{1F53BA3A-0466-4B3E-925E-C15B3723B3C0}" destId="{8F5464E6-689E-4C8F-9DDF-15E1198A2ED4}" srcOrd="2" destOrd="0" presId="urn:microsoft.com/office/officeart/2005/8/layout/hierarchy4"/>
    <dgm:cxn modelId="{C9490798-6B7B-4FE3-B2E7-D389A070DCF6}" type="presParOf" srcId="{8F5464E6-689E-4C8F-9DDF-15E1198A2ED4}" destId="{5751DC98-1DFA-492E-A07A-076714AE6B8F}" srcOrd="0" destOrd="0" presId="urn:microsoft.com/office/officeart/2005/8/layout/hierarchy4"/>
    <dgm:cxn modelId="{576230A7-4657-48D0-9A16-AD7B4DD35D3A}" type="presParOf" srcId="{5751DC98-1DFA-492E-A07A-076714AE6B8F}" destId="{1B6E1A6C-15B5-4415-95F1-F7162486BD52}" srcOrd="0" destOrd="0" presId="urn:microsoft.com/office/officeart/2005/8/layout/hierarchy4"/>
    <dgm:cxn modelId="{6F64A1C4-6EEC-4DBF-9C7F-37BCCC84D6EF}" type="presParOf" srcId="{5751DC98-1DFA-492E-A07A-076714AE6B8F}" destId="{98BB3AC5-EC44-4547-8B72-499A2C81DBE5}" srcOrd="1" destOrd="0" presId="urn:microsoft.com/office/officeart/2005/8/layout/hierarchy4"/>
    <dgm:cxn modelId="{A992D605-222F-430B-A980-D481E20766D5}" type="presParOf" srcId="{5751DC98-1DFA-492E-A07A-076714AE6B8F}" destId="{27752314-A407-4A36-B678-E9A5970E0BD4}" srcOrd="2" destOrd="0" presId="urn:microsoft.com/office/officeart/2005/8/layout/hierarchy4"/>
    <dgm:cxn modelId="{BE75865E-E0F4-4BE0-BD53-622CB0A1360C}" type="presParOf" srcId="{27752314-A407-4A36-B678-E9A5970E0BD4}" destId="{5FE697D5-3E9B-415A-AD1C-37D5386A2B41}" srcOrd="0" destOrd="0" presId="urn:microsoft.com/office/officeart/2005/8/layout/hierarchy4"/>
    <dgm:cxn modelId="{71643A28-0565-4FE7-8056-75670912A2D7}" type="presParOf" srcId="{5FE697D5-3E9B-415A-AD1C-37D5386A2B41}" destId="{A02E9E10-9EFD-4B93-9024-F27DFA07DAF0}" srcOrd="0" destOrd="0" presId="urn:microsoft.com/office/officeart/2005/8/layout/hierarchy4"/>
    <dgm:cxn modelId="{0116D81F-BAD2-4528-ABA5-FBB4242B8100}" type="presParOf" srcId="{5FE697D5-3E9B-415A-AD1C-37D5386A2B41}" destId="{A18FEA76-7BB6-4958-A44A-692E6FBEE75A}" srcOrd="1" destOrd="0" presId="urn:microsoft.com/office/officeart/2005/8/layout/hierarchy4"/>
    <dgm:cxn modelId="{A3646707-DC21-42E9-9FFE-61B48ED1AD53}" type="presParOf" srcId="{8F5464E6-689E-4C8F-9DDF-15E1198A2ED4}" destId="{C94DD181-18DE-470D-A9B9-F490FAFE6562}" srcOrd="1" destOrd="0" presId="urn:microsoft.com/office/officeart/2005/8/layout/hierarchy4"/>
    <dgm:cxn modelId="{B8670A8D-DA24-463D-9670-174394672786}" type="presParOf" srcId="{8F5464E6-689E-4C8F-9DDF-15E1198A2ED4}" destId="{8E950F4B-09F2-451B-9D7F-BB86301BF180}" srcOrd="2" destOrd="0" presId="urn:microsoft.com/office/officeart/2005/8/layout/hierarchy4"/>
    <dgm:cxn modelId="{BC1802E4-723F-491E-9E42-E27D26B7B748}" type="presParOf" srcId="{8E950F4B-09F2-451B-9D7F-BB86301BF180}" destId="{D2325AFA-C9C0-4A75-A6B5-BA5F65ED3BB1}" srcOrd="0" destOrd="0" presId="urn:microsoft.com/office/officeart/2005/8/layout/hierarchy4"/>
    <dgm:cxn modelId="{B7343763-4DCA-4761-9979-4916DDB3DB43}" type="presParOf" srcId="{8E950F4B-09F2-451B-9D7F-BB86301BF180}" destId="{4708C78F-9FF7-4395-B346-8CE5B835B19A}" srcOrd="1" destOrd="0" presId="urn:microsoft.com/office/officeart/2005/8/layout/hierarchy4"/>
    <dgm:cxn modelId="{3AC5BD11-D3FB-425C-A953-10E5D35729D0}" type="presParOf" srcId="{8E950F4B-09F2-451B-9D7F-BB86301BF180}" destId="{81394379-5A0F-434F-92B0-B3898F744DBE}" srcOrd="2" destOrd="0" presId="urn:microsoft.com/office/officeart/2005/8/layout/hierarchy4"/>
    <dgm:cxn modelId="{BB2996C1-8EAC-45AD-B90D-03CCD7D3AB79}" type="presParOf" srcId="{81394379-5A0F-434F-92B0-B3898F744DBE}" destId="{52D88C3F-C342-4D0B-A570-AB44121EF5CF}" srcOrd="0" destOrd="0" presId="urn:microsoft.com/office/officeart/2005/8/layout/hierarchy4"/>
    <dgm:cxn modelId="{9D75AE0B-710F-4510-8DDE-203A4DCB427F}" type="presParOf" srcId="{52D88C3F-C342-4D0B-A570-AB44121EF5CF}" destId="{0FD70A2D-5363-4F60-8857-8DCBA108EC51}" srcOrd="0" destOrd="0" presId="urn:microsoft.com/office/officeart/2005/8/layout/hierarchy4"/>
    <dgm:cxn modelId="{E043997A-E5AD-4EB7-A085-E37F3D9436D3}" type="presParOf" srcId="{52D88C3F-C342-4D0B-A570-AB44121EF5CF}" destId="{9AC65157-1D3A-4B1B-9642-FE486F292B72}" srcOrd="1" destOrd="0" presId="urn:microsoft.com/office/officeart/2005/8/layout/hierarchy4"/>
    <dgm:cxn modelId="{C63C6C8A-1539-45DA-AA0D-443EE74E87FA}" type="presParOf" srcId="{62961143-FF02-4A14-8E52-6DDE89741CBC}" destId="{B79FC79B-95B0-460F-A9E2-C9EC7326C334}" srcOrd="1" destOrd="0" presId="urn:microsoft.com/office/officeart/2005/8/layout/hierarchy4"/>
    <dgm:cxn modelId="{64CAD309-4BCE-43B3-9E7E-FD2C7695B3F6}" type="presParOf" srcId="{62961143-FF02-4A14-8E52-6DDE89741CBC}" destId="{43B3714E-05D4-4C8D-8010-CAEF93055560}" srcOrd="2" destOrd="0" presId="urn:microsoft.com/office/officeart/2005/8/layout/hierarchy4"/>
    <dgm:cxn modelId="{AD7DD10D-82FF-40F9-92BE-C1619D2A2341}" type="presParOf" srcId="{43B3714E-05D4-4C8D-8010-CAEF93055560}" destId="{CF2E5284-F5F8-48E4-B373-A24D35776BE0}" srcOrd="0" destOrd="0" presId="urn:microsoft.com/office/officeart/2005/8/layout/hierarchy4"/>
    <dgm:cxn modelId="{D0281449-2A32-4D48-BAAC-97EB5B9686BB}" type="presParOf" srcId="{43B3714E-05D4-4C8D-8010-CAEF93055560}" destId="{598B938B-8160-45F2-ABAD-795190621085}" srcOrd="1" destOrd="0" presId="urn:microsoft.com/office/officeart/2005/8/layout/hierarchy4"/>
    <dgm:cxn modelId="{A9D677EA-806E-4BC8-A850-F1E857CE0862}" type="presParOf" srcId="{43B3714E-05D4-4C8D-8010-CAEF93055560}" destId="{92627873-E9AE-43DA-938C-C750A1BF6B61}" srcOrd="2" destOrd="0" presId="urn:microsoft.com/office/officeart/2005/8/layout/hierarchy4"/>
    <dgm:cxn modelId="{5C22D3E8-4362-4806-8397-364EF5CAC67E}" type="presParOf" srcId="{92627873-E9AE-43DA-938C-C750A1BF6B61}" destId="{30C202DA-B487-4874-988E-FD2E70174694}" srcOrd="0" destOrd="0" presId="urn:microsoft.com/office/officeart/2005/8/layout/hierarchy4"/>
    <dgm:cxn modelId="{58231554-E7AC-4E5E-AD9B-98945E882F93}" type="presParOf" srcId="{30C202DA-B487-4874-988E-FD2E70174694}" destId="{DBA12B8F-CFD6-40CA-A43B-751407D3F421}" srcOrd="0" destOrd="0" presId="urn:microsoft.com/office/officeart/2005/8/layout/hierarchy4"/>
    <dgm:cxn modelId="{BEB2C476-4186-44A8-BCCF-B631788C088F}" type="presParOf" srcId="{30C202DA-B487-4874-988E-FD2E70174694}" destId="{4F972BE5-0A80-41B5-9C7F-4EF86D596E94}" srcOrd="1" destOrd="0" presId="urn:microsoft.com/office/officeart/2005/8/layout/hierarchy4"/>
    <dgm:cxn modelId="{9E34A3DC-EEBA-4A2F-9946-16194FB0333C}" type="presParOf" srcId="{30C202DA-B487-4874-988E-FD2E70174694}" destId="{F9FFAB89-C2E1-4D4A-BB80-DE08B2354399}" srcOrd="2" destOrd="0" presId="urn:microsoft.com/office/officeart/2005/8/layout/hierarchy4"/>
    <dgm:cxn modelId="{4512D49A-E484-4CCB-9555-52501B36B459}" type="presParOf" srcId="{F9FFAB89-C2E1-4D4A-BB80-DE08B2354399}" destId="{E49FC716-2969-4249-B96F-E553B1D9E20F}" srcOrd="0" destOrd="0" presId="urn:microsoft.com/office/officeart/2005/8/layout/hierarchy4"/>
    <dgm:cxn modelId="{096BB8E7-3182-4936-A051-C57D02AC7E1B}" type="presParOf" srcId="{E49FC716-2969-4249-B96F-E553B1D9E20F}" destId="{BB868717-16F5-4D38-9AD8-7855AA823BED}" srcOrd="0" destOrd="0" presId="urn:microsoft.com/office/officeart/2005/8/layout/hierarchy4"/>
    <dgm:cxn modelId="{A3D14C66-1027-4000-915E-9C58189B1955}" type="presParOf" srcId="{E49FC716-2969-4249-B96F-E553B1D9E20F}" destId="{F4189AA5-702F-4BCC-BFBB-9C2B34F784A9}" srcOrd="1" destOrd="0" presId="urn:microsoft.com/office/officeart/2005/8/layout/hierarchy4"/>
    <dgm:cxn modelId="{E04D7085-B77F-4018-89AD-D830370861B6}" type="presParOf" srcId="{62961143-FF02-4A14-8E52-6DDE89741CBC}" destId="{3F7F9B29-69DD-4DA1-B75D-C864E8FFB799}" srcOrd="3" destOrd="0" presId="urn:microsoft.com/office/officeart/2005/8/layout/hierarchy4"/>
    <dgm:cxn modelId="{433790A3-10E4-457F-9C73-BA433112E18E}" type="presParOf" srcId="{62961143-FF02-4A14-8E52-6DDE89741CBC}" destId="{6B1DACA4-D9F0-43F8-AF5D-7FD7AF71CAEB}" srcOrd="4" destOrd="0" presId="urn:microsoft.com/office/officeart/2005/8/layout/hierarchy4"/>
    <dgm:cxn modelId="{2DC28C95-F518-4779-8EF0-FBFF624477D8}" type="presParOf" srcId="{6B1DACA4-D9F0-43F8-AF5D-7FD7AF71CAEB}" destId="{91A38FA1-A5BD-4AEA-88BE-34EC6ABDEDE5}" srcOrd="0" destOrd="0" presId="urn:microsoft.com/office/officeart/2005/8/layout/hierarchy4"/>
    <dgm:cxn modelId="{19DD3EE6-D065-4589-8A29-76F524331B76}" type="presParOf" srcId="{6B1DACA4-D9F0-43F8-AF5D-7FD7AF71CAEB}" destId="{5CB34F75-835A-4F62-98BD-B8F2D06F5796}" srcOrd="1" destOrd="0" presId="urn:microsoft.com/office/officeart/2005/8/layout/hierarchy4"/>
    <dgm:cxn modelId="{D50A20FC-D956-4CFE-902B-48D47F58275A}" type="presParOf" srcId="{6B1DACA4-D9F0-43F8-AF5D-7FD7AF71CAEB}" destId="{FAF863C0-70D2-4D0A-B57B-2126794BD37E}" srcOrd="2" destOrd="0" presId="urn:microsoft.com/office/officeart/2005/8/layout/hierarchy4"/>
    <dgm:cxn modelId="{ECFB2F2E-7F1E-49D6-8893-AAE3D19E5E8A}" type="presParOf" srcId="{FAF863C0-70D2-4D0A-B57B-2126794BD37E}" destId="{47211008-5016-4889-8A6D-235708A54ED8}" srcOrd="0" destOrd="0" presId="urn:microsoft.com/office/officeart/2005/8/layout/hierarchy4"/>
    <dgm:cxn modelId="{AB31D9BE-85C4-4FAB-AE9B-77860C4273C2}" type="presParOf" srcId="{47211008-5016-4889-8A6D-235708A54ED8}" destId="{4F70EE44-0EE9-4D32-9F6E-0E663D7B1797}" srcOrd="0" destOrd="0" presId="urn:microsoft.com/office/officeart/2005/8/layout/hierarchy4"/>
    <dgm:cxn modelId="{05775DC4-16F5-42A0-AECA-5A4C0101B773}" type="presParOf" srcId="{47211008-5016-4889-8A6D-235708A54ED8}" destId="{0791ECCB-842F-4007-9194-D8A01E5A40D2}" srcOrd="1" destOrd="0" presId="urn:microsoft.com/office/officeart/2005/8/layout/hierarchy4"/>
    <dgm:cxn modelId="{2A78E3E9-5CC1-425C-983F-92A8A9ED5E88}" type="presParOf" srcId="{47211008-5016-4889-8A6D-235708A54ED8}" destId="{303155D3-7ACE-435F-B5DA-330DDE50428B}" srcOrd="2" destOrd="0" presId="urn:microsoft.com/office/officeart/2005/8/layout/hierarchy4"/>
    <dgm:cxn modelId="{6E6263DB-E681-49A3-B7C9-DB10CA3F8862}" type="presParOf" srcId="{303155D3-7ACE-435F-B5DA-330DDE50428B}" destId="{B80F9211-0144-43E5-A826-E5B32CA7BF5C}" srcOrd="0" destOrd="0" presId="urn:microsoft.com/office/officeart/2005/8/layout/hierarchy4"/>
    <dgm:cxn modelId="{F8E4AF43-809B-41ED-845E-183D0A709818}" type="presParOf" srcId="{B80F9211-0144-43E5-A826-E5B32CA7BF5C}" destId="{D2DAAA64-C9BC-43E6-9DE3-61A114420CF1}" srcOrd="0" destOrd="0" presId="urn:microsoft.com/office/officeart/2005/8/layout/hierarchy4"/>
    <dgm:cxn modelId="{C4A91514-7B86-4E96-9D11-E20EB1D47449}" type="presParOf" srcId="{B80F9211-0144-43E5-A826-E5B32CA7BF5C}" destId="{6BDD853D-5BE5-4C98-9CBA-A335E525017A}"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401" y="1366"/>
          <a:ext cx="5494650" cy="4397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AU" sz="1900" kern="1200">
              <a:solidFill>
                <a:sysClr val="window" lastClr="FFFFFF"/>
              </a:solidFill>
              <a:latin typeface="Calibri"/>
              <a:ea typeface="+mn-ea"/>
              <a:cs typeface="+mn-cs"/>
            </a:rPr>
            <a:t>Victorian distribution services</a:t>
          </a:r>
        </a:p>
      </dsp:txBody>
      <dsp:txXfrm>
        <a:off x="13281" y="14246"/>
        <a:ext cx="5468890" cy="414012"/>
      </dsp:txXfrm>
    </dsp:sp>
    <dsp:sp modelId="{F9A5BDCA-160C-4D0D-BC3B-46DBFB70E008}">
      <dsp:nvSpPr>
        <dsp:cNvPr id="0" name=""/>
        <dsp:cNvSpPr/>
      </dsp:nvSpPr>
      <dsp:spPr>
        <a:xfrm>
          <a:off x="5764" y="475663"/>
          <a:ext cx="3132811" cy="439772"/>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8644" y="488543"/>
        <a:ext cx="3107051" cy="414012"/>
      </dsp:txXfrm>
    </dsp:sp>
    <dsp:sp modelId="{1B6E1A6C-15B5-4415-95F1-F7162486BD52}">
      <dsp:nvSpPr>
        <dsp:cNvPr id="0" name=""/>
        <dsp:cNvSpPr/>
      </dsp:nvSpPr>
      <dsp:spPr>
        <a:xfrm>
          <a:off x="16440" y="949959"/>
          <a:ext cx="1533107" cy="439772"/>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(general network charges)</a:t>
          </a:r>
        </a:p>
      </dsp:txBody>
      <dsp:txXfrm>
        <a:off x="29320" y="962839"/>
        <a:ext cx="1507347" cy="414012"/>
      </dsp:txXfrm>
    </dsp:sp>
    <dsp:sp modelId="{A02E9E10-9EFD-4B93-9024-F27DFA07DAF0}">
      <dsp:nvSpPr>
        <dsp:cNvPr id="0" name=""/>
        <dsp:cNvSpPr/>
      </dsp:nvSpPr>
      <dsp:spPr>
        <a:xfrm>
          <a:off x="32102" y="1424476"/>
          <a:ext cx="1497575"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Network services</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New connections requiring augmentation</a:t>
          </a:r>
        </a:p>
      </dsp:txBody>
      <dsp:txXfrm>
        <a:off x="75964" y="1468338"/>
        <a:ext cx="1409851" cy="2406803"/>
      </dsp:txXfrm>
    </dsp:sp>
    <dsp:sp modelId="{D2325AFA-C9C0-4A75-A6B5-BA5F65ED3BB1}">
      <dsp:nvSpPr>
        <dsp:cNvPr id="0" name=""/>
        <dsp:cNvSpPr/>
      </dsp:nvSpPr>
      <dsp:spPr>
        <a:xfrm>
          <a:off x="1594791" y="949959"/>
          <a:ext cx="1533107" cy="439772"/>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7671" y="962839"/>
        <a:ext cx="1507347" cy="414012"/>
      </dsp:txXfrm>
    </dsp:sp>
    <dsp:sp modelId="{0FD70A2D-5363-4F60-8857-8DCBA108EC51}">
      <dsp:nvSpPr>
        <dsp:cNvPr id="0" name=""/>
        <dsp:cNvSpPr/>
      </dsp:nvSpPr>
      <dsp:spPr>
        <a:xfrm>
          <a:off x="1605205" y="1424256"/>
          <a:ext cx="1512279"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Routine connections </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Type 5-6 and smart metering services (after AMI expiry)</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Existing public lighting services</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Ancillary network services</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Ancillary connection services</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Ancillary metering services</a:t>
          </a:r>
        </a:p>
      </dsp:txBody>
      <dsp:txXfrm>
        <a:off x="1649498" y="1468549"/>
        <a:ext cx="1423693" cy="2405941"/>
      </dsp:txXfrm>
    </dsp:sp>
    <dsp:sp modelId="{CF2E5284-F5F8-48E4-B373-A24D35776BE0}">
      <dsp:nvSpPr>
        <dsp:cNvPr id="0" name=""/>
        <dsp:cNvSpPr/>
      </dsp:nvSpPr>
      <dsp:spPr>
        <a:xfrm>
          <a:off x="3229506" y="475663"/>
          <a:ext cx="1084625" cy="439772"/>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42386" y="488543"/>
        <a:ext cx="1058865" cy="414012"/>
      </dsp:txXfrm>
    </dsp:sp>
    <dsp:sp modelId="{DBA12B8F-CFD6-40CA-A43B-751407D3F421}">
      <dsp:nvSpPr>
        <dsp:cNvPr id="0" name=""/>
        <dsp:cNvSpPr/>
      </dsp:nvSpPr>
      <dsp:spPr>
        <a:xfrm>
          <a:off x="3233202" y="949959"/>
          <a:ext cx="1077233" cy="439772"/>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6082" y="962839"/>
        <a:ext cx="1051473" cy="414012"/>
      </dsp:txXfrm>
    </dsp:sp>
    <dsp:sp modelId="{BB868717-16F5-4D38-9AD8-7855AA823BED}">
      <dsp:nvSpPr>
        <dsp:cNvPr id="0" name=""/>
        <dsp:cNvSpPr/>
      </dsp:nvSpPr>
      <dsp:spPr>
        <a:xfrm>
          <a:off x="3240520" y="1424256"/>
          <a:ext cx="1062598"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New public lighting services (incl. greenfield sites)</a:t>
          </a:r>
        </a:p>
      </dsp:txBody>
      <dsp:txXfrm>
        <a:off x="3271642" y="1455378"/>
        <a:ext cx="1000354" cy="2432283"/>
      </dsp:txXfrm>
    </dsp:sp>
    <dsp:sp modelId="{91A38FA1-A5BD-4AEA-88BE-34EC6ABDEDE5}">
      <dsp:nvSpPr>
        <dsp:cNvPr id="0" name=""/>
        <dsp:cNvSpPr/>
      </dsp:nvSpPr>
      <dsp:spPr>
        <a:xfrm>
          <a:off x="4405062" y="475663"/>
          <a:ext cx="1084625" cy="439772"/>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7942" y="488543"/>
        <a:ext cx="1058865" cy="414012"/>
      </dsp:txXfrm>
    </dsp:sp>
    <dsp:sp modelId="{4F70EE44-0EE9-4D32-9F6E-0E663D7B1797}">
      <dsp:nvSpPr>
        <dsp:cNvPr id="0" name=""/>
        <dsp:cNvSpPr/>
      </dsp:nvSpPr>
      <dsp:spPr>
        <a:xfrm>
          <a:off x="4408232" y="949959"/>
          <a:ext cx="1078286" cy="439772"/>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21112" y="962839"/>
        <a:ext cx="1052526" cy="414012"/>
      </dsp:txXfrm>
    </dsp:sp>
    <dsp:sp modelId="{D2DAAA64-C9BC-43E6-9DE3-61A114420CF1}">
      <dsp:nvSpPr>
        <dsp:cNvPr id="0" name=""/>
        <dsp:cNvSpPr/>
      </dsp:nvSpPr>
      <dsp:spPr>
        <a:xfrm>
          <a:off x="4414517" y="1424256"/>
          <a:ext cx="1065717"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Type 1-4 metering services (excluding smart meters after AMI expiry)</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Type 5-6 metering services (before AMI expiry)</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Emergency recoverable works</a:t>
          </a:r>
        </a:p>
      </dsp:txBody>
      <dsp:txXfrm>
        <a:off x="4445731" y="1455470"/>
        <a:ext cx="1003289" cy="24320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8D3AC5-6553-4309-AF42-FCECAFABA656}">
      <dsp:nvSpPr>
        <dsp:cNvPr id="0" name=""/>
        <dsp:cNvSpPr/>
      </dsp:nvSpPr>
      <dsp:spPr>
        <a:xfrm>
          <a:off x="401" y="1366"/>
          <a:ext cx="5494650" cy="4397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en-AU" sz="1900" kern="1200">
              <a:solidFill>
                <a:sysClr val="window" lastClr="FFFFFF"/>
              </a:solidFill>
              <a:latin typeface="Calibri"/>
              <a:ea typeface="+mn-ea"/>
              <a:cs typeface="+mn-cs"/>
            </a:rPr>
            <a:t>Victorian distribution services</a:t>
          </a:r>
        </a:p>
      </dsp:txBody>
      <dsp:txXfrm>
        <a:off x="13281" y="14246"/>
        <a:ext cx="5468890" cy="414012"/>
      </dsp:txXfrm>
    </dsp:sp>
    <dsp:sp modelId="{F9A5BDCA-160C-4D0D-BC3B-46DBFB70E008}">
      <dsp:nvSpPr>
        <dsp:cNvPr id="0" name=""/>
        <dsp:cNvSpPr/>
      </dsp:nvSpPr>
      <dsp:spPr>
        <a:xfrm>
          <a:off x="5764" y="475663"/>
          <a:ext cx="3132811" cy="439772"/>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Direct control (revenue/price regulated)</a:t>
          </a:r>
        </a:p>
      </dsp:txBody>
      <dsp:txXfrm>
        <a:off x="18644" y="488543"/>
        <a:ext cx="3107051" cy="414012"/>
      </dsp:txXfrm>
    </dsp:sp>
    <dsp:sp modelId="{1B6E1A6C-15B5-4415-95F1-F7162486BD52}">
      <dsp:nvSpPr>
        <dsp:cNvPr id="0" name=""/>
        <dsp:cNvSpPr/>
      </dsp:nvSpPr>
      <dsp:spPr>
        <a:xfrm>
          <a:off x="16440" y="949959"/>
          <a:ext cx="1533107" cy="439772"/>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Standard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(general network charges)</a:t>
          </a:r>
        </a:p>
      </dsp:txBody>
      <dsp:txXfrm>
        <a:off x="29320" y="962839"/>
        <a:ext cx="1507347" cy="414012"/>
      </dsp:txXfrm>
    </dsp:sp>
    <dsp:sp modelId="{A02E9E10-9EFD-4B93-9024-F27DFA07DAF0}">
      <dsp:nvSpPr>
        <dsp:cNvPr id="0" name=""/>
        <dsp:cNvSpPr/>
      </dsp:nvSpPr>
      <dsp:spPr>
        <a:xfrm>
          <a:off x="32102" y="1424476"/>
          <a:ext cx="1497575"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Network services</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New connections requiring augmentation</a:t>
          </a:r>
        </a:p>
      </dsp:txBody>
      <dsp:txXfrm>
        <a:off x="75964" y="1468338"/>
        <a:ext cx="1409851" cy="2406803"/>
      </dsp:txXfrm>
    </dsp:sp>
    <dsp:sp modelId="{D2325AFA-C9C0-4A75-A6B5-BA5F65ED3BB1}">
      <dsp:nvSpPr>
        <dsp:cNvPr id="0" name=""/>
        <dsp:cNvSpPr/>
      </dsp:nvSpPr>
      <dsp:spPr>
        <a:xfrm>
          <a:off x="1594791" y="949959"/>
          <a:ext cx="1533107" cy="439772"/>
        </a:xfrm>
        <a:prstGeom prst="roundRect">
          <a:avLst>
            <a:gd name="adj" fmla="val 10000"/>
          </a:avLst>
        </a:prstGeom>
        <a:solidFill>
          <a:srgbClr val="4F81B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Alternative control </a:t>
          </a:r>
        </a:p>
        <a:p>
          <a:pPr lvl="0" algn="ctr" defTabSz="444500">
            <a:lnSpc>
              <a:spcPct val="90000"/>
            </a:lnSpc>
            <a:spcBef>
              <a:spcPct val="0"/>
            </a:spcBef>
            <a:spcAft>
              <a:spcPct val="35000"/>
            </a:spcAft>
          </a:pPr>
          <a:r>
            <a:rPr lang="en-AU" sz="1000" kern="1200">
              <a:solidFill>
                <a:sysClr val="windowText" lastClr="000000"/>
              </a:solidFill>
              <a:latin typeface="Calibri"/>
              <a:ea typeface="+mn-ea"/>
              <a:cs typeface="+mn-cs"/>
            </a:rPr>
            <a:t>(service specific charges)</a:t>
          </a:r>
        </a:p>
      </dsp:txBody>
      <dsp:txXfrm>
        <a:off x="1607671" y="962839"/>
        <a:ext cx="1507347" cy="414012"/>
      </dsp:txXfrm>
    </dsp:sp>
    <dsp:sp modelId="{0FD70A2D-5363-4F60-8857-8DCBA108EC51}">
      <dsp:nvSpPr>
        <dsp:cNvPr id="0" name=""/>
        <dsp:cNvSpPr/>
      </dsp:nvSpPr>
      <dsp:spPr>
        <a:xfrm>
          <a:off x="1605205" y="1424256"/>
          <a:ext cx="1512279"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Routine connections </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Type 5-6 and smart metering services (after AMI expiry)</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Existing public lighting services</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Ancillary network services</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Ancillary connection services</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Ancillary metering services</a:t>
          </a:r>
        </a:p>
      </dsp:txBody>
      <dsp:txXfrm>
        <a:off x="1649498" y="1468549"/>
        <a:ext cx="1423693" cy="2405941"/>
      </dsp:txXfrm>
    </dsp:sp>
    <dsp:sp modelId="{CF2E5284-F5F8-48E4-B373-A24D35776BE0}">
      <dsp:nvSpPr>
        <dsp:cNvPr id="0" name=""/>
        <dsp:cNvSpPr/>
      </dsp:nvSpPr>
      <dsp:spPr>
        <a:xfrm>
          <a:off x="3229506" y="475663"/>
          <a:ext cx="1084625" cy="439772"/>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Negotiated</a:t>
          </a:r>
        </a:p>
      </dsp:txBody>
      <dsp:txXfrm>
        <a:off x="3242386" y="488543"/>
        <a:ext cx="1058865" cy="414012"/>
      </dsp:txXfrm>
    </dsp:sp>
    <dsp:sp modelId="{DBA12B8F-CFD6-40CA-A43B-751407D3F421}">
      <dsp:nvSpPr>
        <dsp:cNvPr id="0" name=""/>
        <dsp:cNvSpPr/>
      </dsp:nvSpPr>
      <dsp:spPr>
        <a:xfrm>
          <a:off x="3233202" y="949959"/>
          <a:ext cx="1077233" cy="439772"/>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246082" y="962839"/>
        <a:ext cx="1051473" cy="414012"/>
      </dsp:txXfrm>
    </dsp:sp>
    <dsp:sp modelId="{BB868717-16F5-4D38-9AD8-7855AA823BED}">
      <dsp:nvSpPr>
        <dsp:cNvPr id="0" name=""/>
        <dsp:cNvSpPr/>
      </dsp:nvSpPr>
      <dsp:spPr>
        <a:xfrm>
          <a:off x="3240520" y="1424256"/>
          <a:ext cx="1062598"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New public lighting services (incl. greenfield sites)</a:t>
          </a:r>
        </a:p>
      </dsp:txBody>
      <dsp:txXfrm>
        <a:off x="3271642" y="1455378"/>
        <a:ext cx="1000354" cy="2432283"/>
      </dsp:txXfrm>
    </dsp:sp>
    <dsp:sp modelId="{91A38FA1-A5BD-4AEA-88BE-34EC6ABDEDE5}">
      <dsp:nvSpPr>
        <dsp:cNvPr id="0" name=""/>
        <dsp:cNvSpPr/>
      </dsp:nvSpPr>
      <dsp:spPr>
        <a:xfrm>
          <a:off x="4405062" y="475663"/>
          <a:ext cx="1084625" cy="439772"/>
        </a:xfrm>
        <a:prstGeom prst="roundRect">
          <a:avLst>
            <a:gd name="adj" fmla="val 10000"/>
          </a:avLst>
        </a:prstGeom>
        <a:solidFill>
          <a:srgbClr val="1F497D">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Text" lastClr="000000"/>
              </a:solidFill>
              <a:latin typeface="Calibri"/>
              <a:ea typeface="+mn-ea"/>
              <a:cs typeface="+mn-cs"/>
            </a:rPr>
            <a:t>Unclassified</a:t>
          </a:r>
        </a:p>
      </dsp:txBody>
      <dsp:txXfrm>
        <a:off x="4417942" y="488543"/>
        <a:ext cx="1058865" cy="414012"/>
      </dsp:txXfrm>
    </dsp:sp>
    <dsp:sp modelId="{4F70EE44-0EE9-4D32-9F6E-0E663D7B1797}">
      <dsp:nvSpPr>
        <dsp:cNvPr id="0" name=""/>
        <dsp:cNvSpPr/>
      </dsp:nvSpPr>
      <dsp:spPr>
        <a:xfrm>
          <a:off x="4408232" y="949959"/>
          <a:ext cx="1078286" cy="439772"/>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4421112" y="962839"/>
        <a:ext cx="1052526" cy="414012"/>
      </dsp:txXfrm>
    </dsp:sp>
    <dsp:sp modelId="{D2DAAA64-C9BC-43E6-9DE3-61A114420CF1}">
      <dsp:nvSpPr>
        <dsp:cNvPr id="0" name=""/>
        <dsp:cNvSpPr/>
      </dsp:nvSpPr>
      <dsp:spPr>
        <a:xfrm>
          <a:off x="4414517" y="1424256"/>
          <a:ext cx="1065717" cy="2494527"/>
        </a:xfrm>
        <a:prstGeom prst="roundRect">
          <a:avLst>
            <a:gd name="adj" fmla="val 10000"/>
          </a:avLst>
        </a:prstGeom>
        <a:solidFill>
          <a:srgbClr val="4F81BD">
            <a:lumMod val="20000"/>
            <a:lumOff val="80000"/>
          </a:srgbClr>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Type 1-4 metering services (excluding smart meters after AMI expiry)</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Type 5-6 metering services (before AMI expiry)</a:t>
          </a:r>
        </a:p>
        <a:p>
          <a:pPr lvl="0" algn="l" defTabSz="444500">
            <a:lnSpc>
              <a:spcPct val="90000"/>
            </a:lnSpc>
            <a:spcBef>
              <a:spcPct val="0"/>
            </a:spcBef>
            <a:spcAft>
              <a:spcPct val="35000"/>
            </a:spcAft>
          </a:pPr>
          <a:r>
            <a:rPr lang="en-AU" sz="1000" kern="1200">
              <a:solidFill>
                <a:sysClr val="windowText" lastClr="000000"/>
              </a:solidFill>
              <a:latin typeface="Times New Roman"/>
              <a:ea typeface="+mn-ea"/>
              <a:cs typeface="Times New Roman"/>
            </a:rPr>
            <a:t>• </a:t>
          </a:r>
          <a:r>
            <a:rPr lang="en-AU" sz="1000" kern="1200">
              <a:solidFill>
                <a:sysClr val="windowText" lastClr="000000"/>
              </a:solidFill>
              <a:latin typeface="Calibri"/>
              <a:ea typeface="+mn-ea"/>
              <a:cs typeface="+mn-cs"/>
            </a:rPr>
            <a:t>Emergency recoverable works</a:t>
          </a:r>
        </a:p>
      </dsp:txBody>
      <dsp:txXfrm>
        <a:off x="4445731" y="1455470"/>
        <a:ext cx="1003289" cy="24320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0.08333</cdr:x>
      <cdr:y>0.19965</cdr:y>
    </cdr:from>
    <cdr:to>
      <cdr:x>0.28333</cdr:x>
      <cdr:y>0.72743</cdr:y>
    </cdr:to>
    <cdr:sp macro="" textlink="">
      <cdr:nvSpPr>
        <cdr:cNvPr id="2" name="TextBox 1"/>
        <cdr:cNvSpPr txBox="1"/>
      </cdr:nvSpPr>
      <cdr:spPr>
        <a:xfrm xmlns:a="http://schemas.openxmlformats.org/drawingml/2006/main">
          <a:off x="381000" y="547688"/>
          <a:ext cx="914400" cy="14477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0.025</cdr:x>
      <cdr:y>0.24826</cdr:y>
    </cdr:from>
    <cdr:to>
      <cdr:x>0.17083</cdr:x>
      <cdr:y>0.78646</cdr:y>
    </cdr:to>
    <cdr:sp macro="" textlink="">
      <cdr:nvSpPr>
        <cdr:cNvPr id="3" name="TextBox 2"/>
        <cdr:cNvSpPr txBox="1"/>
      </cdr:nvSpPr>
      <cdr:spPr>
        <a:xfrm xmlns:a="http://schemas.openxmlformats.org/drawingml/2006/main">
          <a:off x="114300" y="681037"/>
          <a:ext cx="666750" cy="147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0.01875</cdr:x>
      <cdr:y>0.22396</cdr:y>
    </cdr:from>
    <cdr:to>
      <cdr:x>0.1875</cdr:x>
      <cdr:y>0.5816</cdr:y>
    </cdr:to>
    <cdr:sp macro="" textlink="">
      <cdr:nvSpPr>
        <cdr:cNvPr id="4" name="TextBox 3"/>
        <cdr:cNvSpPr txBox="1"/>
      </cdr:nvSpPr>
      <cdr:spPr>
        <a:xfrm xmlns:a="http://schemas.openxmlformats.org/drawingml/2006/main">
          <a:off x="85725" y="614363"/>
          <a:ext cx="771525" cy="981075"/>
        </a:xfrm>
        <a:prstGeom xmlns:a="http://schemas.openxmlformats.org/drawingml/2006/main" prst="rect">
          <a:avLst/>
        </a:prstGeom>
      </cdr:spPr>
      <cdr:txBody>
        <a:bodyPr xmlns:a="http://schemas.openxmlformats.org/drawingml/2006/main" vertOverflow="clip" wrap="square" rtlCol="0">
          <a:noAutofit/>
        </a:bodyPr>
        <a:lstStyle xmlns:a="http://schemas.openxmlformats.org/drawingml/2006/main"/>
        <a:p xmlns:a="http://schemas.openxmlformats.org/drawingml/2006/main">
          <a:pPr algn="ctr"/>
          <a:r>
            <a:rPr lang="en-AU" sz="1000" b="1"/>
            <a:t>Typical residential</a:t>
          </a:r>
          <a:r>
            <a:rPr lang="en-AU" sz="1000" b="1" baseline="0"/>
            <a:t> customer annual charges ($)</a:t>
          </a:r>
          <a:endParaRPr lang="en-AU" sz="1100" b="1"/>
        </a:p>
        <a:p xmlns:a="http://schemas.openxmlformats.org/drawingml/2006/main">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F2BCF-298A-4D88-9FD9-9CCD69B8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2DE04E12.dotm</Template>
  <TotalTime>7</TotalTime>
  <Pages>84</Pages>
  <Words>29271</Words>
  <Characters>166847</Characters>
  <Application>Microsoft Office Word</Application>
  <DocSecurity>4</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195727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dc:description/>
  <cp:lastModifiedBy>Pitsakos, Trinas</cp:lastModifiedBy>
  <cp:revision>2</cp:revision>
  <cp:lastPrinted>2014-04-11T01:34:00Z</cp:lastPrinted>
  <dcterms:created xsi:type="dcterms:W3CDTF">2014-06-12T05:03:00Z</dcterms:created>
  <dcterms:modified xsi:type="dcterms:W3CDTF">2014-06-12T05:03:00Z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Settings\tpits\Local Settings\Temporary Internet Files\Content.Outlook\9BPVXH9C\Victorian FA - Decision to replace and preliminary positions.DOCX</vt:lpwstr>
  </property>
</Properties>
</file>