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79B" w:rsidRDefault="00796207" w:rsidP="00BC679B">
      <w:pPr>
        <w:pStyle w:val="AERTitle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3.6pt;margin-top:-72.1pt;width:598.65pt;height:842.25pt;z-index:-251658752">
            <v:imagedata r:id="rId8" o:title="AER-final-orange"/>
          </v:shape>
        </w:pict>
      </w:r>
    </w:p>
    <w:p w:rsidR="00BC679B" w:rsidRDefault="00BC679B" w:rsidP="00BC679B">
      <w:pPr>
        <w:pStyle w:val="AERTitle2"/>
      </w:pPr>
    </w:p>
    <w:p w:rsidR="00BC679B" w:rsidRDefault="0068021C" w:rsidP="00BC679B">
      <w:pPr>
        <w:pStyle w:val="AERTitle1"/>
      </w:pPr>
      <w:bookmarkStart w:id="0" w:name="OLE_LINK1"/>
      <w:bookmarkStart w:id="1" w:name="OLE_LINK2"/>
      <w:r>
        <w:t xml:space="preserve">Preliminary </w:t>
      </w:r>
      <w:r w:rsidR="005B16F2">
        <w:t>View</w:t>
      </w:r>
    </w:p>
    <w:p w:rsidR="00BC679B" w:rsidRDefault="0017549F" w:rsidP="00BC679B">
      <w:pPr>
        <w:pStyle w:val="AERTitle1"/>
      </w:pPr>
      <w:r>
        <w:t>Advance</w:t>
      </w:r>
      <w:r w:rsidR="005B16F2">
        <w:t>d</w:t>
      </w:r>
      <w:r>
        <w:t xml:space="preserve"> metering infrastructure review</w:t>
      </w:r>
    </w:p>
    <w:p w:rsidR="0017549F" w:rsidRDefault="0017549F" w:rsidP="00BC679B">
      <w:pPr>
        <w:pStyle w:val="AERTitle1"/>
      </w:pPr>
      <w:r>
        <w:t>SPI Electricity Pty Ltd</w:t>
      </w:r>
    </w:p>
    <w:p w:rsidR="0017549F" w:rsidRDefault="0017549F" w:rsidP="00BC679B">
      <w:pPr>
        <w:pStyle w:val="AERTitle1"/>
      </w:pPr>
      <w:r>
        <w:t>2012–15 budget and charges applications</w:t>
      </w:r>
    </w:p>
    <w:bookmarkEnd w:id="0"/>
    <w:bookmarkEnd w:id="1"/>
    <w:p w:rsidR="0017549F" w:rsidRDefault="0017549F" w:rsidP="00BC679B">
      <w:pPr>
        <w:pStyle w:val="AERTitle2"/>
      </w:pPr>
      <w:r>
        <w:t xml:space="preserve">Amendments </w:t>
      </w:r>
      <w:r w:rsidR="00BD0645">
        <w:t xml:space="preserve">pursuant to </w:t>
      </w:r>
      <w:r>
        <w:t>the Australian Competition Tribunal</w:t>
      </w:r>
      <w:r w:rsidR="00BD0645">
        <w:t>'s Orders</w:t>
      </w:r>
    </w:p>
    <w:p w:rsidR="00BC679B" w:rsidRPr="00F6235D" w:rsidRDefault="0017549F" w:rsidP="00BC679B">
      <w:pPr>
        <w:pStyle w:val="AERTitle2"/>
      </w:pPr>
      <w:r>
        <w:t>August</w:t>
      </w:r>
      <w:r w:rsidR="00BC679B" w:rsidRPr="00F6235D">
        <w:t xml:space="preserve"> 201</w:t>
      </w:r>
      <w:r w:rsidR="00BC679B">
        <w:t>2</w:t>
      </w:r>
    </w:p>
    <w:p w:rsidR="00BC679B" w:rsidRPr="00F6235D" w:rsidRDefault="00BC679B" w:rsidP="00BC679B">
      <w:pPr>
        <w:pStyle w:val="AERbodytext"/>
      </w:pPr>
      <w:r w:rsidRPr="00F6235D">
        <w:t xml:space="preserve"> </w:t>
      </w:r>
    </w:p>
    <w:p w:rsidR="00BC679B" w:rsidRPr="00F6235D" w:rsidRDefault="00BC679B" w:rsidP="00BC679B">
      <w:pPr>
        <w:pStyle w:val="TOC1"/>
      </w:pPr>
      <w:r>
        <w:br w:type="page"/>
      </w:r>
      <w:r w:rsidRPr="00F6235D">
        <w:lastRenderedPageBreak/>
        <w:t>© Commonwealth of Australia 201</w:t>
      </w:r>
      <w:r>
        <w:t>2</w:t>
      </w:r>
    </w:p>
    <w:p w:rsidR="00BC679B" w:rsidRPr="00F6235D" w:rsidRDefault="00BC679B" w:rsidP="00BC679B">
      <w:pPr>
        <w:pStyle w:val="AERbodytext"/>
      </w:pPr>
      <w:r w:rsidRPr="00F6235D">
        <w:t xml:space="preserve">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w:t>
      </w:r>
      <w:smartTag w:uri="urn:schemas-microsoft-com:office:smarttags" w:element="City">
        <w:smartTag w:uri="urn:schemas-microsoft-com:office:smarttags" w:element="place">
          <w:r w:rsidRPr="00F6235D">
            <w:t>Canberra</w:t>
          </w:r>
        </w:smartTag>
      </w:smartTag>
      <w:r w:rsidRPr="00F6235D">
        <w:t xml:space="preserve"> ACT 2601.</w:t>
      </w:r>
    </w:p>
    <w:p w:rsidR="00BC679B" w:rsidRPr="00F6235D" w:rsidRDefault="00BC679B" w:rsidP="00BC679B">
      <w:pPr>
        <w:pStyle w:val="AERbodytext"/>
      </w:pPr>
    </w:p>
    <w:p w:rsidR="00821B44" w:rsidRDefault="00821B44" w:rsidP="00BC679B">
      <w:pPr>
        <w:pStyle w:val="AERunnumberedheading"/>
        <w:sectPr w:rsidR="00821B44" w:rsidSect="000352DE">
          <w:headerReference w:type="even" r:id="rId9"/>
          <w:headerReference w:type="default" r:id="rId10"/>
          <w:headerReference w:type="first" r:id="rId11"/>
          <w:type w:val="continuous"/>
          <w:pgSz w:w="11906" w:h="16838" w:code="9"/>
          <w:pgMar w:top="1440" w:right="1797" w:bottom="1440" w:left="1797" w:header="709" w:footer="709" w:gutter="0"/>
          <w:pgNumType w:fmt="upperRoman" w:start="1"/>
          <w:cols w:space="708"/>
          <w:docGrid w:linePitch="360"/>
        </w:sectPr>
      </w:pPr>
      <w:bookmarkStart w:id="2" w:name="_Toc309221661"/>
    </w:p>
    <w:p w:rsidR="00BC679B" w:rsidRDefault="00BC679B" w:rsidP="00BC679B">
      <w:pPr>
        <w:pStyle w:val="AERunnumberedheading"/>
      </w:pPr>
      <w:bookmarkStart w:id="3" w:name="_Toc332382080"/>
      <w:r>
        <w:lastRenderedPageBreak/>
        <w:t>Contents</w:t>
      </w:r>
      <w:bookmarkEnd w:id="3"/>
      <w:r w:rsidRPr="00F6235D">
        <w:t xml:space="preserve"> </w:t>
      </w:r>
    </w:p>
    <w:p w:rsidR="00D40D05" w:rsidRDefault="00D40D05">
      <w:pPr>
        <w:pStyle w:val="TOC1"/>
        <w:rPr>
          <w:rFonts w:asciiTheme="minorHAnsi" w:eastAsiaTheme="minorEastAsia" w:hAnsiTheme="minorHAnsi" w:cstheme="minorBidi"/>
          <w:b w:val="0"/>
          <w:noProof/>
          <w:sz w:val="22"/>
          <w:szCs w:val="22"/>
          <w:lang w:eastAsia="en-AU"/>
        </w:rPr>
      </w:pPr>
      <w:r w:rsidRPr="00FF22F8">
        <w:rPr>
          <w:noProof/>
        </w:rPr>
        <w:t>Contents</w:t>
      </w:r>
      <w:r>
        <w:rPr>
          <w:noProof/>
          <w:webHidden/>
        </w:rPr>
        <w:tab/>
      </w:r>
      <w:r w:rsidR="00AF0E53">
        <w:rPr>
          <w:noProof/>
          <w:webHidden/>
        </w:rPr>
        <w:t>i</w:t>
      </w:r>
    </w:p>
    <w:p w:rsidR="00D40D05" w:rsidRDefault="00D40D05">
      <w:pPr>
        <w:pStyle w:val="TOC1"/>
        <w:rPr>
          <w:rFonts w:asciiTheme="minorHAnsi" w:eastAsiaTheme="minorEastAsia" w:hAnsiTheme="minorHAnsi" w:cstheme="minorBidi"/>
          <w:b w:val="0"/>
          <w:noProof/>
          <w:sz w:val="22"/>
          <w:szCs w:val="22"/>
          <w:lang w:eastAsia="en-AU"/>
        </w:rPr>
      </w:pPr>
      <w:r w:rsidRPr="00FF22F8">
        <w:rPr>
          <w:noProof/>
        </w:rPr>
        <w:t>1</w:t>
      </w:r>
      <w:r>
        <w:rPr>
          <w:rFonts w:asciiTheme="minorHAnsi" w:eastAsiaTheme="minorEastAsia" w:hAnsiTheme="minorHAnsi" w:cstheme="minorBidi"/>
          <w:b w:val="0"/>
          <w:noProof/>
          <w:sz w:val="22"/>
          <w:szCs w:val="22"/>
          <w:lang w:eastAsia="en-AU"/>
        </w:rPr>
        <w:tab/>
      </w:r>
      <w:r w:rsidRPr="00FF22F8">
        <w:rPr>
          <w:noProof/>
        </w:rPr>
        <w:t>WiMAX communications</w:t>
      </w:r>
      <w:r>
        <w:rPr>
          <w:noProof/>
          <w:webHidden/>
        </w:rPr>
        <w:tab/>
      </w:r>
      <w:r w:rsidR="00AF0E53">
        <w:rPr>
          <w:noProof/>
          <w:webHidden/>
        </w:rPr>
        <w:t>1</w:t>
      </w:r>
    </w:p>
    <w:p w:rsidR="00D40D05" w:rsidRDefault="00D40D05">
      <w:pPr>
        <w:pStyle w:val="TOC2"/>
        <w:rPr>
          <w:rFonts w:asciiTheme="minorHAnsi" w:eastAsiaTheme="minorEastAsia" w:hAnsiTheme="minorHAnsi" w:cstheme="minorBidi"/>
          <w:noProof/>
          <w:sz w:val="22"/>
          <w:szCs w:val="22"/>
          <w:lang w:eastAsia="en-AU"/>
        </w:rPr>
      </w:pPr>
      <w:r w:rsidRPr="00FF22F8">
        <w:rPr>
          <w:noProof/>
        </w:rPr>
        <w:t>1.1</w:t>
      </w:r>
      <w:r>
        <w:rPr>
          <w:rFonts w:asciiTheme="minorHAnsi" w:eastAsiaTheme="minorEastAsia" w:hAnsiTheme="minorHAnsi" w:cstheme="minorBidi"/>
          <w:noProof/>
          <w:sz w:val="22"/>
          <w:szCs w:val="22"/>
          <w:lang w:eastAsia="en-AU"/>
        </w:rPr>
        <w:tab/>
      </w:r>
      <w:r w:rsidRPr="00FF22F8">
        <w:rPr>
          <w:noProof/>
        </w:rPr>
        <w:t>AER preliminary view</w:t>
      </w:r>
      <w:r>
        <w:rPr>
          <w:noProof/>
          <w:webHidden/>
        </w:rPr>
        <w:tab/>
      </w:r>
      <w:r w:rsidR="00AF0E53">
        <w:rPr>
          <w:noProof/>
          <w:webHidden/>
        </w:rPr>
        <w:t>1</w:t>
      </w:r>
    </w:p>
    <w:p w:rsidR="00D40D05" w:rsidRDefault="00D40D05">
      <w:pPr>
        <w:pStyle w:val="TOC2"/>
        <w:rPr>
          <w:rFonts w:asciiTheme="minorHAnsi" w:eastAsiaTheme="minorEastAsia" w:hAnsiTheme="minorHAnsi" w:cstheme="minorBidi"/>
          <w:noProof/>
          <w:sz w:val="22"/>
          <w:szCs w:val="22"/>
          <w:lang w:eastAsia="en-AU"/>
        </w:rPr>
      </w:pPr>
      <w:r w:rsidRPr="00FF22F8">
        <w:rPr>
          <w:noProof/>
        </w:rPr>
        <w:t>1.2</w:t>
      </w:r>
      <w:r>
        <w:rPr>
          <w:rFonts w:asciiTheme="minorHAnsi" w:eastAsiaTheme="minorEastAsia" w:hAnsiTheme="minorHAnsi" w:cstheme="minorBidi"/>
          <w:noProof/>
          <w:sz w:val="22"/>
          <w:szCs w:val="22"/>
          <w:lang w:eastAsia="en-AU"/>
        </w:rPr>
        <w:tab/>
      </w:r>
      <w:r w:rsidRPr="00FF22F8">
        <w:rPr>
          <w:noProof/>
        </w:rPr>
        <w:t>AER approach</w:t>
      </w:r>
      <w:r>
        <w:rPr>
          <w:noProof/>
          <w:webHidden/>
        </w:rPr>
        <w:tab/>
      </w:r>
      <w:r w:rsidR="00AF0E53">
        <w:rPr>
          <w:noProof/>
          <w:webHidden/>
        </w:rPr>
        <w:t>4</w:t>
      </w:r>
    </w:p>
    <w:p w:rsidR="00D40D05" w:rsidRDefault="00D40D05">
      <w:pPr>
        <w:pStyle w:val="TOC2"/>
        <w:rPr>
          <w:rFonts w:asciiTheme="minorHAnsi" w:eastAsiaTheme="minorEastAsia" w:hAnsiTheme="minorHAnsi" w:cstheme="minorBidi"/>
          <w:noProof/>
          <w:sz w:val="22"/>
          <w:szCs w:val="22"/>
          <w:lang w:eastAsia="en-AU"/>
        </w:rPr>
      </w:pPr>
      <w:r w:rsidRPr="00FF22F8">
        <w:rPr>
          <w:noProof/>
        </w:rPr>
        <w:t>1.3</w:t>
      </w:r>
      <w:r>
        <w:rPr>
          <w:rFonts w:asciiTheme="minorHAnsi" w:eastAsiaTheme="minorEastAsia" w:hAnsiTheme="minorHAnsi" w:cstheme="minorBidi"/>
          <w:noProof/>
          <w:sz w:val="22"/>
          <w:szCs w:val="22"/>
          <w:lang w:eastAsia="en-AU"/>
        </w:rPr>
        <w:tab/>
      </w:r>
      <w:r w:rsidRPr="00FF22F8">
        <w:rPr>
          <w:noProof/>
        </w:rPr>
        <w:t>Reasons for preliminary view</w:t>
      </w:r>
      <w:r>
        <w:rPr>
          <w:noProof/>
          <w:webHidden/>
        </w:rPr>
        <w:tab/>
      </w:r>
      <w:r w:rsidR="00AF0E53">
        <w:rPr>
          <w:noProof/>
          <w:webHidden/>
        </w:rPr>
        <w:t>5</w:t>
      </w:r>
    </w:p>
    <w:p w:rsidR="00D40D05" w:rsidRDefault="00D40D05">
      <w:pPr>
        <w:pStyle w:val="TOC2"/>
        <w:rPr>
          <w:rFonts w:asciiTheme="minorHAnsi" w:eastAsiaTheme="minorEastAsia" w:hAnsiTheme="minorHAnsi" w:cstheme="minorBidi"/>
          <w:noProof/>
          <w:sz w:val="22"/>
          <w:szCs w:val="22"/>
          <w:lang w:eastAsia="en-AU"/>
        </w:rPr>
      </w:pPr>
      <w:r w:rsidRPr="00FF22F8">
        <w:rPr>
          <w:noProof/>
        </w:rPr>
        <w:t>1.4</w:t>
      </w:r>
      <w:r>
        <w:rPr>
          <w:rFonts w:asciiTheme="minorHAnsi" w:eastAsiaTheme="minorEastAsia" w:hAnsiTheme="minorHAnsi" w:cstheme="minorBidi"/>
          <w:noProof/>
          <w:sz w:val="22"/>
          <w:szCs w:val="22"/>
          <w:lang w:eastAsia="en-AU"/>
        </w:rPr>
        <w:tab/>
      </w:r>
      <w:r w:rsidRPr="00FF22F8">
        <w:rPr>
          <w:noProof/>
        </w:rPr>
        <w:t>Revisions</w:t>
      </w:r>
      <w:r>
        <w:rPr>
          <w:noProof/>
          <w:webHidden/>
        </w:rPr>
        <w:tab/>
      </w:r>
      <w:r w:rsidR="00AF0E53">
        <w:rPr>
          <w:noProof/>
          <w:webHidden/>
        </w:rPr>
        <w:t>33</w:t>
      </w:r>
    </w:p>
    <w:p w:rsidR="00821B44" w:rsidRDefault="00821B44" w:rsidP="00821B44">
      <w:pPr>
        <w:pStyle w:val="AERbodytext"/>
        <w:sectPr w:rsidR="00821B44" w:rsidSect="00DC6A8E">
          <w:footerReference w:type="default" r:id="rId12"/>
          <w:pgSz w:w="11906" w:h="16838" w:code="9"/>
          <w:pgMar w:top="1440" w:right="1440" w:bottom="1440" w:left="1440" w:header="709" w:footer="709" w:gutter="0"/>
          <w:pgNumType w:fmt="lowerRoman" w:start="1"/>
          <w:cols w:space="708"/>
          <w:docGrid w:linePitch="360"/>
        </w:sectPr>
      </w:pPr>
    </w:p>
    <w:p w:rsidR="003A7AB1" w:rsidRDefault="003A7AB1" w:rsidP="003A7AB1">
      <w:pPr>
        <w:pStyle w:val="AERheading1"/>
      </w:pPr>
      <w:bookmarkStart w:id="4" w:name="_Ref327447501"/>
      <w:bookmarkStart w:id="5" w:name="_Ref327447504"/>
      <w:bookmarkStart w:id="6" w:name="_Toc332382081"/>
      <w:bookmarkEnd w:id="2"/>
      <w:r>
        <w:lastRenderedPageBreak/>
        <w:t>WiMAX communications</w:t>
      </w:r>
      <w:bookmarkEnd w:id="4"/>
      <w:bookmarkEnd w:id="5"/>
      <w:bookmarkEnd w:id="6"/>
    </w:p>
    <w:p w:rsidR="000D5CD6" w:rsidRDefault="000D5CD6" w:rsidP="000D5CD6">
      <w:pPr>
        <w:pStyle w:val="AERbodytext"/>
        <w:rPr>
          <w:rStyle w:val="AERbody"/>
        </w:rPr>
      </w:pPr>
      <w:r>
        <w:rPr>
          <w:rStyle w:val="AERbody"/>
        </w:rPr>
        <w:t xml:space="preserve">This chapter sets out the AER's further consideration of SP AusNet's </w:t>
      </w:r>
      <w:r w:rsidR="00C9661A">
        <w:rPr>
          <w:rStyle w:val="AERbody"/>
        </w:rPr>
        <w:t>"</w:t>
      </w:r>
      <w:r>
        <w:rPr>
          <w:rStyle w:val="AERbody"/>
        </w:rPr>
        <w:t>WiMAX communications</w:t>
      </w:r>
      <w:r w:rsidR="00C9661A">
        <w:rPr>
          <w:rStyle w:val="AERbody"/>
        </w:rPr>
        <w:t>"</w:t>
      </w:r>
      <w:r>
        <w:rPr>
          <w:rStyle w:val="AERbody"/>
        </w:rPr>
        <w:t xml:space="preserve"> expenditure</w:t>
      </w:r>
      <w:r w:rsidR="00C9661A">
        <w:rPr>
          <w:rStyle w:val="FootnoteReference"/>
        </w:rPr>
        <w:footnoteReference w:id="1"/>
      </w:r>
      <w:r>
        <w:rPr>
          <w:rStyle w:val="AERbody"/>
        </w:rPr>
        <w:t xml:space="preserve"> as required by the Tribunal.</w:t>
      </w:r>
      <w:r>
        <w:rPr>
          <w:rStyle w:val="FootnoteReference"/>
        </w:rPr>
        <w:footnoteReference w:id="2"/>
      </w:r>
      <w:r>
        <w:rPr>
          <w:rStyle w:val="AERbody"/>
        </w:rPr>
        <w:t xml:space="preserve"> The combined amount of that expenditure </w:t>
      </w:r>
      <w:r w:rsidR="00977128">
        <w:rPr>
          <w:rStyle w:val="AERbody"/>
        </w:rPr>
        <w:t xml:space="preserve">rejected by the AER in its final determination </w:t>
      </w:r>
      <w:r>
        <w:rPr>
          <w:rStyle w:val="AERbody"/>
        </w:rPr>
        <w:t>totals $72.2 million</w:t>
      </w:r>
      <w:r w:rsidR="00977128">
        <w:rPr>
          <w:rStyle w:val="AERbody"/>
        </w:rPr>
        <w:t xml:space="preserve"> and comprises</w:t>
      </w:r>
      <w:r w:rsidR="00C9661A">
        <w:rPr>
          <w:rStyle w:val="AERbody"/>
        </w:rPr>
        <w:t xml:space="preserve"> the following categories</w:t>
      </w:r>
      <w:r>
        <w:rPr>
          <w:rStyle w:val="AERbody"/>
        </w:rPr>
        <w:t>:</w:t>
      </w:r>
      <w:r w:rsidR="00977128">
        <w:rPr>
          <w:rStyle w:val="FootnoteReference"/>
        </w:rPr>
        <w:footnoteReference w:id="3"/>
      </w:r>
    </w:p>
    <w:p w:rsidR="00E9196A" w:rsidRDefault="000D5CD6">
      <w:pPr>
        <w:pStyle w:val="AERbulletlistfirststyle"/>
        <w:rPr>
          <w:rStyle w:val="AERbody"/>
          <w:lang w:eastAsia="en-AU"/>
        </w:rPr>
      </w:pPr>
      <w:r>
        <w:rPr>
          <w:rStyle w:val="AERbody"/>
        </w:rPr>
        <w:t xml:space="preserve">meter supply capex: $54.3 </w:t>
      </w:r>
      <w:r w:rsidR="00977128">
        <w:rPr>
          <w:rStyle w:val="AERbody"/>
        </w:rPr>
        <w:t xml:space="preserve">million </w:t>
      </w:r>
    </w:p>
    <w:p w:rsidR="00E9196A" w:rsidRDefault="000D5CD6">
      <w:pPr>
        <w:pStyle w:val="AERbulletlistfirststyle"/>
        <w:rPr>
          <w:rStyle w:val="AERbody"/>
        </w:rPr>
      </w:pPr>
      <w:r>
        <w:rPr>
          <w:rStyle w:val="AERbody"/>
        </w:rPr>
        <w:t xml:space="preserve">maintenance opex: </w:t>
      </w:r>
      <w:r w:rsidR="00977128">
        <w:rPr>
          <w:rStyle w:val="AERbody"/>
        </w:rPr>
        <w:t>$</w:t>
      </w:r>
      <w:r>
        <w:rPr>
          <w:rStyle w:val="AERbody"/>
        </w:rPr>
        <w:t>10.9</w:t>
      </w:r>
      <w:r w:rsidR="00977128">
        <w:rPr>
          <w:rStyle w:val="AERbody"/>
        </w:rPr>
        <w:t xml:space="preserve"> million</w:t>
      </w:r>
    </w:p>
    <w:p w:rsidR="00E9196A" w:rsidRDefault="000D5CD6">
      <w:pPr>
        <w:pStyle w:val="AERbulletlistfirststyle"/>
        <w:rPr>
          <w:rStyle w:val="AERbody"/>
        </w:rPr>
      </w:pPr>
      <w:r>
        <w:rPr>
          <w:rStyle w:val="AERbody"/>
        </w:rPr>
        <w:t>IT opex: $7</w:t>
      </w:r>
      <w:r w:rsidR="00977128">
        <w:rPr>
          <w:rStyle w:val="AERbody"/>
        </w:rPr>
        <w:t>.0 million.</w:t>
      </w:r>
    </w:p>
    <w:p w:rsidR="0028066B" w:rsidRPr="00317D20" w:rsidRDefault="0028066B" w:rsidP="00317D20">
      <w:pPr>
        <w:pStyle w:val="AERheading2"/>
        <w:rPr>
          <w:rStyle w:val="AERbody"/>
          <w:color w:val="F2750E"/>
          <w:sz w:val="28"/>
        </w:rPr>
      </w:pPr>
      <w:bookmarkStart w:id="7" w:name="_Toc332382082"/>
      <w:r w:rsidRPr="00317D20">
        <w:rPr>
          <w:rStyle w:val="AERbody"/>
          <w:color w:val="F2750E"/>
          <w:sz w:val="28"/>
        </w:rPr>
        <w:t xml:space="preserve">AER </w:t>
      </w:r>
      <w:r w:rsidR="00317D20" w:rsidRPr="00317D20">
        <w:rPr>
          <w:rStyle w:val="AERbody"/>
          <w:color w:val="F2750E"/>
          <w:sz w:val="28"/>
        </w:rPr>
        <w:t>preliminary view</w:t>
      </w:r>
      <w:bookmarkEnd w:id="7"/>
    </w:p>
    <w:p w:rsidR="00EE038D" w:rsidRDefault="00C9661A" w:rsidP="00C9661A">
      <w:pPr>
        <w:pStyle w:val="AERbodytext"/>
        <w:rPr>
          <w:rStyle w:val="AERbody"/>
        </w:rPr>
      </w:pPr>
      <w:r>
        <w:rPr>
          <w:rStyle w:val="AERbody"/>
        </w:rPr>
        <w:t xml:space="preserve">The AER's preliminary view is that </w:t>
      </w:r>
      <w:r w:rsidR="00C044C2">
        <w:rPr>
          <w:rStyle w:val="AERbody"/>
        </w:rPr>
        <w:t xml:space="preserve">the commercial standard </w:t>
      </w:r>
      <w:r>
        <w:rPr>
          <w:rStyle w:val="AERbody"/>
        </w:rPr>
        <w:t>a reasonable business in SP AusNet's circumstances</w:t>
      </w:r>
      <w:r w:rsidR="00C044C2">
        <w:rPr>
          <w:rStyle w:val="AERbody"/>
        </w:rPr>
        <w:t xml:space="preserve"> would have exercised</w:t>
      </w:r>
      <w:r w:rsidR="00202F97">
        <w:rPr>
          <w:rStyle w:val="AERbody"/>
        </w:rPr>
        <w:t xml:space="preserve"> would have been to fully reconsider</w:t>
      </w:r>
      <w:r>
        <w:rPr>
          <w:rStyle w:val="AERbody"/>
        </w:rPr>
        <w:t xml:space="preserve"> its Submitted Budget</w:t>
      </w:r>
      <w:r w:rsidR="00202F97">
        <w:rPr>
          <w:rStyle w:val="AERbody"/>
        </w:rPr>
        <w:t>, and</w:t>
      </w:r>
      <w:r w:rsidR="00D77CC0">
        <w:rPr>
          <w:rStyle w:val="AERbody"/>
        </w:rPr>
        <w:t>,</w:t>
      </w:r>
      <w:r w:rsidR="00202F97">
        <w:rPr>
          <w:rStyle w:val="AERbody"/>
        </w:rPr>
        <w:t xml:space="preserve"> </w:t>
      </w:r>
      <w:r w:rsidR="00D77CC0">
        <w:rPr>
          <w:rStyle w:val="AERbody"/>
        </w:rPr>
        <w:t xml:space="preserve"> in so doing, would have decided</w:t>
      </w:r>
      <w:r w:rsidR="00EA5133">
        <w:rPr>
          <w:rStyle w:val="AERbody"/>
        </w:rPr>
        <w:t xml:space="preserve"> </w:t>
      </w:r>
      <w:r w:rsidR="00EE038D">
        <w:rPr>
          <w:rStyle w:val="AERbody"/>
        </w:rPr>
        <w:t xml:space="preserve">to </w:t>
      </w:r>
      <w:r>
        <w:rPr>
          <w:rStyle w:val="AERbody"/>
        </w:rPr>
        <w:t>switch to mesh radio.</w:t>
      </w:r>
      <w:r w:rsidR="00C24653">
        <w:rPr>
          <w:rStyle w:val="AERbody"/>
        </w:rPr>
        <w:t xml:space="preserve"> </w:t>
      </w:r>
      <w:r w:rsidR="00C95D2E">
        <w:rPr>
          <w:rStyle w:val="AERbody"/>
        </w:rPr>
        <w:t xml:space="preserve">By </w:t>
      </w:r>
      <w:r w:rsidR="00B90D67">
        <w:rPr>
          <w:rStyle w:val="AERbody"/>
        </w:rPr>
        <w:t xml:space="preserve">deciding not to switch, </w:t>
      </w:r>
      <w:r w:rsidR="00EE038D">
        <w:rPr>
          <w:rStyle w:val="AERbody"/>
        </w:rPr>
        <w:t xml:space="preserve">incurring the </w:t>
      </w:r>
      <w:r w:rsidR="00B90D67">
        <w:rPr>
          <w:rStyle w:val="AERbody"/>
        </w:rPr>
        <w:t xml:space="preserve">additional expenditure associated with </w:t>
      </w:r>
      <w:r w:rsidR="00EE038D">
        <w:rPr>
          <w:rStyle w:val="AERbody"/>
        </w:rPr>
        <w:t>WiMAX communications</w:t>
      </w:r>
      <w:r w:rsidR="008B4AFD">
        <w:rPr>
          <w:rStyle w:val="AERbody"/>
        </w:rPr>
        <w:t xml:space="preserve"> as proposed by SP AusNet involves</w:t>
      </w:r>
      <w:r w:rsidR="00B90D67">
        <w:rPr>
          <w:rStyle w:val="AERbody"/>
        </w:rPr>
        <w:t>,</w:t>
      </w:r>
      <w:r w:rsidR="00EE038D">
        <w:rPr>
          <w:rStyle w:val="AERbody"/>
        </w:rPr>
        <w:t xml:space="preserve"> </w:t>
      </w:r>
      <w:r w:rsidR="008B4AFD">
        <w:rPr>
          <w:rStyle w:val="AERbody"/>
        </w:rPr>
        <w:t>a</w:t>
      </w:r>
      <w:r w:rsidR="00EE038D">
        <w:rPr>
          <w:rStyle w:val="AERbody"/>
        </w:rPr>
        <w:t xml:space="preserve"> substantial </w:t>
      </w:r>
      <w:r w:rsidR="008B4AFD">
        <w:rPr>
          <w:rStyle w:val="AERbody"/>
        </w:rPr>
        <w:t xml:space="preserve">departure </w:t>
      </w:r>
      <w:r w:rsidR="00EE038D">
        <w:rPr>
          <w:rStyle w:val="AERbody"/>
        </w:rPr>
        <w:t>from that standard.</w:t>
      </w:r>
      <w:r w:rsidR="00EE038D">
        <w:rPr>
          <w:rStyle w:val="FootnoteReference"/>
        </w:rPr>
        <w:footnoteReference w:id="4"/>
      </w:r>
    </w:p>
    <w:p w:rsidR="00C24653" w:rsidRDefault="00C24653" w:rsidP="00C9661A">
      <w:pPr>
        <w:pStyle w:val="AERbodytext"/>
        <w:rPr>
          <w:rStyle w:val="AERbody"/>
        </w:rPr>
      </w:pPr>
      <w:r>
        <w:rPr>
          <w:rStyle w:val="AERbody"/>
        </w:rPr>
        <w:t xml:space="preserve">This differs from SP AusNet's Reconsideration Submission, which considered that the lowest cost option would </w:t>
      </w:r>
      <w:r w:rsidR="00EE038D">
        <w:rPr>
          <w:rStyle w:val="AERbody"/>
        </w:rPr>
        <w:t xml:space="preserve">have </w:t>
      </w:r>
      <w:r>
        <w:rPr>
          <w:rStyle w:val="AERbody"/>
        </w:rPr>
        <w:t>be</w:t>
      </w:r>
      <w:r w:rsidR="00EE038D">
        <w:rPr>
          <w:rStyle w:val="AERbody"/>
        </w:rPr>
        <w:t>en</w:t>
      </w:r>
      <w:r>
        <w:rPr>
          <w:rStyle w:val="AERbody"/>
        </w:rPr>
        <w:t xml:space="preserve"> to retain WiMAX as the primary communications solution.</w:t>
      </w:r>
      <w:r w:rsidR="00014C2A">
        <w:rPr>
          <w:rStyle w:val="AERbody"/>
        </w:rPr>
        <w:t xml:space="preserve"> </w:t>
      </w:r>
      <w:r w:rsidR="00202F97">
        <w:rPr>
          <w:rStyle w:val="AERbody"/>
        </w:rPr>
        <w:t>Accordingly, the outcome of the reconsideration from SP AusNet's perspective would have been to deci</w:t>
      </w:r>
      <w:r w:rsidR="00D77CC0">
        <w:rPr>
          <w:rStyle w:val="AERbody"/>
        </w:rPr>
        <w:t>de</w:t>
      </w:r>
      <w:r w:rsidR="00202F97">
        <w:rPr>
          <w:rStyle w:val="AERbody"/>
        </w:rPr>
        <w:t xml:space="preserve"> to retain WiMAX, rather than switch to mesh radio.</w:t>
      </w:r>
    </w:p>
    <w:p w:rsidR="00C24653" w:rsidRDefault="00C24653" w:rsidP="00C9661A">
      <w:pPr>
        <w:pStyle w:val="AERbodytext"/>
        <w:rPr>
          <w:rStyle w:val="AERbody"/>
        </w:rPr>
      </w:pPr>
      <w:r>
        <w:rPr>
          <w:rStyle w:val="AERbody"/>
        </w:rPr>
        <w:t>Key reasons for the difference in opinion are:</w:t>
      </w:r>
    </w:p>
    <w:p w:rsidR="007C08CF" w:rsidRDefault="007C08CF" w:rsidP="007C08CF">
      <w:pPr>
        <w:pStyle w:val="AERbulletlistfirststyle"/>
        <w:rPr>
          <w:rStyle w:val="AERbody"/>
        </w:rPr>
      </w:pPr>
      <w:r>
        <w:rPr>
          <w:rStyle w:val="AERbody"/>
        </w:rPr>
        <w:t>a reconsideration date of 28 February 2011 rather than 19 May 2011</w:t>
      </w:r>
    </w:p>
    <w:p w:rsidR="00C24653" w:rsidRDefault="00C24653" w:rsidP="00C24653">
      <w:pPr>
        <w:pStyle w:val="AERbulletlistfirststyle"/>
        <w:rPr>
          <w:rStyle w:val="AERbody"/>
        </w:rPr>
      </w:pPr>
      <w:r>
        <w:rPr>
          <w:rStyle w:val="AERbody"/>
        </w:rPr>
        <w:t xml:space="preserve">examination of the costs of WiMAX and mesh radio over a 15 year timeframe </w:t>
      </w:r>
      <w:r w:rsidR="007C08CF">
        <w:rPr>
          <w:rStyle w:val="AERbody"/>
        </w:rPr>
        <w:t xml:space="preserve">as at 28 February 2011 </w:t>
      </w:r>
      <w:r>
        <w:rPr>
          <w:rStyle w:val="AERbody"/>
        </w:rPr>
        <w:t>rather than for the 2012–15 period only</w:t>
      </w:r>
    </w:p>
    <w:p w:rsidR="00014C2A" w:rsidRDefault="00014C2A" w:rsidP="00C24653">
      <w:pPr>
        <w:pStyle w:val="AERbulletlistfirststyle"/>
        <w:rPr>
          <w:rStyle w:val="AERbody"/>
        </w:rPr>
      </w:pPr>
      <w:r>
        <w:rPr>
          <w:rStyle w:val="AERbody"/>
        </w:rPr>
        <w:t xml:space="preserve">analysing only those costs that would be affected by the </w:t>
      </w:r>
      <w:r w:rsidR="00D77CC0">
        <w:rPr>
          <w:rStyle w:val="AERbody"/>
        </w:rPr>
        <w:t xml:space="preserve">change in the </w:t>
      </w:r>
      <w:r>
        <w:rPr>
          <w:rStyle w:val="AERbody"/>
        </w:rPr>
        <w:t>communications solution rather than the entire rollout costs</w:t>
      </w:r>
    </w:p>
    <w:p w:rsidR="00C24653" w:rsidRDefault="00C24653" w:rsidP="00C24653">
      <w:pPr>
        <w:pStyle w:val="AERbulletlistfirststyle"/>
        <w:rPr>
          <w:rStyle w:val="AERbody"/>
        </w:rPr>
      </w:pPr>
      <w:r>
        <w:rPr>
          <w:rStyle w:val="AERbody"/>
        </w:rPr>
        <w:t>commencement of the switch to mesh radio on 1 March 2011 rather than 1 January 2012</w:t>
      </w:r>
    </w:p>
    <w:p w:rsidR="002E50E3" w:rsidRDefault="00C24653" w:rsidP="00C24653">
      <w:pPr>
        <w:pStyle w:val="AERbulletlistfirststyle"/>
        <w:rPr>
          <w:rStyle w:val="AERbody"/>
        </w:rPr>
      </w:pPr>
      <w:r>
        <w:rPr>
          <w:rStyle w:val="AERbody"/>
        </w:rPr>
        <w:t xml:space="preserve">the </w:t>
      </w:r>
      <w:r w:rsidR="002E50E3">
        <w:rPr>
          <w:rStyle w:val="AERbody"/>
        </w:rPr>
        <w:t>assumed coverage of mesh radio and hence the extent of reliance on a secondary 3G communications solution</w:t>
      </w:r>
    </w:p>
    <w:p w:rsidR="00C24653" w:rsidRDefault="002E50E3" w:rsidP="00C24653">
      <w:pPr>
        <w:pStyle w:val="AERbulletlistfirststyle"/>
        <w:rPr>
          <w:rStyle w:val="AERbody"/>
        </w:rPr>
      </w:pPr>
      <w:r>
        <w:rPr>
          <w:rStyle w:val="AERbody"/>
        </w:rPr>
        <w:t>costs to switch from WiMAX to mesh radio.</w:t>
      </w:r>
    </w:p>
    <w:p w:rsidR="00C9661A" w:rsidRDefault="00416722" w:rsidP="00C9661A">
      <w:pPr>
        <w:pStyle w:val="AERbodytext"/>
        <w:rPr>
          <w:rStyle w:val="AERbody"/>
        </w:rPr>
      </w:pPr>
      <w:r>
        <w:rPr>
          <w:rStyle w:val="AERbody"/>
        </w:rPr>
        <w:t>The AER has found that by analysing the costs that would have changed, depending on the communications solution over a 15 year period from 2011–25, the net present value (NPV) of WiMAX is approximately 58 per cent higher than for mesh radio, including switching costs.</w:t>
      </w:r>
      <w:r>
        <w:rPr>
          <w:rStyle w:val="FootnoteReference"/>
        </w:rPr>
        <w:footnoteReference w:id="5"/>
      </w:r>
      <w:r>
        <w:rPr>
          <w:rStyle w:val="AERbody"/>
        </w:rPr>
        <w:t xml:space="preserve"> </w:t>
      </w:r>
      <w:r w:rsidR="007C08CF">
        <w:rPr>
          <w:rStyle w:val="AERbody"/>
        </w:rPr>
        <w:t>The AER considers such switching costs would amount to $</w:t>
      </w:r>
      <w:r w:rsidR="00E45D98">
        <w:rPr>
          <w:rStyle w:val="AERbody"/>
        </w:rPr>
        <w:t>15.9</w:t>
      </w:r>
      <w:r w:rsidR="007C08CF">
        <w:rPr>
          <w:rStyle w:val="AERbody"/>
        </w:rPr>
        <w:t xml:space="preserve"> million, rather than the $</w:t>
      </w:r>
      <w:r w:rsidR="00BE417F">
        <w:rPr>
          <w:rStyle w:val="AERbody"/>
        </w:rPr>
        <w:t>107.2</w:t>
      </w:r>
      <w:r w:rsidR="007C08CF">
        <w:rPr>
          <w:rStyle w:val="AERbody"/>
        </w:rPr>
        <w:t xml:space="preserve"> million submitted by SP AusNet.</w:t>
      </w:r>
      <w:r w:rsidR="007C08CF">
        <w:rPr>
          <w:rStyle w:val="FootnoteReference"/>
        </w:rPr>
        <w:footnoteReference w:id="6"/>
      </w:r>
      <w:r w:rsidR="007C08CF">
        <w:rPr>
          <w:rStyle w:val="AERbody"/>
        </w:rPr>
        <w:t xml:space="preserve"> </w:t>
      </w:r>
      <w:r w:rsidR="00AF0E53">
        <w:rPr>
          <w:rStyle w:val="AERbody"/>
        </w:rPr>
        <w:t>Figure 1.1</w:t>
      </w:r>
      <w:r w:rsidR="00B17265">
        <w:rPr>
          <w:rStyle w:val="AERbody"/>
        </w:rPr>
        <w:t xml:space="preserve"> compares the </w:t>
      </w:r>
      <w:r w:rsidR="00422AEA">
        <w:rPr>
          <w:rStyle w:val="AERbody"/>
        </w:rPr>
        <w:t>co</w:t>
      </w:r>
      <w:r w:rsidR="00202F97">
        <w:rPr>
          <w:rStyle w:val="AERbody"/>
        </w:rPr>
        <w:t xml:space="preserve">sts </w:t>
      </w:r>
      <w:r w:rsidR="007C08CF">
        <w:rPr>
          <w:rStyle w:val="AERbody"/>
        </w:rPr>
        <w:t xml:space="preserve">of WiMAX and mesh radio </w:t>
      </w:r>
      <w:r w:rsidR="00D81701">
        <w:rPr>
          <w:rStyle w:val="AERbody"/>
        </w:rPr>
        <w:t>over</w:t>
      </w:r>
      <w:r w:rsidR="00B17265">
        <w:rPr>
          <w:rStyle w:val="AERbody"/>
        </w:rPr>
        <w:t xml:space="preserve"> 2011–15</w:t>
      </w:r>
      <w:r w:rsidR="007F2C5F">
        <w:rPr>
          <w:rStyle w:val="AERbody"/>
        </w:rPr>
        <w:t xml:space="preserve"> </w:t>
      </w:r>
      <w:r w:rsidR="007C08CF">
        <w:rPr>
          <w:rStyle w:val="AERbody"/>
        </w:rPr>
        <w:t>and identifies these switching costs</w:t>
      </w:r>
      <w:r w:rsidR="00B17265">
        <w:rPr>
          <w:rStyle w:val="AERbody"/>
        </w:rPr>
        <w:t>.</w:t>
      </w:r>
    </w:p>
    <w:p w:rsidR="00C9661A" w:rsidRDefault="00C9661A" w:rsidP="00E37A9C">
      <w:pPr>
        <w:pStyle w:val="AERfigureheading"/>
        <w:numPr>
          <w:ilvl w:val="3"/>
          <w:numId w:val="28"/>
        </w:numPr>
        <w:tabs>
          <w:tab w:val="clear" w:pos="357"/>
          <w:tab w:val="num" w:pos="1418"/>
        </w:tabs>
        <w:ind w:left="1418" w:hanging="1418"/>
        <w:rPr>
          <w:rStyle w:val="AERbody"/>
        </w:rPr>
      </w:pPr>
      <w:bookmarkStart w:id="8" w:name="_Ref331532481"/>
      <w:r>
        <w:rPr>
          <w:rStyle w:val="AERbody"/>
        </w:rPr>
        <w:t>Comparison of WiMAX and mesh radio costs for 2011–15 ($million, real 2011)</w:t>
      </w:r>
      <w:bookmarkEnd w:id="8"/>
    </w:p>
    <w:p w:rsidR="00C9661A" w:rsidRDefault="00FF22F8" w:rsidP="00C9661A">
      <w:pPr>
        <w:pStyle w:val="AERbodytext"/>
        <w:rPr>
          <w:rStyle w:val="AERbody"/>
        </w:rPr>
      </w:pPr>
      <w:r w:rsidRPr="00796207">
        <w:rPr>
          <w:rStyle w:val="AERbody"/>
        </w:rPr>
        <w:pict>
          <v:shape id="_x0000_i1025" type="#_x0000_t75" style="width:452.1pt;height:296.35pt">
            <v:imagedata r:id="rId13" o:title=""/>
          </v:shape>
        </w:pict>
      </w:r>
    </w:p>
    <w:p w:rsidR="00C9661A" w:rsidRPr="00C9661A" w:rsidRDefault="00C9661A" w:rsidP="00C9661A">
      <w:pPr>
        <w:pStyle w:val="AERtablesource"/>
        <w:rPr>
          <w:rStyle w:val="AERbody"/>
          <w:sz w:val="16"/>
        </w:rPr>
      </w:pPr>
      <w:r w:rsidRPr="00C9661A">
        <w:rPr>
          <w:rStyle w:val="AERbody"/>
          <w:sz w:val="16"/>
        </w:rPr>
        <w:t>Source:</w:t>
      </w:r>
      <w:r w:rsidRPr="00C9661A">
        <w:rPr>
          <w:rStyle w:val="AERbody"/>
          <w:sz w:val="16"/>
        </w:rPr>
        <w:tab/>
        <w:t>AER analysis.</w:t>
      </w:r>
    </w:p>
    <w:p w:rsidR="007F1361" w:rsidRDefault="00D872B8">
      <w:pPr>
        <w:pStyle w:val="AERbodytext"/>
        <w:rPr>
          <w:rStyle w:val="AERbody"/>
        </w:rPr>
      </w:pPr>
      <w:r>
        <w:rPr>
          <w:rStyle w:val="AERbody"/>
        </w:rPr>
        <w:t xml:space="preserve">The detailed reasons for the difference in the AER's estimate of switching costs compared to SP AusNet's estimate are discussed in section </w:t>
      </w:r>
      <w:r w:rsidR="00AF0E53">
        <w:rPr>
          <w:rStyle w:val="AERbody"/>
        </w:rPr>
        <w:t>1.3</w:t>
      </w:r>
      <w:r>
        <w:rPr>
          <w:rStyle w:val="AERbody"/>
        </w:rPr>
        <w:t>. However, by way of summary, the AER's estimate is lower mainly due to avoidance of delay in commencing the mesh radio rollout</w:t>
      </w:r>
      <w:r w:rsidR="00202F97">
        <w:rPr>
          <w:rStyle w:val="AERbody"/>
        </w:rPr>
        <w:t>,</w:t>
      </w:r>
      <w:r w:rsidR="005B0A8A">
        <w:rPr>
          <w:rStyle w:val="AERbody"/>
        </w:rPr>
        <w:t xml:space="preserve"> and ceasing the WiMAX rollout immediately. For example, this significantly reduces the amount of WiMAX communications cards that would need to be replaced with mesh radio communications cards and the need to incur additional manual meter related expenditure.</w:t>
      </w:r>
      <w:r w:rsidR="005B0A8A" w:rsidRPr="005B0A8A">
        <w:rPr>
          <w:rStyle w:val="FootnoteReference"/>
        </w:rPr>
        <w:footnoteReference w:id="7"/>
      </w:r>
    </w:p>
    <w:p w:rsidR="007F1361" w:rsidRDefault="005B0A8A">
      <w:pPr>
        <w:pStyle w:val="AERbodytext"/>
      </w:pPr>
      <w:r>
        <w:rPr>
          <w:rStyle w:val="AERbody"/>
        </w:rPr>
        <w:t>The AER also considers</w:t>
      </w:r>
      <w:r w:rsidR="00D872B8">
        <w:rPr>
          <w:rStyle w:val="AERbody"/>
        </w:rPr>
        <w:t xml:space="preserve"> a reasonable business in SP AusNet's circumstances </w:t>
      </w:r>
      <w:r>
        <w:rPr>
          <w:rStyle w:val="AERbody"/>
        </w:rPr>
        <w:t>could</w:t>
      </w:r>
      <w:r w:rsidR="00D872B8">
        <w:rPr>
          <w:rStyle w:val="AERbody"/>
        </w:rPr>
        <w:t xml:space="preserve"> </w:t>
      </w:r>
      <w:r>
        <w:rPr>
          <w:rStyle w:val="AERbody"/>
        </w:rPr>
        <w:t>use</w:t>
      </w:r>
      <w:r w:rsidR="00D872B8">
        <w:rPr>
          <w:rStyle w:val="AERbody"/>
        </w:rPr>
        <w:t xml:space="preserve"> its project and technical resources that</w:t>
      </w:r>
      <w:r w:rsidR="00202F97">
        <w:rPr>
          <w:rStyle w:val="AERbody"/>
        </w:rPr>
        <w:t xml:space="preserve"> it</w:t>
      </w:r>
      <w:r w:rsidR="00D872B8">
        <w:rPr>
          <w:rStyle w:val="AERbody"/>
        </w:rPr>
        <w:t xml:space="preserve"> would otherwise have used for </w:t>
      </w:r>
      <w:r>
        <w:rPr>
          <w:rStyle w:val="AERbody"/>
        </w:rPr>
        <w:t>its WiMAX</w:t>
      </w:r>
      <w:r w:rsidR="00D872B8">
        <w:rPr>
          <w:rStyle w:val="AERbody"/>
        </w:rPr>
        <w:t xml:space="preserve"> solution </w:t>
      </w:r>
      <w:r>
        <w:rPr>
          <w:rStyle w:val="AERbody"/>
        </w:rPr>
        <w:t>to manage</w:t>
      </w:r>
      <w:r w:rsidR="00D872B8">
        <w:rPr>
          <w:rStyle w:val="AERbody"/>
        </w:rPr>
        <w:t xml:space="preserve"> the mar</w:t>
      </w:r>
      <w:r>
        <w:rPr>
          <w:rStyle w:val="AERbody"/>
        </w:rPr>
        <w:t xml:space="preserve">ket delivery of </w:t>
      </w:r>
      <w:r w:rsidR="00202F97">
        <w:rPr>
          <w:rStyle w:val="AERbody"/>
        </w:rPr>
        <w:t>its</w:t>
      </w:r>
      <w:r>
        <w:rPr>
          <w:rStyle w:val="AERbody"/>
        </w:rPr>
        <w:t xml:space="preserve"> mesh</w:t>
      </w:r>
      <w:r w:rsidR="00D872B8">
        <w:rPr>
          <w:rStyle w:val="AERbody"/>
        </w:rPr>
        <w:t xml:space="preserve"> solution without a significant increase in cost</w:t>
      </w:r>
      <w:r w:rsidR="00D872B8" w:rsidRPr="00D872B8">
        <w:rPr>
          <w:rStyle w:val="AERbody"/>
        </w:rPr>
        <w:t>.</w:t>
      </w:r>
      <w:r>
        <w:rPr>
          <w:rStyle w:val="AERbody"/>
        </w:rPr>
        <w:t xml:space="preserve"> For example, this </w:t>
      </w:r>
      <w:r w:rsidR="00202F97">
        <w:rPr>
          <w:rStyle w:val="AERbody"/>
        </w:rPr>
        <w:t>would eliminate</w:t>
      </w:r>
      <w:r>
        <w:rPr>
          <w:rStyle w:val="AERbody"/>
        </w:rPr>
        <w:t xml:space="preserve"> the need for additional IT integration and project management costs.</w:t>
      </w:r>
      <w:r w:rsidRPr="005B0A8A">
        <w:rPr>
          <w:rStyle w:val="FootnoteReference"/>
        </w:rPr>
        <w:footnoteReference w:id="8"/>
      </w:r>
      <w:r w:rsidRPr="005B0A8A">
        <w:rPr>
          <w:rStyle w:val="AERbody"/>
        </w:rPr>
        <w:t xml:space="preserve"> </w:t>
      </w:r>
      <w:r>
        <w:rPr>
          <w:rStyle w:val="AERbody"/>
        </w:rPr>
        <w:t xml:space="preserve"> </w:t>
      </w:r>
      <w:r w:rsidR="00AF0E53">
        <w:rPr>
          <w:rStyle w:val="AERbody"/>
        </w:rPr>
        <w:t>Table 1.1</w:t>
      </w:r>
      <w:r w:rsidR="00D81701">
        <w:rPr>
          <w:rStyle w:val="AERbody"/>
        </w:rPr>
        <w:t xml:space="preserve"> compares </w:t>
      </w:r>
      <w:r w:rsidR="007C08CF">
        <w:rPr>
          <w:rStyle w:val="AERbody"/>
        </w:rPr>
        <w:t xml:space="preserve">the estimates of </w:t>
      </w:r>
      <w:r w:rsidR="00D81701">
        <w:rPr>
          <w:rStyle w:val="AERbody"/>
        </w:rPr>
        <w:t xml:space="preserve">SP </w:t>
      </w:r>
      <w:r w:rsidR="007C08CF">
        <w:rPr>
          <w:rStyle w:val="AERbody"/>
        </w:rPr>
        <w:t xml:space="preserve">AusNet and </w:t>
      </w:r>
      <w:r w:rsidR="00D81701">
        <w:rPr>
          <w:rStyle w:val="AERbody"/>
        </w:rPr>
        <w:t>the AER of the switching costs a reasonable business in the circumstances would incur if it abandoned WiMAX in favour of mesh radio.</w:t>
      </w:r>
      <w:bookmarkStart w:id="9" w:name="_Ref331563378"/>
      <w:bookmarkStart w:id="10" w:name="_Ref331735542"/>
    </w:p>
    <w:p w:rsidR="00625D3F" w:rsidRDefault="00D81701">
      <w:pPr>
        <w:pStyle w:val="AERtabletitle"/>
      </w:pPr>
      <w:bookmarkStart w:id="11" w:name="_Ref332291925"/>
      <w:r>
        <w:t>Comparison of mesh switching costs ($million, real 2011)</w:t>
      </w:r>
      <w:bookmarkEnd w:id="9"/>
      <w:bookmarkEnd w:id="10"/>
      <w:bookmarkEnd w:id="11"/>
    </w:p>
    <w:tbl>
      <w:tblPr>
        <w:tblStyle w:val="AERtable-numbers"/>
        <w:tblW w:w="0" w:type="auto"/>
        <w:tblLook w:val="0020"/>
      </w:tblPr>
      <w:tblGrid>
        <w:gridCol w:w="3681"/>
        <w:gridCol w:w="1821"/>
        <w:gridCol w:w="1870"/>
        <w:gridCol w:w="1870"/>
      </w:tblGrid>
      <w:tr w:rsidR="00014C2A" w:rsidTr="00014C2A">
        <w:trPr>
          <w:cnfStyle w:val="100000000000"/>
        </w:trPr>
        <w:tc>
          <w:tcPr>
            <w:tcW w:w="3681" w:type="dxa"/>
          </w:tcPr>
          <w:p w:rsidR="00014C2A" w:rsidRPr="00D81701" w:rsidRDefault="00014C2A" w:rsidP="00D81701">
            <w:pPr>
              <w:pStyle w:val="AERtabletext"/>
              <w:rPr>
                <w:rStyle w:val="AERbody"/>
              </w:rPr>
            </w:pPr>
            <w:r w:rsidRPr="00D81701">
              <w:rPr>
                <w:rStyle w:val="AERbody"/>
              </w:rPr>
              <w:t xml:space="preserve"> </w:t>
            </w:r>
          </w:p>
        </w:tc>
        <w:tc>
          <w:tcPr>
            <w:tcW w:w="1821" w:type="dxa"/>
          </w:tcPr>
          <w:p w:rsidR="00014C2A" w:rsidRPr="00D81701" w:rsidRDefault="00014C2A" w:rsidP="00D81701">
            <w:pPr>
              <w:pStyle w:val="AERtabletextheadingright"/>
              <w:rPr>
                <w:rStyle w:val="AERbody"/>
                <w:sz w:val="16"/>
              </w:rPr>
            </w:pPr>
            <w:r w:rsidRPr="00D81701">
              <w:rPr>
                <w:rStyle w:val="AERbody"/>
                <w:sz w:val="16"/>
              </w:rPr>
              <w:t>SP AusNet (2012-15)</w:t>
            </w:r>
          </w:p>
        </w:tc>
        <w:tc>
          <w:tcPr>
            <w:tcW w:w="1870" w:type="dxa"/>
          </w:tcPr>
          <w:p w:rsidR="00014C2A" w:rsidRPr="00D81701" w:rsidRDefault="00014C2A" w:rsidP="00014C2A">
            <w:pPr>
              <w:pStyle w:val="AERtabletextheadingright"/>
              <w:rPr>
                <w:rStyle w:val="AERbody"/>
                <w:sz w:val="16"/>
              </w:rPr>
            </w:pPr>
            <w:r w:rsidRPr="00D81701">
              <w:rPr>
                <w:rStyle w:val="AERbody"/>
                <w:sz w:val="16"/>
              </w:rPr>
              <w:t>AER (2011)</w:t>
            </w:r>
          </w:p>
        </w:tc>
        <w:tc>
          <w:tcPr>
            <w:tcW w:w="1870" w:type="dxa"/>
          </w:tcPr>
          <w:p w:rsidR="00014C2A" w:rsidRPr="00014C2A" w:rsidRDefault="00014C2A" w:rsidP="00014C2A">
            <w:pPr>
              <w:pStyle w:val="AERtabletextheadingright"/>
              <w:rPr>
                <w:rStyle w:val="AERbody"/>
                <w:sz w:val="16"/>
              </w:rPr>
            </w:pPr>
            <w:r w:rsidRPr="00014C2A">
              <w:rPr>
                <w:rStyle w:val="AERbody"/>
                <w:sz w:val="16"/>
              </w:rPr>
              <w:t>AER (2012-15)</w:t>
            </w:r>
          </w:p>
        </w:tc>
      </w:tr>
      <w:tr w:rsidR="00014C2A" w:rsidTr="00014C2A">
        <w:tc>
          <w:tcPr>
            <w:tcW w:w="3681" w:type="dxa"/>
          </w:tcPr>
          <w:p w:rsidR="00014C2A" w:rsidRPr="00D81701" w:rsidRDefault="00014C2A" w:rsidP="00D81701">
            <w:pPr>
              <w:pStyle w:val="AERtabletext"/>
              <w:rPr>
                <w:rStyle w:val="AERtextbold"/>
              </w:rPr>
            </w:pPr>
            <w:r w:rsidRPr="0041552A">
              <w:rPr>
                <w:rStyle w:val="AERtextbold"/>
              </w:rPr>
              <w:t>Capex</w:t>
            </w:r>
          </w:p>
        </w:tc>
        <w:tc>
          <w:tcPr>
            <w:tcW w:w="1821" w:type="dxa"/>
          </w:tcPr>
          <w:p w:rsidR="00014C2A" w:rsidRPr="00D81701" w:rsidRDefault="00014C2A" w:rsidP="00D81701">
            <w:pPr>
              <w:pStyle w:val="AERtabletext-numbers"/>
              <w:rPr>
                <w:rStyle w:val="AERbody"/>
                <w:sz w:val="16"/>
              </w:rPr>
            </w:pPr>
          </w:p>
        </w:tc>
        <w:tc>
          <w:tcPr>
            <w:tcW w:w="1870" w:type="dxa"/>
          </w:tcPr>
          <w:p w:rsidR="00014C2A" w:rsidRPr="00D81701" w:rsidRDefault="00014C2A" w:rsidP="00D81701">
            <w:pPr>
              <w:pStyle w:val="AERtabletext-numbers"/>
              <w:rPr>
                <w:rStyle w:val="AERbody"/>
                <w:sz w:val="16"/>
              </w:rPr>
            </w:pPr>
          </w:p>
        </w:tc>
        <w:tc>
          <w:tcPr>
            <w:tcW w:w="1870" w:type="dxa"/>
          </w:tcPr>
          <w:p w:rsidR="00014C2A" w:rsidRPr="00014C2A" w:rsidRDefault="00014C2A" w:rsidP="00014C2A">
            <w:pPr>
              <w:pStyle w:val="AERtabletext-numbers"/>
              <w:rPr>
                <w:rStyle w:val="AERbody"/>
                <w:sz w:val="16"/>
              </w:rPr>
            </w:pPr>
          </w:p>
        </w:tc>
      </w:tr>
      <w:tr w:rsidR="00014C2A" w:rsidTr="00014C2A">
        <w:trPr>
          <w:cnfStyle w:val="000000010000"/>
        </w:trPr>
        <w:tc>
          <w:tcPr>
            <w:tcW w:w="3681" w:type="dxa"/>
          </w:tcPr>
          <w:p w:rsidR="00014C2A" w:rsidRPr="00D81701" w:rsidRDefault="00014C2A" w:rsidP="00D81701">
            <w:pPr>
              <w:pStyle w:val="AERtabletext"/>
              <w:rPr>
                <w:rStyle w:val="AERbody"/>
                <w:sz w:val="16"/>
              </w:rPr>
            </w:pPr>
            <w:r w:rsidRPr="00D81701">
              <w:rPr>
                <w:rStyle w:val="AERbody"/>
                <w:sz w:val="16"/>
              </w:rPr>
              <w:t>Meters</w:t>
            </w:r>
          </w:p>
        </w:tc>
        <w:tc>
          <w:tcPr>
            <w:tcW w:w="1821" w:type="dxa"/>
          </w:tcPr>
          <w:p w:rsidR="00014C2A" w:rsidRPr="00D81701" w:rsidRDefault="00014C2A" w:rsidP="00D81701">
            <w:pPr>
              <w:pStyle w:val="AERtabletext-numbers"/>
              <w:rPr>
                <w:rStyle w:val="AERbody"/>
                <w:sz w:val="16"/>
              </w:rPr>
            </w:pPr>
            <w:r w:rsidRPr="00D81701">
              <w:rPr>
                <w:rStyle w:val="AERbody"/>
                <w:sz w:val="16"/>
              </w:rPr>
              <w:t>44.3</w:t>
            </w:r>
          </w:p>
        </w:tc>
        <w:tc>
          <w:tcPr>
            <w:tcW w:w="1870" w:type="dxa"/>
          </w:tcPr>
          <w:p w:rsidR="00014C2A" w:rsidRPr="00EA63C9" w:rsidRDefault="00EA63C9" w:rsidP="00EA63C9">
            <w:pPr>
              <w:pStyle w:val="AERtabletext-numbers"/>
              <w:rPr>
                <w:rStyle w:val="AERbody"/>
                <w:sz w:val="16"/>
              </w:rPr>
            </w:pPr>
            <w:r w:rsidRPr="00EA63C9">
              <w:rPr>
                <w:rStyle w:val="AERbody"/>
                <w:sz w:val="16"/>
              </w:rPr>
              <w:t>–</w:t>
            </w:r>
          </w:p>
        </w:tc>
        <w:tc>
          <w:tcPr>
            <w:tcW w:w="1870" w:type="dxa"/>
          </w:tcPr>
          <w:p w:rsidR="00014C2A" w:rsidRPr="00E45D98" w:rsidRDefault="00E45D98" w:rsidP="00E45D98">
            <w:pPr>
              <w:pStyle w:val="AERtabletext-numbers"/>
              <w:rPr>
                <w:rStyle w:val="AERbody"/>
                <w:sz w:val="16"/>
              </w:rPr>
            </w:pPr>
            <w:r w:rsidRPr="00E45D98">
              <w:rPr>
                <w:rStyle w:val="AERbody"/>
                <w:sz w:val="16"/>
              </w:rPr>
              <w:t>11.7</w:t>
            </w:r>
          </w:p>
        </w:tc>
      </w:tr>
      <w:tr w:rsidR="00014C2A" w:rsidTr="00014C2A">
        <w:tc>
          <w:tcPr>
            <w:tcW w:w="3681" w:type="dxa"/>
          </w:tcPr>
          <w:p w:rsidR="00014C2A" w:rsidRPr="00D81701" w:rsidRDefault="00014C2A" w:rsidP="00D81701">
            <w:pPr>
              <w:pStyle w:val="AERtabletext"/>
              <w:rPr>
                <w:rStyle w:val="AERbody"/>
                <w:sz w:val="16"/>
              </w:rPr>
            </w:pPr>
            <w:r w:rsidRPr="00D81701">
              <w:rPr>
                <w:rStyle w:val="AERbody"/>
                <w:sz w:val="16"/>
              </w:rPr>
              <w:t>Communications</w:t>
            </w:r>
          </w:p>
        </w:tc>
        <w:tc>
          <w:tcPr>
            <w:tcW w:w="1821" w:type="dxa"/>
          </w:tcPr>
          <w:p w:rsidR="00014C2A" w:rsidRPr="00D81701" w:rsidRDefault="00014C2A" w:rsidP="00D81701">
            <w:pPr>
              <w:pStyle w:val="AERtabletext-numbers"/>
              <w:rPr>
                <w:rStyle w:val="AERbody"/>
                <w:sz w:val="16"/>
              </w:rPr>
            </w:pPr>
            <w:r w:rsidRPr="00D81701">
              <w:rPr>
                <w:rStyle w:val="AERbody"/>
                <w:sz w:val="16"/>
              </w:rPr>
              <w:t>9.0</w:t>
            </w:r>
          </w:p>
        </w:tc>
        <w:tc>
          <w:tcPr>
            <w:tcW w:w="1870" w:type="dxa"/>
          </w:tcPr>
          <w:p w:rsidR="00014C2A" w:rsidRPr="00EA63C9" w:rsidRDefault="00014C2A" w:rsidP="00EA63C9">
            <w:pPr>
              <w:pStyle w:val="AERtabletext-numbers"/>
              <w:rPr>
                <w:rStyle w:val="AERbody"/>
                <w:sz w:val="16"/>
              </w:rPr>
            </w:pPr>
            <w:r w:rsidRPr="00EA63C9">
              <w:rPr>
                <w:rStyle w:val="AERbody"/>
                <w:sz w:val="16"/>
              </w:rPr>
              <w:t>4.2</w:t>
            </w:r>
          </w:p>
        </w:tc>
        <w:tc>
          <w:tcPr>
            <w:tcW w:w="1870" w:type="dxa"/>
          </w:tcPr>
          <w:p w:rsidR="00014C2A" w:rsidRPr="00E45D98" w:rsidRDefault="00EA63C9" w:rsidP="00E45D98">
            <w:pPr>
              <w:pStyle w:val="AERtabletext-numbers"/>
              <w:rPr>
                <w:rStyle w:val="AERbody"/>
                <w:sz w:val="16"/>
              </w:rPr>
            </w:pPr>
            <w:r w:rsidRPr="00E45D98">
              <w:rPr>
                <w:rStyle w:val="AERbody"/>
                <w:sz w:val="16"/>
              </w:rPr>
              <w:t>–</w:t>
            </w:r>
          </w:p>
        </w:tc>
      </w:tr>
      <w:tr w:rsidR="00014C2A" w:rsidTr="00014C2A">
        <w:trPr>
          <w:cnfStyle w:val="000000010000"/>
        </w:trPr>
        <w:tc>
          <w:tcPr>
            <w:tcW w:w="3681" w:type="dxa"/>
          </w:tcPr>
          <w:p w:rsidR="00014C2A" w:rsidRPr="00D81701" w:rsidRDefault="00014C2A" w:rsidP="00D81701">
            <w:pPr>
              <w:pStyle w:val="AERtabletext"/>
              <w:rPr>
                <w:rStyle w:val="AERbody"/>
                <w:sz w:val="16"/>
              </w:rPr>
            </w:pPr>
            <w:r w:rsidRPr="00D81701">
              <w:rPr>
                <w:rStyle w:val="AERbody"/>
                <w:sz w:val="16"/>
              </w:rPr>
              <w:t>Information technology</w:t>
            </w:r>
          </w:p>
        </w:tc>
        <w:tc>
          <w:tcPr>
            <w:tcW w:w="1821" w:type="dxa"/>
          </w:tcPr>
          <w:p w:rsidR="00014C2A" w:rsidRPr="00D81701" w:rsidRDefault="00014C2A" w:rsidP="00D81701">
            <w:pPr>
              <w:pStyle w:val="AERtabletext-numbers"/>
              <w:rPr>
                <w:rStyle w:val="AERbody"/>
                <w:sz w:val="16"/>
              </w:rPr>
            </w:pPr>
            <w:r w:rsidRPr="00D81701">
              <w:rPr>
                <w:rStyle w:val="AERbody"/>
                <w:sz w:val="16"/>
              </w:rPr>
              <w:t>16.2</w:t>
            </w:r>
          </w:p>
        </w:tc>
        <w:tc>
          <w:tcPr>
            <w:tcW w:w="1870" w:type="dxa"/>
          </w:tcPr>
          <w:p w:rsidR="00014C2A" w:rsidRPr="00EA63C9" w:rsidRDefault="00014C2A" w:rsidP="00EA63C9">
            <w:pPr>
              <w:pStyle w:val="AERtabletext-numbers"/>
              <w:rPr>
                <w:rStyle w:val="AERbody"/>
                <w:sz w:val="16"/>
              </w:rPr>
            </w:pPr>
            <w:r w:rsidRPr="00EA63C9">
              <w:rPr>
                <w:rStyle w:val="AERbody"/>
                <w:sz w:val="16"/>
              </w:rPr>
              <w:t>–</w:t>
            </w:r>
          </w:p>
        </w:tc>
        <w:tc>
          <w:tcPr>
            <w:tcW w:w="1870" w:type="dxa"/>
          </w:tcPr>
          <w:p w:rsidR="00014C2A" w:rsidRPr="00E45D98" w:rsidRDefault="00EA63C9" w:rsidP="00E45D98">
            <w:pPr>
              <w:pStyle w:val="AERtabletext-numbers"/>
              <w:rPr>
                <w:rStyle w:val="AERbody"/>
                <w:sz w:val="16"/>
              </w:rPr>
            </w:pPr>
            <w:r w:rsidRPr="00E45D98">
              <w:rPr>
                <w:rStyle w:val="AERbody"/>
                <w:sz w:val="16"/>
              </w:rPr>
              <w:t>–</w:t>
            </w:r>
          </w:p>
        </w:tc>
      </w:tr>
      <w:tr w:rsidR="00014C2A" w:rsidTr="00014C2A">
        <w:tc>
          <w:tcPr>
            <w:tcW w:w="3681" w:type="dxa"/>
          </w:tcPr>
          <w:p w:rsidR="00014C2A" w:rsidRPr="00D81701" w:rsidRDefault="00014C2A" w:rsidP="00D81701">
            <w:pPr>
              <w:pStyle w:val="AERtabletext"/>
              <w:rPr>
                <w:rStyle w:val="AERtextbold"/>
              </w:rPr>
            </w:pPr>
            <w:r w:rsidRPr="0041552A">
              <w:rPr>
                <w:rStyle w:val="AERtextbold"/>
              </w:rPr>
              <w:t>Total capex</w:t>
            </w:r>
          </w:p>
        </w:tc>
        <w:tc>
          <w:tcPr>
            <w:tcW w:w="1821" w:type="dxa"/>
          </w:tcPr>
          <w:p w:rsidR="00014C2A" w:rsidRPr="00D81701" w:rsidRDefault="00014C2A" w:rsidP="00D81701">
            <w:pPr>
              <w:pStyle w:val="AERtabletext-numbers"/>
              <w:rPr>
                <w:rStyle w:val="AERtextbold"/>
              </w:rPr>
            </w:pPr>
            <w:r w:rsidRPr="00D81701">
              <w:rPr>
                <w:rStyle w:val="AERtextbold"/>
              </w:rPr>
              <w:t>69.5</w:t>
            </w:r>
          </w:p>
        </w:tc>
        <w:tc>
          <w:tcPr>
            <w:tcW w:w="1870" w:type="dxa"/>
          </w:tcPr>
          <w:p w:rsidR="00014C2A" w:rsidRPr="00EA63C9" w:rsidRDefault="00014C2A" w:rsidP="00EA63C9">
            <w:pPr>
              <w:pStyle w:val="AERtabletext-numbers"/>
              <w:rPr>
                <w:rStyle w:val="AERtextbold"/>
                <w:b w:val="0"/>
              </w:rPr>
            </w:pPr>
            <w:r w:rsidRPr="00EA63C9">
              <w:rPr>
                <w:rStyle w:val="AERtextbold"/>
                <w:b w:val="0"/>
              </w:rPr>
              <w:t>4.2</w:t>
            </w:r>
          </w:p>
        </w:tc>
        <w:tc>
          <w:tcPr>
            <w:tcW w:w="1870" w:type="dxa"/>
          </w:tcPr>
          <w:p w:rsidR="00014C2A" w:rsidRPr="00EA63C9" w:rsidRDefault="00E45D98" w:rsidP="00EA63C9">
            <w:pPr>
              <w:pStyle w:val="AERtabletext-numbers"/>
              <w:rPr>
                <w:rStyle w:val="AERtextbold"/>
                <w:b w:val="0"/>
              </w:rPr>
            </w:pPr>
            <w:r>
              <w:rPr>
                <w:rStyle w:val="AERtextbold"/>
              </w:rPr>
              <w:t>11.7</w:t>
            </w:r>
          </w:p>
        </w:tc>
      </w:tr>
      <w:tr w:rsidR="00014C2A" w:rsidTr="00014C2A">
        <w:trPr>
          <w:cnfStyle w:val="000000010000"/>
        </w:trPr>
        <w:tc>
          <w:tcPr>
            <w:tcW w:w="3681" w:type="dxa"/>
          </w:tcPr>
          <w:p w:rsidR="00014C2A" w:rsidRPr="00D81701" w:rsidRDefault="00014C2A" w:rsidP="00D81701">
            <w:pPr>
              <w:pStyle w:val="AERtabletext"/>
              <w:rPr>
                <w:rStyle w:val="AERtextbold"/>
              </w:rPr>
            </w:pPr>
            <w:r w:rsidRPr="0041552A">
              <w:rPr>
                <w:rStyle w:val="AERtextbold"/>
              </w:rPr>
              <w:t>Opex</w:t>
            </w:r>
          </w:p>
        </w:tc>
        <w:tc>
          <w:tcPr>
            <w:tcW w:w="1821" w:type="dxa"/>
          </w:tcPr>
          <w:p w:rsidR="00014C2A" w:rsidRPr="00D81701" w:rsidRDefault="00014C2A" w:rsidP="00D81701">
            <w:pPr>
              <w:pStyle w:val="AERtabletext-numbers"/>
              <w:rPr>
                <w:rStyle w:val="AERtextbold"/>
                <w:b w:val="0"/>
              </w:rPr>
            </w:pPr>
          </w:p>
        </w:tc>
        <w:tc>
          <w:tcPr>
            <w:tcW w:w="1870" w:type="dxa"/>
          </w:tcPr>
          <w:p w:rsidR="00014C2A" w:rsidRPr="00EA63C9" w:rsidRDefault="00014C2A" w:rsidP="00EA63C9">
            <w:pPr>
              <w:pStyle w:val="AERtabletext-numbers"/>
              <w:rPr>
                <w:rStyle w:val="AERtextbold"/>
                <w:b w:val="0"/>
              </w:rPr>
            </w:pPr>
          </w:p>
        </w:tc>
        <w:tc>
          <w:tcPr>
            <w:tcW w:w="1870" w:type="dxa"/>
          </w:tcPr>
          <w:p w:rsidR="00014C2A" w:rsidRPr="00EA63C9" w:rsidRDefault="00014C2A" w:rsidP="00EA63C9">
            <w:pPr>
              <w:pStyle w:val="AERtabletext-numbers"/>
              <w:rPr>
                <w:rStyle w:val="AERtextbold"/>
                <w:b w:val="0"/>
              </w:rPr>
            </w:pPr>
          </w:p>
        </w:tc>
      </w:tr>
      <w:tr w:rsidR="00014C2A" w:rsidTr="00014C2A">
        <w:tc>
          <w:tcPr>
            <w:tcW w:w="3681" w:type="dxa"/>
          </w:tcPr>
          <w:p w:rsidR="00014C2A" w:rsidRPr="00D81701" w:rsidRDefault="00014C2A" w:rsidP="00D81701">
            <w:pPr>
              <w:pStyle w:val="AERtabletext"/>
              <w:rPr>
                <w:rStyle w:val="AERbody"/>
                <w:sz w:val="16"/>
              </w:rPr>
            </w:pPr>
            <w:r w:rsidRPr="00D81701">
              <w:rPr>
                <w:rStyle w:val="AERbody"/>
                <w:sz w:val="16"/>
              </w:rPr>
              <w:t>Meter reading, meter data management, overheads</w:t>
            </w:r>
          </w:p>
        </w:tc>
        <w:tc>
          <w:tcPr>
            <w:tcW w:w="1821" w:type="dxa"/>
          </w:tcPr>
          <w:p w:rsidR="00014C2A" w:rsidRPr="00D81701" w:rsidRDefault="00014C2A" w:rsidP="00D81701">
            <w:pPr>
              <w:pStyle w:val="AERtabletext-numbers"/>
              <w:rPr>
                <w:rStyle w:val="AERbody"/>
                <w:sz w:val="16"/>
              </w:rPr>
            </w:pPr>
            <w:r w:rsidRPr="00D81701">
              <w:rPr>
                <w:rStyle w:val="AERbody"/>
                <w:sz w:val="16"/>
              </w:rPr>
              <w:t>13.5</w:t>
            </w:r>
          </w:p>
        </w:tc>
        <w:tc>
          <w:tcPr>
            <w:tcW w:w="1870" w:type="dxa"/>
          </w:tcPr>
          <w:p w:rsidR="00014C2A" w:rsidRPr="00EA63C9" w:rsidRDefault="00014C2A" w:rsidP="00EA63C9">
            <w:pPr>
              <w:pStyle w:val="AERtabletext-numbers"/>
              <w:rPr>
                <w:rStyle w:val="AERbody"/>
                <w:sz w:val="16"/>
              </w:rPr>
            </w:pPr>
            <w:r w:rsidRPr="00EA63C9">
              <w:rPr>
                <w:rStyle w:val="AERbody"/>
                <w:sz w:val="16"/>
              </w:rPr>
              <w:t>–</w:t>
            </w:r>
          </w:p>
        </w:tc>
        <w:tc>
          <w:tcPr>
            <w:tcW w:w="1870" w:type="dxa"/>
          </w:tcPr>
          <w:p w:rsidR="00014C2A" w:rsidRPr="00EA63C9" w:rsidRDefault="00EA63C9" w:rsidP="00EA63C9">
            <w:pPr>
              <w:pStyle w:val="AERtabletext-numbers"/>
              <w:rPr>
                <w:rStyle w:val="AERbody"/>
                <w:sz w:val="16"/>
              </w:rPr>
            </w:pPr>
            <w:r w:rsidRPr="00EA63C9">
              <w:rPr>
                <w:rStyle w:val="AERbody"/>
                <w:sz w:val="16"/>
              </w:rPr>
              <w:t>–</w:t>
            </w:r>
          </w:p>
        </w:tc>
      </w:tr>
      <w:tr w:rsidR="00014C2A" w:rsidTr="00014C2A">
        <w:trPr>
          <w:cnfStyle w:val="000000010000"/>
        </w:trPr>
        <w:tc>
          <w:tcPr>
            <w:tcW w:w="3681" w:type="dxa"/>
          </w:tcPr>
          <w:p w:rsidR="00014C2A" w:rsidRPr="00D81701" w:rsidRDefault="00014C2A" w:rsidP="00D81701">
            <w:pPr>
              <w:pStyle w:val="AERtabletext"/>
              <w:rPr>
                <w:rStyle w:val="AERbody"/>
                <w:sz w:val="16"/>
              </w:rPr>
            </w:pPr>
            <w:r w:rsidRPr="00D81701">
              <w:rPr>
                <w:rStyle w:val="AERbody"/>
                <w:sz w:val="16"/>
              </w:rPr>
              <w:t>Project management office</w:t>
            </w:r>
          </w:p>
        </w:tc>
        <w:tc>
          <w:tcPr>
            <w:tcW w:w="1821" w:type="dxa"/>
          </w:tcPr>
          <w:p w:rsidR="00014C2A" w:rsidRPr="00D81701" w:rsidRDefault="00014C2A" w:rsidP="00D81701">
            <w:pPr>
              <w:pStyle w:val="AERtabletext-numbers"/>
              <w:rPr>
                <w:rStyle w:val="AERbody"/>
                <w:sz w:val="16"/>
              </w:rPr>
            </w:pPr>
            <w:r w:rsidRPr="00D81701">
              <w:rPr>
                <w:rStyle w:val="AERbody"/>
                <w:sz w:val="16"/>
              </w:rPr>
              <w:t>10.2</w:t>
            </w:r>
          </w:p>
        </w:tc>
        <w:tc>
          <w:tcPr>
            <w:tcW w:w="1870" w:type="dxa"/>
          </w:tcPr>
          <w:p w:rsidR="00014C2A" w:rsidRPr="00EA63C9" w:rsidRDefault="00014C2A" w:rsidP="00EA63C9">
            <w:pPr>
              <w:pStyle w:val="AERtabletext-numbers"/>
              <w:rPr>
                <w:rStyle w:val="AERbody"/>
                <w:sz w:val="16"/>
              </w:rPr>
            </w:pPr>
            <w:r w:rsidRPr="00EA63C9">
              <w:rPr>
                <w:rStyle w:val="AERbody"/>
                <w:sz w:val="16"/>
              </w:rPr>
              <w:t>–</w:t>
            </w:r>
          </w:p>
        </w:tc>
        <w:tc>
          <w:tcPr>
            <w:tcW w:w="1870" w:type="dxa"/>
          </w:tcPr>
          <w:p w:rsidR="00014C2A" w:rsidRPr="00EA63C9" w:rsidRDefault="00EA63C9" w:rsidP="00EA63C9">
            <w:pPr>
              <w:pStyle w:val="AERtabletext-numbers"/>
              <w:rPr>
                <w:rStyle w:val="AERbody"/>
                <w:sz w:val="16"/>
              </w:rPr>
            </w:pPr>
            <w:r w:rsidRPr="00EA63C9">
              <w:rPr>
                <w:rStyle w:val="AERbody"/>
                <w:sz w:val="16"/>
              </w:rPr>
              <w:t>–</w:t>
            </w:r>
          </w:p>
        </w:tc>
      </w:tr>
      <w:tr w:rsidR="00014C2A" w:rsidTr="00014C2A">
        <w:tc>
          <w:tcPr>
            <w:tcW w:w="3681" w:type="dxa"/>
          </w:tcPr>
          <w:p w:rsidR="00014C2A" w:rsidRPr="00D81701" w:rsidRDefault="00014C2A" w:rsidP="00D81701">
            <w:pPr>
              <w:pStyle w:val="AERtabletext"/>
              <w:rPr>
                <w:rStyle w:val="AERbody"/>
                <w:sz w:val="16"/>
              </w:rPr>
            </w:pPr>
            <w:r w:rsidRPr="00D81701">
              <w:rPr>
                <w:rStyle w:val="AERbody"/>
                <w:sz w:val="16"/>
              </w:rPr>
              <w:t>Industry PMO/Audit/Regulatory Submissions</w:t>
            </w:r>
          </w:p>
        </w:tc>
        <w:tc>
          <w:tcPr>
            <w:tcW w:w="1821" w:type="dxa"/>
          </w:tcPr>
          <w:p w:rsidR="00014C2A" w:rsidRPr="00D81701" w:rsidRDefault="00014C2A" w:rsidP="00D81701">
            <w:pPr>
              <w:pStyle w:val="AERtabletext-numbers"/>
              <w:rPr>
                <w:rStyle w:val="AERbody"/>
                <w:sz w:val="16"/>
              </w:rPr>
            </w:pPr>
            <w:r w:rsidRPr="00D81701">
              <w:rPr>
                <w:rStyle w:val="AERbody"/>
                <w:sz w:val="16"/>
              </w:rPr>
              <w:t>1.9</w:t>
            </w:r>
          </w:p>
        </w:tc>
        <w:tc>
          <w:tcPr>
            <w:tcW w:w="1870" w:type="dxa"/>
          </w:tcPr>
          <w:p w:rsidR="00014C2A" w:rsidRPr="00EA63C9" w:rsidRDefault="00014C2A" w:rsidP="00EA63C9">
            <w:pPr>
              <w:pStyle w:val="AERtabletext-numbers"/>
              <w:rPr>
                <w:rStyle w:val="AERbody"/>
                <w:sz w:val="16"/>
              </w:rPr>
            </w:pPr>
            <w:r w:rsidRPr="00EA63C9">
              <w:rPr>
                <w:rStyle w:val="AERbody"/>
                <w:sz w:val="16"/>
              </w:rPr>
              <w:t>–</w:t>
            </w:r>
          </w:p>
        </w:tc>
        <w:tc>
          <w:tcPr>
            <w:tcW w:w="1870" w:type="dxa"/>
          </w:tcPr>
          <w:p w:rsidR="00014C2A" w:rsidRPr="00EA63C9" w:rsidRDefault="00EA63C9" w:rsidP="00EA63C9">
            <w:pPr>
              <w:pStyle w:val="AERtabletext-numbers"/>
              <w:rPr>
                <w:rStyle w:val="AERbody"/>
                <w:sz w:val="16"/>
              </w:rPr>
            </w:pPr>
            <w:r w:rsidRPr="00EA63C9">
              <w:rPr>
                <w:rStyle w:val="AERbody"/>
                <w:sz w:val="16"/>
              </w:rPr>
              <w:t>–</w:t>
            </w:r>
          </w:p>
        </w:tc>
      </w:tr>
      <w:tr w:rsidR="00014C2A" w:rsidTr="00014C2A">
        <w:trPr>
          <w:cnfStyle w:val="000000010000"/>
        </w:trPr>
        <w:tc>
          <w:tcPr>
            <w:tcW w:w="3681" w:type="dxa"/>
          </w:tcPr>
          <w:p w:rsidR="00014C2A" w:rsidRPr="00D81701" w:rsidRDefault="00014C2A" w:rsidP="00D81701">
            <w:pPr>
              <w:pStyle w:val="AERtabletext"/>
              <w:rPr>
                <w:rStyle w:val="AERbody"/>
                <w:sz w:val="16"/>
              </w:rPr>
            </w:pPr>
            <w:r w:rsidRPr="00D81701">
              <w:rPr>
                <w:rStyle w:val="AERbody"/>
                <w:sz w:val="16"/>
              </w:rPr>
              <w:t>IT opex</w:t>
            </w:r>
          </w:p>
        </w:tc>
        <w:tc>
          <w:tcPr>
            <w:tcW w:w="1821" w:type="dxa"/>
          </w:tcPr>
          <w:p w:rsidR="00014C2A" w:rsidRPr="00D81701" w:rsidRDefault="00014C2A" w:rsidP="00D81701">
            <w:pPr>
              <w:pStyle w:val="AERtabletext-numbers"/>
              <w:rPr>
                <w:rStyle w:val="AERbody"/>
                <w:sz w:val="16"/>
              </w:rPr>
            </w:pPr>
            <w:r w:rsidRPr="00D81701">
              <w:rPr>
                <w:rStyle w:val="AERbody"/>
                <w:sz w:val="16"/>
              </w:rPr>
              <w:t>2.7</w:t>
            </w:r>
          </w:p>
        </w:tc>
        <w:tc>
          <w:tcPr>
            <w:tcW w:w="1870" w:type="dxa"/>
          </w:tcPr>
          <w:p w:rsidR="00014C2A" w:rsidRPr="00EA63C9" w:rsidRDefault="00014C2A" w:rsidP="00EA63C9">
            <w:pPr>
              <w:pStyle w:val="AERtabletext-numbers"/>
              <w:rPr>
                <w:rStyle w:val="AERbody"/>
                <w:sz w:val="16"/>
              </w:rPr>
            </w:pPr>
            <w:r w:rsidRPr="00EA63C9">
              <w:rPr>
                <w:rStyle w:val="AERbody"/>
                <w:sz w:val="16"/>
              </w:rPr>
              <w:t>–</w:t>
            </w:r>
          </w:p>
        </w:tc>
        <w:tc>
          <w:tcPr>
            <w:tcW w:w="1870" w:type="dxa"/>
          </w:tcPr>
          <w:p w:rsidR="00014C2A" w:rsidRPr="00EA63C9" w:rsidRDefault="00EA63C9" w:rsidP="00EA63C9">
            <w:pPr>
              <w:pStyle w:val="AERtabletext-numbers"/>
              <w:rPr>
                <w:rStyle w:val="AERbody"/>
                <w:sz w:val="16"/>
              </w:rPr>
            </w:pPr>
            <w:r w:rsidRPr="00EA63C9">
              <w:rPr>
                <w:rStyle w:val="AERbody"/>
                <w:sz w:val="16"/>
              </w:rPr>
              <w:t>–</w:t>
            </w:r>
          </w:p>
        </w:tc>
      </w:tr>
      <w:tr w:rsidR="00014C2A" w:rsidTr="00014C2A">
        <w:tc>
          <w:tcPr>
            <w:tcW w:w="3681" w:type="dxa"/>
          </w:tcPr>
          <w:p w:rsidR="00014C2A" w:rsidRPr="00D81701" w:rsidRDefault="00014C2A" w:rsidP="00D81701">
            <w:pPr>
              <w:pStyle w:val="AERtabletext"/>
              <w:rPr>
                <w:rStyle w:val="AERtextbold"/>
              </w:rPr>
            </w:pPr>
            <w:r w:rsidRPr="0041552A">
              <w:rPr>
                <w:rStyle w:val="AERtextbold"/>
              </w:rPr>
              <w:t>Total opex</w:t>
            </w:r>
          </w:p>
        </w:tc>
        <w:tc>
          <w:tcPr>
            <w:tcW w:w="1821" w:type="dxa"/>
          </w:tcPr>
          <w:p w:rsidR="00014C2A" w:rsidRPr="00D81701" w:rsidRDefault="00014C2A" w:rsidP="00D81701">
            <w:pPr>
              <w:pStyle w:val="AERtabletext-numbers"/>
              <w:rPr>
                <w:rStyle w:val="AERtextbold"/>
              </w:rPr>
            </w:pPr>
            <w:r w:rsidRPr="00D81701">
              <w:rPr>
                <w:rStyle w:val="AERtextbold"/>
              </w:rPr>
              <w:t>28.2</w:t>
            </w:r>
          </w:p>
        </w:tc>
        <w:tc>
          <w:tcPr>
            <w:tcW w:w="1870" w:type="dxa"/>
          </w:tcPr>
          <w:p w:rsidR="00014C2A" w:rsidRPr="00EA63C9" w:rsidRDefault="00014C2A" w:rsidP="00EA63C9">
            <w:pPr>
              <w:pStyle w:val="AERtabletext-numbers"/>
              <w:rPr>
                <w:rStyle w:val="AERtextbold"/>
                <w:b w:val="0"/>
              </w:rPr>
            </w:pPr>
            <w:r w:rsidRPr="00EA63C9">
              <w:rPr>
                <w:rStyle w:val="AERtextbold"/>
                <w:b w:val="0"/>
              </w:rPr>
              <w:t>–</w:t>
            </w:r>
          </w:p>
        </w:tc>
        <w:tc>
          <w:tcPr>
            <w:tcW w:w="1870" w:type="dxa"/>
          </w:tcPr>
          <w:p w:rsidR="00014C2A" w:rsidRPr="00EA63C9" w:rsidRDefault="00EA63C9" w:rsidP="00EA63C9">
            <w:pPr>
              <w:pStyle w:val="AERtabletext-numbers"/>
              <w:rPr>
                <w:rStyle w:val="AERtextbold"/>
                <w:b w:val="0"/>
              </w:rPr>
            </w:pPr>
            <w:r w:rsidRPr="00EA63C9">
              <w:rPr>
                <w:rStyle w:val="AERbody"/>
                <w:sz w:val="16"/>
              </w:rPr>
              <w:t>–</w:t>
            </w:r>
          </w:p>
        </w:tc>
      </w:tr>
      <w:tr w:rsidR="00014C2A" w:rsidRPr="00BE417F" w:rsidTr="00014C2A">
        <w:trPr>
          <w:cnfStyle w:val="000000010000"/>
        </w:trPr>
        <w:tc>
          <w:tcPr>
            <w:tcW w:w="3681" w:type="dxa"/>
          </w:tcPr>
          <w:p w:rsidR="00014C2A" w:rsidRPr="00BE417F" w:rsidRDefault="00014C2A" w:rsidP="00BE417F">
            <w:pPr>
              <w:pStyle w:val="AERtabletext"/>
              <w:rPr>
                <w:rStyle w:val="AERtextbold"/>
                <w:b w:val="0"/>
              </w:rPr>
            </w:pPr>
            <w:r w:rsidRPr="00BE417F">
              <w:rPr>
                <w:rStyle w:val="AERtextbold"/>
                <w:b w:val="0"/>
              </w:rPr>
              <w:t>Other business stream costs</w:t>
            </w:r>
          </w:p>
        </w:tc>
        <w:tc>
          <w:tcPr>
            <w:tcW w:w="1821" w:type="dxa"/>
          </w:tcPr>
          <w:p w:rsidR="00014C2A" w:rsidRPr="00BE417F" w:rsidRDefault="00014C2A" w:rsidP="00BE417F">
            <w:pPr>
              <w:pStyle w:val="AERtabletext-numbers"/>
              <w:rPr>
                <w:rStyle w:val="AERtextbold"/>
                <w:b w:val="0"/>
              </w:rPr>
            </w:pPr>
            <w:r w:rsidRPr="00BE417F">
              <w:rPr>
                <w:rStyle w:val="AERtextbold"/>
                <w:b w:val="0"/>
              </w:rPr>
              <w:t>9.5</w:t>
            </w:r>
          </w:p>
        </w:tc>
        <w:tc>
          <w:tcPr>
            <w:tcW w:w="1870" w:type="dxa"/>
          </w:tcPr>
          <w:p w:rsidR="00014C2A" w:rsidRPr="00EA63C9" w:rsidRDefault="00014C2A" w:rsidP="00EA63C9">
            <w:pPr>
              <w:pStyle w:val="AERtabletext-numbers"/>
              <w:rPr>
                <w:rStyle w:val="AERtextbold"/>
                <w:b w:val="0"/>
              </w:rPr>
            </w:pPr>
            <w:r w:rsidRPr="00EA63C9">
              <w:rPr>
                <w:rStyle w:val="AERtextbold"/>
                <w:b w:val="0"/>
              </w:rPr>
              <w:t>–</w:t>
            </w:r>
          </w:p>
        </w:tc>
        <w:tc>
          <w:tcPr>
            <w:tcW w:w="1870" w:type="dxa"/>
          </w:tcPr>
          <w:p w:rsidR="00014C2A" w:rsidRPr="00EA63C9" w:rsidRDefault="00EA63C9" w:rsidP="00EA63C9">
            <w:pPr>
              <w:pStyle w:val="AERtabletext-numbers"/>
              <w:rPr>
                <w:rStyle w:val="AERtextbold"/>
                <w:b w:val="0"/>
              </w:rPr>
            </w:pPr>
            <w:r w:rsidRPr="00EA63C9">
              <w:rPr>
                <w:rStyle w:val="AERbody"/>
                <w:sz w:val="16"/>
              </w:rPr>
              <w:t>–</w:t>
            </w:r>
          </w:p>
        </w:tc>
      </w:tr>
      <w:tr w:rsidR="00014C2A" w:rsidTr="00014C2A">
        <w:tc>
          <w:tcPr>
            <w:tcW w:w="3681" w:type="dxa"/>
          </w:tcPr>
          <w:p w:rsidR="00014C2A" w:rsidRPr="0041552A" w:rsidRDefault="00014C2A" w:rsidP="00BE417F">
            <w:pPr>
              <w:pStyle w:val="AERtabletext"/>
              <w:rPr>
                <w:rStyle w:val="AERtextbold"/>
              </w:rPr>
            </w:pPr>
            <w:r w:rsidRPr="0041552A">
              <w:rPr>
                <w:rStyle w:val="AERtextbold"/>
              </w:rPr>
              <w:t>Total switching costs</w:t>
            </w:r>
          </w:p>
        </w:tc>
        <w:tc>
          <w:tcPr>
            <w:tcW w:w="1821" w:type="dxa"/>
          </w:tcPr>
          <w:p w:rsidR="00014C2A" w:rsidRPr="00BE417F" w:rsidRDefault="00014C2A" w:rsidP="00BE417F">
            <w:pPr>
              <w:pStyle w:val="AERtabletext-numbers"/>
              <w:rPr>
                <w:rStyle w:val="AERtextbold"/>
              </w:rPr>
            </w:pPr>
            <w:r>
              <w:rPr>
                <w:rStyle w:val="AERtextbold"/>
              </w:rPr>
              <w:t>1</w:t>
            </w:r>
            <w:r w:rsidRPr="00BE417F">
              <w:rPr>
                <w:rStyle w:val="AERtextbold"/>
              </w:rPr>
              <w:t>07.2</w:t>
            </w:r>
          </w:p>
        </w:tc>
        <w:tc>
          <w:tcPr>
            <w:tcW w:w="1870" w:type="dxa"/>
          </w:tcPr>
          <w:p w:rsidR="00014C2A" w:rsidRPr="00BE417F" w:rsidRDefault="00014C2A" w:rsidP="00BE417F">
            <w:pPr>
              <w:pStyle w:val="AERtabletext-numbers"/>
              <w:rPr>
                <w:rStyle w:val="AERtextbold"/>
              </w:rPr>
            </w:pPr>
            <w:r>
              <w:rPr>
                <w:rStyle w:val="AERtextbold"/>
              </w:rPr>
              <w:t>4.2</w:t>
            </w:r>
          </w:p>
        </w:tc>
        <w:tc>
          <w:tcPr>
            <w:tcW w:w="1870" w:type="dxa"/>
          </w:tcPr>
          <w:p w:rsidR="00014C2A" w:rsidRDefault="00E45D98" w:rsidP="00BE417F">
            <w:pPr>
              <w:pStyle w:val="AERtabletext-numbers"/>
              <w:rPr>
                <w:rStyle w:val="AERtextbold"/>
              </w:rPr>
            </w:pPr>
            <w:r>
              <w:rPr>
                <w:rStyle w:val="AERtextbold"/>
              </w:rPr>
              <w:t>11.7</w:t>
            </w:r>
          </w:p>
        </w:tc>
      </w:tr>
    </w:tbl>
    <w:p w:rsidR="00D81701" w:rsidRDefault="00D81701" w:rsidP="00B17265">
      <w:pPr>
        <w:pStyle w:val="AERbodytext"/>
        <w:rPr>
          <w:rStyle w:val="AERtablesourceCharChar"/>
        </w:rPr>
      </w:pPr>
      <w:r w:rsidRPr="00D81701">
        <w:rPr>
          <w:rStyle w:val="AERtablesourceCharChar"/>
        </w:rPr>
        <w:t>Source:</w:t>
      </w:r>
      <w:r w:rsidRPr="00D81701">
        <w:rPr>
          <w:rStyle w:val="AERtablesourceCharChar"/>
        </w:rPr>
        <w:tab/>
        <w:t>SP AusNet, Reconsideration Submission, 5 June 2012, p. 24; AER analysis.</w:t>
      </w:r>
    </w:p>
    <w:p w:rsidR="00202F97" w:rsidRDefault="007C08CF" w:rsidP="00D81701">
      <w:pPr>
        <w:pStyle w:val="AERbodytext"/>
        <w:rPr>
          <w:rStyle w:val="AERbody"/>
        </w:rPr>
      </w:pPr>
      <w:r>
        <w:rPr>
          <w:rStyle w:val="AERbody"/>
        </w:rPr>
        <w:t xml:space="preserve">As </w:t>
      </w:r>
      <w:r w:rsidR="00AF0E53">
        <w:rPr>
          <w:rStyle w:val="AERbody"/>
        </w:rPr>
        <w:t>Figure 1.1</w:t>
      </w:r>
      <w:r>
        <w:rPr>
          <w:rStyle w:val="AERbody"/>
        </w:rPr>
        <w:t xml:space="preserve"> </w:t>
      </w:r>
      <w:r w:rsidR="00014C2A">
        <w:rPr>
          <w:rStyle w:val="AERbody"/>
        </w:rPr>
        <w:t xml:space="preserve">and </w:t>
      </w:r>
      <w:r w:rsidR="00AF0E53">
        <w:rPr>
          <w:rStyle w:val="AERbody"/>
        </w:rPr>
        <w:t>Table 1.1</w:t>
      </w:r>
      <w:r w:rsidR="00014C2A">
        <w:rPr>
          <w:rStyle w:val="AERbody"/>
        </w:rPr>
        <w:t xml:space="preserve"> </w:t>
      </w:r>
      <w:r>
        <w:rPr>
          <w:rStyle w:val="AERbody"/>
        </w:rPr>
        <w:t xml:space="preserve">show, </w:t>
      </w:r>
      <w:r w:rsidR="00D81701">
        <w:rPr>
          <w:rStyle w:val="AERbody"/>
        </w:rPr>
        <w:t>$4.2 million of th</w:t>
      </w:r>
      <w:r>
        <w:rPr>
          <w:rStyle w:val="AERbody"/>
        </w:rPr>
        <w:t>e</w:t>
      </w:r>
      <w:r w:rsidR="00D81701">
        <w:rPr>
          <w:rStyle w:val="AERbody"/>
        </w:rPr>
        <w:t xml:space="preserve"> switching </w:t>
      </w:r>
      <w:r>
        <w:rPr>
          <w:rStyle w:val="AERbody"/>
        </w:rPr>
        <w:t>costs would be incurred in 2011.</w:t>
      </w:r>
      <w:r w:rsidR="00D81701">
        <w:rPr>
          <w:rStyle w:val="AERbody"/>
        </w:rPr>
        <w:t xml:space="preserve"> </w:t>
      </w:r>
      <w:r>
        <w:rPr>
          <w:rStyle w:val="AERbody"/>
        </w:rPr>
        <w:t>T</w:t>
      </w:r>
      <w:r w:rsidR="00D81701">
        <w:rPr>
          <w:rStyle w:val="AERbody"/>
        </w:rPr>
        <w:t xml:space="preserve">he prudent amount </w:t>
      </w:r>
      <w:r w:rsidR="00202F97">
        <w:rPr>
          <w:rStyle w:val="AERbody"/>
        </w:rPr>
        <w:t xml:space="preserve">under the AMI Order </w:t>
      </w:r>
      <w:r w:rsidR="00D81701">
        <w:rPr>
          <w:rStyle w:val="AERbody"/>
        </w:rPr>
        <w:t>for the purposes of the 2012–15 period is</w:t>
      </w:r>
      <w:r>
        <w:rPr>
          <w:rStyle w:val="AERbody"/>
        </w:rPr>
        <w:t xml:space="preserve"> therefore</w:t>
      </w:r>
      <w:r w:rsidR="00D81701">
        <w:rPr>
          <w:rStyle w:val="AERbody"/>
        </w:rPr>
        <w:t xml:space="preserve"> $</w:t>
      </w:r>
      <w:r w:rsidR="00E45D98">
        <w:rPr>
          <w:rStyle w:val="AERbody"/>
        </w:rPr>
        <w:t>11.7</w:t>
      </w:r>
      <w:r w:rsidR="00D81701">
        <w:rPr>
          <w:rStyle w:val="AERbody"/>
        </w:rPr>
        <w:t xml:space="preserve"> million. </w:t>
      </w:r>
      <w:r w:rsidR="00202F97">
        <w:rPr>
          <w:rStyle w:val="AERbody"/>
        </w:rPr>
        <w:t xml:space="preserve">This is because the AMI Order </w:t>
      </w:r>
      <w:r w:rsidR="001B7387">
        <w:rPr>
          <w:rStyle w:val="AERbody"/>
        </w:rPr>
        <w:t>does</w:t>
      </w:r>
      <w:r w:rsidR="00202F97">
        <w:rPr>
          <w:rStyle w:val="AERbody"/>
        </w:rPr>
        <w:t xml:space="preserve"> not allow SP AusNet to recover 2011 costs in the 2012–15 budget period.</w:t>
      </w:r>
      <w:r w:rsidR="00202F97">
        <w:rPr>
          <w:rStyle w:val="FootnoteReference"/>
        </w:rPr>
        <w:footnoteReference w:id="9"/>
      </w:r>
    </w:p>
    <w:p w:rsidR="00B90D67" w:rsidRDefault="00B90D67" w:rsidP="00B90D67">
      <w:pPr>
        <w:pStyle w:val="AERbodytext"/>
        <w:rPr>
          <w:rStyle w:val="AERbody"/>
        </w:rPr>
      </w:pPr>
      <w:r>
        <w:rPr>
          <w:rStyle w:val="AERbody"/>
        </w:rPr>
        <w:t xml:space="preserve">Had SP AusNet reconsidered its commitment to WiMAX communications as at 28 February 2011 and decided to switch to mesh radio – what the AER expects a reasonable business in the circumstances would have done – SP AusNet would have incurred only an additional $11.7 million above its Approved Budget for 2012–15. Instead, by not switching to mesh radio and continuing its AMI rollout with its WiMAX communications solution, SP AusNet is proposing to incur an additional $72.2 million above its Approved Budget. </w:t>
      </w:r>
    </w:p>
    <w:p w:rsidR="00D81701" w:rsidRDefault="00202F97" w:rsidP="00D81701">
      <w:pPr>
        <w:pStyle w:val="AERbodytext"/>
        <w:rPr>
          <w:rStyle w:val="AERbody"/>
        </w:rPr>
      </w:pPr>
      <w:r>
        <w:rPr>
          <w:rStyle w:val="AERbody"/>
        </w:rPr>
        <w:t xml:space="preserve">Therefore, by </w:t>
      </w:r>
      <w:r w:rsidR="00D81701">
        <w:rPr>
          <w:rStyle w:val="AERbody"/>
        </w:rPr>
        <w:t xml:space="preserve">proposing to incur </w:t>
      </w:r>
      <w:r w:rsidR="0070774C">
        <w:rPr>
          <w:rStyle w:val="AERbody"/>
        </w:rPr>
        <w:t xml:space="preserve">significantly </w:t>
      </w:r>
      <w:r w:rsidR="00D81701">
        <w:rPr>
          <w:rStyle w:val="AERbody"/>
        </w:rPr>
        <w:t>more than $</w:t>
      </w:r>
      <w:r w:rsidR="00E45D98">
        <w:rPr>
          <w:rStyle w:val="AERbody"/>
        </w:rPr>
        <w:t>11.7</w:t>
      </w:r>
      <w:r w:rsidR="00D81701">
        <w:rPr>
          <w:rStyle w:val="AERbody"/>
        </w:rPr>
        <w:t xml:space="preserve"> million (</w:t>
      </w:r>
      <w:r w:rsidR="00AB2D81">
        <w:rPr>
          <w:rStyle w:val="AERbody"/>
        </w:rPr>
        <w:t xml:space="preserve">that is, </w:t>
      </w:r>
      <w:r w:rsidR="00D81701">
        <w:rPr>
          <w:rStyle w:val="AERbody"/>
        </w:rPr>
        <w:t>$72.2 million) SP AusNet has substantially departed from the commercial standard of a reasonable business in its circumstances.</w:t>
      </w:r>
      <w:r w:rsidR="00D81701">
        <w:rPr>
          <w:rStyle w:val="FootnoteReference"/>
        </w:rPr>
        <w:footnoteReference w:id="10"/>
      </w:r>
    </w:p>
    <w:p w:rsidR="003E580C" w:rsidRDefault="00D81701" w:rsidP="00D81701">
      <w:pPr>
        <w:pStyle w:val="AERbodytext"/>
        <w:rPr>
          <w:rStyle w:val="AERbody"/>
        </w:rPr>
      </w:pPr>
      <w:r>
        <w:rPr>
          <w:rStyle w:val="AERbody"/>
        </w:rPr>
        <w:t xml:space="preserve">Therefore, of the $72.2 million of expenditure remitted back to the AER </w:t>
      </w:r>
      <w:r w:rsidR="00A5603D">
        <w:rPr>
          <w:rStyle w:val="AERbody"/>
        </w:rPr>
        <w:t xml:space="preserve">by the Tribunal </w:t>
      </w:r>
      <w:r>
        <w:rPr>
          <w:rStyle w:val="AERbody"/>
        </w:rPr>
        <w:t xml:space="preserve">for further consideration, the </w:t>
      </w:r>
      <w:r w:rsidR="00AB2D81">
        <w:rPr>
          <w:rStyle w:val="AERbody"/>
        </w:rPr>
        <w:t xml:space="preserve">AER's preliminary view is that </w:t>
      </w:r>
      <w:r>
        <w:rPr>
          <w:rStyle w:val="AERbody"/>
        </w:rPr>
        <w:t>$</w:t>
      </w:r>
      <w:r w:rsidR="00E45D98">
        <w:rPr>
          <w:rStyle w:val="AERbody"/>
        </w:rPr>
        <w:t>60.5</w:t>
      </w:r>
      <w:r>
        <w:rPr>
          <w:rStyle w:val="AERbody"/>
        </w:rPr>
        <w:t xml:space="preserve"> million </w:t>
      </w:r>
      <w:r w:rsidR="00A5603D">
        <w:rPr>
          <w:rStyle w:val="AERbody"/>
        </w:rPr>
        <w:t xml:space="preserve">does not meet the commercial standard, and </w:t>
      </w:r>
      <w:r w:rsidR="00AB2D81">
        <w:rPr>
          <w:rStyle w:val="AERbody"/>
        </w:rPr>
        <w:t xml:space="preserve">is </w:t>
      </w:r>
      <w:r w:rsidR="00A5603D">
        <w:rPr>
          <w:rStyle w:val="AERbody"/>
        </w:rPr>
        <w:t xml:space="preserve">therefore </w:t>
      </w:r>
      <w:r w:rsidR="00AB2D81">
        <w:rPr>
          <w:rStyle w:val="AERbody"/>
        </w:rPr>
        <w:t xml:space="preserve">not prudent. Consistent with clause 5C.8 of the AMI Order, this amount should be removed </w:t>
      </w:r>
      <w:r>
        <w:rPr>
          <w:rStyle w:val="AERbody"/>
        </w:rPr>
        <w:t xml:space="preserve">from SP AusNet's </w:t>
      </w:r>
      <w:r w:rsidR="007C08CF">
        <w:rPr>
          <w:rStyle w:val="AERbody"/>
        </w:rPr>
        <w:t xml:space="preserve">2012–15 </w:t>
      </w:r>
      <w:r>
        <w:rPr>
          <w:rStyle w:val="AERbody"/>
        </w:rPr>
        <w:t>Approved Budget.</w:t>
      </w:r>
      <w:r>
        <w:rPr>
          <w:rStyle w:val="FootnoteReference"/>
        </w:rPr>
        <w:footnoteReference w:id="11"/>
      </w:r>
      <w:r w:rsidR="003E580C">
        <w:rPr>
          <w:rStyle w:val="AERbody"/>
        </w:rPr>
        <w:t xml:space="preserve"> The AER's reasons for its preliminary view are discussed in section </w:t>
      </w:r>
      <w:r w:rsidR="00AF0E53">
        <w:rPr>
          <w:rStyle w:val="AERbody"/>
        </w:rPr>
        <w:t>1.3</w:t>
      </w:r>
      <w:r w:rsidR="003E580C">
        <w:rPr>
          <w:rStyle w:val="AERbody"/>
        </w:rPr>
        <w:t>.</w:t>
      </w:r>
    </w:p>
    <w:p w:rsidR="0028066B" w:rsidRPr="0028066B" w:rsidRDefault="0028066B" w:rsidP="00D50256">
      <w:pPr>
        <w:pStyle w:val="AERheading2"/>
        <w:rPr>
          <w:rStyle w:val="AERbody"/>
          <w:color w:val="F2750E"/>
          <w:sz w:val="28"/>
        </w:rPr>
      </w:pPr>
      <w:bookmarkStart w:id="12" w:name="_Toc332382083"/>
      <w:r w:rsidRPr="0028066B">
        <w:t>AER approach</w:t>
      </w:r>
      <w:bookmarkEnd w:id="12"/>
    </w:p>
    <w:p w:rsidR="003346B0" w:rsidRDefault="000807E3" w:rsidP="003346B0">
      <w:pPr>
        <w:pStyle w:val="AERbodytext"/>
      </w:pPr>
      <w:r w:rsidRPr="000807E3">
        <w:t>The AER</w:t>
      </w:r>
      <w:r w:rsidR="00EF4949">
        <w:t>'s preliminary view</w:t>
      </w:r>
      <w:r w:rsidRPr="000807E3">
        <w:t xml:space="preserve"> has </w:t>
      </w:r>
      <w:r w:rsidR="00EF4949">
        <w:t xml:space="preserve">determined the likely amendments to </w:t>
      </w:r>
      <w:r w:rsidRPr="000807E3">
        <w:t xml:space="preserve">its final determination in accordance with the Tribunal's reasons and the AMI Order. </w:t>
      </w:r>
      <w:r w:rsidR="00261104">
        <w:t xml:space="preserve">The Tribunal required the AER to reconsider SP AusNet's </w:t>
      </w:r>
      <w:r w:rsidR="00BC2A02">
        <w:t>Submitted</w:t>
      </w:r>
      <w:r w:rsidR="00261104">
        <w:t xml:space="preserve"> Budget </w:t>
      </w:r>
      <w:r w:rsidR="000E08CA">
        <w:t xml:space="preserve">in relation to the prudency of incurring WiMAX </w:t>
      </w:r>
      <w:r w:rsidR="0072519B">
        <w:t>communications expenditure</w:t>
      </w:r>
      <w:r w:rsidR="001F67FC">
        <w:t>.</w:t>
      </w:r>
      <w:r w:rsidR="000E08CA">
        <w:t xml:space="preserve"> </w:t>
      </w:r>
      <w:r w:rsidR="001F67FC">
        <w:t xml:space="preserve">This is because </w:t>
      </w:r>
      <w:r w:rsidR="0072519B">
        <w:t xml:space="preserve">part of the commercial standard that </w:t>
      </w:r>
      <w:r w:rsidR="000E08CA">
        <w:t>a reasonable business in SP AusNet's circumstances would have</w:t>
      </w:r>
      <w:r w:rsidR="001F67FC">
        <w:t xml:space="preserve"> exercised would have been to</w:t>
      </w:r>
      <w:r w:rsidR="000E08CA">
        <w:t xml:space="preserve"> reconsider its commitment to WiMAX communications.</w:t>
      </w:r>
      <w:r w:rsidR="000E08CA">
        <w:rPr>
          <w:rStyle w:val="FootnoteReference"/>
        </w:rPr>
        <w:footnoteReference w:id="12"/>
      </w:r>
      <w:r w:rsidR="000213F3">
        <w:t xml:space="preserve"> In doing so, the AER has considered whether SP AusNet should have sw</w:t>
      </w:r>
      <w:r w:rsidR="003346B0">
        <w:t xml:space="preserve">itched from WiMAX to mesh radio. </w:t>
      </w:r>
    </w:p>
    <w:p w:rsidR="00024C33" w:rsidRDefault="00024C33" w:rsidP="003346B0">
      <w:pPr>
        <w:pStyle w:val="AERbodytext"/>
        <w:rPr>
          <w:rStyle w:val="AERbody"/>
        </w:rPr>
      </w:pPr>
      <w:r>
        <w:t>T</w:t>
      </w:r>
      <w:r w:rsidRPr="00024C33">
        <w:t>he Tribunal conclu</w:t>
      </w:r>
      <w:r w:rsidR="00041603">
        <w:t>ded</w:t>
      </w:r>
      <w:r w:rsidRPr="00024C33">
        <w:t xml:space="preserve"> that the AER had not made a material error of fact in determining that SP AusNet had departed from the commercial standard</w:t>
      </w:r>
      <w:r>
        <w:t xml:space="preserve"> </w:t>
      </w:r>
      <w:r w:rsidR="008B4AFD">
        <w:t xml:space="preserve">in so far as </w:t>
      </w:r>
      <w:r>
        <w:t>a reasonable business in SP AusNet's circumstances</w:t>
      </w:r>
      <w:r w:rsidR="008B4AFD">
        <w:t xml:space="preserve"> would have undertaken</w:t>
      </w:r>
      <w:r w:rsidRPr="00024C33">
        <w:t xml:space="preserve"> a serious and thorough reconsideration of the use of WiMAX technology and the possibil</w:t>
      </w:r>
      <w:r w:rsidR="00041603">
        <w:t>ity of using an alternative</w:t>
      </w:r>
      <w:r w:rsidRPr="00024C33">
        <w:t>.</w:t>
      </w:r>
      <w:r w:rsidR="00041603">
        <w:rPr>
          <w:rStyle w:val="FootnoteReference"/>
        </w:rPr>
        <w:footnoteReference w:id="13"/>
      </w:r>
    </w:p>
    <w:p w:rsidR="00E9196A" w:rsidRDefault="00F377B0">
      <w:pPr>
        <w:pStyle w:val="AERbodytext"/>
      </w:pPr>
      <w:r>
        <w:t xml:space="preserve">The Tribunal </w:t>
      </w:r>
      <w:r w:rsidR="00041603">
        <w:t xml:space="preserve">also </w:t>
      </w:r>
      <w:r>
        <w:t xml:space="preserve">accepted that the benchmarks </w:t>
      </w:r>
      <w:r w:rsidR="003230DA">
        <w:t xml:space="preserve">determined by the AER </w:t>
      </w:r>
      <w:r>
        <w:t xml:space="preserve">were reflective of the costs of an AMI </w:t>
      </w:r>
      <w:r w:rsidR="00EB5724">
        <w:t>rollout</w:t>
      </w:r>
      <w:r>
        <w:t xml:space="preserve"> using mesh radio if </w:t>
      </w:r>
      <w:r w:rsidR="002D18FD">
        <w:t xml:space="preserve">SP AusNet had chosen that </w:t>
      </w:r>
      <w:r>
        <w:t>technology from the outset.</w:t>
      </w:r>
      <w:r>
        <w:rPr>
          <w:rStyle w:val="FootnoteReference"/>
        </w:rPr>
        <w:footnoteReference w:id="14"/>
      </w:r>
      <w:r w:rsidRPr="0066144C">
        <w:t xml:space="preserve"> Howe</w:t>
      </w:r>
      <w:r>
        <w:t xml:space="preserve">ver, the Tribunal </w:t>
      </w:r>
      <w:r w:rsidR="003230DA">
        <w:t xml:space="preserve">stated </w:t>
      </w:r>
      <w:r>
        <w:t xml:space="preserve">that </w:t>
      </w:r>
      <w:r w:rsidR="00ED414B">
        <w:t xml:space="preserve">because </w:t>
      </w:r>
      <w:r>
        <w:t xml:space="preserve">SP AusNet had already embarked on its AMI </w:t>
      </w:r>
      <w:r w:rsidR="00EB5724">
        <w:t>rollout</w:t>
      </w:r>
      <w:r>
        <w:t xml:space="preserve"> using WiMAX as its communications technology</w:t>
      </w:r>
      <w:r w:rsidR="00ED414B">
        <w:t xml:space="preserve">, </w:t>
      </w:r>
      <w:r w:rsidR="003230DA">
        <w:t>its</w:t>
      </w:r>
      <w:r w:rsidR="00ED414B">
        <w:t xml:space="preserve"> circumstances were different</w:t>
      </w:r>
      <w:r>
        <w:t>.</w:t>
      </w:r>
      <w:r>
        <w:rPr>
          <w:rStyle w:val="FootnoteReference"/>
        </w:rPr>
        <w:footnoteReference w:id="15"/>
      </w:r>
      <w:r>
        <w:t xml:space="preserve"> </w:t>
      </w:r>
      <w:r w:rsidR="002D18FD">
        <w:t>The AER therefore made an error of fact in determining that</w:t>
      </w:r>
      <w:r w:rsidR="003B6C2F">
        <w:t xml:space="preserve"> a reasonable business in SP AusNet's circumstances would incur no more than the benchmark expenditure.</w:t>
      </w:r>
      <w:r w:rsidR="003B6C2F">
        <w:rPr>
          <w:rStyle w:val="FootnoteReference"/>
        </w:rPr>
        <w:footnoteReference w:id="16"/>
      </w:r>
      <w:r w:rsidR="003B6C2F">
        <w:t xml:space="preserve"> </w:t>
      </w:r>
    </w:p>
    <w:p w:rsidR="00F377B0" w:rsidRDefault="00F377B0" w:rsidP="00F377B0">
      <w:pPr>
        <w:pStyle w:val="AERbodytext"/>
      </w:pPr>
      <w:r>
        <w:t xml:space="preserve">The AER's </w:t>
      </w:r>
      <w:r w:rsidR="00EF4949">
        <w:t>preliminary view of the approach</w:t>
      </w:r>
      <w:r>
        <w:t xml:space="preserve"> </w:t>
      </w:r>
      <w:r w:rsidR="003346B0">
        <w:t xml:space="preserve">to </w:t>
      </w:r>
      <w:r w:rsidR="003E6168">
        <w:t>revising</w:t>
      </w:r>
      <w:r w:rsidR="003346B0">
        <w:t xml:space="preserve"> its</w:t>
      </w:r>
      <w:r>
        <w:t xml:space="preserve"> final determination</w:t>
      </w:r>
      <w:r w:rsidR="003346B0">
        <w:t xml:space="preserve"> and Approved Budget</w:t>
      </w:r>
      <w:r>
        <w:t xml:space="preserve"> </w:t>
      </w:r>
      <w:r w:rsidR="003E6168">
        <w:t xml:space="preserve">for SP AusNet </w:t>
      </w:r>
      <w:r w:rsidR="00EF4949">
        <w:t>is</w:t>
      </w:r>
      <w:r>
        <w:t xml:space="preserve"> to determine</w:t>
      </w:r>
      <w:r w:rsidR="005E3D38">
        <w:t>, in light of the Tribunal's reasons and the AMI Order</w:t>
      </w:r>
      <w:r>
        <w:t>:</w:t>
      </w:r>
    </w:p>
    <w:p w:rsidR="00F377B0" w:rsidRDefault="00AC6BFC" w:rsidP="00F377B0">
      <w:pPr>
        <w:pStyle w:val="AERbulletlistfirststyle"/>
      </w:pPr>
      <w:r>
        <w:t>w</w:t>
      </w:r>
      <w:r w:rsidR="00F377B0">
        <w:t xml:space="preserve">hether, at the date </w:t>
      </w:r>
      <w:r w:rsidR="008B4AFD">
        <w:t xml:space="preserve">of </w:t>
      </w:r>
      <w:r w:rsidR="00F377B0">
        <w:t>SP AusNet</w:t>
      </w:r>
      <w:r w:rsidR="008B4AFD">
        <w:t>'s serious and thorough reconsideration of</w:t>
      </w:r>
      <w:r w:rsidR="00F377B0">
        <w:t xml:space="preserve">  its Submitted Budget for the 2012</w:t>
      </w:r>
      <w:r w:rsidR="003346B0">
        <w:t>–</w:t>
      </w:r>
      <w:r w:rsidR="00F377B0">
        <w:t xml:space="preserve">15 period, </w:t>
      </w:r>
      <w:r w:rsidR="007F7E31">
        <w:t xml:space="preserve">a reasonable business in SP AusNet's circumstances would </w:t>
      </w:r>
      <w:r w:rsidR="00F377B0">
        <w:t>have switched from WiMAX technology to mesh radio technology</w:t>
      </w:r>
      <w:r w:rsidR="002B3E20">
        <w:t xml:space="preserve"> </w:t>
      </w:r>
    </w:p>
    <w:p w:rsidR="008B4AFD" w:rsidRDefault="008B4AFD" w:rsidP="00F377B0">
      <w:pPr>
        <w:pStyle w:val="AERbulletlistfirststyle"/>
      </w:pPr>
      <w:r>
        <w:t xml:space="preserve">if so, whether SP AusNet substantially departed from that standard </w:t>
      </w:r>
    </w:p>
    <w:p w:rsidR="00F377B0" w:rsidRDefault="002B3E20" w:rsidP="00F377B0">
      <w:pPr>
        <w:pStyle w:val="AERbulletlistfirststyle"/>
      </w:pPr>
      <w:r>
        <w:t>the</w:t>
      </w:r>
      <w:r w:rsidR="005E3D38">
        <w:t xml:space="preserve"> adjustment</w:t>
      </w:r>
      <w:r w:rsidR="008B4AFD">
        <w:t>, if any,</w:t>
      </w:r>
      <w:r w:rsidR="005E3D38">
        <w:t xml:space="preserve"> to </w:t>
      </w:r>
      <w:r w:rsidR="008B4AFD">
        <w:t>SP AusNet's</w:t>
      </w:r>
      <w:r w:rsidR="005E3D38">
        <w:t xml:space="preserve">Approved Budget </w:t>
      </w:r>
      <w:r w:rsidR="008B4AFD">
        <w:t xml:space="preserve">by no more than the expenditure the AER has established as being not prudent </w:t>
      </w:r>
      <w:r w:rsidR="00F377B0">
        <w:t>.</w:t>
      </w:r>
    </w:p>
    <w:p w:rsidR="009A4EE9" w:rsidRDefault="00F675F0">
      <w:pPr>
        <w:pStyle w:val="AERbodytext"/>
      </w:pPr>
      <w:r>
        <w:t>To do this, the AER has</w:t>
      </w:r>
      <w:r w:rsidR="005E3D38">
        <w:t xml:space="preserve"> considered the quantitative and qualitative </w:t>
      </w:r>
      <w:r>
        <w:t xml:space="preserve">factors relevant to recreating a hypothetical decision to switch communications technology. </w:t>
      </w:r>
      <w:r w:rsidR="001F67FC">
        <w:t xml:space="preserve">The AER's approach is necessarily hypothetical in nature because </w:t>
      </w:r>
      <w:r w:rsidR="00ED5C2A">
        <w:t>the AER</w:t>
      </w:r>
      <w:r w:rsidR="001F67FC">
        <w:t xml:space="preserve"> </w:t>
      </w:r>
      <w:r w:rsidR="00364695">
        <w:t>is required to consider</w:t>
      </w:r>
      <w:r w:rsidR="001F67FC">
        <w:t xml:space="preserve"> what a reasonable business in SP AusNet's circumstances would have done, had it reconsidered it commitment to WiMAX communications in 2011.</w:t>
      </w:r>
      <w:r w:rsidR="00364695">
        <w:rPr>
          <w:rStyle w:val="FootnoteReference"/>
        </w:rPr>
        <w:footnoteReference w:id="17"/>
      </w:r>
      <w:r w:rsidR="001F67FC">
        <w:t xml:space="preserve"> </w:t>
      </w:r>
    </w:p>
    <w:p w:rsidR="009A4EE9" w:rsidRDefault="009A4EE9">
      <w:pPr>
        <w:pStyle w:val="AERbodytext"/>
      </w:pPr>
      <w:r>
        <w:t xml:space="preserve">It is important to note that this is not a consideration of whether a reasonable business would have switched from a </w:t>
      </w:r>
      <w:r w:rsidR="00D02A8B">
        <w:t>fully functional</w:t>
      </w:r>
      <w:r>
        <w:t xml:space="preserve"> WiMAX-based AMI rollout. </w:t>
      </w:r>
      <w:r w:rsidR="00ED5C2A">
        <w:t xml:space="preserve">As noted in the AER's final determination, </w:t>
      </w:r>
      <w:r>
        <w:t xml:space="preserve">SP AusNet's WiMAX-based solution has been subject to cost increases and performance issues </w:t>
      </w:r>
      <w:r w:rsidR="00C2782A">
        <w:t xml:space="preserve">over several years. </w:t>
      </w:r>
      <w:r w:rsidR="008B4AFD">
        <w:t xml:space="preserve"> A</w:t>
      </w:r>
      <w:r>
        <w:t xml:space="preserve">s discussed in section </w:t>
      </w:r>
      <w:r w:rsidR="00AF0E53">
        <w:t>1.3</w:t>
      </w:r>
      <w:r>
        <w:t xml:space="preserve">, there are several occasions prior to 2011 where </w:t>
      </w:r>
      <w:r w:rsidR="00C2782A">
        <w:t xml:space="preserve">a reasonable commercial business </w:t>
      </w:r>
      <w:r w:rsidR="008A6117">
        <w:t>with appropriate internal governance would have reassessed its commitment to WiMAX.</w:t>
      </w:r>
      <w:r w:rsidR="008A6117">
        <w:rPr>
          <w:rStyle w:val="FootnoteReference"/>
        </w:rPr>
        <w:footnoteReference w:id="18"/>
      </w:r>
      <w:r w:rsidR="008A6117">
        <w:t xml:space="preserve"> </w:t>
      </w:r>
      <w:r>
        <w:t xml:space="preserve"> </w:t>
      </w:r>
    </w:p>
    <w:p w:rsidR="001C037E" w:rsidRDefault="00587B8E">
      <w:pPr>
        <w:pStyle w:val="AERbodytext"/>
      </w:pPr>
      <w:r>
        <w:t xml:space="preserve">SP AusNet's internal governance and the state of its WiMAX-based rollout are important factors that inform </w:t>
      </w:r>
      <w:r w:rsidR="00ED5C2A">
        <w:t>its</w:t>
      </w:r>
      <w:r>
        <w:t xml:space="preserve"> circumstances for the purposes of clause </w:t>
      </w:r>
      <w:r w:rsidR="000C588B">
        <w:t>5C.3(b)(iv)</w:t>
      </w:r>
      <w:r>
        <w:t xml:space="preserve"> of the AMI Order. </w:t>
      </w:r>
      <w:r w:rsidR="004014AB">
        <w:t>On the basis of the information available to it, t</w:t>
      </w:r>
      <w:r>
        <w:t>he AER has determined what a reasonable business would have done in the circumstances</w:t>
      </w:r>
      <w:r w:rsidR="008B4AFD">
        <w:t xml:space="preserve">.  </w:t>
      </w:r>
      <w:r w:rsidR="0093569C">
        <w:t>Where SP AusNet has not provided information on its governance processes, the AER has had regard to information that a reasonable business in SP AusNet's circumstances ought to have known at the time</w:t>
      </w:r>
      <w:r w:rsidR="00355203">
        <w:t>.</w:t>
      </w:r>
      <w:r w:rsidR="00560323">
        <w:t xml:space="preserve"> The AER's use of information is discussed further in section </w:t>
      </w:r>
      <w:r w:rsidR="00AF0E53">
        <w:t>1.3</w:t>
      </w:r>
      <w:r w:rsidR="00065517">
        <w:t>.</w:t>
      </w:r>
    </w:p>
    <w:p w:rsidR="00266DA0" w:rsidRDefault="00F675F0" w:rsidP="00634D48">
      <w:pPr>
        <w:pStyle w:val="AERbodytext"/>
      </w:pPr>
      <w:r>
        <w:t>The AER</w:t>
      </w:r>
      <w:r w:rsidR="00AF4780">
        <w:t>'s quantitative analysis</w:t>
      </w:r>
      <w:r>
        <w:t xml:space="preserve"> </w:t>
      </w:r>
      <w:r w:rsidR="00E97370">
        <w:t>compares</w:t>
      </w:r>
      <w:r>
        <w:t xml:space="preserve"> the forward looking costs </w:t>
      </w:r>
      <w:r w:rsidR="00634D48">
        <w:t>likely to be incurred by SP AusNet in</w:t>
      </w:r>
      <w:r>
        <w:t xml:space="preserve"> implementing a mesh radio solution </w:t>
      </w:r>
      <w:r w:rsidR="00AF4780">
        <w:t>(</w:t>
      </w:r>
      <w:r>
        <w:t>including switching costs</w:t>
      </w:r>
      <w:r w:rsidR="00AF4780">
        <w:t>)</w:t>
      </w:r>
      <w:r>
        <w:t xml:space="preserve"> with </w:t>
      </w:r>
      <w:r w:rsidR="00AF4780">
        <w:t>SP AusNet's WiMAX solution</w:t>
      </w:r>
      <w:r w:rsidR="00634D48">
        <w:t>.</w:t>
      </w:r>
      <w:r w:rsidR="00AF4780">
        <w:t xml:space="preserve"> </w:t>
      </w:r>
      <w:r w:rsidR="009A4EE9">
        <w:t xml:space="preserve">The AER has </w:t>
      </w:r>
      <w:r w:rsidR="00ED5C2A">
        <w:t>focussed on the key cost elements that would differ depending on the communications solution chosen, rather than the cost of an entire rollout</w:t>
      </w:r>
      <w:r w:rsidR="009A4EE9">
        <w:t>.</w:t>
      </w:r>
      <w:r w:rsidR="00ED5C2A">
        <w:rPr>
          <w:rStyle w:val="FootnoteReference"/>
        </w:rPr>
        <w:footnoteReference w:id="19"/>
      </w:r>
      <w:r w:rsidR="00ED5C2A">
        <w:t xml:space="preserve"> </w:t>
      </w:r>
      <w:r w:rsidR="00634D48">
        <w:t xml:space="preserve">The AER has then considered the </w:t>
      </w:r>
      <w:r w:rsidR="00AF4780">
        <w:t>non-cost factors that a reasonable business in SP AusNet's circumstances would have had regard to at the time</w:t>
      </w:r>
      <w:r w:rsidR="00634D48">
        <w:t xml:space="preserve"> SP AusNet was reconsidering its Submitted Budget</w:t>
      </w:r>
      <w:r w:rsidR="00AF4780">
        <w:t>.</w:t>
      </w:r>
      <w:r w:rsidR="001E1D6F">
        <w:t xml:space="preserve"> </w:t>
      </w:r>
    </w:p>
    <w:p w:rsidR="005E3D38" w:rsidRDefault="00A66325" w:rsidP="00634D48">
      <w:pPr>
        <w:pStyle w:val="AERbodytext"/>
      </w:pPr>
      <w:r>
        <w:t xml:space="preserve">In </w:t>
      </w:r>
      <w:r w:rsidR="00266DA0">
        <w:t>conducting its quantitative and qualitative analysis</w:t>
      </w:r>
      <w:r>
        <w:t xml:space="preserve">, the AER has taken into </w:t>
      </w:r>
      <w:r w:rsidR="00266DA0">
        <w:t xml:space="preserve">account and given fundamental weight to </w:t>
      </w:r>
      <w:r w:rsidR="004014AB">
        <w:t xml:space="preserve">SP AusNet's circumstances and the </w:t>
      </w:r>
      <w:r>
        <w:t>factors listed in clause 5I.8 of the AMI Order</w:t>
      </w:r>
      <w:r w:rsidR="00EF4949" w:rsidRPr="00EF4949">
        <w:rPr>
          <w:rStyle w:val="FootnoteReference"/>
        </w:rPr>
        <w:footnoteReference w:id="20"/>
      </w:r>
      <w:r w:rsidR="00EF4949">
        <w:t xml:space="preserve"> </w:t>
      </w:r>
      <w:r w:rsidR="004014AB">
        <w:t>as evidenced by information provided by SP AusNet in its Reconsideration Submission, its information responses and Energeia's report.</w:t>
      </w:r>
    </w:p>
    <w:p w:rsidR="00E97370" w:rsidRDefault="00816B2D" w:rsidP="00634D48">
      <w:pPr>
        <w:pStyle w:val="AERbodytext"/>
      </w:pPr>
      <w:r>
        <w:t xml:space="preserve">This methodology enables the AER to determine </w:t>
      </w:r>
      <w:r w:rsidR="004014AB">
        <w:t xml:space="preserve">the commercial standard and </w:t>
      </w:r>
      <w:r>
        <w:t xml:space="preserve">whether </w:t>
      </w:r>
      <w:r w:rsidR="004014AB">
        <w:t xml:space="preserve">incurring the expenditure of $72.2 million involves a substantial departure from that standard.  If SP AusNet in proposing to incur $72.2 million substantially departed from that standard, </w:t>
      </w:r>
      <w:r w:rsidR="00E52A3E">
        <w:t xml:space="preserve">the AER must </w:t>
      </w:r>
      <w:r w:rsidR="00E97370">
        <w:t xml:space="preserve">reduce </w:t>
      </w:r>
      <w:r w:rsidR="00E52A3E">
        <w:t xml:space="preserve">SP AusNet's Approved Budget by not more than </w:t>
      </w:r>
      <w:r w:rsidR="004014AB">
        <w:t>expenditure i</w:t>
      </w:r>
      <w:r w:rsidR="00355203">
        <w:t>t</w:t>
      </w:r>
      <w:r w:rsidR="004014AB">
        <w:t xml:space="preserve"> has established is not prudent</w:t>
      </w:r>
      <w:r w:rsidR="00E52A3E">
        <w:t>.</w:t>
      </w:r>
      <w:r w:rsidR="00E52A3E">
        <w:rPr>
          <w:rStyle w:val="FootnoteReference"/>
        </w:rPr>
        <w:footnoteReference w:id="21"/>
      </w:r>
    </w:p>
    <w:p w:rsidR="00D44C05" w:rsidRPr="006730A1" w:rsidRDefault="00D44C05" w:rsidP="006730A1">
      <w:pPr>
        <w:pStyle w:val="AERheading2"/>
        <w:rPr>
          <w:rStyle w:val="AERbody"/>
          <w:color w:val="F2750E"/>
          <w:sz w:val="28"/>
        </w:rPr>
      </w:pPr>
      <w:bookmarkStart w:id="13" w:name="_Ref330991712"/>
      <w:bookmarkStart w:id="14" w:name="_Ref331663029"/>
      <w:bookmarkStart w:id="15" w:name="_Ref331738492"/>
      <w:bookmarkStart w:id="16" w:name="_Toc332382084"/>
      <w:r w:rsidRPr="006730A1">
        <w:rPr>
          <w:rStyle w:val="AERbody"/>
          <w:color w:val="F2750E"/>
          <w:sz w:val="28"/>
        </w:rPr>
        <w:t xml:space="preserve">Reasons for </w:t>
      </w:r>
      <w:bookmarkEnd w:id="13"/>
      <w:r w:rsidR="006730A1" w:rsidRPr="006730A1">
        <w:rPr>
          <w:rStyle w:val="AERbody"/>
          <w:color w:val="F2750E"/>
          <w:sz w:val="28"/>
        </w:rPr>
        <w:t>preliminary view</w:t>
      </w:r>
      <w:bookmarkEnd w:id="14"/>
      <w:bookmarkEnd w:id="15"/>
      <w:bookmarkEnd w:id="16"/>
    </w:p>
    <w:p w:rsidR="00723E5E" w:rsidRDefault="00EB4044" w:rsidP="004F1A11">
      <w:pPr>
        <w:pStyle w:val="AERbodytext"/>
        <w:rPr>
          <w:rStyle w:val="AERbody"/>
        </w:rPr>
      </w:pPr>
      <w:r>
        <w:rPr>
          <w:rStyle w:val="AERbody"/>
        </w:rPr>
        <w:t xml:space="preserve">The </w:t>
      </w:r>
      <w:r w:rsidR="00087318">
        <w:rPr>
          <w:rStyle w:val="AERbody"/>
        </w:rPr>
        <w:t xml:space="preserve">AER has concluded </w:t>
      </w:r>
      <w:r w:rsidR="00C62777">
        <w:rPr>
          <w:rStyle w:val="AERbody"/>
        </w:rPr>
        <w:t xml:space="preserve">from </w:t>
      </w:r>
      <w:r w:rsidR="00087318">
        <w:rPr>
          <w:rStyle w:val="AERbody"/>
        </w:rPr>
        <w:t xml:space="preserve">its quantitative and qualitative analysis that </w:t>
      </w:r>
      <w:r w:rsidR="00723E5E">
        <w:rPr>
          <w:rStyle w:val="AERbody"/>
        </w:rPr>
        <w:t xml:space="preserve">the commercial standard that </w:t>
      </w:r>
      <w:r w:rsidR="00087318">
        <w:rPr>
          <w:rStyle w:val="AERbody"/>
        </w:rPr>
        <w:t xml:space="preserve">a reasonable business </w:t>
      </w:r>
      <w:r w:rsidR="00723E5E">
        <w:rPr>
          <w:rStyle w:val="AERbody"/>
        </w:rPr>
        <w:t xml:space="preserve">would </w:t>
      </w:r>
      <w:r w:rsidR="00483F0D">
        <w:rPr>
          <w:rStyle w:val="AERbody"/>
        </w:rPr>
        <w:t xml:space="preserve">have </w:t>
      </w:r>
      <w:r w:rsidR="00723E5E">
        <w:rPr>
          <w:rStyle w:val="AERbody"/>
        </w:rPr>
        <w:t>exercise</w:t>
      </w:r>
      <w:r w:rsidR="00483F0D">
        <w:rPr>
          <w:rStyle w:val="AERbody"/>
        </w:rPr>
        <w:t>d</w:t>
      </w:r>
      <w:r w:rsidR="00723E5E">
        <w:rPr>
          <w:rStyle w:val="AERbody"/>
        </w:rPr>
        <w:t xml:space="preserve"> </w:t>
      </w:r>
      <w:r w:rsidR="00087318">
        <w:rPr>
          <w:rStyle w:val="AERbody"/>
        </w:rPr>
        <w:t>in SP AusNet's circumstances</w:t>
      </w:r>
      <w:r w:rsidR="00483F0D">
        <w:rPr>
          <w:rStyle w:val="AERbody"/>
        </w:rPr>
        <w:t xml:space="preserve"> would have been to</w:t>
      </w:r>
      <w:r w:rsidR="00087318">
        <w:rPr>
          <w:rStyle w:val="AERbody"/>
        </w:rPr>
        <w:t xml:space="preserve"> </w:t>
      </w:r>
      <w:r w:rsidR="00723E5E">
        <w:rPr>
          <w:rStyle w:val="AERbody"/>
        </w:rPr>
        <w:t xml:space="preserve">fully </w:t>
      </w:r>
      <w:r w:rsidR="00087318">
        <w:rPr>
          <w:rStyle w:val="AERbody"/>
        </w:rPr>
        <w:t>reconsider its Submitted Budget on 28 February 2011</w:t>
      </w:r>
      <w:r w:rsidR="000F39F8">
        <w:rPr>
          <w:rStyle w:val="AERbody"/>
        </w:rPr>
        <w:t>. The result of this reconsideration</w:t>
      </w:r>
      <w:r w:rsidR="00087318">
        <w:rPr>
          <w:rStyle w:val="AERbody"/>
        </w:rPr>
        <w:t xml:space="preserve"> would have </w:t>
      </w:r>
      <w:r w:rsidR="00723E5E">
        <w:rPr>
          <w:rStyle w:val="AERbody"/>
        </w:rPr>
        <w:t xml:space="preserve">been to </w:t>
      </w:r>
      <w:r w:rsidR="00087318">
        <w:rPr>
          <w:rStyle w:val="AERbody"/>
        </w:rPr>
        <w:t>switch</w:t>
      </w:r>
      <w:r w:rsidR="00723E5E">
        <w:rPr>
          <w:rStyle w:val="AERbody"/>
        </w:rPr>
        <w:t xml:space="preserve"> </w:t>
      </w:r>
      <w:r w:rsidR="00087318">
        <w:rPr>
          <w:rStyle w:val="AERbody"/>
        </w:rPr>
        <w:t xml:space="preserve">to mesh radio. </w:t>
      </w:r>
      <w:r w:rsidR="00C95D2E">
        <w:rPr>
          <w:rStyle w:val="AERbody"/>
        </w:rPr>
        <w:t>B</w:t>
      </w:r>
      <w:r w:rsidR="000F39F8">
        <w:rPr>
          <w:rStyle w:val="AERbody"/>
        </w:rPr>
        <w:t xml:space="preserve">y </w:t>
      </w:r>
      <w:r w:rsidR="00C95D2E">
        <w:rPr>
          <w:rStyle w:val="AERbody"/>
        </w:rPr>
        <w:t>deciding to incur</w:t>
      </w:r>
      <w:r w:rsidR="00723E5E">
        <w:rPr>
          <w:rStyle w:val="AERbody"/>
        </w:rPr>
        <w:t xml:space="preserve"> </w:t>
      </w:r>
      <w:r w:rsidR="00C95D2E">
        <w:rPr>
          <w:rStyle w:val="AERbody"/>
        </w:rPr>
        <w:t xml:space="preserve">the proposed </w:t>
      </w:r>
      <w:r w:rsidR="00723E5E">
        <w:rPr>
          <w:rStyle w:val="AERbody"/>
        </w:rPr>
        <w:t xml:space="preserve">WiMAX communications expenditure </w:t>
      </w:r>
      <w:r w:rsidR="001B7387">
        <w:rPr>
          <w:rStyle w:val="AERbody"/>
        </w:rPr>
        <w:t>after this time</w:t>
      </w:r>
      <w:r w:rsidR="00C95D2E">
        <w:rPr>
          <w:rStyle w:val="AERbody"/>
        </w:rPr>
        <w:t xml:space="preserve">, </w:t>
      </w:r>
      <w:r w:rsidR="00723E5E">
        <w:rPr>
          <w:rStyle w:val="AERbody"/>
        </w:rPr>
        <w:t>SP AusNet substantially departed from this standard.</w:t>
      </w:r>
      <w:r w:rsidR="00723E5E">
        <w:rPr>
          <w:rStyle w:val="FootnoteReference"/>
        </w:rPr>
        <w:footnoteReference w:id="22"/>
      </w:r>
    </w:p>
    <w:p w:rsidR="002525F4" w:rsidRDefault="00D86601" w:rsidP="002525F4">
      <w:pPr>
        <w:pStyle w:val="AERbodytext"/>
        <w:rPr>
          <w:rStyle w:val="AERbody"/>
        </w:rPr>
      </w:pPr>
      <w:r>
        <w:rPr>
          <w:rStyle w:val="AERbody"/>
        </w:rPr>
        <w:t xml:space="preserve">The AER's quantitative analysis shows that over a 15 year period from 2011–25 the cost of WiMAX </w:t>
      </w:r>
      <w:r w:rsidR="007F2C5F">
        <w:rPr>
          <w:rStyle w:val="AERbody"/>
        </w:rPr>
        <w:t xml:space="preserve">as at 28 February 2011 </w:t>
      </w:r>
      <w:r>
        <w:rPr>
          <w:rStyle w:val="AERbody"/>
        </w:rPr>
        <w:t xml:space="preserve">is approximately </w:t>
      </w:r>
      <w:r w:rsidR="0095490F">
        <w:rPr>
          <w:rStyle w:val="AERbody"/>
        </w:rPr>
        <w:t>58</w:t>
      </w:r>
      <w:r w:rsidR="00E37A9C">
        <w:rPr>
          <w:rStyle w:val="AERbody"/>
        </w:rPr>
        <w:t xml:space="preserve"> </w:t>
      </w:r>
      <w:r>
        <w:rPr>
          <w:rStyle w:val="AERbody"/>
        </w:rPr>
        <w:t>per cent higher than for mesh radio, including the costs to switch.</w:t>
      </w:r>
      <w:r w:rsidR="00436AA2">
        <w:rPr>
          <w:rStyle w:val="FootnoteReference"/>
        </w:rPr>
        <w:footnoteReference w:id="23"/>
      </w:r>
      <w:r>
        <w:rPr>
          <w:rStyle w:val="AERbody"/>
        </w:rPr>
        <w:t xml:space="preserve"> </w:t>
      </w:r>
      <w:r w:rsidR="00B17265">
        <w:rPr>
          <w:rStyle w:val="AERbody"/>
        </w:rPr>
        <w:t>Over the 2012–15 budget period, th</w:t>
      </w:r>
      <w:r w:rsidR="00AF66FE">
        <w:rPr>
          <w:rStyle w:val="AERbody"/>
        </w:rPr>
        <w:t>is</w:t>
      </w:r>
      <w:r w:rsidR="00B17265">
        <w:rPr>
          <w:rStyle w:val="AERbody"/>
        </w:rPr>
        <w:t xml:space="preserve"> difference is approximately </w:t>
      </w:r>
      <w:r w:rsidR="00355A9E">
        <w:rPr>
          <w:rStyle w:val="AERbody"/>
        </w:rPr>
        <w:t xml:space="preserve">46 </w:t>
      </w:r>
      <w:r w:rsidR="00B17265">
        <w:rPr>
          <w:rStyle w:val="AERbody"/>
        </w:rPr>
        <w:t>per cent.</w:t>
      </w:r>
      <w:r w:rsidR="00B17265">
        <w:rPr>
          <w:rStyle w:val="FootnoteReference"/>
        </w:rPr>
        <w:footnoteReference w:id="24"/>
      </w:r>
      <w:r w:rsidR="00B17265">
        <w:rPr>
          <w:rStyle w:val="AERbody"/>
        </w:rPr>
        <w:t xml:space="preserve"> </w:t>
      </w:r>
      <w:r>
        <w:rPr>
          <w:rStyle w:val="AERbody"/>
        </w:rPr>
        <w:t xml:space="preserve">This is </w:t>
      </w:r>
      <w:r w:rsidR="00B17265">
        <w:rPr>
          <w:rStyle w:val="AERbody"/>
        </w:rPr>
        <w:t>shown</w:t>
      </w:r>
      <w:r>
        <w:rPr>
          <w:rStyle w:val="AERbody"/>
        </w:rPr>
        <w:t xml:space="preserve"> in </w:t>
      </w:r>
      <w:r w:rsidR="00AF0E53">
        <w:rPr>
          <w:rStyle w:val="AERbody"/>
        </w:rPr>
        <w:t>Figure 1.2</w:t>
      </w:r>
      <w:r>
        <w:rPr>
          <w:rStyle w:val="AERbody"/>
        </w:rPr>
        <w:t>.</w:t>
      </w:r>
      <w:r w:rsidR="002525F4" w:rsidRPr="002525F4">
        <w:rPr>
          <w:rStyle w:val="AERbody"/>
        </w:rPr>
        <w:t xml:space="preserve"> </w:t>
      </w:r>
    </w:p>
    <w:p w:rsidR="002525F4" w:rsidRDefault="00AF0E53" w:rsidP="002525F4">
      <w:pPr>
        <w:pStyle w:val="AERbodytext"/>
        <w:rPr>
          <w:rStyle w:val="AERbody"/>
        </w:rPr>
      </w:pPr>
      <w:r>
        <w:rPr>
          <w:rStyle w:val="AERbody"/>
        </w:rPr>
        <w:t>Figure 1.2</w:t>
      </w:r>
      <w:r w:rsidR="002525F4">
        <w:rPr>
          <w:rStyle w:val="AERbody"/>
        </w:rPr>
        <w:t xml:space="preserve"> also demonstrates the AER's estimate of the costs that a reasonable business in SP AusNet's circumstances would incur to switch to mesh radio. The AER considers such switching costs would amount to $15.9 million over 2011–15, rather than the $107.2 million submitted by SP AusNet.</w:t>
      </w:r>
      <w:r w:rsidR="002525F4">
        <w:rPr>
          <w:rStyle w:val="FootnoteReference"/>
        </w:rPr>
        <w:footnoteReference w:id="25"/>
      </w:r>
      <w:r w:rsidR="002525F4">
        <w:rPr>
          <w:rStyle w:val="AERbody"/>
        </w:rPr>
        <w:t xml:space="preserve"> However, since some of these switching costs would be incurred in 2011, the amount of switching costs that would be incurred in 2012–15 is $11.7 million.</w:t>
      </w:r>
    </w:p>
    <w:p w:rsidR="00D86601" w:rsidRDefault="00D86601" w:rsidP="004F1A11">
      <w:pPr>
        <w:pStyle w:val="AERbodytext"/>
        <w:rPr>
          <w:rStyle w:val="AERbody"/>
        </w:rPr>
      </w:pPr>
    </w:p>
    <w:p w:rsidR="00D86601" w:rsidRDefault="00D86601" w:rsidP="00D86601">
      <w:pPr>
        <w:pStyle w:val="AERfigureheading"/>
        <w:rPr>
          <w:rStyle w:val="AERbody"/>
        </w:rPr>
      </w:pPr>
      <w:bookmarkStart w:id="17" w:name="_Ref331506709"/>
      <w:r>
        <w:rPr>
          <w:rStyle w:val="AERbody"/>
        </w:rPr>
        <w:t>Comparison of WiMAX and mesh radio costs for 2011–15 ($million, real 2011)</w:t>
      </w:r>
      <w:bookmarkEnd w:id="17"/>
    </w:p>
    <w:p w:rsidR="00D86601" w:rsidRDefault="00FF22F8" w:rsidP="00D86601">
      <w:pPr>
        <w:pStyle w:val="AERbodytext"/>
        <w:rPr>
          <w:rStyle w:val="AERbody"/>
        </w:rPr>
      </w:pPr>
      <w:r w:rsidRPr="00796207">
        <w:rPr>
          <w:rStyle w:val="AERbody"/>
        </w:rPr>
        <w:pict>
          <v:shape id="_x0000_i1026" type="#_x0000_t75" style="width:452.1pt;height:296.35pt">
            <v:imagedata r:id="rId14" o:title=""/>
          </v:shape>
        </w:pict>
      </w:r>
    </w:p>
    <w:p w:rsidR="00D86601" w:rsidRPr="005672AB" w:rsidRDefault="00D86601" w:rsidP="005672AB">
      <w:pPr>
        <w:pStyle w:val="AERtablesource"/>
        <w:rPr>
          <w:rStyle w:val="AERbody"/>
          <w:sz w:val="16"/>
        </w:rPr>
      </w:pPr>
      <w:r w:rsidRPr="005672AB">
        <w:rPr>
          <w:rStyle w:val="AERbody"/>
          <w:sz w:val="16"/>
        </w:rPr>
        <w:t>Source:</w:t>
      </w:r>
      <w:r w:rsidRPr="005672AB">
        <w:rPr>
          <w:rStyle w:val="AERbody"/>
          <w:sz w:val="16"/>
        </w:rPr>
        <w:tab/>
        <w:t>AER analysis.</w:t>
      </w:r>
    </w:p>
    <w:p w:rsidR="00273788" w:rsidRDefault="00273788" w:rsidP="002525F4">
      <w:pPr>
        <w:pStyle w:val="AERbodytext"/>
        <w:rPr>
          <w:rStyle w:val="AERbody"/>
        </w:rPr>
      </w:pPr>
      <w:r>
        <w:rPr>
          <w:rStyle w:val="AERbody"/>
        </w:rPr>
        <w:t>Had SP AusNet reconsidered its commitment to WiMAX communications as at 28 February 2011 and decided to switch to mesh radio – what the AER expects a reasonable business in the circumstances would have done – SP AusNet would have incurred only an additional $11.7 million above its Approved Budget for 2012–15. Instead, b</w:t>
      </w:r>
      <w:r w:rsidR="002525F4">
        <w:rPr>
          <w:rStyle w:val="AERbody"/>
        </w:rPr>
        <w:t xml:space="preserve">y not switching to mesh radio and continuing its AMI rollout with its WiMAX communications solution, SP AusNet is proposing to incur an additional $72.2 million above its Approved Budget. </w:t>
      </w:r>
    </w:p>
    <w:p w:rsidR="002525F4" w:rsidRDefault="002525F4" w:rsidP="002525F4">
      <w:pPr>
        <w:pStyle w:val="AERbodytext"/>
        <w:rPr>
          <w:rStyle w:val="AERbody"/>
        </w:rPr>
      </w:pPr>
      <w:r>
        <w:rPr>
          <w:rStyle w:val="AERbody"/>
        </w:rPr>
        <w:t>Therefore, by proposing to incur significantly more than $11.7 million (that is, $72.2 million) SP AusNet has substantially departed from the commercial standard of a reasonable business in its circumstances.</w:t>
      </w:r>
      <w:r>
        <w:rPr>
          <w:rStyle w:val="FootnoteReference"/>
        </w:rPr>
        <w:footnoteReference w:id="26"/>
      </w:r>
    </w:p>
    <w:p w:rsidR="002525F4" w:rsidRDefault="00C66E9E" w:rsidP="002525F4">
      <w:pPr>
        <w:pStyle w:val="AERbodytext"/>
        <w:rPr>
          <w:rStyle w:val="AERbody"/>
        </w:rPr>
      </w:pPr>
      <w:r>
        <w:rPr>
          <w:rStyle w:val="AERbody"/>
        </w:rPr>
        <w:t>Accordingly</w:t>
      </w:r>
      <w:r w:rsidR="002525F4">
        <w:rPr>
          <w:rStyle w:val="AERbody"/>
        </w:rPr>
        <w:t xml:space="preserve">, of the $72.2 million of expenditure remitted back to the AER </w:t>
      </w:r>
      <w:r>
        <w:rPr>
          <w:rStyle w:val="AERbody"/>
        </w:rPr>
        <w:t xml:space="preserve">by the Tribunal </w:t>
      </w:r>
      <w:r w:rsidR="002525F4">
        <w:rPr>
          <w:rStyle w:val="AERbody"/>
        </w:rPr>
        <w:t>for further consideration, the AER's preliminary view is that $</w:t>
      </w:r>
      <w:r>
        <w:rPr>
          <w:rStyle w:val="AERbody"/>
        </w:rPr>
        <w:t>60.5</w:t>
      </w:r>
      <w:r w:rsidR="002525F4">
        <w:rPr>
          <w:rStyle w:val="AERbody"/>
        </w:rPr>
        <w:t xml:space="preserve"> million is not prudent.</w:t>
      </w:r>
      <w:r w:rsidR="00273788">
        <w:rPr>
          <w:rStyle w:val="FootnoteReference"/>
        </w:rPr>
        <w:footnoteReference w:id="27"/>
      </w:r>
      <w:r w:rsidR="002525F4">
        <w:rPr>
          <w:rStyle w:val="AERbody"/>
        </w:rPr>
        <w:t xml:space="preserve"> Consistent with clause 5C.8 of the AMI Order, this amount should be removed from SP AusNet's 2012–15 Approved Budget.</w:t>
      </w:r>
      <w:r w:rsidR="00D754A0">
        <w:rPr>
          <w:rStyle w:val="FootnoteReference"/>
        </w:rPr>
        <w:footnoteReference w:id="28"/>
      </w:r>
      <w:r w:rsidR="002525F4">
        <w:rPr>
          <w:rStyle w:val="AERbody"/>
        </w:rPr>
        <w:t xml:space="preserve"> The AER's reasons and analysis are discussed in the sections that follow.</w:t>
      </w:r>
    </w:p>
    <w:p w:rsidR="00AF08C9" w:rsidRPr="00E4137B" w:rsidRDefault="00AF08C9" w:rsidP="00E4137B">
      <w:pPr>
        <w:pStyle w:val="AERheading3"/>
        <w:numPr>
          <w:ilvl w:val="2"/>
          <w:numId w:val="29"/>
        </w:numPr>
        <w:rPr>
          <w:rStyle w:val="AERbody"/>
          <w:color w:val="F2750E"/>
          <w:sz w:val="24"/>
        </w:rPr>
      </w:pPr>
      <w:r w:rsidRPr="00E4137B">
        <w:rPr>
          <w:rStyle w:val="AERbody"/>
          <w:color w:val="F2750E"/>
          <w:sz w:val="24"/>
        </w:rPr>
        <w:t>Should SP AusNet have switched to mesh radio?</w:t>
      </w:r>
    </w:p>
    <w:p w:rsidR="00F377B0" w:rsidRDefault="005E7DF4" w:rsidP="00924B57">
      <w:pPr>
        <w:pStyle w:val="AERbodytext"/>
        <w:rPr>
          <w:rStyle w:val="AERbody"/>
        </w:rPr>
      </w:pPr>
      <w:r>
        <w:rPr>
          <w:rStyle w:val="AERbody"/>
        </w:rPr>
        <w:t xml:space="preserve">The AER's approach to comparing the costs of WiMAX and mesh radio solutions differs in some respects to SP AusNet's. </w:t>
      </w:r>
      <w:r w:rsidR="00AF08C9">
        <w:rPr>
          <w:rStyle w:val="AERbody"/>
        </w:rPr>
        <w:t xml:space="preserve"> These </w:t>
      </w:r>
      <w:r w:rsidR="00DD0353">
        <w:rPr>
          <w:rStyle w:val="AERbody"/>
        </w:rPr>
        <w:t xml:space="preserve">points of difference are reflected in the AER's quantitative analysis and </w:t>
      </w:r>
      <w:r w:rsidR="00AF08C9">
        <w:rPr>
          <w:rStyle w:val="AERbody"/>
        </w:rPr>
        <w:t>are discussed in the sections that follow.</w:t>
      </w:r>
    </w:p>
    <w:p w:rsidR="00983E78" w:rsidRDefault="00144EA7">
      <w:pPr>
        <w:pStyle w:val="AERheading4"/>
        <w:rPr>
          <w:rStyle w:val="AERbody"/>
          <w:sz w:val="22"/>
          <w:lang w:eastAsia="en-AU"/>
        </w:rPr>
      </w:pPr>
      <w:r w:rsidRPr="005E7DF4">
        <w:rPr>
          <w:rStyle w:val="AERbody"/>
          <w:sz w:val="22"/>
        </w:rPr>
        <w:t>Relevant costs</w:t>
      </w:r>
    </w:p>
    <w:p w:rsidR="004B4637" w:rsidRDefault="005E7DF4" w:rsidP="004B4637">
      <w:pPr>
        <w:pStyle w:val="AERbodytext"/>
      </w:pPr>
      <w:r>
        <w:rPr>
          <w:rStyle w:val="AERbody"/>
        </w:rPr>
        <w:t>In its Reconsideration Submission, SP AusNet compared estimates of full rollout costs for both WiMAX and mesh radio solutions. However, the</w:t>
      </w:r>
      <w:r w:rsidR="004B4637">
        <w:t xml:space="preserve"> AER focus</w:t>
      </w:r>
      <w:r>
        <w:t>sed</w:t>
      </w:r>
      <w:r w:rsidR="004B4637">
        <w:t xml:space="preserve"> only on the key cost elements that would differ depending on the communications option.</w:t>
      </w:r>
      <w:r w:rsidR="004B4637">
        <w:rPr>
          <w:rStyle w:val="FootnoteReference"/>
        </w:rPr>
        <w:footnoteReference w:id="29"/>
      </w:r>
      <w:r>
        <w:t xml:space="preserve"> Accordingly, the AER removed all costs that it considered would be the same under either a WiMAX solution or a mesh radio solution.</w:t>
      </w:r>
    </w:p>
    <w:p w:rsidR="004B4637" w:rsidRDefault="004B4637" w:rsidP="004B4637">
      <w:pPr>
        <w:pStyle w:val="AERbodytext"/>
      </w:pPr>
      <w:r>
        <w:t>Such costs include the cost of meters, installing meters, AMI and IT program management costs and all post-2015 opex that is not related to the communications solution.</w:t>
      </w:r>
      <w:r>
        <w:rPr>
          <w:rStyle w:val="FootnoteReference"/>
        </w:rPr>
        <w:footnoteReference w:id="30"/>
      </w:r>
      <w:r>
        <w:t xml:space="preserve"> SP AusNet used the same assumption regarding meters and post-2015 opex, although it included the full meter costs in its cost-benefit analysis.</w:t>
      </w:r>
      <w:r>
        <w:rPr>
          <w:rStyle w:val="FootnoteReference"/>
        </w:rPr>
        <w:footnoteReference w:id="31"/>
      </w:r>
      <w:r>
        <w:t xml:space="preserve"> The AER also included additional capex after 2014 to account for ongoing network expansion, </w:t>
      </w:r>
      <w:r w:rsidR="005E7DF4">
        <w:t xml:space="preserve">and a full replacement of the complete IT system after 7 years, </w:t>
      </w:r>
      <w:r>
        <w:t>which SP AusNet did not.</w:t>
      </w:r>
      <w:r>
        <w:rPr>
          <w:rStyle w:val="FootnoteReference"/>
        </w:rPr>
        <w:footnoteReference w:id="32"/>
      </w:r>
      <w:r>
        <w:t xml:space="preserve"> </w:t>
      </w:r>
    </w:p>
    <w:p w:rsidR="00254092" w:rsidRPr="00AF08C9" w:rsidRDefault="00254092" w:rsidP="00AF08C9">
      <w:pPr>
        <w:pStyle w:val="AERheading4"/>
        <w:rPr>
          <w:rStyle w:val="AERbody"/>
          <w:sz w:val="22"/>
        </w:rPr>
      </w:pPr>
      <w:r w:rsidRPr="00AF08C9">
        <w:rPr>
          <w:rStyle w:val="AERbody"/>
          <w:sz w:val="22"/>
        </w:rPr>
        <w:t>Date of reconsideration</w:t>
      </w:r>
    </w:p>
    <w:p w:rsidR="00DE14A0" w:rsidRDefault="00DE14A0" w:rsidP="00DE14A0">
      <w:pPr>
        <w:pStyle w:val="AERbodytext"/>
      </w:pPr>
      <w:r>
        <w:t>In its reasons, t</w:t>
      </w:r>
      <w:r w:rsidRPr="0066144C">
        <w:t xml:space="preserve">he Tribunal </w:t>
      </w:r>
      <w:r>
        <w:t xml:space="preserve">referred to "costs already incurred to </w:t>
      </w:r>
      <w:r w:rsidRPr="0066144C">
        <w:t>the date of the new Submitted Budget</w:t>
      </w:r>
      <w:r>
        <w:t xml:space="preserve"> being reconsidered</w:t>
      </w:r>
      <w:r w:rsidR="00043B93">
        <w:t>.</w:t>
      </w:r>
      <w:r>
        <w:t>"</w:t>
      </w:r>
      <w:r w:rsidRPr="0066144C">
        <w:rPr>
          <w:rStyle w:val="FootnoteReference"/>
        </w:rPr>
        <w:footnoteReference w:id="33"/>
      </w:r>
      <w:r>
        <w:t xml:space="preserve"> The AER </w:t>
      </w:r>
      <w:r w:rsidR="00043B93">
        <w:t>considers this date is</w:t>
      </w:r>
      <w:r>
        <w:t xml:space="preserve"> 28 February 2011. This is the date by which SP AusNet was required under the AMI Order to submit its 2012–</w:t>
      </w:r>
      <w:r w:rsidRPr="002016F2">
        <w:t xml:space="preserve">15 </w:t>
      </w:r>
      <w:r>
        <w:t xml:space="preserve">Submitted Budget to the AER. In the months preceding this date, </w:t>
      </w:r>
      <w:r w:rsidR="00043B93">
        <w:t xml:space="preserve">a reasonable business in </w:t>
      </w:r>
      <w:r>
        <w:t>SP AusNet</w:t>
      </w:r>
      <w:r w:rsidR="00043B93">
        <w:t>'s circumstances</w:t>
      </w:r>
      <w:r>
        <w:t xml:space="preserve"> would have assessed its forecast expenditure for the 2012–15 period and reconsidered its commitment to proceed with WiMAX in accordance with that part of the commercial standard accepted by the Tribunal.</w:t>
      </w:r>
      <w:r>
        <w:rPr>
          <w:rStyle w:val="FootnoteReference"/>
        </w:rPr>
        <w:footnoteReference w:id="34"/>
      </w:r>
      <w:r>
        <w:t xml:space="preserve">  </w:t>
      </w:r>
    </w:p>
    <w:p w:rsidR="00FA7561" w:rsidRDefault="005E7DF4" w:rsidP="00DE14A0">
      <w:pPr>
        <w:pStyle w:val="AERbodytext"/>
      </w:pPr>
      <w:r>
        <w:t xml:space="preserve">In its Reconsideration Submission, </w:t>
      </w:r>
      <w:r w:rsidR="00DE14A0" w:rsidRPr="0066144C">
        <w:t xml:space="preserve">SP AusNet </w:t>
      </w:r>
      <w:r w:rsidR="00DE14A0">
        <w:t>submitted</w:t>
      </w:r>
      <w:r w:rsidR="00DE14A0" w:rsidRPr="0066144C">
        <w:t xml:space="preserve"> that the relevant timeframe for reconsideration</w:t>
      </w:r>
      <w:r w:rsidR="00DE14A0">
        <w:t xml:space="preserve"> </w:t>
      </w:r>
      <w:r w:rsidR="006A1766">
        <w:t xml:space="preserve">is </w:t>
      </w:r>
      <w:r w:rsidR="006A1766" w:rsidRPr="0066144C">
        <w:t xml:space="preserve">the </w:t>
      </w:r>
      <w:r w:rsidR="00C36B9C">
        <w:t>"</w:t>
      </w:r>
      <w:r w:rsidR="006A1766" w:rsidRPr="0066144C">
        <w:t>months leading up to 19 May 2011</w:t>
      </w:r>
      <w:r w:rsidR="00C36B9C">
        <w:t>"</w:t>
      </w:r>
      <w:r w:rsidR="006A1766" w:rsidRPr="0066144C">
        <w:t xml:space="preserve"> </w:t>
      </w:r>
      <w:r w:rsidR="00DE14A0">
        <w:t xml:space="preserve">and </w:t>
      </w:r>
      <w:r w:rsidR="00C36B9C">
        <w:t xml:space="preserve">"about </w:t>
      </w:r>
      <w:r w:rsidR="00DE14A0">
        <w:t>mid 2011</w:t>
      </w:r>
      <w:r w:rsidR="00C36B9C">
        <w:t>"</w:t>
      </w:r>
      <w:r w:rsidR="00DE14A0">
        <w:t xml:space="preserve"> is the date a decision would have been made on the choice of </w:t>
      </w:r>
      <w:r w:rsidR="00DE14A0" w:rsidRPr="0066144C">
        <w:t>technology.</w:t>
      </w:r>
      <w:r w:rsidR="00DE14A0" w:rsidRPr="0066144C">
        <w:rPr>
          <w:rStyle w:val="FootnoteReference"/>
        </w:rPr>
        <w:footnoteReference w:id="35"/>
      </w:r>
      <w:r w:rsidR="00DE14A0" w:rsidRPr="0066144C">
        <w:t xml:space="preserve"> </w:t>
      </w:r>
      <w:r w:rsidR="00FA7561">
        <w:t xml:space="preserve">Note this is well after a considered budget proposal for the 2012-15 period was provided to the regulator under the OIC. </w:t>
      </w:r>
    </w:p>
    <w:p w:rsidR="00DE14A0" w:rsidRDefault="00DE14A0" w:rsidP="00DE14A0">
      <w:pPr>
        <w:pStyle w:val="AERbodytext"/>
      </w:pPr>
      <w:r>
        <w:t xml:space="preserve">On 19 May 2011, </w:t>
      </w:r>
      <w:r w:rsidRPr="00EE4A02">
        <w:t xml:space="preserve">several problems associated with WiMAX </w:t>
      </w:r>
      <w:r>
        <w:t>were presented at SP AusNet's AMI Executive Steering Committee.</w:t>
      </w:r>
      <w:r>
        <w:rPr>
          <w:rStyle w:val="FootnoteReference"/>
        </w:rPr>
        <w:footnoteReference w:id="36"/>
      </w:r>
      <w:r>
        <w:t xml:space="preserve"> SP AusNet considered:</w:t>
      </w:r>
    </w:p>
    <w:p w:rsidR="00CD195A" w:rsidRDefault="00DE14A0">
      <w:pPr>
        <w:pStyle w:val="AERbulletlistfirststyle"/>
      </w:pPr>
      <w:r>
        <w:t>this period for the reconsideration best accorded with the AER's determination and the Tribunal's reasons</w:t>
      </w:r>
      <w:r w:rsidR="00C36B9C">
        <w:t xml:space="preserve"> because:</w:t>
      </w:r>
      <w:r>
        <w:rPr>
          <w:rStyle w:val="FootnoteReference"/>
        </w:rPr>
        <w:footnoteReference w:id="37"/>
      </w:r>
      <w:r>
        <w:t xml:space="preserve"> </w:t>
      </w:r>
    </w:p>
    <w:p w:rsidR="00CD195A" w:rsidRDefault="00C36B9C">
      <w:pPr>
        <w:pStyle w:val="AERbulletlistsecondstyle"/>
      </w:pPr>
      <w:r>
        <w:t>t</w:t>
      </w:r>
      <w:r w:rsidR="00DE14A0">
        <w:t>he AER referred to this information in its final determination to demonstrate that SP AusNet had departed from the commercial standard of a reasonable business in SP AusNet's circumstances</w:t>
      </w:r>
      <w:r w:rsidR="00DE14A0">
        <w:rPr>
          <w:rStyle w:val="FootnoteReference"/>
        </w:rPr>
        <w:footnoteReference w:id="38"/>
      </w:r>
      <w:r w:rsidR="00DE14A0">
        <w:t xml:space="preserve"> </w:t>
      </w:r>
    </w:p>
    <w:p w:rsidR="00CD195A" w:rsidRDefault="00C36B9C">
      <w:pPr>
        <w:pStyle w:val="AERbulletlistsecondstyle"/>
      </w:pPr>
      <w:r>
        <w:t>t</w:t>
      </w:r>
      <w:r w:rsidR="00DE14A0">
        <w:t>he Tribunal agreed that the identified problems supported the AER's view that SP AusNet's proposed WiMAX communications expenditure ought to have been reconsidered</w:t>
      </w:r>
      <w:r w:rsidR="00DE14A0">
        <w:rPr>
          <w:rStyle w:val="FootnoteReference"/>
        </w:rPr>
        <w:footnoteReference w:id="39"/>
      </w:r>
      <w:r w:rsidR="00DE14A0">
        <w:t xml:space="preserve"> </w:t>
      </w:r>
    </w:p>
    <w:p w:rsidR="00CD195A" w:rsidRDefault="00DE14A0">
      <w:pPr>
        <w:pStyle w:val="AERbulletlistfirststyle"/>
      </w:pPr>
      <w:r>
        <w:t xml:space="preserve">the Tribunal's reference to the number of meters installed as at 23 September 2011 </w:t>
      </w:r>
      <w:r w:rsidR="00C36B9C">
        <w:t>supported</w:t>
      </w:r>
      <w:r>
        <w:t xml:space="preserve"> its view.</w:t>
      </w:r>
      <w:r>
        <w:rPr>
          <w:rStyle w:val="FootnoteReference"/>
        </w:rPr>
        <w:footnoteReference w:id="40"/>
      </w:r>
    </w:p>
    <w:p w:rsidR="00DE14A0" w:rsidRDefault="00DE14A0" w:rsidP="00DE14A0">
      <w:pPr>
        <w:pStyle w:val="AERbodytext"/>
      </w:pPr>
      <w:r>
        <w:t xml:space="preserve">In response to </w:t>
      </w:r>
      <w:r w:rsidR="00C36B9C">
        <w:t>a</w:t>
      </w:r>
      <w:r>
        <w:t xml:space="preserve"> request for further information</w:t>
      </w:r>
      <w:r w:rsidR="00C36B9C">
        <w:t xml:space="preserve"> from the AER</w:t>
      </w:r>
      <w:r>
        <w:t>,</w:t>
      </w:r>
      <w:r>
        <w:rPr>
          <w:rStyle w:val="FootnoteReference"/>
        </w:rPr>
        <w:footnoteReference w:id="41"/>
      </w:r>
      <w:r>
        <w:t xml:space="preserve"> SP AusNet </w:t>
      </w:r>
      <w:r w:rsidR="005E7DF4">
        <w:t xml:space="preserve">later </w:t>
      </w:r>
      <w:r>
        <w:t>submitted</w:t>
      </w:r>
      <w:r w:rsidR="005E7DF4">
        <w:t>, on 29 June 2012,</w:t>
      </w:r>
      <w:r>
        <w:t xml:space="preserve"> that the date of the new Submitted Budget could alternatively be the date of the AER's draft determination </w:t>
      </w:r>
      <w:r w:rsidR="005E7DF4">
        <w:t xml:space="preserve">of </w:t>
      </w:r>
      <w:r>
        <w:t>28 July 2011.</w:t>
      </w:r>
      <w:r>
        <w:rPr>
          <w:rStyle w:val="FootnoteReference"/>
        </w:rPr>
        <w:footnoteReference w:id="42"/>
      </w:r>
      <w:r>
        <w:t xml:space="preserve"> SP AusNet referred to the wording of clause 5C.5(a) of the AMI Order, which states if the AER rejects the Submitted Budget in its draft determination it must state what "new Submitted Budget" it would determine to approve.</w:t>
      </w:r>
      <w:r>
        <w:rPr>
          <w:rStyle w:val="FootnoteReference"/>
        </w:rPr>
        <w:footnoteReference w:id="43"/>
      </w:r>
      <w:r>
        <w:t xml:space="preserve"> SP AusNet further submitted that the Tribunal's reasons could be interpreted as suggesting that the AER's adverse draft determination would have prompted SP AusNet's reconsideration.</w:t>
      </w:r>
      <w:r>
        <w:rPr>
          <w:rStyle w:val="FootnoteReference"/>
        </w:rPr>
        <w:footnoteReference w:id="44"/>
      </w:r>
    </w:p>
    <w:p w:rsidR="00DE14A0" w:rsidRDefault="00DE14A0" w:rsidP="00DE14A0">
      <w:pPr>
        <w:pStyle w:val="AERbodytext"/>
      </w:pPr>
      <w:r>
        <w:t>The AER does not agree with SP AusNet's submissions</w:t>
      </w:r>
      <w:r w:rsidR="00DD0353">
        <w:t>.</w:t>
      </w:r>
      <w:r>
        <w:t xml:space="preserve"> </w:t>
      </w:r>
      <w:r w:rsidR="00DD0353">
        <w:t xml:space="preserve">The AER </w:t>
      </w:r>
      <w:r>
        <w:t xml:space="preserve">considers 28 February 2011 is the reconsideration date </w:t>
      </w:r>
      <w:r w:rsidR="00DD0353">
        <w:t xml:space="preserve">and has conducted its analysis on this basis </w:t>
      </w:r>
      <w:r>
        <w:t>because:</w:t>
      </w:r>
    </w:p>
    <w:p w:rsidR="00AC6029" w:rsidRDefault="00DE14A0" w:rsidP="00DE14A0">
      <w:pPr>
        <w:pStyle w:val="AERbulletlistfirststyle"/>
      </w:pPr>
      <w:r>
        <w:t xml:space="preserve">the commercial standard </w:t>
      </w:r>
      <w:r w:rsidR="00342753">
        <w:t xml:space="preserve">accepted by the Tribunal </w:t>
      </w:r>
      <w:r>
        <w:t>necessarily implies that a reasonable business in SP AusNet's circumstances would have undertaken a full reconsideration of the use of WiMAX prior to submitting its new Submitted Budget for the 2012</w:t>
      </w:r>
      <w:r w:rsidR="00342753">
        <w:t>–</w:t>
      </w:r>
      <w:r>
        <w:t>15 regulatory period.  This is because the commercial standard was based on corporate governance procedures and practice.</w:t>
      </w:r>
      <w:r w:rsidR="00EE48D1">
        <w:rPr>
          <w:rStyle w:val="FootnoteReference"/>
        </w:rPr>
        <w:footnoteReference w:id="45"/>
      </w:r>
      <w:r>
        <w:t xml:space="preserve">   </w:t>
      </w:r>
      <w:r w:rsidR="00EE48D1">
        <w:t>I</w:t>
      </w:r>
      <w:r>
        <w:t xml:space="preserve">ncreases in the costs of SP AusNet's AMI rollout </w:t>
      </w:r>
      <w:r w:rsidR="00EE48D1">
        <w:t xml:space="preserve">were known </w:t>
      </w:r>
      <w:r>
        <w:t>prior to 28 February 2011</w:t>
      </w:r>
      <w:r w:rsidR="00342753">
        <w:rPr>
          <w:rStyle w:val="FootnoteReference"/>
        </w:rPr>
        <w:footnoteReference w:id="46"/>
      </w:r>
      <w:r>
        <w:t xml:space="preserve"> </w:t>
      </w:r>
      <w:r w:rsidR="00EE48D1">
        <w:t xml:space="preserve">and </w:t>
      </w:r>
      <w:r>
        <w:t xml:space="preserve">the Tribunal accepted </w:t>
      </w:r>
      <w:r w:rsidR="00EE48D1">
        <w:t xml:space="preserve">they </w:t>
      </w:r>
      <w:r>
        <w:t>were related to WiMAX to the extent that "the choice of technology was crucial to the program structure and cost</w:t>
      </w:r>
      <w:r w:rsidR="00EE48D1">
        <w:t>.</w:t>
      </w:r>
      <w:r>
        <w:t>"</w:t>
      </w:r>
      <w:r w:rsidR="00043B93">
        <w:rPr>
          <w:rStyle w:val="FootnoteReference"/>
        </w:rPr>
        <w:footnoteReference w:id="47"/>
      </w:r>
      <w:r>
        <w:t xml:space="preserve"> </w:t>
      </w:r>
    </w:p>
    <w:p w:rsidR="00DE14A0" w:rsidRDefault="00EE48D1" w:rsidP="00DE14A0">
      <w:pPr>
        <w:pStyle w:val="AERbulletlistfirststyle"/>
      </w:pPr>
      <w:r>
        <w:t>I</w:t>
      </w:r>
      <w:r w:rsidR="00DE14A0">
        <w:t>t follows that a full reconsideration would have occurred prior to that time</w:t>
      </w:r>
      <w:r w:rsidR="00342753">
        <w:t xml:space="preserve"> </w:t>
      </w:r>
      <w:r w:rsidR="00DE14A0">
        <w:t>in line with proper governance procedures and practice.</w:t>
      </w:r>
      <w:r w:rsidR="00AC6029">
        <w:rPr>
          <w:rStyle w:val="FootnoteReference"/>
        </w:rPr>
        <w:footnoteReference w:id="48"/>
      </w:r>
      <w:r w:rsidR="00DA5222">
        <w:t xml:space="preserve"> Indeed, the AER considers </w:t>
      </w:r>
      <w:r w:rsidR="00AC6029">
        <w:t xml:space="preserve">February 2011 would be the latest date a </w:t>
      </w:r>
      <w:r w:rsidR="00DA5222">
        <w:t>reconsideration should have occurred</w:t>
      </w:r>
      <w:r w:rsidR="00AC6029">
        <w:t xml:space="preserve"> as there were several opportunities prior to this date</w:t>
      </w:r>
      <w:r w:rsidR="00DA5222">
        <w:t>:</w:t>
      </w:r>
      <w:r w:rsidR="00AC6029">
        <w:rPr>
          <w:rStyle w:val="FootnoteReference"/>
        </w:rPr>
        <w:footnoteReference w:id="49"/>
      </w:r>
    </w:p>
    <w:p w:rsidR="00DA5222" w:rsidRDefault="00DA5222" w:rsidP="00DA5222">
      <w:pPr>
        <w:pStyle w:val="AERbulletlistsecondstyle"/>
      </w:pPr>
      <w:r>
        <w:t xml:space="preserve">in July 2008 following </w:t>
      </w:r>
      <w:r w:rsidR="00445BC8">
        <w:t xml:space="preserve">the assessment </w:t>
      </w:r>
      <w:r>
        <w:t>o</w:t>
      </w:r>
      <w:r w:rsidR="00445BC8">
        <w:t>f</w:t>
      </w:r>
      <w:r>
        <w:t xml:space="preserve"> the responses received to </w:t>
      </w:r>
      <w:r w:rsidR="00445BC8">
        <w:t>the RFT 2008/T15</w:t>
      </w:r>
      <w:r>
        <w:t xml:space="preserve"> tender process</w:t>
      </w:r>
      <w:r w:rsidR="00445BC8">
        <w:t xml:space="preserve"> by the consultant managing the process</w:t>
      </w:r>
      <w:r>
        <w:t>, which showed mesh radio to be 70 per cent cheaper than WiMAX</w:t>
      </w:r>
    </w:p>
    <w:p w:rsidR="00DA5222" w:rsidRDefault="00DA5222" w:rsidP="00DA5222">
      <w:pPr>
        <w:pStyle w:val="AERbulletlistsecondstyle"/>
      </w:pPr>
      <w:r>
        <w:t xml:space="preserve">in September 2009 before signing the WiMAX meter contracts, when it became clear that the meter costs were substantially higher than initially </w:t>
      </w:r>
      <w:r w:rsidR="005E7DF4">
        <w:t>submitted to the AER in the 2009–11 Budget and Charges process</w:t>
      </w:r>
    </w:p>
    <w:p w:rsidR="00AC6029" w:rsidRDefault="00AC6029" w:rsidP="00DA5222">
      <w:pPr>
        <w:pStyle w:val="AERbulletlistsecondstyle"/>
      </w:pPr>
      <w:r>
        <w:t xml:space="preserve">in July 2010 when the Board was made aware that </w:t>
      </w:r>
      <w:r w:rsidR="00A30E40">
        <w:t xml:space="preserve">AMI rollout costs </w:t>
      </w:r>
      <w:r>
        <w:t>had increased 19 per cent from the July 2008 business case</w:t>
      </w:r>
    </w:p>
    <w:p w:rsidR="00DA5222" w:rsidRDefault="00AC6029" w:rsidP="00DA5222">
      <w:pPr>
        <w:pStyle w:val="AERbulletlistsecondstyle"/>
      </w:pPr>
      <w:r>
        <w:t xml:space="preserve">any other </w:t>
      </w:r>
      <w:r w:rsidR="00DA5222">
        <w:t>time up to submitting its 2012–15 budget proposal in February 2011 following the developments in WiMAX and mesh radio cost and performance over the period to December 2010. Mesh radio was successfully deployed by the four other Victorian DNSPs at significantly lower cost than SP AusNet's WiMAX solution</w:t>
      </w:r>
      <w:r w:rsidR="00445BC8">
        <w:t xml:space="preserve"> during this time</w:t>
      </w:r>
      <w:r>
        <w:t xml:space="preserve">. </w:t>
      </w:r>
    </w:p>
    <w:p w:rsidR="00D91880" w:rsidRDefault="00DE14A0" w:rsidP="00DE14A0">
      <w:pPr>
        <w:pStyle w:val="AERbulletlistfirststyle"/>
      </w:pPr>
      <w:r>
        <w:t xml:space="preserve">28 February 2011 is the date by which SP AusNet was required to submit its new Submitted Budget </w:t>
      </w:r>
      <w:r w:rsidR="00342753">
        <w:t xml:space="preserve">for 2012–15 </w:t>
      </w:r>
      <w:r>
        <w:t>to the AER. SP AusNet would have had to evaluate its rollout program in the preceding months to</w:t>
      </w:r>
      <w:r w:rsidRPr="0003584F">
        <w:t xml:space="preserve"> the extent that it had prepared its budget based </w:t>
      </w:r>
      <w:r>
        <w:t xml:space="preserve">largely </w:t>
      </w:r>
      <w:r w:rsidRPr="0003584F">
        <w:t>on WiMAX technology</w:t>
      </w:r>
      <w:r>
        <w:t xml:space="preserve">. </w:t>
      </w:r>
    </w:p>
    <w:p w:rsidR="00DE14A0" w:rsidRDefault="00D91880" w:rsidP="00DE14A0">
      <w:pPr>
        <w:pStyle w:val="AERbulletlistfirststyle"/>
      </w:pPr>
      <w:r>
        <w:t xml:space="preserve">28 February 2011 </w:t>
      </w:r>
      <w:r w:rsidR="00DE14A0">
        <w:t xml:space="preserve">is also the date SP AusNet </w:t>
      </w:r>
      <w:r w:rsidR="00DE14A0" w:rsidRPr="00682CF1">
        <w:t xml:space="preserve">submitted a Revised Budget </w:t>
      </w:r>
      <w:r w:rsidR="00DE14A0" w:rsidRPr="00742C3A">
        <w:t xml:space="preserve">application </w:t>
      </w:r>
      <w:r w:rsidR="00342753">
        <w:t xml:space="preserve">(RBA) </w:t>
      </w:r>
      <w:r w:rsidR="00DE14A0" w:rsidRPr="00742C3A">
        <w:t>for the 2009–11 period</w:t>
      </w:r>
      <w:r w:rsidR="00DE14A0">
        <w:t>, which requested</w:t>
      </w:r>
      <w:r w:rsidR="00DE14A0" w:rsidRPr="00742C3A">
        <w:t xml:space="preserve"> additional WiMAX-related expenditure</w:t>
      </w:r>
      <w:r w:rsidR="00342753">
        <w:t xml:space="preserve">. The RBA </w:t>
      </w:r>
      <w:r w:rsidR="00DE14A0">
        <w:t>indicated that SP AusNet had been aware of significant costs increases since September 2009 when it entered into meter supply contracts</w:t>
      </w:r>
      <w:r w:rsidR="00342753">
        <w:t>.</w:t>
      </w:r>
      <w:r w:rsidR="00342753" w:rsidRPr="00742C3A">
        <w:rPr>
          <w:rStyle w:val="FootnoteReference"/>
        </w:rPr>
        <w:footnoteReference w:id="50"/>
      </w:r>
    </w:p>
    <w:p w:rsidR="00DE14A0" w:rsidRDefault="00DE14A0" w:rsidP="00DE14A0">
      <w:pPr>
        <w:pStyle w:val="AERbulletlistfirststyle"/>
      </w:pPr>
      <w:r>
        <w:t>t</w:t>
      </w:r>
      <w:r w:rsidRPr="00CF6E57">
        <w:t>he evidence before the Tribunal revealed that no full reconsideration had occurr</w:t>
      </w:r>
      <w:r w:rsidR="00445BC8">
        <w:t>ed since the 2008 Business Case. T</w:t>
      </w:r>
      <w:r w:rsidRPr="00CF6E57">
        <w:t xml:space="preserve">here is no basis on which to select 19 May 2011 as a date for when </w:t>
      </w:r>
      <w:r w:rsidR="00445BC8">
        <w:t>the reconsideration</w:t>
      </w:r>
      <w:r w:rsidRPr="00CF6E57">
        <w:t xml:space="preserve"> should have occurred</w:t>
      </w:r>
      <w:r>
        <w:t xml:space="preserve"> merely because that </w:t>
      </w:r>
      <w:r w:rsidR="00D91880">
        <w:t xml:space="preserve">was the </w:t>
      </w:r>
      <w:r>
        <w:t xml:space="preserve">date when SP AusNet chose to undertake a Management Review </w:t>
      </w:r>
      <w:r w:rsidR="00445BC8">
        <w:t>that</w:t>
      </w:r>
      <w:r>
        <w:t xml:space="preserve"> the Tribunal accepted was not </w:t>
      </w:r>
      <w:r w:rsidR="00D91880">
        <w:t xml:space="preserve">even </w:t>
      </w:r>
      <w:r>
        <w:t>a full reconsideration</w:t>
      </w:r>
      <w:r w:rsidRPr="00CF6E57">
        <w:t>.</w:t>
      </w:r>
      <w:r w:rsidR="00342753">
        <w:rPr>
          <w:rStyle w:val="FootnoteReference"/>
        </w:rPr>
        <w:footnoteReference w:id="51"/>
      </w:r>
      <w:r w:rsidRPr="00CF6E57">
        <w:t xml:space="preserve"> </w:t>
      </w:r>
      <w:r>
        <w:t xml:space="preserve">As such, this date is not relevant to the regulatory timeframe for the preparation of SP AusNet's new Submitted Budget for 2012–15. </w:t>
      </w:r>
    </w:p>
    <w:p w:rsidR="00DE14A0" w:rsidRDefault="00DE14A0" w:rsidP="00DE14A0">
      <w:pPr>
        <w:pStyle w:val="AERbulletlistfirststyle"/>
      </w:pPr>
      <w:r>
        <w:t xml:space="preserve">there is a logical inconsistency in </w:t>
      </w:r>
      <w:r w:rsidRPr="0066144C">
        <w:t>SP AusNet</w:t>
      </w:r>
      <w:r>
        <w:t>'s preferred reconsideration date because SP AusNet</w:t>
      </w:r>
      <w:r w:rsidRPr="0066144C">
        <w:t xml:space="preserve"> </w:t>
      </w:r>
      <w:r>
        <w:t xml:space="preserve">has assumed </w:t>
      </w:r>
      <w:r w:rsidRPr="0066144C">
        <w:t xml:space="preserve">the cost of </w:t>
      </w:r>
      <w:r w:rsidRPr="0020296B">
        <w:t xml:space="preserve">an AMI </w:t>
      </w:r>
      <w:r>
        <w:t>rollout</w:t>
      </w:r>
      <w:r w:rsidRPr="0020296B">
        <w:t xml:space="preserve"> using WiMAX in its Option 1 scenario </w:t>
      </w:r>
      <w:r>
        <w:t xml:space="preserve">as at </w:t>
      </w:r>
      <w:r w:rsidRPr="0066144C">
        <w:t>28 February 2011</w:t>
      </w:r>
      <w:r>
        <w:t>, not 19 May 2011</w:t>
      </w:r>
      <w:r w:rsidR="00043B93">
        <w:t>.</w:t>
      </w:r>
      <w:r w:rsidRPr="008514C1">
        <w:rPr>
          <w:rStyle w:val="FootnoteReference"/>
        </w:rPr>
        <w:footnoteReference w:id="52"/>
      </w:r>
      <w:r w:rsidR="00043B93">
        <w:t xml:space="preserve"> </w:t>
      </w:r>
      <w:r w:rsidR="005E7DF4">
        <w:t xml:space="preserve">In contrast, SP AusNet's costs for its Options 2 and 3 scenarios are as of May 2011, which would not lead to a like for like comparison between its own options. If </w:t>
      </w:r>
      <w:r w:rsidR="00043B93">
        <w:t xml:space="preserve">the AER </w:t>
      </w:r>
      <w:r w:rsidR="005E7DF4">
        <w:t xml:space="preserve">were </w:t>
      </w:r>
      <w:r w:rsidR="00043B93">
        <w:t>to consider SP AusNet's proposed reconsideration date, SP AusNet would need to update its Option 1 estimate to incorporate the higher WiMAX costs known on 19 May 2011.</w:t>
      </w:r>
    </w:p>
    <w:p w:rsidR="00EE48D1" w:rsidRPr="00EE48D1" w:rsidRDefault="00EE48D1" w:rsidP="00EE48D1">
      <w:pPr>
        <w:pStyle w:val="AERbulletlistfirststyle"/>
      </w:pPr>
      <w:r w:rsidRPr="00EE48D1">
        <w:t>despite the language of the AMI Order, there is no suggestion in the Tribunal's reasons that SP AusNet's reconsideration would only have been prompted by the AER's draft determination.  Such a view would also be at odds with good governance practices, which the Tribunal noted were the basis of the AER’s commercial standard</w:t>
      </w:r>
      <w:r>
        <w:rPr>
          <w:rStyle w:val="FootnoteReference"/>
        </w:rPr>
        <w:footnoteReference w:id="53"/>
      </w:r>
      <w:r w:rsidRPr="00EE48D1">
        <w:t xml:space="preserve"> because </w:t>
      </w:r>
      <w:r w:rsidR="00AF66FE">
        <w:t xml:space="preserve">under any concept of a commercial standard, </w:t>
      </w:r>
      <w:r w:rsidRPr="00EE48D1">
        <w:t xml:space="preserve">companies </w:t>
      </w:r>
      <w:r w:rsidR="00AF66FE">
        <w:t>would</w:t>
      </w:r>
      <w:r w:rsidRPr="00EE48D1">
        <w:t xml:space="preserve"> not rely on regulators to act before complying with good governance procedures and practices.</w:t>
      </w:r>
    </w:p>
    <w:p w:rsidR="00DE14A0" w:rsidRDefault="00DE14A0" w:rsidP="00DE14A0">
      <w:pPr>
        <w:pStyle w:val="AERbulletlistfirststyle"/>
      </w:pPr>
      <w:r w:rsidRPr="0018203B">
        <w:t xml:space="preserve">the Tribunal's reasons </w:t>
      </w:r>
      <w:r>
        <w:t>do not</w:t>
      </w:r>
      <w:r w:rsidRPr="0018203B">
        <w:t xml:space="preserve"> suggest that the number of meters rolled out </w:t>
      </w:r>
      <w:r>
        <w:t>as at</w:t>
      </w:r>
      <w:r w:rsidRPr="0018203B">
        <w:t xml:space="preserve"> </w:t>
      </w:r>
      <w:r>
        <w:t xml:space="preserve">23 </w:t>
      </w:r>
      <w:r w:rsidRPr="0018203B">
        <w:t xml:space="preserve">September </w:t>
      </w:r>
      <w:r>
        <w:t xml:space="preserve">2011 </w:t>
      </w:r>
      <w:r w:rsidRPr="0018203B">
        <w:t>supports a reconsideration date of 19 May</w:t>
      </w:r>
      <w:r>
        <w:t xml:space="preserve"> 2011</w:t>
      </w:r>
      <w:r w:rsidRPr="0018203B">
        <w:t xml:space="preserve">. </w:t>
      </w:r>
      <w:r>
        <w:t>The AER considers the Tribunal referred to meter numbers only to demonstrate (using the information available to it</w:t>
      </w:r>
      <w:r>
        <w:rPr>
          <w:rStyle w:val="FootnoteReference"/>
        </w:rPr>
        <w:footnoteReference w:id="54"/>
      </w:r>
      <w:r>
        <w:t>) that, having embarked on its rollout using WiMAX, SP AusNet's circumstances were different to those of the other DNSPs.</w:t>
      </w:r>
      <w:r>
        <w:rPr>
          <w:rStyle w:val="FootnoteReference"/>
        </w:rPr>
        <w:footnoteReference w:id="55"/>
      </w:r>
    </w:p>
    <w:p w:rsidR="00AF08C9" w:rsidRPr="00AF08C9" w:rsidRDefault="00B26742" w:rsidP="00AF08C9">
      <w:pPr>
        <w:pStyle w:val="AERbodytext"/>
      </w:pPr>
      <w:r>
        <w:t xml:space="preserve">A reconsideration date of 28 February 2011 </w:t>
      </w:r>
      <w:r w:rsidR="00445BC8">
        <w:t>implies</w:t>
      </w:r>
      <w:r>
        <w:t xml:space="preserve"> that the </w:t>
      </w:r>
      <w:r w:rsidR="002F65B1">
        <w:t>earliest</w:t>
      </w:r>
      <w:r>
        <w:t xml:space="preserve"> date a</w:t>
      </w:r>
      <w:r w:rsidR="00F25E6A">
        <w:t xml:space="preserve"> </w:t>
      </w:r>
      <w:r>
        <w:t xml:space="preserve">switch of communications technology </w:t>
      </w:r>
      <w:r w:rsidR="00F25E6A">
        <w:t xml:space="preserve">could feasibly commence </w:t>
      </w:r>
      <w:r>
        <w:t>would be</w:t>
      </w:r>
      <w:r w:rsidR="00F25E6A">
        <w:t xml:space="preserve"> 1 March</w:t>
      </w:r>
      <w:r>
        <w:t xml:space="preserve"> 2011.</w:t>
      </w:r>
      <w:r>
        <w:rPr>
          <w:rStyle w:val="FootnoteReference"/>
        </w:rPr>
        <w:footnoteReference w:id="56"/>
      </w:r>
    </w:p>
    <w:p w:rsidR="00F422B0" w:rsidRPr="00F422B0" w:rsidRDefault="00F422B0" w:rsidP="00F422B0">
      <w:pPr>
        <w:pStyle w:val="AERheading4"/>
        <w:rPr>
          <w:rStyle w:val="AERbody"/>
          <w:sz w:val="22"/>
        </w:rPr>
      </w:pPr>
      <w:r w:rsidRPr="00F422B0">
        <w:rPr>
          <w:rStyle w:val="AERbody"/>
          <w:sz w:val="22"/>
        </w:rPr>
        <w:t>Information relevant to the reconsideration</w:t>
      </w:r>
    </w:p>
    <w:p w:rsidR="00F422B0" w:rsidRDefault="00C75017" w:rsidP="00F422B0">
      <w:pPr>
        <w:pStyle w:val="AERbodytext"/>
      </w:pPr>
      <w:r>
        <w:t xml:space="preserve">SP AusNet submitted that </w:t>
      </w:r>
      <w:r w:rsidR="0049793A">
        <w:t xml:space="preserve">the commercial standard </w:t>
      </w:r>
      <w:r w:rsidR="00E91CC6" w:rsidRPr="00A355E9">
        <w:rPr>
          <w:rStyle w:val="AERbody"/>
        </w:rPr>
        <w:t xml:space="preserve">must be </w:t>
      </w:r>
      <w:r w:rsidR="0049793A">
        <w:rPr>
          <w:rStyle w:val="AERbody"/>
        </w:rPr>
        <w:t xml:space="preserve">determined using </w:t>
      </w:r>
      <w:r w:rsidR="00E91CC6" w:rsidRPr="00A355E9">
        <w:rPr>
          <w:rStyle w:val="AERbody"/>
        </w:rPr>
        <w:t>accurate, relevant and current</w:t>
      </w:r>
      <w:r w:rsidR="0049793A">
        <w:rPr>
          <w:rStyle w:val="AERbody"/>
        </w:rPr>
        <w:t xml:space="preserve"> information</w:t>
      </w:r>
      <w:r w:rsidR="00E91CC6" w:rsidRPr="00A355E9">
        <w:rPr>
          <w:rStyle w:val="AERbody"/>
        </w:rPr>
        <w:t>, and must treat with caution any speculative or uncertain information or analysis.</w:t>
      </w:r>
      <w:r w:rsidR="00E91CC6">
        <w:rPr>
          <w:rStyle w:val="FootnoteReference"/>
        </w:rPr>
        <w:footnoteReference w:id="57"/>
      </w:r>
      <w:r w:rsidR="00E91CC6">
        <w:rPr>
          <w:rStyle w:val="AERbody"/>
        </w:rPr>
        <w:t xml:space="preserve"> </w:t>
      </w:r>
      <w:r w:rsidR="00E91CC6">
        <w:t xml:space="preserve">It considered </w:t>
      </w:r>
      <w:r>
        <w:t xml:space="preserve">the only </w:t>
      </w:r>
      <w:r w:rsidR="00E91CC6">
        <w:t xml:space="preserve">relevant </w:t>
      </w:r>
      <w:r>
        <w:t xml:space="preserve">information is </w:t>
      </w:r>
      <w:r w:rsidR="00895C41">
        <w:t>information known at the time of the reconsideration, and it is therefore not appropriate to conduct analysis with the benefit of hindsight.</w:t>
      </w:r>
      <w:r w:rsidR="00895C41">
        <w:rPr>
          <w:rStyle w:val="FootnoteReference"/>
        </w:rPr>
        <w:footnoteReference w:id="58"/>
      </w:r>
      <w:r w:rsidR="00895C41">
        <w:t xml:space="preserve"> SP AusNet further submitted that any </w:t>
      </w:r>
      <w:r w:rsidR="00C17A1D">
        <w:t xml:space="preserve">"behavioural" information or </w:t>
      </w:r>
      <w:r w:rsidR="00895C41">
        <w:t xml:space="preserve">information about its governance procedures </w:t>
      </w:r>
      <w:r w:rsidR="00BC5982">
        <w:t xml:space="preserve">and practice </w:t>
      </w:r>
      <w:r w:rsidR="00773F89">
        <w:t>is</w:t>
      </w:r>
      <w:r w:rsidR="00895C41">
        <w:t xml:space="preserve"> not relevant </w:t>
      </w:r>
      <w:r w:rsidR="00773F89">
        <w:t xml:space="preserve">because the Tribunal </w:t>
      </w:r>
      <w:r w:rsidR="00C17A1D" w:rsidRPr="00C17A1D">
        <w:t>resolved the issue of whether there sho</w:t>
      </w:r>
      <w:r w:rsidR="00C17A1D">
        <w:t>uld have been a reconsideration</w:t>
      </w:r>
      <w:r w:rsidR="00BC5982">
        <w:t xml:space="preserve"> of WiMAX</w:t>
      </w:r>
      <w:r w:rsidR="00773F89">
        <w:t>.</w:t>
      </w:r>
      <w:r w:rsidR="00773F89">
        <w:rPr>
          <w:rStyle w:val="FootnoteReference"/>
        </w:rPr>
        <w:footnoteReference w:id="59"/>
      </w:r>
    </w:p>
    <w:p w:rsidR="00C17A1D" w:rsidRDefault="00E91CC6" w:rsidP="00F422B0">
      <w:pPr>
        <w:pStyle w:val="AERbodytext"/>
      </w:pPr>
      <w:r>
        <w:t>T</w:t>
      </w:r>
      <w:r w:rsidR="00C17A1D">
        <w:t xml:space="preserve">he AER </w:t>
      </w:r>
      <w:r w:rsidR="00106A25">
        <w:t xml:space="preserve">agrees </w:t>
      </w:r>
      <w:r>
        <w:t xml:space="preserve">that </w:t>
      </w:r>
      <w:r w:rsidR="00106A25">
        <w:t>the issue of whether WiMAX should have been reconsidered ha</w:t>
      </w:r>
      <w:r>
        <w:t>s been resolved by the Tribunal. T</w:t>
      </w:r>
      <w:r w:rsidR="00CA43DC">
        <w:t>he</w:t>
      </w:r>
      <w:r w:rsidR="00106A25">
        <w:t xml:space="preserve"> </w:t>
      </w:r>
      <w:r w:rsidR="00CA43DC">
        <w:t xml:space="preserve">AER </w:t>
      </w:r>
      <w:r>
        <w:t xml:space="preserve">also agrees that </w:t>
      </w:r>
      <w:r w:rsidR="0049793A">
        <w:t xml:space="preserve">only </w:t>
      </w:r>
      <w:r>
        <w:t xml:space="preserve">accurate and relevant information should be utilised, and </w:t>
      </w:r>
      <w:r w:rsidR="00C17A1D">
        <w:t xml:space="preserve">has </w:t>
      </w:r>
      <w:r>
        <w:t xml:space="preserve">accordingly </w:t>
      </w:r>
      <w:r w:rsidR="00C17A1D">
        <w:t xml:space="preserve">conducted its analysis </w:t>
      </w:r>
      <w:r w:rsidR="00210845">
        <w:t xml:space="preserve">based on </w:t>
      </w:r>
      <w:r w:rsidR="00C17A1D">
        <w:t>information:</w:t>
      </w:r>
      <w:r w:rsidR="00FA48AC">
        <w:rPr>
          <w:rStyle w:val="FootnoteReference"/>
        </w:rPr>
        <w:footnoteReference w:id="60"/>
      </w:r>
    </w:p>
    <w:p w:rsidR="00C17A1D" w:rsidRDefault="00FA48AC" w:rsidP="00077070">
      <w:pPr>
        <w:pStyle w:val="AERbulletlistfirststyle"/>
      </w:pPr>
      <w:r>
        <w:t xml:space="preserve">known to be </w:t>
      </w:r>
      <w:r w:rsidR="00077070">
        <w:t xml:space="preserve">available to </w:t>
      </w:r>
      <w:r w:rsidR="00C17A1D">
        <w:t>SP AusNet as at the reconsideration date</w:t>
      </w:r>
      <w:r w:rsidR="00077070">
        <w:t xml:space="preserve"> </w:t>
      </w:r>
      <w:r w:rsidR="00A355E9">
        <w:t>for</w:t>
      </w:r>
      <w:r w:rsidR="00077070">
        <w:t xml:space="preserve"> both WiMAX and mesh radio</w:t>
      </w:r>
    </w:p>
    <w:p w:rsidR="00FA48AC" w:rsidRDefault="00FA48AC" w:rsidP="00077070">
      <w:pPr>
        <w:pStyle w:val="AERbulletlistfirststyle"/>
      </w:pPr>
      <w:r>
        <w:t>that would have been obtainable by a</w:t>
      </w:r>
      <w:r w:rsidR="00D02A8B">
        <w:t xml:space="preserve"> reasonable</w:t>
      </w:r>
      <w:r>
        <w:t xml:space="preserve"> commercial business in the circumstances</w:t>
      </w:r>
    </w:p>
    <w:p w:rsidR="00077070" w:rsidRDefault="00077070" w:rsidP="00077070">
      <w:pPr>
        <w:pStyle w:val="AERbulletlistfirststyle"/>
      </w:pPr>
      <w:r>
        <w:t>from the AER's October 2011 final determination that is relevant to the reconsideration.</w:t>
      </w:r>
    </w:p>
    <w:p w:rsidR="00340D96" w:rsidRDefault="00340D96" w:rsidP="00340D96">
      <w:pPr>
        <w:pStyle w:val="AERbodytext"/>
      </w:pPr>
      <w:r>
        <w:t xml:space="preserve">SP AusNet has used the AER's final determination for Powercor to estimate the communications capex required to build a mesh radio network and based some of its IT capex on </w:t>
      </w:r>
      <w:r w:rsidR="00355203">
        <w:t>Jemena Electricity Networks (</w:t>
      </w:r>
      <w:r>
        <w:t>JEN</w:t>
      </w:r>
      <w:r w:rsidR="00355203">
        <w:t>)</w:t>
      </w:r>
      <w:r>
        <w:t>'s estimates.</w:t>
      </w:r>
      <w:r>
        <w:rPr>
          <w:rStyle w:val="FootnoteReference"/>
        </w:rPr>
        <w:footnoteReference w:id="61"/>
      </w:r>
      <w:r>
        <w:t xml:space="preserve"> Similarly, t</w:t>
      </w:r>
      <w:r w:rsidR="00077070">
        <w:t xml:space="preserve">he information the AER has relied on from its final determination primarily relates to mesh radio costs </w:t>
      </w:r>
      <w:r w:rsidR="00BA13E5">
        <w:t>for</w:t>
      </w:r>
      <w:r w:rsidR="00077070">
        <w:t xml:space="preserve"> Powercor and </w:t>
      </w:r>
      <w:r w:rsidR="00BA13E5">
        <w:t>IT solution costs</w:t>
      </w:r>
      <w:r w:rsidR="00655B99">
        <w:rPr>
          <w:rStyle w:val="FootnoteReference"/>
        </w:rPr>
        <w:footnoteReference w:id="62"/>
      </w:r>
      <w:r w:rsidR="00065517">
        <w:t xml:space="preserve"> </w:t>
      </w:r>
      <w:r>
        <w:t xml:space="preserve">for </w:t>
      </w:r>
      <w:r w:rsidR="00077070">
        <w:t>JEN.</w:t>
      </w:r>
      <w:r w:rsidR="0049793A">
        <w:rPr>
          <w:rStyle w:val="FootnoteReference"/>
        </w:rPr>
        <w:footnoteReference w:id="63"/>
      </w:r>
      <w:r w:rsidR="00077070">
        <w:t xml:space="preserve"> </w:t>
      </w:r>
      <w:r>
        <w:t>Where appropriate, t</w:t>
      </w:r>
      <w:r w:rsidR="000873CD">
        <w:t xml:space="preserve">he AER has also used final determination information for SP AusNet such as </w:t>
      </w:r>
      <w:r>
        <w:t xml:space="preserve">for </w:t>
      </w:r>
      <w:r w:rsidR="000873CD">
        <w:t>meter numbers</w:t>
      </w:r>
      <w:r w:rsidR="00355203">
        <w:t xml:space="preserve">. </w:t>
      </w:r>
      <w:r>
        <w:t xml:space="preserve">Therefore, the AER considers SP AusNet and the AER are in agreement that these estimates reflect cost information that would have been obtainable in the circumstances. </w:t>
      </w:r>
    </w:p>
    <w:p w:rsidR="0099202F" w:rsidRDefault="00340D96" w:rsidP="00F422B0">
      <w:pPr>
        <w:pStyle w:val="AERbodytext"/>
      </w:pPr>
      <w:r>
        <w:t>While t</w:t>
      </w:r>
      <w:r w:rsidR="00077070">
        <w:t>he AER's final determination</w:t>
      </w:r>
      <w:r w:rsidR="000873CD">
        <w:t xml:space="preserve"> was</w:t>
      </w:r>
      <w:r w:rsidR="00BA13E5">
        <w:t xml:space="preserve"> not known </w:t>
      </w:r>
      <w:r>
        <w:t xml:space="preserve">as of </w:t>
      </w:r>
      <w:r w:rsidR="00BA13E5">
        <w:t>28 February 2011</w:t>
      </w:r>
      <w:r w:rsidR="00E85A9D">
        <w:t xml:space="preserve">, it represents the AER's view of prudent mesh radio costs from 28 February 2011 because </w:t>
      </w:r>
      <w:r w:rsidR="000C7C8D">
        <w:t xml:space="preserve">the </w:t>
      </w:r>
      <w:r w:rsidR="00E85A9D">
        <w:t xml:space="preserve">final determination </w:t>
      </w:r>
      <w:r w:rsidR="000C7C8D">
        <w:t xml:space="preserve">adjusted Powercor and JEN's 28 </w:t>
      </w:r>
      <w:r w:rsidR="00BA13E5">
        <w:t>February 2011 Submitted Budgets to ensure the expenditure was in scope and prudent.</w:t>
      </w:r>
      <w:r w:rsidR="000C7C8D">
        <w:rPr>
          <w:rStyle w:val="FootnoteReference"/>
        </w:rPr>
        <w:footnoteReference w:id="64"/>
      </w:r>
      <w:r w:rsidR="00BA13E5">
        <w:t xml:space="preserve"> </w:t>
      </w:r>
      <w:r>
        <w:t>T</w:t>
      </w:r>
      <w:r w:rsidR="00BC5982">
        <w:t>he</w:t>
      </w:r>
      <w:r w:rsidR="00374B4A">
        <w:t xml:space="preserve"> </w:t>
      </w:r>
      <w:r w:rsidR="00BC5982">
        <w:t xml:space="preserve">AER </w:t>
      </w:r>
      <w:r w:rsidR="00374B4A">
        <w:t xml:space="preserve">considers that </w:t>
      </w:r>
      <w:r w:rsidR="00BC5982">
        <w:t>"behavioural"</w:t>
      </w:r>
      <w:r w:rsidR="00374B4A" w:rsidRPr="00374B4A">
        <w:t xml:space="preserve"> information </w:t>
      </w:r>
      <w:r w:rsidR="00BC5982">
        <w:t xml:space="preserve">and </w:t>
      </w:r>
      <w:r w:rsidR="00374B4A" w:rsidRPr="00374B4A">
        <w:t xml:space="preserve">information about SP AusNet’s </w:t>
      </w:r>
      <w:r w:rsidR="00BC5982">
        <w:t>governance</w:t>
      </w:r>
      <w:r w:rsidR="00374B4A" w:rsidRPr="00374B4A">
        <w:t xml:space="preserve"> is relevant to assessing the </w:t>
      </w:r>
      <w:r w:rsidR="00BC5982">
        <w:t xml:space="preserve">reconsideration of </w:t>
      </w:r>
      <w:r w:rsidR="00EF1CF9">
        <w:t>"</w:t>
      </w:r>
      <w:r w:rsidR="00BC5982">
        <w:t xml:space="preserve">the </w:t>
      </w:r>
      <w:r w:rsidR="00374B4A" w:rsidRPr="00374B4A">
        <w:t>prudenc</w:t>
      </w:r>
      <w:r w:rsidR="00BC5982">
        <w:t>e</w:t>
      </w:r>
      <w:r w:rsidR="00374B4A" w:rsidRPr="00374B4A">
        <w:t xml:space="preserve"> of proceeding with WiMAX</w:t>
      </w:r>
      <w:r w:rsidR="00BC5982">
        <w:t xml:space="preserve"> compared with an alternative.</w:t>
      </w:r>
      <w:r w:rsidR="00EF1CF9">
        <w:t>"</w:t>
      </w:r>
      <w:r w:rsidR="00BC5982">
        <w:rPr>
          <w:rStyle w:val="FootnoteReference"/>
        </w:rPr>
        <w:footnoteReference w:id="65"/>
      </w:r>
      <w:r w:rsidR="00BC5982">
        <w:t xml:space="preserve"> Such information </w:t>
      </w:r>
      <w:r>
        <w:t>informs</w:t>
      </w:r>
      <w:r w:rsidRPr="00374B4A">
        <w:t xml:space="preserve"> </w:t>
      </w:r>
      <w:r w:rsidR="00374B4A" w:rsidRPr="00374B4A">
        <w:t>SP AusNet’s circumstances</w:t>
      </w:r>
      <w:r w:rsidR="00EF1CF9">
        <w:t xml:space="preserve"> </w:t>
      </w:r>
      <w:r w:rsidR="00C60F39">
        <w:t>if</w:t>
      </w:r>
      <w:r w:rsidR="00EF1CF9">
        <w:t xml:space="preserve"> it</w:t>
      </w:r>
      <w:r w:rsidR="00374B4A" w:rsidRPr="00374B4A">
        <w:t xml:space="preserve"> was </w:t>
      </w:r>
      <w:r w:rsidR="00EF1CF9">
        <w:t xml:space="preserve">information </w:t>
      </w:r>
      <w:r w:rsidR="00374B4A" w:rsidRPr="00374B4A">
        <w:t xml:space="preserve">available to SP </w:t>
      </w:r>
      <w:r w:rsidR="00EF1CF9">
        <w:t>AusNet as at 28 February 2011.</w:t>
      </w:r>
      <w:r w:rsidR="00EF1CF9">
        <w:rPr>
          <w:rStyle w:val="FootnoteReference"/>
        </w:rPr>
        <w:footnoteReference w:id="66"/>
      </w:r>
      <w:r w:rsidR="00EF1CF9">
        <w:t xml:space="preserve"> For example, SP AusNet assumed </w:t>
      </w:r>
      <w:r w:rsidR="00EF1CF9" w:rsidRPr="00EF1CF9">
        <w:t>that Option 1 would not result in any delays to the delivery of the AMI program.</w:t>
      </w:r>
      <w:r w:rsidR="00C60F39">
        <w:rPr>
          <w:rStyle w:val="FootnoteReference"/>
        </w:rPr>
        <w:footnoteReference w:id="67"/>
      </w:r>
      <w:r w:rsidR="00EF1CF9" w:rsidRPr="00EF1CF9">
        <w:t xml:space="preserve"> It is necessary for the AER to assess this assumption</w:t>
      </w:r>
      <w:r w:rsidR="00EF1CF9">
        <w:t>.</w:t>
      </w:r>
    </w:p>
    <w:p w:rsidR="00EF1CF9" w:rsidRDefault="00CA43DC" w:rsidP="00EF1CF9">
      <w:pPr>
        <w:pStyle w:val="AERbodytext"/>
      </w:pPr>
      <w:r>
        <w:t>Furthermore,</w:t>
      </w:r>
      <w:r w:rsidR="00EF1CF9" w:rsidRPr="00EF1CF9">
        <w:t xml:space="preserve"> the Tribunal refers to the reconsideration leading to a </w:t>
      </w:r>
      <w:r w:rsidR="00EF1CF9">
        <w:t>"</w:t>
      </w:r>
      <w:r w:rsidR="00EF1CF9" w:rsidRPr="00EF1CF9">
        <w:t>commercial decision</w:t>
      </w:r>
      <w:r w:rsidR="00EF1CF9">
        <w:t>"</w:t>
      </w:r>
      <w:r w:rsidR="00EF1CF9" w:rsidRPr="00EF1CF9">
        <w:t xml:space="preserve"> to either incur the WiMAX expenditure or not.</w:t>
      </w:r>
      <w:r w:rsidR="00EF1CF9">
        <w:rPr>
          <w:rStyle w:val="FootnoteReference"/>
        </w:rPr>
        <w:footnoteReference w:id="68"/>
      </w:r>
      <w:r w:rsidR="00EF1CF9" w:rsidRPr="00EF1CF9">
        <w:t xml:space="preserve"> </w:t>
      </w:r>
      <w:r w:rsidR="00EF1CF9">
        <w:t>The AER considers</w:t>
      </w:r>
      <w:r w:rsidR="00EF1CF9" w:rsidRPr="00EF1CF9">
        <w:t xml:space="preserve"> that a commercial decision to switch </w:t>
      </w:r>
      <w:r w:rsidR="00C60F39">
        <w:t>communications technology</w:t>
      </w:r>
      <w:r w:rsidR="00EF1CF9" w:rsidRPr="00EF1CF9">
        <w:t xml:space="preserve"> could only be made with regard to the status of SP AusNet’s AMI rollout and such information would likely have been provided to </w:t>
      </w:r>
      <w:r w:rsidR="00097281">
        <w:t>its</w:t>
      </w:r>
      <w:r w:rsidR="00EF1CF9" w:rsidRPr="00EF1CF9">
        <w:t xml:space="preserve"> Board.  Thus, the AER requested certain information </w:t>
      </w:r>
      <w:r w:rsidR="00C60F39">
        <w:t>from SP AusNet</w:t>
      </w:r>
      <w:r w:rsidR="00C60F39">
        <w:rPr>
          <w:rStyle w:val="FootnoteReference"/>
        </w:rPr>
        <w:footnoteReference w:id="69"/>
      </w:r>
      <w:r w:rsidR="00EF1CF9" w:rsidRPr="00EF1CF9">
        <w:t xml:space="preserve"> that would have informed such a “commercial decision” to incur the WiMAX expenditure or “to go down some other route.”</w:t>
      </w:r>
      <w:r w:rsidR="00C60F39">
        <w:rPr>
          <w:rStyle w:val="FootnoteReference"/>
        </w:rPr>
        <w:footnoteReference w:id="70"/>
      </w:r>
      <w:r w:rsidR="00EF1CF9" w:rsidRPr="00EF1CF9">
        <w:t xml:space="preserve"> Such information informs SP AusNet’s circumstances at the time, which clause 5I.8 of the AMI Order requires the AER to take into account and give fundamental weight.</w:t>
      </w:r>
      <w:r w:rsidR="00C60F39">
        <w:rPr>
          <w:rStyle w:val="FootnoteReference"/>
        </w:rPr>
        <w:footnoteReference w:id="71"/>
      </w:r>
      <w:r w:rsidR="00C60F39">
        <w:t xml:space="preserve"> </w:t>
      </w:r>
    </w:p>
    <w:p w:rsidR="00983E78" w:rsidRDefault="00983E78" w:rsidP="00983E78">
      <w:pPr>
        <w:pStyle w:val="AERbodytext"/>
      </w:pPr>
      <w:r>
        <w:t xml:space="preserve">The AER notes that SP AusNet </w:t>
      </w:r>
      <w:r w:rsidR="00340D96">
        <w:t>initially submitted</w:t>
      </w:r>
      <w:r>
        <w:t xml:space="preserve"> </w:t>
      </w:r>
      <w:r w:rsidR="00065517">
        <w:t xml:space="preserve">it </w:t>
      </w:r>
      <w:r>
        <w:t>would be too onerous to provide some of the internal governance information requested by the AER.</w:t>
      </w:r>
      <w:r>
        <w:rPr>
          <w:rStyle w:val="FootnoteReference"/>
        </w:rPr>
        <w:footnoteReference w:id="72"/>
      </w:r>
      <w:r>
        <w:t xml:space="preserve"> SP AusNet </w:t>
      </w:r>
      <w:r w:rsidR="00340D96">
        <w:t xml:space="preserve">later </w:t>
      </w:r>
      <w:r>
        <w:t>stated that such information is not relevant to the scope of the AER's assessment because the Tribunal had already resolved the question of whether SP AusNet should have reconsidered its commitment to WiMAX.</w:t>
      </w:r>
      <w:r>
        <w:rPr>
          <w:rStyle w:val="FootnoteReference"/>
        </w:rPr>
        <w:footnoteReference w:id="73"/>
      </w:r>
    </w:p>
    <w:p w:rsidR="00983E78" w:rsidRDefault="00983E78" w:rsidP="00EF1CF9">
      <w:pPr>
        <w:pStyle w:val="AERbodytext"/>
      </w:pPr>
      <w:r>
        <w:t>The AER maintains the view it expressed in correspondence with SP AusNet that such information is relevant as any reconsideration would necessarily have taken into account SP AusNet's internal governance processes and the state of its rollout as these are relevant circumstances.</w:t>
      </w:r>
      <w:r>
        <w:rPr>
          <w:rStyle w:val="FootnoteReference"/>
        </w:rPr>
        <w:footnoteReference w:id="74"/>
      </w:r>
      <w:r>
        <w:t xml:space="preserve">  The AER also reiterates that SP AusNet is not precluded from providing such information for the purposes of the AER's final determination.</w:t>
      </w:r>
      <w:r>
        <w:rPr>
          <w:rStyle w:val="FootnoteReference"/>
        </w:rPr>
        <w:footnoteReference w:id="75"/>
      </w:r>
      <w:r>
        <w:t xml:space="preserve"> </w:t>
      </w:r>
    </w:p>
    <w:p w:rsidR="00340D96" w:rsidRDefault="00340D96" w:rsidP="00340D96">
      <w:pPr>
        <w:pStyle w:val="AERbodytext"/>
      </w:pPr>
      <w:r>
        <w:t xml:space="preserve">The AER has had regard to information known to SP AusNet as at 28 February 2011 where possible. Where SP AusNet has not provided information requested by the AER to inform its assessment, the AER has relied on </w:t>
      </w:r>
      <w:r w:rsidR="00751A6D">
        <w:t xml:space="preserve">the </w:t>
      </w:r>
      <w:r>
        <w:t xml:space="preserve">information </w:t>
      </w:r>
      <w:r w:rsidR="00751A6D">
        <w:t>available to it.  This includes documents that relate to the status of the AMI rollout and associated costs, for example, the July 2010 Business Case</w:t>
      </w:r>
      <w:r w:rsidR="00065517">
        <w:t>,</w:t>
      </w:r>
      <w:r w:rsidR="00355203">
        <w:rPr>
          <w:rStyle w:val="FootnoteReference"/>
        </w:rPr>
        <w:footnoteReference w:id="76"/>
      </w:r>
      <w:r w:rsidR="00751A6D">
        <w:t xml:space="preserve"> and other information </w:t>
      </w:r>
      <w:r>
        <w:t xml:space="preserve">that </w:t>
      </w:r>
      <w:r w:rsidR="00751A6D">
        <w:t xml:space="preserve">SP AusNet would have access to if it had enquired or ought to have known </w:t>
      </w:r>
      <w:r>
        <w:t>as at 28 February 2011.</w:t>
      </w:r>
      <w:r w:rsidR="00751A6D">
        <w:t xml:space="preserve">   </w:t>
      </w:r>
    </w:p>
    <w:p w:rsidR="00340D96" w:rsidRDefault="00751A6D" w:rsidP="00EF1CF9">
      <w:pPr>
        <w:pStyle w:val="AERbodytext"/>
      </w:pPr>
      <w:r>
        <w:t>For this purpose, t</w:t>
      </w:r>
      <w:r w:rsidR="00340D96">
        <w:t xml:space="preserve">he AER has had regard to the 19 May 2011 </w:t>
      </w:r>
      <w:r w:rsidR="00340D96" w:rsidRPr="00464D93">
        <w:rPr>
          <w:rStyle w:val="AERtextitalic"/>
        </w:rPr>
        <w:t>Re-planning Analysis &amp; Recommendations</w:t>
      </w:r>
      <w:r w:rsidR="00340D96" w:rsidRPr="00340D96">
        <w:rPr>
          <w:rStyle w:val="FootnoteReference"/>
        </w:rPr>
        <w:footnoteReference w:id="77"/>
      </w:r>
      <w:r w:rsidR="00340D96">
        <w:rPr>
          <w:rStyle w:val="AERbody"/>
        </w:rPr>
        <w:t xml:space="preserve"> document for information about possible implementation timeframes and the problems associated with WiMAX but only to the ex</w:t>
      </w:r>
      <w:r>
        <w:rPr>
          <w:rStyle w:val="AERbody"/>
        </w:rPr>
        <w:t>tent</w:t>
      </w:r>
      <w:r w:rsidR="00340D96">
        <w:rPr>
          <w:rStyle w:val="AERbody"/>
        </w:rPr>
        <w:t xml:space="preserve"> that this information would have been apparent to SP AusNet as of 28 February 2011. The AER considers that a reasonable business in SP AusNet's circumstances would have undertaken a full analysis at an earlier date given the events prior to 201</w:t>
      </w:r>
      <w:r w:rsidR="00074847">
        <w:rPr>
          <w:rStyle w:val="AERbody"/>
        </w:rPr>
        <w:t>1</w:t>
      </w:r>
      <w:r w:rsidR="00340D96">
        <w:rPr>
          <w:rStyle w:val="AERbody"/>
        </w:rPr>
        <w:t>.  That this reconsideration did not occur earlier does not mean that such information was not available at an earli</w:t>
      </w:r>
      <w:r>
        <w:rPr>
          <w:rStyle w:val="AERbody"/>
        </w:rPr>
        <w:t xml:space="preserve">er date.  </w:t>
      </w:r>
    </w:p>
    <w:p w:rsidR="0078200D" w:rsidRPr="0078200D" w:rsidRDefault="0078200D" w:rsidP="0078200D">
      <w:pPr>
        <w:pStyle w:val="AERheading4"/>
        <w:rPr>
          <w:rStyle w:val="AERbody"/>
          <w:sz w:val="22"/>
        </w:rPr>
      </w:pPr>
      <w:r w:rsidRPr="0078200D">
        <w:rPr>
          <w:rStyle w:val="AERbody"/>
          <w:sz w:val="22"/>
        </w:rPr>
        <w:t>Expenditure timeframe</w:t>
      </w:r>
    </w:p>
    <w:p w:rsidR="0078200D" w:rsidRDefault="0078200D" w:rsidP="0078200D">
      <w:pPr>
        <w:pStyle w:val="AERbodytext"/>
        <w:rPr>
          <w:rStyle w:val="AERbody"/>
        </w:rPr>
      </w:pPr>
      <w:r>
        <w:rPr>
          <w:rStyle w:val="AERbody"/>
        </w:rPr>
        <w:t>In its Reconsideration Submission, SP AusNet assumed that the material differences in costs between the three options would occur over the 2012–15 period, so costs beyond 2015 would be common for all options.</w:t>
      </w:r>
      <w:r w:rsidRPr="0066144C">
        <w:rPr>
          <w:rStyle w:val="FootnoteReference"/>
        </w:rPr>
        <w:footnoteReference w:id="78"/>
      </w:r>
      <w:r>
        <w:rPr>
          <w:rStyle w:val="AERbody"/>
        </w:rPr>
        <w:t xml:space="preserve"> On this basis, SP AusNet limited its quantitative analysis to the 2012–15 period.</w:t>
      </w:r>
    </w:p>
    <w:p w:rsidR="0078200D" w:rsidRDefault="0078200D" w:rsidP="0078200D">
      <w:pPr>
        <w:pStyle w:val="AERbodytext"/>
        <w:rPr>
          <w:rStyle w:val="AERbody"/>
        </w:rPr>
      </w:pPr>
      <w:r>
        <w:rPr>
          <w:rStyle w:val="AERbody"/>
        </w:rPr>
        <w:t xml:space="preserve">The AER agrees that costs not related to the communications solution will be the same regardless of the option chosen. However, the AER does not agree with this assumption for the primary </w:t>
      </w:r>
      <w:r>
        <w:t>communications-</w:t>
      </w:r>
      <w:r w:rsidRPr="00DC6741">
        <w:t xml:space="preserve">related </w:t>
      </w:r>
      <w:r>
        <w:t>capex and opex.</w:t>
      </w:r>
      <w:r>
        <w:rPr>
          <w:rStyle w:val="FootnoteReference"/>
        </w:rPr>
        <w:footnoteReference w:id="79"/>
      </w:r>
      <w:r>
        <w:t xml:space="preserve"> </w:t>
      </w:r>
      <w:r>
        <w:rPr>
          <w:rStyle w:val="AERbody"/>
        </w:rPr>
        <w:t>This is because the decision to implement a new technology should consider the relevant costs, benefits and risks over time.</w:t>
      </w:r>
      <w:r>
        <w:rPr>
          <w:rStyle w:val="FootnoteReference"/>
        </w:rPr>
        <w:footnoteReference w:id="80"/>
      </w:r>
      <w:r>
        <w:rPr>
          <w:rStyle w:val="AERbody"/>
        </w:rPr>
        <w:t xml:space="preserve"> Indeed, SP AusNet has previously assessed the cost of AMI communications solution options using this method.</w:t>
      </w:r>
      <w:r>
        <w:rPr>
          <w:rStyle w:val="FootnoteReference"/>
        </w:rPr>
        <w:footnoteReference w:id="81"/>
      </w:r>
      <w:r w:rsidR="00C90DD8">
        <w:rPr>
          <w:rStyle w:val="AERbody"/>
        </w:rPr>
        <w:t xml:space="preserve"> </w:t>
      </w:r>
      <w:r w:rsidR="00C90DD8">
        <w:t>SP AusNet has examined the "ongoing operations and maintenance impacts" over what appears to be approximately 15 years, given the 7 year opex and total O&amp;M figures.</w:t>
      </w:r>
      <w:r w:rsidR="00C90DD8">
        <w:rPr>
          <w:rStyle w:val="FootnoteReference"/>
        </w:rPr>
        <w:footnoteReference w:id="82"/>
      </w:r>
    </w:p>
    <w:p w:rsidR="0078200D" w:rsidRDefault="0078200D" w:rsidP="0078200D">
      <w:pPr>
        <w:pStyle w:val="AERbodytext"/>
        <w:rPr>
          <w:rStyle w:val="AERbody"/>
        </w:rPr>
      </w:pPr>
      <w:r>
        <w:rPr>
          <w:rStyle w:val="AERbody"/>
        </w:rPr>
        <w:t xml:space="preserve">The decision to switch communications technology </w:t>
      </w:r>
      <w:r w:rsidR="00F81E25">
        <w:rPr>
          <w:rStyle w:val="AERbody"/>
        </w:rPr>
        <w:t xml:space="preserve">would be </w:t>
      </w:r>
      <w:r>
        <w:rPr>
          <w:rStyle w:val="AERbody"/>
        </w:rPr>
        <w:t>influenced by the higher initial costs inherent in doing so</w:t>
      </w:r>
      <w:r w:rsidR="00A46AE4">
        <w:rPr>
          <w:rStyle w:val="AERbody"/>
        </w:rPr>
        <w:t xml:space="preserve">, but </w:t>
      </w:r>
      <w:r w:rsidR="00EA5133">
        <w:rPr>
          <w:rStyle w:val="AERbody"/>
        </w:rPr>
        <w:t>a reasonable commercial business</w:t>
      </w:r>
      <w:r w:rsidR="00A46AE4">
        <w:rPr>
          <w:rStyle w:val="AERbody"/>
        </w:rPr>
        <w:t xml:space="preserve"> would also consider the ongoing costs over the life of the assets</w:t>
      </w:r>
      <w:r>
        <w:rPr>
          <w:rStyle w:val="AERbody"/>
        </w:rPr>
        <w:t xml:space="preserve">. </w:t>
      </w:r>
      <w:r w:rsidR="00A46AE4">
        <w:rPr>
          <w:rStyle w:val="AERbody"/>
        </w:rPr>
        <w:t>For example</w:t>
      </w:r>
      <w:r>
        <w:rPr>
          <w:rStyle w:val="AERbody"/>
        </w:rPr>
        <w:t xml:space="preserve">, after switching, </w:t>
      </w:r>
      <w:r w:rsidR="00A46AE4">
        <w:rPr>
          <w:rStyle w:val="AERbody"/>
        </w:rPr>
        <w:t xml:space="preserve">it would consider whether </w:t>
      </w:r>
      <w:r>
        <w:rPr>
          <w:rStyle w:val="AERbody"/>
        </w:rPr>
        <w:t xml:space="preserve">the ongoing capex and/or opex costs of one communications solution </w:t>
      </w:r>
      <w:r w:rsidR="00A46AE4">
        <w:rPr>
          <w:rStyle w:val="AERbody"/>
        </w:rPr>
        <w:t>w</w:t>
      </w:r>
      <w:r>
        <w:rPr>
          <w:rStyle w:val="AERbody"/>
        </w:rPr>
        <w:t>ould be higher than the other. Despite analysing the costs of WiMAX and mesh radio over the short term only, SP AusNet appears to recognise this:</w:t>
      </w:r>
      <w:r>
        <w:rPr>
          <w:rStyle w:val="FootnoteReference"/>
        </w:rPr>
        <w:footnoteReference w:id="83"/>
      </w:r>
      <w:r>
        <w:rPr>
          <w:rStyle w:val="AERbody"/>
        </w:rPr>
        <w:t xml:space="preserve"> </w:t>
      </w:r>
    </w:p>
    <w:p w:rsidR="0078200D" w:rsidRPr="0078200D" w:rsidRDefault="0078200D" w:rsidP="0078200D">
      <w:pPr>
        <w:pStyle w:val="AERquote"/>
        <w:rPr>
          <w:rStyle w:val="AERbody"/>
          <w:color w:val="000000"/>
          <w:sz w:val="16"/>
        </w:rPr>
      </w:pPr>
      <w:r w:rsidRPr="0078200D">
        <w:rPr>
          <w:rStyle w:val="AERbody"/>
          <w:color w:val="000000"/>
          <w:sz w:val="16"/>
        </w:rPr>
        <w:t>The commercial standard must have regard to any long term implications arising from the selection of a preferred option. It is not appropriate to adopt an approach that delivers a short-term benefit but introduces higher costs or service issues in the longer term.</w:t>
      </w:r>
    </w:p>
    <w:p w:rsidR="0078200D" w:rsidRDefault="0078200D" w:rsidP="0078200D">
      <w:pPr>
        <w:pStyle w:val="AERbodytext"/>
        <w:rPr>
          <w:rStyle w:val="AERbody"/>
        </w:rPr>
      </w:pPr>
      <w:r>
        <w:rPr>
          <w:rStyle w:val="AERbody"/>
        </w:rPr>
        <w:t xml:space="preserve">Accordingly, the AER has examined the relevant expenditure over a 15 year timeframe (2011 to 2025), discounted to the reconsideration date. The AER considers this timeframe is </w:t>
      </w:r>
      <w:r w:rsidR="00917A6A">
        <w:rPr>
          <w:rStyle w:val="AERbody"/>
        </w:rPr>
        <w:t xml:space="preserve">what a reasonable business in the circumstances would use </w:t>
      </w:r>
      <w:r>
        <w:t>because 15 years is</w:t>
      </w:r>
      <w:r>
        <w:rPr>
          <w:rStyle w:val="AERbody"/>
        </w:rPr>
        <w:t xml:space="preserve"> the assumed meter asset depreciation schedule under the AMI Order and therefore represents a full rollout cycle.</w:t>
      </w:r>
      <w:r>
        <w:rPr>
          <w:rStyle w:val="FootnoteReference"/>
        </w:rPr>
        <w:footnoteReference w:id="84"/>
      </w:r>
      <w:r>
        <w:rPr>
          <w:rStyle w:val="AERbody"/>
        </w:rPr>
        <w:t xml:space="preserve"> The AER has then determined the proportion of this expenditure that a reasonable business in SP AusNet's circumstances would incur in the 2012–15 period.</w:t>
      </w:r>
    </w:p>
    <w:p w:rsidR="008C393E" w:rsidRPr="008C393E" w:rsidRDefault="008C393E" w:rsidP="00B10256">
      <w:pPr>
        <w:pStyle w:val="AERheading4"/>
        <w:rPr>
          <w:rStyle w:val="AERbody"/>
          <w:sz w:val="22"/>
        </w:rPr>
      </w:pPr>
      <w:r w:rsidRPr="00B10256">
        <w:rPr>
          <w:rStyle w:val="AERbody"/>
          <w:sz w:val="22"/>
        </w:rPr>
        <w:t>Implementation timeline for mesh</w:t>
      </w:r>
      <w:r w:rsidRPr="008C393E">
        <w:rPr>
          <w:rStyle w:val="AERbody"/>
          <w:sz w:val="22"/>
        </w:rPr>
        <w:t xml:space="preserve"> radio</w:t>
      </w:r>
    </w:p>
    <w:p w:rsidR="008C393E" w:rsidRDefault="008C393E" w:rsidP="0078200D">
      <w:pPr>
        <w:pStyle w:val="AERbodytext"/>
        <w:rPr>
          <w:rStyle w:val="AERbody"/>
        </w:rPr>
      </w:pPr>
      <w:r>
        <w:rPr>
          <w:rStyle w:val="AERbody"/>
        </w:rPr>
        <w:t>SP AusNet submitted that if it were to implement a mesh radio solution, it would commence in May 2011 and complete the rollout in June 2014. This timeline assumes SP AusNet would continue to roll out its WiMAX solution until 1 January 2012.</w:t>
      </w:r>
      <w:r w:rsidR="008E3601">
        <w:rPr>
          <w:rStyle w:val="FootnoteReference"/>
        </w:rPr>
        <w:footnoteReference w:id="85"/>
      </w:r>
    </w:p>
    <w:p w:rsidR="00B10256" w:rsidRDefault="00B10256" w:rsidP="0078200D">
      <w:pPr>
        <w:pStyle w:val="AERbodytext"/>
        <w:rPr>
          <w:rStyle w:val="AERbody"/>
        </w:rPr>
      </w:pPr>
      <w:r>
        <w:rPr>
          <w:rStyle w:val="AERbody"/>
        </w:rPr>
        <w:t xml:space="preserve">The AER considers </w:t>
      </w:r>
      <w:r w:rsidR="00097281">
        <w:rPr>
          <w:rStyle w:val="AERbody"/>
        </w:rPr>
        <w:t>SP AusNet's proposed</w:t>
      </w:r>
      <w:r>
        <w:rPr>
          <w:rStyle w:val="AERbody"/>
        </w:rPr>
        <w:t xml:space="preserve"> timeline </w:t>
      </w:r>
      <w:r w:rsidR="00A20F0B">
        <w:rPr>
          <w:rStyle w:val="AERbody"/>
        </w:rPr>
        <w:t xml:space="preserve">is not consistent with a standard industry project planning  approach and </w:t>
      </w:r>
      <w:r w:rsidR="00F026D1">
        <w:rPr>
          <w:rStyle w:val="AERbody"/>
        </w:rPr>
        <w:t>has based its schedule on the ass</w:t>
      </w:r>
      <w:r w:rsidR="00DA3E7A">
        <w:rPr>
          <w:rStyle w:val="AERbody"/>
        </w:rPr>
        <w:t>u</w:t>
      </w:r>
      <w:r w:rsidR="00F026D1">
        <w:rPr>
          <w:rStyle w:val="AERbody"/>
        </w:rPr>
        <w:t xml:space="preserve">mption that it has taken the other Victorian DNSPs </w:t>
      </w:r>
      <w:r w:rsidR="00DA3E7A">
        <w:rPr>
          <w:rStyle w:val="AERbody"/>
        </w:rPr>
        <w:t xml:space="preserve">two to two and a half years to build and integrate their mesh solutions. The AER considers this timeline </w:t>
      </w:r>
      <w:r>
        <w:rPr>
          <w:rStyle w:val="AERbody"/>
        </w:rPr>
        <w:t>c</w:t>
      </w:r>
      <w:r w:rsidR="00A20F0B">
        <w:rPr>
          <w:rStyle w:val="AERbody"/>
        </w:rPr>
        <w:t>ould</w:t>
      </w:r>
      <w:r>
        <w:rPr>
          <w:rStyle w:val="AERbody"/>
        </w:rPr>
        <w:t xml:space="preserve"> be condensed to 10 months</w:t>
      </w:r>
      <w:r w:rsidR="00A20F0B">
        <w:rPr>
          <w:rStyle w:val="AERbody"/>
        </w:rPr>
        <w:t>.</w:t>
      </w:r>
      <w:r w:rsidR="00A20F0B">
        <w:rPr>
          <w:rStyle w:val="FootnoteReference"/>
        </w:rPr>
        <w:footnoteReference w:id="86"/>
      </w:r>
      <w:r>
        <w:rPr>
          <w:rStyle w:val="AERbody"/>
        </w:rPr>
        <w:t xml:space="preserve"> </w:t>
      </w:r>
      <w:r w:rsidR="00A20F0B">
        <w:rPr>
          <w:rStyle w:val="AERbody"/>
        </w:rPr>
        <w:t>This</w:t>
      </w:r>
      <w:r>
        <w:rPr>
          <w:rStyle w:val="AERbody"/>
        </w:rPr>
        <w:t xml:space="preserve"> would allow SP AusNet to meet the 1 January 2012 AMI services target</w:t>
      </w:r>
      <w:r w:rsidR="002F571D">
        <w:rPr>
          <w:rStyle w:val="FootnoteReference"/>
        </w:rPr>
        <w:footnoteReference w:id="87"/>
      </w:r>
      <w:r>
        <w:rPr>
          <w:rStyle w:val="AERbody"/>
        </w:rPr>
        <w:t xml:space="preserve"> and </w:t>
      </w:r>
      <w:r w:rsidR="00A20F0B">
        <w:rPr>
          <w:rStyle w:val="AERbody"/>
        </w:rPr>
        <w:t>reduce</w:t>
      </w:r>
      <w:r w:rsidR="00097281">
        <w:rPr>
          <w:rStyle w:val="AERbody"/>
        </w:rPr>
        <w:t xml:space="preserve"> costs</w:t>
      </w:r>
      <w:r w:rsidR="00A20F0B">
        <w:rPr>
          <w:rStyle w:val="AERbody"/>
        </w:rPr>
        <w:t xml:space="preserve"> that would arise from delay such as project management, overhead, metering reading and data management, WiMAX remediation and</w:t>
      </w:r>
      <w:r w:rsidR="00A20F0B" w:rsidRPr="00A20F0B">
        <w:rPr>
          <w:rStyle w:val="AERbody"/>
        </w:rPr>
        <w:t xml:space="preserve"> </w:t>
      </w:r>
      <w:r w:rsidR="00A20F0B">
        <w:rPr>
          <w:rStyle w:val="AERbody"/>
        </w:rPr>
        <w:t>network interface card (NIC) retrofitting costs</w:t>
      </w:r>
      <w:r w:rsidR="00097281">
        <w:rPr>
          <w:rStyle w:val="AERbody"/>
        </w:rPr>
        <w:t>.</w:t>
      </w:r>
      <w:r w:rsidR="008E3601">
        <w:rPr>
          <w:rStyle w:val="FootnoteReference"/>
        </w:rPr>
        <w:footnoteReference w:id="88"/>
      </w:r>
      <w:r w:rsidR="00A20F0B">
        <w:rPr>
          <w:rStyle w:val="AERbody"/>
        </w:rPr>
        <w:t xml:space="preserve"> The AER considers</w:t>
      </w:r>
      <w:r w:rsidR="00C90DD8">
        <w:rPr>
          <w:rStyle w:val="AERbody"/>
        </w:rPr>
        <w:t xml:space="preserve"> based on expert advice that</w:t>
      </w:r>
      <w:r w:rsidR="00A20F0B">
        <w:rPr>
          <w:rStyle w:val="AERbody"/>
        </w:rPr>
        <w:t xml:space="preserve"> the implementation timeline can be reduced because:</w:t>
      </w:r>
      <w:r w:rsidR="00A20F0B">
        <w:rPr>
          <w:rStyle w:val="FootnoteReference"/>
        </w:rPr>
        <w:footnoteReference w:id="89"/>
      </w:r>
    </w:p>
    <w:p w:rsidR="004E5ED7" w:rsidRDefault="00DA3E7A" w:rsidP="003144D3">
      <w:pPr>
        <w:pStyle w:val="AERbulletlistfirststyle"/>
        <w:rPr>
          <w:rStyle w:val="AERbody"/>
        </w:rPr>
      </w:pPr>
      <w:r>
        <w:rPr>
          <w:rStyle w:val="AERbody"/>
        </w:rPr>
        <w:t>SP AusNet's timeline did not reflect the relevant time required by other DNSPs such as JEN and United Energy Distribution (UED) to deliver daily interval data to market, or take into account the proven end-to-end functionality of, and market experience</w:t>
      </w:r>
      <w:r w:rsidDel="00DA3E7A">
        <w:rPr>
          <w:rStyle w:val="AERbody"/>
        </w:rPr>
        <w:t xml:space="preserve"> </w:t>
      </w:r>
      <w:r>
        <w:rPr>
          <w:rStyle w:val="AERbody"/>
        </w:rPr>
        <w:t>with, mesh radio.</w:t>
      </w:r>
      <w:r w:rsidR="004E5ED7">
        <w:rPr>
          <w:rStyle w:val="FootnoteReference"/>
        </w:rPr>
        <w:footnoteReference w:id="90"/>
      </w:r>
      <w:r>
        <w:rPr>
          <w:rStyle w:val="AERbody"/>
        </w:rPr>
        <w:t xml:space="preserve"> </w:t>
      </w:r>
    </w:p>
    <w:p w:rsidR="00625D3F" w:rsidRDefault="006B3D5E">
      <w:pPr>
        <w:pStyle w:val="AERbulletlistsecondstyle"/>
        <w:rPr>
          <w:rStyle w:val="AERbody"/>
          <w:lang w:eastAsia="en-AU"/>
        </w:rPr>
      </w:pPr>
      <w:r>
        <w:rPr>
          <w:rStyle w:val="AERbody"/>
        </w:rPr>
        <w:t>According to AMI industry steering committee report</w:t>
      </w:r>
      <w:r w:rsidR="00A46AE4">
        <w:rPr>
          <w:rStyle w:val="AERbody"/>
        </w:rPr>
        <w:t>s</w:t>
      </w:r>
      <w:r>
        <w:rPr>
          <w:rStyle w:val="AERbody"/>
        </w:rPr>
        <w:t>, t</w:t>
      </w:r>
      <w:r w:rsidR="00DA3E7A">
        <w:rPr>
          <w:rStyle w:val="AERbody"/>
        </w:rPr>
        <w:t xml:space="preserve">he start to finish time for JEN and UED was approximately </w:t>
      </w:r>
      <w:r>
        <w:rPr>
          <w:rStyle w:val="AERbody"/>
        </w:rPr>
        <w:t xml:space="preserve">9.5 </w:t>
      </w:r>
      <w:r w:rsidR="00DA3E7A">
        <w:rPr>
          <w:rStyle w:val="AERbody"/>
        </w:rPr>
        <w:t>months</w:t>
      </w:r>
      <w:r>
        <w:rPr>
          <w:rStyle w:val="AERbody"/>
        </w:rPr>
        <w:t>, based on receipt and installation of technology on 1 September 2009 and delivering daily interval data to market on 14 June 2010.</w:t>
      </w:r>
      <w:r w:rsidR="004E5ED7">
        <w:rPr>
          <w:rStyle w:val="FootnoteReference"/>
        </w:rPr>
        <w:footnoteReference w:id="91"/>
      </w:r>
      <w:r>
        <w:rPr>
          <w:rStyle w:val="AERbody"/>
        </w:rPr>
        <w:t xml:space="preserve"> </w:t>
      </w:r>
    </w:p>
    <w:p w:rsidR="00625D3F" w:rsidRDefault="004E5ED7">
      <w:pPr>
        <w:pStyle w:val="AERbulletlistsecondstyle"/>
        <w:rPr>
          <w:rStyle w:val="AERbody"/>
          <w:lang w:eastAsia="en-AU"/>
        </w:rPr>
      </w:pPr>
      <w:r>
        <w:rPr>
          <w:rStyle w:val="AERbody"/>
        </w:rPr>
        <w:t>T</w:t>
      </w:r>
      <w:r w:rsidR="006B3D5E">
        <w:rPr>
          <w:rStyle w:val="AERbody"/>
        </w:rPr>
        <w:t>his timeframe does not include mobilisation, procurement or delivery of the technology</w:t>
      </w:r>
      <w:r>
        <w:rPr>
          <w:rStyle w:val="AERbody"/>
        </w:rPr>
        <w:t>. However</w:t>
      </w:r>
      <w:r w:rsidR="006B3D5E">
        <w:rPr>
          <w:rStyle w:val="AERbody"/>
        </w:rPr>
        <w:t>, the AER considers SP AusNet would use a proven solution, such as JEN's, and commence the project on an immediate, high priority basis</w:t>
      </w:r>
      <w:r>
        <w:rPr>
          <w:rStyle w:val="AERbody"/>
        </w:rPr>
        <w:t xml:space="preserve">, given the significance of the decision and the requirement to deliver daily interval </w:t>
      </w:r>
      <w:r w:rsidR="0099202F">
        <w:rPr>
          <w:rStyle w:val="AERbody"/>
        </w:rPr>
        <w:t xml:space="preserve">data </w:t>
      </w:r>
      <w:r>
        <w:rPr>
          <w:rStyle w:val="AERbody"/>
        </w:rPr>
        <w:t xml:space="preserve">to market from 1 January 2012. SP AusNet assumed Silver Spring Networks </w:t>
      </w:r>
      <w:r w:rsidR="0010644E">
        <w:rPr>
          <w:rStyle w:val="AERbody"/>
        </w:rPr>
        <w:t xml:space="preserve">(SSN) </w:t>
      </w:r>
      <w:r>
        <w:rPr>
          <w:rStyle w:val="AERbody"/>
        </w:rPr>
        <w:t>would be used for any switch to mesh radio</w:t>
      </w:r>
      <w:r>
        <w:rPr>
          <w:rStyle w:val="FootnoteReference"/>
        </w:rPr>
        <w:footnoteReference w:id="92"/>
      </w:r>
      <w:r w:rsidR="0099202F">
        <w:rPr>
          <w:rStyle w:val="AERbody"/>
        </w:rPr>
        <w:t xml:space="preserve"> </w:t>
      </w:r>
      <w:r>
        <w:rPr>
          <w:rStyle w:val="AERbody"/>
        </w:rPr>
        <w:t>so procurement timeframes should be able to be reduced.</w:t>
      </w:r>
      <w:r>
        <w:rPr>
          <w:rStyle w:val="FootnoteReference"/>
        </w:rPr>
        <w:footnoteReference w:id="93"/>
      </w:r>
    </w:p>
    <w:p w:rsidR="007F1361" w:rsidRDefault="00971A91">
      <w:pPr>
        <w:pStyle w:val="AERbulletlistfirststyle"/>
        <w:rPr>
          <w:rStyle w:val="AERbody"/>
          <w:lang w:eastAsia="en-AU"/>
        </w:rPr>
      </w:pPr>
      <w:r>
        <w:rPr>
          <w:rStyle w:val="AERbody"/>
        </w:rPr>
        <w:t>SP AusNet's 19 May 2011 Replanning Analysis and Recommendations document included a</w:t>
      </w:r>
      <w:r w:rsidR="00887386">
        <w:rPr>
          <w:rStyle w:val="AERbody"/>
        </w:rPr>
        <w:t xml:space="preserve"> proposed 10 month </w:t>
      </w:r>
      <w:r>
        <w:rPr>
          <w:rStyle w:val="AERbody"/>
        </w:rPr>
        <w:t xml:space="preserve">timeline </w:t>
      </w:r>
      <w:r w:rsidR="00887386">
        <w:rPr>
          <w:rStyle w:val="AERbody"/>
        </w:rPr>
        <w:t>to implement required functionality and performance levels for WiMAX.</w:t>
      </w:r>
      <w:r w:rsidR="00887386">
        <w:rPr>
          <w:rStyle w:val="FootnoteReference"/>
        </w:rPr>
        <w:footnoteReference w:id="94"/>
      </w:r>
      <w:r w:rsidR="00887386">
        <w:rPr>
          <w:rStyle w:val="AERbody"/>
        </w:rPr>
        <w:t xml:space="preserve"> This period is from the time the master integrator would be engaged to the "Release 1 go-live" and includes comprehensive, end-to-end changes from the meter to the upstream IT applications.</w:t>
      </w:r>
      <w:r w:rsidR="00887386">
        <w:rPr>
          <w:rStyle w:val="FootnoteReference"/>
        </w:rPr>
        <w:footnoteReference w:id="95"/>
      </w:r>
      <w:r w:rsidR="00887386">
        <w:rPr>
          <w:rStyle w:val="AERbody"/>
        </w:rPr>
        <w:t xml:space="preserve"> The AER considers the complexity and risk </w:t>
      </w:r>
      <w:r w:rsidR="00A46AE4">
        <w:rPr>
          <w:rStyle w:val="AERbody"/>
        </w:rPr>
        <w:t xml:space="preserve">for WIMAX </w:t>
      </w:r>
      <w:r w:rsidR="00887386">
        <w:rPr>
          <w:rStyle w:val="AERbody"/>
        </w:rPr>
        <w:t>is higher than that of implementing the proven mesh radio solutions adopted by the other Victorian DNSPs, so a 10 month timeframe to implement mesh should be reasonable.</w:t>
      </w:r>
      <w:r w:rsidR="00887386">
        <w:rPr>
          <w:rStyle w:val="FootnoteReference"/>
        </w:rPr>
        <w:footnoteReference w:id="96"/>
      </w:r>
      <w:r w:rsidR="00887386">
        <w:rPr>
          <w:rStyle w:val="AERbody"/>
        </w:rPr>
        <w:t xml:space="preserve"> The AER considers </w:t>
      </w:r>
      <w:r w:rsidR="00D02A8B">
        <w:rPr>
          <w:rStyle w:val="AERbody"/>
        </w:rPr>
        <w:t xml:space="preserve">this information would have </w:t>
      </w:r>
      <w:r w:rsidR="0093569C">
        <w:rPr>
          <w:rStyle w:val="AERbody"/>
        </w:rPr>
        <w:t xml:space="preserve">been obtainable by </w:t>
      </w:r>
      <w:r w:rsidR="00D02A8B">
        <w:rPr>
          <w:rStyle w:val="AERbody"/>
        </w:rPr>
        <w:t xml:space="preserve">a reasonable commercial business in </w:t>
      </w:r>
      <w:r w:rsidR="0093569C">
        <w:rPr>
          <w:rStyle w:val="AERbody"/>
        </w:rPr>
        <w:t>SP AusNet</w:t>
      </w:r>
      <w:r w:rsidR="00D02A8B">
        <w:rPr>
          <w:rStyle w:val="AERbody"/>
        </w:rPr>
        <w:t>'s</w:t>
      </w:r>
      <w:r w:rsidR="0093569C">
        <w:rPr>
          <w:rStyle w:val="AERbody"/>
        </w:rPr>
        <w:t xml:space="preserve"> circumstances.</w:t>
      </w:r>
    </w:p>
    <w:p w:rsidR="00425522" w:rsidRDefault="00C36084" w:rsidP="003144D3">
      <w:pPr>
        <w:pStyle w:val="AERbulletlistfirststyle"/>
        <w:rPr>
          <w:rStyle w:val="AERbody"/>
        </w:rPr>
      </w:pPr>
      <w:r>
        <w:rPr>
          <w:rStyle w:val="AERbody"/>
        </w:rPr>
        <w:t>t</w:t>
      </w:r>
      <w:r w:rsidR="00425522">
        <w:rPr>
          <w:rStyle w:val="AERbody"/>
        </w:rPr>
        <w:t xml:space="preserve">he procurement, design and implementation </w:t>
      </w:r>
      <w:r w:rsidR="00097281">
        <w:rPr>
          <w:rStyle w:val="AERbody"/>
        </w:rPr>
        <w:t xml:space="preserve">of </w:t>
      </w:r>
      <w:r w:rsidR="00A20F0B">
        <w:rPr>
          <w:rStyle w:val="AERbody"/>
        </w:rPr>
        <w:t>a</w:t>
      </w:r>
      <w:r>
        <w:rPr>
          <w:rStyle w:val="AERbody"/>
        </w:rPr>
        <w:t xml:space="preserve"> field proven</w:t>
      </w:r>
      <w:r w:rsidR="00A20F0B">
        <w:rPr>
          <w:rStyle w:val="AERbody"/>
        </w:rPr>
        <w:t xml:space="preserve"> </w:t>
      </w:r>
      <w:r w:rsidR="00097281">
        <w:rPr>
          <w:rStyle w:val="AERbody"/>
        </w:rPr>
        <w:t xml:space="preserve">mesh </w:t>
      </w:r>
      <w:r>
        <w:rPr>
          <w:rStyle w:val="AERbody"/>
        </w:rPr>
        <w:t xml:space="preserve">based </w:t>
      </w:r>
      <w:r w:rsidR="00A20F0B">
        <w:rPr>
          <w:rStyle w:val="AERbody"/>
        </w:rPr>
        <w:t xml:space="preserve">solution </w:t>
      </w:r>
      <w:r w:rsidR="00425522">
        <w:rPr>
          <w:rStyle w:val="AERbody"/>
        </w:rPr>
        <w:t xml:space="preserve">should </w:t>
      </w:r>
      <w:r>
        <w:rPr>
          <w:rStyle w:val="AERbody"/>
        </w:rPr>
        <w:t xml:space="preserve">have </w:t>
      </w:r>
      <w:r w:rsidR="00425522">
        <w:rPr>
          <w:rStyle w:val="AERbody"/>
        </w:rPr>
        <w:t>be</w:t>
      </w:r>
      <w:r>
        <w:rPr>
          <w:rStyle w:val="AERbody"/>
        </w:rPr>
        <w:t>en</w:t>
      </w:r>
      <w:r w:rsidR="00425522">
        <w:rPr>
          <w:rStyle w:val="AERbody"/>
        </w:rPr>
        <w:t xml:space="preserve"> </w:t>
      </w:r>
      <w:r w:rsidR="00E71570">
        <w:rPr>
          <w:rStyle w:val="AERbody"/>
        </w:rPr>
        <w:t xml:space="preserve">relatively </w:t>
      </w:r>
      <w:r w:rsidR="00425522">
        <w:rPr>
          <w:rStyle w:val="AERbody"/>
        </w:rPr>
        <w:t xml:space="preserve">straight forward </w:t>
      </w:r>
      <w:r>
        <w:rPr>
          <w:rStyle w:val="AERbody"/>
        </w:rPr>
        <w:t>given that</w:t>
      </w:r>
      <w:r w:rsidR="00425522">
        <w:rPr>
          <w:rStyle w:val="AERbody"/>
        </w:rPr>
        <w:t xml:space="preserve"> most upstream systems in the market </w:t>
      </w:r>
      <w:r w:rsidR="00E71570">
        <w:rPr>
          <w:rStyle w:val="AERbody"/>
        </w:rPr>
        <w:t xml:space="preserve">communicate with the MDMS and MMS through </w:t>
      </w:r>
      <w:r>
        <w:rPr>
          <w:rStyle w:val="AERbody"/>
        </w:rPr>
        <w:t>the</w:t>
      </w:r>
      <w:r w:rsidR="00E71570">
        <w:rPr>
          <w:rStyle w:val="AERbody"/>
        </w:rPr>
        <w:t xml:space="preserve"> Service Oriented Architecture</w:t>
      </w:r>
      <w:r>
        <w:rPr>
          <w:rStyle w:val="AERbody"/>
        </w:rPr>
        <w:t xml:space="preserve"> standard.</w:t>
      </w:r>
      <w:r w:rsidR="00E71570">
        <w:rPr>
          <w:rStyle w:val="AERbody"/>
        </w:rPr>
        <w:t xml:space="preserve"> </w:t>
      </w:r>
      <w:r>
        <w:rPr>
          <w:rStyle w:val="AERbody"/>
        </w:rPr>
        <w:t>This means that it</w:t>
      </w:r>
      <w:r w:rsidR="00087318">
        <w:rPr>
          <w:rStyle w:val="AERbody"/>
        </w:rPr>
        <w:t xml:space="preserve"> would be possible to </w:t>
      </w:r>
      <w:r w:rsidR="00E71570">
        <w:rPr>
          <w:rStyle w:val="AERbody"/>
        </w:rPr>
        <w:t>chang</w:t>
      </w:r>
      <w:r w:rsidR="00087318">
        <w:rPr>
          <w:rStyle w:val="AERbody"/>
        </w:rPr>
        <w:t>e from</w:t>
      </w:r>
      <w:r w:rsidR="00E71570">
        <w:rPr>
          <w:rStyle w:val="AERbody"/>
        </w:rPr>
        <w:t xml:space="preserve"> a WiMAX integrated MMS and MDMS without major reconfiguration of each </w:t>
      </w:r>
      <w:r w:rsidR="00087318">
        <w:rPr>
          <w:rStyle w:val="AERbody"/>
        </w:rPr>
        <w:t xml:space="preserve">of these </w:t>
      </w:r>
      <w:r w:rsidR="00E71570">
        <w:rPr>
          <w:rStyle w:val="AERbody"/>
        </w:rPr>
        <w:t>interdependent system</w:t>
      </w:r>
      <w:r w:rsidR="00087318">
        <w:rPr>
          <w:rStyle w:val="AERbody"/>
        </w:rPr>
        <w:t>s</w:t>
      </w:r>
      <w:r w:rsidR="004676CE">
        <w:rPr>
          <w:rStyle w:val="AERbody"/>
        </w:rPr>
        <w:t>.</w:t>
      </w:r>
      <w:r>
        <w:rPr>
          <w:rStyle w:val="AERbody"/>
        </w:rPr>
        <w:t xml:space="preserve"> The main changes required would occur in the integration layer in the enterprise service bus, which is connected between and acts as the information broker for all the other systems</w:t>
      </w:r>
      <w:r w:rsidR="004E5ED7">
        <w:rPr>
          <w:rStyle w:val="AERbody"/>
        </w:rPr>
        <w:t>.</w:t>
      </w:r>
      <w:r w:rsidR="004E5ED7">
        <w:rPr>
          <w:rStyle w:val="FootnoteReference"/>
        </w:rPr>
        <w:footnoteReference w:id="97"/>
      </w:r>
    </w:p>
    <w:p w:rsidR="004E5ED7" w:rsidRDefault="0010644E" w:rsidP="003144D3">
      <w:pPr>
        <w:pStyle w:val="AERbulletlistfirststyle"/>
        <w:rPr>
          <w:rStyle w:val="AERbody"/>
        </w:rPr>
      </w:pPr>
      <w:r>
        <w:rPr>
          <w:rStyle w:val="AERbody"/>
        </w:rPr>
        <w:t>international experience suggests that it is possible to switch to mesh radio in a relatively short timeframe. Pacific Gas &amp; Electricity (PG&amp;E) in California commenced a switch to a SSN mesh solution in July 2008 after installing 740,000 meters with its initial communications solution. PG&amp;E commenced installing mesh meters just over two months after signing contracts and was billing SSN metered points (which demonstrates end-to-end integration of the production IT systems) in February 2009 – six months after signing contracts. Other AMI functionality, including disconnections and meter checks</w:t>
      </w:r>
      <w:r w:rsidR="002E6D52">
        <w:rPr>
          <w:rStyle w:val="AERbody"/>
        </w:rPr>
        <w:t>,</w:t>
      </w:r>
      <w:r>
        <w:rPr>
          <w:rStyle w:val="AERbody"/>
        </w:rPr>
        <w:t xml:space="preserve"> was deployed on an ongoing basis every two to three months from February 2009.</w:t>
      </w:r>
      <w:r>
        <w:rPr>
          <w:rStyle w:val="FootnoteReference"/>
        </w:rPr>
        <w:footnoteReference w:id="98"/>
      </w:r>
    </w:p>
    <w:p w:rsidR="00625D3F" w:rsidRDefault="00614640">
      <w:pPr>
        <w:pStyle w:val="AERbulletlistsecondstyle"/>
        <w:rPr>
          <w:rStyle w:val="AERbody"/>
          <w:lang w:eastAsia="en-AU"/>
        </w:rPr>
      </w:pPr>
      <w:r>
        <w:rPr>
          <w:rStyle w:val="AERbody"/>
        </w:rPr>
        <w:t>PG&amp;E is deploying AMI to 5.1 million electricity and 4.7 million gas customers in a territory that covers most of northern California, including the Sierra Nevada mountains. It therefore shares similarities with SP AusNet, albeit on a much larger scale. The AER considers a reasonable business in SP AusNet's circumstances would take such relevant experience into account in planning a switch to mesh radio.</w:t>
      </w:r>
      <w:r>
        <w:rPr>
          <w:rStyle w:val="FootnoteReference"/>
        </w:rPr>
        <w:footnoteReference w:id="99"/>
      </w:r>
    </w:p>
    <w:p w:rsidR="008E3601" w:rsidRDefault="00186FFE" w:rsidP="003144D3">
      <w:pPr>
        <w:pStyle w:val="AERbulletlistfirststyle"/>
        <w:rPr>
          <w:rStyle w:val="AERbody"/>
        </w:rPr>
      </w:pPr>
      <w:r>
        <w:rPr>
          <w:rStyle w:val="AERbody"/>
        </w:rPr>
        <w:t xml:space="preserve">a reasonable business in SP AusNet's circumstances would deploy </w:t>
      </w:r>
      <w:r w:rsidR="00E71570">
        <w:rPr>
          <w:rStyle w:val="AERbody"/>
        </w:rPr>
        <w:t xml:space="preserve">meters without a </w:t>
      </w:r>
      <w:r w:rsidR="00A20F0B">
        <w:rPr>
          <w:rStyle w:val="AERbody"/>
        </w:rPr>
        <w:t xml:space="preserve">NIC </w:t>
      </w:r>
      <w:r w:rsidR="00E71570">
        <w:rPr>
          <w:rStyle w:val="AERbody"/>
        </w:rPr>
        <w:t>from 1 March 2011</w:t>
      </w:r>
      <w:r w:rsidR="00D44FD4">
        <w:rPr>
          <w:rStyle w:val="AERbody"/>
        </w:rPr>
        <w:t xml:space="preserve"> rather than continuing to roll out meters with a WiMAX NIC until </w:t>
      </w:r>
      <w:r w:rsidR="00971089">
        <w:rPr>
          <w:rStyle w:val="AERbody"/>
        </w:rPr>
        <w:t>the end of 2011</w:t>
      </w:r>
      <w:r w:rsidR="00D44FD4">
        <w:rPr>
          <w:rStyle w:val="AERbody"/>
        </w:rPr>
        <w:t xml:space="preserve">. This </w:t>
      </w:r>
      <w:r w:rsidR="00971089">
        <w:rPr>
          <w:rStyle w:val="AERbody"/>
        </w:rPr>
        <w:t>would allow SP AusNet to meet</w:t>
      </w:r>
      <w:r w:rsidR="00D44FD4">
        <w:rPr>
          <w:rStyle w:val="AERbody"/>
        </w:rPr>
        <w:t xml:space="preserve"> the 30 June 2011 target of 25 per cent of meters installed</w:t>
      </w:r>
      <w:r w:rsidR="00A20F0B">
        <w:rPr>
          <w:rStyle w:val="AERbody"/>
        </w:rPr>
        <w:t xml:space="preserve"> and reduce switching costs</w:t>
      </w:r>
      <w:r w:rsidR="004676CE">
        <w:rPr>
          <w:rStyle w:val="AERbody"/>
        </w:rPr>
        <w:t>. Importantly, it would also not delay the provision of meter data to market relative to the WiMAX solution option</w:t>
      </w:r>
      <w:r w:rsidR="00614640">
        <w:rPr>
          <w:rStyle w:val="FootnoteReference"/>
        </w:rPr>
        <w:footnoteReference w:id="100"/>
      </w:r>
    </w:p>
    <w:p w:rsidR="00D44FD4" w:rsidRDefault="00D44FD4" w:rsidP="003144D3">
      <w:pPr>
        <w:pStyle w:val="AERbulletlistfirststyle"/>
        <w:rPr>
          <w:rStyle w:val="AERbody"/>
        </w:rPr>
      </w:pPr>
      <w:r>
        <w:rPr>
          <w:rStyle w:val="AERbody"/>
        </w:rPr>
        <w:t xml:space="preserve">the WiMAX solution would be dismantled from 1 March 2011 </w:t>
      </w:r>
      <w:r w:rsidR="00BB33DA">
        <w:rPr>
          <w:rStyle w:val="AERbody"/>
        </w:rPr>
        <w:t xml:space="preserve">following the decision to switch </w:t>
      </w:r>
      <w:r>
        <w:rPr>
          <w:rStyle w:val="AERbody"/>
        </w:rPr>
        <w:t xml:space="preserve">rather than </w:t>
      </w:r>
      <w:r w:rsidR="00BB33DA">
        <w:rPr>
          <w:rStyle w:val="AERbody"/>
        </w:rPr>
        <w:t>delaying until</w:t>
      </w:r>
      <w:r w:rsidR="00A46AE4">
        <w:rPr>
          <w:rStyle w:val="AERbody"/>
        </w:rPr>
        <w:t xml:space="preserve"> </w:t>
      </w:r>
      <w:r>
        <w:rPr>
          <w:rStyle w:val="AERbody"/>
        </w:rPr>
        <w:t>1 January 2012</w:t>
      </w:r>
      <w:r w:rsidR="00614640">
        <w:rPr>
          <w:rStyle w:val="FootnoteReference"/>
        </w:rPr>
        <w:footnoteReference w:id="101"/>
      </w:r>
    </w:p>
    <w:p w:rsidR="00971089" w:rsidRDefault="00971089" w:rsidP="003144D3">
      <w:pPr>
        <w:pStyle w:val="AERbulletlistfirststyle"/>
        <w:rPr>
          <w:rStyle w:val="AERbody"/>
        </w:rPr>
      </w:pPr>
      <w:r>
        <w:rPr>
          <w:rStyle w:val="AERbody"/>
        </w:rPr>
        <w:t xml:space="preserve">a reasonable business in SP AusNet's circumstances would have discussions with government prior to </w:t>
      </w:r>
      <w:r w:rsidR="007948FD">
        <w:rPr>
          <w:rStyle w:val="AERbody"/>
        </w:rPr>
        <w:t>making a</w:t>
      </w:r>
      <w:r>
        <w:rPr>
          <w:rStyle w:val="AERbody"/>
        </w:rPr>
        <w:t xml:space="preserve"> decision to switch</w:t>
      </w:r>
      <w:r w:rsidR="00C561D2">
        <w:rPr>
          <w:rStyle w:val="AERbody"/>
        </w:rPr>
        <w:t xml:space="preserve"> due to the significance of the decision</w:t>
      </w:r>
      <w:r w:rsidR="000876BD">
        <w:rPr>
          <w:rStyle w:val="AERbody"/>
        </w:rPr>
        <w:t xml:space="preserve">, given the </w:t>
      </w:r>
      <w:r w:rsidR="00B758BD">
        <w:rPr>
          <w:rStyle w:val="AERbody"/>
        </w:rPr>
        <w:t>opportunities prior to 2011 to reconsider the appropriateness of WiMAX</w:t>
      </w:r>
      <w:r>
        <w:rPr>
          <w:rStyle w:val="AERbody"/>
        </w:rPr>
        <w:t>.</w:t>
      </w:r>
      <w:r w:rsidR="00614640">
        <w:rPr>
          <w:rStyle w:val="FootnoteReference"/>
        </w:rPr>
        <w:footnoteReference w:id="102"/>
      </w:r>
      <w:r w:rsidR="000876BD">
        <w:rPr>
          <w:rStyle w:val="AERbody"/>
        </w:rPr>
        <w:t xml:space="preserve"> </w:t>
      </w:r>
    </w:p>
    <w:p w:rsidR="00D5161D" w:rsidRDefault="00D5161D" w:rsidP="00D5161D">
      <w:pPr>
        <w:pStyle w:val="AERbodytext"/>
        <w:rPr>
          <w:rStyle w:val="AERbody"/>
        </w:rPr>
      </w:pPr>
      <w:r>
        <w:rPr>
          <w:rStyle w:val="AERbody"/>
        </w:rPr>
        <w:t xml:space="preserve">On this basis, the AER has conducted its analysis using a 10 month timeline for implementation as shown in </w:t>
      </w:r>
      <w:r w:rsidR="00AF0E53">
        <w:rPr>
          <w:rStyle w:val="AERbody"/>
        </w:rPr>
        <w:t>Figure 1.3</w:t>
      </w:r>
      <w:r>
        <w:rPr>
          <w:rStyle w:val="AERbody"/>
        </w:rPr>
        <w:t>.</w:t>
      </w:r>
      <w:r w:rsidR="00576E46">
        <w:rPr>
          <w:rStyle w:val="AERbody"/>
        </w:rPr>
        <w:t xml:space="preserve"> As </w:t>
      </w:r>
      <w:r w:rsidR="00AF0E53">
        <w:rPr>
          <w:rStyle w:val="AERbody"/>
        </w:rPr>
        <w:t>Figure 1.3</w:t>
      </w:r>
      <w:r w:rsidR="00576E46">
        <w:rPr>
          <w:rStyle w:val="AERbody"/>
        </w:rPr>
        <w:t xml:space="preserve"> shows, the AER's 10 month timeframe includes discrete stages for planning, procurement, design, building, integration, testing and commissioning of a field proven mesh based communications solution. The AER has assumed that SP AusNet could concurrently roll out meters with no communications card, commence building its network and IT solutions and start dismantling its WiMAX infrastructure.</w:t>
      </w:r>
      <w:r w:rsidR="00576E46">
        <w:rPr>
          <w:rStyle w:val="FootnoteReference"/>
        </w:rPr>
        <w:footnoteReference w:id="103"/>
      </w:r>
      <w:r w:rsidR="00576E46">
        <w:rPr>
          <w:rStyle w:val="AERbody"/>
        </w:rPr>
        <w:t xml:space="preserve"> </w:t>
      </w:r>
    </w:p>
    <w:p w:rsidR="001E3091" w:rsidRDefault="00D5161D" w:rsidP="001E3091">
      <w:pPr>
        <w:pStyle w:val="AERfigureheading"/>
        <w:rPr>
          <w:rStyle w:val="AERbody"/>
        </w:rPr>
      </w:pPr>
      <w:bookmarkStart w:id="18" w:name="_Ref331175415"/>
      <w:r>
        <w:rPr>
          <w:rStyle w:val="AERbody"/>
        </w:rPr>
        <w:t>AER implementation timeline</w:t>
      </w:r>
      <w:r w:rsidR="001E3091">
        <w:rPr>
          <w:rStyle w:val="AERbody"/>
        </w:rPr>
        <w:t xml:space="preserve"> for mesh radio</w:t>
      </w:r>
      <w:bookmarkEnd w:id="18"/>
    </w:p>
    <w:p w:rsidR="001E3091" w:rsidRDefault="00FF22F8" w:rsidP="008E3601">
      <w:pPr>
        <w:pStyle w:val="AERbodytext"/>
        <w:rPr>
          <w:rStyle w:val="AERbody"/>
        </w:rPr>
      </w:pPr>
      <w:r w:rsidRPr="00796207">
        <w:rPr>
          <w:rStyle w:val="AERbody"/>
        </w:rPr>
        <w:pict>
          <v:shape id="_x0000_i1027" type="#_x0000_t75" style="width:439.55pt;height:196.75pt">
            <v:imagedata r:id="rId15" o:title=""/>
          </v:shape>
        </w:pict>
      </w:r>
    </w:p>
    <w:p w:rsidR="001E3091" w:rsidRPr="005A2B9C" w:rsidRDefault="001E3091" w:rsidP="005A2B9C">
      <w:pPr>
        <w:pStyle w:val="AERtablesource"/>
        <w:rPr>
          <w:rStyle w:val="AERbody"/>
          <w:sz w:val="16"/>
        </w:rPr>
      </w:pPr>
      <w:r w:rsidRPr="005A2B9C">
        <w:rPr>
          <w:rStyle w:val="AERbody"/>
          <w:sz w:val="16"/>
        </w:rPr>
        <w:t>Source:</w:t>
      </w:r>
      <w:r w:rsidRPr="005A2B9C">
        <w:rPr>
          <w:rStyle w:val="AERbody"/>
          <w:sz w:val="16"/>
        </w:rPr>
        <w:tab/>
      </w:r>
      <w:r w:rsidR="0095490F" w:rsidRPr="0095490F">
        <w:rPr>
          <w:rStyle w:val="AERtextitalic"/>
        </w:rPr>
        <w:t>Energeia Report</w:t>
      </w:r>
      <w:r w:rsidRPr="005A2B9C">
        <w:rPr>
          <w:rStyle w:val="AERbody"/>
          <w:sz w:val="16"/>
        </w:rPr>
        <w:t xml:space="preserve">, p. </w:t>
      </w:r>
      <w:r w:rsidR="00B02DEC" w:rsidRPr="00B02DEC">
        <w:rPr>
          <w:rStyle w:val="AERtablesourceCharChar"/>
        </w:rPr>
        <w:t>2</w:t>
      </w:r>
      <w:r w:rsidR="005A2B9C">
        <w:rPr>
          <w:rStyle w:val="AERtablesourceCharChar"/>
        </w:rPr>
        <w:t>4</w:t>
      </w:r>
      <w:r w:rsidRPr="005A2B9C">
        <w:rPr>
          <w:rStyle w:val="AERbody"/>
          <w:sz w:val="16"/>
        </w:rPr>
        <w:t>.</w:t>
      </w:r>
    </w:p>
    <w:p w:rsidR="00254092" w:rsidRPr="005D5D2E" w:rsidRDefault="00287597" w:rsidP="005D5D2E">
      <w:pPr>
        <w:pStyle w:val="AERheading4"/>
        <w:rPr>
          <w:rStyle w:val="AERbody"/>
          <w:sz w:val="22"/>
        </w:rPr>
      </w:pPr>
      <w:r>
        <w:rPr>
          <w:rStyle w:val="AERbody"/>
          <w:sz w:val="22"/>
        </w:rPr>
        <w:t>Feasible technology options</w:t>
      </w:r>
    </w:p>
    <w:p w:rsidR="00AF09B4" w:rsidRDefault="00AF09B4" w:rsidP="00AF09B4">
      <w:pPr>
        <w:pStyle w:val="AERbodytext"/>
      </w:pPr>
      <w:r>
        <w:t xml:space="preserve">SP AusNet considered mesh radio to be the only feasible </w:t>
      </w:r>
      <w:r w:rsidR="00F25E6A">
        <w:t xml:space="preserve">primary </w:t>
      </w:r>
      <w:r>
        <w:t>technology alternative to WiMAX and did not consider other technologies.</w:t>
      </w:r>
      <w:r>
        <w:rPr>
          <w:rStyle w:val="FootnoteReference"/>
        </w:rPr>
        <w:footnoteReference w:id="104"/>
      </w:r>
      <w:r>
        <w:t xml:space="preserve"> However, SP AusNet </w:t>
      </w:r>
      <w:r w:rsidR="00287597">
        <w:t>also</w:t>
      </w:r>
      <w:r>
        <w:t xml:space="preserve"> consider</w:t>
      </w:r>
      <w:r w:rsidR="00287597">
        <w:t>ed</w:t>
      </w:r>
      <w:r>
        <w:t xml:space="preserve"> a combination of WiMAX and mesh radio as </w:t>
      </w:r>
      <w:r w:rsidR="007614EB">
        <w:t>the primary communications solution for its Option 2 scenario</w:t>
      </w:r>
      <w:r>
        <w:t>.</w:t>
      </w:r>
      <w:r>
        <w:rPr>
          <w:rStyle w:val="FootnoteReference"/>
        </w:rPr>
        <w:footnoteReference w:id="105"/>
      </w:r>
      <w:r>
        <w:t xml:space="preserve"> For each of its three alternatives, SP AusNet assumed a </w:t>
      </w:r>
      <w:r w:rsidR="00F25E6A">
        <w:t xml:space="preserve">secondary </w:t>
      </w:r>
      <w:r>
        <w:t>3G solution would be required for 15 per cent of meters due to the inability of WiMAX and mesh radio to service the whole of its territory.</w:t>
      </w:r>
      <w:r w:rsidRPr="00281452">
        <w:rPr>
          <w:rStyle w:val="FootnoteReference"/>
        </w:rPr>
        <w:footnoteReference w:id="106"/>
      </w:r>
    </w:p>
    <w:p w:rsidR="00AF09B4" w:rsidRDefault="00F25E6A" w:rsidP="00AF09B4">
      <w:pPr>
        <w:pStyle w:val="AERheading6"/>
      </w:pPr>
      <w:r>
        <w:t>Feasible technology options</w:t>
      </w:r>
    </w:p>
    <w:p w:rsidR="007614EB" w:rsidRDefault="005D5D2E" w:rsidP="00AF09B4">
      <w:pPr>
        <w:pStyle w:val="AERbodytext"/>
      </w:pPr>
      <w:r>
        <w:t xml:space="preserve">The AER's quantitative analysis compares </w:t>
      </w:r>
      <w:r w:rsidR="004402B0">
        <w:t xml:space="preserve">only </w:t>
      </w:r>
      <w:r>
        <w:t>two technology options</w:t>
      </w:r>
      <w:r w:rsidR="00FD1690">
        <w:t xml:space="preserve"> – </w:t>
      </w:r>
      <w:r>
        <w:t>WiMAX and mesh radio</w:t>
      </w:r>
      <w:r w:rsidR="00FD1690">
        <w:t xml:space="preserve"> –</w:t>
      </w:r>
      <w:r w:rsidR="007614EB">
        <w:t xml:space="preserve"> because it considers these two technologies are the only feasible solutions</w:t>
      </w:r>
      <w:r w:rsidR="0074340C">
        <w:t xml:space="preserve"> in the relevant timeframe</w:t>
      </w:r>
      <w:r>
        <w:t>.</w:t>
      </w:r>
      <w:r w:rsidR="007614EB">
        <w:t xml:space="preserve"> In reaching this conclusion, t</w:t>
      </w:r>
      <w:r w:rsidR="00F25E6A">
        <w:t>he AER considered SP AusNet's submitted options as well as other emerging possibilities such as the National Broadband Network</w:t>
      </w:r>
      <w:r w:rsidR="00674580">
        <w:t xml:space="preserve"> (NBN)</w:t>
      </w:r>
      <w:r w:rsidR="00F25E6A">
        <w:t>, Long-term Evolution</w:t>
      </w:r>
      <w:r w:rsidR="00674580">
        <w:t xml:space="preserve"> (LTE)</w:t>
      </w:r>
      <w:r w:rsidR="00F25E6A">
        <w:t xml:space="preserve"> and Power-line Intelligent Metering Evolution</w:t>
      </w:r>
      <w:r w:rsidR="00674580">
        <w:t xml:space="preserve"> (PRIME)</w:t>
      </w:r>
      <w:r w:rsidR="00F25E6A">
        <w:t xml:space="preserve">. </w:t>
      </w:r>
    </w:p>
    <w:p w:rsidR="007614EB" w:rsidRDefault="00C952E4" w:rsidP="00AF09B4">
      <w:pPr>
        <w:pStyle w:val="AERbodytext"/>
      </w:pPr>
      <w:r>
        <w:t>T</w:t>
      </w:r>
      <w:r w:rsidR="005D5D2E">
        <w:t>he AER considers</w:t>
      </w:r>
      <w:r w:rsidR="00FD1690">
        <w:t xml:space="preserve"> </w:t>
      </w:r>
      <w:r w:rsidR="004402B0">
        <w:t xml:space="preserve">mesh radio </w:t>
      </w:r>
      <w:r w:rsidR="001729BB">
        <w:t xml:space="preserve">(Option 3) </w:t>
      </w:r>
      <w:r w:rsidR="00C36084">
        <w:t>wa</w:t>
      </w:r>
      <w:r w:rsidR="004402B0">
        <w:t>s the only feasible alternative to WiMAX</w:t>
      </w:r>
      <w:r w:rsidRPr="00C952E4">
        <w:t xml:space="preserve"> </w:t>
      </w:r>
      <w:r w:rsidR="00674580">
        <w:t>as at 28 February 2011</w:t>
      </w:r>
      <w:r w:rsidR="00905B3B">
        <w:t xml:space="preserve"> and has not conducted quantitative analysis for </w:t>
      </w:r>
      <w:r w:rsidR="00674580">
        <w:t xml:space="preserve">the </w:t>
      </w:r>
      <w:r w:rsidR="00905B3B">
        <w:t xml:space="preserve">other solutions </w:t>
      </w:r>
      <w:r w:rsidR="004402B0">
        <w:t>because</w:t>
      </w:r>
      <w:r w:rsidR="007614EB">
        <w:t>:</w:t>
      </w:r>
    </w:p>
    <w:p w:rsidR="007614EB" w:rsidRDefault="00674580" w:rsidP="00FD1690">
      <w:pPr>
        <w:pStyle w:val="AERbulletlistfirststyle"/>
      </w:pPr>
      <w:r>
        <w:t>NBN, LTE and PRIME</w:t>
      </w:r>
      <w:r w:rsidR="004402B0">
        <w:t xml:space="preserve"> </w:t>
      </w:r>
      <w:r w:rsidR="00C952E4">
        <w:t>would not have been</w:t>
      </w:r>
      <w:r w:rsidR="005D5D2E">
        <w:t xml:space="preserve"> feasible due to their </w:t>
      </w:r>
      <w:r w:rsidR="007614EB">
        <w:t>relatively high risk and cost profiles</w:t>
      </w:r>
      <w:r w:rsidR="00905B3B">
        <w:t xml:space="preserve"> in the timeframe under consideration</w:t>
      </w:r>
      <w:r w:rsidR="004402B0">
        <w:rPr>
          <w:rStyle w:val="FootnoteReference"/>
        </w:rPr>
        <w:footnoteReference w:id="107"/>
      </w:r>
    </w:p>
    <w:p w:rsidR="007614EB" w:rsidRDefault="007614EB" w:rsidP="00FD1690">
      <w:pPr>
        <w:pStyle w:val="AERbulletlistfirststyle"/>
      </w:pPr>
      <w:r>
        <w:t>four out of five Victorian DNSPs were committed to mesh radio and were successfully deploying it</w:t>
      </w:r>
      <w:r w:rsidR="001729BB">
        <w:t xml:space="preserve"> at the time</w:t>
      </w:r>
      <w:r w:rsidR="00674580">
        <w:t>, so mesh radio is proven technology</w:t>
      </w:r>
      <w:r w:rsidR="004402B0">
        <w:rPr>
          <w:rStyle w:val="FootnoteReference"/>
        </w:rPr>
        <w:footnoteReference w:id="108"/>
      </w:r>
    </w:p>
    <w:p w:rsidR="00C952E4" w:rsidRDefault="00C952E4" w:rsidP="00FD1690">
      <w:pPr>
        <w:pStyle w:val="AERbulletlistfirststyle"/>
      </w:pPr>
      <w:r>
        <w:t xml:space="preserve">a WiMAX-mesh radio-3G hybrid solution </w:t>
      </w:r>
      <w:r w:rsidR="004402B0">
        <w:t xml:space="preserve">(Option 2) </w:t>
      </w:r>
      <w:r>
        <w:t>would be a world-first attempt, and therefore relatively high risk</w:t>
      </w:r>
      <w:r w:rsidR="004402B0">
        <w:rPr>
          <w:rStyle w:val="FootnoteReference"/>
        </w:rPr>
        <w:footnoteReference w:id="109"/>
      </w:r>
    </w:p>
    <w:p w:rsidR="00C952E4" w:rsidRDefault="00C952E4" w:rsidP="00FD1690">
      <w:pPr>
        <w:pStyle w:val="AERbulletlistfirststyle"/>
      </w:pPr>
      <w:r>
        <w:t xml:space="preserve">although SP AusNet considered the 2012–15 costs of </w:t>
      </w:r>
      <w:r w:rsidR="004402B0">
        <w:t>Option 2</w:t>
      </w:r>
      <w:r>
        <w:t xml:space="preserve"> would be lower than </w:t>
      </w:r>
      <w:r w:rsidR="001729BB">
        <w:t>Option 3</w:t>
      </w:r>
      <w:r>
        <w:t xml:space="preserve">, the opex associated with maintaining </w:t>
      </w:r>
      <w:r w:rsidR="001729BB">
        <w:t>two network solutions</w:t>
      </w:r>
      <w:r>
        <w:t xml:space="preserve"> over </w:t>
      </w:r>
      <w:r w:rsidR="004402B0">
        <w:t>a</w:t>
      </w:r>
      <w:r>
        <w:t xml:space="preserve"> 15 year timeframe would be relatively higher</w:t>
      </w:r>
      <w:r w:rsidR="004402B0">
        <w:rPr>
          <w:rStyle w:val="FootnoteReference"/>
        </w:rPr>
        <w:footnoteReference w:id="110"/>
      </w:r>
    </w:p>
    <w:p w:rsidR="00AF09B4" w:rsidRDefault="00C952E4" w:rsidP="00AF09B4">
      <w:pPr>
        <w:pStyle w:val="AERbulletlistfirststyle"/>
        <w:rPr>
          <w:rStyle w:val="AERbody"/>
        </w:rPr>
      </w:pPr>
      <w:r>
        <w:t>SP AusNet itself</w:t>
      </w:r>
      <w:r w:rsidR="005D5D2E">
        <w:t xml:space="preserve"> considered </w:t>
      </w:r>
      <w:r w:rsidR="00FD1690">
        <w:t xml:space="preserve">a combination of WiMAX and mesh radio </w:t>
      </w:r>
      <w:r w:rsidR="005D5D2E">
        <w:t xml:space="preserve">was likely to be </w:t>
      </w:r>
      <w:r w:rsidR="004402B0">
        <w:t xml:space="preserve">more </w:t>
      </w:r>
      <w:r w:rsidR="005D5D2E">
        <w:t xml:space="preserve">uncertain, complex to implement and riskier than mesh radio, </w:t>
      </w:r>
      <w:r w:rsidR="004402B0">
        <w:t xml:space="preserve">which </w:t>
      </w:r>
      <w:r w:rsidR="00287597">
        <w:t>by the reconsideration date</w:t>
      </w:r>
      <w:r w:rsidR="004402B0">
        <w:t xml:space="preserve"> was known to be a</w:t>
      </w:r>
      <w:r w:rsidR="005D5D2E">
        <w:t xml:space="preserve"> more mature technology.</w:t>
      </w:r>
      <w:r w:rsidR="005D5D2E">
        <w:rPr>
          <w:rStyle w:val="FootnoteReference"/>
        </w:rPr>
        <w:footnoteReference w:id="111"/>
      </w:r>
      <w:r w:rsidR="005D5D2E" w:rsidRPr="00AF09B4">
        <w:t xml:space="preserve"> </w:t>
      </w:r>
    </w:p>
    <w:p w:rsidR="00AF09B4" w:rsidRDefault="00905B3B" w:rsidP="00AF09B4">
      <w:pPr>
        <w:pStyle w:val="AERheading6"/>
      </w:pPr>
      <w:r>
        <w:t xml:space="preserve">Secondary </w:t>
      </w:r>
      <w:r w:rsidR="00AF09B4">
        <w:t>3G communications solution</w:t>
      </w:r>
    </w:p>
    <w:p w:rsidR="00020FCB" w:rsidRDefault="00AF09B4" w:rsidP="00AF09B4">
      <w:pPr>
        <w:pStyle w:val="AERbodytext"/>
      </w:pPr>
      <w:r>
        <w:t>SP AusNet's WiMAX-based rollout would require a</w:t>
      </w:r>
      <w:r w:rsidR="00020FCB">
        <w:t xml:space="preserve"> secondary</w:t>
      </w:r>
      <w:r>
        <w:t xml:space="preserve"> 3G communications solution for 15 per cent of its meters</w:t>
      </w:r>
      <w:r w:rsidR="00020FCB">
        <w:t>, and</w:t>
      </w:r>
      <w:r>
        <w:t xml:space="preserve"> SP AusNet assumed the same for a mesh radio solution</w:t>
      </w:r>
      <w:r w:rsidR="00020FCB">
        <w:t>.</w:t>
      </w:r>
      <w:r w:rsidR="00020FCB">
        <w:rPr>
          <w:rStyle w:val="FootnoteReference"/>
        </w:rPr>
        <w:footnoteReference w:id="112"/>
      </w:r>
      <w:r>
        <w:t xml:space="preserve"> </w:t>
      </w:r>
      <w:r w:rsidR="00020FCB">
        <w:t>SP AusNet could not adequately</w:t>
      </w:r>
      <w:r>
        <w:t xml:space="preserve"> substantiate this assumption when requested by the AER.</w:t>
      </w:r>
      <w:r>
        <w:rPr>
          <w:rStyle w:val="FootnoteReference"/>
        </w:rPr>
        <w:footnoteReference w:id="113"/>
      </w:r>
      <w:r>
        <w:t xml:space="preserve"> </w:t>
      </w:r>
      <w:r w:rsidR="003B5A5D">
        <w:t xml:space="preserve">The supporting </w:t>
      </w:r>
      <w:r w:rsidR="00020FCB">
        <w:t xml:space="preserve">documentation </w:t>
      </w:r>
      <w:r w:rsidR="003B5A5D">
        <w:t xml:space="preserve">identified by SP AusNet was dated </w:t>
      </w:r>
      <w:r w:rsidR="005A00E0">
        <w:t xml:space="preserve">10 </w:t>
      </w:r>
      <w:r w:rsidR="003B5A5D">
        <w:t>February 2009</w:t>
      </w:r>
      <w:r w:rsidR="00020FCB">
        <w:t xml:space="preserve"> </w:t>
      </w:r>
      <w:r w:rsidR="003B5A5D">
        <w:t>or earlier,</w:t>
      </w:r>
      <w:r w:rsidR="004F4566">
        <w:rPr>
          <w:rStyle w:val="FootnoteReference"/>
        </w:rPr>
        <w:footnoteReference w:id="114"/>
      </w:r>
      <w:r w:rsidR="003B5A5D">
        <w:t xml:space="preserve"> and did not in all cases </w:t>
      </w:r>
      <w:r w:rsidR="000508F7">
        <w:t>specifically identify a 15 per cent 3G requirement for a mesh radio solution.</w:t>
      </w:r>
      <w:r w:rsidR="000508F7">
        <w:rPr>
          <w:rStyle w:val="FootnoteReference"/>
        </w:rPr>
        <w:footnoteReference w:id="115"/>
      </w:r>
    </w:p>
    <w:p w:rsidR="005A00E0" w:rsidRDefault="004F4566" w:rsidP="00AF09B4">
      <w:pPr>
        <w:pStyle w:val="AERbodytext"/>
      </w:pPr>
      <w:r>
        <w:t xml:space="preserve">However, </w:t>
      </w:r>
      <w:r w:rsidR="005A00E0">
        <w:t>on 28 February 2011, Powercor submitted its 2012–15 budget application with 97 per cent mesh radio coverage.</w:t>
      </w:r>
      <w:r w:rsidR="005A00E0">
        <w:rPr>
          <w:rStyle w:val="FootnoteReference"/>
        </w:rPr>
        <w:footnoteReference w:id="116"/>
      </w:r>
      <w:r w:rsidR="005A00E0">
        <w:t xml:space="preserve"> </w:t>
      </w:r>
      <w:r w:rsidR="003E6EAE">
        <w:t>The AER, SP AusNet</w:t>
      </w:r>
      <w:r w:rsidR="00BD5EE4">
        <w:rPr>
          <w:rStyle w:val="FootnoteReference"/>
        </w:rPr>
        <w:footnoteReference w:id="117"/>
      </w:r>
      <w:r w:rsidR="003E6EAE">
        <w:t xml:space="preserve"> and the Tribunal</w:t>
      </w:r>
      <w:r w:rsidR="00BD5EE4">
        <w:rPr>
          <w:rStyle w:val="FootnoteReference"/>
        </w:rPr>
        <w:footnoteReference w:id="118"/>
      </w:r>
      <w:r w:rsidR="005A00E0">
        <w:t xml:space="preserve"> </w:t>
      </w:r>
      <w:r w:rsidR="003E6EAE">
        <w:t>all agree that Powercor is a suitable comparator for SP AusNet.</w:t>
      </w:r>
      <w:r w:rsidR="00BD5EE4">
        <w:t xml:space="preserve"> In particular, the Tribunal considered </w:t>
      </w:r>
      <w:r w:rsidR="00F7553A">
        <w:t xml:space="preserve">(noting the limited information provided by SP AusNet) that </w:t>
      </w:r>
      <w:r w:rsidR="00BD5EE4">
        <w:t xml:space="preserve">Powercor </w:t>
      </w:r>
      <w:r w:rsidR="00F7553A">
        <w:t>w</w:t>
      </w:r>
      <w:r w:rsidR="00BD5EE4">
        <w:t>as an appropriate benchmark given the nature and size of SP AusNet's business.</w:t>
      </w:r>
      <w:r w:rsidR="00BD5EE4">
        <w:rPr>
          <w:rStyle w:val="FootnoteReference"/>
        </w:rPr>
        <w:footnoteReference w:id="119"/>
      </w:r>
    </w:p>
    <w:p w:rsidR="00AF09B4" w:rsidRDefault="00F422B0" w:rsidP="00F422B0">
      <w:pPr>
        <w:pStyle w:val="AERbodytext"/>
      </w:pPr>
      <w:r>
        <w:t xml:space="preserve">Given the lack of </w:t>
      </w:r>
      <w:r w:rsidR="00287597">
        <w:t xml:space="preserve">recent evidence or </w:t>
      </w:r>
      <w:r>
        <w:t>substantiation by SP AusNet, and the general acceptance that Powercor is a suitable benchmark, the AER considers a reasonable business in SP AusNet's circumstances would have assumed mesh radio coverage of 97 per cent rather than 85 per cent.</w:t>
      </w:r>
      <w:r>
        <w:rPr>
          <w:rStyle w:val="FootnoteReference"/>
        </w:rPr>
        <w:footnoteReference w:id="120"/>
      </w:r>
      <w:r>
        <w:t xml:space="preserve"> The AER has conducted its quantitative analysis on this basis.</w:t>
      </w:r>
    </w:p>
    <w:p w:rsidR="00254092" w:rsidRPr="001A3822" w:rsidRDefault="001A3822" w:rsidP="001A3822">
      <w:pPr>
        <w:pStyle w:val="AERheading4"/>
        <w:rPr>
          <w:rStyle w:val="AERbody"/>
          <w:sz w:val="22"/>
        </w:rPr>
      </w:pPr>
      <w:r w:rsidRPr="001A3822">
        <w:rPr>
          <w:rStyle w:val="AERbody"/>
          <w:sz w:val="22"/>
        </w:rPr>
        <w:t>Costs of WiMAX and mesh radio solutions</w:t>
      </w:r>
    </w:p>
    <w:p w:rsidR="00B4432C" w:rsidRDefault="00663865" w:rsidP="00247D7E">
      <w:pPr>
        <w:pStyle w:val="AERbodytext"/>
      </w:pPr>
      <w:r>
        <w:t xml:space="preserve">SP AusNet </w:t>
      </w:r>
      <w:r w:rsidR="00EF1EAC">
        <w:t xml:space="preserve">examined </w:t>
      </w:r>
      <w:r w:rsidR="001A3822">
        <w:t xml:space="preserve">WiMAX and mesh radio </w:t>
      </w:r>
      <w:r w:rsidR="00EF1EAC">
        <w:t>costs over the 2012–15 period only</w:t>
      </w:r>
      <w:r w:rsidR="00ED376E">
        <w:t>, and compared the entire AMI program costs over this timeframe</w:t>
      </w:r>
      <w:r w:rsidR="00EF1EAC">
        <w:t xml:space="preserve">. </w:t>
      </w:r>
      <w:r w:rsidR="00A860BE">
        <w:t xml:space="preserve">SP AusNet identified sunk costs, but </w:t>
      </w:r>
      <w:r w:rsidR="000C6375">
        <w:t xml:space="preserve">it is not clear how SP AusNet used them in </w:t>
      </w:r>
      <w:r w:rsidR="00A860BE">
        <w:t xml:space="preserve"> its quantitative or qualitative analysis.</w:t>
      </w:r>
      <w:r w:rsidR="00F545D0">
        <w:t xml:space="preserve"> </w:t>
      </w:r>
      <w:r w:rsidR="00B4432C">
        <w:t xml:space="preserve">The AER's quantitative analysis differs to that of SP AusNet due to </w:t>
      </w:r>
      <w:r w:rsidR="00ED376E">
        <w:t>contrasting</w:t>
      </w:r>
      <w:r w:rsidR="00B4432C">
        <w:t xml:space="preserve"> opinions on the </w:t>
      </w:r>
      <w:r w:rsidR="001A3822">
        <w:t xml:space="preserve">appropriate </w:t>
      </w:r>
      <w:r w:rsidR="00B4432C">
        <w:t>costs</w:t>
      </w:r>
      <w:r w:rsidR="001A3822">
        <w:t xml:space="preserve"> for each solution</w:t>
      </w:r>
      <w:r w:rsidR="00B4432C">
        <w:t>.</w:t>
      </w:r>
      <w:r w:rsidR="0074340C">
        <w:t xml:space="preserve"> This is discussed below.</w:t>
      </w:r>
    </w:p>
    <w:p w:rsidR="00ED376E" w:rsidRDefault="00ED376E" w:rsidP="00ED376E">
      <w:pPr>
        <w:pStyle w:val="AERheading6"/>
      </w:pPr>
      <w:r>
        <w:t>Costs already incurred</w:t>
      </w:r>
    </w:p>
    <w:p w:rsidR="00ED376E" w:rsidRPr="00247D7E" w:rsidRDefault="00ED376E" w:rsidP="00ED376E">
      <w:pPr>
        <w:pStyle w:val="AERbodytext"/>
      </w:pPr>
      <w:r w:rsidRPr="00247D7E">
        <w:t xml:space="preserve">The Tribunal noted that the costs SP AusNet has already incurred for its investment in WiMAX are a </w:t>
      </w:r>
      <w:r w:rsidR="00821F19">
        <w:t>relevant consideration for</w:t>
      </w:r>
      <w:r w:rsidRPr="00247D7E">
        <w:t xml:space="preserve"> determining whether SP AusNet</w:t>
      </w:r>
      <w:r w:rsidR="00821F19">
        <w:t xml:space="preserve"> </w:t>
      </w:r>
      <w:r w:rsidRPr="00247D7E">
        <w:t>should have swit</w:t>
      </w:r>
      <w:r>
        <w:t>ched communications technology</w:t>
      </w:r>
      <w:r w:rsidRPr="00247D7E">
        <w:t>.</w:t>
      </w:r>
      <w:r>
        <w:rPr>
          <w:rStyle w:val="FootnoteReference"/>
        </w:rPr>
        <w:footnoteReference w:id="121"/>
      </w:r>
      <w:r w:rsidRPr="00247D7E">
        <w:t xml:space="preserve"> The AER acknowledges that SP AusNet has commenced its AMI rollout using WiMAX</w:t>
      </w:r>
      <w:r>
        <w:t xml:space="preserve"> and</w:t>
      </w:r>
      <w:r w:rsidR="00087318">
        <w:t xml:space="preserve"> has considered costs </w:t>
      </w:r>
      <w:r w:rsidR="00464D32">
        <w:t>related to this previous investment decision that occur as a consequence of the current investment decision to switch communications technology.</w:t>
      </w:r>
      <w:r w:rsidR="00BF27B8">
        <w:rPr>
          <w:rStyle w:val="FootnoteReference"/>
        </w:rPr>
        <w:footnoteReference w:id="122"/>
      </w:r>
      <w:r w:rsidR="00464D32">
        <w:t xml:space="preserve"> </w:t>
      </w:r>
      <w:r w:rsidRPr="00247D7E">
        <w:t>For example, if SP AusNet switched to mesh radio, it may incur WiMAX-related contract exit costs</w:t>
      </w:r>
      <w:r w:rsidR="00087318">
        <w:t>.</w:t>
      </w:r>
    </w:p>
    <w:p w:rsidR="00ED376E" w:rsidRPr="00247D7E" w:rsidRDefault="00464D32" w:rsidP="00ED376E">
      <w:pPr>
        <w:pStyle w:val="AERbodytext"/>
      </w:pPr>
      <w:r>
        <w:t xml:space="preserve">However, the </w:t>
      </w:r>
      <w:r w:rsidR="00ED376E" w:rsidRPr="00247D7E">
        <w:t xml:space="preserve">AER does not consider any costs already </w:t>
      </w:r>
      <w:r>
        <w:t>invested up to the point of the decision (sunk costs) are relevant to the decision to switch. This does not mean that such costs would be removed from the regulatory asset base</w:t>
      </w:r>
      <w:r w:rsidR="00BF27B8">
        <w:t>; they are</w:t>
      </w:r>
      <w:r>
        <w:t xml:space="preserve"> </w:t>
      </w:r>
      <w:r w:rsidR="00BF27B8">
        <w:t xml:space="preserve">just </w:t>
      </w:r>
      <w:r>
        <w:t xml:space="preserve">not relevant to the decision to switch because </w:t>
      </w:r>
      <w:r w:rsidR="00BF27B8">
        <w:t>they have already been invested.</w:t>
      </w:r>
      <w:r w:rsidR="00BF27B8">
        <w:rPr>
          <w:rStyle w:val="FootnoteReference"/>
        </w:rPr>
        <w:footnoteReference w:id="123"/>
      </w:r>
      <w:r w:rsidR="00BF27B8">
        <w:t xml:space="preserve"> I</w:t>
      </w:r>
      <w:r w:rsidR="00ED376E" w:rsidRPr="00247D7E">
        <w:t xml:space="preserve">n </w:t>
      </w:r>
      <w:r w:rsidR="00BF27B8">
        <w:t xml:space="preserve">any event, </w:t>
      </w:r>
      <w:r w:rsidR="00ED376E" w:rsidRPr="00247D7E">
        <w:t>the AMI Order already provided SP AusNet with the ability to recover these costs through its 2009–11 Approved Budget</w:t>
      </w:r>
      <w:r w:rsidR="00BF27B8">
        <w:t>,</w:t>
      </w:r>
      <w:r w:rsidR="00ED376E" w:rsidRPr="00247D7E">
        <w:t xml:space="preserve"> and any charges that are revised to take account of expenditure in excess of that budget</w:t>
      </w:r>
      <w:r w:rsidR="0074340C">
        <w:t xml:space="preserve"> for that period</w:t>
      </w:r>
      <w:r w:rsidR="00ED376E" w:rsidRPr="00247D7E">
        <w:t>.</w:t>
      </w:r>
      <w:r w:rsidR="00BF27B8">
        <w:rPr>
          <w:rStyle w:val="FootnoteReference"/>
        </w:rPr>
        <w:footnoteReference w:id="124"/>
      </w:r>
      <w:r w:rsidR="007A1AC6">
        <w:t xml:space="preserve"> </w:t>
      </w:r>
    </w:p>
    <w:p w:rsidR="00ED376E" w:rsidRDefault="009757D4" w:rsidP="00247D7E">
      <w:pPr>
        <w:pStyle w:val="AERbodytext"/>
      </w:pPr>
      <w:r>
        <w:t>However</w:t>
      </w:r>
      <w:r w:rsidR="00ED376E" w:rsidRPr="00247D7E">
        <w:t>, it is not apparent that SP AusNet and the AER disagree on sunk costs. In its Reconsideration Submission, SP AusNet stated that its quantitative analysis "has examined the forward-looking costs that would be incurred under each option</w:t>
      </w:r>
      <w:r w:rsidR="00821F19">
        <w:t>.</w:t>
      </w:r>
      <w:r w:rsidR="00ED376E" w:rsidRPr="00247D7E">
        <w:t>"</w:t>
      </w:r>
      <w:r w:rsidR="00821F19">
        <w:rPr>
          <w:rStyle w:val="FootnoteReference"/>
        </w:rPr>
        <w:footnoteReference w:id="125"/>
      </w:r>
      <w:r w:rsidR="00821F19">
        <w:t xml:space="preserve"> </w:t>
      </w:r>
      <w:r w:rsidR="00BF27B8">
        <w:t xml:space="preserve">While </w:t>
      </w:r>
      <w:r w:rsidR="00821F19">
        <w:t xml:space="preserve">SP AusNet quantified estimated sunk costs </w:t>
      </w:r>
      <w:r w:rsidR="00BF27B8">
        <w:t xml:space="preserve">it </w:t>
      </w:r>
      <w:r w:rsidR="00821F19">
        <w:t xml:space="preserve">did not explain </w:t>
      </w:r>
      <w:r w:rsidR="00B718A1">
        <w:t>how they impacted on its conclusion that if it had undertaken a full reconsideration in May 2011, it would have chosen to continue with its WiMAX solution</w:t>
      </w:r>
      <w:r w:rsidR="00821F19">
        <w:t>.</w:t>
      </w:r>
      <w:r w:rsidR="00B718A1">
        <w:rPr>
          <w:rStyle w:val="FootnoteReference"/>
        </w:rPr>
        <w:footnoteReference w:id="126"/>
      </w:r>
    </w:p>
    <w:p w:rsidR="00B718A1" w:rsidRDefault="00B718A1" w:rsidP="00247D7E">
      <w:pPr>
        <w:pStyle w:val="AERbodytext"/>
      </w:pPr>
      <w:r>
        <w:t xml:space="preserve">SP AusNet noted that if it switched to mesh radio, </w:t>
      </w:r>
      <w:r w:rsidR="00752CE8">
        <w:t>"</w:t>
      </w:r>
      <w:r>
        <w:t>customers pay twice for the functionality associated with the sunk WiMAX investment.</w:t>
      </w:r>
      <w:r w:rsidR="00752CE8">
        <w:t>"</w:t>
      </w:r>
      <w:r>
        <w:rPr>
          <w:rStyle w:val="FootnoteReference"/>
        </w:rPr>
        <w:footnoteReference w:id="127"/>
      </w:r>
      <w:r>
        <w:t xml:space="preserve"> </w:t>
      </w:r>
      <w:r w:rsidR="00357E03">
        <w:t>However, regardless of the communications solution, the AMI Order allows SP AusNet to recover its past investment from customers</w:t>
      </w:r>
      <w:r w:rsidR="004C05BE">
        <w:t xml:space="preserve"> through </w:t>
      </w:r>
      <w:r w:rsidR="00EC5D18">
        <w:t xml:space="preserve">metering </w:t>
      </w:r>
      <w:r w:rsidR="004C05BE">
        <w:t>charges</w:t>
      </w:r>
      <w:r w:rsidR="00357E03">
        <w:t xml:space="preserve">. </w:t>
      </w:r>
      <w:r w:rsidR="00EC5D18">
        <w:t xml:space="preserve">If switching to mesh radio reduces the overall cost of the AMI rollout compared to staying with WiMAX, the metering charges will be lower. </w:t>
      </w:r>
      <w:r w:rsidR="00357E03">
        <w:t xml:space="preserve">The prudent option is therefore that which minimises the </w:t>
      </w:r>
      <w:r w:rsidR="0074340C">
        <w:t xml:space="preserve">total </w:t>
      </w:r>
      <w:r w:rsidR="00357E03">
        <w:t xml:space="preserve">costs </w:t>
      </w:r>
      <w:r w:rsidR="007A1AC6">
        <w:t xml:space="preserve">to be recovered from </w:t>
      </w:r>
      <w:r w:rsidR="00357E03">
        <w:t>customers.</w:t>
      </w:r>
    </w:p>
    <w:p w:rsidR="00B4432C" w:rsidRDefault="009757D4" w:rsidP="00ED376E">
      <w:pPr>
        <w:pStyle w:val="AERheading6"/>
      </w:pPr>
      <w:r>
        <w:t>Other business stream costs</w:t>
      </w:r>
    </w:p>
    <w:p w:rsidR="00B26742" w:rsidRDefault="00B26742" w:rsidP="00B26742">
      <w:pPr>
        <w:pStyle w:val="AERbodytext"/>
        <w:rPr>
          <w:rStyle w:val="AERbody"/>
        </w:rPr>
      </w:pPr>
      <w:r>
        <w:rPr>
          <w:rStyle w:val="AERbody"/>
        </w:rPr>
        <w:t xml:space="preserve">In its </w:t>
      </w:r>
      <w:r w:rsidR="00BF27B8">
        <w:rPr>
          <w:rStyle w:val="AERbody"/>
        </w:rPr>
        <w:t>Reconsideration S</w:t>
      </w:r>
      <w:r>
        <w:rPr>
          <w:rStyle w:val="AERbody"/>
        </w:rPr>
        <w:t>ubmission, SP AusNet identified costs that are allocated to other regulated business activities in accordance with its cost allocation methodology (CAM). These costs do not form part of the AMI budget but are passed on to customers. SP AusNet contended these costs would be incurred in other business streams as a result of the AMI rollout.</w:t>
      </w:r>
      <w:r w:rsidR="005703CD">
        <w:rPr>
          <w:rStyle w:val="FootnoteReference"/>
        </w:rPr>
        <w:footnoteReference w:id="128"/>
      </w:r>
    </w:p>
    <w:p w:rsidR="00B26742" w:rsidRDefault="005703CD" w:rsidP="00B26742">
      <w:pPr>
        <w:pStyle w:val="AERbodytext"/>
        <w:rPr>
          <w:rStyle w:val="AERbody"/>
        </w:rPr>
      </w:pPr>
      <w:r>
        <w:rPr>
          <w:rStyle w:val="AERbody"/>
        </w:rPr>
        <w:t xml:space="preserve">SP AusNet's WiMAX-based rollout </w:t>
      </w:r>
      <w:r w:rsidR="00C72251">
        <w:rPr>
          <w:rStyle w:val="AERbody"/>
        </w:rPr>
        <w:t xml:space="preserve">estimate </w:t>
      </w:r>
      <w:r>
        <w:rPr>
          <w:rStyle w:val="AERbody"/>
        </w:rPr>
        <w:t xml:space="preserve">contains $10.2 million of other business stream costs, and </w:t>
      </w:r>
      <w:r w:rsidR="00B26742">
        <w:rPr>
          <w:rStyle w:val="AERbody"/>
        </w:rPr>
        <w:t>SP AusNet has assumed that implementing a mesh radio solution will further increase</w:t>
      </w:r>
      <w:r>
        <w:rPr>
          <w:rStyle w:val="AERbody"/>
        </w:rPr>
        <w:t xml:space="preserve"> these costs</w:t>
      </w:r>
      <w:r w:rsidR="00B26742">
        <w:rPr>
          <w:rStyle w:val="AERbody"/>
        </w:rPr>
        <w:t xml:space="preserve"> </w:t>
      </w:r>
      <w:r>
        <w:rPr>
          <w:rStyle w:val="AERbody"/>
        </w:rPr>
        <w:t>by $9.5 million.</w:t>
      </w:r>
      <w:r>
        <w:rPr>
          <w:rStyle w:val="FootnoteReference"/>
        </w:rPr>
        <w:footnoteReference w:id="129"/>
      </w:r>
      <w:r>
        <w:rPr>
          <w:rStyle w:val="AERbody"/>
        </w:rPr>
        <w:t xml:space="preserve"> It submits that </w:t>
      </w:r>
      <w:r w:rsidR="00B26742">
        <w:rPr>
          <w:rStyle w:val="AERbody"/>
        </w:rPr>
        <w:t xml:space="preserve">changing technology would result in additional IT </w:t>
      </w:r>
      <w:r>
        <w:rPr>
          <w:rStyle w:val="AERbody"/>
        </w:rPr>
        <w:t xml:space="preserve">integration </w:t>
      </w:r>
      <w:r w:rsidR="00B26742">
        <w:rPr>
          <w:rStyle w:val="AERbody"/>
        </w:rPr>
        <w:t>costs in relation to its regulated electricity and gas networks.</w:t>
      </w:r>
      <w:r w:rsidR="00B26742">
        <w:rPr>
          <w:rStyle w:val="FootnoteReference"/>
        </w:rPr>
        <w:footnoteReference w:id="130"/>
      </w:r>
      <w:r w:rsidR="00B26742">
        <w:rPr>
          <w:rStyle w:val="AERbody"/>
        </w:rPr>
        <w:t xml:space="preserve"> SP AusNet therefore considered that these additional costs are relevant to its circumstances, despite not being part of the AMI budget.</w:t>
      </w:r>
      <w:r w:rsidR="00B26742">
        <w:rPr>
          <w:rStyle w:val="FootnoteReference"/>
        </w:rPr>
        <w:footnoteReference w:id="131"/>
      </w:r>
    </w:p>
    <w:p w:rsidR="00A8578C" w:rsidRDefault="00A8578C" w:rsidP="00B26742">
      <w:pPr>
        <w:pStyle w:val="AERbodytext"/>
        <w:rPr>
          <w:rStyle w:val="AERbody"/>
        </w:rPr>
      </w:pPr>
      <w:r>
        <w:rPr>
          <w:rStyle w:val="AERbody"/>
        </w:rPr>
        <w:t xml:space="preserve">In its Reconsideration Submission, </w:t>
      </w:r>
      <w:r w:rsidR="00B26742">
        <w:rPr>
          <w:rStyle w:val="AERbody"/>
        </w:rPr>
        <w:t xml:space="preserve">SP AusNet </w:t>
      </w:r>
      <w:r>
        <w:rPr>
          <w:rStyle w:val="AERbody"/>
        </w:rPr>
        <w:t>quoted the Tribunal at paragraph 51:</w:t>
      </w:r>
      <w:r>
        <w:rPr>
          <w:rStyle w:val="FootnoteReference"/>
        </w:rPr>
        <w:footnoteReference w:id="132"/>
      </w:r>
    </w:p>
    <w:p w:rsidR="00A8578C" w:rsidRPr="008F7BA3" w:rsidRDefault="00A8578C" w:rsidP="008F7BA3">
      <w:pPr>
        <w:pStyle w:val="AERquote"/>
        <w:rPr>
          <w:rStyle w:val="AERbody"/>
          <w:color w:val="000000"/>
          <w:sz w:val="16"/>
        </w:rPr>
      </w:pPr>
      <w:r w:rsidRPr="008F7BA3">
        <w:rPr>
          <w:rStyle w:val="AERbody"/>
          <w:color w:val="000000"/>
          <w:sz w:val="16"/>
        </w:rPr>
        <w:t>The interface between WiMAX and SP AusNet's NMS is through the MMS. The data derived through that interface impacts on a number of other business systems of SP AusNet, such as its Meter Data Management System, customer information system, enterprise application integration</w:t>
      </w:r>
      <w:r w:rsidR="008F7BA3" w:rsidRPr="008F7BA3">
        <w:rPr>
          <w:rStyle w:val="AERbody"/>
          <w:color w:val="000000"/>
          <w:sz w:val="16"/>
        </w:rPr>
        <w:t xml:space="preserve"> and data warehousing</w:t>
      </w:r>
      <w:r w:rsidRPr="008F7BA3">
        <w:rPr>
          <w:rStyle w:val="AERbody"/>
          <w:color w:val="000000"/>
          <w:sz w:val="16"/>
        </w:rPr>
        <w:t xml:space="preserve">. </w:t>
      </w:r>
    </w:p>
    <w:p w:rsidR="006D4BEB" w:rsidRDefault="008F7BA3" w:rsidP="00B26742">
      <w:pPr>
        <w:pStyle w:val="AERbodytext"/>
        <w:rPr>
          <w:rStyle w:val="AERbody"/>
        </w:rPr>
      </w:pPr>
      <w:r>
        <w:rPr>
          <w:rStyle w:val="AERbody"/>
        </w:rPr>
        <w:t>The AER considers this does not substantiate</w:t>
      </w:r>
      <w:r w:rsidR="00B26742">
        <w:rPr>
          <w:rStyle w:val="AERbody"/>
        </w:rPr>
        <w:t xml:space="preserve"> </w:t>
      </w:r>
      <w:r w:rsidR="00A8578C">
        <w:rPr>
          <w:rStyle w:val="AERbody"/>
        </w:rPr>
        <w:t xml:space="preserve">the nature or accuracy of </w:t>
      </w:r>
      <w:r>
        <w:rPr>
          <w:rStyle w:val="AERbody"/>
        </w:rPr>
        <w:t>SP AusNet's proposed</w:t>
      </w:r>
      <w:r w:rsidR="00A8578C">
        <w:rPr>
          <w:rStyle w:val="AERbody"/>
        </w:rPr>
        <w:t xml:space="preserve"> costs</w:t>
      </w:r>
      <w:r>
        <w:rPr>
          <w:rStyle w:val="AERbody"/>
        </w:rPr>
        <w:t xml:space="preserve"> (either for WiMAX or mesh radio),</w:t>
      </w:r>
      <w:r>
        <w:rPr>
          <w:rStyle w:val="FootnoteReference"/>
        </w:rPr>
        <w:footnoteReference w:id="133"/>
      </w:r>
      <w:r w:rsidR="00A8578C">
        <w:rPr>
          <w:rStyle w:val="AERbody"/>
        </w:rPr>
        <w:t xml:space="preserve"> or why</w:t>
      </w:r>
      <w:r w:rsidR="00B26742">
        <w:rPr>
          <w:rStyle w:val="AERbody"/>
        </w:rPr>
        <w:t xml:space="preserve"> switching technology will </w:t>
      </w:r>
      <w:r>
        <w:rPr>
          <w:rStyle w:val="AERbody"/>
        </w:rPr>
        <w:t xml:space="preserve">further </w:t>
      </w:r>
      <w:r w:rsidR="00B26742">
        <w:rPr>
          <w:rStyle w:val="AERbody"/>
        </w:rPr>
        <w:t>increase the cost</w:t>
      </w:r>
      <w:r w:rsidR="00BF27B8">
        <w:rPr>
          <w:rStyle w:val="AERbody"/>
        </w:rPr>
        <w:t>s</w:t>
      </w:r>
      <w:r w:rsidR="00B26742">
        <w:rPr>
          <w:rStyle w:val="AERbody"/>
        </w:rPr>
        <w:t xml:space="preserve"> in other business streams</w:t>
      </w:r>
      <w:r w:rsidR="00A8578C">
        <w:rPr>
          <w:rStyle w:val="AERbody"/>
        </w:rPr>
        <w:t>.</w:t>
      </w:r>
      <w:r>
        <w:rPr>
          <w:rStyle w:val="FootnoteReference"/>
        </w:rPr>
        <w:footnoteReference w:id="134"/>
      </w:r>
      <w:r w:rsidR="00B26742">
        <w:rPr>
          <w:rStyle w:val="AERbody"/>
        </w:rPr>
        <w:t xml:space="preserve"> </w:t>
      </w:r>
    </w:p>
    <w:p w:rsidR="00B26742" w:rsidRDefault="006D4BEB" w:rsidP="00B26742">
      <w:pPr>
        <w:pStyle w:val="AERbodytext"/>
        <w:rPr>
          <w:rStyle w:val="AERbody"/>
        </w:rPr>
      </w:pPr>
      <w:r>
        <w:rPr>
          <w:rStyle w:val="AERbody"/>
        </w:rPr>
        <w:t>The AER acknowledges that if switching communications technology resulted in increased costs in other areas of SP AusNet's business, such costs would be a relevant consideration in deciding whether to switch. However, i</w:t>
      </w:r>
      <w:r w:rsidR="00B26742">
        <w:rPr>
          <w:rStyle w:val="AERbody"/>
        </w:rPr>
        <w:t xml:space="preserve">n the absence of </w:t>
      </w:r>
      <w:r>
        <w:rPr>
          <w:rStyle w:val="AERbody"/>
        </w:rPr>
        <w:t xml:space="preserve">any </w:t>
      </w:r>
      <w:r w:rsidR="00B26742">
        <w:rPr>
          <w:rStyle w:val="AERbody"/>
        </w:rPr>
        <w:t xml:space="preserve">substantiation, it is not apparent to the AER </w:t>
      </w:r>
      <w:r w:rsidR="00A8578C">
        <w:rPr>
          <w:rStyle w:val="AERbody"/>
        </w:rPr>
        <w:t>why</w:t>
      </w:r>
      <w:r w:rsidR="00B26742">
        <w:rPr>
          <w:rStyle w:val="AERbody"/>
        </w:rPr>
        <w:t xml:space="preserve"> switching to mesh </w:t>
      </w:r>
      <w:r>
        <w:rPr>
          <w:rStyle w:val="AERbody"/>
        </w:rPr>
        <w:t xml:space="preserve">radio </w:t>
      </w:r>
      <w:r w:rsidR="00B26742">
        <w:rPr>
          <w:rStyle w:val="AERbody"/>
        </w:rPr>
        <w:t xml:space="preserve">will increase these costs beyond those </w:t>
      </w:r>
      <w:r w:rsidR="00A8578C">
        <w:rPr>
          <w:rStyle w:val="AERbody"/>
        </w:rPr>
        <w:t xml:space="preserve">already </w:t>
      </w:r>
      <w:r w:rsidR="008F7BA3">
        <w:rPr>
          <w:rStyle w:val="AERbody"/>
        </w:rPr>
        <w:t xml:space="preserve">(unsubstantiated costs) associated with </w:t>
      </w:r>
      <w:r>
        <w:rPr>
          <w:rStyle w:val="AERbody"/>
        </w:rPr>
        <w:t xml:space="preserve">SP AusNet's </w:t>
      </w:r>
      <w:r w:rsidR="00B26742">
        <w:rPr>
          <w:rStyle w:val="AERbody"/>
        </w:rPr>
        <w:t>WiMAX solution.</w:t>
      </w:r>
      <w:r w:rsidR="008F7BA3">
        <w:rPr>
          <w:rStyle w:val="AERbody"/>
        </w:rPr>
        <w:t xml:space="preserve"> </w:t>
      </w:r>
      <w:r>
        <w:rPr>
          <w:rStyle w:val="AERbody"/>
        </w:rPr>
        <w:t>T</w:t>
      </w:r>
      <w:r w:rsidR="008F7BA3">
        <w:rPr>
          <w:rStyle w:val="AERbody"/>
        </w:rPr>
        <w:t xml:space="preserve">he AER has </w:t>
      </w:r>
      <w:r>
        <w:rPr>
          <w:rStyle w:val="AERbody"/>
        </w:rPr>
        <w:t xml:space="preserve">therefore </w:t>
      </w:r>
      <w:r w:rsidR="008F7BA3">
        <w:rPr>
          <w:rStyle w:val="AERbody"/>
        </w:rPr>
        <w:t>not considered them in its quantitative analysis.</w:t>
      </w:r>
    </w:p>
    <w:p w:rsidR="009757D4" w:rsidRDefault="009757D4" w:rsidP="009757D4">
      <w:pPr>
        <w:pStyle w:val="AERheading6"/>
      </w:pPr>
      <w:r>
        <w:t>WiMAX costs</w:t>
      </w:r>
    </w:p>
    <w:p w:rsidR="004B4637" w:rsidRDefault="00144EA7" w:rsidP="004B4637">
      <w:pPr>
        <w:pStyle w:val="AERbodytext"/>
      </w:pPr>
      <w:r>
        <w:t xml:space="preserve">To conduct </w:t>
      </w:r>
      <w:r w:rsidR="004B4637">
        <w:t xml:space="preserve">its </w:t>
      </w:r>
      <w:r>
        <w:t xml:space="preserve">analysis, the AER </w:t>
      </w:r>
      <w:r w:rsidR="00257915">
        <w:t xml:space="preserve">has </w:t>
      </w:r>
      <w:r>
        <w:t>devel</w:t>
      </w:r>
      <w:r w:rsidR="004B4637">
        <w:t>o</w:t>
      </w:r>
      <w:r>
        <w:t xml:space="preserve">ped an estimate of the relevant WiMAX costs over </w:t>
      </w:r>
      <w:r w:rsidR="00257915">
        <w:t>a</w:t>
      </w:r>
      <w:r>
        <w:t xml:space="preserve"> 15 year period</w:t>
      </w:r>
      <w:r w:rsidR="007A63B3">
        <w:t xml:space="preserve"> based on SP AusNet's 28 February 2011 Submitted Budget. </w:t>
      </w:r>
      <w:r w:rsidR="00257915">
        <w:t>In its final determination, the AER assessed WiMAX costs for 2012–15 as submitted by SP AusNet</w:t>
      </w:r>
      <w:r w:rsidR="00780DD1">
        <w:t xml:space="preserve"> but</w:t>
      </w:r>
      <w:r w:rsidR="00257915">
        <w:t xml:space="preserve"> concluded</w:t>
      </w:r>
      <w:r w:rsidR="00780DD1">
        <w:t xml:space="preserve"> that</w:t>
      </w:r>
      <w:r w:rsidR="00257915">
        <w:t xml:space="preserve"> mesh radio benchmarks reflected the commercial standard for some expenditure. </w:t>
      </w:r>
      <w:r w:rsidR="00780DD1">
        <w:t xml:space="preserve">Therefore, </w:t>
      </w:r>
      <w:r w:rsidR="00257915">
        <w:t xml:space="preserve">the AER considers </w:t>
      </w:r>
      <w:r w:rsidR="00780DD1">
        <w:t xml:space="preserve">it would not be appropriate to use its </w:t>
      </w:r>
      <w:r w:rsidR="00257915">
        <w:t xml:space="preserve">final determination </w:t>
      </w:r>
      <w:r w:rsidR="00CC00DA">
        <w:t>expenditure</w:t>
      </w:r>
      <w:r w:rsidR="00257915">
        <w:t xml:space="preserve"> </w:t>
      </w:r>
      <w:r w:rsidR="00780DD1">
        <w:t xml:space="preserve">to estimate </w:t>
      </w:r>
      <w:r w:rsidR="00257915">
        <w:t>WiMAX costs as at 28 February 2011.</w:t>
      </w:r>
    </w:p>
    <w:p w:rsidR="0057356E" w:rsidRDefault="007A63B3" w:rsidP="00144EA7">
      <w:pPr>
        <w:pStyle w:val="AERbodytext"/>
      </w:pPr>
      <w:r>
        <w:t>T</w:t>
      </w:r>
      <w:r w:rsidR="00780DD1">
        <w:t xml:space="preserve">he AER </w:t>
      </w:r>
      <w:r>
        <w:t>has accepted</w:t>
      </w:r>
      <w:r w:rsidR="00780DD1">
        <w:t xml:space="preserve"> SP AusNet's 28 February 2011 Submitted Budget contains the appropriate inputs that a reasonable business in SP AusNet's circumstances would have used to estimate the costs of a WiMAX solution as at 28 February 2011. </w:t>
      </w:r>
      <w:r w:rsidR="00257915">
        <w:t xml:space="preserve">However, </w:t>
      </w:r>
      <w:r w:rsidR="00780DD1">
        <w:t xml:space="preserve">the AER </w:t>
      </w:r>
      <w:r w:rsidR="0057356E">
        <w:t>considers SP AusNet's Submitted Budget requires adjustment to appropriately compare with the</w:t>
      </w:r>
      <w:r w:rsidR="00593AB5">
        <w:t xml:space="preserve"> AER's estimate of the</w:t>
      </w:r>
      <w:r w:rsidR="0057356E">
        <w:t xml:space="preserve"> cost of mesh radio.</w:t>
      </w:r>
    </w:p>
    <w:p w:rsidR="0057356E" w:rsidRDefault="0057356E" w:rsidP="00144EA7">
      <w:pPr>
        <w:pStyle w:val="AERbodytext"/>
      </w:pPr>
      <w:r>
        <w:t>First, as explained above, the AER examined the costs of WiMAX over a 15 year period, rather than limiting its analysis to the 2012–15 period. This is so the ongoing costs can be taken into account.</w:t>
      </w:r>
    </w:p>
    <w:p w:rsidR="00144EA7" w:rsidRDefault="0057356E" w:rsidP="00144EA7">
      <w:pPr>
        <w:pStyle w:val="AERbodytext"/>
      </w:pPr>
      <w:r>
        <w:t xml:space="preserve">Second, the AER </w:t>
      </w:r>
      <w:r w:rsidR="00780DD1">
        <w:t xml:space="preserve">considers </w:t>
      </w:r>
      <w:r w:rsidR="00257915">
        <w:t>n</w:t>
      </w:r>
      <w:r w:rsidR="004B4637">
        <w:t xml:space="preserve">ot all of the cost categories </w:t>
      </w:r>
      <w:r w:rsidR="00780DD1">
        <w:t xml:space="preserve">in SP AusNet's Submitted Budget </w:t>
      </w:r>
      <w:r w:rsidR="004B4637">
        <w:t>are relevant</w:t>
      </w:r>
      <w:r>
        <w:t xml:space="preserve"> to its quantitative analysis.</w:t>
      </w:r>
      <w:r w:rsidR="00780DD1">
        <w:t xml:space="preserve"> </w:t>
      </w:r>
      <w:r>
        <w:t>N</w:t>
      </w:r>
      <w:r w:rsidR="00780DD1">
        <w:t>ot all expenditure should be affected by switching from WiMAX to mesh radio.</w:t>
      </w:r>
      <w:r w:rsidR="007A63B3">
        <w:rPr>
          <w:rStyle w:val="FootnoteReference"/>
        </w:rPr>
        <w:footnoteReference w:id="135"/>
      </w:r>
      <w:r w:rsidR="007A63B3">
        <w:t xml:space="preserve"> </w:t>
      </w:r>
      <w:r w:rsidR="00780DD1">
        <w:t xml:space="preserve"> </w:t>
      </w:r>
      <w:r>
        <w:t xml:space="preserve">The AER therefore limited its analysis to expenditure that would be affected by switching communications technology. </w:t>
      </w:r>
      <w:r w:rsidR="00144EA7">
        <w:t>The relevant costs from the AER's perspective are:</w:t>
      </w:r>
      <w:r w:rsidR="00ED25BE">
        <w:rPr>
          <w:rStyle w:val="FootnoteReference"/>
        </w:rPr>
        <w:footnoteReference w:id="136"/>
      </w:r>
    </w:p>
    <w:p w:rsidR="00780DD1" w:rsidRDefault="00ED25BE" w:rsidP="00ED25BE">
      <w:pPr>
        <w:pStyle w:val="AERbulletlistfirststyle"/>
      </w:pPr>
      <w:r>
        <w:t>communications modules and accessories</w:t>
      </w:r>
      <w:r w:rsidR="00CD4D5F">
        <w:t>, but not meters</w:t>
      </w:r>
    </w:p>
    <w:p w:rsidR="00065517" w:rsidRDefault="00065517" w:rsidP="00ED25BE">
      <w:pPr>
        <w:pStyle w:val="AERbulletlistfirststyle"/>
      </w:pPr>
      <w:r>
        <w:t>retrofitting costs</w:t>
      </w:r>
    </w:p>
    <w:p w:rsidR="00ED25BE" w:rsidRDefault="00ED25BE" w:rsidP="00ED25BE">
      <w:pPr>
        <w:pStyle w:val="AERbulletlistfirststyle"/>
      </w:pPr>
      <w:r>
        <w:t>communications network and backhaul capex</w:t>
      </w:r>
    </w:p>
    <w:p w:rsidR="00ED25BE" w:rsidRDefault="00ED25BE" w:rsidP="00ED25BE">
      <w:pPr>
        <w:pStyle w:val="AERbulletlistfirststyle"/>
      </w:pPr>
      <w:r>
        <w:t xml:space="preserve">NMS and MDMS </w:t>
      </w:r>
      <w:r w:rsidR="0057356E">
        <w:t xml:space="preserve">(IT) </w:t>
      </w:r>
      <w:r>
        <w:t>capex and opex</w:t>
      </w:r>
    </w:p>
    <w:p w:rsidR="00ED25BE" w:rsidRDefault="00ED25BE" w:rsidP="00ED25BE">
      <w:pPr>
        <w:pStyle w:val="AERbulletlistfirststyle"/>
      </w:pPr>
      <w:r>
        <w:t xml:space="preserve">communications </w:t>
      </w:r>
      <w:r w:rsidR="00593AB5">
        <w:t xml:space="preserve">and backhaul </w:t>
      </w:r>
      <w:r>
        <w:t>opex.</w:t>
      </w:r>
    </w:p>
    <w:p w:rsidR="00704A2B" w:rsidRDefault="00ED25BE" w:rsidP="00144EA7">
      <w:pPr>
        <w:pStyle w:val="AERbodytext"/>
      </w:pPr>
      <w:r>
        <w:t>The AER also included additional opex for communications module installation in 2011 and additional capex after 2014 to account for ongoing network expansion, which SP AusNet did not.</w:t>
      </w:r>
      <w:r w:rsidRPr="00ED25BE">
        <w:rPr>
          <w:rStyle w:val="FootnoteReference"/>
        </w:rPr>
        <w:footnoteReference w:id="137"/>
      </w:r>
      <w:r w:rsidR="00704A2B">
        <w:t xml:space="preserve"> Further, the AER has assumed the</w:t>
      </w:r>
      <w:r w:rsidR="005917B2">
        <w:t xml:space="preserve"> </w:t>
      </w:r>
      <w:r w:rsidR="0057356E">
        <w:t xml:space="preserve">full </w:t>
      </w:r>
      <w:r w:rsidR="00704A2B">
        <w:t xml:space="preserve">IT system will be </w:t>
      </w:r>
      <w:r w:rsidR="0057356E">
        <w:t xml:space="preserve">completely </w:t>
      </w:r>
      <w:r w:rsidR="00704A2B">
        <w:t xml:space="preserve">replaced </w:t>
      </w:r>
      <w:r w:rsidR="005917B2">
        <w:t xml:space="preserve">after seven years </w:t>
      </w:r>
      <w:r w:rsidR="00704A2B">
        <w:t>over</w:t>
      </w:r>
      <w:r w:rsidR="002E6D52">
        <w:t xml:space="preserve"> a</w:t>
      </w:r>
      <w:r w:rsidR="00704A2B">
        <w:t xml:space="preserve"> two year</w:t>
      </w:r>
      <w:r w:rsidR="002E6D52">
        <w:t xml:space="preserve"> period</w:t>
      </w:r>
      <w:r w:rsidR="00704A2B">
        <w:t>.</w:t>
      </w:r>
      <w:r w:rsidR="00704A2B">
        <w:rPr>
          <w:rStyle w:val="FootnoteReference"/>
        </w:rPr>
        <w:footnoteReference w:id="138"/>
      </w:r>
    </w:p>
    <w:p w:rsidR="00144EA7" w:rsidRDefault="00CD4D5F" w:rsidP="00CD4D5F">
      <w:pPr>
        <w:pStyle w:val="AERbodytext"/>
      </w:pPr>
      <w:r>
        <w:t>For communications module costs, the AER used its</w:t>
      </w:r>
      <w:r w:rsidR="007A63B3">
        <w:t xml:space="preserve"> final determination </w:t>
      </w:r>
      <w:r w:rsidR="004B4637">
        <w:t xml:space="preserve">meter numbers and </w:t>
      </w:r>
      <w:r>
        <w:t xml:space="preserve">the percentage </w:t>
      </w:r>
      <w:r w:rsidR="004B4637">
        <w:t>split</w:t>
      </w:r>
      <w:r w:rsidR="007A63B3">
        <w:t xml:space="preserve"> between </w:t>
      </w:r>
      <w:r>
        <w:t xml:space="preserve">the number of SP AusNet's </w:t>
      </w:r>
      <w:r w:rsidR="007A63B3">
        <w:t xml:space="preserve">WiMAX </w:t>
      </w:r>
      <w:r>
        <w:t xml:space="preserve">meters </w:t>
      </w:r>
      <w:r w:rsidR="007A63B3">
        <w:t xml:space="preserve">and </w:t>
      </w:r>
      <w:r>
        <w:t xml:space="preserve">its </w:t>
      </w:r>
      <w:r w:rsidR="007A63B3">
        <w:t>3G meters</w:t>
      </w:r>
      <w:r>
        <w:t xml:space="preserve"> to estimate </w:t>
      </w:r>
      <w:r w:rsidR="0057356E">
        <w:t xml:space="preserve">communications </w:t>
      </w:r>
      <w:r>
        <w:t>module costs separately from total meter costs</w:t>
      </w:r>
      <w:r w:rsidR="007A63B3">
        <w:t>.</w:t>
      </w:r>
      <w:r w:rsidR="00CC00DA">
        <w:t xml:space="preserve"> </w:t>
      </w:r>
      <w:r w:rsidR="0057356E">
        <w:t xml:space="preserve">This was necessary because </w:t>
      </w:r>
      <w:r>
        <w:t xml:space="preserve">SP AusNet's submission aggregated the cost of communications modules with the cost of the meters. </w:t>
      </w:r>
    </w:p>
    <w:p w:rsidR="00144EA7" w:rsidRDefault="00144EA7" w:rsidP="00144EA7">
      <w:pPr>
        <w:pStyle w:val="AERbodytext"/>
      </w:pPr>
      <w:r>
        <w:t xml:space="preserve">The AER's estimate of the relevant costs of WiMAX over the </w:t>
      </w:r>
      <w:r w:rsidR="008B0DAF">
        <w:t>2012–15</w:t>
      </w:r>
      <w:r>
        <w:t xml:space="preserve"> budget </w:t>
      </w:r>
      <w:r w:rsidR="004B4637">
        <w:t>period</w:t>
      </w:r>
      <w:r>
        <w:t xml:space="preserve"> and over the 15 </w:t>
      </w:r>
      <w:r w:rsidR="002E6D52">
        <w:t xml:space="preserve">year </w:t>
      </w:r>
      <w:r>
        <w:t>timeframe</w:t>
      </w:r>
      <w:r w:rsidR="004B4637">
        <w:t xml:space="preserve"> discounted back to 2011</w:t>
      </w:r>
      <w:r>
        <w:t xml:space="preserve"> are presented below</w:t>
      </w:r>
      <w:r w:rsidR="00D20618">
        <w:t xml:space="preserve"> in</w:t>
      </w:r>
      <w:r>
        <w:t xml:space="preserve"> </w:t>
      </w:r>
      <w:r w:rsidR="00AF0E53">
        <w:t>Table 1.2</w:t>
      </w:r>
      <w:r>
        <w:t>.</w:t>
      </w:r>
    </w:p>
    <w:p w:rsidR="00110043" w:rsidRDefault="008B0DAF" w:rsidP="00110043">
      <w:pPr>
        <w:pStyle w:val="AERtabletitle"/>
      </w:pPr>
      <w:bookmarkStart w:id="19" w:name="_Ref331332026"/>
      <w:r>
        <w:t>AER estimate of</w:t>
      </w:r>
      <w:r w:rsidR="00110043">
        <w:t xml:space="preserve"> WiMAX-related costs ($million</w:t>
      </w:r>
      <w:r w:rsidR="000902A8">
        <w:t xml:space="preserve">, </w:t>
      </w:r>
      <w:r>
        <w:t xml:space="preserve">discounted </w:t>
      </w:r>
      <w:r w:rsidR="000902A8">
        <w:t>2011</w:t>
      </w:r>
      <w:r w:rsidR="00110043">
        <w:t>)</w:t>
      </w:r>
      <w:bookmarkEnd w:id="19"/>
    </w:p>
    <w:tbl>
      <w:tblPr>
        <w:tblStyle w:val="AERtable-numbers"/>
        <w:tblW w:w="4999" w:type="pct"/>
        <w:tblLook w:val="0020"/>
      </w:tblPr>
      <w:tblGrid>
        <w:gridCol w:w="2182"/>
        <w:gridCol w:w="3530"/>
        <w:gridCol w:w="3528"/>
      </w:tblGrid>
      <w:tr w:rsidR="00CC00DA" w:rsidTr="0095490F">
        <w:trPr>
          <w:cnfStyle w:val="100000000000"/>
        </w:trPr>
        <w:tc>
          <w:tcPr>
            <w:tcW w:w="1181" w:type="pct"/>
          </w:tcPr>
          <w:p w:rsidR="00CC00DA" w:rsidRDefault="00CC00DA" w:rsidP="00CC00DA">
            <w:pPr>
              <w:pStyle w:val="AERtabletext"/>
            </w:pPr>
          </w:p>
        </w:tc>
        <w:tc>
          <w:tcPr>
            <w:tcW w:w="1910" w:type="pct"/>
          </w:tcPr>
          <w:p w:rsidR="00CC00DA" w:rsidRPr="00CC00DA" w:rsidRDefault="00CC00DA" w:rsidP="00CC00DA">
            <w:pPr>
              <w:pStyle w:val="AERtabletextheadingright"/>
            </w:pPr>
            <w:r>
              <w:t>15 year NPV (2011</w:t>
            </w:r>
            <w:r w:rsidRPr="00CC00DA">
              <w:t>–25)</w:t>
            </w:r>
          </w:p>
        </w:tc>
        <w:tc>
          <w:tcPr>
            <w:tcW w:w="1909" w:type="pct"/>
          </w:tcPr>
          <w:p w:rsidR="00CC00DA" w:rsidRPr="00CC00DA" w:rsidRDefault="00CC00DA" w:rsidP="008B0DAF">
            <w:pPr>
              <w:pStyle w:val="AERtabletextheadingright"/>
            </w:pPr>
            <w:r w:rsidRPr="00CC00DA">
              <w:t>2012–15</w:t>
            </w:r>
          </w:p>
        </w:tc>
      </w:tr>
      <w:tr w:rsidR="0095490F" w:rsidTr="0095490F">
        <w:tc>
          <w:tcPr>
            <w:tcW w:w="1181" w:type="pct"/>
          </w:tcPr>
          <w:p w:rsidR="0095490F" w:rsidRPr="0095490F" w:rsidRDefault="0095490F" w:rsidP="0095490F">
            <w:pPr>
              <w:pStyle w:val="AERtabletext"/>
            </w:pPr>
            <w:r w:rsidRPr="0095490F">
              <w:t>Capex</w:t>
            </w:r>
          </w:p>
        </w:tc>
        <w:tc>
          <w:tcPr>
            <w:tcW w:w="1910" w:type="pct"/>
            <w:vAlign w:val="bottom"/>
          </w:tcPr>
          <w:p w:rsidR="0095490F" w:rsidRPr="0095490F" w:rsidRDefault="0095490F" w:rsidP="0095490F">
            <w:pPr>
              <w:pStyle w:val="AERtabletext-numbers"/>
            </w:pPr>
            <w:r w:rsidRPr="0095490F">
              <w:t>208.5</w:t>
            </w:r>
          </w:p>
        </w:tc>
        <w:tc>
          <w:tcPr>
            <w:tcW w:w="1909" w:type="pct"/>
            <w:vAlign w:val="bottom"/>
          </w:tcPr>
          <w:p w:rsidR="0095490F" w:rsidRPr="0095490F" w:rsidRDefault="0095490F" w:rsidP="0095490F">
            <w:pPr>
              <w:pStyle w:val="AERtabletext-numbers"/>
            </w:pPr>
            <w:r w:rsidRPr="0095490F">
              <w:t>114.3</w:t>
            </w:r>
          </w:p>
        </w:tc>
      </w:tr>
      <w:tr w:rsidR="0095490F" w:rsidTr="0095490F">
        <w:trPr>
          <w:cnfStyle w:val="000000010000"/>
        </w:trPr>
        <w:tc>
          <w:tcPr>
            <w:tcW w:w="1181" w:type="pct"/>
          </w:tcPr>
          <w:p w:rsidR="0095490F" w:rsidRPr="0095490F" w:rsidRDefault="0095490F" w:rsidP="0095490F">
            <w:pPr>
              <w:pStyle w:val="AERtabletext"/>
            </w:pPr>
            <w:r w:rsidRPr="0095490F">
              <w:t>Opex</w:t>
            </w:r>
          </w:p>
        </w:tc>
        <w:tc>
          <w:tcPr>
            <w:tcW w:w="1910" w:type="pct"/>
            <w:vAlign w:val="bottom"/>
          </w:tcPr>
          <w:p w:rsidR="0095490F" w:rsidRPr="0095490F" w:rsidRDefault="0095490F" w:rsidP="0095490F">
            <w:pPr>
              <w:pStyle w:val="AERtabletext-numbers"/>
            </w:pPr>
            <w:r w:rsidRPr="0095490F">
              <w:t>110.1</w:t>
            </w:r>
          </w:p>
        </w:tc>
        <w:tc>
          <w:tcPr>
            <w:tcW w:w="1909" w:type="pct"/>
            <w:vAlign w:val="bottom"/>
          </w:tcPr>
          <w:p w:rsidR="0095490F" w:rsidRPr="0095490F" w:rsidRDefault="0095490F" w:rsidP="0095490F">
            <w:pPr>
              <w:pStyle w:val="AERtabletext-numbers"/>
            </w:pPr>
            <w:r w:rsidRPr="0095490F">
              <w:t>39.8</w:t>
            </w:r>
          </w:p>
        </w:tc>
      </w:tr>
      <w:tr w:rsidR="0095490F" w:rsidTr="0095490F">
        <w:tc>
          <w:tcPr>
            <w:tcW w:w="1181" w:type="pct"/>
          </w:tcPr>
          <w:p w:rsidR="0095490F" w:rsidRPr="0095490F" w:rsidRDefault="0095490F" w:rsidP="0095490F">
            <w:pPr>
              <w:pStyle w:val="AERtabletext"/>
              <w:rPr>
                <w:rStyle w:val="AERtextbold"/>
              </w:rPr>
            </w:pPr>
            <w:r w:rsidRPr="0095490F">
              <w:rPr>
                <w:rStyle w:val="AERtextbold"/>
              </w:rPr>
              <w:t>Total</w:t>
            </w:r>
          </w:p>
        </w:tc>
        <w:tc>
          <w:tcPr>
            <w:tcW w:w="1910" w:type="pct"/>
            <w:vAlign w:val="bottom"/>
          </w:tcPr>
          <w:p w:rsidR="0095490F" w:rsidRPr="0095490F" w:rsidRDefault="0034268C" w:rsidP="0095490F">
            <w:pPr>
              <w:pStyle w:val="AERtabletext-numbers"/>
              <w:rPr>
                <w:rStyle w:val="AERtextbold"/>
              </w:rPr>
            </w:pPr>
            <w:r w:rsidRPr="0034268C">
              <w:rPr>
                <w:rStyle w:val="AERtextbold"/>
              </w:rPr>
              <w:t>318.6</w:t>
            </w:r>
          </w:p>
        </w:tc>
        <w:tc>
          <w:tcPr>
            <w:tcW w:w="1909" w:type="pct"/>
            <w:vAlign w:val="bottom"/>
          </w:tcPr>
          <w:p w:rsidR="0095490F" w:rsidRPr="0095490F" w:rsidRDefault="0034268C" w:rsidP="0095490F">
            <w:pPr>
              <w:pStyle w:val="AERtabletext-numbers"/>
              <w:rPr>
                <w:rStyle w:val="AERtextbold"/>
              </w:rPr>
            </w:pPr>
            <w:r w:rsidRPr="0034268C">
              <w:rPr>
                <w:rStyle w:val="AERtextbold"/>
              </w:rPr>
              <w:t>154.1</w:t>
            </w:r>
          </w:p>
        </w:tc>
      </w:tr>
    </w:tbl>
    <w:p w:rsidR="00791DA9" w:rsidRPr="00110043" w:rsidRDefault="00110043" w:rsidP="00110043">
      <w:pPr>
        <w:pStyle w:val="AERtablesource"/>
        <w:rPr>
          <w:rStyle w:val="AERtablesourceCharChar"/>
        </w:rPr>
      </w:pPr>
      <w:r w:rsidRPr="00110043">
        <w:rPr>
          <w:rStyle w:val="AERtablesourceCharChar"/>
        </w:rPr>
        <w:t>Source:</w:t>
      </w:r>
      <w:r w:rsidRPr="00110043">
        <w:rPr>
          <w:rStyle w:val="AERtablesourceCharChar"/>
        </w:rPr>
        <w:tab/>
        <w:t>AER analysis.</w:t>
      </w:r>
    </w:p>
    <w:p w:rsidR="00B4432C" w:rsidRDefault="00B4432C" w:rsidP="00ED376E">
      <w:pPr>
        <w:pStyle w:val="AERheading6"/>
      </w:pPr>
      <w:r>
        <w:t>Mesh radio costs</w:t>
      </w:r>
    </w:p>
    <w:p w:rsidR="00E44478" w:rsidRDefault="00E44478" w:rsidP="00247D7E">
      <w:pPr>
        <w:pStyle w:val="AERbodytext"/>
      </w:pPr>
      <w:r>
        <w:t>SP AusNet's submission analysed the costs of mesh radi</w:t>
      </w:r>
      <w:r w:rsidR="00593AB5">
        <w:t xml:space="preserve">o over the 2012–15 period only, and </w:t>
      </w:r>
      <w:r w:rsidR="0099202F">
        <w:t>estimated</w:t>
      </w:r>
      <w:r>
        <w:t xml:space="preserve"> the cost of an entire mesh radio rollout.</w:t>
      </w:r>
    </w:p>
    <w:p w:rsidR="00593AB5" w:rsidRDefault="00F545D0" w:rsidP="00247D7E">
      <w:pPr>
        <w:pStyle w:val="AERbodytext"/>
      </w:pPr>
      <w:r>
        <w:t>T</w:t>
      </w:r>
      <w:r w:rsidR="007C13EE">
        <w:t xml:space="preserve">he </w:t>
      </w:r>
      <w:r>
        <w:t xml:space="preserve">AER considers SP AusNet's mesh radio estimate </w:t>
      </w:r>
      <w:r w:rsidR="00A173FD">
        <w:t>overstates</w:t>
      </w:r>
      <w:r>
        <w:t xml:space="preserve"> costs and should </w:t>
      </w:r>
      <w:r w:rsidR="001A3822">
        <w:t xml:space="preserve">be adjusted to reflect a 15 year timeframe. </w:t>
      </w:r>
      <w:r>
        <w:t xml:space="preserve"> </w:t>
      </w:r>
      <w:r w:rsidR="004C7258">
        <w:t xml:space="preserve">As noted above, certain costs will be the same regardless of a WiMAX or a mesh radio solution, so the AER has excluded them. </w:t>
      </w:r>
      <w:r w:rsidR="00593AB5">
        <w:t>Such costs include meter</w:t>
      </w:r>
      <w:r w:rsidR="00401CA0">
        <w:t xml:space="preserve"> cost</w:t>
      </w:r>
      <w:r w:rsidR="00593AB5">
        <w:t>s, meter installation</w:t>
      </w:r>
      <w:r w:rsidR="00401CA0">
        <w:t xml:space="preserve"> costs, AMI and IT program management costs, meter reading, maintenance and data management costs, overheads, industry, audit and regulatory costs, customer service costs and debt raising costs. </w:t>
      </w:r>
    </w:p>
    <w:p w:rsidR="00684A5D" w:rsidRDefault="001A3822" w:rsidP="00247D7E">
      <w:pPr>
        <w:pStyle w:val="AERbodytext"/>
      </w:pPr>
      <w:r>
        <w:t xml:space="preserve">The AER's estimate </w:t>
      </w:r>
      <w:r w:rsidR="007948FD">
        <w:t xml:space="preserve">also </w:t>
      </w:r>
      <w:r>
        <w:t xml:space="preserve">differs further from SP AusNet's </w:t>
      </w:r>
      <w:r w:rsidR="00E44478">
        <w:t xml:space="preserve">estimate </w:t>
      </w:r>
      <w:r>
        <w:t xml:space="preserve">due </w:t>
      </w:r>
      <w:r w:rsidR="007948FD">
        <w:t xml:space="preserve">to </w:t>
      </w:r>
      <w:r w:rsidR="00684A5D">
        <w:t>several other factors mentioned above</w:t>
      </w:r>
      <w:r w:rsidR="008C393E">
        <w:t xml:space="preserve"> that would minimise costs</w:t>
      </w:r>
      <w:r w:rsidR="00684A5D">
        <w:t>:</w:t>
      </w:r>
    </w:p>
    <w:p w:rsidR="00684A5D" w:rsidRDefault="001A3822" w:rsidP="00684A5D">
      <w:pPr>
        <w:pStyle w:val="AERbulletlistfirststyle"/>
      </w:pPr>
      <w:r>
        <w:t>the earlier reconsideration date of 28 February 2011</w:t>
      </w:r>
    </w:p>
    <w:p w:rsidR="00684A5D" w:rsidRDefault="00684A5D" w:rsidP="00684A5D">
      <w:pPr>
        <w:pStyle w:val="AERbulletlistfirststyle"/>
      </w:pPr>
      <w:r>
        <w:t xml:space="preserve">delivery of </w:t>
      </w:r>
      <w:r w:rsidR="005961E6">
        <w:t>a</w:t>
      </w:r>
      <w:r>
        <w:t xml:space="preserve"> mesh solution in 10 months</w:t>
      </w:r>
    </w:p>
    <w:p w:rsidR="00684A5D" w:rsidRDefault="00684A5D" w:rsidP="00684A5D">
      <w:pPr>
        <w:pStyle w:val="AERbulletlistfirststyle"/>
      </w:pPr>
      <w:r>
        <w:t xml:space="preserve">greater coverage of </w:t>
      </w:r>
      <w:r w:rsidR="007948FD">
        <w:t xml:space="preserve">the </w:t>
      </w:r>
      <w:r>
        <w:t>mesh network.</w:t>
      </w:r>
    </w:p>
    <w:p w:rsidR="00684A5D" w:rsidRDefault="00225A53" w:rsidP="00247D7E">
      <w:pPr>
        <w:pStyle w:val="AERbodytext"/>
      </w:pPr>
      <w:r>
        <w:t>T</w:t>
      </w:r>
      <w:r w:rsidR="00A173FD">
        <w:t>he AER considers</w:t>
      </w:r>
      <w:r>
        <w:t>, taking these factors into account, that</w:t>
      </w:r>
      <w:r w:rsidR="00A173FD">
        <w:t xml:space="preserve"> the </w:t>
      </w:r>
      <w:r w:rsidR="000219BB">
        <w:t xml:space="preserve">2012–15 </w:t>
      </w:r>
      <w:r w:rsidR="00A173FD">
        <w:t xml:space="preserve">costs of a mesh radio rollout of a reasonable business in SP AusNet's circumstances would be </w:t>
      </w:r>
      <w:r w:rsidR="00F86367">
        <w:t>lower</w:t>
      </w:r>
      <w:r w:rsidR="0088602F">
        <w:t xml:space="preserve"> </w:t>
      </w:r>
      <w:r w:rsidR="00F86367">
        <w:t>than</w:t>
      </w:r>
      <w:r w:rsidR="00A173FD">
        <w:t xml:space="preserve"> SP AusNet's estimate because:</w:t>
      </w:r>
      <w:r w:rsidR="00A173FD">
        <w:rPr>
          <w:rStyle w:val="FootnoteReference"/>
        </w:rPr>
        <w:footnoteReference w:id="139"/>
      </w:r>
    </w:p>
    <w:p w:rsidR="00A173FD" w:rsidRDefault="00A173FD" w:rsidP="00B83EC4">
      <w:pPr>
        <w:pStyle w:val="AERbulletlistfirststyle"/>
      </w:pPr>
      <w:r>
        <w:t xml:space="preserve">the cost of a mesh NIC assumed by SP AusNet is higher than </w:t>
      </w:r>
      <w:r w:rsidR="00EB2236">
        <w:t>the AER's estimate</w:t>
      </w:r>
      <w:r w:rsidR="007A3B3D">
        <w:t xml:space="preserve">. </w:t>
      </w:r>
      <w:r w:rsidR="0088602F">
        <w:t>SP AusNet</w:t>
      </w:r>
      <w:r>
        <w:t xml:space="preserve"> </w:t>
      </w:r>
      <w:r w:rsidR="00EB2236">
        <w:t xml:space="preserve">also </w:t>
      </w:r>
      <w:r>
        <w:t xml:space="preserve">assumed </w:t>
      </w:r>
      <w:r w:rsidR="0088602F">
        <w:t xml:space="preserve">the </w:t>
      </w:r>
      <w:r>
        <w:t xml:space="preserve">cost of retrofitting mesh </w:t>
      </w:r>
      <w:r w:rsidR="00B83EC4">
        <w:t>NICs</w:t>
      </w:r>
      <w:r>
        <w:t xml:space="preserve"> into meters </w:t>
      </w:r>
      <w:r w:rsidR="0088602F">
        <w:t>was</w:t>
      </w:r>
      <w:r>
        <w:t xml:space="preserve"> based on the mid-point of the cost of installing a WiMAX NIC and a full meter installation</w:t>
      </w:r>
      <w:r w:rsidR="00B83EC4">
        <w:t xml:space="preserve">, but did not provide sufficient evidence to support why the </w:t>
      </w:r>
      <w:r w:rsidR="0088602F">
        <w:t>retrofit</w:t>
      </w:r>
      <w:r w:rsidR="00B83EC4">
        <w:t xml:space="preserve"> cost of a mesh NIC</w:t>
      </w:r>
      <w:r>
        <w:t xml:space="preserve"> should be </w:t>
      </w:r>
      <w:r w:rsidR="00B83EC4">
        <w:t>significantly different to that of a WiMAX NIC</w:t>
      </w:r>
      <w:r w:rsidR="00225A53">
        <w:t xml:space="preserve">. </w:t>
      </w:r>
      <w:r w:rsidR="00EB2236">
        <w:t>Further, due to timing differences, and consequently the</w:t>
      </w:r>
      <w:r w:rsidR="001E10A3">
        <w:t xml:space="preserve"> lower</w:t>
      </w:r>
      <w:r w:rsidR="00EB2236">
        <w:t xml:space="preserve"> number of WiMAX NIC replacements required, the </w:t>
      </w:r>
      <w:r w:rsidR="00225A53">
        <w:t>AER's estimate is approximately $</w:t>
      </w:r>
      <w:r w:rsidR="00EB2236">
        <w:t>18.9</w:t>
      </w:r>
      <w:r w:rsidR="00225A53">
        <w:t xml:space="preserve"> million lower</w:t>
      </w:r>
      <w:r w:rsidR="00EB2236">
        <w:t xml:space="preserve"> than SP AusNet's</w:t>
      </w:r>
      <w:r w:rsidR="0087398D">
        <w:t>.</w:t>
      </w:r>
    </w:p>
    <w:p w:rsidR="00B83EC4" w:rsidRDefault="0088602F" w:rsidP="00B83EC4">
      <w:pPr>
        <w:pStyle w:val="AERbulletlistfirststyle"/>
      </w:pPr>
      <w:r>
        <w:t>SP AusNet's estimate of the co</w:t>
      </w:r>
      <w:r w:rsidR="006231EC">
        <w:t>st of a mesh network deployment</w:t>
      </w:r>
      <w:r>
        <w:t xml:space="preserve"> </w:t>
      </w:r>
      <w:r w:rsidR="006231EC">
        <w:t>is</w:t>
      </w:r>
      <w:r>
        <w:t xml:space="preserve"> based on Powercor's </w:t>
      </w:r>
      <w:r w:rsidR="006231EC">
        <w:t>2012–15 A</w:t>
      </w:r>
      <w:r>
        <w:t xml:space="preserve">pproved </w:t>
      </w:r>
      <w:r w:rsidR="006231EC">
        <w:t>Budget c</w:t>
      </w:r>
      <w:r>
        <w:t>osts</w:t>
      </w:r>
      <w:r w:rsidR="006231EC">
        <w:t>. The AER accepts this approach, but SP AusNet's estimate</w:t>
      </w:r>
      <w:r>
        <w:t xml:space="preserve"> does not take into account </w:t>
      </w:r>
      <w:r w:rsidR="006231EC">
        <w:t xml:space="preserve">its </w:t>
      </w:r>
      <w:r>
        <w:t>lower customer numbers</w:t>
      </w:r>
      <w:r w:rsidR="007A3B3D">
        <w:t>. The AER's estimate is</w:t>
      </w:r>
      <w:r w:rsidR="00225A53">
        <w:t xml:space="preserve"> approximately</w:t>
      </w:r>
      <w:r w:rsidR="007A3B3D">
        <w:t xml:space="preserve"> $</w:t>
      </w:r>
      <w:r w:rsidR="00225A53">
        <w:t>1</w:t>
      </w:r>
      <w:r w:rsidR="0087398D">
        <w:t>4</w:t>
      </w:r>
      <w:r w:rsidR="007A3B3D">
        <w:t xml:space="preserve">.5 million </w:t>
      </w:r>
      <w:r w:rsidR="00225A53">
        <w:t>lower</w:t>
      </w:r>
      <w:r w:rsidR="007A3B3D">
        <w:t xml:space="preserve"> </w:t>
      </w:r>
      <w:r w:rsidR="0087398D">
        <w:t>than SP AusNet's.</w:t>
      </w:r>
    </w:p>
    <w:p w:rsidR="0088602F" w:rsidRDefault="00F5136E" w:rsidP="00B83EC4">
      <w:pPr>
        <w:pStyle w:val="AERbulletlistfirststyle"/>
      </w:pPr>
      <w:r>
        <w:t xml:space="preserve">SP AusNet </w:t>
      </w:r>
      <w:r w:rsidR="006231EC">
        <w:t>estimated</w:t>
      </w:r>
      <w:r>
        <w:t xml:space="preserve"> IT capex for its NMS and MMS based on JEN's costs, but assumed it would retain its current MDMS rather than </w:t>
      </w:r>
      <w:r w:rsidR="00D02A8B">
        <w:t xml:space="preserve">replace it with </w:t>
      </w:r>
      <w:r w:rsidR="00F56D96">
        <w:t xml:space="preserve">a system similar to </w:t>
      </w:r>
      <w:r>
        <w:t>JEN's</w:t>
      </w:r>
      <w:r w:rsidR="006231EC">
        <w:t>, which is lower cost</w:t>
      </w:r>
      <w:r>
        <w:t>. Installing a proven MDMS at the same time as a proven NMS would reduce integration costs and the risk of delay</w:t>
      </w:r>
      <w:r w:rsidR="004A22E6">
        <w:t xml:space="preserve"> so the AER's estimate is approximately $</w:t>
      </w:r>
      <w:r w:rsidR="0087398D">
        <w:t>11.6</w:t>
      </w:r>
      <w:r w:rsidR="004A22E6">
        <w:t xml:space="preserve"> million lower</w:t>
      </w:r>
      <w:r w:rsidR="0087398D">
        <w:t>.</w:t>
      </w:r>
    </w:p>
    <w:p w:rsidR="00F5136E" w:rsidRDefault="00F5136E" w:rsidP="00B83EC4">
      <w:pPr>
        <w:pStyle w:val="AERbulletlistfirststyle"/>
      </w:pPr>
      <w:r>
        <w:t xml:space="preserve">SP AusNet's estimated costs for integrating the mesh NIC, NMS, MMS and MDMS into the existing metering and IT integration platform is double counted because its 28 February 2011 </w:t>
      </w:r>
      <w:r w:rsidR="006231EC">
        <w:t xml:space="preserve">WiMAX </w:t>
      </w:r>
      <w:r>
        <w:t xml:space="preserve">budget already includes integration costs for </w:t>
      </w:r>
      <w:r w:rsidR="00F86367">
        <w:t xml:space="preserve">its 3G secondary solution. </w:t>
      </w:r>
      <w:r w:rsidR="006231EC">
        <w:t xml:space="preserve">Further, </w:t>
      </w:r>
      <w:r w:rsidR="00F86367">
        <w:t>IT integration costs have already been included in JEN's estimates. As such there should be no material differences in integrating a WiMAX solution and a mesh radio solution as at 28 February 2011</w:t>
      </w:r>
      <w:r w:rsidR="00C51E97">
        <w:t>, which results in a</w:t>
      </w:r>
      <w:r w:rsidR="0087398D">
        <w:t>n additional</w:t>
      </w:r>
      <w:r w:rsidR="00C51E97">
        <w:t xml:space="preserve"> reduction of $</w:t>
      </w:r>
      <w:r w:rsidR="00FF22F8">
        <w:rPr>
          <w:noProof/>
          <w:color w:val="000000"/>
          <w:highlight w:val="black"/>
        </w:rPr>
        <w:t>''''''''''''''</w:t>
      </w:r>
      <w:r w:rsidR="00C51E97">
        <w:t xml:space="preserve"> million</w:t>
      </w:r>
      <w:r w:rsidR="0087398D">
        <w:t>.</w:t>
      </w:r>
    </w:p>
    <w:p w:rsidR="00F62494" w:rsidRDefault="00F62494" w:rsidP="00F62494">
      <w:pPr>
        <w:pStyle w:val="AERbulletlistfirststyle"/>
      </w:pPr>
      <w:r>
        <w:t>SP AusNet</w:t>
      </w:r>
      <w:r w:rsidR="000219BB">
        <w:t xml:space="preserve"> has assumed that it would save on </w:t>
      </w:r>
      <w:r w:rsidR="001E10A3">
        <w:t xml:space="preserve">WiMAX </w:t>
      </w:r>
      <w:r w:rsidR="000219BB">
        <w:t xml:space="preserve">spectrum and radio costs </w:t>
      </w:r>
      <w:r w:rsidR="001E10A3">
        <w:t>if it switched to</w:t>
      </w:r>
      <w:r w:rsidR="000219BB">
        <w:t xml:space="preserve"> mesh radio, but this is offset with increased communications opex and backhaul expenditure. </w:t>
      </w:r>
      <w:r w:rsidR="001E10A3">
        <w:t>Consistent with the approach taken in its final determination, t</w:t>
      </w:r>
      <w:r w:rsidR="00165163">
        <w:t xml:space="preserve">he AER has adjusted these categories </w:t>
      </w:r>
      <w:r w:rsidR="001E10A3">
        <w:t xml:space="preserve">to be </w:t>
      </w:r>
      <w:r w:rsidR="00165163">
        <w:t xml:space="preserve">based on Powercor's </w:t>
      </w:r>
      <w:r w:rsidR="001E10A3">
        <w:t>cost estimates</w:t>
      </w:r>
      <w:r w:rsidR="00165163">
        <w:t>, taking into account</w:t>
      </w:r>
      <w:r>
        <w:t xml:space="preserve"> SP AusNet's relatively smaller customer base</w:t>
      </w:r>
      <w:r w:rsidR="00165163">
        <w:t>. This results in a reduction of approximately $</w:t>
      </w:r>
      <w:r w:rsidR="0087398D">
        <w:t>29.2</w:t>
      </w:r>
      <w:r w:rsidR="00165163">
        <w:t xml:space="preserve"> million</w:t>
      </w:r>
      <w:r w:rsidR="000219BB">
        <w:t>.</w:t>
      </w:r>
    </w:p>
    <w:p w:rsidR="006231EC" w:rsidRDefault="00F86367" w:rsidP="006231EC">
      <w:pPr>
        <w:pStyle w:val="AERbulletlistfirststyle"/>
      </w:pPr>
      <w:r>
        <w:t xml:space="preserve">an assumed 1 March 2011 start and a 1 January </w:t>
      </w:r>
      <w:r w:rsidR="003B5D56">
        <w:t>2012 AMI services target</w:t>
      </w:r>
      <w:r w:rsidR="003B5D56">
        <w:rPr>
          <w:rStyle w:val="FootnoteReference"/>
        </w:rPr>
        <w:footnoteReference w:id="140"/>
      </w:r>
      <w:r>
        <w:t xml:space="preserve"> </w:t>
      </w:r>
      <w:r w:rsidR="00504A53">
        <w:t>eliminates SP AusNet's assumed relative increase in meter readi</w:t>
      </w:r>
      <w:r w:rsidR="006231EC">
        <w:t>ng,</w:t>
      </w:r>
      <w:r w:rsidR="003B5D56">
        <w:t xml:space="preserve"> meter</w:t>
      </w:r>
      <w:r w:rsidR="006231EC">
        <w:t xml:space="preserve"> data </w:t>
      </w:r>
      <w:r w:rsidR="003B5D56">
        <w:t>management</w:t>
      </w:r>
      <w:r w:rsidR="0087398D">
        <w:t>, project management, industry program, audit and regulatory costs</w:t>
      </w:r>
      <w:r w:rsidR="006231EC">
        <w:t xml:space="preserve"> and overheads</w:t>
      </w:r>
      <w:r w:rsidR="001E10A3">
        <w:t>. This is because the resources otherwise used to roll out WiMAX could instead be used for the mesh radio rollout</w:t>
      </w:r>
      <w:r w:rsidR="00401CA0">
        <w:t>.</w:t>
      </w:r>
      <w:r w:rsidR="0087398D">
        <w:t xml:space="preserve"> </w:t>
      </w:r>
      <w:r w:rsidR="00401CA0">
        <w:t>T</w:t>
      </w:r>
      <w:r w:rsidR="0087398D">
        <w:t xml:space="preserve">he AER has reduced these categories to its final determination allowances. This </w:t>
      </w:r>
      <w:r w:rsidR="00225A53">
        <w:t>result</w:t>
      </w:r>
      <w:r w:rsidR="0087398D">
        <w:t>s</w:t>
      </w:r>
      <w:r w:rsidR="00225A53">
        <w:t xml:space="preserve"> in a reduction of </w:t>
      </w:r>
      <w:r w:rsidR="003449CD">
        <w:t>$</w:t>
      </w:r>
      <w:r w:rsidR="0087398D">
        <w:t>38.0</w:t>
      </w:r>
      <w:r w:rsidR="00225A53">
        <w:t xml:space="preserve"> million</w:t>
      </w:r>
      <w:r w:rsidR="0087398D">
        <w:t>.</w:t>
      </w:r>
    </w:p>
    <w:p w:rsidR="0087398D" w:rsidRDefault="000219BB" w:rsidP="006231EC">
      <w:pPr>
        <w:pStyle w:val="AERbulletlistfirststyle"/>
      </w:pPr>
      <w:r>
        <w:t>SP AusNet assumed IT opex costs to switch to mesh based on 10 per cent of rollout IT opex, but did not justify its estimate. The AER's estimate of IT opex costs is based on JEN’s NMS, MMS</w:t>
      </w:r>
      <w:r w:rsidR="001E10A3">
        <w:t xml:space="preserve"> and</w:t>
      </w:r>
      <w:r>
        <w:t xml:space="preserve"> MDMS opex pro-rated to SP AusNet’s network size</w:t>
      </w:r>
      <w:r w:rsidR="001E10A3">
        <w:t xml:space="preserve"> because SP AusNet has also used JEN's estimates for IT capex costs. This </w:t>
      </w:r>
      <w:r>
        <w:t>results in a reduction of $12.1 million.</w:t>
      </w:r>
    </w:p>
    <w:p w:rsidR="000219BB" w:rsidRDefault="000219BB" w:rsidP="006231EC">
      <w:pPr>
        <w:pStyle w:val="AERbulletlistfirststyle"/>
      </w:pPr>
      <w:r>
        <w:rPr>
          <w:rStyle w:val="AERbody"/>
        </w:rPr>
        <w:t xml:space="preserve">SP AusNet has not justified its </w:t>
      </w:r>
      <w:r w:rsidR="00C702CE">
        <w:rPr>
          <w:rStyle w:val="AERbody"/>
        </w:rPr>
        <w:t xml:space="preserve">non-AMI </w:t>
      </w:r>
      <w:r>
        <w:rPr>
          <w:rStyle w:val="AERbody"/>
        </w:rPr>
        <w:t xml:space="preserve">other business streams costs, apart from </w:t>
      </w:r>
      <w:r w:rsidR="001E10A3">
        <w:rPr>
          <w:rStyle w:val="AERbody"/>
        </w:rPr>
        <w:t>noting</w:t>
      </w:r>
      <w:r>
        <w:rPr>
          <w:rStyle w:val="AERbody"/>
        </w:rPr>
        <w:t xml:space="preserve"> that they relate to IT system integration. The AER considers SP AusNet will not incur any additional IT system integration costs</w:t>
      </w:r>
      <w:r w:rsidR="00C702CE">
        <w:rPr>
          <w:rStyle w:val="AERbody"/>
        </w:rPr>
        <w:t>.</w:t>
      </w:r>
      <w:r>
        <w:rPr>
          <w:rStyle w:val="AERbody"/>
        </w:rPr>
        <w:t xml:space="preserve"> </w:t>
      </w:r>
      <w:r w:rsidR="00C702CE">
        <w:rPr>
          <w:rStyle w:val="AERbody"/>
        </w:rPr>
        <w:t xml:space="preserve">As these costs are outside the scope of the AMI Order, </w:t>
      </w:r>
      <w:r>
        <w:rPr>
          <w:rStyle w:val="AERbody"/>
        </w:rPr>
        <w:t>t</w:t>
      </w:r>
      <w:r w:rsidR="00C702CE">
        <w:rPr>
          <w:rStyle w:val="AERbody"/>
        </w:rPr>
        <w:t>he</w:t>
      </w:r>
      <w:r>
        <w:rPr>
          <w:rStyle w:val="AERbody"/>
        </w:rPr>
        <w:t xml:space="preserve"> </w:t>
      </w:r>
      <w:r w:rsidR="00C702CE">
        <w:rPr>
          <w:rStyle w:val="AERbody"/>
        </w:rPr>
        <w:t xml:space="preserve">AER </w:t>
      </w:r>
      <w:r>
        <w:rPr>
          <w:rStyle w:val="AERbody"/>
        </w:rPr>
        <w:t xml:space="preserve">has excluded </w:t>
      </w:r>
      <w:r w:rsidR="00C702CE">
        <w:rPr>
          <w:rStyle w:val="AERbody"/>
        </w:rPr>
        <w:t>additional business stream costs from its estimate. This results in a reduction of $19.7 million.</w:t>
      </w:r>
    </w:p>
    <w:p w:rsidR="006231EC" w:rsidRDefault="00F64923" w:rsidP="006231EC">
      <w:pPr>
        <w:pStyle w:val="AERbulletlistfirststyle"/>
      </w:pPr>
      <w:r>
        <w:t xml:space="preserve">the AER's </w:t>
      </w:r>
      <w:r w:rsidR="00572533">
        <w:t>estimated</w:t>
      </w:r>
      <w:r>
        <w:t xml:space="preserve"> switching costs are lower than SP AusNet's (discussed below).</w:t>
      </w:r>
    </w:p>
    <w:p w:rsidR="007F1361" w:rsidRDefault="007871ED">
      <w:pPr>
        <w:pStyle w:val="AERbodytext"/>
      </w:pPr>
      <w:r>
        <w:t>In addition, the AER's</w:t>
      </w:r>
      <w:r w:rsidR="004C7258">
        <w:t xml:space="preserve"> mesh radio estimate </w:t>
      </w:r>
      <w:r>
        <w:t xml:space="preserve">includes </w:t>
      </w:r>
      <w:r w:rsidR="00F64923">
        <w:t>ongoing capex to account for network expansion</w:t>
      </w:r>
      <w:r w:rsidR="005917B2">
        <w:t xml:space="preserve"> and a full replacement of the complete IT system after seven years</w:t>
      </w:r>
      <w:r>
        <w:t>, while SP AusNet's does not</w:t>
      </w:r>
      <w:r w:rsidR="00F64923">
        <w:t>.</w:t>
      </w:r>
      <w:r w:rsidR="005917B2">
        <w:rPr>
          <w:rStyle w:val="FootnoteReference"/>
        </w:rPr>
        <w:footnoteReference w:id="141"/>
      </w:r>
      <w:r w:rsidR="00F64923">
        <w:t xml:space="preserve"> The AER considers the net present value of mesh solution </w:t>
      </w:r>
      <w:r w:rsidR="007A3B3D">
        <w:t xml:space="preserve">costs </w:t>
      </w:r>
      <w:r w:rsidR="00F64923">
        <w:t xml:space="preserve">over a 15 year timeframe (2011–2025) </w:t>
      </w:r>
      <w:r w:rsidR="007A3B3D">
        <w:t>is</w:t>
      </w:r>
      <w:r w:rsidR="00F64923">
        <w:t xml:space="preserve"> $20</w:t>
      </w:r>
      <w:r w:rsidR="00C702CE">
        <w:t>1</w:t>
      </w:r>
      <w:r w:rsidR="00F64923">
        <w:t>.</w:t>
      </w:r>
      <w:r w:rsidR="00C702CE">
        <w:t>1</w:t>
      </w:r>
      <w:r w:rsidR="00F64923">
        <w:t xml:space="preserve"> million. For 2012–15 this equates to $105.</w:t>
      </w:r>
      <w:r w:rsidR="00C702CE">
        <w:t>8</w:t>
      </w:r>
      <w:r w:rsidR="00F64923">
        <w:t xml:space="preserve"> million as shown in </w:t>
      </w:r>
      <w:r w:rsidR="00AF0E53">
        <w:t>Table 1.3</w:t>
      </w:r>
      <w:r w:rsidR="00F64923">
        <w:t>.</w:t>
      </w:r>
      <w:bookmarkStart w:id="20" w:name="_Ref331336655"/>
    </w:p>
    <w:p w:rsidR="00625D3F" w:rsidRDefault="00C86F78">
      <w:pPr>
        <w:pStyle w:val="AERtabletitle"/>
      </w:pPr>
      <w:bookmarkStart w:id="21" w:name="_Ref332292400"/>
      <w:r>
        <w:t xml:space="preserve">AER estimate </w:t>
      </w:r>
      <w:r w:rsidR="00F64923">
        <w:t>of mesh-related costs ($million</w:t>
      </w:r>
      <w:r w:rsidR="000902A8">
        <w:t xml:space="preserve">, </w:t>
      </w:r>
      <w:r>
        <w:t xml:space="preserve">discounted </w:t>
      </w:r>
      <w:r w:rsidR="000902A8">
        <w:t>2011</w:t>
      </w:r>
      <w:r w:rsidR="00F64923">
        <w:t>)</w:t>
      </w:r>
      <w:bookmarkEnd w:id="20"/>
      <w:bookmarkEnd w:id="21"/>
    </w:p>
    <w:tbl>
      <w:tblPr>
        <w:tblStyle w:val="AERtable-numbers"/>
        <w:tblW w:w="5000" w:type="pct"/>
        <w:tblLook w:val="0020"/>
      </w:tblPr>
      <w:tblGrid>
        <w:gridCol w:w="2184"/>
        <w:gridCol w:w="3529"/>
        <w:gridCol w:w="3529"/>
      </w:tblGrid>
      <w:tr w:rsidR="00C86F78" w:rsidTr="0095490F">
        <w:trPr>
          <w:cnfStyle w:val="100000000000"/>
        </w:trPr>
        <w:tc>
          <w:tcPr>
            <w:tcW w:w="1182" w:type="pct"/>
          </w:tcPr>
          <w:p w:rsidR="00C86F78" w:rsidRDefault="00C86F78" w:rsidP="00C86F78">
            <w:pPr>
              <w:pStyle w:val="AERtabletext"/>
            </w:pPr>
          </w:p>
        </w:tc>
        <w:tc>
          <w:tcPr>
            <w:tcW w:w="1909" w:type="pct"/>
          </w:tcPr>
          <w:p w:rsidR="00C86F78" w:rsidRPr="00C86F78" w:rsidRDefault="00C86F78" w:rsidP="00C86F78">
            <w:pPr>
              <w:pStyle w:val="AERtabletextheadingright"/>
            </w:pPr>
            <w:r>
              <w:t>15 year NPV (2011</w:t>
            </w:r>
            <w:r w:rsidRPr="00C86F78">
              <w:t>–25)</w:t>
            </w:r>
          </w:p>
        </w:tc>
        <w:tc>
          <w:tcPr>
            <w:tcW w:w="1909" w:type="pct"/>
          </w:tcPr>
          <w:p w:rsidR="00C86F78" w:rsidRPr="00C86F78" w:rsidRDefault="00C86F78" w:rsidP="00C86F78">
            <w:pPr>
              <w:pStyle w:val="AERtabletextheadingright"/>
            </w:pPr>
            <w:r w:rsidRPr="00C86F78">
              <w:t>2012–15</w:t>
            </w:r>
          </w:p>
        </w:tc>
      </w:tr>
      <w:tr w:rsidR="0095490F" w:rsidTr="0095490F">
        <w:tc>
          <w:tcPr>
            <w:tcW w:w="1182" w:type="pct"/>
          </w:tcPr>
          <w:p w:rsidR="0095490F" w:rsidRPr="0095490F" w:rsidRDefault="0095490F" w:rsidP="0095490F">
            <w:pPr>
              <w:pStyle w:val="AERtabletext"/>
            </w:pPr>
            <w:r w:rsidRPr="0095490F">
              <w:t>Capex</w:t>
            </w:r>
          </w:p>
        </w:tc>
        <w:tc>
          <w:tcPr>
            <w:tcW w:w="1909" w:type="pct"/>
            <w:vAlign w:val="bottom"/>
          </w:tcPr>
          <w:p w:rsidR="0095490F" w:rsidRPr="0095490F" w:rsidRDefault="0095490F" w:rsidP="0095490F">
            <w:pPr>
              <w:pStyle w:val="AERtabletext-numbers"/>
            </w:pPr>
            <w:r w:rsidRPr="0095490F">
              <w:t>126.8</w:t>
            </w:r>
          </w:p>
        </w:tc>
        <w:tc>
          <w:tcPr>
            <w:tcW w:w="1909" w:type="pct"/>
            <w:vAlign w:val="bottom"/>
          </w:tcPr>
          <w:p w:rsidR="0095490F" w:rsidRPr="0095490F" w:rsidRDefault="0095490F" w:rsidP="0095490F">
            <w:pPr>
              <w:pStyle w:val="AERtabletext-numbers"/>
            </w:pPr>
            <w:r w:rsidRPr="0095490F">
              <w:t>80.5</w:t>
            </w:r>
          </w:p>
        </w:tc>
      </w:tr>
      <w:tr w:rsidR="0095490F" w:rsidTr="0095490F">
        <w:trPr>
          <w:cnfStyle w:val="000000010000"/>
        </w:trPr>
        <w:tc>
          <w:tcPr>
            <w:tcW w:w="1182" w:type="pct"/>
          </w:tcPr>
          <w:p w:rsidR="0095490F" w:rsidRPr="0095490F" w:rsidRDefault="0095490F" w:rsidP="0095490F">
            <w:pPr>
              <w:pStyle w:val="AERtabletext"/>
            </w:pPr>
            <w:r w:rsidRPr="0095490F">
              <w:t>Opex</w:t>
            </w:r>
          </w:p>
        </w:tc>
        <w:tc>
          <w:tcPr>
            <w:tcW w:w="1909" w:type="pct"/>
            <w:vAlign w:val="bottom"/>
          </w:tcPr>
          <w:p w:rsidR="0095490F" w:rsidRPr="0095490F" w:rsidRDefault="0095490F" w:rsidP="0095490F">
            <w:pPr>
              <w:pStyle w:val="AERtabletext-numbers"/>
            </w:pPr>
            <w:r w:rsidRPr="0095490F">
              <w:t>74.4</w:t>
            </w:r>
          </w:p>
        </w:tc>
        <w:tc>
          <w:tcPr>
            <w:tcW w:w="1909" w:type="pct"/>
            <w:vAlign w:val="bottom"/>
          </w:tcPr>
          <w:p w:rsidR="0095490F" w:rsidRPr="0095490F" w:rsidRDefault="0095490F" w:rsidP="0095490F">
            <w:pPr>
              <w:pStyle w:val="AERtabletext-numbers"/>
            </w:pPr>
            <w:r w:rsidRPr="0095490F">
              <w:t>25.4</w:t>
            </w:r>
          </w:p>
        </w:tc>
      </w:tr>
      <w:tr w:rsidR="0095490F" w:rsidTr="0095490F">
        <w:tc>
          <w:tcPr>
            <w:tcW w:w="1182" w:type="pct"/>
          </w:tcPr>
          <w:p w:rsidR="0095490F" w:rsidRPr="0095490F" w:rsidRDefault="0095490F" w:rsidP="0095490F">
            <w:pPr>
              <w:pStyle w:val="AERtabletext"/>
              <w:rPr>
                <w:rStyle w:val="AERtextbold"/>
              </w:rPr>
            </w:pPr>
            <w:r w:rsidRPr="0095490F">
              <w:rPr>
                <w:rStyle w:val="AERtextbold"/>
              </w:rPr>
              <w:t>Total</w:t>
            </w:r>
          </w:p>
        </w:tc>
        <w:tc>
          <w:tcPr>
            <w:tcW w:w="1909" w:type="pct"/>
            <w:vAlign w:val="bottom"/>
          </w:tcPr>
          <w:p w:rsidR="0095490F" w:rsidRPr="0095490F" w:rsidRDefault="0095490F" w:rsidP="0095490F">
            <w:pPr>
              <w:pStyle w:val="AERtabletext-numbers"/>
              <w:rPr>
                <w:rStyle w:val="AERtextbold"/>
              </w:rPr>
            </w:pPr>
            <w:r w:rsidRPr="0095490F">
              <w:rPr>
                <w:rStyle w:val="AERtextbold"/>
              </w:rPr>
              <w:t>201.1</w:t>
            </w:r>
          </w:p>
        </w:tc>
        <w:tc>
          <w:tcPr>
            <w:tcW w:w="1909" w:type="pct"/>
            <w:vAlign w:val="bottom"/>
          </w:tcPr>
          <w:p w:rsidR="0095490F" w:rsidRPr="0095490F" w:rsidRDefault="0034268C" w:rsidP="0095490F">
            <w:pPr>
              <w:pStyle w:val="AERtabletext-numbers"/>
              <w:rPr>
                <w:rStyle w:val="AERtextbold"/>
              </w:rPr>
            </w:pPr>
            <w:r w:rsidRPr="0034268C">
              <w:rPr>
                <w:rStyle w:val="AERtextbold"/>
              </w:rPr>
              <w:t>105.8</w:t>
            </w:r>
          </w:p>
        </w:tc>
      </w:tr>
    </w:tbl>
    <w:p w:rsidR="00F64923" w:rsidRPr="00110043" w:rsidRDefault="00F64923" w:rsidP="00F64923">
      <w:pPr>
        <w:pStyle w:val="AERtablesource"/>
        <w:rPr>
          <w:rStyle w:val="AERtablesourceCharChar"/>
        </w:rPr>
      </w:pPr>
      <w:r w:rsidRPr="00110043">
        <w:rPr>
          <w:rStyle w:val="AERtablesourceCharChar"/>
        </w:rPr>
        <w:t>Source:</w:t>
      </w:r>
      <w:r w:rsidRPr="00110043">
        <w:rPr>
          <w:rStyle w:val="AERtablesourceCharChar"/>
        </w:rPr>
        <w:tab/>
        <w:t>AER analysis.</w:t>
      </w:r>
    </w:p>
    <w:p w:rsidR="00AF08C9" w:rsidRDefault="00AF08C9" w:rsidP="008C393E">
      <w:pPr>
        <w:pStyle w:val="AERheading6"/>
        <w:rPr>
          <w:rStyle w:val="AERbody"/>
        </w:rPr>
      </w:pPr>
      <w:r>
        <w:rPr>
          <w:rStyle w:val="AERbody"/>
        </w:rPr>
        <w:t>Switching costs</w:t>
      </w:r>
    </w:p>
    <w:p w:rsidR="00B5403C" w:rsidRDefault="00B5403C" w:rsidP="004F1A11">
      <w:pPr>
        <w:pStyle w:val="AERbodytext"/>
        <w:rPr>
          <w:rStyle w:val="AERbody"/>
        </w:rPr>
      </w:pPr>
      <w:r>
        <w:rPr>
          <w:rStyle w:val="AERbody"/>
        </w:rPr>
        <w:t xml:space="preserve">The AER considers a reasonable business in </w:t>
      </w:r>
      <w:r w:rsidR="000B7433">
        <w:rPr>
          <w:rStyle w:val="AERbody"/>
        </w:rPr>
        <w:t xml:space="preserve">SP AusNet's </w:t>
      </w:r>
      <w:r>
        <w:rPr>
          <w:rStyle w:val="AERbody"/>
        </w:rPr>
        <w:t xml:space="preserve">circumstances would not incur all of the </w:t>
      </w:r>
      <w:r w:rsidR="000B7433">
        <w:rPr>
          <w:rStyle w:val="AERbody"/>
        </w:rPr>
        <w:t xml:space="preserve">estimated costs to </w:t>
      </w:r>
      <w:r>
        <w:rPr>
          <w:rStyle w:val="AERbody"/>
        </w:rPr>
        <w:t xml:space="preserve">switch from WiMAX to mesh radio estimated by SP AusNet. Primarily this is due to the AER's </w:t>
      </w:r>
      <w:r w:rsidR="00F56D96">
        <w:rPr>
          <w:rStyle w:val="AERbody"/>
        </w:rPr>
        <w:t xml:space="preserve">view that costs could be </w:t>
      </w:r>
      <w:r>
        <w:rPr>
          <w:rStyle w:val="AERbody"/>
        </w:rPr>
        <w:t>minimis</w:t>
      </w:r>
      <w:r w:rsidR="00F56D96">
        <w:rPr>
          <w:rStyle w:val="AERbody"/>
        </w:rPr>
        <w:t>ed</w:t>
      </w:r>
      <w:r>
        <w:rPr>
          <w:rStyle w:val="AERbody"/>
        </w:rPr>
        <w:t xml:space="preserve"> </w:t>
      </w:r>
      <w:r w:rsidR="00355D72">
        <w:rPr>
          <w:rStyle w:val="AERbody"/>
        </w:rPr>
        <w:t xml:space="preserve">by reducing the </w:t>
      </w:r>
      <w:r>
        <w:rPr>
          <w:rStyle w:val="AERbody"/>
        </w:rPr>
        <w:t xml:space="preserve">delay in commencing the rollout, shorter rollout duration and </w:t>
      </w:r>
      <w:r w:rsidR="00355D72">
        <w:rPr>
          <w:rStyle w:val="AERbody"/>
        </w:rPr>
        <w:t>lower capital costs</w:t>
      </w:r>
      <w:r>
        <w:rPr>
          <w:rStyle w:val="AERbody"/>
        </w:rPr>
        <w:t>.</w:t>
      </w:r>
      <w:r>
        <w:rPr>
          <w:rStyle w:val="FootnoteReference"/>
        </w:rPr>
        <w:footnoteReference w:id="142"/>
      </w:r>
      <w:r w:rsidR="001D3E63">
        <w:rPr>
          <w:rStyle w:val="AERbody"/>
        </w:rPr>
        <w:t xml:space="preserve"> </w:t>
      </w:r>
      <w:r w:rsidR="00355D72">
        <w:rPr>
          <w:rStyle w:val="AERbody"/>
        </w:rPr>
        <w:t>The AER's view on SP AusNet's proposed switching costs is:</w:t>
      </w:r>
    </w:p>
    <w:p w:rsidR="00355D72" w:rsidRDefault="00355D72" w:rsidP="00355D72">
      <w:pPr>
        <w:pStyle w:val="AERbulletlistfirststyle"/>
        <w:rPr>
          <w:rStyle w:val="AERbody"/>
        </w:rPr>
      </w:pPr>
      <w:r>
        <w:rPr>
          <w:rStyle w:val="AERbody"/>
        </w:rPr>
        <w:t>WiMAX NIC replacement and mesh NIC retrofit––SP AusNet</w:t>
      </w:r>
      <w:r w:rsidR="00D32245">
        <w:rPr>
          <w:rStyle w:val="AERbody"/>
        </w:rPr>
        <w:t>'s estimate of $44.3 million</w:t>
      </w:r>
      <w:r>
        <w:rPr>
          <w:rStyle w:val="AERbody"/>
        </w:rPr>
        <w:t xml:space="preserve"> assumed WiMAX NICs would be rolled out to the end of 2011, and assumed higher replacement costs</w:t>
      </w:r>
      <w:r w:rsidR="00D32245">
        <w:rPr>
          <w:rStyle w:val="AERbody"/>
        </w:rPr>
        <w:t xml:space="preserve"> due to higher mesh NIC unit costs and 85 per cent mesh radio coverage</w:t>
      </w:r>
      <w:r>
        <w:rPr>
          <w:rStyle w:val="AERbody"/>
        </w:rPr>
        <w:t xml:space="preserve">. SP AusNet's estimate therefore </w:t>
      </w:r>
      <w:r w:rsidR="001260D2">
        <w:rPr>
          <w:rStyle w:val="AERbody"/>
        </w:rPr>
        <w:t xml:space="preserve">assumed </w:t>
      </w:r>
      <w:r>
        <w:rPr>
          <w:rStyle w:val="AERbody"/>
        </w:rPr>
        <w:t>replacement of more WiMAX NICs with mesh radio NICs</w:t>
      </w:r>
      <w:r w:rsidR="005C5851">
        <w:rPr>
          <w:rStyle w:val="AERbody"/>
        </w:rPr>
        <w:t xml:space="preserve"> at a higher cost</w:t>
      </w:r>
      <w:r>
        <w:rPr>
          <w:rStyle w:val="AERbody"/>
        </w:rPr>
        <w:t>.</w:t>
      </w:r>
      <w:r w:rsidR="00D32245">
        <w:rPr>
          <w:rStyle w:val="AERbody"/>
        </w:rPr>
        <w:t xml:space="preserve"> SP AusNet also considered the delay in commencing the rollout would result in </w:t>
      </w:r>
      <w:r w:rsidR="001260D2">
        <w:rPr>
          <w:rStyle w:val="AERbody"/>
        </w:rPr>
        <w:t xml:space="preserve">extra </w:t>
      </w:r>
      <w:r w:rsidR="00D32245">
        <w:rPr>
          <w:rStyle w:val="AERbody"/>
        </w:rPr>
        <w:t>training costs. The AER's estimate of $11.7 million assumes significantly less WiMAX NIC replacement due to commencing the mesh rollout from 1 March 2011</w:t>
      </w:r>
      <w:r w:rsidR="00416722">
        <w:rPr>
          <w:rStyle w:val="AERbody"/>
        </w:rPr>
        <w:t>. The AER's approach is also</w:t>
      </w:r>
      <w:r w:rsidR="00C72BBA">
        <w:rPr>
          <w:rStyle w:val="AERbody"/>
        </w:rPr>
        <w:t xml:space="preserve"> to</w:t>
      </w:r>
      <w:r w:rsidR="00D32245">
        <w:rPr>
          <w:rStyle w:val="AERbody"/>
        </w:rPr>
        <w:t xml:space="preserve"> i</w:t>
      </w:r>
      <w:r w:rsidR="00416722">
        <w:rPr>
          <w:rStyle w:val="AERbody"/>
        </w:rPr>
        <w:t>nstall</w:t>
      </w:r>
      <w:r w:rsidR="00D32245">
        <w:rPr>
          <w:rStyle w:val="AERbody"/>
        </w:rPr>
        <w:t xml:space="preserve"> meters without communications cards until the end of 2011</w:t>
      </w:r>
      <w:r w:rsidR="00416722">
        <w:rPr>
          <w:rStyle w:val="AERbody"/>
        </w:rPr>
        <w:t>, and later retrofitting them with mesh communications cards</w:t>
      </w:r>
      <w:r w:rsidR="00C72BBA">
        <w:rPr>
          <w:rStyle w:val="AERbody"/>
        </w:rPr>
        <w:t>, which saves on additional WiMAX card capital costs</w:t>
      </w:r>
      <w:r w:rsidR="001260D2">
        <w:rPr>
          <w:rStyle w:val="AERbody"/>
        </w:rPr>
        <w:t>.</w:t>
      </w:r>
      <w:r w:rsidR="00D32245">
        <w:rPr>
          <w:rStyle w:val="AERbody"/>
        </w:rPr>
        <w:t xml:space="preserve"> </w:t>
      </w:r>
      <w:r w:rsidR="001260D2">
        <w:rPr>
          <w:rStyle w:val="AERbody"/>
        </w:rPr>
        <w:t xml:space="preserve">The AER has also assumed </w:t>
      </w:r>
      <w:r w:rsidR="00D32245">
        <w:rPr>
          <w:rStyle w:val="AERbody"/>
        </w:rPr>
        <w:t>97 per cent mesh radio coverage and lower NIC unit costs.</w:t>
      </w:r>
      <w:r w:rsidR="00D32245" w:rsidRPr="00EF4949">
        <w:rPr>
          <w:rStyle w:val="FootnoteReference"/>
        </w:rPr>
        <w:footnoteReference w:id="143"/>
      </w:r>
    </w:p>
    <w:p w:rsidR="005C5851" w:rsidRDefault="005C5851" w:rsidP="00355D72">
      <w:pPr>
        <w:pStyle w:val="AERbulletlistfirststyle"/>
        <w:rPr>
          <w:rStyle w:val="AERbody"/>
        </w:rPr>
      </w:pPr>
      <w:r>
        <w:rPr>
          <w:rStyle w:val="AERbody"/>
        </w:rPr>
        <w:t>WiMAX contract termination costs––the AER agrees with SP AusNet's estimate</w:t>
      </w:r>
      <w:r w:rsidR="00D32245">
        <w:rPr>
          <w:rStyle w:val="AERbody"/>
        </w:rPr>
        <w:t xml:space="preserve"> of $</w:t>
      </w:r>
      <w:r w:rsidR="00FF22F8">
        <w:rPr>
          <w:rStyle w:val="AERbody"/>
          <w:noProof/>
          <w:color w:val="000000"/>
          <w:highlight w:val="black"/>
        </w:rPr>
        <w:t>''''''''''''</w:t>
      </w:r>
      <w:r w:rsidR="00D32245">
        <w:rPr>
          <w:rStyle w:val="AERbody"/>
        </w:rPr>
        <w:t xml:space="preserve"> million</w:t>
      </w:r>
      <w:r w:rsidR="004742FD">
        <w:rPr>
          <w:rStyle w:val="AERbody"/>
        </w:rPr>
        <w:t xml:space="preserve">, but considers these </w:t>
      </w:r>
      <w:r w:rsidR="00D32245">
        <w:rPr>
          <w:rStyle w:val="AERbody"/>
        </w:rPr>
        <w:t xml:space="preserve">costs </w:t>
      </w:r>
      <w:r w:rsidR="004742FD">
        <w:rPr>
          <w:rStyle w:val="AERbody"/>
        </w:rPr>
        <w:t>would be incurred in 2011</w:t>
      </w:r>
      <w:r w:rsidR="00D32245">
        <w:rPr>
          <w:rStyle w:val="AERbody"/>
        </w:rPr>
        <w:t xml:space="preserve"> as a result of commencing the mesh radio rollout in March 2011 rather than January 2012</w:t>
      </w:r>
      <w:r w:rsidR="001260D2">
        <w:rPr>
          <w:rStyle w:val="AERbody"/>
        </w:rPr>
        <w:t>.</w:t>
      </w:r>
      <w:r w:rsidR="00EF4949">
        <w:rPr>
          <w:rStyle w:val="FootnoteReference"/>
        </w:rPr>
        <w:footnoteReference w:id="144"/>
      </w:r>
      <w:r w:rsidR="001260D2">
        <w:rPr>
          <w:rStyle w:val="AERbody"/>
        </w:rPr>
        <w:t xml:space="preserve"> </w:t>
      </w:r>
    </w:p>
    <w:p w:rsidR="005C5851" w:rsidRDefault="005C5851" w:rsidP="00355D72">
      <w:pPr>
        <w:pStyle w:val="AERbulletlistfirststyle"/>
        <w:rPr>
          <w:rStyle w:val="AERbody"/>
        </w:rPr>
      </w:pPr>
      <w:r>
        <w:rPr>
          <w:rStyle w:val="AERbody"/>
        </w:rPr>
        <w:t>WiMAX tower demolition costs––</w:t>
      </w:r>
      <w:r w:rsidR="001260D2">
        <w:rPr>
          <w:rStyle w:val="AERbody"/>
        </w:rPr>
        <w:t>the AER agrees with SP AusNet's estimate of $</w:t>
      </w:r>
      <w:r w:rsidR="00FF22F8">
        <w:rPr>
          <w:rStyle w:val="AERbody"/>
          <w:noProof/>
          <w:color w:val="000000"/>
          <w:highlight w:val="black"/>
        </w:rPr>
        <w:t>'''''''''''</w:t>
      </w:r>
      <w:r w:rsidR="001260D2">
        <w:rPr>
          <w:rStyle w:val="AERbody"/>
        </w:rPr>
        <w:t xml:space="preserve"> million, but </w:t>
      </w:r>
      <w:r>
        <w:rPr>
          <w:rStyle w:val="AERbody"/>
        </w:rPr>
        <w:t>due to the AER's earlier date of reconsideration, less towers would need to be demolished</w:t>
      </w:r>
      <w:r w:rsidR="001260D2">
        <w:rPr>
          <w:rStyle w:val="AERbody"/>
        </w:rPr>
        <w:t>. The AER's estimate is $</w:t>
      </w:r>
      <w:r w:rsidR="00FF22F8">
        <w:rPr>
          <w:rStyle w:val="AERbody"/>
          <w:noProof/>
          <w:color w:val="000000"/>
          <w:highlight w:val="black"/>
        </w:rPr>
        <w:t>'''''''''''''</w:t>
      </w:r>
      <w:r w:rsidR="001260D2">
        <w:rPr>
          <w:rStyle w:val="AERbody"/>
        </w:rPr>
        <w:t xml:space="preserve"> million, and these costs would also be incurred in 2011.</w:t>
      </w:r>
      <w:r w:rsidR="00EF4949">
        <w:rPr>
          <w:rStyle w:val="FootnoteReference"/>
        </w:rPr>
        <w:footnoteReference w:id="145"/>
      </w:r>
    </w:p>
    <w:p w:rsidR="005C5851" w:rsidRDefault="005C5851" w:rsidP="00355D72">
      <w:pPr>
        <w:pStyle w:val="AERbulletlistfirststyle"/>
        <w:rPr>
          <w:rStyle w:val="AERbody"/>
        </w:rPr>
      </w:pPr>
      <w:r>
        <w:rPr>
          <w:rStyle w:val="AERbody"/>
        </w:rPr>
        <w:t>IT system integration costs</w:t>
      </w:r>
      <w:r w:rsidR="009673B5">
        <w:rPr>
          <w:rStyle w:val="AERbody"/>
        </w:rPr>
        <w:t xml:space="preserve"> (IT capex)</w:t>
      </w:r>
      <w:r>
        <w:rPr>
          <w:rStyle w:val="AERbody"/>
        </w:rPr>
        <w:t>––</w:t>
      </w:r>
      <w:r w:rsidR="001260D2">
        <w:rPr>
          <w:rStyle w:val="AERbody"/>
        </w:rPr>
        <w:t>SP AusNet considered it would incur $</w:t>
      </w:r>
      <w:r w:rsidR="00FF22F8">
        <w:rPr>
          <w:rStyle w:val="AERbody"/>
          <w:noProof/>
          <w:color w:val="000000"/>
          <w:highlight w:val="black"/>
        </w:rPr>
        <w:t>''''''''''''''</w:t>
      </w:r>
      <w:r w:rsidR="001260D2">
        <w:rPr>
          <w:rStyle w:val="AERbody"/>
        </w:rPr>
        <w:t xml:space="preserve"> million of system integration capex, as well as $</w:t>
      </w:r>
      <w:r w:rsidR="00FF22F8">
        <w:rPr>
          <w:rStyle w:val="AERbody"/>
          <w:noProof/>
          <w:color w:val="000000"/>
          <w:highlight w:val="black"/>
        </w:rPr>
        <w:t>'''''''''''</w:t>
      </w:r>
      <w:r w:rsidR="001260D2">
        <w:rPr>
          <w:rStyle w:val="AERbody"/>
        </w:rPr>
        <w:t xml:space="preserve"> million in NMS and MMS capex, less $</w:t>
      </w:r>
      <w:r w:rsidR="00FF22F8">
        <w:rPr>
          <w:rStyle w:val="AERbody"/>
          <w:noProof/>
          <w:color w:val="000000"/>
          <w:highlight w:val="black"/>
        </w:rPr>
        <w:t>'''''''''''''</w:t>
      </w:r>
      <w:r w:rsidR="001260D2">
        <w:rPr>
          <w:rStyle w:val="AERbody"/>
        </w:rPr>
        <w:t xml:space="preserve"> million of avoided </w:t>
      </w:r>
      <w:r w:rsidR="00E71B3E">
        <w:rPr>
          <w:rStyle w:val="AERbody"/>
        </w:rPr>
        <w:t xml:space="preserve">WiMAX </w:t>
      </w:r>
      <w:r w:rsidR="001260D2">
        <w:rPr>
          <w:rStyle w:val="AERbody"/>
        </w:rPr>
        <w:t xml:space="preserve">costs. </w:t>
      </w:r>
      <w:r w:rsidR="00E71B3E">
        <w:rPr>
          <w:rStyle w:val="AERbody"/>
        </w:rPr>
        <w:t>A</w:t>
      </w:r>
      <w:r w:rsidR="00C561D2">
        <w:rPr>
          <w:rStyle w:val="AERbody"/>
        </w:rPr>
        <w:t xml:space="preserve">s noted above, </w:t>
      </w:r>
      <w:r w:rsidR="001260D2">
        <w:rPr>
          <w:rStyle w:val="AERbody"/>
        </w:rPr>
        <w:t xml:space="preserve">the AER considers </w:t>
      </w:r>
      <w:r>
        <w:rPr>
          <w:rStyle w:val="AERbody"/>
        </w:rPr>
        <w:t xml:space="preserve">any </w:t>
      </w:r>
      <w:r w:rsidR="00C561D2">
        <w:rPr>
          <w:rStyle w:val="AERbody"/>
        </w:rPr>
        <w:t xml:space="preserve">system </w:t>
      </w:r>
      <w:r>
        <w:rPr>
          <w:rStyle w:val="AERbody"/>
        </w:rPr>
        <w:t xml:space="preserve">integration costs are already included in the build costs for the new NMS and MDMS, so </w:t>
      </w:r>
      <w:r w:rsidR="00E71B3E">
        <w:rPr>
          <w:rStyle w:val="AERbody"/>
        </w:rPr>
        <w:t xml:space="preserve">the $16.2 million of IT capex </w:t>
      </w:r>
      <w:r>
        <w:rPr>
          <w:rStyle w:val="AERbody"/>
        </w:rPr>
        <w:t>switching costs would be avoided</w:t>
      </w:r>
      <w:r w:rsidR="001260D2">
        <w:rPr>
          <w:rStyle w:val="AERbody"/>
        </w:rPr>
        <w:t>.</w:t>
      </w:r>
      <w:r w:rsidR="00EF4949">
        <w:rPr>
          <w:rStyle w:val="FootnoteReference"/>
        </w:rPr>
        <w:footnoteReference w:id="146"/>
      </w:r>
    </w:p>
    <w:p w:rsidR="004742FD" w:rsidRDefault="005C5851" w:rsidP="00355D72">
      <w:pPr>
        <w:pStyle w:val="AERbulletlistfirststyle"/>
        <w:rPr>
          <w:rStyle w:val="AERbody"/>
        </w:rPr>
      </w:pPr>
      <w:r>
        <w:rPr>
          <w:rStyle w:val="AERbody"/>
        </w:rPr>
        <w:t xml:space="preserve">Meter reading, meter data management and overheads––due to the AER's earlier reconsideration date and shorter rollout duration, there </w:t>
      </w:r>
      <w:r w:rsidR="00E71B3E">
        <w:rPr>
          <w:rStyle w:val="AERbody"/>
        </w:rPr>
        <w:t xml:space="preserve">should </w:t>
      </w:r>
      <w:r>
        <w:rPr>
          <w:rStyle w:val="AERbody"/>
        </w:rPr>
        <w:t xml:space="preserve">be no delay in </w:t>
      </w:r>
      <w:r w:rsidR="00E71B3E">
        <w:rPr>
          <w:rStyle w:val="AERbody"/>
        </w:rPr>
        <w:t xml:space="preserve">delivering </w:t>
      </w:r>
      <w:r>
        <w:rPr>
          <w:rStyle w:val="AERbody"/>
        </w:rPr>
        <w:t>AMI services</w:t>
      </w:r>
      <w:r w:rsidR="00992A73">
        <w:rPr>
          <w:rStyle w:val="AERbody"/>
        </w:rPr>
        <w:t xml:space="preserve"> (meter data to market)</w:t>
      </w:r>
      <w:r>
        <w:rPr>
          <w:rStyle w:val="AERbody"/>
        </w:rPr>
        <w:t xml:space="preserve">, so these switching costs </w:t>
      </w:r>
      <w:r w:rsidR="00E71B3E">
        <w:rPr>
          <w:rStyle w:val="AERbody"/>
        </w:rPr>
        <w:t>of $13.5 million c</w:t>
      </w:r>
      <w:r>
        <w:rPr>
          <w:rStyle w:val="AERbody"/>
        </w:rPr>
        <w:t>ould be avoided</w:t>
      </w:r>
      <w:r w:rsidR="00E71B3E">
        <w:rPr>
          <w:rStyle w:val="AERbody"/>
        </w:rPr>
        <w:t>.</w:t>
      </w:r>
      <w:r w:rsidR="00EF4949">
        <w:rPr>
          <w:rStyle w:val="FootnoteReference"/>
        </w:rPr>
        <w:footnoteReference w:id="147"/>
      </w:r>
    </w:p>
    <w:p w:rsidR="00AF08C9" w:rsidRDefault="004742FD" w:rsidP="00C5659A">
      <w:pPr>
        <w:pStyle w:val="AERbulletlistfirststyle"/>
        <w:rPr>
          <w:rStyle w:val="AERbody"/>
        </w:rPr>
      </w:pPr>
      <w:r>
        <w:rPr>
          <w:rStyle w:val="AERbody"/>
        </w:rPr>
        <w:t>Project management office––</w:t>
      </w:r>
      <w:r w:rsidRPr="004742FD">
        <w:rPr>
          <w:rStyle w:val="AERbody"/>
        </w:rPr>
        <w:t xml:space="preserve"> </w:t>
      </w:r>
      <w:r w:rsidR="00C5659A">
        <w:rPr>
          <w:rStyle w:val="AERbody"/>
        </w:rPr>
        <w:t>the experience of the other Victorian DNSPs and expert technical advice suggest that the project and technical resources that would otherwise have been used for SP AusNet's WiMAX-3G solution could have managed the market delivery of a proven mesh-3G solution without a significant increase in cost</w:t>
      </w:r>
      <w:r w:rsidR="00E71B3E">
        <w:rPr>
          <w:rStyle w:val="AERbody"/>
        </w:rPr>
        <w:t>. The AER considers this $10.2 million can be avoided.</w:t>
      </w:r>
      <w:r w:rsidR="00EF4949">
        <w:rPr>
          <w:rStyle w:val="FootnoteReference"/>
        </w:rPr>
        <w:footnoteReference w:id="148"/>
      </w:r>
    </w:p>
    <w:p w:rsidR="0041552A" w:rsidRDefault="0041552A" w:rsidP="00C5659A">
      <w:pPr>
        <w:pStyle w:val="AERbulletlistfirststyle"/>
        <w:rPr>
          <w:rStyle w:val="AERbody"/>
        </w:rPr>
      </w:pPr>
      <w:r>
        <w:rPr>
          <w:rStyle w:val="AERbody"/>
        </w:rPr>
        <w:t xml:space="preserve">Industry PMO/Audit/Regulatory submissions––SP AusNet did not explain why switching to mesh radio would result in it incurring an additional $1.9 million of </w:t>
      </w:r>
      <w:r w:rsidR="009673B5">
        <w:rPr>
          <w:rStyle w:val="AERbody"/>
        </w:rPr>
        <w:t>this</w:t>
      </w:r>
      <w:r>
        <w:rPr>
          <w:rStyle w:val="AERbody"/>
        </w:rPr>
        <w:t xml:space="preserve"> opex</w:t>
      </w:r>
      <w:r w:rsidR="009673B5">
        <w:rPr>
          <w:rStyle w:val="AERbody"/>
        </w:rPr>
        <w:t xml:space="preserve"> when this same amount forms part of its Submitted Budget using WiMAX</w:t>
      </w:r>
      <w:r>
        <w:rPr>
          <w:rStyle w:val="AERbody"/>
        </w:rPr>
        <w:t>.</w:t>
      </w:r>
      <w:r w:rsidR="009673B5">
        <w:rPr>
          <w:rStyle w:val="FootnoteReference"/>
        </w:rPr>
        <w:footnoteReference w:id="149"/>
      </w:r>
      <w:r>
        <w:rPr>
          <w:rStyle w:val="AERbody"/>
        </w:rPr>
        <w:t xml:space="preserve"> </w:t>
      </w:r>
      <w:r w:rsidR="009673B5">
        <w:rPr>
          <w:rStyle w:val="AERbody"/>
        </w:rPr>
        <w:t>Absent any justification, t</w:t>
      </w:r>
      <w:r>
        <w:rPr>
          <w:rStyle w:val="AERbody"/>
        </w:rPr>
        <w:t xml:space="preserve">he AER considers the amount attributed to its WiMAX rollout </w:t>
      </w:r>
      <w:r w:rsidR="00E71B3E">
        <w:rPr>
          <w:rStyle w:val="AERbody"/>
        </w:rPr>
        <w:t>should be sufficient</w:t>
      </w:r>
      <w:r w:rsidR="009673B5">
        <w:rPr>
          <w:rStyle w:val="AERbody"/>
        </w:rPr>
        <w:t xml:space="preserve"> for the mesh radio</w:t>
      </w:r>
      <w:r>
        <w:rPr>
          <w:rStyle w:val="AERbody"/>
        </w:rPr>
        <w:t xml:space="preserve"> </w:t>
      </w:r>
      <w:r w:rsidR="009673B5">
        <w:rPr>
          <w:rStyle w:val="AERbody"/>
        </w:rPr>
        <w:t>rollout</w:t>
      </w:r>
      <w:r w:rsidR="00E71B3E">
        <w:rPr>
          <w:rStyle w:val="AERbody"/>
        </w:rPr>
        <w:t>.</w:t>
      </w:r>
    </w:p>
    <w:p w:rsidR="008F7BA3" w:rsidRDefault="0041552A" w:rsidP="00C5659A">
      <w:pPr>
        <w:pStyle w:val="AERbulletlistfirststyle"/>
        <w:rPr>
          <w:rStyle w:val="AERbody"/>
        </w:rPr>
      </w:pPr>
      <w:r>
        <w:rPr>
          <w:rStyle w:val="AERbody"/>
        </w:rPr>
        <w:t>IT opex––</w:t>
      </w:r>
      <w:r w:rsidR="009673B5">
        <w:rPr>
          <w:rStyle w:val="AERbody"/>
        </w:rPr>
        <w:t>SP AusNet calculated</w:t>
      </w:r>
      <w:r w:rsidR="00E71B3E">
        <w:rPr>
          <w:rStyle w:val="AERbody"/>
        </w:rPr>
        <w:t xml:space="preserve"> $2.7 million of</w:t>
      </w:r>
      <w:r w:rsidR="009673B5">
        <w:rPr>
          <w:rStyle w:val="AERbody"/>
        </w:rPr>
        <w:t xml:space="preserve"> IT opex switching costs </w:t>
      </w:r>
      <w:r w:rsidR="00E71B3E">
        <w:rPr>
          <w:rStyle w:val="AERbody"/>
        </w:rPr>
        <w:t xml:space="preserve">from </w:t>
      </w:r>
      <w:r w:rsidR="009673B5">
        <w:rPr>
          <w:rStyle w:val="AERbody"/>
        </w:rPr>
        <w:t>a percentage of IT capex switching costs</w:t>
      </w:r>
      <w:r w:rsidR="00E71B3E">
        <w:rPr>
          <w:rStyle w:val="AERbody"/>
        </w:rPr>
        <w:t>. SP AusNet did not explain this opex other than that it would</w:t>
      </w:r>
      <w:r w:rsidR="009673B5">
        <w:rPr>
          <w:rStyle w:val="AERbody"/>
        </w:rPr>
        <w:t xml:space="preserve"> support the rollout of </w:t>
      </w:r>
      <w:r w:rsidR="00E71B3E">
        <w:rPr>
          <w:rStyle w:val="AERbody"/>
        </w:rPr>
        <w:t xml:space="preserve">a </w:t>
      </w:r>
      <w:r w:rsidR="009673B5">
        <w:rPr>
          <w:rStyle w:val="AERbody"/>
        </w:rPr>
        <w:t>new CNMS and MMS.</w:t>
      </w:r>
      <w:r w:rsidR="009673B5">
        <w:rPr>
          <w:rStyle w:val="FootnoteReference"/>
        </w:rPr>
        <w:footnoteReference w:id="150"/>
      </w:r>
      <w:r w:rsidR="009673B5">
        <w:rPr>
          <w:rStyle w:val="AERbody"/>
        </w:rPr>
        <w:t xml:space="preserve"> Since the AER consider</w:t>
      </w:r>
      <w:r w:rsidR="00992A73">
        <w:rPr>
          <w:rStyle w:val="AERbody"/>
        </w:rPr>
        <w:t>s</w:t>
      </w:r>
      <w:r w:rsidR="009673B5">
        <w:rPr>
          <w:rStyle w:val="AERbody"/>
        </w:rPr>
        <w:t xml:space="preserve"> </w:t>
      </w:r>
      <w:r w:rsidR="00E71B3E">
        <w:rPr>
          <w:rStyle w:val="AERbody"/>
        </w:rPr>
        <w:t xml:space="preserve">a reasonable business in </w:t>
      </w:r>
      <w:r w:rsidR="009673B5">
        <w:rPr>
          <w:rStyle w:val="AERbody"/>
        </w:rPr>
        <w:t>SP AusNet</w:t>
      </w:r>
      <w:r w:rsidR="00E71B3E">
        <w:rPr>
          <w:rStyle w:val="AERbody"/>
        </w:rPr>
        <w:t>'s circumstances would</w:t>
      </w:r>
      <w:r w:rsidR="009673B5">
        <w:rPr>
          <w:rStyle w:val="AERbody"/>
        </w:rPr>
        <w:t xml:space="preserve"> </w:t>
      </w:r>
      <w:r w:rsidR="00992A73">
        <w:rPr>
          <w:rStyle w:val="AERbody"/>
        </w:rPr>
        <w:t xml:space="preserve">not </w:t>
      </w:r>
      <w:r w:rsidR="009673B5">
        <w:rPr>
          <w:rStyle w:val="AERbody"/>
        </w:rPr>
        <w:t>incur any IT capex switching costs, it considers SP AusNet will not incur supporting opex switching costs either</w:t>
      </w:r>
      <w:r w:rsidR="00E71B3E">
        <w:rPr>
          <w:rStyle w:val="AERbody"/>
        </w:rPr>
        <w:t>.</w:t>
      </w:r>
    </w:p>
    <w:p w:rsidR="0041552A" w:rsidRDefault="008F7BA3" w:rsidP="00C5659A">
      <w:pPr>
        <w:pStyle w:val="AERbulletlistfirststyle"/>
        <w:rPr>
          <w:rStyle w:val="AERbody"/>
        </w:rPr>
      </w:pPr>
      <w:r>
        <w:rPr>
          <w:rStyle w:val="AERbody"/>
        </w:rPr>
        <w:t xml:space="preserve">Other business stream costs––as noted above, SP AusNet has not justified these </w:t>
      </w:r>
      <w:r w:rsidR="00C702CE">
        <w:rPr>
          <w:rStyle w:val="AERbody"/>
        </w:rPr>
        <w:t xml:space="preserve">non-AMI </w:t>
      </w:r>
      <w:r>
        <w:rPr>
          <w:rStyle w:val="AERbody"/>
        </w:rPr>
        <w:t xml:space="preserve">costs, apart from stating that they relate to IT system integration. The AER </w:t>
      </w:r>
      <w:r w:rsidR="00992A73">
        <w:rPr>
          <w:rStyle w:val="AERbody"/>
        </w:rPr>
        <w:t xml:space="preserve">also </w:t>
      </w:r>
      <w:r>
        <w:rPr>
          <w:rStyle w:val="AERbody"/>
        </w:rPr>
        <w:t>consider</w:t>
      </w:r>
      <w:r w:rsidR="00992A73">
        <w:rPr>
          <w:rStyle w:val="AERbody"/>
        </w:rPr>
        <w:t>s</w:t>
      </w:r>
      <w:r>
        <w:rPr>
          <w:rStyle w:val="AERbody"/>
        </w:rPr>
        <w:t xml:space="preserve"> SP AusNet will </w:t>
      </w:r>
      <w:r w:rsidR="00992A73">
        <w:rPr>
          <w:rStyle w:val="AERbody"/>
        </w:rPr>
        <w:t xml:space="preserve">not </w:t>
      </w:r>
      <w:r>
        <w:rPr>
          <w:rStyle w:val="AERbody"/>
        </w:rPr>
        <w:t>incur any IT system integration switching costs</w:t>
      </w:r>
      <w:r w:rsidR="00992A73">
        <w:rPr>
          <w:rStyle w:val="AERbody"/>
        </w:rPr>
        <w:t>, so other business stream costs</w:t>
      </w:r>
      <w:r>
        <w:rPr>
          <w:rStyle w:val="AERbody"/>
        </w:rPr>
        <w:t xml:space="preserve"> will </w:t>
      </w:r>
      <w:r w:rsidR="00992A73">
        <w:rPr>
          <w:rStyle w:val="AERbody"/>
        </w:rPr>
        <w:t xml:space="preserve">not </w:t>
      </w:r>
      <w:r>
        <w:rPr>
          <w:rStyle w:val="AERbody"/>
        </w:rPr>
        <w:t>result in additional costs to switch to mesh radio.</w:t>
      </w:r>
      <w:r w:rsidR="00E71B3E">
        <w:rPr>
          <w:rStyle w:val="AERbody"/>
        </w:rPr>
        <w:t xml:space="preserve"> This results in a reduction of $9.5 million.</w:t>
      </w:r>
      <w:r w:rsidR="00834002">
        <w:rPr>
          <w:rStyle w:val="FootnoteReference"/>
        </w:rPr>
        <w:footnoteReference w:id="151"/>
      </w:r>
      <w:r>
        <w:rPr>
          <w:rStyle w:val="AERbody"/>
        </w:rPr>
        <w:t xml:space="preserve"> </w:t>
      </w:r>
    </w:p>
    <w:p w:rsidR="00216A35" w:rsidRDefault="00AF0E53" w:rsidP="00216A35">
      <w:pPr>
        <w:pStyle w:val="AERbodytext"/>
        <w:rPr>
          <w:rStyle w:val="AERbody"/>
        </w:rPr>
      </w:pPr>
      <w:r>
        <w:rPr>
          <w:rStyle w:val="AERbody"/>
        </w:rPr>
        <w:t>Table 1.4</w:t>
      </w:r>
      <w:r w:rsidR="00216A35">
        <w:rPr>
          <w:rStyle w:val="AERbody"/>
        </w:rPr>
        <w:t xml:space="preserve"> compares SP AusNet's estimate of </w:t>
      </w:r>
      <w:r w:rsidR="00D91064">
        <w:rPr>
          <w:rStyle w:val="AERbody"/>
        </w:rPr>
        <w:t xml:space="preserve">the </w:t>
      </w:r>
      <w:r w:rsidR="00216A35">
        <w:rPr>
          <w:rStyle w:val="AERbody"/>
        </w:rPr>
        <w:t xml:space="preserve">switching costs </w:t>
      </w:r>
      <w:r w:rsidR="00D91064">
        <w:rPr>
          <w:rStyle w:val="AERbody"/>
        </w:rPr>
        <w:t>a reasonable business in the circumstances would incur if it abandoned WiMAX in favour of mesh radio</w:t>
      </w:r>
      <w:r w:rsidR="00224133">
        <w:rPr>
          <w:rStyle w:val="AERbody"/>
        </w:rPr>
        <w:t>,</w:t>
      </w:r>
      <w:r w:rsidR="00224133" w:rsidRPr="00224133">
        <w:rPr>
          <w:rStyle w:val="AERbody"/>
        </w:rPr>
        <w:t xml:space="preserve"> </w:t>
      </w:r>
      <w:r w:rsidR="00224133">
        <w:rPr>
          <w:rStyle w:val="AERbody"/>
        </w:rPr>
        <w:t>with the AER's estimate</w:t>
      </w:r>
      <w:r w:rsidR="00216A35">
        <w:rPr>
          <w:rStyle w:val="AERbody"/>
        </w:rPr>
        <w:t>.</w:t>
      </w:r>
      <w:r w:rsidR="000923E8">
        <w:rPr>
          <w:rStyle w:val="AERbody"/>
        </w:rPr>
        <w:t xml:space="preserve"> The AER considers its switching costs over 2011 to 2015 would amount to $15.9 million, compared to SP AusNet's estimate of $107.2 million.</w:t>
      </w:r>
    </w:p>
    <w:p w:rsidR="0041552A" w:rsidRDefault="00224133" w:rsidP="0041552A">
      <w:pPr>
        <w:pStyle w:val="AERtabletitle"/>
      </w:pPr>
      <w:bookmarkStart w:id="22" w:name="_Ref331344498"/>
      <w:r>
        <w:br w:type="page"/>
      </w:r>
      <w:r w:rsidR="002F6F14">
        <w:t xml:space="preserve">Comparison of </w:t>
      </w:r>
      <w:r w:rsidR="000902A8">
        <w:t xml:space="preserve">mesh </w:t>
      </w:r>
      <w:r w:rsidR="002F6F14">
        <w:t>switching costs ($</w:t>
      </w:r>
      <w:r w:rsidR="000902A8">
        <w:t>million</w:t>
      </w:r>
      <w:r w:rsidR="002F6F14">
        <w:t xml:space="preserve">, </w:t>
      </w:r>
      <w:r w:rsidR="000902A8">
        <w:t>real 2011</w:t>
      </w:r>
      <w:r w:rsidR="002F6F14">
        <w:t>)</w:t>
      </w:r>
      <w:bookmarkEnd w:id="22"/>
    </w:p>
    <w:tbl>
      <w:tblPr>
        <w:tblStyle w:val="AERtable-numbers"/>
        <w:tblW w:w="0" w:type="auto"/>
        <w:tblLook w:val="0020"/>
      </w:tblPr>
      <w:tblGrid>
        <w:gridCol w:w="4503"/>
        <w:gridCol w:w="1842"/>
        <w:gridCol w:w="1418"/>
        <w:gridCol w:w="1479"/>
      </w:tblGrid>
      <w:tr w:rsidR="000923E8" w:rsidTr="000923E8">
        <w:trPr>
          <w:cnfStyle w:val="100000000000"/>
        </w:trPr>
        <w:tc>
          <w:tcPr>
            <w:tcW w:w="4503" w:type="dxa"/>
          </w:tcPr>
          <w:p w:rsidR="000923E8" w:rsidRPr="0041552A" w:rsidRDefault="000923E8" w:rsidP="0041552A">
            <w:pPr>
              <w:pStyle w:val="AERtabletext"/>
              <w:rPr>
                <w:rStyle w:val="AERbody"/>
                <w:sz w:val="16"/>
              </w:rPr>
            </w:pPr>
            <w:r w:rsidRPr="0041552A">
              <w:rPr>
                <w:rStyle w:val="AERbody"/>
                <w:sz w:val="16"/>
              </w:rPr>
              <w:t xml:space="preserve"> </w:t>
            </w:r>
          </w:p>
        </w:tc>
        <w:tc>
          <w:tcPr>
            <w:tcW w:w="1842" w:type="dxa"/>
          </w:tcPr>
          <w:p w:rsidR="000923E8" w:rsidRPr="0041552A" w:rsidRDefault="000923E8" w:rsidP="0041552A">
            <w:pPr>
              <w:pStyle w:val="AERtableheadingright"/>
              <w:rPr>
                <w:rStyle w:val="AERbody"/>
                <w:sz w:val="16"/>
              </w:rPr>
            </w:pPr>
            <w:r w:rsidRPr="0041552A">
              <w:rPr>
                <w:rStyle w:val="AERbody"/>
                <w:sz w:val="16"/>
              </w:rPr>
              <w:t>SP AusNet (2012-15)</w:t>
            </w:r>
          </w:p>
        </w:tc>
        <w:tc>
          <w:tcPr>
            <w:tcW w:w="1418" w:type="dxa"/>
          </w:tcPr>
          <w:p w:rsidR="007F1361" w:rsidRDefault="000923E8">
            <w:pPr>
              <w:pStyle w:val="AERtabletextheadingright"/>
              <w:rPr>
                <w:rStyle w:val="AERbody"/>
                <w:b w:val="0"/>
                <w:bCs w:val="0"/>
                <w:sz w:val="16"/>
              </w:rPr>
            </w:pPr>
            <w:r w:rsidRPr="000923E8">
              <w:rPr>
                <w:rStyle w:val="AERbody"/>
                <w:sz w:val="16"/>
              </w:rPr>
              <w:t>AER (2011)</w:t>
            </w:r>
          </w:p>
        </w:tc>
        <w:tc>
          <w:tcPr>
            <w:tcW w:w="1479" w:type="dxa"/>
          </w:tcPr>
          <w:p w:rsidR="007F1361" w:rsidRDefault="000923E8">
            <w:pPr>
              <w:pStyle w:val="AERtabletextheadingright"/>
              <w:rPr>
                <w:rStyle w:val="AERbody"/>
                <w:b w:val="0"/>
                <w:bCs w:val="0"/>
                <w:sz w:val="16"/>
              </w:rPr>
            </w:pPr>
            <w:r w:rsidRPr="000923E8">
              <w:rPr>
                <w:rStyle w:val="AERbody"/>
                <w:sz w:val="16"/>
              </w:rPr>
              <w:t>AER (2012-15)</w:t>
            </w:r>
          </w:p>
        </w:tc>
      </w:tr>
      <w:tr w:rsidR="000923E8" w:rsidTr="000923E8">
        <w:tc>
          <w:tcPr>
            <w:tcW w:w="4503" w:type="dxa"/>
          </w:tcPr>
          <w:p w:rsidR="000923E8" w:rsidRPr="0041552A" w:rsidRDefault="000923E8" w:rsidP="0041552A">
            <w:pPr>
              <w:pStyle w:val="AERtabletext"/>
              <w:rPr>
                <w:rStyle w:val="AERtextbold"/>
              </w:rPr>
            </w:pPr>
            <w:r w:rsidRPr="0041552A">
              <w:rPr>
                <w:rStyle w:val="AERtextbold"/>
              </w:rPr>
              <w:t>Capex</w:t>
            </w:r>
          </w:p>
        </w:tc>
        <w:tc>
          <w:tcPr>
            <w:tcW w:w="1842" w:type="dxa"/>
          </w:tcPr>
          <w:p w:rsidR="000923E8" w:rsidRPr="0041552A" w:rsidRDefault="000923E8" w:rsidP="0041552A">
            <w:pPr>
              <w:pStyle w:val="AERtabletext-numbers"/>
              <w:rPr>
                <w:rStyle w:val="AERbody"/>
                <w:sz w:val="16"/>
              </w:rPr>
            </w:pPr>
          </w:p>
        </w:tc>
        <w:tc>
          <w:tcPr>
            <w:tcW w:w="1418" w:type="dxa"/>
          </w:tcPr>
          <w:p w:rsidR="000923E8" w:rsidRPr="0041552A" w:rsidRDefault="000923E8" w:rsidP="0041552A">
            <w:pPr>
              <w:pStyle w:val="AERtabletext-numbers"/>
              <w:rPr>
                <w:rStyle w:val="AERbody"/>
                <w:sz w:val="16"/>
              </w:rPr>
            </w:pPr>
          </w:p>
        </w:tc>
        <w:tc>
          <w:tcPr>
            <w:tcW w:w="1479" w:type="dxa"/>
          </w:tcPr>
          <w:p w:rsidR="000923E8" w:rsidRPr="0041552A" w:rsidRDefault="000923E8" w:rsidP="0041552A">
            <w:pPr>
              <w:pStyle w:val="AERtabletext-numbers"/>
              <w:rPr>
                <w:rStyle w:val="AERbody"/>
                <w:sz w:val="16"/>
              </w:rPr>
            </w:pPr>
          </w:p>
        </w:tc>
      </w:tr>
      <w:tr w:rsidR="000923E8" w:rsidTr="000923E8">
        <w:trPr>
          <w:cnfStyle w:val="000000010000"/>
        </w:trPr>
        <w:tc>
          <w:tcPr>
            <w:tcW w:w="4503" w:type="dxa"/>
          </w:tcPr>
          <w:p w:rsidR="000923E8" w:rsidRPr="0041552A" w:rsidRDefault="000923E8" w:rsidP="0041552A">
            <w:pPr>
              <w:pStyle w:val="AERtabletext"/>
              <w:rPr>
                <w:rStyle w:val="AERbody"/>
                <w:sz w:val="16"/>
              </w:rPr>
            </w:pPr>
            <w:r w:rsidRPr="0041552A">
              <w:rPr>
                <w:rStyle w:val="AERbody"/>
                <w:sz w:val="16"/>
              </w:rPr>
              <w:t>Meters</w:t>
            </w:r>
          </w:p>
        </w:tc>
        <w:tc>
          <w:tcPr>
            <w:tcW w:w="1842" w:type="dxa"/>
          </w:tcPr>
          <w:p w:rsidR="000923E8" w:rsidRPr="0041552A" w:rsidRDefault="000923E8" w:rsidP="0041552A">
            <w:pPr>
              <w:pStyle w:val="AERtabletext-numbers"/>
              <w:rPr>
                <w:rStyle w:val="AERbody"/>
                <w:sz w:val="16"/>
              </w:rPr>
            </w:pPr>
            <w:r w:rsidRPr="0041552A">
              <w:rPr>
                <w:rStyle w:val="AERbody"/>
                <w:sz w:val="16"/>
              </w:rPr>
              <w:t>44.3</w:t>
            </w:r>
          </w:p>
        </w:tc>
        <w:tc>
          <w:tcPr>
            <w:tcW w:w="1418" w:type="dxa"/>
          </w:tcPr>
          <w:p w:rsidR="000923E8" w:rsidRPr="00E45D98" w:rsidDel="00C72251" w:rsidRDefault="000923E8" w:rsidP="00E45D98">
            <w:pPr>
              <w:pStyle w:val="AERtabletext-numbers"/>
              <w:rPr>
                <w:rStyle w:val="AERbody"/>
                <w:sz w:val="16"/>
              </w:rPr>
            </w:pPr>
          </w:p>
        </w:tc>
        <w:tc>
          <w:tcPr>
            <w:tcW w:w="1479" w:type="dxa"/>
          </w:tcPr>
          <w:p w:rsidR="000923E8" w:rsidRPr="00E45D98" w:rsidRDefault="000923E8" w:rsidP="00E45D98">
            <w:pPr>
              <w:pStyle w:val="AERtabletext-numbers"/>
              <w:rPr>
                <w:rStyle w:val="AERbody"/>
                <w:sz w:val="16"/>
              </w:rPr>
            </w:pPr>
            <w:r w:rsidRPr="003D2107">
              <w:rPr>
                <w:rStyle w:val="AERbody"/>
                <w:sz w:val="16"/>
              </w:rPr>
              <w:t>11.7</w:t>
            </w:r>
          </w:p>
        </w:tc>
      </w:tr>
      <w:tr w:rsidR="000923E8" w:rsidTr="000923E8">
        <w:tc>
          <w:tcPr>
            <w:tcW w:w="4503" w:type="dxa"/>
          </w:tcPr>
          <w:p w:rsidR="000923E8" w:rsidRPr="0041552A" w:rsidRDefault="000923E8" w:rsidP="00D32245">
            <w:pPr>
              <w:pStyle w:val="AERtabletext"/>
              <w:rPr>
                <w:rStyle w:val="AERbody"/>
                <w:sz w:val="16"/>
              </w:rPr>
            </w:pPr>
            <w:r w:rsidRPr="0041552A">
              <w:rPr>
                <w:rStyle w:val="AERbody"/>
                <w:sz w:val="16"/>
              </w:rPr>
              <w:t>Communications</w:t>
            </w:r>
            <w:r w:rsidRPr="00D32245">
              <w:rPr>
                <w:rStyle w:val="AERbody"/>
                <w:sz w:val="16"/>
              </w:rPr>
              <w:t xml:space="preserve"> (contract termination and tower demolition)</w:t>
            </w:r>
          </w:p>
        </w:tc>
        <w:tc>
          <w:tcPr>
            <w:tcW w:w="1842" w:type="dxa"/>
          </w:tcPr>
          <w:p w:rsidR="000923E8" w:rsidRPr="0041552A" w:rsidRDefault="000923E8" w:rsidP="0041552A">
            <w:pPr>
              <w:pStyle w:val="AERtabletext-numbers"/>
              <w:rPr>
                <w:rStyle w:val="AERbody"/>
                <w:sz w:val="16"/>
              </w:rPr>
            </w:pPr>
            <w:r w:rsidRPr="0041552A">
              <w:rPr>
                <w:rStyle w:val="AERbody"/>
                <w:sz w:val="16"/>
              </w:rPr>
              <w:t>9.0</w:t>
            </w:r>
          </w:p>
        </w:tc>
        <w:tc>
          <w:tcPr>
            <w:tcW w:w="1418" w:type="dxa"/>
          </w:tcPr>
          <w:p w:rsidR="000923E8" w:rsidRPr="000923E8" w:rsidRDefault="000923E8" w:rsidP="000923E8">
            <w:pPr>
              <w:pStyle w:val="AERtabletext-numbers"/>
              <w:rPr>
                <w:rStyle w:val="AERbody"/>
                <w:sz w:val="16"/>
              </w:rPr>
            </w:pPr>
            <w:r w:rsidRPr="000923E8">
              <w:rPr>
                <w:rStyle w:val="AERbody"/>
                <w:sz w:val="16"/>
              </w:rPr>
              <w:t>4.2</w:t>
            </w:r>
          </w:p>
        </w:tc>
        <w:tc>
          <w:tcPr>
            <w:tcW w:w="1479" w:type="dxa"/>
          </w:tcPr>
          <w:p w:rsidR="000923E8" w:rsidRPr="00533F0C" w:rsidRDefault="000923E8" w:rsidP="00533F0C">
            <w:pPr>
              <w:pStyle w:val="AERtabletext-numbers"/>
              <w:rPr>
                <w:rStyle w:val="AERbody"/>
                <w:sz w:val="16"/>
              </w:rPr>
            </w:pPr>
          </w:p>
        </w:tc>
      </w:tr>
      <w:tr w:rsidR="000923E8" w:rsidTr="000923E8">
        <w:trPr>
          <w:cnfStyle w:val="000000010000"/>
        </w:trPr>
        <w:tc>
          <w:tcPr>
            <w:tcW w:w="4503" w:type="dxa"/>
          </w:tcPr>
          <w:p w:rsidR="000923E8" w:rsidRPr="0041552A" w:rsidRDefault="000923E8" w:rsidP="0041552A">
            <w:pPr>
              <w:pStyle w:val="AERtabletext"/>
              <w:rPr>
                <w:rStyle w:val="AERbody"/>
                <w:sz w:val="16"/>
              </w:rPr>
            </w:pPr>
            <w:r w:rsidRPr="0041552A">
              <w:rPr>
                <w:rStyle w:val="AERbody"/>
                <w:sz w:val="16"/>
              </w:rPr>
              <w:t>Information technology</w:t>
            </w:r>
          </w:p>
        </w:tc>
        <w:tc>
          <w:tcPr>
            <w:tcW w:w="1842" w:type="dxa"/>
          </w:tcPr>
          <w:p w:rsidR="000923E8" w:rsidRPr="0041552A" w:rsidRDefault="000923E8" w:rsidP="0041552A">
            <w:pPr>
              <w:pStyle w:val="AERtabletext-numbers"/>
              <w:rPr>
                <w:rStyle w:val="AERbody"/>
                <w:sz w:val="16"/>
              </w:rPr>
            </w:pPr>
            <w:r w:rsidRPr="0041552A">
              <w:rPr>
                <w:rStyle w:val="AERbody"/>
                <w:sz w:val="16"/>
              </w:rPr>
              <w:t>16.2</w:t>
            </w:r>
          </w:p>
        </w:tc>
        <w:tc>
          <w:tcPr>
            <w:tcW w:w="1418" w:type="dxa"/>
          </w:tcPr>
          <w:p w:rsidR="000923E8" w:rsidRPr="0041552A" w:rsidRDefault="000923E8" w:rsidP="0041552A">
            <w:pPr>
              <w:pStyle w:val="AERtabletext-numbers"/>
              <w:rPr>
                <w:rStyle w:val="AERbody"/>
                <w:sz w:val="16"/>
              </w:rPr>
            </w:pPr>
          </w:p>
        </w:tc>
        <w:tc>
          <w:tcPr>
            <w:tcW w:w="1479" w:type="dxa"/>
          </w:tcPr>
          <w:p w:rsidR="000923E8" w:rsidRPr="0041552A" w:rsidRDefault="000923E8" w:rsidP="0041552A">
            <w:pPr>
              <w:pStyle w:val="AERtabletext-numbers"/>
              <w:rPr>
                <w:rStyle w:val="AERbody"/>
                <w:sz w:val="16"/>
              </w:rPr>
            </w:pPr>
            <w:r w:rsidRPr="0041552A">
              <w:rPr>
                <w:rStyle w:val="AERbody"/>
                <w:sz w:val="16"/>
              </w:rPr>
              <w:t>–</w:t>
            </w:r>
          </w:p>
        </w:tc>
      </w:tr>
      <w:tr w:rsidR="000923E8" w:rsidTr="000923E8">
        <w:tc>
          <w:tcPr>
            <w:tcW w:w="4503" w:type="dxa"/>
          </w:tcPr>
          <w:p w:rsidR="000923E8" w:rsidRPr="0041552A" w:rsidRDefault="000923E8" w:rsidP="0041552A">
            <w:pPr>
              <w:pStyle w:val="AERtabletext"/>
              <w:rPr>
                <w:rStyle w:val="AERtextbold"/>
              </w:rPr>
            </w:pPr>
            <w:r w:rsidRPr="0041552A">
              <w:rPr>
                <w:rStyle w:val="AERtextbold"/>
              </w:rPr>
              <w:t>Total capex</w:t>
            </w:r>
          </w:p>
        </w:tc>
        <w:tc>
          <w:tcPr>
            <w:tcW w:w="1842" w:type="dxa"/>
          </w:tcPr>
          <w:p w:rsidR="000923E8" w:rsidRPr="0041552A" w:rsidRDefault="000923E8" w:rsidP="0041552A">
            <w:pPr>
              <w:pStyle w:val="AERtabletext-numbers"/>
              <w:rPr>
                <w:rStyle w:val="AERtextbold"/>
              </w:rPr>
            </w:pPr>
            <w:r w:rsidRPr="0041552A">
              <w:rPr>
                <w:rStyle w:val="AERtextbold"/>
              </w:rPr>
              <w:t>69.5</w:t>
            </w:r>
          </w:p>
        </w:tc>
        <w:tc>
          <w:tcPr>
            <w:tcW w:w="1418" w:type="dxa"/>
          </w:tcPr>
          <w:p w:rsidR="000923E8" w:rsidDel="00C72251" w:rsidRDefault="000923E8" w:rsidP="0041552A">
            <w:pPr>
              <w:pStyle w:val="AERtabletext-numbers"/>
              <w:rPr>
                <w:rStyle w:val="AERtextbold"/>
              </w:rPr>
            </w:pPr>
          </w:p>
        </w:tc>
        <w:tc>
          <w:tcPr>
            <w:tcW w:w="1479" w:type="dxa"/>
          </w:tcPr>
          <w:p w:rsidR="000923E8" w:rsidRPr="0041552A" w:rsidRDefault="000923E8" w:rsidP="0041552A">
            <w:pPr>
              <w:pStyle w:val="AERtabletext-numbers"/>
              <w:rPr>
                <w:rStyle w:val="AERtextbold"/>
              </w:rPr>
            </w:pPr>
            <w:r>
              <w:rPr>
                <w:rStyle w:val="AERtextbold"/>
              </w:rPr>
              <w:t>11.7</w:t>
            </w:r>
          </w:p>
        </w:tc>
      </w:tr>
      <w:tr w:rsidR="000923E8" w:rsidTr="000923E8">
        <w:trPr>
          <w:cnfStyle w:val="000000010000"/>
        </w:trPr>
        <w:tc>
          <w:tcPr>
            <w:tcW w:w="4503" w:type="dxa"/>
          </w:tcPr>
          <w:p w:rsidR="000923E8" w:rsidRPr="0041552A" w:rsidRDefault="000923E8" w:rsidP="0041552A">
            <w:pPr>
              <w:pStyle w:val="AERtabletext"/>
              <w:rPr>
                <w:rStyle w:val="AERtextbold"/>
              </w:rPr>
            </w:pPr>
            <w:r w:rsidRPr="0041552A">
              <w:rPr>
                <w:rStyle w:val="AERtextbold"/>
              </w:rPr>
              <w:t>Opex</w:t>
            </w:r>
          </w:p>
        </w:tc>
        <w:tc>
          <w:tcPr>
            <w:tcW w:w="1842" w:type="dxa"/>
          </w:tcPr>
          <w:p w:rsidR="000923E8" w:rsidRPr="0041552A" w:rsidRDefault="000923E8" w:rsidP="0041552A">
            <w:pPr>
              <w:pStyle w:val="AERtabletext-numbers"/>
              <w:rPr>
                <w:rStyle w:val="AERtextbold"/>
              </w:rPr>
            </w:pPr>
          </w:p>
        </w:tc>
        <w:tc>
          <w:tcPr>
            <w:tcW w:w="1418" w:type="dxa"/>
          </w:tcPr>
          <w:p w:rsidR="000923E8" w:rsidRPr="0041552A" w:rsidRDefault="000923E8" w:rsidP="0041552A">
            <w:pPr>
              <w:pStyle w:val="AERtabletext-numbers"/>
              <w:rPr>
                <w:rStyle w:val="AERtextbold"/>
              </w:rPr>
            </w:pPr>
          </w:p>
        </w:tc>
        <w:tc>
          <w:tcPr>
            <w:tcW w:w="1479" w:type="dxa"/>
          </w:tcPr>
          <w:p w:rsidR="000923E8" w:rsidRPr="0041552A" w:rsidRDefault="000923E8" w:rsidP="0041552A">
            <w:pPr>
              <w:pStyle w:val="AERtabletext-numbers"/>
              <w:rPr>
                <w:rStyle w:val="AERtextbold"/>
              </w:rPr>
            </w:pPr>
          </w:p>
        </w:tc>
      </w:tr>
      <w:tr w:rsidR="000923E8" w:rsidTr="000923E8">
        <w:tc>
          <w:tcPr>
            <w:tcW w:w="4503" w:type="dxa"/>
          </w:tcPr>
          <w:p w:rsidR="000923E8" w:rsidRPr="0041552A" w:rsidRDefault="000923E8" w:rsidP="0041552A">
            <w:pPr>
              <w:pStyle w:val="AERtabletext"/>
              <w:rPr>
                <w:rStyle w:val="AERbody"/>
                <w:sz w:val="16"/>
              </w:rPr>
            </w:pPr>
            <w:r w:rsidRPr="0041552A">
              <w:rPr>
                <w:rStyle w:val="AERbody"/>
                <w:sz w:val="16"/>
              </w:rPr>
              <w:t>Meter reading, meter data management, overheads</w:t>
            </w:r>
          </w:p>
        </w:tc>
        <w:tc>
          <w:tcPr>
            <w:tcW w:w="1842" w:type="dxa"/>
          </w:tcPr>
          <w:p w:rsidR="000923E8" w:rsidRPr="0041552A" w:rsidRDefault="000923E8" w:rsidP="0041552A">
            <w:pPr>
              <w:pStyle w:val="AERtabletext-numbers"/>
              <w:rPr>
                <w:rStyle w:val="AERbody"/>
                <w:sz w:val="16"/>
              </w:rPr>
            </w:pPr>
            <w:r w:rsidRPr="0041552A">
              <w:rPr>
                <w:rStyle w:val="AERbody"/>
                <w:sz w:val="16"/>
              </w:rPr>
              <w:t>13.5</w:t>
            </w:r>
          </w:p>
        </w:tc>
        <w:tc>
          <w:tcPr>
            <w:tcW w:w="1418" w:type="dxa"/>
          </w:tcPr>
          <w:p w:rsidR="000923E8" w:rsidRPr="0041552A" w:rsidRDefault="000923E8" w:rsidP="0041552A">
            <w:pPr>
              <w:pStyle w:val="AERtabletext-numbers"/>
              <w:rPr>
                <w:rStyle w:val="AERbody"/>
                <w:sz w:val="16"/>
              </w:rPr>
            </w:pPr>
          </w:p>
        </w:tc>
        <w:tc>
          <w:tcPr>
            <w:tcW w:w="1479" w:type="dxa"/>
          </w:tcPr>
          <w:p w:rsidR="000923E8" w:rsidRPr="0041552A" w:rsidRDefault="000923E8" w:rsidP="0041552A">
            <w:pPr>
              <w:pStyle w:val="AERtabletext-numbers"/>
              <w:rPr>
                <w:rStyle w:val="AERbody"/>
                <w:sz w:val="16"/>
              </w:rPr>
            </w:pPr>
            <w:r w:rsidRPr="0041552A">
              <w:rPr>
                <w:rStyle w:val="AERbody"/>
                <w:sz w:val="16"/>
              </w:rPr>
              <w:t>–</w:t>
            </w:r>
          </w:p>
        </w:tc>
      </w:tr>
      <w:tr w:rsidR="000923E8" w:rsidTr="000923E8">
        <w:trPr>
          <w:cnfStyle w:val="000000010000"/>
        </w:trPr>
        <w:tc>
          <w:tcPr>
            <w:tcW w:w="4503" w:type="dxa"/>
          </w:tcPr>
          <w:p w:rsidR="000923E8" w:rsidRPr="0041552A" w:rsidRDefault="000923E8" w:rsidP="0041552A">
            <w:pPr>
              <w:pStyle w:val="AERtabletext"/>
              <w:rPr>
                <w:rStyle w:val="AERbody"/>
                <w:sz w:val="16"/>
              </w:rPr>
            </w:pPr>
            <w:r w:rsidRPr="0041552A">
              <w:rPr>
                <w:rStyle w:val="AERbody"/>
                <w:sz w:val="16"/>
              </w:rPr>
              <w:t>Project management office</w:t>
            </w:r>
          </w:p>
        </w:tc>
        <w:tc>
          <w:tcPr>
            <w:tcW w:w="1842" w:type="dxa"/>
          </w:tcPr>
          <w:p w:rsidR="000923E8" w:rsidRPr="0041552A" w:rsidRDefault="000923E8" w:rsidP="0041552A">
            <w:pPr>
              <w:pStyle w:val="AERtabletext-numbers"/>
              <w:rPr>
                <w:rStyle w:val="AERbody"/>
                <w:sz w:val="16"/>
              </w:rPr>
            </w:pPr>
            <w:r w:rsidRPr="0041552A">
              <w:rPr>
                <w:rStyle w:val="AERbody"/>
                <w:sz w:val="16"/>
              </w:rPr>
              <w:t>10.2</w:t>
            </w:r>
          </w:p>
        </w:tc>
        <w:tc>
          <w:tcPr>
            <w:tcW w:w="1418" w:type="dxa"/>
          </w:tcPr>
          <w:p w:rsidR="000923E8" w:rsidRPr="0041552A" w:rsidRDefault="000923E8" w:rsidP="0041552A">
            <w:pPr>
              <w:pStyle w:val="AERtabletext-numbers"/>
              <w:rPr>
                <w:rStyle w:val="AERbody"/>
                <w:sz w:val="16"/>
              </w:rPr>
            </w:pPr>
          </w:p>
        </w:tc>
        <w:tc>
          <w:tcPr>
            <w:tcW w:w="1479" w:type="dxa"/>
          </w:tcPr>
          <w:p w:rsidR="000923E8" w:rsidRPr="0041552A" w:rsidRDefault="000923E8" w:rsidP="0041552A">
            <w:pPr>
              <w:pStyle w:val="AERtabletext-numbers"/>
              <w:rPr>
                <w:rStyle w:val="AERbody"/>
                <w:sz w:val="16"/>
              </w:rPr>
            </w:pPr>
            <w:r w:rsidRPr="0041552A">
              <w:rPr>
                <w:rStyle w:val="AERbody"/>
                <w:sz w:val="16"/>
              </w:rPr>
              <w:t>–</w:t>
            </w:r>
          </w:p>
        </w:tc>
      </w:tr>
      <w:tr w:rsidR="000923E8" w:rsidTr="000923E8">
        <w:tc>
          <w:tcPr>
            <w:tcW w:w="4503" w:type="dxa"/>
          </w:tcPr>
          <w:p w:rsidR="000923E8" w:rsidRPr="0041552A" w:rsidRDefault="000923E8" w:rsidP="0041552A">
            <w:pPr>
              <w:pStyle w:val="AERtabletext"/>
              <w:rPr>
                <w:rStyle w:val="AERbody"/>
                <w:sz w:val="16"/>
              </w:rPr>
            </w:pPr>
            <w:r w:rsidRPr="0041552A">
              <w:rPr>
                <w:rStyle w:val="AERbody"/>
                <w:sz w:val="16"/>
              </w:rPr>
              <w:t>Industry PMO/Audit/Regulatory Submissions</w:t>
            </w:r>
          </w:p>
        </w:tc>
        <w:tc>
          <w:tcPr>
            <w:tcW w:w="1842" w:type="dxa"/>
          </w:tcPr>
          <w:p w:rsidR="000923E8" w:rsidRPr="0041552A" w:rsidRDefault="000923E8" w:rsidP="0041552A">
            <w:pPr>
              <w:pStyle w:val="AERtabletext-numbers"/>
              <w:rPr>
                <w:rStyle w:val="AERbody"/>
                <w:sz w:val="16"/>
              </w:rPr>
            </w:pPr>
            <w:r w:rsidRPr="0041552A">
              <w:rPr>
                <w:rStyle w:val="AERbody"/>
                <w:sz w:val="16"/>
              </w:rPr>
              <w:t>1.9</w:t>
            </w:r>
          </w:p>
        </w:tc>
        <w:tc>
          <w:tcPr>
            <w:tcW w:w="1418" w:type="dxa"/>
          </w:tcPr>
          <w:p w:rsidR="000923E8" w:rsidRPr="0041552A" w:rsidRDefault="000923E8" w:rsidP="0041552A">
            <w:pPr>
              <w:pStyle w:val="AERtabletext-numbers"/>
              <w:rPr>
                <w:rStyle w:val="AERbody"/>
                <w:sz w:val="16"/>
              </w:rPr>
            </w:pPr>
          </w:p>
        </w:tc>
        <w:tc>
          <w:tcPr>
            <w:tcW w:w="1479" w:type="dxa"/>
          </w:tcPr>
          <w:p w:rsidR="000923E8" w:rsidRPr="0041552A" w:rsidRDefault="000923E8" w:rsidP="0041552A">
            <w:pPr>
              <w:pStyle w:val="AERtabletext-numbers"/>
              <w:rPr>
                <w:rStyle w:val="AERbody"/>
                <w:sz w:val="16"/>
              </w:rPr>
            </w:pPr>
            <w:r w:rsidRPr="0041552A">
              <w:rPr>
                <w:rStyle w:val="AERbody"/>
                <w:sz w:val="16"/>
              </w:rPr>
              <w:t>–</w:t>
            </w:r>
          </w:p>
        </w:tc>
      </w:tr>
      <w:tr w:rsidR="000923E8" w:rsidTr="000923E8">
        <w:trPr>
          <w:cnfStyle w:val="000000010000"/>
        </w:trPr>
        <w:tc>
          <w:tcPr>
            <w:tcW w:w="4503" w:type="dxa"/>
          </w:tcPr>
          <w:p w:rsidR="000923E8" w:rsidRPr="0041552A" w:rsidRDefault="000923E8" w:rsidP="0041552A">
            <w:pPr>
              <w:pStyle w:val="AERtabletext"/>
              <w:rPr>
                <w:rStyle w:val="AERbody"/>
                <w:sz w:val="16"/>
              </w:rPr>
            </w:pPr>
            <w:r w:rsidRPr="0041552A">
              <w:rPr>
                <w:rStyle w:val="AERbody"/>
                <w:sz w:val="16"/>
              </w:rPr>
              <w:t>IT opex</w:t>
            </w:r>
          </w:p>
        </w:tc>
        <w:tc>
          <w:tcPr>
            <w:tcW w:w="1842" w:type="dxa"/>
          </w:tcPr>
          <w:p w:rsidR="000923E8" w:rsidRPr="0041552A" w:rsidRDefault="000923E8" w:rsidP="0041552A">
            <w:pPr>
              <w:pStyle w:val="AERtabletext-numbers"/>
              <w:rPr>
                <w:rStyle w:val="AERbody"/>
                <w:sz w:val="16"/>
              </w:rPr>
            </w:pPr>
            <w:r w:rsidRPr="0041552A">
              <w:rPr>
                <w:rStyle w:val="AERbody"/>
                <w:sz w:val="16"/>
              </w:rPr>
              <w:t>2.7</w:t>
            </w:r>
          </w:p>
        </w:tc>
        <w:tc>
          <w:tcPr>
            <w:tcW w:w="1418" w:type="dxa"/>
          </w:tcPr>
          <w:p w:rsidR="000923E8" w:rsidRPr="0041552A" w:rsidRDefault="000923E8" w:rsidP="0041552A">
            <w:pPr>
              <w:pStyle w:val="AERtabletext-numbers"/>
              <w:rPr>
                <w:rStyle w:val="AERbody"/>
                <w:sz w:val="16"/>
              </w:rPr>
            </w:pPr>
          </w:p>
        </w:tc>
        <w:tc>
          <w:tcPr>
            <w:tcW w:w="1479" w:type="dxa"/>
          </w:tcPr>
          <w:p w:rsidR="000923E8" w:rsidRPr="0041552A" w:rsidRDefault="000923E8" w:rsidP="0041552A">
            <w:pPr>
              <w:pStyle w:val="AERtabletext-numbers"/>
              <w:rPr>
                <w:rStyle w:val="AERbody"/>
                <w:sz w:val="16"/>
              </w:rPr>
            </w:pPr>
            <w:r w:rsidRPr="0041552A">
              <w:rPr>
                <w:rStyle w:val="AERbody"/>
                <w:sz w:val="16"/>
              </w:rPr>
              <w:t>–</w:t>
            </w:r>
          </w:p>
        </w:tc>
      </w:tr>
      <w:tr w:rsidR="000923E8" w:rsidTr="000923E8">
        <w:tc>
          <w:tcPr>
            <w:tcW w:w="4503" w:type="dxa"/>
          </w:tcPr>
          <w:p w:rsidR="000923E8" w:rsidRPr="0041552A" w:rsidRDefault="000923E8" w:rsidP="0041552A">
            <w:pPr>
              <w:pStyle w:val="AERtabletext"/>
              <w:rPr>
                <w:rStyle w:val="AERtextbold"/>
              </w:rPr>
            </w:pPr>
            <w:r w:rsidRPr="0041552A">
              <w:rPr>
                <w:rStyle w:val="AERtextbold"/>
              </w:rPr>
              <w:t>Total opex</w:t>
            </w:r>
          </w:p>
        </w:tc>
        <w:tc>
          <w:tcPr>
            <w:tcW w:w="1842" w:type="dxa"/>
          </w:tcPr>
          <w:p w:rsidR="000923E8" w:rsidRPr="0041552A" w:rsidRDefault="000923E8" w:rsidP="0041552A">
            <w:pPr>
              <w:pStyle w:val="AERtabletext-numbers"/>
              <w:rPr>
                <w:rStyle w:val="AERtextbold"/>
              </w:rPr>
            </w:pPr>
            <w:r w:rsidRPr="0041552A">
              <w:rPr>
                <w:rStyle w:val="AERtextbold"/>
              </w:rPr>
              <w:t>28.2</w:t>
            </w:r>
          </w:p>
        </w:tc>
        <w:tc>
          <w:tcPr>
            <w:tcW w:w="1418" w:type="dxa"/>
          </w:tcPr>
          <w:p w:rsidR="000923E8" w:rsidRPr="0041552A" w:rsidRDefault="000923E8" w:rsidP="0041552A">
            <w:pPr>
              <w:pStyle w:val="AERtabletext-numbers"/>
              <w:rPr>
                <w:rStyle w:val="AERtextbold"/>
              </w:rPr>
            </w:pPr>
          </w:p>
        </w:tc>
        <w:tc>
          <w:tcPr>
            <w:tcW w:w="1479" w:type="dxa"/>
          </w:tcPr>
          <w:p w:rsidR="000923E8" w:rsidRPr="0041552A" w:rsidRDefault="000923E8" w:rsidP="0041552A">
            <w:pPr>
              <w:pStyle w:val="AERtabletext-numbers"/>
              <w:rPr>
                <w:rStyle w:val="AERtextbold"/>
              </w:rPr>
            </w:pPr>
            <w:r w:rsidRPr="0041552A">
              <w:rPr>
                <w:rStyle w:val="AERtextbold"/>
              </w:rPr>
              <w:t>–</w:t>
            </w:r>
          </w:p>
        </w:tc>
      </w:tr>
      <w:tr w:rsidR="000923E8" w:rsidRPr="00BE417F" w:rsidTr="000923E8">
        <w:trPr>
          <w:cnfStyle w:val="000000010000"/>
        </w:trPr>
        <w:tc>
          <w:tcPr>
            <w:tcW w:w="4503" w:type="dxa"/>
          </w:tcPr>
          <w:p w:rsidR="000923E8" w:rsidRPr="00BE417F" w:rsidRDefault="000923E8" w:rsidP="00BE417F">
            <w:pPr>
              <w:pStyle w:val="AERtabletext"/>
              <w:rPr>
                <w:rStyle w:val="AERtextbold"/>
                <w:b w:val="0"/>
              </w:rPr>
            </w:pPr>
            <w:r>
              <w:rPr>
                <w:rStyle w:val="AERtextbold"/>
              </w:rPr>
              <w:t>Total AMI switching costs</w:t>
            </w:r>
          </w:p>
        </w:tc>
        <w:tc>
          <w:tcPr>
            <w:tcW w:w="1842" w:type="dxa"/>
          </w:tcPr>
          <w:p w:rsidR="000923E8" w:rsidRPr="00BE417F" w:rsidRDefault="000923E8" w:rsidP="00BE417F">
            <w:pPr>
              <w:pStyle w:val="AERtabletext-numbers"/>
              <w:rPr>
                <w:rStyle w:val="AERtextbold"/>
                <w:b w:val="0"/>
              </w:rPr>
            </w:pPr>
            <w:r>
              <w:rPr>
                <w:rStyle w:val="AERtextbold"/>
              </w:rPr>
              <w:t>97.7</w:t>
            </w:r>
          </w:p>
        </w:tc>
        <w:tc>
          <w:tcPr>
            <w:tcW w:w="1418" w:type="dxa"/>
          </w:tcPr>
          <w:p w:rsidR="000923E8" w:rsidDel="00E45D98" w:rsidRDefault="000923E8" w:rsidP="00BE417F">
            <w:pPr>
              <w:pStyle w:val="AERtabletext-numbers"/>
              <w:rPr>
                <w:rStyle w:val="AERtextbold"/>
              </w:rPr>
            </w:pPr>
            <w:r>
              <w:rPr>
                <w:rStyle w:val="AERtextbold"/>
              </w:rPr>
              <w:t>4.2</w:t>
            </w:r>
          </w:p>
        </w:tc>
        <w:tc>
          <w:tcPr>
            <w:tcW w:w="1479" w:type="dxa"/>
          </w:tcPr>
          <w:p w:rsidR="000923E8" w:rsidRPr="00BE417F" w:rsidRDefault="000923E8" w:rsidP="00BE417F">
            <w:pPr>
              <w:pStyle w:val="AERtabletext-numbers"/>
              <w:rPr>
                <w:rStyle w:val="AERtextbold"/>
                <w:b w:val="0"/>
              </w:rPr>
            </w:pPr>
            <w:r>
              <w:rPr>
                <w:rStyle w:val="AERtextbold"/>
              </w:rPr>
              <w:t>11.7</w:t>
            </w:r>
          </w:p>
        </w:tc>
      </w:tr>
      <w:tr w:rsidR="000923E8" w:rsidRPr="00BE417F" w:rsidTr="000923E8">
        <w:tc>
          <w:tcPr>
            <w:tcW w:w="4503" w:type="dxa"/>
          </w:tcPr>
          <w:p w:rsidR="000923E8" w:rsidRPr="00BE417F" w:rsidRDefault="000923E8" w:rsidP="00BE417F">
            <w:pPr>
              <w:pStyle w:val="AERtabletext"/>
              <w:rPr>
                <w:rStyle w:val="AERtextbold"/>
                <w:b w:val="0"/>
              </w:rPr>
            </w:pPr>
            <w:r w:rsidRPr="00BE417F">
              <w:rPr>
                <w:rStyle w:val="AERtextbold"/>
                <w:b w:val="0"/>
              </w:rPr>
              <w:t>Other business stream costs</w:t>
            </w:r>
          </w:p>
        </w:tc>
        <w:tc>
          <w:tcPr>
            <w:tcW w:w="1842" w:type="dxa"/>
          </w:tcPr>
          <w:p w:rsidR="000923E8" w:rsidRPr="00BE417F" w:rsidRDefault="000923E8" w:rsidP="00BE417F">
            <w:pPr>
              <w:pStyle w:val="AERtabletext-numbers"/>
              <w:rPr>
                <w:rStyle w:val="AERtextbold"/>
                <w:b w:val="0"/>
              </w:rPr>
            </w:pPr>
            <w:r w:rsidRPr="00BE417F">
              <w:rPr>
                <w:rStyle w:val="AERtextbold"/>
                <w:b w:val="0"/>
              </w:rPr>
              <w:t>9.5</w:t>
            </w:r>
          </w:p>
        </w:tc>
        <w:tc>
          <w:tcPr>
            <w:tcW w:w="1418" w:type="dxa"/>
          </w:tcPr>
          <w:p w:rsidR="000923E8" w:rsidRPr="00BE417F" w:rsidRDefault="000923E8" w:rsidP="00BE417F">
            <w:pPr>
              <w:pStyle w:val="AERtabletext-numbers"/>
              <w:rPr>
                <w:rStyle w:val="AERtextbold"/>
                <w:b w:val="0"/>
              </w:rPr>
            </w:pPr>
          </w:p>
        </w:tc>
        <w:tc>
          <w:tcPr>
            <w:tcW w:w="1479" w:type="dxa"/>
          </w:tcPr>
          <w:p w:rsidR="000923E8" w:rsidRPr="00BE417F" w:rsidRDefault="000923E8" w:rsidP="00BE417F">
            <w:pPr>
              <w:pStyle w:val="AERtabletext-numbers"/>
              <w:rPr>
                <w:rStyle w:val="AERtextbold"/>
                <w:b w:val="0"/>
              </w:rPr>
            </w:pPr>
            <w:r w:rsidRPr="00BE417F">
              <w:rPr>
                <w:rStyle w:val="AERtextbold"/>
                <w:b w:val="0"/>
              </w:rPr>
              <w:t>–</w:t>
            </w:r>
          </w:p>
        </w:tc>
      </w:tr>
      <w:tr w:rsidR="000923E8" w:rsidTr="000923E8">
        <w:trPr>
          <w:cnfStyle w:val="000000010000"/>
        </w:trPr>
        <w:tc>
          <w:tcPr>
            <w:tcW w:w="4503" w:type="dxa"/>
          </w:tcPr>
          <w:p w:rsidR="000923E8" w:rsidRPr="0041552A" w:rsidRDefault="000923E8" w:rsidP="0041552A">
            <w:pPr>
              <w:pStyle w:val="AERtabletext"/>
              <w:rPr>
                <w:rStyle w:val="AERtextbold"/>
              </w:rPr>
            </w:pPr>
            <w:r w:rsidRPr="0041552A">
              <w:rPr>
                <w:rStyle w:val="AERtextbold"/>
              </w:rPr>
              <w:t>Total switching costs</w:t>
            </w:r>
          </w:p>
        </w:tc>
        <w:tc>
          <w:tcPr>
            <w:tcW w:w="1842" w:type="dxa"/>
          </w:tcPr>
          <w:p w:rsidR="000923E8" w:rsidRPr="0041552A" w:rsidRDefault="000923E8" w:rsidP="0041552A">
            <w:pPr>
              <w:pStyle w:val="AERtabletext-numbers"/>
              <w:rPr>
                <w:rStyle w:val="AERtextbold"/>
              </w:rPr>
            </w:pPr>
            <w:r>
              <w:rPr>
                <w:rStyle w:val="AERtextbold"/>
              </w:rPr>
              <w:t>107.2</w:t>
            </w:r>
          </w:p>
        </w:tc>
        <w:tc>
          <w:tcPr>
            <w:tcW w:w="1418" w:type="dxa"/>
          </w:tcPr>
          <w:p w:rsidR="000923E8" w:rsidDel="00C72251" w:rsidRDefault="000923E8" w:rsidP="0041552A">
            <w:pPr>
              <w:pStyle w:val="AERtabletext-numbers"/>
              <w:rPr>
                <w:rStyle w:val="AERtextbold"/>
              </w:rPr>
            </w:pPr>
            <w:r>
              <w:rPr>
                <w:rStyle w:val="AERtextbold"/>
              </w:rPr>
              <w:t>4.2</w:t>
            </w:r>
          </w:p>
        </w:tc>
        <w:tc>
          <w:tcPr>
            <w:tcW w:w="1479" w:type="dxa"/>
          </w:tcPr>
          <w:p w:rsidR="000923E8" w:rsidRPr="0041552A" w:rsidRDefault="000923E8" w:rsidP="0041552A">
            <w:pPr>
              <w:pStyle w:val="AERtabletext-numbers"/>
              <w:rPr>
                <w:rStyle w:val="AERtextbold"/>
              </w:rPr>
            </w:pPr>
            <w:r>
              <w:rPr>
                <w:rStyle w:val="AERtextbold"/>
              </w:rPr>
              <w:t>11.7</w:t>
            </w:r>
          </w:p>
        </w:tc>
      </w:tr>
    </w:tbl>
    <w:p w:rsidR="002F6F14" w:rsidRPr="00A9168F" w:rsidRDefault="00A9168F" w:rsidP="001D4F3A">
      <w:pPr>
        <w:pStyle w:val="AERtablesource"/>
        <w:rPr>
          <w:rStyle w:val="AERbody"/>
          <w:sz w:val="16"/>
        </w:rPr>
      </w:pPr>
      <w:r w:rsidRPr="00A9168F">
        <w:rPr>
          <w:rStyle w:val="AERbody"/>
          <w:sz w:val="16"/>
        </w:rPr>
        <w:t>Source:</w:t>
      </w:r>
      <w:r w:rsidRPr="00A9168F">
        <w:rPr>
          <w:rStyle w:val="AERbody"/>
          <w:sz w:val="16"/>
        </w:rPr>
        <w:tab/>
        <w:t xml:space="preserve">SP AusNet, </w:t>
      </w:r>
      <w:r w:rsidRPr="00166069">
        <w:rPr>
          <w:rStyle w:val="AERtextitalic"/>
        </w:rPr>
        <w:t>Reconsideration Submission</w:t>
      </w:r>
      <w:r w:rsidRPr="00A9168F">
        <w:rPr>
          <w:rStyle w:val="AERbody"/>
          <w:sz w:val="16"/>
        </w:rPr>
        <w:t>, 5 June 2012</w:t>
      </w:r>
      <w:r w:rsidR="001D4F3A">
        <w:rPr>
          <w:rStyle w:val="AERbody"/>
        </w:rPr>
        <w:t xml:space="preserve">, </w:t>
      </w:r>
      <w:r w:rsidR="001D4F3A" w:rsidRPr="001D4F3A">
        <w:rPr>
          <w:rStyle w:val="AERbody"/>
          <w:sz w:val="16"/>
        </w:rPr>
        <w:t>p. 24</w:t>
      </w:r>
      <w:r w:rsidRPr="00A9168F">
        <w:rPr>
          <w:rStyle w:val="AERbody"/>
          <w:sz w:val="16"/>
        </w:rPr>
        <w:t>; AER analysis.</w:t>
      </w:r>
    </w:p>
    <w:p w:rsidR="00AF08C9" w:rsidRPr="00AF08C9" w:rsidRDefault="00AF08C9" w:rsidP="00AF08C9">
      <w:pPr>
        <w:pStyle w:val="AERheading3"/>
        <w:rPr>
          <w:rStyle w:val="AERbody"/>
          <w:color w:val="F2750E"/>
          <w:sz w:val="24"/>
        </w:rPr>
      </w:pPr>
      <w:r w:rsidRPr="00AF08C9">
        <w:rPr>
          <w:rStyle w:val="AERbody"/>
          <w:color w:val="F2750E"/>
          <w:sz w:val="24"/>
        </w:rPr>
        <w:t>Results of quantitative assessment</w:t>
      </w:r>
    </w:p>
    <w:p w:rsidR="007F1361" w:rsidRDefault="00A9168F">
      <w:pPr>
        <w:pStyle w:val="AERbodytext"/>
      </w:pPr>
      <w:r>
        <w:rPr>
          <w:rStyle w:val="AERbody"/>
        </w:rPr>
        <w:t xml:space="preserve">The AER's quantitative analysis </w:t>
      </w:r>
      <w:r w:rsidR="00992A73">
        <w:rPr>
          <w:rStyle w:val="AERbody"/>
        </w:rPr>
        <w:t xml:space="preserve">reveals </w:t>
      </w:r>
      <w:r>
        <w:rPr>
          <w:rStyle w:val="AERbody"/>
        </w:rPr>
        <w:t xml:space="preserve">that the costs a reasonable business in SP AusNet's circumstances would incur to switch from WiMAX to mesh radio following reconsideration </w:t>
      </w:r>
      <w:r w:rsidR="00992A73">
        <w:rPr>
          <w:rStyle w:val="AERbody"/>
        </w:rPr>
        <w:t xml:space="preserve">on </w:t>
      </w:r>
      <w:r>
        <w:rPr>
          <w:rStyle w:val="AERbody"/>
        </w:rPr>
        <w:t xml:space="preserve">28 February 2011 would be substantially lower than </w:t>
      </w:r>
      <w:r w:rsidR="00886109">
        <w:rPr>
          <w:rStyle w:val="AERbody"/>
        </w:rPr>
        <w:t>if it continued its rollout with WiMAX</w:t>
      </w:r>
      <w:r>
        <w:rPr>
          <w:rStyle w:val="AERbody"/>
        </w:rPr>
        <w:t xml:space="preserve">. The AER's </w:t>
      </w:r>
      <w:r w:rsidR="00DD7CCF">
        <w:rPr>
          <w:rStyle w:val="AERbody"/>
        </w:rPr>
        <w:t xml:space="preserve">net present value analysis (summarised in </w:t>
      </w:r>
      <w:r w:rsidR="00AF0E53">
        <w:rPr>
          <w:rStyle w:val="AERbody"/>
        </w:rPr>
        <w:t>Table 1.5</w:t>
      </w:r>
      <w:r w:rsidR="00DD7CCF">
        <w:rPr>
          <w:rStyle w:val="AERbody"/>
        </w:rPr>
        <w:t xml:space="preserve">) shows that </w:t>
      </w:r>
      <w:r w:rsidR="00224133">
        <w:rPr>
          <w:rStyle w:val="AERbody"/>
        </w:rPr>
        <w:t xml:space="preserve">(for communications solution related costs) </w:t>
      </w:r>
      <w:r w:rsidR="009054ED">
        <w:rPr>
          <w:rStyle w:val="AERbody"/>
        </w:rPr>
        <w:t>WiMAX would be $</w:t>
      </w:r>
      <w:r w:rsidR="0095490F">
        <w:rPr>
          <w:rStyle w:val="AERbody"/>
        </w:rPr>
        <w:t>117.5</w:t>
      </w:r>
      <w:r w:rsidR="009054ED">
        <w:rPr>
          <w:rStyle w:val="AERbody"/>
        </w:rPr>
        <w:t xml:space="preserve"> million (</w:t>
      </w:r>
      <w:r w:rsidR="0095490F">
        <w:rPr>
          <w:rStyle w:val="AERbody"/>
        </w:rPr>
        <w:t xml:space="preserve">58 </w:t>
      </w:r>
      <w:r w:rsidR="00DD7CCF">
        <w:rPr>
          <w:rStyle w:val="AERbody"/>
        </w:rPr>
        <w:t xml:space="preserve">per cent) higher than mesh radio over the 15 years from 2011 to 2025. </w:t>
      </w:r>
      <w:bookmarkStart w:id="23" w:name="_Ref331346596"/>
    </w:p>
    <w:p w:rsidR="00625D3F" w:rsidRDefault="00886109">
      <w:pPr>
        <w:pStyle w:val="AERtabletitle"/>
      </w:pPr>
      <w:bookmarkStart w:id="24" w:name="_Ref332288961"/>
      <w:r>
        <w:t xml:space="preserve">15 year </w:t>
      </w:r>
      <w:r w:rsidR="00DD7CCF">
        <w:t>NPV</w:t>
      </w:r>
      <w:r>
        <w:t xml:space="preserve"> comparison of WiMAX and mesh radio ($million</w:t>
      </w:r>
      <w:r w:rsidR="007542B6">
        <w:t xml:space="preserve">, </w:t>
      </w:r>
      <w:r w:rsidR="004F3608">
        <w:t xml:space="preserve">discounted </w:t>
      </w:r>
      <w:r w:rsidR="007542B6">
        <w:t>real 2011</w:t>
      </w:r>
      <w:r>
        <w:t>)</w:t>
      </w:r>
      <w:bookmarkEnd w:id="23"/>
      <w:bookmarkEnd w:id="24"/>
    </w:p>
    <w:tbl>
      <w:tblPr>
        <w:tblStyle w:val="AERtable-numbers"/>
        <w:tblW w:w="5000" w:type="pct"/>
        <w:tblLook w:val="0020"/>
      </w:tblPr>
      <w:tblGrid>
        <w:gridCol w:w="1238"/>
        <w:gridCol w:w="2002"/>
        <w:gridCol w:w="2002"/>
        <w:gridCol w:w="2000"/>
        <w:gridCol w:w="2000"/>
      </w:tblGrid>
      <w:tr w:rsidR="00224133" w:rsidTr="00224133">
        <w:trPr>
          <w:cnfStyle w:val="100000000000"/>
        </w:trPr>
        <w:tc>
          <w:tcPr>
            <w:tcW w:w="670" w:type="pct"/>
          </w:tcPr>
          <w:p w:rsidR="00224133" w:rsidRDefault="00224133" w:rsidP="00EB4044">
            <w:pPr>
              <w:pStyle w:val="AERtabletext"/>
            </w:pPr>
          </w:p>
        </w:tc>
        <w:tc>
          <w:tcPr>
            <w:tcW w:w="1083" w:type="pct"/>
          </w:tcPr>
          <w:p w:rsidR="00224133" w:rsidRPr="00886109" w:rsidRDefault="00224133" w:rsidP="00886109">
            <w:pPr>
              <w:pStyle w:val="AERtabletextheadingright"/>
            </w:pPr>
            <w:r>
              <w:t>WiMAX (2011–25)</w:t>
            </w:r>
          </w:p>
        </w:tc>
        <w:tc>
          <w:tcPr>
            <w:tcW w:w="1083" w:type="pct"/>
          </w:tcPr>
          <w:p w:rsidR="00224133" w:rsidRPr="00886109" w:rsidRDefault="00224133" w:rsidP="00886109">
            <w:pPr>
              <w:pStyle w:val="AERtabletextheadingright"/>
            </w:pPr>
            <w:r>
              <w:t>Mesh radio (2011-25)</w:t>
            </w:r>
          </w:p>
        </w:tc>
        <w:tc>
          <w:tcPr>
            <w:tcW w:w="1082" w:type="pct"/>
          </w:tcPr>
          <w:p w:rsidR="00224133" w:rsidRDefault="00224133" w:rsidP="00886109">
            <w:pPr>
              <w:pStyle w:val="AERtabletextheadingright"/>
            </w:pPr>
            <w:r>
              <w:t>Difference</w:t>
            </w:r>
          </w:p>
        </w:tc>
        <w:tc>
          <w:tcPr>
            <w:tcW w:w="1082" w:type="pct"/>
          </w:tcPr>
          <w:p w:rsidR="00224133" w:rsidRDefault="00224133" w:rsidP="00886109">
            <w:pPr>
              <w:pStyle w:val="AERtabletextheadingright"/>
            </w:pPr>
            <w:r>
              <w:t>% difference</w:t>
            </w:r>
          </w:p>
        </w:tc>
      </w:tr>
      <w:tr w:rsidR="00224133" w:rsidTr="00224133">
        <w:tc>
          <w:tcPr>
            <w:tcW w:w="670" w:type="pct"/>
          </w:tcPr>
          <w:p w:rsidR="00224133" w:rsidRPr="0095490F" w:rsidRDefault="00224133" w:rsidP="0095490F">
            <w:pPr>
              <w:pStyle w:val="AERtabletext"/>
            </w:pPr>
            <w:r w:rsidRPr="0095490F">
              <w:t>Capex</w:t>
            </w:r>
          </w:p>
        </w:tc>
        <w:tc>
          <w:tcPr>
            <w:tcW w:w="1083" w:type="pct"/>
            <w:vAlign w:val="bottom"/>
          </w:tcPr>
          <w:p w:rsidR="00224133" w:rsidRPr="0095490F" w:rsidRDefault="00224133" w:rsidP="0095490F">
            <w:pPr>
              <w:pStyle w:val="AERtabletext-numbers"/>
            </w:pPr>
            <w:r w:rsidRPr="0095490F">
              <w:t>208.5</w:t>
            </w:r>
          </w:p>
        </w:tc>
        <w:tc>
          <w:tcPr>
            <w:tcW w:w="1083" w:type="pct"/>
            <w:vAlign w:val="bottom"/>
          </w:tcPr>
          <w:p w:rsidR="00224133" w:rsidRPr="0095490F" w:rsidRDefault="00224133" w:rsidP="0095490F">
            <w:pPr>
              <w:pStyle w:val="AERtabletext-numbers"/>
            </w:pPr>
            <w:r w:rsidRPr="0095490F">
              <w:t>126.8</w:t>
            </w:r>
          </w:p>
        </w:tc>
        <w:tc>
          <w:tcPr>
            <w:tcW w:w="1082" w:type="pct"/>
            <w:vAlign w:val="bottom"/>
          </w:tcPr>
          <w:p w:rsidR="00224133" w:rsidRPr="0095490F" w:rsidRDefault="00224133" w:rsidP="0095490F">
            <w:pPr>
              <w:pStyle w:val="AERtabletext-numbers"/>
            </w:pPr>
            <w:r w:rsidRPr="0095490F">
              <w:t>81.8</w:t>
            </w:r>
          </w:p>
        </w:tc>
        <w:tc>
          <w:tcPr>
            <w:tcW w:w="1082" w:type="pct"/>
          </w:tcPr>
          <w:p w:rsidR="00224133" w:rsidRPr="0095490F" w:rsidRDefault="00224133" w:rsidP="00224133">
            <w:pPr>
              <w:pStyle w:val="AERtabletext-numbers"/>
            </w:pPr>
            <w:r>
              <w:t>65%</w:t>
            </w:r>
          </w:p>
        </w:tc>
      </w:tr>
      <w:tr w:rsidR="00224133" w:rsidTr="00224133">
        <w:trPr>
          <w:cnfStyle w:val="000000010000"/>
        </w:trPr>
        <w:tc>
          <w:tcPr>
            <w:tcW w:w="670" w:type="pct"/>
          </w:tcPr>
          <w:p w:rsidR="00224133" w:rsidRPr="0095490F" w:rsidRDefault="00224133" w:rsidP="0095490F">
            <w:pPr>
              <w:pStyle w:val="AERtabletext"/>
            </w:pPr>
            <w:r w:rsidRPr="0095490F">
              <w:t>Opex</w:t>
            </w:r>
          </w:p>
        </w:tc>
        <w:tc>
          <w:tcPr>
            <w:tcW w:w="1083" w:type="pct"/>
            <w:vAlign w:val="bottom"/>
          </w:tcPr>
          <w:p w:rsidR="00224133" w:rsidRPr="0095490F" w:rsidRDefault="00224133" w:rsidP="0095490F">
            <w:pPr>
              <w:pStyle w:val="AERtabletext-numbers"/>
            </w:pPr>
            <w:r w:rsidRPr="0095490F">
              <w:t>110.1</w:t>
            </w:r>
          </w:p>
        </w:tc>
        <w:tc>
          <w:tcPr>
            <w:tcW w:w="1083" w:type="pct"/>
            <w:vAlign w:val="bottom"/>
          </w:tcPr>
          <w:p w:rsidR="00224133" w:rsidRPr="0095490F" w:rsidRDefault="00224133" w:rsidP="0095490F">
            <w:pPr>
              <w:pStyle w:val="AERtabletext-numbers"/>
            </w:pPr>
            <w:r w:rsidRPr="0095490F">
              <w:t>74.4</w:t>
            </w:r>
          </w:p>
        </w:tc>
        <w:tc>
          <w:tcPr>
            <w:tcW w:w="1082" w:type="pct"/>
            <w:vAlign w:val="bottom"/>
          </w:tcPr>
          <w:p w:rsidR="00224133" w:rsidRPr="0095490F" w:rsidRDefault="00224133" w:rsidP="0095490F">
            <w:pPr>
              <w:pStyle w:val="AERtabletext-numbers"/>
            </w:pPr>
            <w:r w:rsidRPr="0095490F">
              <w:t>35.7</w:t>
            </w:r>
          </w:p>
        </w:tc>
        <w:tc>
          <w:tcPr>
            <w:tcW w:w="1082" w:type="pct"/>
          </w:tcPr>
          <w:p w:rsidR="00224133" w:rsidRPr="0095490F" w:rsidRDefault="00224133" w:rsidP="00224133">
            <w:pPr>
              <w:pStyle w:val="AERtabletext-numbers"/>
            </w:pPr>
            <w:r>
              <w:t>48%</w:t>
            </w:r>
          </w:p>
        </w:tc>
      </w:tr>
      <w:tr w:rsidR="00224133" w:rsidTr="00224133">
        <w:tc>
          <w:tcPr>
            <w:tcW w:w="670" w:type="pct"/>
          </w:tcPr>
          <w:p w:rsidR="00224133" w:rsidRPr="0095490F" w:rsidRDefault="00224133" w:rsidP="0095490F">
            <w:pPr>
              <w:pStyle w:val="AERtabletext"/>
              <w:rPr>
                <w:rStyle w:val="AERtextbold"/>
              </w:rPr>
            </w:pPr>
            <w:r w:rsidRPr="0095490F">
              <w:rPr>
                <w:rStyle w:val="AERtextbold"/>
              </w:rPr>
              <w:t>Total</w:t>
            </w:r>
          </w:p>
        </w:tc>
        <w:tc>
          <w:tcPr>
            <w:tcW w:w="1083" w:type="pct"/>
            <w:vAlign w:val="bottom"/>
          </w:tcPr>
          <w:p w:rsidR="00224133" w:rsidRPr="0095490F" w:rsidRDefault="00224133" w:rsidP="0095490F">
            <w:pPr>
              <w:pStyle w:val="AERtabletext-numbers"/>
              <w:rPr>
                <w:rStyle w:val="AERtextbold"/>
              </w:rPr>
            </w:pPr>
            <w:r w:rsidRPr="0095490F">
              <w:rPr>
                <w:rStyle w:val="AERtextbold"/>
              </w:rPr>
              <w:t>318.6</w:t>
            </w:r>
          </w:p>
        </w:tc>
        <w:tc>
          <w:tcPr>
            <w:tcW w:w="1083" w:type="pct"/>
            <w:vAlign w:val="bottom"/>
          </w:tcPr>
          <w:p w:rsidR="00224133" w:rsidRPr="0095490F" w:rsidRDefault="00224133" w:rsidP="0095490F">
            <w:pPr>
              <w:pStyle w:val="AERtabletext-numbers"/>
              <w:rPr>
                <w:rStyle w:val="AERtextbold"/>
              </w:rPr>
            </w:pPr>
            <w:r w:rsidRPr="0095490F">
              <w:rPr>
                <w:rStyle w:val="AERtextbold"/>
              </w:rPr>
              <w:t>201.1</w:t>
            </w:r>
          </w:p>
        </w:tc>
        <w:tc>
          <w:tcPr>
            <w:tcW w:w="1082" w:type="pct"/>
            <w:vAlign w:val="bottom"/>
          </w:tcPr>
          <w:p w:rsidR="00224133" w:rsidRPr="0095490F" w:rsidRDefault="00224133" w:rsidP="0095490F">
            <w:pPr>
              <w:pStyle w:val="AERtabletext-numbers"/>
              <w:rPr>
                <w:rStyle w:val="AERtextbold"/>
              </w:rPr>
            </w:pPr>
            <w:r w:rsidRPr="0095490F">
              <w:rPr>
                <w:rStyle w:val="AERtextbold"/>
              </w:rPr>
              <w:t>117.5</w:t>
            </w:r>
          </w:p>
        </w:tc>
        <w:tc>
          <w:tcPr>
            <w:tcW w:w="1082" w:type="pct"/>
          </w:tcPr>
          <w:p w:rsidR="00224133" w:rsidRPr="0095490F" w:rsidRDefault="00224133" w:rsidP="00224133">
            <w:pPr>
              <w:pStyle w:val="AERtabletext-numbers"/>
              <w:rPr>
                <w:rStyle w:val="AERtextbold"/>
              </w:rPr>
            </w:pPr>
            <w:r>
              <w:rPr>
                <w:rStyle w:val="AERtextbold"/>
              </w:rPr>
              <w:t>58%</w:t>
            </w:r>
          </w:p>
        </w:tc>
      </w:tr>
    </w:tbl>
    <w:p w:rsidR="00886109" w:rsidRPr="00110043" w:rsidRDefault="00886109" w:rsidP="00886109">
      <w:pPr>
        <w:pStyle w:val="AERtablesource"/>
        <w:rPr>
          <w:rStyle w:val="AERtablesourceCharChar"/>
        </w:rPr>
      </w:pPr>
      <w:r w:rsidRPr="00110043">
        <w:rPr>
          <w:rStyle w:val="AERtablesourceCharChar"/>
        </w:rPr>
        <w:t>Source:</w:t>
      </w:r>
      <w:r w:rsidRPr="00110043">
        <w:rPr>
          <w:rStyle w:val="AERtablesourceCharChar"/>
        </w:rPr>
        <w:tab/>
        <w:t>AER analysis.</w:t>
      </w:r>
    </w:p>
    <w:p w:rsidR="00224133" w:rsidRDefault="00224133" w:rsidP="004F1A11">
      <w:pPr>
        <w:pStyle w:val="AERbodytext"/>
        <w:rPr>
          <w:rStyle w:val="AERbody"/>
        </w:rPr>
      </w:pPr>
      <w:r>
        <w:rPr>
          <w:rStyle w:val="AERbody"/>
        </w:rPr>
        <w:t>The key driver</w:t>
      </w:r>
      <w:r w:rsidR="00316DFF">
        <w:rPr>
          <w:rStyle w:val="AERbody"/>
        </w:rPr>
        <w:t>s</w:t>
      </w:r>
      <w:r>
        <w:rPr>
          <w:rStyle w:val="AERbody"/>
        </w:rPr>
        <w:t xml:space="preserve"> of the higher costs of </w:t>
      </w:r>
      <w:r w:rsidR="00316DFF">
        <w:rPr>
          <w:rStyle w:val="AERbody"/>
        </w:rPr>
        <w:t>WiMAX compared to mesh are:</w:t>
      </w:r>
    </w:p>
    <w:p w:rsidR="007F1361" w:rsidRDefault="00316DFF">
      <w:pPr>
        <w:pStyle w:val="AERbulletlistfirststyle"/>
        <w:rPr>
          <w:rStyle w:val="AERbody"/>
        </w:rPr>
      </w:pPr>
      <w:r>
        <w:rPr>
          <w:rStyle w:val="AERbody"/>
        </w:rPr>
        <w:t>communications cards are more costly for WiMAX than for mesh, and the relatively poorer coverage of WiMAX means that there is greater reliance on the secondary 3G solution. 3G communications cards and antennas are even more expensive than for WiMAX. A greater reliance on 3G therefore results in a significantly higher capital outlay.</w:t>
      </w:r>
    </w:p>
    <w:p w:rsidR="007F1361" w:rsidRDefault="004D0DBF">
      <w:pPr>
        <w:pStyle w:val="AERbulletlistfirststyle"/>
        <w:rPr>
          <w:rStyle w:val="AERbody"/>
        </w:rPr>
      </w:pPr>
      <w:r>
        <w:rPr>
          <w:rStyle w:val="AERbody"/>
        </w:rPr>
        <w:t>similarly, WiMAX IT infrastructure is more costly. For example, SP AusNet's estimate of the cost to replace a WiMAX IT system is more than double that of JEN's estimate to replace a mesh IT system, scaled up to SP AusNet's customer numbers.</w:t>
      </w:r>
    </w:p>
    <w:p w:rsidR="007F1361" w:rsidRDefault="004D0DBF">
      <w:pPr>
        <w:pStyle w:val="AERbulletlistfirststyle"/>
        <w:rPr>
          <w:rStyle w:val="AERbody"/>
        </w:rPr>
      </w:pPr>
      <w:r>
        <w:rPr>
          <w:rStyle w:val="AERbody"/>
        </w:rPr>
        <w:t>the IT opex costs associated with WiMAX as proposed by SP AusNet are also significantly higher than those proposed by JEN to support its mesh IT solution, adjusted for SP AusNet's customer numbers.</w:t>
      </w:r>
    </w:p>
    <w:p w:rsidR="00886109" w:rsidRDefault="00AF0E53" w:rsidP="004F1A11">
      <w:pPr>
        <w:pStyle w:val="AERbodytext"/>
        <w:rPr>
          <w:rStyle w:val="AERbody"/>
        </w:rPr>
      </w:pPr>
      <w:r>
        <w:rPr>
          <w:rStyle w:val="AERbody"/>
        </w:rPr>
        <w:t>Figure 1.4</w:t>
      </w:r>
      <w:r w:rsidR="00E10CF5">
        <w:rPr>
          <w:rStyle w:val="AERbody"/>
        </w:rPr>
        <w:t xml:space="preserve"> compares the discounted costs of WiMAX and mesh radio</w:t>
      </w:r>
      <w:r w:rsidR="00BB33DA">
        <w:rPr>
          <w:rStyle w:val="AERbody"/>
        </w:rPr>
        <w:t xml:space="preserve"> over the 2011-15 period</w:t>
      </w:r>
      <w:r w:rsidR="00E10CF5">
        <w:rPr>
          <w:rStyle w:val="AERbody"/>
        </w:rPr>
        <w:t>.</w:t>
      </w:r>
    </w:p>
    <w:p w:rsidR="00537B84" w:rsidRDefault="007542B6" w:rsidP="00537B84">
      <w:pPr>
        <w:pStyle w:val="AERfigureheading"/>
        <w:rPr>
          <w:rStyle w:val="AERbody"/>
        </w:rPr>
      </w:pPr>
      <w:bookmarkStart w:id="25" w:name="_Ref331426469"/>
      <w:r>
        <w:rPr>
          <w:rStyle w:val="AERbody"/>
        </w:rPr>
        <w:t xml:space="preserve">Comparison of WiMAX and mesh radio costs </w:t>
      </w:r>
      <w:r w:rsidR="00E10CF5">
        <w:rPr>
          <w:rStyle w:val="AERbody"/>
        </w:rPr>
        <w:t xml:space="preserve">for </w:t>
      </w:r>
      <w:r>
        <w:rPr>
          <w:rStyle w:val="AERbody"/>
        </w:rPr>
        <w:t>2011–15 ($</w:t>
      </w:r>
      <w:r w:rsidR="000902A8">
        <w:rPr>
          <w:rStyle w:val="AERbody"/>
        </w:rPr>
        <w:t>million</w:t>
      </w:r>
      <w:r>
        <w:rPr>
          <w:rStyle w:val="AERbody"/>
        </w:rPr>
        <w:t xml:space="preserve">, </w:t>
      </w:r>
      <w:r w:rsidR="000902A8">
        <w:rPr>
          <w:rStyle w:val="AERbody"/>
        </w:rPr>
        <w:t>real 2011</w:t>
      </w:r>
      <w:r>
        <w:rPr>
          <w:rStyle w:val="AERbody"/>
        </w:rPr>
        <w:t>)</w:t>
      </w:r>
      <w:bookmarkEnd w:id="25"/>
    </w:p>
    <w:p w:rsidR="00DD7CCF" w:rsidRDefault="00FF22F8" w:rsidP="004F1A11">
      <w:pPr>
        <w:pStyle w:val="AERbodytext"/>
        <w:rPr>
          <w:rStyle w:val="AERbody"/>
        </w:rPr>
      </w:pPr>
      <w:r w:rsidRPr="00796207">
        <w:rPr>
          <w:rStyle w:val="AERbody"/>
        </w:rPr>
        <w:pict>
          <v:shape id="_x0000_i1028" type="#_x0000_t75" style="width:449.6pt;height:296.35pt">
            <v:imagedata r:id="rId16" o:title=""/>
          </v:shape>
        </w:pict>
      </w:r>
    </w:p>
    <w:p w:rsidR="000902A8" w:rsidRPr="000902A8" w:rsidRDefault="000902A8" w:rsidP="000902A8">
      <w:pPr>
        <w:pStyle w:val="AERtablesource"/>
        <w:rPr>
          <w:rStyle w:val="AERbody"/>
          <w:sz w:val="16"/>
        </w:rPr>
      </w:pPr>
      <w:r w:rsidRPr="000902A8">
        <w:rPr>
          <w:rStyle w:val="AERbody"/>
          <w:sz w:val="16"/>
        </w:rPr>
        <w:t>Source:</w:t>
      </w:r>
      <w:r w:rsidRPr="000902A8">
        <w:rPr>
          <w:rStyle w:val="AERbody"/>
          <w:sz w:val="16"/>
        </w:rPr>
        <w:tab/>
        <w:t>AER analysis.</w:t>
      </w:r>
    </w:p>
    <w:p w:rsidR="00DD7CCF" w:rsidRDefault="00D04EC9" w:rsidP="004F1A11">
      <w:pPr>
        <w:pStyle w:val="AERbodytext"/>
        <w:rPr>
          <w:rStyle w:val="AERbody"/>
        </w:rPr>
      </w:pPr>
      <w:r>
        <w:rPr>
          <w:rStyle w:val="AERbody"/>
        </w:rPr>
        <w:t xml:space="preserve">However, the AER must also have regard to the relevant qualitative factors as they inform SP AusNet's circumstances </w:t>
      </w:r>
      <w:r w:rsidR="00992A73">
        <w:rPr>
          <w:rStyle w:val="AERbody"/>
        </w:rPr>
        <w:t>in order to determine:</w:t>
      </w:r>
    </w:p>
    <w:p w:rsidR="00983E78" w:rsidRDefault="00992A73">
      <w:pPr>
        <w:pStyle w:val="AERbulletlistfirststyle"/>
        <w:rPr>
          <w:rStyle w:val="AERbody"/>
        </w:rPr>
      </w:pPr>
      <w:r>
        <w:rPr>
          <w:rStyle w:val="AERbody"/>
        </w:rPr>
        <w:t>whether the commercial standard a reasonable business would have exercised in the circumstances would have been to switch to mesh radio following a reconsideration on 28 February 2011</w:t>
      </w:r>
    </w:p>
    <w:p w:rsidR="00983E78" w:rsidRDefault="00992A73">
      <w:pPr>
        <w:pStyle w:val="AERbulletlistfirststyle"/>
        <w:rPr>
          <w:rStyle w:val="AERbody"/>
        </w:rPr>
      </w:pPr>
      <w:r>
        <w:rPr>
          <w:rStyle w:val="AERbody"/>
        </w:rPr>
        <w:t>whether SP AusNet substantially departed from that standard.</w:t>
      </w:r>
    </w:p>
    <w:p w:rsidR="00AF08C9" w:rsidRPr="00AF08C9" w:rsidRDefault="00AF08C9" w:rsidP="00AF08C9">
      <w:pPr>
        <w:pStyle w:val="AERheading3"/>
        <w:rPr>
          <w:rStyle w:val="AERbody"/>
          <w:color w:val="F2750E"/>
          <w:sz w:val="24"/>
        </w:rPr>
      </w:pPr>
      <w:r w:rsidRPr="00AF08C9">
        <w:rPr>
          <w:rStyle w:val="AERbody"/>
          <w:color w:val="F2750E"/>
          <w:sz w:val="24"/>
        </w:rPr>
        <w:t>Qualitative factors</w:t>
      </w:r>
    </w:p>
    <w:p w:rsidR="00AF08C9" w:rsidRDefault="002B4D6D" w:rsidP="004F1A11">
      <w:pPr>
        <w:pStyle w:val="AERbodytext"/>
        <w:rPr>
          <w:rStyle w:val="AERbody"/>
        </w:rPr>
      </w:pPr>
      <w:r>
        <w:rPr>
          <w:rStyle w:val="AERbody"/>
        </w:rPr>
        <w:t>The AER has considered the key qualitative factors relevant to what a reasonable business in SP AusNet's circumstances would consider by focussing on those raised by SP AusNet in its Reconsideration Submission.</w:t>
      </w:r>
      <w:r>
        <w:rPr>
          <w:rStyle w:val="FootnoteReference"/>
        </w:rPr>
        <w:footnoteReference w:id="152"/>
      </w:r>
      <w:r>
        <w:rPr>
          <w:rStyle w:val="AERbody"/>
        </w:rPr>
        <w:t xml:space="preserve"> The AER has found its qualitative analysis </w:t>
      </w:r>
      <w:r w:rsidR="00BB33DA">
        <w:rPr>
          <w:rStyle w:val="AERbody"/>
        </w:rPr>
        <w:t>supports</w:t>
      </w:r>
      <w:r>
        <w:rPr>
          <w:rStyle w:val="AERbody"/>
        </w:rPr>
        <w:t xml:space="preserve"> its quantitative analysis</w:t>
      </w:r>
      <w:r w:rsidR="00D67003">
        <w:rPr>
          <w:rStyle w:val="AERbody"/>
        </w:rPr>
        <w:t>. Consequently, the commercial standard</w:t>
      </w:r>
      <w:r>
        <w:rPr>
          <w:rStyle w:val="AERbody"/>
        </w:rPr>
        <w:t xml:space="preserve"> a reasonable business in SP AusNet's circumstances </w:t>
      </w:r>
      <w:r w:rsidR="00D67003">
        <w:rPr>
          <w:rStyle w:val="AERbody"/>
        </w:rPr>
        <w:t xml:space="preserve">would have exercised would have been </w:t>
      </w:r>
      <w:r>
        <w:rPr>
          <w:rStyle w:val="AERbody"/>
        </w:rPr>
        <w:t xml:space="preserve">to </w:t>
      </w:r>
      <w:r w:rsidR="00D67003">
        <w:rPr>
          <w:rStyle w:val="AERbody"/>
        </w:rPr>
        <w:t xml:space="preserve">switch </w:t>
      </w:r>
      <w:r>
        <w:rPr>
          <w:rStyle w:val="AERbody"/>
        </w:rPr>
        <w:t xml:space="preserve">mesh radio after reconsidering </w:t>
      </w:r>
      <w:r w:rsidR="00152DFB">
        <w:rPr>
          <w:rStyle w:val="AERbody"/>
        </w:rPr>
        <w:t xml:space="preserve">its commitment to </w:t>
      </w:r>
      <w:r>
        <w:rPr>
          <w:rStyle w:val="AERbody"/>
        </w:rPr>
        <w:t>WiMAX on 28 February 2011.</w:t>
      </w:r>
      <w:r>
        <w:rPr>
          <w:rStyle w:val="FootnoteReference"/>
        </w:rPr>
        <w:footnoteReference w:id="153"/>
      </w:r>
    </w:p>
    <w:p w:rsidR="002B4D6D" w:rsidRDefault="002B4D6D" w:rsidP="00152DFB">
      <w:pPr>
        <w:pStyle w:val="AERheading4"/>
        <w:rPr>
          <w:rStyle w:val="AERbody"/>
        </w:rPr>
      </w:pPr>
      <w:r>
        <w:rPr>
          <w:rStyle w:val="AERbody"/>
        </w:rPr>
        <w:t>Compliance</w:t>
      </w:r>
      <w:r w:rsidR="00614590">
        <w:rPr>
          <w:rStyle w:val="AERbody"/>
        </w:rPr>
        <w:t xml:space="preserve"> with obligations</w:t>
      </w:r>
    </w:p>
    <w:p w:rsidR="00F362EC" w:rsidRPr="00F362EC" w:rsidRDefault="00F362EC" w:rsidP="00F362EC">
      <w:pPr>
        <w:pStyle w:val="AERbodytext"/>
        <w:rPr>
          <w:rStyle w:val="AERbody"/>
        </w:rPr>
      </w:pPr>
      <w:r>
        <w:rPr>
          <w:rStyle w:val="AERbody"/>
        </w:rPr>
        <w:t>SP AusNet submitted</w:t>
      </w:r>
      <w:r w:rsidRPr="00F362EC">
        <w:rPr>
          <w:rStyle w:val="AERbody"/>
        </w:rPr>
        <w:t xml:space="preserve"> that the commercial standard must have regard to the company’s compliance obligations, </w:t>
      </w:r>
      <w:r w:rsidR="00DA5FBC">
        <w:rPr>
          <w:rStyle w:val="AERbody"/>
        </w:rPr>
        <w:t>including</w:t>
      </w:r>
      <w:r w:rsidRPr="00F362EC">
        <w:rPr>
          <w:rStyle w:val="AERbody"/>
        </w:rPr>
        <w:t xml:space="preserve"> regulatory </w:t>
      </w:r>
      <w:r w:rsidR="00DA5FBC">
        <w:rPr>
          <w:rStyle w:val="AERbody"/>
        </w:rPr>
        <w:t xml:space="preserve">and </w:t>
      </w:r>
      <w:r w:rsidRPr="00F362EC">
        <w:rPr>
          <w:rStyle w:val="AERbody"/>
        </w:rPr>
        <w:t xml:space="preserve">contractual commitments. An option that would expose a reasonable </w:t>
      </w:r>
      <w:r w:rsidR="00DA5FBC">
        <w:rPr>
          <w:rStyle w:val="AERbody"/>
        </w:rPr>
        <w:t>business</w:t>
      </w:r>
      <w:r w:rsidRPr="00F362EC">
        <w:rPr>
          <w:rStyle w:val="AERbody"/>
        </w:rPr>
        <w:t xml:space="preserve"> in the circumstances to unacceptable or unmanageable risks would be not be consistent with the commercial standard.</w:t>
      </w:r>
      <w:r w:rsidR="00DA5FBC">
        <w:rPr>
          <w:rStyle w:val="FootnoteReference"/>
        </w:rPr>
        <w:footnoteReference w:id="154"/>
      </w:r>
      <w:r w:rsidR="00DA5FBC">
        <w:rPr>
          <w:rStyle w:val="AERbody"/>
        </w:rPr>
        <w:t xml:space="preserve"> In particular, SP AusNet raised concerns about its rollout obligations under the AMI Order</w:t>
      </w:r>
      <w:r w:rsidR="003C2BA5">
        <w:rPr>
          <w:rStyle w:val="AERbody"/>
        </w:rPr>
        <w:t xml:space="preserve"> and compliance with the AMI Functionality Specifications</w:t>
      </w:r>
      <w:r w:rsidR="00DA5FBC">
        <w:rPr>
          <w:rStyle w:val="AERbody"/>
        </w:rPr>
        <w:t>.</w:t>
      </w:r>
      <w:r w:rsidR="00DA5FBC">
        <w:rPr>
          <w:rStyle w:val="FootnoteReference"/>
        </w:rPr>
        <w:footnoteReference w:id="155"/>
      </w:r>
    </w:p>
    <w:p w:rsidR="002B4D6D" w:rsidRDefault="00DA5FBC" w:rsidP="00F342F8">
      <w:pPr>
        <w:pStyle w:val="AERbodytext"/>
        <w:rPr>
          <w:rStyle w:val="AERbody"/>
        </w:rPr>
      </w:pPr>
      <w:r>
        <w:rPr>
          <w:rStyle w:val="AERbody"/>
        </w:rPr>
        <w:t xml:space="preserve">The AER agrees </w:t>
      </w:r>
      <w:r w:rsidR="00F342F8">
        <w:rPr>
          <w:rStyle w:val="AERbody"/>
        </w:rPr>
        <w:t>that compliance obligations are relevant to SP AusNet's circumstances under clause 5I.8 of the AMI Order.</w:t>
      </w:r>
      <w:r w:rsidR="00F342F8">
        <w:rPr>
          <w:rStyle w:val="FootnoteReference"/>
        </w:rPr>
        <w:footnoteReference w:id="156"/>
      </w:r>
      <w:r w:rsidR="00F342F8">
        <w:rPr>
          <w:rStyle w:val="AERbody"/>
        </w:rPr>
        <w:t xml:space="preserve"> However, the AER does not agree with SP AusNet's concerns</w:t>
      </w:r>
      <w:r w:rsidR="00D67003">
        <w:rPr>
          <w:rStyle w:val="AERbody"/>
        </w:rPr>
        <w:t xml:space="preserve"> for the following reasons</w:t>
      </w:r>
      <w:r w:rsidR="00F342F8">
        <w:rPr>
          <w:rStyle w:val="AERbody"/>
        </w:rPr>
        <w:t>.</w:t>
      </w:r>
    </w:p>
    <w:p w:rsidR="00F342F8" w:rsidRDefault="00F342F8" w:rsidP="00A253DA">
      <w:pPr>
        <w:pStyle w:val="AERheading6"/>
        <w:rPr>
          <w:rStyle w:val="AERbody"/>
        </w:rPr>
      </w:pPr>
      <w:r>
        <w:rPr>
          <w:rStyle w:val="AERbody"/>
        </w:rPr>
        <w:t xml:space="preserve">AMI Functionality </w:t>
      </w:r>
      <w:r w:rsidR="00D048B5">
        <w:rPr>
          <w:rStyle w:val="AERbody"/>
        </w:rPr>
        <w:t>Specifications</w:t>
      </w:r>
    </w:p>
    <w:p w:rsidR="000D1E93" w:rsidRDefault="00F342F8" w:rsidP="00F342F8">
      <w:pPr>
        <w:pStyle w:val="AERbodytext"/>
      </w:pPr>
      <w:r>
        <w:t>SP AusNet raised</w:t>
      </w:r>
      <w:r w:rsidR="00D67003">
        <w:t xml:space="preserve"> a</w:t>
      </w:r>
      <w:r>
        <w:t xml:space="preserve"> concern about mesh radio's </w:t>
      </w:r>
      <w:r w:rsidR="00D67003">
        <w:t>in</w:t>
      </w:r>
      <w:r>
        <w:t>ability to comply with the AMI functionality specifications.</w:t>
      </w:r>
      <w:r w:rsidR="00F5086F" w:rsidRPr="00F5086F">
        <w:t xml:space="preserve"> </w:t>
      </w:r>
      <w:r w:rsidR="00F5086F">
        <w:t>SP AusNet also stated that in February 2010 the other Victorian DNSPs had formally requested a review on the obligation requiring the provision of meter data to market in order to lower the requirement based on the limitations of mesh radio technology.</w:t>
      </w:r>
      <w:r w:rsidR="00D048B5">
        <w:rPr>
          <w:rStyle w:val="FootnoteReference"/>
        </w:rPr>
        <w:footnoteReference w:id="157"/>
      </w:r>
      <w:r>
        <w:t xml:space="preserve"> </w:t>
      </w:r>
    </w:p>
    <w:p w:rsidR="00F342F8" w:rsidRDefault="00F5086F" w:rsidP="00F342F8">
      <w:pPr>
        <w:pStyle w:val="AERbodytext"/>
      </w:pPr>
      <w:r>
        <w:t>The AER considered that both WiMAX and mesh radio were compliant technologies under the AMI Order when it made its 2009–11 Approved Budget determination and when SP AusNet made the business decision to proceed with WiMAX</w:t>
      </w:r>
      <w:r w:rsidR="000D1E93">
        <w:t>. The AER has not received any evidence to suggest that mesh radio is not compliant, and considers both technologies capable of meeting the performance service level obligation.</w:t>
      </w:r>
    </w:p>
    <w:p w:rsidR="00D048B5" w:rsidRDefault="00D048B5" w:rsidP="00A253DA">
      <w:pPr>
        <w:pStyle w:val="AERheading6"/>
      </w:pPr>
      <w:r>
        <w:t>Rollout obligations</w:t>
      </w:r>
    </w:p>
    <w:p w:rsidR="00D048B5" w:rsidRDefault="00D048B5" w:rsidP="00D048B5">
      <w:pPr>
        <w:pStyle w:val="AERbodytext"/>
        <w:rPr>
          <w:rStyle w:val="AERbody"/>
        </w:rPr>
      </w:pPr>
      <w:r>
        <w:rPr>
          <w:rStyle w:val="AERbody"/>
        </w:rPr>
        <w:t>SP AusNet considered a reasonable business in its circumstances would not switch to mesh radio if it would result in failure to meet its obligation to install meters in accordance with clause 14 and Schedule 1 of the AMI Order. SP AusNet considered it could be exposed to significant penalties or loss of its distribution licence.</w:t>
      </w:r>
      <w:r>
        <w:rPr>
          <w:rStyle w:val="FootnoteReference"/>
        </w:rPr>
        <w:footnoteReference w:id="158"/>
      </w:r>
    </w:p>
    <w:p w:rsidR="00552266" w:rsidRDefault="00552266" w:rsidP="00552266">
      <w:pPr>
        <w:pStyle w:val="AERbodytext"/>
        <w:rPr>
          <w:rStyle w:val="AERbody"/>
        </w:rPr>
      </w:pPr>
      <w:r>
        <w:rPr>
          <w:rStyle w:val="AERbody"/>
        </w:rPr>
        <w:t>T</w:t>
      </w:r>
      <w:r w:rsidRPr="00552266">
        <w:rPr>
          <w:rStyle w:val="AERbody"/>
        </w:rPr>
        <w:t xml:space="preserve">he </w:t>
      </w:r>
      <w:r>
        <w:rPr>
          <w:rStyle w:val="AERbody"/>
        </w:rPr>
        <w:t xml:space="preserve">AER </w:t>
      </w:r>
      <w:r w:rsidR="00831FD9">
        <w:t>agrees that rollout obligations are a relevant consideration, but does not agree that they would be an impediment to making a decision to switch where mesh showed to be a lower cost option</w:t>
      </w:r>
      <w:r w:rsidR="00831FD9" w:rsidDel="00831FD9">
        <w:rPr>
          <w:rStyle w:val="AERbody"/>
        </w:rPr>
        <w:t xml:space="preserve"> </w:t>
      </w:r>
      <w:r>
        <w:rPr>
          <w:rStyle w:val="AERbody"/>
        </w:rPr>
        <w:t>because:</w:t>
      </w:r>
    </w:p>
    <w:p w:rsidR="00552266" w:rsidRDefault="00552266" w:rsidP="00A253DA">
      <w:pPr>
        <w:pStyle w:val="AERbulletlistfirststyle"/>
        <w:rPr>
          <w:rStyle w:val="AERbody"/>
        </w:rPr>
      </w:pPr>
      <w:r>
        <w:rPr>
          <w:rStyle w:val="AERbody"/>
        </w:rPr>
        <w:t xml:space="preserve">the AER's </w:t>
      </w:r>
      <w:r w:rsidRPr="00552266">
        <w:rPr>
          <w:rStyle w:val="AERbody"/>
        </w:rPr>
        <w:t>assessment of a 10 month transition program commencing 1 March 2011 would allow SP AusNet to meet its regulatory obligations under the AMI Order for 25 per cent of meters rolled out by 30 June 2011 and AMI data to market from 1 January 2012.  Given this timeframe is consistent with industry benchmarks and is for a relatively mature and proven solution, the AER believes it does not reflect unacceptably risky behaviour</w:t>
      </w:r>
      <w:r>
        <w:rPr>
          <w:rStyle w:val="FootnoteReference"/>
        </w:rPr>
        <w:footnoteReference w:id="159"/>
      </w:r>
    </w:p>
    <w:p w:rsidR="00552266" w:rsidRPr="00552266" w:rsidRDefault="00552266" w:rsidP="00A253DA">
      <w:pPr>
        <w:pStyle w:val="AERbulletlistfirststyle"/>
        <w:rPr>
          <w:rStyle w:val="AERbody"/>
        </w:rPr>
      </w:pPr>
      <w:r>
        <w:rPr>
          <w:rStyle w:val="AERbody"/>
        </w:rPr>
        <w:t>t</w:t>
      </w:r>
      <w:r w:rsidRPr="00552266">
        <w:rPr>
          <w:rStyle w:val="AERbody"/>
        </w:rPr>
        <w:t xml:space="preserve">he obligation upon SP AusNet </w:t>
      </w:r>
      <w:r>
        <w:rPr>
          <w:rStyle w:val="AERbody"/>
        </w:rPr>
        <w:t xml:space="preserve">under the AMI Order </w:t>
      </w:r>
      <w:r w:rsidRPr="00552266">
        <w:rPr>
          <w:rStyle w:val="AERbody"/>
        </w:rPr>
        <w:t xml:space="preserve">is to use its </w:t>
      </w:r>
      <w:r>
        <w:rPr>
          <w:rStyle w:val="AERbody"/>
        </w:rPr>
        <w:t>"</w:t>
      </w:r>
      <w:r w:rsidRPr="00552266">
        <w:rPr>
          <w:rStyle w:val="AERbody"/>
        </w:rPr>
        <w:t>best endeavours</w:t>
      </w:r>
      <w:r>
        <w:rPr>
          <w:rStyle w:val="AERbody"/>
        </w:rPr>
        <w:t>"</w:t>
      </w:r>
      <w:r w:rsidRPr="00552266">
        <w:rPr>
          <w:rStyle w:val="AERbody"/>
        </w:rPr>
        <w:t xml:space="preserve"> to meet the</w:t>
      </w:r>
      <w:r>
        <w:rPr>
          <w:rStyle w:val="AERbody"/>
        </w:rPr>
        <w:t xml:space="preserve"> </w:t>
      </w:r>
      <w:r w:rsidRPr="00552266">
        <w:rPr>
          <w:rStyle w:val="AERbody"/>
        </w:rPr>
        <w:t>milestones set out in Sc</w:t>
      </w:r>
      <w:r>
        <w:rPr>
          <w:rStyle w:val="AERbody"/>
        </w:rPr>
        <w:t>hedule 1.</w:t>
      </w:r>
      <w:r w:rsidRPr="00552266">
        <w:rPr>
          <w:rStyle w:val="AERbody"/>
        </w:rPr>
        <w:t xml:space="preserve"> As to what constitutes </w:t>
      </w:r>
      <w:r>
        <w:rPr>
          <w:rStyle w:val="AERbody"/>
        </w:rPr>
        <w:t>"</w:t>
      </w:r>
      <w:r w:rsidRPr="00552266">
        <w:rPr>
          <w:rStyle w:val="AERbody"/>
        </w:rPr>
        <w:t>best</w:t>
      </w:r>
      <w:r>
        <w:rPr>
          <w:rStyle w:val="AERbody"/>
        </w:rPr>
        <w:t xml:space="preserve"> </w:t>
      </w:r>
      <w:r w:rsidRPr="00552266">
        <w:rPr>
          <w:rStyle w:val="AERbody"/>
        </w:rPr>
        <w:t>endeavours</w:t>
      </w:r>
      <w:r>
        <w:rPr>
          <w:rStyle w:val="AERbody"/>
        </w:rPr>
        <w:t>"</w:t>
      </w:r>
      <w:r w:rsidRPr="00552266">
        <w:rPr>
          <w:rStyle w:val="AERbody"/>
        </w:rPr>
        <w:t xml:space="preserve"> is a matter for the AER to determine on a case by</w:t>
      </w:r>
      <w:r>
        <w:rPr>
          <w:rStyle w:val="AERbody"/>
        </w:rPr>
        <w:t xml:space="preserve"> </w:t>
      </w:r>
      <w:r w:rsidRPr="00552266">
        <w:rPr>
          <w:rStyle w:val="AERbody"/>
        </w:rPr>
        <w:t>case basis in accordance with the relevant re</w:t>
      </w:r>
      <w:r>
        <w:rPr>
          <w:rStyle w:val="AERbody"/>
        </w:rPr>
        <w:t>quirements of the AMI Order</w:t>
      </w:r>
      <w:r>
        <w:rPr>
          <w:rStyle w:val="FootnoteReference"/>
        </w:rPr>
        <w:footnoteReference w:id="160"/>
      </w:r>
    </w:p>
    <w:p w:rsidR="00552266" w:rsidRDefault="00552266" w:rsidP="00A253DA">
      <w:pPr>
        <w:pStyle w:val="AERbulletlistfirststyle"/>
        <w:rPr>
          <w:rStyle w:val="AERbody"/>
        </w:rPr>
      </w:pPr>
      <w:r w:rsidRPr="00552266">
        <w:rPr>
          <w:rStyle w:val="AERbody"/>
        </w:rPr>
        <w:t>a reasonable</w:t>
      </w:r>
      <w:r>
        <w:rPr>
          <w:rStyle w:val="AERbody"/>
        </w:rPr>
        <w:t xml:space="preserve"> </w:t>
      </w:r>
      <w:r w:rsidRPr="00552266">
        <w:rPr>
          <w:rStyle w:val="AERbody"/>
        </w:rPr>
        <w:t xml:space="preserve">business in </w:t>
      </w:r>
      <w:r>
        <w:rPr>
          <w:rStyle w:val="AERbody"/>
        </w:rPr>
        <w:t xml:space="preserve">SP AusNet's </w:t>
      </w:r>
      <w:r w:rsidRPr="00552266">
        <w:rPr>
          <w:rStyle w:val="AERbody"/>
        </w:rPr>
        <w:t>circumstances would have implemented risk mitigation</w:t>
      </w:r>
      <w:r>
        <w:rPr>
          <w:rStyle w:val="AERbody"/>
        </w:rPr>
        <w:t xml:space="preserve"> </w:t>
      </w:r>
      <w:r w:rsidRPr="00552266">
        <w:rPr>
          <w:rStyle w:val="AERbody"/>
        </w:rPr>
        <w:t>s</w:t>
      </w:r>
      <w:r>
        <w:rPr>
          <w:rStyle w:val="AERbody"/>
        </w:rPr>
        <w:t>trategies to manage these risks</w:t>
      </w:r>
      <w:r>
        <w:rPr>
          <w:rStyle w:val="FootnoteReference"/>
        </w:rPr>
        <w:footnoteReference w:id="161"/>
      </w:r>
    </w:p>
    <w:p w:rsidR="00D048B5" w:rsidRDefault="00D048B5" w:rsidP="00A253DA">
      <w:pPr>
        <w:pStyle w:val="AERbulletlistfirststyle"/>
        <w:rPr>
          <w:rStyle w:val="AERbody"/>
        </w:rPr>
      </w:pPr>
      <w:r>
        <w:rPr>
          <w:rStyle w:val="AERbody"/>
        </w:rPr>
        <w:t xml:space="preserve">a reasonable business would mitigate </w:t>
      </w:r>
      <w:r w:rsidR="00900BA3">
        <w:rPr>
          <w:rStyle w:val="AERbody"/>
        </w:rPr>
        <w:t xml:space="preserve">the risks of </w:t>
      </w:r>
      <w:r>
        <w:rPr>
          <w:rStyle w:val="AERbody"/>
        </w:rPr>
        <w:t xml:space="preserve">potential non-compliance with the AMI Order by </w:t>
      </w:r>
      <w:r w:rsidR="00900BA3">
        <w:rPr>
          <w:rStyle w:val="AERbody"/>
        </w:rPr>
        <w:t>advising the (Victorian)</w:t>
      </w:r>
      <w:r>
        <w:rPr>
          <w:rStyle w:val="AERbody"/>
        </w:rPr>
        <w:t xml:space="preserve"> </w:t>
      </w:r>
      <w:r w:rsidR="00900BA3">
        <w:rPr>
          <w:rStyle w:val="AERbody"/>
        </w:rPr>
        <w:t>G</w:t>
      </w:r>
      <w:r>
        <w:rPr>
          <w:rStyle w:val="AERbody"/>
        </w:rPr>
        <w:t xml:space="preserve">overnment </w:t>
      </w:r>
      <w:r w:rsidR="00900BA3">
        <w:rPr>
          <w:rStyle w:val="AERbody"/>
        </w:rPr>
        <w:t xml:space="preserve">and the AER at an early stage on these possibilities that may result from </w:t>
      </w:r>
      <w:r>
        <w:rPr>
          <w:rStyle w:val="AERbody"/>
        </w:rPr>
        <w:t xml:space="preserve"> a decision to switch communications technology.</w:t>
      </w:r>
      <w:r>
        <w:rPr>
          <w:rStyle w:val="FootnoteReference"/>
        </w:rPr>
        <w:footnoteReference w:id="162"/>
      </w:r>
      <w:r>
        <w:rPr>
          <w:rStyle w:val="AERbody"/>
        </w:rPr>
        <w:t xml:space="preserve"> If SP AusNet did fall behind in the rollout schedule, </w:t>
      </w:r>
      <w:r w:rsidR="00900BA3">
        <w:rPr>
          <w:rStyle w:val="AERbody"/>
        </w:rPr>
        <w:t xml:space="preserve">it </w:t>
      </w:r>
      <w:r w:rsidR="00281CDA">
        <w:rPr>
          <w:rStyle w:val="AERbody"/>
        </w:rPr>
        <w:t>could make</w:t>
      </w:r>
      <w:r w:rsidR="00900BA3">
        <w:rPr>
          <w:rStyle w:val="AERbody"/>
        </w:rPr>
        <w:t xml:space="preserve"> representations to the regulator on matters the AER should have regard </w:t>
      </w:r>
      <w:r w:rsidR="00281CDA">
        <w:rPr>
          <w:rStyle w:val="AERbody"/>
        </w:rPr>
        <w:t>to in</w:t>
      </w:r>
      <w:r>
        <w:rPr>
          <w:rStyle w:val="AERbody"/>
        </w:rPr>
        <w:t xml:space="preserve"> determining whether SP AusNet used its "best endeavours" to comply with the rollout obligations</w:t>
      </w:r>
      <w:r w:rsidR="008C753A">
        <w:rPr>
          <w:rStyle w:val="AERbody"/>
        </w:rPr>
        <w:t>.</w:t>
      </w:r>
      <w:r>
        <w:rPr>
          <w:rStyle w:val="FootnoteReference"/>
        </w:rPr>
        <w:footnoteReference w:id="163"/>
      </w:r>
      <w:r>
        <w:rPr>
          <w:rStyle w:val="AERbody"/>
        </w:rPr>
        <w:t xml:space="preserve"> </w:t>
      </w:r>
    </w:p>
    <w:p w:rsidR="002B4D6D" w:rsidRDefault="002B4D6D" w:rsidP="00152DFB">
      <w:pPr>
        <w:pStyle w:val="AERheading4"/>
        <w:rPr>
          <w:rStyle w:val="AERbody"/>
        </w:rPr>
      </w:pPr>
      <w:r>
        <w:rPr>
          <w:rStyle w:val="AERbody"/>
        </w:rPr>
        <w:t>Uncertainty and risk</w:t>
      </w:r>
    </w:p>
    <w:p w:rsidR="00537B84" w:rsidRPr="00537B84" w:rsidRDefault="00537B84" w:rsidP="00537B84">
      <w:pPr>
        <w:pStyle w:val="AERbodytext"/>
        <w:rPr>
          <w:rStyle w:val="AERbody"/>
        </w:rPr>
      </w:pPr>
      <w:r>
        <w:rPr>
          <w:rStyle w:val="AERbody"/>
        </w:rPr>
        <w:t>SP AusNet stated</w:t>
      </w:r>
      <w:r w:rsidRPr="00537B84">
        <w:rPr>
          <w:rStyle w:val="AERbody"/>
        </w:rPr>
        <w:t xml:space="preserve"> that the commercial standard must have regard to risk, particularly technology and project risk. </w:t>
      </w:r>
      <w:r>
        <w:rPr>
          <w:rStyle w:val="AERbody"/>
        </w:rPr>
        <w:t>SP AusNet considered</w:t>
      </w:r>
      <w:r w:rsidRPr="00537B84">
        <w:rPr>
          <w:rStyle w:val="AERbody"/>
        </w:rPr>
        <w:t xml:space="preserve"> the unexpected difficulties with WiM</w:t>
      </w:r>
      <w:r>
        <w:rPr>
          <w:rStyle w:val="AERbody"/>
        </w:rPr>
        <w:t>AX</w:t>
      </w:r>
      <w:r w:rsidRPr="00537B84">
        <w:rPr>
          <w:rStyle w:val="AERbody"/>
        </w:rPr>
        <w:t xml:space="preserve"> would have led a reasonable business </w:t>
      </w:r>
      <w:r>
        <w:rPr>
          <w:rStyle w:val="AERbody"/>
        </w:rPr>
        <w:t xml:space="preserve">in SP AusNet's circumstances </w:t>
      </w:r>
      <w:r w:rsidRPr="00537B84">
        <w:rPr>
          <w:rStyle w:val="AERbody"/>
        </w:rPr>
        <w:t>to require a high level of confidence in its telecommunications solution moving forward. A robust case for change would therefore be required before a reasonable commercial business would accept it in the circumstances.</w:t>
      </w:r>
      <w:r>
        <w:rPr>
          <w:rStyle w:val="FootnoteReference"/>
        </w:rPr>
        <w:footnoteReference w:id="164"/>
      </w:r>
      <w:r w:rsidR="00410590">
        <w:rPr>
          <w:rStyle w:val="AERbody"/>
        </w:rPr>
        <w:t xml:space="preserve"> </w:t>
      </w:r>
    </w:p>
    <w:p w:rsidR="00831FD9" w:rsidRDefault="00831FD9" w:rsidP="00410590">
      <w:pPr>
        <w:pStyle w:val="AERbodytext"/>
        <w:rPr>
          <w:rStyle w:val="AERbody"/>
        </w:rPr>
      </w:pPr>
      <w:r>
        <w:rPr>
          <w:rStyle w:val="AERbody"/>
        </w:rPr>
        <w:t>SP AusNet submitted that switching to mesh radio would result in uncertainties around contract exit costs, technical specifications and competitiveness of bids. It also considered the immature state of AMI technology means that changing technology increases uncertainty and risk, and also could result in implementation, performance and project management issues.</w:t>
      </w:r>
      <w:r>
        <w:rPr>
          <w:rStyle w:val="FootnoteReference"/>
        </w:rPr>
        <w:footnoteReference w:id="165"/>
      </w:r>
      <w:r>
        <w:rPr>
          <w:rStyle w:val="AERbody"/>
        </w:rPr>
        <w:t xml:space="preserve"> </w:t>
      </w:r>
    </w:p>
    <w:p w:rsidR="003753C4" w:rsidRDefault="00870883" w:rsidP="00410590">
      <w:pPr>
        <w:pStyle w:val="AERbodytext"/>
        <w:rPr>
          <w:rStyle w:val="AERbody"/>
        </w:rPr>
      </w:pPr>
      <w:r>
        <w:rPr>
          <w:rStyle w:val="AERbody"/>
        </w:rPr>
        <w:t>The AER</w:t>
      </w:r>
      <w:r w:rsidR="00537B84" w:rsidRPr="00537B84">
        <w:rPr>
          <w:rStyle w:val="AERbody"/>
        </w:rPr>
        <w:t xml:space="preserve"> agrees with SP</w:t>
      </w:r>
      <w:r>
        <w:rPr>
          <w:rStyle w:val="AERbody"/>
        </w:rPr>
        <w:t xml:space="preserve"> </w:t>
      </w:r>
      <w:r w:rsidR="00537B84" w:rsidRPr="00537B84">
        <w:rPr>
          <w:rStyle w:val="AERbody"/>
        </w:rPr>
        <w:t>A</w:t>
      </w:r>
      <w:r>
        <w:rPr>
          <w:rStyle w:val="AERbody"/>
        </w:rPr>
        <w:t>usNet</w:t>
      </w:r>
      <w:r w:rsidR="00537B84" w:rsidRPr="00537B84">
        <w:rPr>
          <w:rStyle w:val="AERbody"/>
        </w:rPr>
        <w:t>’s view</w:t>
      </w:r>
      <w:r w:rsidR="00B2634A">
        <w:rPr>
          <w:rStyle w:val="AERbody"/>
        </w:rPr>
        <w:t xml:space="preserve"> that </w:t>
      </w:r>
      <w:r w:rsidR="00537B84" w:rsidRPr="00537B84">
        <w:rPr>
          <w:rStyle w:val="AERbody"/>
        </w:rPr>
        <w:t xml:space="preserve">risk and uncertainty </w:t>
      </w:r>
      <w:r w:rsidR="00B2634A">
        <w:rPr>
          <w:rStyle w:val="AERbody"/>
        </w:rPr>
        <w:t>is</w:t>
      </w:r>
      <w:r w:rsidR="005015CA">
        <w:rPr>
          <w:rStyle w:val="AERbody"/>
        </w:rPr>
        <w:t xml:space="preserve"> relevant to its ci</w:t>
      </w:r>
      <w:r w:rsidR="00B2634A">
        <w:rPr>
          <w:rStyle w:val="AERbody"/>
        </w:rPr>
        <w:t>rcumstances under the AMI Order</w:t>
      </w:r>
      <w:r w:rsidR="003753C4">
        <w:rPr>
          <w:rStyle w:val="AERbody"/>
        </w:rPr>
        <w:t>.</w:t>
      </w:r>
      <w:r w:rsidR="00FB2462">
        <w:rPr>
          <w:rStyle w:val="FootnoteReference"/>
        </w:rPr>
        <w:footnoteReference w:id="166"/>
      </w:r>
      <w:r w:rsidR="005015CA">
        <w:rPr>
          <w:rStyle w:val="AERbody"/>
        </w:rPr>
        <w:t xml:space="preserve"> </w:t>
      </w:r>
      <w:r w:rsidR="003753C4">
        <w:rPr>
          <w:rStyle w:val="AERbody"/>
        </w:rPr>
        <w:t xml:space="preserve">However, the AER also considers that a reasonable commercial business in the circumstances would have established a robust governance process </w:t>
      </w:r>
      <w:r w:rsidR="00A91A2E">
        <w:rPr>
          <w:rStyle w:val="AERbody"/>
        </w:rPr>
        <w:t>t</w:t>
      </w:r>
      <w:r w:rsidR="003753C4">
        <w:rPr>
          <w:rStyle w:val="AERbody"/>
        </w:rPr>
        <w:t xml:space="preserve">o mitigate the significant risk that </w:t>
      </w:r>
      <w:r w:rsidR="00983E78">
        <w:rPr>
          <w:rStyle w:val="AERbody"/>
        </w:rPr>
        <w:t xml:space="preserve">its expectations of the </w:t>
      </w:r>
      <w:r w:rsidR="003753C4">
        <w:rPr>
          <w:rStyle w:val="AERbody"/>
        </w:rPr>
        <w:t>costs or benefits turned out to be incorrect. This is particularly important given the high technology and market risks involved due to both WiMAX and mesh radio being relatively unproven at the time.</w:t>
      </w:r>
      <w:r w:rsidR="003753C4">
        <w:rPr>
          <w:rStyle w:val="FootnoteReference"/>
        </w:rPr>
        <w:footnoteReference w:id="167"/>
      </w:r>
      <w:r w:rsidR="003753C4">
        <w:rPr>
          <w:rStyle w:val="AERbody"/>
        </w:rPr>
        <w:t xml:space="preserve"> </w:t>
      </w:r>
    </w:p>
    <w:p w:rsidR="00831FD9" w:rsidRDefault="003753C4" w:rsidP="00410590">
      <w:pPr>
        <w:pStyle w:val="AERbodytext"/>
        <w:rPr>
          <w:rStyle w:val="AERbody"/>
        </w:rPr>
      </w:pPr>
      <w:r>
        <w:t>The AER does</w:t>
      </w:r>
      <w:r w:rsidR="00831FD9">
        <w:t xml:space="preserve"> not agree that </w:t>
      </w:r>
      <w:r>
        <w:t>uncertainty and risk</w:t>
      </w:r>
      <w:r w:rsidR="00831FD9">
        <w:t xml:space="preserve"> would be an impediment to making a </w:t>
      </w:r>
      <w:r w:rsidR="00316D1A">
        <w:t xml:space="preserve">business </w:t>
      </w:r>
      <w:r w:rsidR="00831FD9">
        <w:t xml:space="preserve">decision to switch </w:t>
      </w:r>
      <w:r w:rsidR="00A91A2E">
        <w:t xml:space="preserve">technology </w:t>
      </w:r>
      <w:r w:rsidR="00831FD9">
        <w:t>where mesh</w:t>
      </w:r>
      <w:r>
        <w:t xml:space="preserve"> radio</w:t>
      </w:r>
      <w:r w:rsidR="00831FD9">
        <w:t xml:space="preserve"> showed to be a lower cost option because:</w:t>
      </w:r>
      <w:r w:rsidR="00434B50">
        <w:rPr>
          <w:rStyle w:val="AERbody"/>
        </w:rPr>
        <w:t xml:space="preserve">. </w:t>
      </w:r>
    </w:p>
    <w:p w:rsidR="00B2634A" w:rsidRDefault="00B2634A" w:rsidP="00B2634A">
      <w:pPr>
        <w:pStyle w:val="AERbulletlistfirststyle"/>
        <w:rPr>
          <w:rStyle w:val="AERbody"/>
        </w:rPr>
      </w:pPr>
      <w:r>
        <w:rPr>
          <w:rStyle w:val="AERbody"/>
        </w:rPr>
        <w:t>the AER's</w:t>
      </w:r>
      <w:r w:rsidRPr="00F362EC">
        <w:rPr>
          <w:rStyle w:val="AERbody"/>
        </w:rPr>
        <w:t xml:space="preserve"> assessment </w:t>
      </w:r>
      <w:r w:rsidR="003753C4">
        <w:rPr>
          <w:rStyle w:val="AERbody"/>
        </w:rPr>
        <w:t xml:space="preserve">has </w:t>
      </w:r>
      <w:r w:rsidRPr="00F362EC">
        <w:rPr>
          <w:rStyle w:val="AERbody"/>
        </w:rPr>
        <w:t>recognise</w:t>
      </w:r>
      <w:r w:rsidR="003753C4">
        <w:rPr>
          <w:rStyle w:val="AERbody"/>
        </w:rPr>
        <w:t>d</w:t>
      </w:r>
      <w:r w:rsidRPr="00F362EC">
        <w:rPr>
          <w:rStyle w:val="AERbody"/>
        </w:rPr>
        <w:t xml:space="preserve"> SP</w:t>
      </w:r>
      <w:r>
        <w:rPr>
          <w:rStyle w:val="AERbody"/>
        </w:rPr>
        <w:t xml:space="preserve"> </w:t>
      </w:r>
      <w:r w:rsidRPr="00F362EC">
        <w:rPr>
          <w:rStyle w:val="AERbody"/>
        </w:rPr>
        <w:t>A</w:t>
      </w:r>
      <w:r>
        <w:rPr>
          <w:rStyle w:val="AERbody"/>
        </w:rPr>
        <w:t>usNet</w:t>
      </w:r>
      <w:r w:rsidRPr="00F362EC">
        <w:rPr>
          <w:rStyle w:val="AERbody"/>
        </w:rPr>
        <w:t>’s obligations under its contracts for its WiM</w:t>
      </w:r>
      <w:r>
        <w:rPr>
          <w:rStyle w:val="AERbody"/>
        </w:rPr>
        <w:t>AX</w:t>
      </w:r>
      <w:r w:rsidRPr="00F362EC">
        <w:rPr>
          <w:rStyle w:val="AERbody"/>
        </w:rPr>
        <w:t xml:space="preserve"> network deployment, spectrum and metering solution. </w:t>
      </w:r>
      <w:r>
        <w:rPr>
          <w:rStyle w:val="AERbody"/>
        </w:rPr>
        <w:t xml:space="preserve">The AER's quantitative analysis included SP AusNet's </w:t>
      </w:r>
      <w:r w:rsidRPr="00F362EC">
        <w:rPr>
          <w:rStyle w:val="AERbody"/>
        </w:rPr>
        <w:t>costs for exiting the WiM</w:t>
      </w:r>
      <w:r>
        <w:rPr>
          <w:rStyle w:val="AERbody"/>
        </w:rPr>
        <w:t>AX</w:t>
      </w:r>
      <w:r w:rsidRPr="00F362EC">
        <w:rPr>
          <w:rStyle w:val="AERbody"/>
        </w:rPr>
        <w:t xml:space="preserve"> network and spectrum contracts</w:t>
      </w:r>
      <w:r>
        <w:rPr>
          <w:rStyle w:val="AERbody"/>
        </w:rPr>
        <w:t>,</w:t>
      </w:r>
      <w:r w:rsidRPr="00B2634A">
        <w:rPr>
          <w:rStyle w:val="AERtextbold"/>
        </w:rPr>
        <w:t xml:space="preserve"> </w:t>
      </w:r>
      <w:r w:rsidRPr="00F362EC">
        <w:rPr>
          <w:rStyle w:val="AERbody"/>
        </w:rPr>
        <w:t>and ha</w:t>
      </w:r>
      <w:r>
        <w:rPr>
          <w:rStyle w:val="AERbody"/>
        </w:rPr>
        <w:t>s</w:t>
      </w:r>
      <w:r w:rsidRPr="00F362EC">
        <w:rPr>
          <w:rStyle w:val="AERbody"/>
        </w:rPr>
        <w:t xml:space="preserve"> assumed the cu</w:t>
      </w:r>
      <w:r>
        <w:rPr>
          <w:rStyle w:val="AERbody"/>
        </w:rPr>
        <w:t>rrent metering contract with Landis &amp; Gyr</w:t>
      </w:r>
      <w:r w:rsidRPr="00F362EC">
        <w:rPr>
          <w:rStyle w:val="AERbody"/>
        </w:rPr>
        <w:t xml:space="preserve"> is maintained</w:t>
      </w:r>
      <w:r>
        <w:rPr>
          <w:rStyle w:val="AERbody"/>
        </w:rPr>
        <w:t>, which is consistent with SP AusNet's assumption</w:t>
      </w:r>
      <w:r>
        <w:rPr>
          <w:rStyle w:val="FootnoteReference"/>
        </w:rPr>
        <w:footnoteReference w:id="168"/>
      </w:r>
    </w:p>
    <w:p w:rsidR="00B2634A" w:rsidRDefault="00B77824" w:rsidP="00B2634A">
      <w:pPr>
        <w:pStyle w:val="AERbulletlistfirststyle"/>
        <w:rPr>
          <w:rStyle w:val="AERbody"/>
        </w:rPr>
      </w:pPr>
      <w:r>
        <w:rPr>
          <w:rStyle w:val="AERbody"/>
        </w:rPr>
        <w:t xml:space="preserve">while there may be some uncertainty surrounding contract break costs, the AER considers a reasonable business in SP AusNet's circumstances would have established </w:t>
      </w:r>
      <w:r w:rsidR="00B76F15">
        <w:rPr>
          <w:rStyle w:val="AERbody"/>
        </w:rPr>
        <w:t xml:space="preserve">appropriate </w:t>
      </w:r>
      <w:r>
        <w:rPr>
          <w:rStyle w:val="AERbody"/>
        </w:rPr>
        <w:t xml:space="preserve">internal governance </w:t>
      </w:r>
      <w:r w:rsidR="00316D1A">
        <w:rPr>
          <w:rStyle w:val="AERbody"/>
        </w:rPr>
        <w:t>to</w:t>
      </w:r>
      <w:r>
        <w:rPr>
          <w:rStyle w:val="AERbody"/>
        </w:rPr>
        <w:t xml:space="preserve"> </w:t>
      </w:r>
      <w:r w:rsidR="00B76F15">
        <w:rPr>
          <w:rStyle w:val="AERbody"/>
        </w:rPr>
        <w:t xml:space="preserve">properly </w:t>
      </w:r>
      <w:r>
        <w:rPr>
          <w:rStyle w:val="AERbody"/>
        </w:rPr>
        <w:t>manage its investment risks</w:t>
      </w:r>
      <w:r>
        <w:rPr>
          <w:rStyle w:val="FootnoteReference"/>
        </w:rPr>
        <w:footnoteReference w:id="169"/>
      </w:r>
    </w:p>
    <w:p w:rsidR="00B2634A" w:rsidRDefault="00B77824" w:rsidP="00B2634A">
      <w:pPr>
        <w:pStyle w:val="AERbulletlistfirststyle"/>
        <w:rPr>
          <w:rStyle w:val="AERbody"/>
        </w:rPr>
      </w:pPr>
      <w:r>
        <w:rPr>
          <w:rStyle w:val="AERbody"/>
        </w:rPr>
        <w:t xml:space="preserve">although technical specifications may be difficult to specify if implementing mesh radio over an existing WiMAX solution, </w:t>
      </w:r>
      <w:r w:rsidR="00764813">
        <w:rPr>
          <w:rStyle w:val="AERbody"/>
        </w:rPr>
        <w:t>the AER</w:t>
      </w:r>
      <w:r>
        <w:rPr>
          <w:rStyle w:val="AERbody"/>
        </w:rPr>
        <w:t xml:space="preserve"> does not consider this problem would </w:t>
      </w:r>
      <w:r w:rsidR="008937EF">
        <w:rPr>
          <w:rStyle w:val="AERbody"/>
        </w:rPr>
        <w:t>be as pronounced</w:t>
      </w:r>
      <w:r>
        <w:rPr>
          <w:rStyle w:val="AERbody"/>
        </w:rPr>
        <w:t xml:space="preserve"> if SP AusNet switched to mesh radio</w:t>
      </w:r>
      <w:r w:rsidR="00764813">
        <w:rPr>
          <w:rStyle w:val="AERbody"/>
        </w:rPr>
        <w:t>,</w:t>
      </w:r>
      <w:r>
        <w:rPr>
          <w:rStyle w:val="AERbody"/>
        </w:rPr>
        <w:t xml:space="preserve"> given the successful implementation of the other Victorian DNSPs</w:t>
      </w:r>
      <w:r>
        <w:rPr>
          <w:rStyle w:val="FootnoteReference"/>
        </w:rPr>
        <w:footnoteReference w:id="170"/>
      </w:r>
    </w:p>
    <w:p w:rsidR="00177FA2" w:rsidRPr="00537B84" w:rsidRDefault="00FB2462" w:rsidP="00177FA2">
      <w:pPr>
        <w:pStyle w:val="AERbulletlistfirststyle"/>
        <w:rPr>
          <w:rStyle w:val="AERbody"/>
        </w:rPr>
      </w:pPr>
      <w:r>
        <w:rPr>
          <w:rStyle w:val="AERbody"/>
        </w:rPr>
        <w:t xml:space="preserve">while uncertainty and risk </w:t>
      </w:r>
      <w:r w:rsidR="00177FA2">
        <w:rPr>
          <w:rStyle w:val="AERbody"/>
        </w:rPr>
        <w:t xml:space="preserve">is inherent in changing technology, the AER considers the </w:t>
      </w:r>
      <w:r w:rsidR="00177FA2" w:rsidRPr="00537B84">
        <w:rPr>
          <w:rStyle w:val="AERbody"/>
        </w:rPr>
        <w:t xml:space="preserve">relative </w:t>
      </w:r>
      <w:r w:rsidR="008937EF">
        <w:rPr>
          <w:rStyle w:val="AERbody"/>
        </w:rPr>
        <w:t xml:space="preserve">technology, implementation and performance </w:t>
      </w:r>
      <w:r w:rsidR="00177FA2" w:rsidRPr="00537B84">
        <w:rPr>
          <w:rStyle w:val="AERbody"/>
        </w:rPr>
        <w:t xml:space="preserve">risks of the proven mesh </w:t>
      </w:r>
      <w:r w:rsidR="00177FA2">
        <w:rPr>
          <w:rStyle w:val="AERbody"/>
        </w:rPr>
        <w:t xml:space="preserve">radio </w:t>
      </w:r>
      <w:r w:rsidR="00177FA2" w:rsidRPr="00537B84">
        <w:rPr>
          <w:rStyle w:val="AERbody"/>
        </w:rPr>
        <w:t xml:space="preserve">solution </w:t>
      </w:r>
      <w:r w:rsidR="00177FA2">
        <w:rPr>
          <w:rStyle w:val="AERbody"/>
        </w:rPr>
        <w:t xml:space="preserve">are </w:t>
      </w:r>
      <w:r w:rsidR="008C753A">
        <w:rPr>
          <w:rStyle w:val="AERbody"/>
        </w:rPr>
        <w:t xml:space="preserve">considerably </w:t>
      </w:r>
      <w:r w:rsidR="00177FA2">
        <w:rPr>
          <w:rStyle w:val="AERbody"/>
        </w:rPr>
        <w:t>less than the</w:t>
      </w:r>
      <w:r w:rsidR="00177FA2" w:rsidRPr="00537B84">
        <w:rPr>
          <w:rStyle w:val="AERbody"/>
        </w:rPr>
        <w:t xml:space="preserve"> unproven and increasingly problematic WiMAX</w:t>
      </w:r>
      <w:r w:rsidR="00177FA2">
        <w:rPr>
          <w:rStyle w:val="AERbody"/>
        </w:rPr>
        <w:t xml:space="preserve"> solution</w:t>
      </w:r>
      <w:r w:rsidR="008C753A">
        <w:rPr>
          <w:rStyle w:val="AERbody"/>
        </w:rPr>
        <w:t xml:space="preserve"> as at 28 February 2011</w:t>
      </w:r>
      <w:r w:rsidR="00177FA2">
        <w:rPr>
          <w:rStyle w:val="AERbody"/>
        </w:rPr>
        <w:t>:</w:t>
      </w:r>
      <w:r w:rsidR="00177FA2">
        <w:rPr>
          <w:rStyle w:val="FootnoteReference"/>
        </w:rPr>
        <w:footnoteReference w:id="171"/>
      </w:r>
      <w:r w:rsidR="00177FA2" w:rsidRPr="00537B84">
        <w:rPr>
          <w:rStyle w:val="AERbody"/>
        </w:rPr>
        <w:t xml:space="preserve"> </w:t>
      </w:r>
    </w:p>
    <w:p w:rsidR="00177FA2" w:rsidRDefault="00177FA2" w:rsidP="00177FA2">
      <w:pPr>
        <w:pStyle w:val="AERbulletlistsecondstyle"/>
        <w:rPr>
          <w:rStyle w:val="AERbody"/>
        </w:rPr>
      </w:pPr>
      <w:r>
        <w:rPr>
          <w:rStyle w:val="AERbody"/>
        </w:rPr>
        <w:t xml:space="preserve">on the one hand, mesh radio </w:t>
      </w:r>
      <w:r w:rsidR="008C753A">
        <w:rPr>
          <w:rStyle w:val="AERbody"/>
        </w:rPr>
        <w:t>was being</w:t>
      </w:r>
      <w:r>
        <w:rPr>
          <w:rStyle w:val="AERbody"/>
        </w:rPr>
        <w:t xml:space="preserve"> </w:t>
      </w:r>
      <w:r w:rsidRPr="00537B84">
        <w:rPr>
          <w:rStyle w:val="AERbody"/>
        </w:rPr>
        <w:t>successful</w:t>
      </w:r>
      <w:r>
        <w:rPr>
          <w:rStyle w:val="AERbody"/>
        </w:rPr>
        <w:t xml:space="preserve">ly </w:t>
      </w:r>
      <w:r w:rsidRPr="00537B84">
        <w:rPr>
          <w:rStyle w:val="AERbody"/>
        </w:rPr>
        <w:t>deploy</w:t>
      </w:r>
      <w:r>
        <w:rPr>
          <w:rStyle w:val="AERbody"/>
        </w:rPr>
        <w:t>ed</w:t>
      </w:r>
      <w:r w:rsidRPr="00537B84">
        <w:rPr>
          <w:rStyle w:val="AERbody"/>
        </w:rPr>
        <w:t xml:space="preserve"> by </w:t>
      </w:r>
      <w:r>
        <w:rPr>
          <w:rStyle w:val="AERbody"/>
        </w:rPr>
        <w:t xml:space="preserve">the </w:t>
      </w:r>
      <w:r w:rsidRPr="00537B84">
        <w:rPr>
          <w:rStyle w:val="AERbody"/>
        </w:rPr>
        <w:t>other four Victorian</w:t>
      </w:r>
      <w:r>
        <w:rPr>
          <w:rStyle w:val="AERbody"/>
        </w:rPr>
        <w:t xml:space="preserve"> DNSPs</w:t>
      </w:r>
      <w:r w:rsidRPr="00537B84">
        <w:rPr>
          <w:rStyle w:val="AERbody"/>
        </w:rPr>
        <w:t xml:space="preserve"> </w:t>
      </w:r>
      <w:r>
        <w:rPr>
          <w:rStyle w:val="AERbody"/>
        </w:rPr>
        <w:t>and</w:t>
      </w:r>
      <w:r w:rsidRPr="00537B84">
        <w:rPr>
          <w:rStyle w:val="AERbody"/>
        </w:rPr>
        <w:t xml:space="preserve"> one of the largest overseas AMI deployments </w:t>
      </w:r>
      <w:r>
        <w:rPr>
          <w:rStyle w:val="AERbody"/>
        </w:rPr>
        <w:t xml:space="preserve">as </w:t>
      </w:r>
      <w:r w:rsidRPr="00537B84">
        <w:rPr>
          <w:rStyle w:val="AERbody"/>
        </w:rPr>
        <w:t xml:space="preserve">at </w:t>
      </w:r>
      <w:r>
        <w:rPr>
          <w:rStyle w:val="AERbody"/>
        </w:rPr>
        <w:t>February 2011 was a mesh radio rollout</w:t>
      </w:r>
      <w:r>
        <w:rPr>
          <w:rStyle w:val="FootnoteReference"/>
        </w:rPr>
        <w:footnoteReference w:id="172"/>
      </w:r>
      <w:r>
        <w:rPr>
          <w:rStyle w:val="AERbody"/>
        </w:rPr>
        <w:t xml:space="preserve"> </w:t>
      </w:r>
    </w:p>
    <w:p w:rsidR="00177FA2" w:rsidRDefault="00177FA2" w:rsidP="00177FA2">
      <w:pPr>
        <w:pStyle w:val="AERbulletlistsecondstyle"/>
        <w:rPr>
          <w:rStyle w:val="AERbody"/>
        </w:rPr>
      </w:pPr>
      <w:r>
        <w:rPr>
          <w:rStyle w:val="AERbody"/>
        </w:rPr>
        <w:t xml:space="preserve">conversely, SP AusNet </w:t>
      </w:r>
      <w:r w:rsidR="008C753A">
        <w:rPr>
          <w:rStyle w:val="AERbody"/>
        </w:rPr>
        <w:t xml:space="preserve">was </w:t>
      </w:r>
      <w:r>
        <w:rPr>
          <w:rStyle w:val="AERbody"/>
        </w:rPr>
        <w:t>experienc</w:t>
      </w:r>
      <w:r w:rsidR="008C753A">
        <w:rPr>
          <w:rStyle w:val="AERbody"/>
        </w:rPr>
        <w:t>ing</w:t>
      </w:r>
      <w:r>
        <w:rPr>
          <w:rStyle w:val="AERbody"/>
        </w:rPr>
        <w:t xml:space="preserve"> problems and cost increases with WiMAX. For example, in July 2010, SP AusNet's Board was aware that the cost of the AMI program estimate had increased 19 per cent from the July 2008 business case due to WiMAX issues.</w:t>
      </w:r>
      <w:r>
        <w:rPr>
          <w:rStyle w:val="FootnoteReference"/>
        </w:rPr>
        <w:footnoteReference w:id="173"/>
      </w:r>
    </w:p>
    <w:p w:rsidR="00FB2462" w:rsidRDefault="00177FA2" w:rsidP="00B2634A">
      <w:pPr>
        <w:pStyle w:val="AERbulletlistfirststyle"/>
        <w:rPr>
          <w:rStyle w:val="AERbody"/>
        </w:rPr>
      </w:pPr>
      <w:r>
        <w:rPr>
          <w:rStyle w:val="AERbody"/>
        </w:rPr>
        <w:t xml:space="preserve">as noted above, the AER considers switching to mesh radio </w:t>
      </w:r>
      <w:r w:rsidR="00316D1A">
        <w:rPr>
          <w:rStyle w:val="AERbody"/>
        </w:rPr>
        <w:t>at the appropriate time would</w:t>
      </w:r>
      <w:r>
        <w:rPr>
          <w:rStyle w:val="AERbody"/>
        </w:rPr>
        <w:t xml:space="preserve"> not </w:t>
      </w:r>
      <w:r w:rsidR="00316D1A">
        <w:rPr>
          <w:rStyle w:val="AERbody"/>
        </w:rPr>
        <w:t xml:space="preserve">materially </w:t>
      </w:r>
      <w:r>
        <w:rPr>
          <w:rStyle w:val="AERbody"/>
        </w:rPr>
        <w:t>delay the AMI project</w:t>
      </w:r>
    </w:p>
    <w:p w:rsidR="008937EF" w:rsidRDefault="008937EF" w:rsidP="00B2634A">
      <w:pPr>
        <w:pStyle w:val="AERbulletlistfirststyle"/>
        <w:rPr>
          <w:rStyle w:val="AERbody"/>
        </w:rPr>
      </w:pPr>
      <w:r>
        <w:rPr>
          <w:rStyle w:val="AERbody"/>
        </w:rPr>
        <w:t xml:space="preserve">SP AusNet's assertion that it is unusual to change technology for an IT project is unsubstantiated. </w:t>
      </w:r>
      <w:r w:rsidR="00316D1A">
        <w:rPr>
          <w:rStyle w:val="AERbody"/>
        </w:rPr>
        <w:t>From a commercial perspective, it would be expected that any business acting reasonably</w:t>
      </w:r>
      <w:r>
        <w:rPr>
          <w:rStyle w:val="AERbody"/>
        </w:rPr>
        <w:t xml:space="preserve"> would change technology if it became evident that the original decision was manifestly incorrect and the consequences of continuing with the original technology were unacceptable. The AER's quantitative analysis suggests that SP AusNet's original decision to implement WiMAX was manifestly incorrect due to the significantly higher costs </w:t>
      </w:r>
      <w:r w:rsidR="00F00327">
        <w:rPr>
          <w:rStyle w:val="AERbody"/>
        </w:rPr>
        <w:t xml:space="preserve">of which SP AusNet would been aware of by February 2011 as </w:t>
      </w:r>
      <w:r>
        <w:rPr>
          <w:rStyle w:val="AERbody"/>
        </w:rPr>
        <w:t>compared to the 2008 business case and the mesh radio alternative.</w:t>
      </w:r>
    </w:p>
    <w:p w:rsidR="002B4D6D" w:rsidRDefault="002B4D6D" w:rsidP="00152DFB">
      <w:pPr>
        <w:pStyle w:val="AERheading4"/>
        <w:rPr>
          <w:rStyle w:val="AERbody"/>
        </w:rPr>
      </w:pPr>
      <w:r>
        <w:rPr>
          <w:rStyle w:val="AERbody"/>
        </w:rPr>
        <w:t>Shareholder value</w:t>
      </w:r>
    </w:p>
    <w:p w:rsidR="0054726C" w:rsidRPr="0054726C" w:rsidRDefault="00240AC7" w:rsidP="0054726C">
      <w:pPr>
        <w:pStyle w:val="AERbodytext"/>
        <w:rPr>
          <w:rStyle w:val="AERbody"/>
        </w:rPr>
      </w:pPr>
      <w:r>
        <w:rPr>
          <w:rStyle w:val="AERbody"/>
        </w:rPr>
        <w:t>SP AusNet submitted that</w:t>
      </w:r>
      <w:r w:rsidR="0054726C" w:rsidRPr="0054726C">
        <w:rPr>
          <w:rStyle w:val="AERbody"/>
        </w:rPr>
        <w:t xml:space="preserve"> the commercial standard adopted must be consistent with maximising long-term value</w:t>
      </w:r>
      <w:r>
        <w:rPr>
          <w:rStyle w:val="AERbody"/>
        </w:rPr>
        <w:t xml:space="preserve"> for shareholders</w:t>
      </w:r>
      <w:r w:rsidR="0054726C" w:rsidRPr="0054726C">
        <w:rPr>
          <w:rStyle w:val="AERbody"/>
        </w:rPr>
        <w:t xml:space="preserve">. </w:t>
      </w:r>
      <w:r>
        <w:rPr>
          <w:rStyle w:val="AERbody"/>
        </w:rPr>
        <w:t>It considered</w:t>
      </w:r>
      <w:r w:rsidR="0054726C" w:rsidRPr="0054726C">
        <w:rPr>
          <w:rStyle w:val="AERbody"/>
        </w:rPr>
        <w:t xml:space="preserve"> an option that would damage the company’s reputation and its share price as being inconsistent with th</w:t>
      </w:r>
      <w:r>
        <w:rPr>
          <w:rStyle w:val="AERbody"/>
        </w:rPr>
        <w:t>at</w:t>
      </w:r>
      <w:r w:rsidR="0054726C" w:rsidRPr="0054726C">
        <w:rPr>
          <w:rStyle w:val="AERbody"/>
        </w:rPr>
        <w:t xml:space="preserve"> standard.</w:t>
      </w:r>
      <w:r w:rsidR="008903D2">
        <w:rPr>
          <w:rStyle w:val="AERbody"/>
        </w:rPr>
        <w:t xml:space="preserve"> In particular, SP AusNet raised concerns about the impact that sanctions for non-compliance with the AMI Order would have on shareholders and creditors.</w:t>
      </w:r>
      <w:r w:rsidR="008903D2">
        <w:rPr>
          <w:rStyle w:val="FootnoteReference"/>
        </w:rPr>
        <w:footnoteReference w:id="174"/>
      </w:r>
      <w:r w:rsidR="008903D2">
        <w:rPr>
          <w:rStyle w:val="AERbody"/>
        </w:rPr>
        <w:t xml:space="preserve">  </w:t>
      </w:r>
    </w:p>
    <w:p w:rsidR="0054726C" w:rsidRPr="0054726C" w:rsidRDefault="00240AC7" w:rsidP="0054726C">
      <w:pPr>
        <w:pStyle w:val="AERbodytext"/>
        <w:rPr>
          <w:rStyle w:val="AERbody"/>
        </w:rPr>
      </w:pPr>
      <w:r>
        <w:rPr>
          <w:rStyle w:val="AERbody"/>
        </w:rPr>
        <w:t>The AER</w:t>
      </w:r>
      <w:r w:rsidR="0054726C" w:rsidRPr="0054726C">
        <w:rPr>
          <w:rStyle w:val="AERbody"/>
        </w:rPr>
        <w:t xml:space="preserve"> considers its approach and findings </w:t>
      </w:r>
      <w:r>
        <w:rPr>
          <w:rStyle w:val="AERbody"/>
        </w:rPr>
        <w:t>do not contradict the principle</w:t>
      </w:r>
      <w:r w:rsidR="0054726C" w:rsidRPr="0054726C">
        <w:rPr>
          <w:rStyle w:val="AERbody"/>
        </w:rPr>
        <w:t xml:space="preserve"> </w:t>
      </w:r>
      <w:r w:rsidR="00144876">
        <w:rPr>
          <w:rStyle w:val="AERbody"/>
        </w:rPr>
        <w:t>of</w:t>
      </w:r>
      <w:r w:rsidR="008903D2">
        <w:rPr>
          <w:rStyle w:val="AERbody"/>
        </w:rPr>
        <w:t xml:space="preserve"> maximising long </w:t>
      </w:r>
      <w:r w:rsidR="0054726C" w:rsidRPr="0054726C">
        <w:rPr>
          <w:rStyle w:val="AERbody"/>
        </w:rPr>
        <w:t>term shareholder value</w:t>
      </w:r>
      <w:r w:rsidR="00144876">
        <w:rPr>
          <w:rStyle w:val="AERbody"/>
        </w:rPr>
        <w:t xml:space="preserve"> </w:t>
      </w:r>
      <w:r w:rsidR="00DE33B1">
        <w:rPr>
          <w:rStyle w:val="AERbody"/>
        </w:rPr>
        <w:t>and support its quantitative analysis</w:t>
      </w:r>
      <w:r w:rsidR="00144876">
        <w:rPr>
          <w:rStyle w:val="AERbody"/>
        </w:rPr>
        <w:t>:</w:t>
      </w:r>
      <w:r w:rsidR="00144876">
        <w:rPr>
          <w:rStyle w:val="FootnoteReference"/>
        </w:rPr>
        <w:footnoteReference w:id="175"/>
      </w:r>
      <w:r w:rsidR="0054726C" w:rsidRPr="0054726C">
        <w:rPr>
          <w:rStyle w:val="AERbody"/>
        </w:rPr>
        <w:t xml:space="preserve"> </w:t>
      </w:r>
    </w:p>
    <w:p w:rsidR="0054726C" w:rsidRPr="0054726C" w:rsidRDefault="00144876" w:rsidP="00144876">
      <w:pPr>
        <w:pStyle w:val="AERbulletlistfirststyle"/>
        <w:rPr>
          <w:rStyle w:val="AERbody"/>
        </w:rPr>
      </w:pPr>
      <w:r>
        <w:rPr>
          <w:rStyle w:val="AERbody"/>
        </w:rPr>
        <w:t>the AER's</w:t>
      </w:r>
      <w:r w:rsidR="0054726C" w:rsidRPr="0054726C">
        <w:rPr>
          <w:rStyle w:val="AERbody"/>
        </w:rPr>
        <w:t xml:space="preserve"> approach identifies good corporate governance, cost benefit assessments and the use of appropriate benchmarks as essential elements of a process to </w:t>
      </w:r>
      <w:r w:rsidR="00B76F15">
        <w:rPr>
          <w:rStyle w:val="AERbody"/>
        </w:rPr>
        <w:t xml:space="preserve">minimise its costs and </w:t>
      </w:r>
      <w:r w:rsidR="0054726C" w:rsidRPr="0054726C">
        <w:rPr>
          <w:rStyle w:val="AERbody"/>
        </w:rPr>
        <w:t>establish a budget</w:t>
      </w:r>
      <w:r w:rsidR="001D56DE">
        <w:rPr>
          <w:rStyle w:val="AERbody"/>
        </w:rPr>
        <w:t>,</w:t>
      </w:r>
      <w:r w:rsidR="0054726C" w:rsidRPr="0054726C">
        <w:rPr>
          <w:rStyle w:val="AERbody"/>
        </w:rPr>
        <w:t xml:space="preserve"> above which </w:t>
      </w:r>
      <w:r w:rsidR="001D56DE">
        <w:rPr>
          <w:rStyle w:val="AERbody"/>
        </w:rPr>
        <w:t xml:space="preserve">the </w:t>
      </w:r>
      <w:r w:rsidR="0054726C" w:rsidRPr="0054726C">
        <w:rPr>
          <w:rStyle w:val="AERbody"/>
        </w:rPr>
        <w:t xml:space="preserve">expenditure would be not prudent under the terms of the </w:t>
      </w:r>
      <w:r>
        <w:rPr>
          <w:rStyle w:val="AERbody"/>
        </w:rPr>
        <w:t>AMI Order</w:t>
      </w:r>
      <w:r w:rsidR="001D56DE">
        <w:rPr>
          <w:rStyle w:val="FootnoteReference"/>
        </w:rPr>
        <w:footnoteReference w:id="176"/>
      </w:r>
    </w:p>
    <w:p w:rsidR="002B4D6D" w:rsidRDefault="00144876" w:rsidP="00144876">
      <w:pPr>
        <w:pStyle w:val="AERbulletlistfirststyle"/>
        <w:rPr>
          <w:rStyle w:val="AERbody"/>
        </w:rPr>
      </w:pPr>
      <w:r>
        <w:rPr>
          <w:rStyle w:val="AERbody"/>
        </w:rPr>
        <w:t>the</w:t>
      </w:r>
      <w:r w:rsidR="0054726C" w:rsidRPr="0054726C">
        <w:rPr>
          <w:rStyle w:val="AERbody"/>
        </w:rPr>
        <w:t xml:space="preserve"> application of these good governance and industry standard commercial practices </w:t>
      </w:r>
      <w:r>
        <w:rPr>
          <w:rStyle w:val="AERbody"/>
        </w:rPr>
        <w:t xml:space="preserve">has led the AER </w:t>
      </w:r>
      <w:r w:rsidR="0054726C" w:rsidRPr="0054726C">
        <w:rPr>
          <w:rStyle w:val="AERbody"/>
        </w:rPr>
        <w:t>to conclu</w:t>
      </w:r>
      <w:r>
        <w:rPr>
          <w:rStyle w:val="AERbody"/>
        </w:rPr>
        <w:t>de</w:t>
      </w:r>
      <w:r w:rsidR="0054726C" w:rsidRPr="0054726C">
        <w:rPr>
          <w:rStyle w:val="AERbody"/>
        </w:rPr>
        <w:t xml:space="preserve"> that a reasonable business in </w:t>
      </w:r>
      <w:r>
        <w:rPr>
          <w:rStyle w:val="AERbody"/>
        </w:rPr>
        <w:t xml:space="preserve">SP AusNet's </w:t>
      </w:r>
      <w:r w:rsidR="0054726C" w:rsidRPr="0054726C">
        <w:rPr>
          <w:rStyle w:val="AERbody"/>
        </w:rPr>
        <w:t xml:space="preserve">circumstances would not incur more than the cost of a mesh </w:t>
      </w:r>
      <w:r>
        <w:rPr>
          <w:rStyle w:val="AERbody"/>
        </w:rPr>
        <w:t xml:space="preserve">radio </w:t>
      </w:r>
      <w:r w:rsidR="0054726C" w:rsidRPr="0054726C">
        <w:rPr>
          <w:rStyle w:val="AERbody"/>
        </w:rPr>
        <w:t xml:space="preserve">solution to meet </w:t>
      </w:r>
      <w:r w:rsidR="001D56DE">
        <w:rPr>
          <w:rStyle w:val="AERbody"/>
        </w:rPr>
        <w:t>its</w:t>
      </w:r>
      <w:r w:rsidR="0054726C" w:rsidRPr="0054726C">
        <w:rPr>
          <w:rStyle w:val="AERbody"/>
        </w:rPr>
        <w:t xml:space="preserve"> in-scope activities</w:t>
      </w:r>
      <w:r w:rsidR="004F7464">
        <w:rPr>
          <w:rStyle w:val="AERbody"/>
        </w:rPr>
        <w:t>, which is consistent with maximising its capital value</w:t>
      </w:r>
      <w:r w:rsidR="0054726C" w:rsidRPr="0054726C">
        <w:rPr>
          <w:rStyle w:val="AERbody"/>
        </w:rPr>
        <w:t>.</w:t>
      </w:r>
    </w:p>
    <w:p w:rsidR="008903D2" w:rsidRDefault="00CC48E1" w:rsidP="008903D2">
      <w:pPr>
        <w:pStyle w:val="AERbodytext"/>
        <w:rPr>
          <w:rStyle w:val="AERbody"/>
        </w:rPr>
      </w:pPr>
      <w:r>
        <w:rPr>
          <w:rStyle w:val="AERbody"/>
        </w:rPr>
        <w:t>As noted above, the AER consider</w:t>
      </w:r>
      <w:r w:rsidR="008C753A">
        <w:rPr>
          <w:rStyle w:val="AERbody"/>
        </w:rPr>
        <w:t>s</w:t>
      </w:r>
      <w:r>
        <w:rPr>
          <w:rStyle w:val="AERbody"/>
        </w:rPr>
        <w:t xml:space="preserve"> </w:t>
      </w:r>
      <w:r w:rsidR="00184CD2">
        <w:rPr>
          <w:rStyle w:val="AERbody"/>
        </w:rPr>
        <w:t xml:space="preserve">SP AusNet's concerns about sanctions for non-compliance with the AMI Order are </w:t>
      </w:r>
      <w:r w:rsidR="008C753A">
        <w:rPr>
          <w:rStyle w:val="AERbody"/>
        </w:rPr>
        <w:t xml:space="preserve">not </w:t>
      </w:r>
      <w:r w:rsidR="00184CD2">
        <w:rPr>
          <w:rStyle w:val="AERbody"/>
        </w:rPr>
        <w:t>well founded</w:t>
      </w:r>
      <w:r w:rsidR="004F7464">
        <w:rPr>
          <w:rStyle w:val="AERbody"/>
        </w:rPr>
        <w:t>,</w:t>
      </w:r>
      <w:r w:rsidR="00F00327">
        <w:rPr>
          <w:rStyle w:val="AERbody"/>
        </w:rPr>
        <w:t xml:space="preserve"> in part because they do not factor in risk mitigation strategies</w:t>
      </w:r>
      <w:r w:rsidR="00184CD2">
        <w:rPr>
          <w:rStyle w:val="AERbody"/>
        </w:rPr>
        <w:t>. The AER considers that switching to mesh radio would not result in delays, and SP AusNet</w:t>
      </w:r>
      <w:r w:rsidR="00F00327">
        <w:rPr>
          <w:rStyle w:val="AERbody"/>
        </w:rPr>
        <w:t xml:space="preserve"> could have met its</w:t>
      </w:r>
      <w:r w:rsidR="00184CD2">
        <w:rPr>
          <w:rStyle w:val="AERbody"/>
        </w:rPr>
        <w:t xml:space="preserve"> obligation under the AMI Order to use its "best endeavours" to comply with the rollout schedule.</w:t>
      </w:r>
    </w:p>
    <w:p w:rsidR="00F00327" w:rsidRDefault="00F00327" w:rsidP="008903D2">
      <w:pPr>
        <w:pStyle w:val="AERbodytext"/>
        <w:rPr>
          <w:rStyle w:val="AERbody"/>
        </w:rPr>
      </w:pPr>
      <w:r>
        <w:rPr>
          <w:rStyle w:val="AERbody"/>
        </w:rPr>
        <w:t xml:space="preserve">Conversely, by continuing its rollout using WiMAX and incurring expenditure that may not be considered prudent by the AER could also damage its reputation. The AER does not consider a reasonable commercial business would continue to incur higher costs </w:t>
      </w:r>
      <w:r w:rsidR="00A91A2E">
        <w:rPr>
          <w:rStyle w:val="AERbody"/>
        </w:rPr>
        <w:t xml:space="preserve">just </w:t>
      </w:r>
      <w:r>
        <w:rPr>
          <w:rStyle w:val="AERbody"/>
        </w:rPr>
        <w:t xml:space="preserve">to avoid the potential embarrassment that may result from switching technology. </w:t>
      </w:r>
    </w:p>
    <w:p w:rsidR="002B4D6D" w:rsidRDefault="002B4D6D" w:rsidP="00152DFB">
      <w:pPr>
        <w:pStyle w:val="AERheading4"/>
        <w:rPr>
          <w:rStyle w:val="AERbody"/>
        </w:rPr>
      </w:pPr>
      <w:r>
        <w:rPr>
          <w:rStyle w:val="AERbody"/>
        </w:rPr>
        <w:t>Customer price and service</w:t>
      </w:r>
    </w:p>
    <w:p w:rsidR="006B31C2" w:rsidRPr="006B31C2" w:rsidRDefault="006B31C2" w:rsidP="006B31C2">
      <w:pPr>
        <w:pStyle w:val="AERbodytext"/>
        <w:rPr>
          <w:rStyle w:val="AERbody"/>
        </w:rPr>
      </w:pPr>
      <w:r w:rsidRPr="006B31C2">
        <w:rPr>
          <w:rStyle w:val="AERbody"/>
        </w:rPr>
        <w:t>SP</w:t>
      </w:r>
      <w:r w:rsidR="00614590">
        <w:rPr>
          <w:rStyle w:val="AERbody"/>
        </w:rPr>
        <w:t xml:space="preserve"> </w:t>
      </w:r>
      <w:r w:rsidRPr="006B31C2">
        <w:rPr>
          <w:rStyle w:val="AERbody"/>
        </w:rPr>
        <w:t>A</w:t>
      </w:r>
      <w:r w:rsidR="00614590">
        <w:rPr>
          <w:rStyle w:val="AERbody"/>
        </w:rPr>
        <w:t>usNet submitted</w:t>
      </w:r>
      <w:r w:rsidRPr="006B31C2">
        <w:rPr>
          <w:rStyle w:val="AERbody"/>
        </w:rPr>
        <w:t xml:space="preserve"> that the commercial standard </w:t>
      </w:r>
      <w:r w:rsidR="00614590">
        <w:rPr>
          <w:rStyle w:val="AERbody"/>
        </w:rPr>
        <w:t>should</w:t>
      </w:r>
      <w:r w:rsidRPr="006B31C2">
        <w:rPr>
          <w:rStyle w:val="AERbody"/>
        </w:rPr>
        <w:t xml:space="preserve"> have regard to customer concerns related to price and service impacts. </w:t>
      </w:r>
      <w:r w:rsidR="00505958">
        <w:rPr>
          <w:rStyle w:val="AERbody"/>
        </w:rPr>
        <w:t>In particular, SP Aus</w:t>
      </w:r>
      <w:r w:rsidR="008903D2">
        <w:rPr>
          <w:rStyle w:val="AERbody"/>
        </w:rPr>
        <w:t>Net raised concerns about cost, delay and inconvenience of working on customer premises</w:t>
      </w:r>
      <w:r w:rsidRPr="006B31C2">
        <w:rPr>
          <w:rStyle w:val="AERbody"/>
        </w:rPr>
        <w:t>.</w:t>
      </w:r>
      <w:r w:rsidR="00210E33">
        <w:rPr>
          <w:rStyle w:val="FootnoteReference"/>
        </w:rPr>
        <w:footnoteReference w:id="177"/>
      </w:r>
      <w:r w:rsidRPr="006B31C2">
        <w:rPr>
          <w:rStyle w:val="AERbody"/>
        </w:rPr>
        <w:t xml:space="preserve"> </w:t>
      </w:r>
    </w:p>
    <w:p w:rsidR="006B31C2" w:rsidRPr="006B31C2" w:rsidRDefault="00210E33" w:rsidP="006B31C2">
      <w:pPr>
        <w:pStyle w:val="AERbodytext"/>
        <w:rPr>
          <w:rStyle w:val="AERbody"/>
        </w:rPr>
      </w:pPr>
      <w:r>
        <w:rPr>
          <w:rStyle w:val="AERbody"/>
        </w:rPr>
        <w:t xml:space="preserve">The AER agrees these are </w:t>
      </w:r>
      <w:r w:rsidR="006B31C2" w:rsidRPr="006B31C2">
        <w:rPr>
          <w:rStyle w:val="AERbody"/>
        </w:rPr>
        <w:t xml:space="preserve">relevant </w:t>
      </w:r>
      <w:r w:rsidR="008903D2">
        <w:rPr>
          <w:rStyle w:val="AERbody"/>
        </w:rPr>
        <w:t xml:space="preserve">to SP AusNet's </w:t>
      </w:r>
      <w:r w:rsidR="006B31C2" w:rsidRPr="006B31C2">
        <w:rPr>
          <w:rStyle w:val="AERbody"/>
        </w:rPr>
        <w:t>circumstances under</w:t>
      </w:r>
      <w:r>
        <w:rPr>
          <w:rStyle w:val="AERbody"/>
        </w:rPr>
        <w:t xml:space="preserve"> AMI Order</w:t>
      </w:r>
      <w:r w:rsidR="00184CD2">
        <w:rPr>
          <w:rStyle w:val="AERbody"/>
        </w:rPr>
        <w:t>.</w:t>
      </w:r>
      <w:r w:rsidR="00184CD2">
        <w:rPr>
          <w:rStyle w:val="FootnoteReference"/>
        </w:rPr>
        <w:footnoteReference w:id="178"/>
      </w:r>
      <w:r w:rsidR="00184CD2">
        <w:rPr>
          <w:rStyle w:val="AERbody"/>
        </w:rPr>
        <w:t xml:space="preserve"> However, the AER </w:t>
      </w:r>
      <w:r w:rsidR="00831FD9">
        <w:t>does not agree that they would be an impediment to making a decision to switch where mesh showed to be a lower cost option</w:t>
      </w:r>
      <w:r>
        <w:rPr>
          <w:rStyle w:val="AERbody"/>
        </w:rPr>
        <w:t>:</w:t>
      </w:r>
      <w:r>
        <w:rPr>
          <w:rStyle w:val="FootnoteReference"/>
        </w:rPr>
        <w:footnoteReference w:id="179"/>
      </w:r>
    </w:p>
    <w:p w:rsidR="006B31C2" w:rsidRPr="006B31C2" w:rsidRDefault="008903D2" w:rsidP="00210E33">
      <w:pPr>
        <w:pStyle w:val="AERbulletlistfirststyle"/>
        <w:rPr>
          <w:rStyle w:val="AERbody"/>
        </w:rPr>
      </w:pPr>
      <w:r>
        <w:rPr>
          <w:rStyle w:val="AERbody"/>
        </w:rPr>
        <w:t xml:space="preserve">the AER's analysis considered that </w:t>
      </w:r>
      <w:r w:rsidR="00210E33">
        <w:rPr>
          <w:rStyle w:val="AERbody"/>
        </w:rPr>
        <w:t>a</w:t>
      </w:r>
      <w:r w:rsidR="006B31C2" w:rsidRPr="006B31C2">
        <w:rPr>
          <w:rStyle w:val="AERbody"/>
        </w:rPr>
        <w:t xml:space="preserve">ll other things being equal, a reasonable business </w:t>
      </w:r>
      <w:r w:rsidR="00210E33">
        <w:rPr>
          <w:rStyle w:val="AERbody"/>
        </w:rPr>
        <w:t xml:space="preserve">in SP AusNet's circumstances </w:t>
      </w:r>
      <w:r w:rsidR="006B31C2" w:rsidRPr="006B31C2">
        <w:rPr>
          <w:rStyle w:val="AERbody"/>
        </w:rPr>
        <w:t xml:space="preserve">would select an option that would not delay </w:t>
      </w:r>
      <w:r w:rsidR="00210E33">
        <w:rPr>
          <w:rStyle w:val="AERbody"/>
        </w:rPr>
        <w:t xml:space="preserve">the </w:t>
      </w:r>
      <w:r w:rsidR="006B31C2" w:rsidRPr="006B31C2">
        <w:rPr>
          <w:rStyle w:val="AERbody"/>
        </w:rPr>
        <w:t>offering of AMI services</w:t>
      </w:r>
      <w:r w:rsidR="00210E33">
        <w:rPr>
          <w:rStyle w:val="AERbody"/>
        </w:rPr>
        <w:t>,</w:t>
      </w:r>
      <w:r w:rsidR="006B31C2" w:rsidRPr="006B31C2">
        <w:rPr>
          <w:rStyle w:val="AERbody"/>
        </w:rPr>
        <w:t xml:space="preserve"> or increase the cost of those services, re</w:t>
      </w:r>
      <w:r w:rsidR="00184CD2">
        <w:rPr>
          <w:rStyle w:val="AERbody"/>
        </w:rPr>
        <w:t>lative to an option that would</w:t>
      </w:r>
    </w:p>
    <w:p w:rsidR="00210E33" w:rsidRDefault="00210E33" w:rsidP="003E0547">
      <w:pPr>
        <w:pStyle w:val="AERbulletlistfirststyle"/>
        <w:rPr>
          <w:rStyle w:val="AERbody"/>
        </w:rPr>
      </w:pPr>
      <w:r>
        <w:rPr>
          <w:rStyle w:val="AERbody"/>
        </w:rPr>
        <w:t xml:space="preserve">the AER's quantitative analysis </w:t>
      </w:r>
      <w:r w:rsidR="006B31C2" w:rsidRPr="006B31C2">
        <w:rPr>
          <w:rStyle w:val="AERbody"/>
        </w:rPr>
        <w:t xml:space="preserve">found that a reasonable </w:t>
      </w:r>
      <w:r w:rsidRPr="006B31C2">
        <w:rPr>
          <w:rStyle w:val="AERbody"/>
        </w:rPr>
        <w:t xml:space="preserve">business </w:t>
      </w:r>
      <w:r>
        <w:rPr>
          <w:rStyle w:val="AERbody"/>
        </w:rPr>
        <w:t xml:space="preserve">in SP AusNet's circumstances </w:t>
      </w:r>
      <w:r w:rsidR="006B31C2" w:rsidRPr="006B31C2">
        <w:rPr>
          <w:rStyle w:val="AERbody"/>
        </w:rPr>
        <w:t xml:space="preserve">would consider the mesh </w:t>
      </w:r>
      <w:r>
        <w:rPr>
          <w:rStyle w:val="AERbody"/>
        </w:rPr>
        <w:t xml:space="preserve">radio </w:t>
      </w:r>
      <w:r w:rsidR="006B31C2" w:rsidRPr="006B31C2">
        <w:rPr>
          <w:rStyle w:val="AERbody"/>
        </w:rPr>
        <w:t>option as delivering significantly lower prices with the</w:t>
      </w:r>
      <w:r>
        <w:rPr>
          <w:rStyle w:val="AERbody"/>
        </w:rPr>
        <w:t xml:space="preserve"> same or lower risk as the WiMAX</w:t>
      </w:r>
      <w:r w:rsidR="006B31C2" w:rsidRPr="006B31C2">
        <w:rPr>
          <w:rStyle w:val="AERbody"/>
        </w:rPr>
        <w:t xml:space="preserve"> option</w:t>
      </w:r>
      <w:r w:rsidR="00184CD2">
        <w:rPr>
          <w:rStyle w:val="AERbody"/>
        </w:rPr>
        <w:t>, and no delay.</w:t>
      </w:r>
    </w:p>
    <w:p w:rsidR="002B4D6D" w:rsidRDefault="008903D2" w:rsidP="00210E33">
      <w:pPr>
        <w:pStyle w:val="AERbodytext"/>
        <w:rPr>
          <w:rStyle w:val="AERbody"/>
        </w:rPr>
      </w:pPr>
      <w:r>
        <w:rPr>
          <w:rStyle w:val="AERbody"/>
        </w:rPr>
        <w:t xml:space="preserve">The AER agrees that </w:t>
      </w:r>
      <w:r w:rsidR="00457F30">
        <w:rPr>
          <w:rStyle w:val="AERbody"/>
        </w:rPr>
        <w:t xml:space="preserve">potentially, </w:t>
      </w:r>
      <w:r>
        <w:rPr>
          <w:rStyle w:val="AERbody"/>
        </w:rPr>
        <w:t xml:space="preserve">some customers may </w:t>
      </w:r>
      <w:r w:rsidR="00457F30">
        <w:rPr>
          <w:rStyle w:val="AERbody"/>
        </w:rPr>
        <w:t>be inconvenienced</w:t>
      </w:r>
      <w:r>
        <w:rPr>
          <w:rStyle w:val="AERbody"/>
        </w:rPr>
        <w:t xml:space="preserve"> </w:t>
      </w:r>
      <w:r w:rsidR="00457F30">
        <w:rPr>
          <w:rStyle w:val="AERbody"/>
        </w:rPr>
        <w:t>due to the requirement of a site visit to change</w:t>
      </w:r>
      <w:r>
        <w:rPr>
          <w:rStyle w:val="AERbody"/>
        </w:rPr>
        <w:t xml:space="preserve"> the WiMAX NICs to mesh radio NICs</w:t>
      </w:r>
      <w:r w:rsidR="00457F30">
        <w:rPr>
          <w:rStyle w:val="AERbody"/>
        </w:rPr>
        <w:t>. However, the AER considers this inconvenience should be outweighed by the significantly lower costs of mesh radio</w:t>
      </w:r>
      <w:r>
        <w:rPr>
          <w:rStyle w:val="AERbody"/>
        </w:rPr>
        <w:t>.</w:t>
      </w:r>
    </w:p>
    <w:p w:rsidR="002B4D6D" w:rsidRDefault="002B4D6D" w:rsidP="00152DFB">
      <w:pPr>
        <w:pStyle w:val="AERheading4"/>
        <w:rPr>
          <w:rStyle w:val="AERbody"/>
        </w:rPr>
      </w:pPr>
      <w:r>
        <w:rPr>
          <w:rStyle w:val="AERbody"/>
        </w:rPr>
        <w:t>Longer term implications</w:t>
      </w:r>
    </w:p>
    <w:p w:rsidR="00F745A5" w:rsidRPr="00F745A5" w:rsidRDefault="00F745A5" w:rsidP="00F745A5">
      <w:pPr>
        <w:pStyle w:val="AERbodytext"/>
        <w:rPr>
          <w:rStyle w:val="AERbody"/>
        </w:rPr>
      </w:pPr>
      <w:r w:rsidRPr="00F745A5">
        <w:rPr>
          <w:rStyle w:val="AERbody"/>
        </w:rPr>
        <w:t>SP</w:t>
      </w:r>
      <w:r>
        <w:rPr>
          <w:rStyle w:val="AERbody"/>
        </w:rPr>
        <w:t xml:space="preserve"> </w:t>
      </w:r>
      <w:r w:rsidRPr="00F745A5">
        <w:rPr>
          <w:rStyle w:val="AERbody"/>
        </w:rPr>
        <w:t>A</w:t>
      </w:r>
      <w:r>
        <w:rPr>
          <w:rStyle w:val="AERbody"/>
        </w:rPr>
        <w:t>usNet submitted</w:t>
      </w:r>
      <w:r w:rsidRPr="00F745A5">
        <w:rPr>
          <w:rStyle w:val="AERbody"/>
        </w:rPr>
        <w:t xml:space="preserve"> that the commercial standard</w:t>
      </w:r>
      <w:r>
        <w:rPr>
          <w:rStyle w:val="AERbody"/>
        </w:rPr>
        <w:t xml:space="preserve"> must have regard to the longer </w:t>
      </w:r>
      <w:r w:rsidRPr="00F745A5">
        <w:rPr>
          <w:rStyle w:val="AERbody"/>
        </w:rPr>
        <w:t>term implications of selecting a particular option</w:t>
      </w:r>
      <w:r>
        <w:rPr>
          <w:rStyle w:val="AERbody"/>
        </w:rPr>
        <w:t>. SP AusNet considered it</w:t>
      </w:r>
      <w:r w:rsidRPr="00F745A5">
        <w:rPr>
          <w:rStyle w:val="AERbody"/>
        </w:rPr>
        <w:t xml:space="preserve"> would be inappropriate to select an option that delivers a benefit in the short </w:t>
      </w:r>
      <w:r>
        <w:rPr>
          <w:rStyle w:val="AERbody"/>
        </w:rPr>
        <w:t xml:space="preserve">term but results in higher long </w:t>
      </w:r>
      <w:r w:rsidRPr="00F745A5">
        <w:rPr>
          <w:rStyle w:val="AERbody"/>
        </w:rPr>
        <w:t>term costs</w:t>
      </w:r>
      <w:r>
        <w:rPr>
          <w:rStyle w:val="AERbody"/>
        </w:rPr>
        <w:t xml:space="preserve"> or service issues</w:t>
      </w:r>
      <w:r w:rsidRPr="00F745A5">
        <w:rPr>
          <w:rStyle w:val="AERbody"/>
        </w:rPr>
        <w:t>.</w:t>
      </w:r>
      <w:r>
        <w:rPr>
          <w:rStyle w:val="FootnoteReference"/>
        </w:rPr>
        <w:footnoteReference w:id="180"/>
      </w:r>
      <w:r>
        <w:rPr>
          <w:rStyle w:val="AERbody"/>
        </w:rPr>
        <w:t xml:space="preserve"> </w:t>
      </w:r>
      <w:r w:rsidR="001C0D70">
        <w:rPr>
          <w:rStyle w:val="AERbody"/>
        </w:rPr>
        <w:t xml:space="preserve">In particular, SP AusNet raised concerns about the implications for contractor </w:t>
      </w:r>
      <w:r>
        <w:rPr>
          <w:rStyle w:val="AERbody"/>
        </w:rPr>
        <w:t xml:space="preserve">relationships </w:t>
      </w:r>
      <w:r w:rsidR="001C0D70">
        <w:rPr>
          <w:rStyle w:val="AERbody"/>
        </w:rPr>
        <w:t>and the impact on intellectual property</w:t>
      </w:r>
      <w:r>
        <w:rPr>
          <w:rStyle w:val="AERbody"/>
        </w:rPr>
        <w:t>.</w:t>
      </w:r>
      <w:r>
        <w:rPr>
          <w:rStyle w:val="FootnoteReference"/>
        </w:rPr>
        <w:footnoteReference w:id="181"/>
      </w:r>
    </w:p>
    <w:p w:rsidR="00A44746" w:rsidRDefault="00F745A5" w:rsidP="00F745A5">
      <w:pPr>
        <w:pStyle w:val="AERbodytext"/>
        <w:rPr>
          <w:rStyle w:val="AERbody"/>
        </w:rPr>
      </w:pPr>
      <w:r>
        <w:rPr>
          <w:rStyle w:val="AERbody"/>
        </w:rPr>
        <w:t>The AER</w:t>
      </w:r>
      <w:r w:rsidRPr="00F745A5">
        <w:rPr>
          <w:rStyle w:val="AERbody"/>
        </w:rPr>
        <w:t xml:space="preserve"> agrees </w:t>
      </w:r>
      <w:r w:rsidR="00184CD2">
        <w:rPr>
          <w:rStyle w:val="AERbody"/>
        </w:rPr>
        <w:t>that</w:t>
      </w:r>
      <w:r w:rsidRPr="00F745A5">
        <w:rPr>
          <w:rStyle w:val="AERbody"/>
        </w:rPr>
        <w:t xml:space="preserve"> long</w:t>
      </w:r>
      <w:r w:rsidR="00505958">
        <w:rPr>
          <w:rStyle w:val="AERbody"/>
        </w:rPr>
        <w:t xml:space="preserve">er </w:t>
      </w:r>
      <w:r w:rsidRPr="00F745A5">
        <w:rPr>
          <w:rStyle w:val="AERbody"/>
        </w:rPr>
        <w:t xml:space="preserve">term </w:t>
      </w:r>
      <w:r w:rsidR="00184CD2">
        <w:rPr>
          <w:rStyle w:val="AERbody"/>
        </w:rPr>
        <w:t>implications are relevant to SP AusNet's circumstances under the AMI Order.</w:t>
      </w:r>
      <w:r w:rsidR="00FA56CC">
        <w:rPr>
          <w:rStyle w:val="FootnoteReference"/>
        </w:rPr>
        <w:footnoteReference w:id="182"/>
      </w:r>
      <w:r w:rsidR="00FA56CC">
        <w:rPr>
          <w:rStyle w:val="AERbody"/>
        </w:rPr>
        <w:t xml:space="preserve"> The AER has </w:t>
      </w:r>
      <w:r w:rsidR="004F7464">
        <w:rPr>
          <w:rStyle w:val="AERbody"/>
        </w:rPr>
        <w:t xml:space="preserve">explicitly </w:t>
      </w:r>
      <w:r w:rsidR="00FA56CC">
        <w:rPr>
          <w:rStyle w:val="AERbody"/>
        </w:rPr>
        <w:t>considered long term implications as part of its</w:t>
      </w:r>
      <w:r w:rsidR="00505958">
        <w:rPr>
          <w:rStyle w:val="AERbody"/>
        </w:rPr>
        <w:t xml:space="preserve"> quantitative analysis</w:t>
      </w:r>
      <w:r w:rsidR="00A44746">
        <w:rPr>
          <w:rStyle w:val="AERbody"/>
        </w:rPr>
        <w:t>:</w:t>
      </w:r>
      <w:r w:rsidR="00505958">
        <w:rPr>
          <w:rStyle w:val="FootnoteReference"/>
        </w:rPr>
        <w:footnoteReference w:id="183"/>
      </w:r>
      <w:r w:rsidR="00A44746">
        <w:rPr>
          <w:rStyle w:val="AERbody"/>
        </w:rPr>
        <w:t xml:space="preserve"> </w:t>
      </w:r>
    </w:p>
    <w:p w:rsidR="00F745A5" w:rsidRPr="00F745A5" w:rsidRDefault="00A44746" w:rsidP="00A44746">
      <w:pPr>
        <w:pStyle w:val="AERbulletlistfirststyle"/>
        <w:rPr>
          <w:rStyle w:val="AERbody"/>
        </w:rPr>
      </w:pPr>
      <w:r>
        <w:rPr>
          <w:rStyle w:val="AERbody"/>
        </w:rPr>
        <w:t xml:space="preserve">the AER </w:t>
      </w:r>
      <w:r w:rsidR="00F745A5" w:rsidRPr="00F745A5">
        <w:rPr>
          <w:rStyle w:val="AERbody"/>
        </w:rPr>
        <w:t xml:space="preserve">has specified a 15 year timeframe as appropriate for the consideration of costs and benefits </w:t>
      </w:r>
      <w:r w:rsidR="00F745A5">
        <w:rPr>
          <w:rStyle w:val="AERbody"/>
        </w:rPr>
        <w:t>of mesh radio and WiMAX</w:t>
      </w:r>
      <w:r w:rsidR="00505958">
        <w:rPr>
          <w:rStyle w:val="AERbody"/>
        </w:rPr>
        <w:t xml:space="preserve"> solutions</w:t>
      </w:r>
    </w:p>
    <w:p w:rsidR="00F745A5" w:rsidRDefault="00A44746" w:rsidP="00A44746">
      <w:pPr>
        <w:pStyle w:val="AERbulletlistfirststyle"/>
        <w:rPr>
          <w:rStyle w:val="AERbody"/>
        </w:rPr>
      </w:pPr>
      <w:r>
        <w:rPr>
          <w:rStyle w:val="AERbody"/>
        </w:rPr>
        <w:t xml:space="preserve">the AER's quantitative analysis found that </w:t>
      </w:r>
      <w:r w:rsidR="00F745A5" w:rsidRPr="00F745A5">
        <w:rPr>
          <w:rStyle w:val="AERbody"/>
        </w:rPr>
        <w:t xml:space="preserve">due to the relatively higher ongoing </w:t>
      </w:r>
      <w:r>
        <w:rPr>
          <w:rStyle w:val="AERbody"/>
        </w:rPr>
        <w:t xml:space="preserve">capex and opex, </w:t>
      </w:r>
      <w:r w:rsidR="000A3417">
        <w:rPr>
          <w:rStyle w:val="AERbody"/>
        </w:rPr>
        <w:t>the cost of WiMAX</w:t>
      </w:r>
      <w:r w:rsidR="00F745A5" w:rsidRPr="00F745A5">
        <w:rPr>
          <w:rStyle w:val="AERbody"/>
        </w:rPr>
        <w:t xml:space="preserve"> </w:t>
      </w:r>
      <w:r w:rsidR="00505958">
        <w:rPr>
          <w:rStyle w:val="AERbody"/>
        </w:rPr>
        <w:t>was</w:t>
      </w:r>
      <w:r w:rsidR="00F745A5" w:rsidRPr="00F745A5">
        <w:rPr>
          <w:rStyle w:val="AERbody"/>
        </w:rPr>
        <w:t xml:space="preserve"> 51</w:t>
      </w:r>
      <w:r>
        <w:rPr>
          <w:rStyle w:val="AERbody"/>
        </w:rPr>
        <w:t xml:space="preserve"> per cent</w:t>
      </w:r>
      <w:r w:rsidR="00F745A5" w:rsidRPr="00F745A5">
        <w:rPr>
          <w:rStyle w:val="AERbody"/>
        </w:rPr>
        <w:t xml:space="preserve"> higher over the 2012</w:t>
      </w:r>
      <w:r>
        <w:rPr>
          <w:rStyle w:val="AERbody"/>
        </w:rPr>
        <w:t>–</w:t>
      </w:r>
      <w:r w:rsidR="00F745A5" w:rsidRPr="00F745A5">
        <w:rPr>
          <w:rStyle w:val="AERbody"/>
        </w:rPr>
        <w:t>2015 timeframe</w:t>
      </w:r>
      <w:r>
        <w:rPr>
          <w:rStyle w:val="AERbody"/>
        </w:rPr>
        <w:t xml:space="preserve"> and</w:t>
      </w:r>
      <w:r w:rsidR="00F745A5" w:rsidRPr="00F745A5">
        <w:rPr>
          <w:rStyle w:val="AERbody"/>
        </w:rPr>
        <w:t xml:space="preserve"> 60</w:t>
      </w:r>
      <w:r>
        <w:rPr>
          <w:rStyle w:val="AERbody"/>
        </w:rPr>
        <w:t xml:space="preserve"> per cent</w:t>
      </w:r>
      <w:r w:rsidR="00F745A5" w:rsidRPr="00F745A5">
        <w:rPr>
          <w:rStyle w:val="AERbody"/>
        </w:rPr>
        <w:t xml:space="preserve"> higher over the 2011</w:t>
      </w:r>
      <w:r>
        <w:rPr>
          <w:rStyle w:val="AERbody"/>
        </w:rPr>
        <w:t>–</w:t>
      </w:r>
      <w:r w:rsidR="00F745A5" w:rsidRPr="00F745A5">
        <w:rPr>
          <w:rStyle w:val="AERbody"/>
        </w:rPr>
        <w:t>2025 period</w:t>
      </w:r>
      <w:r w:rsidR="000A3417">
        <w:rPr>
          <w:rStyle w:val="AERbody"/>
        </w:rPr>
        <w:t xml:space="preserve"> than mesh radio</w:t>
      </w:r>
      <w:r w:rsidR="00F745A5" w:rsidRPr="00F745A5">
        <w:rPr>
          <w:rStyle w:val="AERbody"/>
        </w:rPr>
        <w:t>.</w:t>
      </w:r>
    </w:p>
    <w:p w:rsidR="00A44746" w:rsidRDefault="00FA56CC" w:rsidP="004F1A11">
      <w:pPr>
        <w:pStyle w:val="AERbodytext"/>
        <w:rPr>
          <w:rStyle w:val="AERbody"/>
        </w:rPr>
      </w:pPr>
      <w:r>
        <w:rPr>
          <w:rStyle w:val="AERbody"/>
        </w:rPr>
        <w:t>However, t</w:t>
      </w:r>
      <w:r w:rsidR="001C0D70">
        <w:rPr>
          <w:rStyle w:val="AERbody"/>
        </w:rPr>
        <w:t>he AER does not agree with SP AusNet's concerns about contractor relationships or the perceived impact on intellectual property</w:t>
      </w:r>
      <w:r w:rsidR="003753C4">
        <w:rPr>
          <w:rStyle w:val="AERbody"/>
        </w:rPr>
        <w:t xml:space="preserve"> for the following reasons</w:t>
      </w:r>
      <w:r w:rsidR="001C0D70">
        <w:rPr>
          <w:rStyle w:val="AERbody"/>
        </w:rPr>
        <w:t xml:space="preserve">. </w:t>
      </w:r>
    </w:p>
    <w:p w:rsidR="008F6B82" w:rsidRDefault="008F6B82" w:rsidP="00505958">
      <w:pPr>
        <w:pStyle w:val="AERheading6"/>
        <w:rPr>
          <w:rStyle w:val="AERbody"/>
        </w:rPr>
      </w:pPr>
      <w:r>
        <w:rPr>
          <w:rStyle w:val="AERbody"/>
        </w:rPr>
        <w:t>Contractor relationships and pricing</w:t>
      </w:r>
    </w:p>
    <w:p w:rsidR="001C0D70" w:rsidRDefault="001C0D70" w:rsidP="004F1A11">
      <w:pPr>
        <w:pStyle w:val="AERbodytext"/>
        <w:rPr>
          <w:rStyle w:val="AERbody"/>
        </w:rPr>
      </w:pPr>
      <w:r>
        <w:rPr>
          <w:rStyle w:val="AERbody"/>
        </w:rPr>
        <w:t xml:space="preserve">SP AusNet submitted that by terminating or modifying contracts with service providers, its ability to establish and maintain relationships with </w:t>
      </w:r>
      <w:r w:rsidR="00B000D6">
        <w:rPr>
          <w:rStyle w:val="AERbody"/>
        </w:rPr>
        <w:t xml:space="preserve">future </w:t>
      </w:r>
      <w:r>
        <w:rPr>
          <w:rStyle w:val="AERbody"/>
        </w:rPr>
        <w:t>external service providers would be adversely affected. This could affect the willingness of contract</w:t>
      </w:r>
      <w:r w:rsidR="00505958">
        <w:rPr>
          <w:rStyle w:val="AERbody"/>
        </w:rPr>
        <w:t>or</w:t>
      </w:r>
      <w:r>
        <w:rPr>
          <w:rStyle w:val="AERbody"/>
        </w:rPr>
        <w:t xml:space="preserve">s to participate in tenders and reduce the quality of </w:t>
      </w:r>
      <w:r w:rsidR="00505958">
        <w:rPr>
          <w:rStyle w:val="AERbody"/>
        </w:rPr>
        <w:t xml:space="preserve">responses to </w:t>
      </w:r>
      <w:r>
        <w:rPr>
          <w:rStyle w:val="AERbody"/>
        </w:rPr>
        <w:t>requests for services in the future.</w:t>
      </w:r>
      <w:r>
        <w:rPr>
          <w:rStyle w:val="FootnoteReference"/>
        </w:rPr>
        <w:footnoteReference w:id="184"/>
      </w:r>
    </w:p>
    <w:p w:rsidR="00B000D6" w:rsidRDefault="001C0D70" w:rsidP="004F1A11">
      <w:pPr>
        <w:pStyle w:val="AERbodytext"/>
        <w:rPr>
          <w:rStyle w:val="AERbody"/>
        </w:rPr>
      </w:pPr>
      <w:r>
        <w:rPr>
          <w:rStyle w:val="AERbody"/>
        </w:rPr>
        <w:t xml:space="preserve">The AER considers </w:t>
      </w:r>
      <w:r w:rsidR="00FA56CC">
        <w:rPr>
          <w:rStyle w:val="AERbody"/>
        </w:rPr>
        <w:t>a</w:t>
      </w:r>
      <w:r>
        <w:rPr>
          <w:rStyle w:val="AERbody"/>
        </w:rPr>
        <w:t xml:space="preserve"> reasonable business </w:t>
      </w:r>
      <w:r w:rsidR="00B000D6">
        <w:rPr>
          <w:rStyle w:val="AERbody"/>
        </w:rPr>
        <w:t>should</w:t>
      </w:r>
      <w:r>
        <w:rPr>
          <w:rStyle w:val="AERbody"/>
        </w:rPr>
        <w:t xml:space="preserve"> do what is in its best interests</w:t>
      </w:r>
      <w:r w:rsidR="00B000D6">
        <w:rPr>
          <w:rStyle w:val="AERbody"/>
        </w:rPr>
        <w:t xml:space="preserve">, including exiting contracts </w:t>
      </w:r>
      <w:r w:rsidR="00A91A2E">
        <w:rPr>
          <w:rStyle w:val="AERbody"/>
        </w:rPr>
        <w:t>where necessary</w:t>
      </w:r>
      <w:r w:rsidR="00B000D6">
        <w:rPr>
          <w:rStyle w:val="AERbody"/>
        </w:rPr>
        <w:t>.</w:t>
      </w:r>
      <w:r w:rsidR="00DD2B44">
        <w:rPr>
          <w:rStyle w:val="FootnoteReference"/>
        </w:rPr>
        <w:footnoteReference w:id="185"/>
      </w:r>
      <w:r w:rsidR="00B000D6">
        <w:rPr>
          <w:rStyle w:val="AERbody"/>
        </w:rPr>
        <w:t xml:space="preserve"> Indeed, some of the contracts SP AusNet entered into with service providers gave SP AusNet the right to terminate at any time, or if the provider breached a clause of the agreement.</w:t>
      </w:r>
      <w:r w:rsidR="00B000D6">
        <w:rPr>
          <w:rStyle w:val="FootnoteReference"/>
        </w:rPr>
        <w:footnoteReference w:id="186"/>
      </w:r>
      <w:r w:rsidR="00B000D6">
        <w:rPr>
          <w:rStyle w:val="AERbody"/>
        </w:rPr>
        <w:t xml:space="preserve"> </w:t>
      </w:r>
      <w:r w:rsidR="00A82D08">
        <w:rPr>
          <w:rStyle w:val="AERbody"/>
        </w:rPr>
        <w:t>The AER considers it unlikely that other service providers would interpret SP AusNet's decision to terminate a contract in such circumstances negatively.</w:t>
      </w:r>
    </w:p>
    <w:p w:rsidR="006D4BEB" w:rsidRDefault="001C0D70" w:rsidP="006D4BEB">
      <w:pPr>
        <w:pStyle w:val="AERheading6"/>
        <w:rPr>
          <w:rStyle w:val="AERbody"/>
          <w:rFonts w:cs="Times New Roman"/>
          <w:bCs w:val="0"/>
          <w:i w:val="0"/>
          <w:szCs w:val="24"/>
          <w:lang w:eastAsia="en-AU"/>
        </w:rPr>
      </w:pPr>
      <w:r>
        <w:rPr>
          <w:rStyle w:val="AERbody"/>
        </w:rPr>
        <w:t>Intellectual property</w:t>
      </w:r>
      <w:r w:rsidR="00A91A2E">
        <w:rPr>
          <w:rStyle w:val="AERbody"/>
        </w:rPr>
        <w:t xml:space="preserve"> and in-house skills</w:t>
      </w:r>
    </w:p>
    <w:p w:rsidR="00A82D08" w:rsidRDefault="00A82D08" w:rsidP="001C0D70">
      <w:pPr>
        <w:pStyle w:val="AERbodytext"/>
        <w:rPr>
          <w:rStyle w:val="AERbody"/>
        </w:rPr>
      </w:pPr>
      <w:r>
        <w:rPr>
          <w:rStyle w:val="AERbody"/>
        </w:rPr>
        <w:t xml:space="preserve">SP AusNet submitted that switching technologies could result in </w:t>
      </w:r>
      <w:r w:rsidR="00505958">
        <w:rPr>
          <w:rStyle w:val="AERbody"/>
        </w:rPr>
        <w:t>it</w:t>
      </w:r>
      <w:r>
        <w:rPr>
          <w:rStyle w:val="AERbody"/>
        </w:rPr>
        <w:t xml:space="preserve"> losing intel</w:t>
      </w:r>
      <w:r w:rsidR="00505958">
        <w:rPr>
          <w:rStyle w:val="AERbody"/>
        </w:rPr>
        <w:t>lectual property and in-</w:t>
      </w:r>
      <w:r>
        <w:rPr>
          <w:rStyle w:val="AERbody"/>
        </w:rPr>
        <w:t xml:space="preserve">house skills because the resulting delay would force the need to put program resources on hold or </w:t>
      </w:r>
      <w:r w:rsidR="00A91A2E">
        <w:rPr>
          <w:rStyle w:val="AERbody"/>
        </w:rPr>
        <w:t>be temporarily let go</w:t>
      </w:r>
      <w:r>
        <w:rPr>
          <w:rStyle w:val="AERbody"/>
        </w:rPr>
        <w:t>.</w:t>
      </w:r>
      <w:r>
        <w:rPr>
          <w:rStyle w:val="FootnoteReference"/>
        </w:rPr>
        <w:footnoteReference w:id="187"/>
      </w:r>
    </w:p>
    <w:p w:rsidR="002B4D6D" w:rsidRDefault="004A3525" w:rsidP="004F1A11">
      <w:pPr>
        <w:pStyle w:val="AERbodytext"/>
        <w:rPr>
          <w:rStyle w:val="AERbody"/>
        </w:rPr>
      </w:pPr>
      <w:r>
        <w:rPr>
          <w:rStyle w:val="AERbody"/>
        </w:rPr>
        <w:t>The AER considers that SP AusNet would need its program resources to implement the mesh solution, particularly given the AER's view that the timeline could be shortened and delays minimised</w:t>
      </w:r>
      <w:r w:rsidR="00A91A2E">
        <w:rPr>
          <w:rStyle w:val="AERbody"/>
        </w:rPr>
        <w:t xml:space="preserve">. </w:t>
      </w:r>
      <w:r>
        <w:rPr>
          <w:rStyle w:val="AERbody"/>
        </w:rPr>
        <w:t xml:space="preserve"> </w:t>
      </w:r>
      <w:r w:rsidR="00A91A2E">
        <w:rPr>
          <w:rStyle w:val="AERbody"/>
        </w:rPr>
        <w:t xml:space="preserve">However, even </w:t>
      </w:r>
      <w:r w:rsidR="00793ECC">
        <w:rPr>
          <w:rStyle w:val="AERbody"/>
        </w:rPr>
        <w:t>if</w:t>
      </w:r>
      <w:r w:rsidR="00A91A2E">
        <w:rPr>
          <w:rStyle w:val="AERbody"/>
        </w:rPr>
        <w:t xml:space="preserve"> a smaller delay</w:t>
      </w:r>
      <w:r w:rsidR="00793ECC">
        <w:rPr>
          <w:rStyle w:val="AERbody"/>
        </w:rPr>
        <w:t xml:space="preserve"> led to some resources being put on hold</w:t>
      </w:r>
      <w:r w:rsidR="00A91A2E">
        <w:rPr>
          <w:rStyle w:val="AERbody"/>
        </w:rPr>
        <w:t xml:space="preserve">, the AER </w:t>
      </w:r>
      <w:r w:rsidR="00A91A2E">
        <w:t xml:space="preserve">does not agree that </w:t>
      </w:r>
      <w:r w:rsidR="00793ECC">
        <w:t>this</w:t>
      </w:r>
      <w:r w:rsidR="00A91A2E">
        <w:t xml:space="preserve"> would be an impediment to making a decision to switch where mesh showed to be a lower cost option</w:t>
      </w:r>
      <w:r w:rsidR="00793ECC">
        <w:t>.</w:t>
      </w:r>
    </w:p>
    <w:p w:rsidR="003E0547" w:rsidRPr="0065664E" w:rsidRDefault="00AF08C9" w:rsidP="0065664E">
      <w:pPr>
        <w:pStyle w:val="AERheading3"/>
        <w:rPr>
          <w:rStyle w:val="AERbody"/>
          <w:color w:val="F2750E"/>
          <w:sz w:val="24"/>
        </w:rPr>
      </w:pPr>
      <w:bookmarkStart w:id="26" w:name="_Ref332293538"/>
      <w:r w:rsidRPr="0065664E">
        <w:rPr>
          <w:rStyle w:val="AERbody"/>
          <w:color w:val="F2750E"/>
          <w:sz w:val="24"/>
        </w:rPr>
        <w:t>Adjustment to 2012–15 Approved Budget</w:t>
      </w:r>
      <w:bookmarkEnd w:id="26"/>
    </w:p>
    <w:p w:rsidR="00793ECC" w:rsidRDefault="00457F30" w:rsidP="00457F30">
      <w:pPr>
        <w:pStyle w:val="AERbodytext"/>
        <w:rPr>
          <w:rStyle w:val="AERbody"/>
        </w:rPr>
      </w:pPr>
      <w:r>
        <w:t xml:space="preserve">The AER's quantitative and qualitative analysis of SP AusNet's Reconsideration Submission in the context of the Tribunal's reasons and the AMI Order lead the AER to the conclusion that </w:t>
      </w:r>
      <w:r w:rsidR="00793ECC">
        <w:t xml:space="preserve">the commercial standard that </w:t>
      </w:r>
      <w:r>
        <w:rPr>
          <w:rStyle w:val="AERbody"/>
        </w:rPr>
        <w:t xml:space="preserve">a reasonable business </w:t>
      </w:r>
      <w:r w:rsidR="00793ECC">
        <w:rPr>
          <w:rStyle w:val="AERbody"/>
        </w:rPr>
        <w:t xml:space="preserve">would have exercised in </w:t>
      </w:r>
      <w:r>
        <w:rPr>
          <w:rStyle w:val="AERbody"/>
        </w:rPr>
        <w:t xml:space="preserve">SP AusNet's circumstances would have </w:t>
      </w:r>
      <w:r w:rsidR="00793ECC">
        <w:rPr>
          <w:rStyle w:val="AERbody"/>
        </w:rPr>
        <w:t>been</w:t>
      </w:r>
      <w:r w:rsidR="00625D3F">
        <w:rPr>
          <w:rStyle w:val="AERbody"/>
        </w:rPr>
        <w:t xml:space="preserve"> to fully reconsider its Submitted Budget. The outcome of that reconsideration would have been</w:t>
      </w:r>
      <w:r w:rsidR="00793ECC">
        <w:rPr>
          <w:rStyle w:val="AERbody"/>
        </w:rPr>
        <w:t xml:space="preserve"> to </w:t>
      </w:r>
      <w:r>
        <w:rPr>
          <w:rStyle w:val="AERbody"/>
        </w:rPr>
        <w:t>switch from WiMAX to mesh radio.</w:t>
      </w:r>
      <w:r w:rsidR="00F10A35">
        <w:rPr>
          <w:rStyle w:val="AERbody"/>
        </w:rPr>
        <w:t xml:space="preserve"> </w:t>
      </w:r>
    </w:p>
    <w:p w:rsidR="003E0547" w:rsidRDefault="00793ECC" w:rsidP="00457F30">
      <w:pPr>
        <w:pStyle w:val="AERbodytext"/>
      </w:pPr>
      <w:r>
        <w:rPr>
          <w:rStyle w:val="AERbody"/>
        </w:rPr>
        <w:t>For the reasons above, t</w:t>
      </w:r>
      <w:r w:rsidR="00440C3F">
        <w:rPr>
          <w:rStyle w:val="AERbody"/>
        </w:rPr>
        <w:t xml:space="preserve">he AER considers that </w:t>
      </w:r>
      <w:r w:rsidR="00457F30">
        <w:rPr>
          <w:rStyle w:val="AERbody"/>
        </w:rPr>
        <w:t xml:space="preserve">any concerns relating to </w:t>
      </w:r>
      <w:r w:rsidR="00625D3F">
        <w:rPr>
          <w:rStyle w:val="AERbody"/>
        </w:rPr>
        <w:t>qualitative matters</w:t>
      </w:r>
      <w:r w:rsidR="00577350">
        <w:rPr>
          <w:rStyle w:val="AERbody"/>
        </w:rPr>
        <w:t xml:space="preserve">, </w:t>
      </w:r>
      <w:r w:rsidR="00457F30">
        <w:rPr>
          <w:rStyle w:val="AERbody"/>
        </w:rPr>
        <w:t>while relevant</w:t>
      </w:r>
      <w:r>
        <w:rPr>
          <w:rStyle w:val="AERbody"/>
        </w:rPr>
        <w:t xml:space="preserve"> to making the decision to switch</w:t>
      </w:r>
      <w:r w:rsidR="00457F30">
        <w:rPr>
          <w:rStyle w:val="AERbody"/>
        </w:rPr>
        <w:t xml:space="preserve">, </w:t>
      </w:r>
      <w:r w:rsidR="009F65D8">
        <w:rPr>
          <w:rStyle w:val="AERbody"/>
        </w:rPr>
        <w:t>are</w:t>
      </w:r>
      <w:r w:rsidR="00F10A35">
        <w:rPr>
          <w:rStyle w:val="AERbody"/>
        </w:rPr>
        <w:t xml:space="preserve"> ultimately</w:t>
      </w:r>
      <w:r w:rsidR="009F65D8">
        <w:rPr>
          <w:rStyle w:val="AERbody"/>
        </w:rPr>
        <w:t xml:space="preserve"> </w:t>
      </w:r>
      <w:r w:rsidR="00457F30">
        <w:rPr>
          <w:rStyle w:val="AERbody"/>
        </w:rPr>
        <w:t>outweighed by the significantly lower cost of mesh radio compared to WiMAX.</w:t>
      </w:r>
      <w:r>
        <w:rPr>
          <w:rStyle w:val="AERbody"/>
        </w:rPr>
        <w:t xml:space="preserve">  A reasonable commercial business should do what is in its commercial interests, which involves taking corrective action if </w:t>
      </w:r>
      <w:r w:rsidR="00D30D0F">
        <w:rPr>
          <w:rStyle w:val="AERbody"/>
        </w:rPr>
        <w:t>its</w:t>
      </w:r>
      <w:r>
        <w:rPr>
          <w:rStyle w:val="AERbody"/>
        </w:rPr>
        <w:t xml:space="preserve"> investment is not providing the promised benefits at the promised costs.</w:t>
      </w:r>
      <w:r>
        <w:rPr>
          <w:rStyle w:val="FootnoteReference"/>
        </w:rPr>
        <w:footnoteReference w:id="188"/>
      </w:r>
      <w:r>
        <w:rPr>
          <w:rStyle w:val="AERbody"/>
        </w:rPr>
        <w:t xml:space="preserve"> </w:t>
      </w:r>
    </w:p>
    <w:p w:rsidR="00C72BBA" w:rsidRDefault="00BB33DA" w:rsidP="00C72BBA">
      <w:pPr>
        <w:pStyle w:val="AERbodytext"/>
        <w:rPr>
          <w:rStyle w:val="AERbody"/>
        </w:rPr>
      </w:pPr>
      <w:r>
        <w:rPr>
          <w:rStyle w:val="AERbody"/>
        </w:rPr>
        <w:t xml:space="preserve">As identified in </w:t>
      </w:r>
      <w:r w:rsidR="00AF0E53">
        <w:rPr>
          <w:rStyle w:val="AERbody"/>
        </w:rPr>
        <w:t>Table 1.4</w:t>
      </w:r>
      <w:r>
        <w:rPr>
          <w:rStyle w:val="AERbody"/>
        </w:rPr>
        <w:t xml:space="preserve">, the prudent costs that a reasonable business would incur </w:t>
      </w:r>
      <w:r w:rsidR="000923E8">
        <w:rPr>
          <w:rStyle w:val="AERbody"/>
        </w:rPr>
        <w:t xml:space="preserve">in 2012–15 </w:t>
      </w:r>
      <w:r>
        <w:rPr>
          <w:rStyle w:val="AERbody"/>
        </w:rPr>
        <w:t>to switch to mesh radio would be $</w:t>
      </w:r>
      <w:r w:rsidR="000923E8">
        <w:rPr>
          <w:rStyle w:val="AERbody"/>
        </w:rPr>
        <w:t>11.7</w:t>
      </w:r>
      <w:r>
        <w:rPr>
          <w:rStyle w:val="AERbody"/>
        </w:rPr>
        <w:t xml:space="preserve"> million. </w:t>
      </w:r>
      <w:r w:rsidR="00C72BBA">
        <w:rPr>
          <w:rStyle w:val="AERbody"/>
        </w:rPr>
        <w:t xml:space="preserve">Had SP AusNet reconsidered its commitment to WiMAX communications as at 28 February 2011 and decided to switch to mesh radio – what the AER expects a reasonable business in the circumstances would have done – SP AusNet would have incurred only an additional $11.7 million above its Approved Budget for 2012–15. Instead, by not switching to mesh radio and continuing its AMI rollout with its WiMAX communications solution, SP AusNet is proposing to incur an additional $72.2 million above its Approved Budget. </w:t>
      </w:r>
    </w:p>
    <w:p w:rsidR="00C72BBA" w:rsidRDefault="00C72BBA" w:rsidP="003E0547">
      <w:pPr>
        <w:pStyle w:val="AERbodytext"/>
        <w:rPr>
          <w:rStyle w:val="AERbody"/>
        </w:rPr>
      </w:pPr>
      <w:r>
        <w:rPr>
          <w:rStyle w:val="AERbody"/>
        </w:rPr>
        <w:t>Therefore, by proposing to incur significantly more than $11.7 million (that is, $72.2 million) SP AusNet has substantially departed from the commercial standard of a reasonable business in its circumstances.</w:t>
      </w:r>
      <w:r>
        <w:rPr>
          <w:rStyle w:val="FootnoteReference"/>
        </w:rPr>
        <w:footnoteReference w:id="189"/>
      </w:r>
      <w:r>
        <w:rPr>
          <w:rStyle w:val="AERbody"/>
        </w:rPr>
        <w:t xml:space="preserve"> </w:t>
      </w:r>
    </w:p>
    <w:p w:rsidR="00C72BBA" w:rsidRDefault="00C72BBA" w:rsidP="003E0547">
      <w:pPr>
        <w:pStyle w:val="AERbodytext"/>
        <w:rPr>
          <w:rStyle w:val="AERbody"/>
        </w:rPr>
      </w:pPr>
      <w:r>
        <w:rPr>
          <w:rStyle w:val="AERbody"/>
        </w:rPr>
        <w:t>Accordingly, of the $72.2 million of expenditure remitted back to the AER by the Tribunal for further consideration, the AER's preliminary view is that $60.5 million is not prudent.</w:t>
      </w:r>
      <w:r>
        <w:rPr>
          <w:rStyle w:val="FootnoteReference"/>
        </w:rPr>
        <w:footnoteReference w:id="190"/>
      </w:r>
      <w:r>
        <w:rPr>
          <w:rStyle w:val="AERbody"/>
        </w:rPr>
        <w:t xml:space="preserve"> Consistent with clause 5C.8 of the AMI Order, this amount should be removed from SP AusNet's 2012–15 Approved Budget.</w:t>
      </w:r>
      <w:r>
        <w:rPr>
          <w:rStyle w:val="FootnoteReference"/>
        </w:rPr>
        <w:footnoteReference w:id="191"/>
      </w:r>
    </w:p>
    <w:p w:rsidR="006435F8" w:rsidRDefault="00AF0E53" w:rsidP="003E0547">
      <w:pPr>
        <w:pStyle w:val="AERbodytext"/>
        <w:rPr>
          <w:rStyle w:val="AERbody"/>
        </w:rPr>
      </w:pPr>
      <w:r>
        <w:rPr>
          <w:rStyle w:val="AERbody"/>
        </w:rPr>
        <w:t>Table 1.4</w:t>
      </w:r>
      <w:r w:rsidR="000923E8">
        <w:rPr>
          <w:rStyle w:val="AERbody"/>
        </w:rPr>
        <w:t xml:space="preserve"> </w:t>
      </w:r>
      <w:r w:rsidR="00C72BBA">
        <w:rPr>
          <w:rStyle w:val="AERbody"/>
        </w:rPr>
        <w:t xml:space="preserve">above </w:t>
      </w:r>
      <w:r w:rsidR="000923E8">
        <w:rPr>
          <w:rStyle w:val="AERbody"/>
        </w:rPr>
        <w:t xml:space="preserve">shows that total costs to switch to mesh radio would be $14.9 million. </w:t>
      </w:r>
      <w:r w:rsidR="006435F8">
        <w:rPr>
          <w:rStyle w:val="AERbody"/>
        </w:rPr>
        <w:t>However, the AER consider</w:t>
      </w:r>
      <w:r w:rsidR="00D30D0F">
        <w:rPr>
          <w:rStyle w:val="AERbody"/>
        </w:rPr>
        <w:t>s</w:t>
      </w:r>
      <w:r w:rsidR="006435F8">
        <w:rPr>
          <w:rStyle w:val="AERbody"/>
        </w:rPr>
        <w:t xml:space="preserve"> SP AusNet is </w:t>
      </w:r>
      <w:r w:rsidR="00D30D0F">
        <w:rPr>
          <w:rStyle w:val="AERbody"/>
        </w:rPr>
        <w:t xml:space="preserve">not </w:t>
      </w:r>
      <w:r w:rsidR="006435F8">
        <w:rPr>
          <w:rStyle w:val="AERbody"/>
        </w:rPr>
        <w:t xml:space="preserve">able to recover </w:t>
      </w:r>
      <w:r w:rsidR="00F10A35">
        <w:rPr>
          <w:rStyle w:val="AERbody"/>
        </w:rPr>
        <w:t>all</w:t>
      </w:r>
      <w:r w:rsidR="006435F8">
        <w:rPr>
          <w:rStyle w:val="AERbody"/>
        </w:rPr>
        <w:t xml:space="preserve"> of this expenditure in its 2012–15 </w:t>
      </w:r>
      <w:r w:rsidR="00F10A35">
        <w:rPr>
          <w:rStyle w:val="AERbody"/>
        </w:rPr>
        <w:t>b</w:t>
      </w:r>
      <w:r w:rsidR="006435F8">
        <w:rPr>
          <w:rStyle w:val="AERbody"/>
        </w:rPr>
        <w:t>udget</w:t>
      </w:r>
      <w:r w:rsidR="005F5BF5">
        <w:rPr>
          <w:rStyle w:val="AERbody"/>
        </w:rPr>
        <w:t>,</w:t>
      </w:r>
      <w:r w:rsidR="00F10A35">
        <w:rPr>
          <w:rStyle w:val="AERbody"/>
        </w:rPr>
        <w:t xml:space="preserve"> given that some</w:t>
      </w:r>
      <w:r w:rsidR="006435F8">
        <w:rPr>
          <w:rStyle w:val="AERbody"/>
        </w:rPr>
        <w:t xml:space="preserve"> of the switching costs would be incurred in 2011.</w:t>
      </w:r>
    </w:p>
    <w:p w:rsidR="00AF08C9" w:rsidRDefault="00AF08C9" w:rsidP="0065664E">
      <w:pPr>
        <w:pStyle w:val="AERheading4"/>
      </w:pPr>
      <w:r>
        <w:t>Treatment of 2011 switching costs</w:t>
      </w:r>
    </w:p>
    <w:p w:rsidR="009971B4" w:rsidRPr="009971B4" w:rsidRDefault="009971B4" w:rsidP="009971B4">
      <w:pPr>
        <w:pStyle w:val="AERbodytext"/>
        <w:rPr>
          <w:rStyle w:val="AERbody"/>
        </w:rPr>
      </w:pPr>
      <w:r>
        <w:rPr>
          <w:rStyle w:val="AERbody"/>
        </w:rPr>
        <w:t xml:space="preserve">The AER considers that any switching costs incurred in 2011 would not be recoverable by SP AusNet in the 2012–15 period. </w:t>
      </w:r>
      <w:r w:rsidRPr="009971B4">
        <w:rPr>
          <w:rStyle w:val="AERbody"/>
        </w:rPr>
        <w:t xml:space="preserve">The AMI Order clearly separates budget and charges applications and determinations into </w:t>
      </w:r>
      <w:r>
        <w:rPr>
          <w:rStyle w:val="AERbody"/>
        </w:rPr>
        <w:t>"initial"</w:t>
      </w:r>
      <w:r w:rsidRPr="009971B4">
        <w:rPr>
          <w:rStyle w:val="AERbody"/>
        </w:rPr>
        <w:t xml:space="preserve"> and 'subsequent' periods. The initial period ends on 31 December 2011 and the subsequent period spans 1 January 2012 to 31 December 2015.</w:t>
      </w:r>
      <w:r>
        <w:rPr>
          <w:rStyle w:val="FootnoteReference"/>
        </w:rPr>
        <w:footnoteReference w:id="192"/>
      </w:r>
      <w:r w:rsidRPr="009971B4">
        <w:rPr>
          <w:rStyle w:val="AERbody"/>
        </w:rPr>
        <w:t xml:space="preserve"> </w:t>
      </w:r>
    </w:p>
    <w:p w:rsidR="009971B4" w:rsidRPr="009971B4" w:rsidRDefault="009971B4" w:rsidP="009971B4">
      <w:pPr>
        <w:pStyle w:val="AERbodytext"/>
        <w:rPr>
          <w:rStyle w:val="AERbody"/>
        </w:rPr>
      </w:pPr>
      <w:r w:rsidRPr="009971B4">
        <w:rPr>
          <w:rStyle w:val="AERbody"/>
        </w:rPr>
        <w:t xml:space="preserve">While clause 5F.1 of the AMI Order allows a DNSP to submit a revised budget </w:t>
      </w:r>
      <w:r>
        <w:rPr>
          <w:rStyle w:val="AERbody"/>
        </w:rPr>
        <w:t>"at any time"</w:t>
      </w:r>
      <w:r w:rsidRPr="009971B4">
        <w:rPr>
          <w:rStyle w:val="AERbody"/>
        </w:rPr>
        <w:t xml:space="preserve"> after the AER makes a determination, </w:t>
      </w:r>
      <w:r>
        <w:rPr>
          <w:rStyle w:val="AERbody"/>
        </w:rPr>
        <w:t>the AER</w:t>
      </w:r>
      <w:r w:rsidRPr="009971B4">
        <w:rPr>
          <w:rStyle w:val="AERbody"/>
        </w:rPr>
        <w:t xml:space="preserve"> consider</w:t>
      </w:r>
      <w:r>
        <w:rPr>
          <w:rStyle w:val="AERbody"/>
        </w:rPr>
        <w:t>s</w:t>
      </w:r>
      <w:r w:rsidRPr="009971B4">
        <w:rPr>
          <w:rStyle w:val="AERbody"/>
        </w:rPr>
        <w:t xml:space="preserve"> the charges revision process limits such revisions within the defined budget period, or at the very latest, </w:t>
      </w:r>
      <w:r w:rsidR="00D30D0F">
        <w:rPr>
          <w:rStyle w:val="AERbody"/>
        </w:rPr>
        <w:t>until mid-year of</w:t>
      </w:r>
      <w:r w:rsidRPr="009971B4">
        <w:rPr>
          <w:rStyle w:val="AERbody"/>
        </w:rPr>
        <w:t xml:space="preserve"> the following year.</w:t>
      </w:r>
      <w:r>
        <w:rPr>
          <w:rStyle w:val="FootnoteReference"/>
        </w:rPr>
        <w:footnoteReference w:id="193"/>
      </w:r>
    </w:p>
    <w:p w:rsidR="009971B4" w:rsidRPr="009971B4" w:rsidRDefault="009971B4" w:rsidP="009971B4">
      <w:pPr>
        <w:pStyle w:val="AERbodytext"/>
        <w:rPr>
          <w:rStyle w:val="AERbody"/>
        </w:rPr>
      </w:pPr>
      <w:r w:rsidRPr="009971B4">
        <w:rPr>
          <w:rStyle w:val="AERbody"/>
        </w:rPr>
        <w:t>The charges revision process requires actual expenditure for the previous year to be submitted to the AER on 31 August of the current year to determine the charges to apply for the next year. However it allows actual expenditure for that previous year only.</w:t>
      </w:r>
      <w:r>
        <w:rPr>
          <w:rStyle w:val="FootnoteReference"/>
        </w:rPr>
        <w:footnoteReference w:id="194"/>
      </w:r>
      <w:r w:rsidRPr="009971B4">
        <w:rPr>
          <w:rStyle w:val="AERbody"/>
        </w:rPr>
        <w:t xml:space="preserve"> For example on 31 August 2012, actual 2011 expenditure is required to determine revised 2013 charges. For the 2014 charges revision process, actual expenditure from 2012 is required; actual expenditure </w:t>
      </w:r>
      <w:r w:rsidR="00D30D0F">
        <w:rPr>
          <w:rStyle w:val="AERbody"/>
        </w:rPr>
        <w:t xml:space="preserve">for 2011 </w:t>
      </w:r>
      <w:r w:rsidRPr="009971B4">
        <w:rPr>
          <w:rStyle w:val="AERbody"/>
        </w:rPr>
        <w:t xml:space="preserve">is no longer considered. </w:t>
      </w:r>
      <w:r>
        <w:rPr>
          <w:rStyle w:val="AERbody"/>
        </w:rPr>
        <w:t xml:space="preserve">The AER </w:t>
      </w:r>
      <w:r w:rsidRPr="009971B4">
        <w:rPr>
          <w:rStyle w:val="AERbody"/>
        </w:rPr>
        <w:t>therefore consider</w:t>
      </w:r>
      <w:r>
        <w:rPr>
          <w:rStyle w:val="AERbody"/>
        </w:rPr>
        <w:t>s</w:t>
      </w:r>
      <w:r w:rsidRPr="009971B4">
        <w:rPr>
          <w:rStyle w:val="AERbody"/>
        </w:rPr>
        <w:t xml:space="preserve"> the AMI Order does not allow a DNSP to recover </w:t>
      </w:r>
      <w:r>
        <w:rPr>
          <w:rStyle w:val="AERbody"/>
        </w:rPr>
        <w:t xml:space="preserve">incurred 2011 </w:t>
      </w:r>
      <w:r w:rsidRPr="009971B4">
        <w:rPr>
          <w:rStyle w:val="AERbody"/>
        </w:rPr>
        <w:t>expenditure in the 2012-15 period.</w:t>
      </w:r>
    </w:p>
    <w:p w:rsidR="009971B4" w:rsidRPr="009971B4" w:rsidRDefault="009971B4" w:rsidP="009971B4">
      <w:pPr>
        <w:pStyle w:val="AERbodytext"/>
        <w:rPr>
          <w:rStyle w:val="AERbody"/>
        </w:rPr>
      </w:pPr>
      <w:r w:rsidRPr="009971B4">
        <w:rPr>
          <w:rStyle w:val="AERbody"/>
        </w:rPr>
        <w:t xml:space="preserve">This does not mean that the AMI Order does not provide for DNSPs to adjust their budgets outside the initial and subsequent budget periods. The AMI Order allows DNSPs to vary the budgets set in these periods by lodging revised budget applications, and DNSPs have an additional opportunity to recover costs in the charges revision process. </w:t>
      </w:r>
    </w:p>
    <w:p w:rsidR="009971B4" w:rsidRPr="009971B4" w:rsidRDefault="009971B4" w:rsidP="009971B4">
      <w:pPr>
        <w:pStyle w:val="AERbodytext"/>
        <w:rPr>
          <w:rStyle w:val="AERbody"/>
        </w:rPr>
      </w:pPr>
      <w:r w:rsidRPr="009971B4">
        <w:rPr>
          <w:rStyle w:val="AERbody"/>
        </w:rPr>
        <w:t>The consequence of this for the current matter before the AER is that switching costs that SP AusNet would incur in 2011 would not be provided for as they fall outside the subsequent budget period (2012</w:t>
      </w:r>
      <w:r>
        <w:rPr>
          <w:rStyle w:val="AERbody"/>
        </w:rPr>
        <w:t>–</w:t>
      </w:r>
      <w:r w:rsidRPr="009971B4">
        <w:rPr>
          <w:rStyle w:val="AERbody"/>
        </w:rPr>
        <w:t xml:space="preserve">15). However, </w:t>
      </w:r>
      <w:r>
        <w:rPr>
          <w:rStyle w:val="AERbody"/>
        </w:rPr>
        <w:t>the AER c</w:t>
      </w:r>
      <w:r w:rsidRPr="009971B4">
        <w:rPr>
          <w:rStyle w:val="AERbody"/>
        </w:rPr>
        <w:t>onsider</w:t>
      </w:r>
      <w:r>
        <w:rPr>
          <w:rStyle w:val="AERbody"/>
        </w:rPr>
        <w:t xml:space="preserve">s that a reasonable business in SP AusNet's circumstances </w:t>
      </w:r>
      <w:r w:rsidR="00D30D0F">
        <w:rPr>
          <w:rStyle w:val="AERbody"/>
        </w:rPr>
        <w:t xml:space="preserve">that </w:t>
      </w:r>
      <w:r w:rsidRPr="009971B4">
        <w:rPr>
          <w:rStyle w:val="AERbody"/>
        </w:rPr>
        <w:t xml:space="preserve">made its decision to switch to mesh on 28 February 2011 would have </w:t>
      </w:r>
      <w:r>
        <w:rPr>
          <w:rStyle w:val="AERbody"/>
        </w:rPr>
        <w:t xml:space="preserve">had </w:t>
      </w:r>
      <w:r w:rsidRPr="009971B4">
        <w:rPr>
          <w:rStyle w:val="AERbody"/>
        </w:rPr>
        <w:t>more than one opportunity to recover any switching costs incurred in 2011</w:t>
      </w:r>
      <w:r>
        <w:rPr>
          <w:rStyle w:val="AERbody"/>
        </w:rPr>
        <w:t xml:space="preserve"> under the AMI Order</w:t>
      </w:r>
      <w:r w:rsidRPr="009971B4">
        <w:rPr>
          <w:rStyle w:val="AERbody"/>
        </w:rPr>
        <w:t>.</w:t>
      </w:r>
    </w:p>
    <w:p w:rsidR="009971B4" w:rsidRPr="009971B4" w:rsidRDefault="009971B4" w:rsidP="009971B4">
      <w:pPr>
        <w:pStyle w:val="AERheading6"/>
        <w:rPr>
          <w:rStyle w:val="AERbody"/>
        </w:rPr>
      </w:pPr>
      <w:r w:rsidRPr="009971B4">
        <w:rPr>
          <w:rStyle w:val="AERbody"/>
        </w:rPr>
        <w:t>Submit a revised 2009</w:t>
      </w:r>
      <w:r>
        <w:rPr>
          <w:rStyle w:val="AERbody"/>
        </w:rPr>
        <w:t>–</w:t>
      </w:r>
      <w:r w:rsidRPr="009971B4">
        <w:rPr>
          <w:rStyle w:val="AERbody"/>
        </w:rPr>
        <w:t>11 budget to the AER</w:t>
      </w:r>
    </w:p>
    <w:p w:rsidR="009971B4" w:rsidRPr="009971B4" w:rsidRDefault="002C6412" w:rsidP="009971B4">
      <w:pPr>
        <w:pStyle w:val="AERbodytext"/>
        <w:rPr>
          <w:rStyle w:val="AERbody"/>
        </w:rPr>
      </w:pPr>
      <w:r>
        <w:rPr>
          <w:rStyle w:val="AERbody"/>
        </w:rPr>
        <w:t>The AER</w:t>
      </w:r>
      <w:r w:rsidR="009971B4" w:rsidRPr="009971B4">
        <w:rPr>
          <w:rStyle w:val="AERbody"/>
        </w:rPr>
        <w:t xml:space="preserve"> consider</w:t>
      </w:r>
      <w:r>
        <w:rPr>
          <w:rStyle w:val="AERbody"/>
        </w:rPr>
        <w:t>s</w:t>
      </w:r>
      <w:r w:rsidR="009971B4" w:rsidRPr="009971B4">
        <w:rPr>
          <w:rStyle w:val="AERbody"/>
        </w:rPr>
        <w:t xml:space="preserve"> that a reasonable business in SP AusNet’s circumstances would have submitted a revised budget application for any mesh-related switching costs it would conceivably incur in 2011. SP AusNet could have done so any time in 2011, and arguably up to July 2012.</w:t>
      </w:r>
      <w:r w:rsidR="009971B4">
        <w:rPr>
          <w:rStyle w:val="AERbody"/>
        </w:rPr>
        <w:t xml:space="preserve"> </w:t>
      </w:r>
      <w:r w:rsidR="00D9324A">
        <w:rPr>
          <w:rStyle w:val="AERbody"/>
        </w:rPr>
        <w:t>In fact</w:t>
      </w:r>
      <w:r w:rsidR="009971B4">
        <w:rPr>
          <w:rStyle w:val="AERbody"/>
        </w:rPr>
        <w:t xml:space="preserve">, SP AusNet </w:t>
      </w:r>
      <w:r w:rsidR="00D9324A">
        <w:rPr>
          <w:rStyle w:val="AERbody"/>
        </w:rPr>
        <w:t xml:space="preserve">did </w:t>
      </w:r>
      <w:r w:rsidR="009971B4">
        <w:rPr>
          <w:rStyle w:val="AERbody"/>
        </w:rPr>
        <w:t xml:space="preserve">submit a revised 2009–11 budget application </w:t>
      </w:r>
      <w:r w:rsidR="00D30D0F">
        <w:rPr>
          <w:rStyle w:val="AERbody"/>
        </w:rPr>
        <w:t xml:space="preserve">on 28 February 2011 </w:t>
      </w:r>
      <w:r w:rsidR="009971B4">
        <w:rPr>
          <w:rStyle w:val="AERbody"/>
        </w:rPr>
        <w:t>for increased costs associated with WiMAX</w:t>
      </w:r>
      <w:r w:rsidR="00D30D0F">
        <w:rPr>
          <w:rStyle w:val="AERbody"/>
        </w:rPr>
        <w:t xml:space="preserve">. </w:t>
      </w:r>
      <w:r w:rsidR="009971B4">
        <w:rPr>
          <w:rStyle w:val="AERbody"/>
        </w:rPr>
        <w:t xml:space="preserve"> </w:t>
      </w:r>
      <w:r w:rsidR="00D30D0F">
        <w:rPr>
          <w:rStyle w:val="AERbody"/>
        </w:rPr>
        <w:t xml:space="preserve">The </w:t>
      </w:r>
      <w:r w:rsidR="009971B4">
        <w:rPr>
          <w:rStyle w:val="AERbody"/>
        </w:rPr>
        <w:t xml:space="preserve">AER did not </w:t>
      </w:r>
      <w:r w:rsidR="00D30D0F">
        <w:rPr>
          <w:rStyle w:val="AERbody"/>
        </w:rPr>
        <w:t>approve the revised budget sought by SP AusNet.</w:t>
      </w:r>
    </w:p>
    <w:p w:rsidR="009971B4" w:rsidRPr="009971B4" w:rsidRDefault="009971B4" w:rsidP="009971B4">
      <w:pPr>
        <w:pStyle w:val="AERheading6"/>
        <w:rPr>
          <w:rStyle w:val="AERbody"/>
        </w:rPr>
      </w:pPr>
      <w:r w:rsidRPr="009971B4">
        <w:rPr>
          <w:rStyle w:val="AERbody"/>
        </w:rPr>
        <w:t>Recovery in excess of the Approved Budget through the charges revision process</w:t>
      </w:r>
    </w:p>
    <w:p w:rsidR="009971B4" w:rsidRPr="009971B4" w:rsidRDefault="009971B4" w:rsidP="009971B4">
      <w:pPr>
        <w:pStyle w:val="AERbodytext"/>
        <w:rPr>
          <w:rStyle w:val="AERbody"/>
        </w:rPr>
      </w:pPr>
      <w:r w:rsidRPr="009971B4">
        <w:rPr>
          <w:rStyle w:val="AERbody"/>
        </w:rPr>
        <w:t xml:space="preserve">Pursuant to clause 5I.2 of the AMI Order SP AusNet </w:t>
      </w:r>
      <w:r>
        <w:rPr>
          <w:rStyle w:val="AERbody"/>
        </w:rPr>
        <w:t>can</w:t>
      </w:r>
      <w:r w:rsidRPr="009971B4">
        <w:rPr>
          <w:rStyle w:val="AERbody"/>
        </w:rPr>
        <w:t xml:space="preserve"> a</w:t>
      </w:r>
      <w:r w:rsidR="00D10B6B">
        <w:rPr>
          <w:rStyle w:val="AERbody"/>
        </w:rPr>
        <w:t xml:space="preserve">utomatically recover actual 2011 expenditure up to 120 per cent of its </w:t>
      </w:r>
      <w:r w:rsidRPr="009971B4">
        <w:rPr>
          <w:rStyle w:val="AERbody"/>
        </w:rPr>
        <w:t>2009</w:t>
      </w:r>
      <w:r w:rsidR="00D10B6B">
        <w:rPr>
          <w:rStyle w:val="AERbody"/>
        </w:rPr>
        <w:t>–</w:t>
      </w:r>
      <w:r w:rsidRPr="009971B4">
        <w:rPr>
          <w:rStyle w:val="AERbody"/>
        </w:rPr>
        <w:t xml:space="preserve">11 Approved Budget </w:t>
      </w:r>
      <w:r w:rsidR="00D10B6B">
        <w:rPr>
          <w:rStyle w:val="AERbody"/>
        </w:rPr>
        <w:t xml:space="preserve">through </w:t>
      </w:r>
      <w:r w:rsidRPr="009971B4">
        <w:rPr>
          <w:rStyle w:val="AERbody"/>
        </w:rPr>
        <w:t xml:space="preserve">the 2013 charges revision process. The 2013 charges revision application is due on 31 August 2012. </w:t>
      </w:r>
      <w:r w:rsidR="00D10B6B">
        <w:rPr>
          <w:rStyle w:val="AERbody"/>
        </w:rPr>
        <w:t>If SP AusNet had switched to mesh radio in 2011, a</w:t>
      </w:r>
      <w:r w:rsidRPr="009971B4">
        <w:rPr>
          <w:rStyle w:val="AERbody"/>
        </w:rPr>
        <w:t xml:space="preserve">s long as the actual expenditure </w:t>
      </w:r>
      <w:r w:rsidR="00D10B6B">
        <w:rPr>
          <w:rStyle w:val="AERbody"/>
        </w:rPr>
        <w:t>incurred in doing so was</w:t>
      </w:r>
      <w:r w:rsidRPr="009971B4">
        <w:rPr>
          <w:rStyle w:val="AERbody"/>
        </w:rPr>
        <w:t xml:space="preserve"> within scope and certified in an audit report, the </w:t>
      </w:r>
      <w:r w:rsidR="00D10B6B">
        <w:rPr>
          <w:rStyle w:val="AERbody"/>
        </w:rPr>
        <w:t xml:space="preserve">AMI Order would </w:t>
      </w:r>
      <w:r w:rsidRPr="009971B4">
        <w:rPr>
          <w:rStyle w:val="AERbody"/>
        </w:rPr>
        <w:t>allow SP AusNet to recover it</w:t>
      </w:r>
      <w:r w:rsidR="00D30D0F">
        <w:rPr>
          <w:rStyle w:val="AERbody"/>
        </w:rPr>
        <w:t xml:space="preserve"> without review by the AER</w:t>
      </w:r>
      <w:r w:rsidRPr="009971B4">
        <w:rPr>
          <w:rStyle w:val="AERbody"/>
        </w:rPr>
        <w:t>.</w:t>
      </w:r>
      <w:r>
        <w:rPr>
          <w:rStyle w:val="FootnoteReference"/>
        </w:rPr>
        <w:footnoteReference w:id="195"/>
      </w:r>
      <w:r w:rsidRPr="009971B4">
        <w:rPr>
          <w:rStyle w:val="AERbody"/>
        </w:rPr>
        <w:t xml:space="preserve"> </w:t>
      </w:r>
    </w:p>
    <w:p w:rsidR="009971B4" w:rsidRPr="009971B4" w:rsidRDefault="009971B4" w:rsidP="009971B4">
      <w:pPr>
        <w:pStyle w:val="AERbodytext"/>
        <w:rPr>
          <w:rStyle w:val="AERbody"/>
        </w:rPr>
      </w:pPr>
      <w:r w:rsidRPr="009971B4">
        <w:rPr>
          <w:rStyle w:val="AERbody"/>
        </w:rPr>
        <w:t xml:space="preserve">In addition, clause 5I.5 of the AMI Order would </w:t>
      </w:r>
      <w:r w:rsidR="00192E31">
        <w:rPr>
          <w:rStyle w:val="AERbody"/>
        </w:rPr>
        <w:t xml:space="preserve">potentially </w:t>
      </w:r>
      <w:r w:rsidRPr="009971B4">
        <w:rPr>
          <w:rStyle w:val="AERbody"/>
        </w:rPr>
        <w:t xml:space="preserve">provide SP AusNet with the opportunity to recover </w:t>
      </w:r>
      <w:r w:rsidR="00192E31">
        <w:rPr>
          <w:rStyle w:val="AERbody"/>
        </w:rPr>
        <w:t>in excess of</w:t>
      </w:r>
      <w:r w:rsidRPr="009971B4">
        <w:rPr>
          <w:rStyle w:val="AERbody"/>
        </w:rPr>
        <w:t xml:space="preserve"> 120</w:t>
      </w:r>
      <w:r w:rsidR="00192E31">
        <w:rPr>
          <w:rStyle w:val="AERbody"/>
        </w:rPr>
        <w:t xml:space="preserve"> per cent</w:t>
      </w:r>
      <w:r w:rsidRPr="009971B4">
        <w:rPr>
          <w:rStyle w:val="AERbody"/>
        </w:rPr>
        <w:t xml:space="preserve"> of its 2009</w:t>
      </w:r>
      <w:r w:rsidR="00192E31">
        <w:rPr>
          <w:rStyle w:val="AERbody"/>
        </w:rPr>
        <w:t>–</w:t>
      </w:r>
      <w:r w:rsidRPr="009971B4">
        <w:rPr>
          <w:rStyle w:val="AERbody"/>
        </w:rPr>
        <w:t>11 Approved Budget through the 2013 charges revision process. Clause 5I.5 requires the AER to assess any expenditure above 120</w:t>
      </w:r>
      <w:r w:rsidR="00192E31">
        <w:rPr>
          <w:rStyle w:val="AERbody"/>
        </w:rPr>
        <w:t xml:space="preserve"> per cent</w:t>
      </w:r>
      <w:r w:rsidRPr="009971B4">
        <w:rPr>
          <w:rStyle w:val="AERbody"/>
        </w:rPr>
        <w:t xml:space="preserve"> of the 2009</w:t>
      </w:r>
      <w:r w:rsidR="00192E31">
        <w:rPr>
          <w:rStyle w:val="AERbody"/>
        </w:rPr>
        <w:t>–</w:t>
      </w:r>
      <w:r w:rsidRPr="009971B4">
        <w:rPr>
          <w:rStyle w:val="AERbody"/>
        </w:rPr>
        <w:t xml:space="preserve">11 Approved Budget as an expenditure excess. </w:t>
      </w:r>
      <w:r w:rsidR="00192E31">
        <w:rPr>
          <w:rStyle w:val="AERbody"/>
        </w:rPr>
        <w:t xml:space="preserve">The AMI Order, as drafted at 28 February 2011 required expenditure excesses to be </w:t>
      </w:r>
      <w:r w:rsidRPr="009971B4">
        <w:rPr>
          <w:rStyle w:val="AERbody"/>
        </w:rPr>
        <w:t xml:space="preserve">assessed </w:t>
      </w:r>
      <w:r w:rsidR="00192E31">
        <w:rPr>
          <w:rStyle w:val="AERbody"/>
        </w:rPr>
        <w:t xml:space="preserve">by the AER </w:t>
      </w:r>
      <w:r w:rsidRPr="009971B4">
        <w:rPr>
          <w:rStyle w:val="AERbody"/>
        </w:rPr>
        <w:t xml:space="preserve">using the same scope and prudent tests as </w:t>
      </w:r>
      <w:r w:rsidR="00D30D0F">
        <w:rPr>
          <w:rStyle w:val="AERbody"/>
        </w:rPr>
        <w:t xml:space="preserve">apply when </w:t>
      </w:r>
      <w:r w:rsidRPr="009971B4">
        <w:rPr>
          <w:rStyle w:val="AERbody"/>
        </w:rPr>
        <w:t>determining the approved budget.</w:t>
      </w:r>
      <w:r w:rsidR="00192E31">
        <w:rPr>
          <w:rStyle w:val="FootnoteReference"/>
        </w:rPr>
        <w:footnoteReference w:id="196"/>
      </w:r>
    </w:p>
    <w:p w:rsidR="009971B4" w:rsidRPr="009971B4" w:rsidRDefault="009971B4" w:rsidP="009971B4">
      <w:pPr>
        <w:pStyle w:val="AERbodytext"/>
        <w:rPr>
          <w:rStyle w:val="AERbody"/>
        </w:rPr>
      </w:pPr>
      <w:r w:rsidRPr="009971B4">
        <w:rPr>
          <w:rStyle w:val="AERbody"/>
        </w:rPr>
        <w:t xml:space="preserve">This </w:t>
      </w:r>
      <w:r w:rsidR="00192E31">
        <w:rPr>
          <w:rStyle w:val="AERbody"/>
        </w:rPr>
        <w:t>would mean</w:t>
      </w:r>
      <w:r w:rsidRPr="009971B4">
        <w:rPr>
          <w:rStyle w:val="AERbody"/>
        </w:rPr>
        <w:t xml:space="preserve"> that if SP AusNet could demonstrate that its expenditure excess was prudent, it would be able to recover it. For example, if SP AusNet entered into competitively tendered contracts for a mesh solution in 2011, clause 5I.7(a) of the AMI Order would deem the expenditure prudent.</w:t>
      </w:r>
    </w:p>
    <w:p w:rsidR="009971B4" w:rsidRDefault="00192E31" w:rsidP="00192E31">
      <w:pPr>
        <w:pStyle w:val="AERbodytext"/>
        <w:rPr>
          <w:rStyle w:val="AERbody"/>
        </w:rPr>
      </w:pPr>
      <w:r>
        <w:rPr>
          <w:rStyle w:val="AERbody"/>
        </w:rPr>
        <w:t xml:space="preserve">The AER considers these opportunities under the AMI Order would be </w:t>
      </w:r>
      <w:r w:rsidRPr="00192E31">
        <w:rPr>
          <w:rStyle w:val="AERbody"/>
        </w:rPr>
        <w:t>important</w:t>
      </w:r>
      <w:r>
        <w:rPr>
          <w:rStyle w:val="AERbody"/>
        </w:rPr>
        <w:t xml:space="preserve"> </w:t>
      </w:r>
      <w:r w:rsidRPr="00192E31">
        <w:rPr>
          <w:rStyle w:val="AERbody"/>
        </w:rPr>
        <w:t>consideration</w:t>
      </w:r>
      <w:r>
        <w:rPr>
          <w:rStyle w:val="AERbody"/>
        </w:rPr>
        <w:t>s</w:t>
      </w:r>
      <w:r w:rsidRPr="00192E31">
        <w:rPr>
          <w:rStyle w:val="AERbody"/>
        </w:rPr>
        <w:t xml:space="preserve"> that a reasonable commercial business would have factored into </w:t>
      </w:r>
      <w:r>
        <w:rPr>
          <w:rStyle w:val="AERbody"/>
        </w:rPr>
        <w:t>its</w:t>
      </w:r>
      <w:r w:rsidRPr="00192E31">
        <w:rPr>
          <w:rStyle w:val="AERbody"/>
        </w:rPr>
        <w:t xml:space="preserve"> investment governance</w:t>
      </w:r>
      <w:r>
        <w:rPr>
          <w:rStyle w:val="AERbody"/>
        </w:rPr>
        <w:t xml:space="preserve"> </w:t>
      </w:r>
      <w:r w:rsidRPr="00192E31">
        <w:rPr>
          <w:rStyle w:val="AERbody"/>
        </w:rPr>
        <w:t>process in the circumstances.</w:t>
      </w:r>
      <w:r>
        <w:rPr>
          <w:rStyle w:val="FootnoteReference"/>
        </w:rPr>
        <w:footnoteReference w:id="197"/>
      </w:r>
      <w:r w:rsidR="009971B4" w:rsidRPr="009971B4">
        <w:rPr>
          <w:rStyle w:val="AERbody"/>
        </w:rPr>
        <w:t xml:space="preserve"> </w:t>
      </w:r>
    </w:p>
    <w:p w:rsidR="00192E31" w:rsidRDefault="00192E31" w:rsidP="00192E31">
      <w:pPr>
        <w:pStyle w:val="AERheading4"/>
      </w:pPr>
      <w:r>
        <w:t>Switching costs recoverable in 2012–15</w:t>
      </w:r>
    </w:p>
    <w:p w:rsidR="00E10CF5" w:rsidRDefault="00A94F8A" w:rsidP="00533F0C">
      <w:pPr>
        <w:pStyle w:val="AERbodytext"/>
      </w:pPr>
      <w:r>
        <w:t>The AER's quantitative analysis identified $</w:t>
      </w:r>
      <w:r w:rsidR="00E45D98">
        <w:t>15.9</w:t>
      </w:r>
      <w:r>
        <w:t xml:space="preserve"> million in switching costs. However, of this figure, the AER considers $4.2 million (for WiMAX </w:t>
      </w:r>
      <w:r w:rsidR="00D30D0F">
        <w:t>contract break costs and tower removal</w:t>
      </w:r>
      <w:r>
        <w:t xml:space="preserve">) would be incurred in 2011, rather than 2012. Accordingly, </w:t>
      </w:r>
      <w:r w:rsidR="006435F8">
        <w:t xml:space="preserve">the </w:t>
      </w:r>
      <w:r w:rsidR="00EF4949">
        <w:t xml:space="preserve">AER's preliminary view is that </w:t>
      </w:r>
      <w:r w:rsidR="006435F8">
        <w:t xml:space="preserve">switching costs </w:t>
      </w:r>
      <w:r w:rsidR="001F042E">
        <w:t xml:space="preserve">that </w:t>
      </w:r>
      <w:r w:rsidR="00EB4044">
        <w:t xml:space="preserve">are prudent and </w:t>
      </w:r>
      <w:r w:rsidR="006435F8">
        <w:t>recoverable in</w:t>
      </w:r>
      <w:r>
        <w:t xml:space="preserve"> 2012–15 </w:t>
      </w:r>
      <w:r w:rsidR="006435F8">
        <w:t>amount to</w:t>
      </w:r>
      <w:r>
        <w:t xml:space="preserve"> $</w:t>
      </w:r>
      <w:r w:rsidR="00E45D98">
        <w:t>11.7</w:t>
      </w:r>
      <w:r>
        <w:t xml:space="preserve"> million</w:t>
      </w:r>
      <w:r w:rsidR="001F042E">
        <w:t>.</w:t>
      </w:r>
      <w:r w:rsidR="00533F0C">
        <w:t xml:space="preserve"> This expenditure is </w:t>
      </w:r>
      <w:r w:rsidR="00EF4949">
        <w:t>in the "</w:t>
      </w:r>
      <w:r w:rsidR="00533F0C">
        <w:t>meter capex</w:t>
      </w:r>
      <w:r w:rsidR="00EF4949">
        <w:t>" category</w:t>
      </w:r>
      <w:r w:rsidR="00533F0C">
        <w:t xml:space="preserve">, and therefore falls within the scope of the </w:t>
      </w:r>
      <w:r w:rsidR="004F3608">
        <w:t xml:space="preserve">Tribunal's remittal and the </w:t>
      </w:r>
      <w:r w:rsidR="00533F0C">
        <w:t>AER's amended determination.</w:t>
      </w:r>
    </w:p>
    <w:p w:rsidR="00533F0C" w:rsidRPr="00533F0C" w:rsidRDefault="00533F0C" w:rsidP="00533F0C">
      <w:pPr>
        <w:pStyle w:val="AERheading2"/>
        <w:rPr>
          <w:rStyle w:val="AERbody"/>
          <w:color w:val="F2750E"/>
          <w:sz w:val="28"/>
        </w:rPr>
      </w:pPr>
      <w:bookmarkStart w:id="27" w:name="_Toc332382085"/>
      <w:r w:rsidRPr="00533F0C">
        <w:rPr>
          <w:rStyle w:val="AERbody"/>
          <w:color w:val="F2750E"/>
          <w:sz w:val="28"/>
        </w:rPr>
        <w:t>Revisions</w:t>
      </w:r>
      <w:bookmarkEnd w:id="27"/>
    </w:p>
    <w:p w:rsidR="00533F0C" w:rsidRDefault="00533F0C" w:rsidP="00533F0C">
      <w:pPr>
        <w:pStyle w:val="AERrevisionbox"/>
      </w:pPr>
      <w:r>
        <w:t>The AER's preliminary view result</w:t>
      </w:r>
      <w:r w:rsidR="007F63C5">
        <w:t>s</w:t>
      </w:r>
      <w:r>
        <w:t xml:space="preserve"> in revisions </w:t>
      </w:r>
      <w:r w:rsidR="007F63C5">
        <w:t xml:space="preserve">that </w:t>
      </w:r>
      <w:r w:rsidR="00EF4949">
        <w:t xml:space="preserve">would </w:t>
      </w:r>
      <w:r w:rsidR="007F63C5">
        <w:t>increase its final determination Approved Budget for SP AusNet by</w:t>
      </w:r>
      <w:r>
        <w:t xml:space="preserve"> </w:t>
      </w:r>
      <w:r w:rsidR="007F63C5">
        <w:t>$26.5 million</w:t>
      </w:r>
      <w:r>
        <w:t xml:space="preserve"> </w:t>
      </w:r>
      <w:r w:rsidR="007F63C5">
        <w:t>for:</w:t>
      </w:r>
    </w:p>
    <w:p w:rsidR="007F63C5" w:rsidRDefault="007F63C5" w:rsidP="007F63C5">
      <w:pPr>
        <w:pStyle w:val="AERrevisionbox"/>
      </w:pPr>
      <w:r>
        <w:t>1. Foreign exchange contracts - $15.8 million</w:t>
      </w:r>
    </w:p>
    <w:p w:rsidR="007F63C5" w:rsidRDefault="007F63C5" w:rsidP="007F63C5">
      <w:pPr>
        <w:pStyle w:val="AERrevisionbox"/>
      </w:pPr>
      <w:r>
        <w:t>2. Project management labour - $1.7 million</w:t>
      </w:r>
    </w:p>
    <w:p w:rsidR="007F63C5" w:rsidRPr="00533F0C" w:rsidRDefault="007F63C5" w:rsidP="007F63C5">
      <w:pPr>
        <w:pStyle w:val="AERrevisionbox"/>
      </w:pPr>
      <w:r>
        <w:t>3. Mesh radio switching costs - $</w:t>
      </w:r>
      <w:r w:rsidR="00E45D98">
        <w:t>11.7</w:t>
      </w:r>
      <w:r>
        <w:t xml:space="preserve"> million</w:t>
      </w:r>
    </w:p>
    <w:sectPr w:rsidR="007F63C5" w:rsidRPr="00533F0C" w:rsidSect="00647EEB">
      <w:footerReference w:type="default" r:id="rId17"/>
      <w:type w:val="continuous"/>
      <w:pgSz w:w="11906" w:h="16838" w:code="9"/>
      <w:pgMar w:top="1440" w:right="1440" w:bottom="1440" w:left="14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2F8" w:rsidRDefault="00FF22F8" w:rsidP="00BB640B">
      <w:r>
        <w:separator/>
      </w:r>
    </w:p>
    <w:p w:rsidR="00FF22F8" w:rsidRDefault="00FF22F8"/>
    <w:p w:rsidR="00FF22F8" w:rsidRDefault="00FF22F8"/>
  </w:endnote>
  <w:endnote w:type="continuationSeparator" w:id="0">
    <w:p w:rsidR="00FF22F8" w:rsidRDefault="00FF22F8" w:rsidP="00BB640B">
      <w:r>
        <w:continuationSeparator/>
      </w:r>
    </w:p>
    <w:p w:rsidR="00FF22F8" w:rsidRDefault="00FF22F8"/>
    <w:p w:rsidR="00FF22F8" w:rsidRDefault="00FF22F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auto"/>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517" w:rsidRDefault="00065517" w:rsidP="00DC6A8E">
    <w:pPr>
      <w:tabs>
        <w:tab w:val="right" w:pos="9072"/>
      </w:tabs>
    </w:pPr>
    <w:r>
      <w:t xml:space="preserve">AER </w:t>
    </w:r>
    <w:r w:rsidRPr="001F042E">
      <w:t>Preliminary View | SP AusNet AMI 2012–15</w:t>
    </w:r>
    <w:r>
      <w:t xml:space="preserve"> | Contents</w:t>
    </w:r>
    <w:r>
      <w:tab/>
    </w:r>
    <w:r w:rsidR="00796207">
      <w:rPr>
        <w:rStyle w:val="PageNumber"/>
      </w:rPr>
      <w:fldChar w:fldCharType="begin"/>
    </w:r>
    <w:r>
      <w:rPr>
        <w:rStyle w:val="PageNumber"/>
      </w:rPr>
      <w:instrText xml:space="preserve"> PAGE </w:instrText>
    </w:r>
    <w:r w:rsidR="00796207">
      <w:rPr>
        <w:rStyle w:val="PageNumber"/>
      </w:rPr>
      <w:fldChar w:fldCharType="separate"/>
    </w:r>
    <w:r w:rsidR="00FF22F8">
      <w:rPr>
        <w:rStyle w:val="PageNumber"/>
        <w:noProof/>
      </w:rPr>
      <w:t>i</w:t>
    </w:r>
    <w:r w:rsidR="00796207">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517" w:rsidRDefault="00065517" w:rsidP="00DC6A8E">
    <w:pPr>
      <w:tabs>
        <w:tab w:val="right" w:pos="9072"/>
      </w:tabs>
    </w:pPr>
    <w:r>
      <w:t>AER Preliminary View</w:t>
    </w:r>
    <w:r w:rsidRPr="003A7AB1">
      <w:t xml:space="preserve"> | SP AusNet </w:t>
    </w:r>
    <w:r>
      <w:t xml:space="preserve">AMI </w:t>
    </w:r>
    <w:r w:rsidRPr="003A7AB1">
      <w:t>2012–15</w:t>
    </w:r>
    <w:r>
      <w:t xml:space="preserve"> | WiMAX communications</w:t>
    </w:r>
    <w:r>
      <w:tab/>
    </w:r>
    <w:r w:rsidR="00796207">
      <w:rPr>
        <w:rStyle w:val="PageNumber"/>
      </w:rPr>
      <w:fldChar w:fldCharType="begin"/>
    </w:r>
    <w:r>
      <w:rPr>
        <w:rStyle w:val="PageNumber"/>
      </w:rPr>
      <w:instrText xml:space="preserve"> PAGE </w:instrText>
    </w:r>
    <w:r w:rsidR="00796207">
      <w:rPr>
        <w:rStyle w:val="PageNumber"/>
      </w:rPr>
      <w:fldChar w:fldCharType="separate"/>
    </w:r>
    <w:r w:rsidR="00FF22F8">
      <w:rPr>
        <w:rStyle w:val="PageNumber"/>
        <w:noProof/>
      </w:rPr>
      <w:t>23</w:t>
    </w:r>
    <w:r w:rsidR="00796207">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2F8" w:rsidRDefault="00FF22F8" w:rsidP="00BB640B">
      <w:r>
        <w:separator/>
      </w:r>
    </w:p>
    <w:p w:rsidR="00FF22F8" w:rsidRDefault="00FF22F8"/>
    <w:p w:rsidR="00FF22F8" w:rsidRDefault="00FF22F8"/>
  </w:footnote>
  <w:footnote w:type="continuationSeparator" w:id="0">
    <w:p w:rsidR="00FF22F8" w:rsidRDefault="00FF22F8" w:rsidP="00BB640B">
      <w:r>
        <w:continuationSeparator/>
      </w:r>
    </w:p>
    <w:p w:rsidR="00FF22F8" w:rsidRDefault="00FF22F8"/>
    <w:p w:rsidR="00FF22F8" w:rsidRDefault="00FF22F8"/>
  </w:footnote>
  <w:footnote w:id="1">
    <w:p w:rsidR="00065517" w:rsidRDefault="00065517">
      <w:pPr>
        <w:pStyle w:val="FootnoteText"/>
      </w:pPr>
      <w:r>
        <w:rPr>
          <w:rStyle w:val="FootnoteReference"/>
        </w:rPr>
        <w:footnoteRef/>
      </w:r>
      <w:r>
        <w:t xml:space="preserve"> </w:t>
      </w:r>
      <w:r>
        <w:tab/>
        <w:t>This further consideration only applies to the WiMAX communications expenditure under review in the Tribunal.</w:t>
      </w:r>
    </w:p>
  </w:footnote>
  <w:footnote w:id="2">
    <w:p w:rsidR="00065517" w:rsidRDefault="00065517" w:rsidP="000D5CD6">
      <w:pPr>
        <w:pStyle w:val="FootnoteText"/>
      </w:pPr>
      <w:r>
        <w:rPr>
          <w:rStyle w:val="FootnoteReference"/>
        </w:rPr>
        <w:footnoteRef/>
      </w:r>
      <w:r>
        <w:t xml:space="preserve"> </w:t>
      </w:r>
      <w:r>
        <w:tab/>
        <w:t>Tribunal Reasons, paragraphs 136-139.</w:t>
      </w:r>
    </w:p>
  </w:footnote>
  <w:footnote w:id="3">
    <w:p w:rsidR="00065517" w:rsidRDefault="00065517">
      <w:pPr>
        <w:pStyle w:val="FootnoteText"/>
      </w:pPr>
      <w:r>
        <w:rPr>
          <w:rStyle w:val="FootnoteReference"/>
        </w:rPr>
        <w:footnoteRef/>
      </w:r>
      <w:r>
        <w:t xml:space="preserve"> </w:t>
      </w:r>
      <w:r>
        <w:tab/>
        <w:t xml:space="preserve">AER, </w:t>
      </w:r>
      <w:r w:rsidRPr="00EF7803">
        <w:rPr>
          <w:rStyle w:val="AERtextitalic"/>
        </w:rPr>
        <w:t>Final Determination</w:t>
      </w:r>
      <w:r>
        <w:t>, October 2011, pp. 75, 103, 115.</w:t>
      </w:r>
    </w:p>
  </w:footnote>
  <w:footnote w:id="4">
    <w:p w:rsidR="00065517" w:rsidRDefault="00065517">
      <w:pPr>
        <w:pStyle w:val="FootnoteText"/>
      </w:pPr>
      <w:r>
        <w:rPr>
          <w:rStyle w:val="FootnoteReference"/>
        </w:rPr>
        <w:footnoteRef/>
      </w:r>
      <w:r>
        <w:t xml:space="preserve"> </w:t>
      </w:r>
      <w:r>
        <w:tab/>
        <w:t>AMI Order, clause 5C.3(b)(iv).</w:t>
      </w:r>
    </w:p>
  </w:footnote>
  <w:footnote w:id="5">
    <w:p w:rsidR="00065517" w:rsidRDefault="00065517" w:rsidP="00416722">
      <w:pPr>
        <w:pStyle w:val="FootnoteText"/>
      </w:pPr>
      <w:r>
        <w:rPr>
          <w:rStyle w:val="FootnoteReference"/>
        </w:rPr>
        <w:footnoteRef/>
      </w:r>
      <w:r>
        <w:t xml:space="preserve"> </w:t>
      </w:r>
      <w:r>
        <w:tab/>
        <w:t xml:space="preserve">Energeia, </w:t>
      </w:r>
      <w:r w:rsidRPr="00166069">
        <w:rPr>
          <w:rStyle w:val="AERtextitalic"/>
        </w:rPr>
        <w:t>Review of SP AusNet's WiMax Related Expenditure</w:t>
      </w:r>
      <w:r>
        <w:t>, August 2012 (</w:t>
      </w:r>
      <w:r w:rsidRPr="00166069">
        <w:rPr>
          <w:rStyle w:val="AERtextitalic"/>
        </w:rPr>
        <w:t>Energeia Report</w:t>
      </w:r>
      <w:r>
        <w:t>), p. 19.</w:t>
      </w:r>
    </w:p>
  </w:footnote>
  <w:footnote w:id="6">
    <w:p w:rsidR="00065517" w:rsidRDefault="00065517" w:rsidP="007C08CF">
      <w:pPr>
        <w:pStyle w:val="FootnoteText"/>
      </w:pPr>
      <w:r>
        <w:rPr>
          <w:rStyle w:val="FootnoteReference"/>
        </w:rPr>
        <w:footnoteRef/>
      </w:r>
      <w:r>
        <w:t xml:space="preserve"> </w:t>
      </w:r>
      <w:r>
        <w:tab/>
        <w:t>SP AusNet, Reconsideration Submission, 5 June 2012, p. 24.</w:t>
      </w:r>
    </w:p>
  </w:footnote>
  <w:footnote w:id="7">
    <w:p w:rsidR="00065517" w:rsidRDefault="00065517" w:rsidP="005B0A8A">
      <w:pPr>
        <w:pStyle w:val="FootnoteText"/>
      </w:pPr>
      <w:r>
        <w:rPr>
          <w:rStyle w:val="FootnoteReference"/>
        </w:rPr>
        <w:footnoteRef/>
      </w:r>
      <w:r>
        <w:t xml:space="preserve"> </w:t>
      </w:r>
      <w:r>
        <w:tab/>
      </w:r>
      <w:r w:rsidRPr="00166069">
        <w:rPr>
          <w:rStyle w:val="AERtextitalic"/>
        </w:rPr>
        <w:t>Energeia Report</w:t>
      </w:r>
      <w:r>
        <w:t>, pp. 22-25, 27-30.</w:t>
      </w:r>
    </w:p>
  </w:footnote>
  <w:footnote w:id="8">
    <w:p w:rsidR="00065517" w:rsidRDefault="00065517" w:rsidP="005B0A8A">
      <w:pPr>
        <w:pStyle w:val="FootnoteText"/>
      </w:pPr>
      <w:r>
        <w:rPr>
          <w:rStyle w:val="FootnoteReference"/>
        </w:rPr>
        <w:footnoteRef/>
      </w:r>
      <w:r>
        <w:t xml:space="preserve"> </w:t>
      </w:r>
      <w:r>
        <w:tab/>
      </w:r>
      <w:r w:rsidRPr="00166069">
        <w:rPr>
          <w:rStyle w:val="AERtextitalic"/>
        </w:rPr>
        <w:t>Energeia Report</w:t>
      </w:r>
      <w:r>
        <w:t>, pp. 22-25, 27-30.</w:t>
      </w:r>
    </w:p>
  </w:footnote>
  <w:footnote w:id="9">
    <w:p w:rsidR="00065517" w:rsidRDefault="00065517">
      <w:pPr>
        <w:pStyle w:val="FootnoteText"/>
      </w:pPr>
      <w:r>
        <w:rPr>
          <w:rStyle w:val="FootnoteReference"/>
        </w:rPr>
        <w:footnoteRef/>
      </w:r>
      <w:r>
        <w:t xml:space="preserve"> </w:t>
      </w:r>
      <w:r>
        <w:tab/>
        <w:t xml:space="preserve">See section </w:t>
      </w:r>
      <w:r w:rsidR="00796207">
        <w:fldChar w:fldCharType="begin"/>
      </w:r>
      <w:r>
        <w:instrText xml:space="preserve"> REF _Ref332293538 \r \h </w:instrText>
      </w:r>
      <w:r w:rsidR="00796207">
        <w:fldChar w:fldCharType="separate"/>
      </w:r>
      <w:r w:rsidR="00AF0E53">
        <w:t>1.3.4</w:t>
      </w:r>
      <w:r w:rsidR="00796207">
        <w:fldChar w:fldCharType="end"/>
      </w:r>
      <w:r>
        <w:t>.</w:t>
      </w:r>
    </w:p>
  </w:footnote>
  <w:footnote w:id="10">
    <w:p w:rsidR="00065517" w:rsidRDefault="00065517" w:rsidP="00D81701">
      <w:pPr>
        <w:pStyle w:val="FootnoteText"/>
      </w:pPr>
      <w:r>
        <w:rPr>
          <w:rStyle w:val="FootnoteReference"/>
        </w:rPr>
        <w:footnoteRef/>
      </w:r>
      <w:r>
        <w:t xml:space="preserve"> </w:t>
      </w:r>
      <w:r>
        <w:tab/>
        <w:t>AMI Order, clause 5C.3(b)(iv).</w:t>
      </w:r>
    </w:p>
  </w:footnote>
  <w:footnote w:id="11">
    <w:p w:rsidR="00065517" w:rsidRDefault="00065517" w:rsidP="00D81701">
      <w:pPr>
        <w:pStyle w:val="FootnoteText"/>
      </w:pPr>
      <w:r>
        <w:rPr>
          <w:rStyle w:val="FootnoteReference"/>
        </w:rPr>
        <w:footnoteRef/>
      </w:r>
      <w:r>
        <w:t xml:space="preserve"> </w:t>
      </w:r>
      <w:r>
        <w:tab/>
        <w:t>AMI Order, clause 5C.8.</w:t>
      </w:r>
    </w:p>
  </w:footnote>
  <w:footnote w:id="12">
    <w:p w:rsidR="00065517" w:rsidRDefault="00065517">
      <w:pPr>
        <w:pStyle w:val="FootnoteText"/>
      </w:pPr>
      <w:r>
        <w:rPr>
          <w:rStyle w:val="FootnoteReference"/>
        </w:rPr>
        <w:footnoteRef/>
      </w:r>
      <w:r>
        <w:t xml:space="preserve"> </w:t>
      </w:r>
      <w:r>
        <w:tab/>
        <w:t>Tribunal reasons, paragraphs 137, 139.</w:t>
      </w:r>
    </w:p>
  </w:footnote>
  <w:footnote w:id="13">
    <w:p w:rsidR="00065517" w:rsidRDefault="00065517" w:rsidP="00041603">
      <w:pPr>
        <w:pStyle w:val="FootnoteText"/>
      </w:pPr>
      <w:r>
        <w:rPr>
          <w:rStyle w:val="FootnoteReference"/>
        </w:rPr>
        <w:footnoteRef/>
      </w:r>
      <w:r>
        <w:t xml:space="preserve"> </w:t>
      </w:r>
      <w:r>
        <w:tab/>
        <w:t>Tribunal reasons, paragraph 131.</w:t>
      </w:r>
    </w:p>
  </w:footnote>
  <w:footnote w:id="14">
    <w:p w:rsidR="00065517" w:rsidRDefault="00065517" w:rsidP="00F377B0">
      <w:pPr>
        <w:pStyle w:val="FootnoteText"/>
      </w:pPr>
      <w:r>
        <w:rPr>
          <w:rStyle w:val="FootnoteReference"/>
        </w:rPr>
        <w:footnoteRef/>
      </w:r>
      <w:r>
        <w:t xml:space="preserve"> </w:t>
      </w:r>
      <w:r>
        <w:tab/>
        <w:t>Tribunal reasons, paragraph 129.</w:t>
      </w:r>
    </w:p>
  </w:footnote>
  <w:footnote w:id="15">
    <w:p w:rsidR="00065517" w:rsidRDefault="00065517" w:rsidP="00F377B0">
      <w:pPr>
        <w:pStyle w:val="FootnoteText"/>
      </w:pPr>
      <w:r>
        <w:rPr>
          <w:rStyle w:val="FootnoteReference"/>
        </w:rPr>
        <w:footnoteRef/>
      </w:r>
      <w:r>
        <w:t xml:space="preserve"> </w:t>
      </w:r>
      <w:r>
        <w:tab/>
        <w:t>Tribunal reasons, paragraph 129.</w:t>
      </w:r>
    </w:p>
  </w:footnote>
  <w:footnote w:id="16">
    <w:p w:rsidR="00065517" w:rsidRDefault="00065517">
      <w:pPr>
        <w:pStyle w:val="FootnoteText"/>
      </w:pPr>
      <w:r>
        <w:rPr>
          <w:rStyle w:val="FootnoteReference"/>
        </w:rPr>
        <w:footnoteRef/>
      </w:r>
      <w:r>
        <w:t xml:space="preserve"> </w:t>
      </w:r>
      <w:r>
        <w:tab/>
        <w:t>Tribunal reasons, paragraph 130.</w:t>
      </w:r>
    </w:p>
  </w:footnote>
  <w:footnote w:id="17">
    <w:p w:rsidR="00065517" w:rsidRDefault="00065517">
      <w:pPr>
        <w:pStyle w:val="FootnoteText"/>
      </w:pPr>
      <w:r>
        <w:rPr>
          <w:rStyle w:val="FootnoteReference"/>
        </w:rPr>
        <w:footnoteRef/>
      </w:r>
      <w:r>
        <w:t xml:space="preserve"> </w:t>
      </w:r>
      <w:r>
        <w:tab/>
        <w:t>Tribunal reasons, paragraphs 137-138.</w:t>
      </w:r>
    </w:p>
  </w:footnote>
  <w:footnote w:id="18">
    <w:p w:rsidR="00065517" w:rsidRDefault="00065517">
      <w:pPr>
        <w:pStyle w:val="FootnoteText"/>
      </w:pPr>
      <w:r>
        <w:rPr>
          <w:rStyle w:val="FootnoteReference"/>
        </w:rPr>
        <w:footnoteRef/>
      </w:r>
      <w:r>
        <w:t xml:space="preserve"> </w:t>
      </w:r>
      <w:r>
        <w:tab/>
      </w:r>
      <w:r w:rsidRPr="00166069">
        <w:rPr>
          <w:rStyle w:val="AERtextitalic"/>
        </w:rPr>
        <w:t>Energeia Report</w:t>
      </w:r>
      <w:r>
        <w:t>, pp. 16-17.</w:t>
      </w:r>
    </w:p>
  </w:footnote>
  <w:footnote w:id="19">
    <w:p w:rsidR="00065517" w:rsidRDefault="00065517">
      <w:pPr>
        <w:pStyle w:val="FootnoteText"/>
      </w:pPr>
      <w:r>
        <w:rPr>
          <w:rStyle w:val="FootnoteReference"/>
        </w:rPr>
        <w:footnoteRef/>
      </w:r>
      <w:r>
        <w:t xml:space="preserve"> </w:t>
      </w:r>
      <w:r>
        <w:tab/>
      </w:r>
      <w:r w:rsidRPr="00166069">
        <w:rPr>
          <w:rStyle w:val="AERtextitalic"/>
        </w:rPr>
        <w:t>Energeia Report</w:t>
      </w:r>
      <w:r>
        <w:t>, pp. 25-26.</w:t>
      </w:r>
    </w:p>
  </w:footnote>
  <w:footnote w:id="20">
    <w:p w:rsidR="00065517" w:rsidRDefault="00065517" w:rsidP="00EF4949">
      <w:pPr>
        <w:pStyle w:val="FootnoteText"/>
      </w:pPr>
      <w:r>
        <w:rPr>
          <w:rStyle w:val="FootnoteReference"/>
        </w:rPr>
        <w:footnoteRef/>
      </w:r>
      <w:r>
        <w:t xml:space="preserve"> </w:t>
      </w:r>
      <w:r>
        <w:tab/>
        <w:t>AMI Order, clause 5C.4.</w:t>
      </w:r>
    </w:p>
  </w:footnote>
  <w:footnote w:id="21">
    <w:p w:rsidR="00065517" w:rsidRDefault="00065517">
      <w:pPr>
        <w:pStyle w:val="FootnoteText"/>
      </w:pPr>
      <w:r>
        <w:rPr>
          <w:rStyle w:val="FootnoteReference"/>
        </w:rPr>
        <w:footnoteRef/>
      </w:r>
      <w:r>
        <w:t xml:space="preserve"> </w:t>
      </w:r>
      <w:r>
        <w:tab/>
        <w:t>AMI Order, clauses 5C.3, 5C.8(b); Tribunal reasons, paragraphs 133, 138.</w:t>
      </w:r>
    </w:p>
  </w:footnote>
  <w:footnote w:id="22">
    <w:p w:rsidR="00065517" w:rsidRDefault="00065517">
      <w:pPr>
        <w:pStyle w:val="FootnoteText"/>
      </w:pPr>
      <w:r>
        <w:rPr>
          <w:rStyle w:val="FootnoteReference"/>
        </w:rPr>
        <w:footnoteRef/>
      </w:r>
      <w:r>
        <w:t xml:space="preserve"> </w:t>
      </w:r>
      <w:r>
        <w:tab/>
        <w:t>AMI Order, clause 5C.3(b)(iv).</w:t>
      </w:r>
    </w:p>
  </w:footnote>
  <w:footnote w:id="23">
    <w:p w:rsidR="00065517" w:rsidRDefault="00065517">
      <w:pPr>
        <w:pStyle w:val="FootnoteText"/>
      </w:pPr>
      <w:r>
        <w:rPr>
          <w:rStyle w:val="FootnoteReference"/>
        </w:rPr>
        <w:footnoteRef/>
      </w:r>
      <w:r>
        <w:t xml:space="preserve"> </w:t>
      </w:r>
      <w:r>
        <w:tab/>
      </w:r>
      <w:r w:rsidRPr="00166069">
        <w:rPr>
          <w:rStyle w:val="AERtextitalic"/>
        </w:rPr>
        <w:t>Energeia Report</w:t>
      </w:r>
      <w:r>
        <w:t>, p. 19.</w:t>
      </w:r>
    </w:p>
  </w:footnote>
  <w:footnote w:id="24">
    <w:p w:rsidR="00065517" w:rsidRDefault="00065517">
      <w:pPr>
        <w:pStyle w:val="FootnoteText"/>
      </w:pPr>
      <w:r>
        <w:rPr>
          <w:rStyle w:val="FootnoteReference"/>
        </w:rPr>
        <w:footnoteRef/>
      </w:r>
      <w:r>
        <w:t xml:space="preserve"> </w:t>
      </w:r>
      <w:r>
        <w:tab/>
      </w:r>
      <w:r w:rsidRPr="00166069">
        <w:rPr>
          <w:rStyle w:val="AERtextitalic"/>
        </w:rPr>
        <w:t>Energeia Report</w:t>
      </w:r>
      <w:r>
        <w:t>, p. 34.</w:t>
      </w:r>
    </w:p>
  </w:footnote>
  <w:footnote w:id="25">
    <w:p w:rsidR="00065517" w:rsidRDefault="00065517" w:rsidP="002525F4">
      <w:pPr>
        <w:pStyle w:val="FootnoteText"/>
      </w:pPr>
      <w:r>
        <w:rPr>
          <w:rStyle w:val="FootnoteReference"/>
        </w:rPr>
        <w:footnoteRef/>
      </w:r>
      <w:r>
        <w:t xml:space="preserve"> </w:t>
      </w:r>
      <w:r>
        <w:tab/>
        <w:t xml:space="preserve">SP AusNet, </w:t>
      </w:r>
      <w:r w:rsidRPr="00166069">
        <w:rPr>
          <w:rStyle w:val="AERtextitalic"/>
        </w:rPr>
        <w:t>Reconsideration Submission</w:t>
      </w:r>
      <w:r>
        <w:t>, 5 June 2012, p. 24.</w:t>
      </w:r>
    </w:p>
  </w:footnote>
  <w:footnote w:id="26">
    <w:p w:rsidR="00065517" w:rsidRDefault="00065517" w:rsidP="00273788">
      <w:pPr>
        <w:pStyle w:val="FootnoteText"/>
      </w:pPr>
      <w:r>
        <w:rPr>
          <w:rStyle w:val="FootnoteReference"/>
        </w:rPr>
        <w:footnoteRef/>
      </w:r>
      <w:r>
        <w:t xml:space="preserve"> </w:t>
      </w:r>
      <w:r>
        <w:tab/>
        <w:t>AMI Order, clause 5C.3(b)(iv).</w:t>
      </w:r>
    </w:p>
  </w:footnote>
  <w:footnote w:id="27">
    <w:p w:rsidR="00065517" w:rsidRDefault="00065517">
      <w:pPr>
        <w:pStyle w:val="FootnoteText"/>
      </w:pPr>
      <w:r>
        <w:rPr>
          <w:rStyle w:val="FootnoteReference"/>
        </w:rPr>
        <w:footnoteRef/>
      </w:r>
      <w:r>
        <w:t xml:space="preserve"> </w:t>
      </w:r>
      <w:r>
        <w:tab/>
        <w:t>AMI Order, clause 5C.3.</w:t>
      </w:r>
    </w:p>
  </w:footnote>
  <w:footnote w:id="28">
    <w:p w:rsidR="00D754A0" w:rsidRDefault="00D754A0">
      <w:pPr>
        <w:pStyle w:val="FootnoteText"/>
      </w:pPr>
      <w:r>
        <w:rPr>
          <w:rStyle w:val="FootnoteReference"/>
        </w:rPr>
        <w:footnoteRef/>
      </w:r>
      <w:r>
        <w:t xml:space="preserve"> </w:t>
      </w:r>
      <w:r>
        <w:tab/>
        <w:t>AMI Order, clause 5C.8.</w:t>
      </w:r>
    </w:p>
  </w:footnote>
  <w:footnote w:id="29">
    <w:p w:rsidR="00065517" w:rsidRDefault="00065517" w:rsidP="004B4637">
      <w:pPr>
        <w:pStyle w:val="FootnoteText"/>
      </w:pPr>
      <w:r>
        <w:rPr>
          <w:rStyle w:val="FootnoteReference"/>
        </w:rPr>
        <w:footnoteRef/>
      </w:r>
      <w:r>
        <w:t xml:space="preserve"> </w:t>
      </w:r>
      <w:r>
        <w:tab/>
      </w:r>
      <w:r w:rsidRPr="00166069">
        <w:rPr>
          <w:rStyle w:val="AERtextitalic"/>
        </w:rPr>
        <w:t>Energeia Report</w:t>
      </w:r>
      <w:r>
        <w:t>, pp. 25-26.</w:t>
      </w:r>
    </w:p>
  </w:footnote>
  <w:footnote w:id="30">
    <w:p w:rsidR="00065517" w:rsidRDefault="00065517" w:rsidP="004B4637">
      <w:pPr>
        <w:pStyle w:val="FootnoteText"/>
      </w:pPr>
      <w:r>
        <w:rPr>
          <w:rStyle w:val="FootnoteReference"/>
        </w:rPr>
        <w:footnoteRef/>
      </w:r>
      <w:r>
        <w:t xml:space="preserve"> </w:t>
      </w:r>
      <w:r>
        <w:tab/>
      </w:r>
      <w:r w:rsidRPr="00166069">
        <w:rPr>
          <w:rStyle w:val="AERtextitalic"/>
        </w:rPr>
        <w:t>Energeia Report</w:t>
      </w:r>
      <w:r>
        <w:t>, pp. 25-26.</w:t>
      </w:r>
    </w:p>
  </w:footnote>
  <w:footnote w:id="31">
    <w:p w:rsidR="00065517" w:rsidRDefault="00065517" w:rsidP="004B4637">
      <w:pPr>
        <w:pStyle w:val="FootnoteText"/>
      </w:pPr>
      <w:r>
        <w:rPr>
          <w:rStyle w:val="FootnoteReference"/>
        </w:rPr>
        <w:footnoteRef/>
      </w:r>
      <w:r>
        <w:t xml:space="preserve"> </w:t>
      </w:r>
      <w:r>
        <w:tab/>
        <w:t xml:space="preserve">SP AusNet, </w:t>
      </w:r>
      <w:r w:rsidRPr="00166069">
        <w:rPr>
          <w:rStyle w:val="AERtextitalic"/>
        </w:rPr>
        <w:t>Reconsideration Submission</w:t>
      </w:r>
      <w:r>
        <w:t>, 5 June 2012, p. 19.</w:t>
      </w:r>
    </w:p>
  </w:footnote>
  <w:footnote w:id="32">
    <w:p w:rsidR="00065517" w:rsidRDefault="00065517" w:rsidP="004B4637">
      <w:pPr>
        <w:pStyle w:val="FootnoteText"/>
      </w:pPr>
      <w:r>
        <w:rPr>
          <w:rStyle w:val="FootnoteReference"/>
        </w:rPr>
        <w:footnoteRef/>
      </w:r>
      <w:r>
        <w:t xml:space="preserve"> </w:t>
      </w:r>
      <w:r>
        <w:tab/>
      </w:r>
      <w:r w:rsidRPr="00166069">
        <w:rPr>
          <w:rStyle w:val="AERtextitalic"/>
        </w:rPr>
        <w:t>Energeia Report</w:t>
      </w:r>
      <w:r>
        <w:t>, pp. 25-26.</w:t>
      </w:r>
    </w:p>
  </w:footnote>
  <w:footnote w:id="33">
    <w:p w:rsidR="00065517" w:rsidRDefault="00065517" w:rsidP="00DE14A0">
      <w:pPr>
        <w:pStyle w:val="FootnoteText"/>
      </w:pPr>
      <w:r>
        <w:rPr>
          <w:rStyle w:val="FootnoteReference"/>
        </w:rPr>
        <w:footnoteRef/>
      </w:r>
      <w:r>
        <w:t xml:space="preserve"> </w:t>
      </w:r>
      <w:r>
        <w:tab/>
        <w:t>Tribunal reasons, paragraph 138.</w:t>
      </w:r>
    </w:p>
  </w:footnote>
  <w:footnote w:id="34">
    <w:p w:rsidR="00065517" w:rsidRDefault="00065517">
      <w:pPr>
        <w:pStyle w:val="FootnoteText"/>
      </w:pPr>
      <w:r>
        <w:rPr>
          <w:rStyle w:val="FootnoteReference"/>
        </w:rPr>
        <w:footnoteRef/>
      </w:r>
      <w:r>
        <w:t xml:space="preserve"> </w:t>
      </w:r>
      <w:r>
        <w:tab/>
        <w:t>Tribunal reasons, paragraph 131.</w:t>
      </w:r>
    </w:p>
  </w:footnote>
  <w:footnote w:id="35">
    <w:p w:rsidR="00065517" w:rsidRDefault="00065517" w:rsidP="00DE14A0">
      <w:pPr>
        <w:pStyle w:val="FootnoteText"/>
      </w:pPr>
      <w:r>
        <w:rPr>
          <w:rStyle w:val="FootnoteReference"/>
        </w:rPr>
        <w:footnoteRef/>
      </w:r>
      <w:r>
        <w:t xml:space="preserve"> </w:t>
      </w:r>
      <w:r>
        <w:tab/>
        <w:t xml:space="preserve">SP AusNet, </w:t>
      </w:r>
      <w:r w:rsidRPr="00166069">
        <w:rPr>
          <w:rStyle w:val="AERtextitalic"/>
        </w:rPr>
        <w:t>Reconsideration submission</w:t>
      </w:r>
      <w:r>
        <w:t xml:space="preserve">, 5 June 2012,, </w:t>
      </w:r>
      <w:r w:rsidRPr="00166069">
        <w:rPr>
          <w:rStyle w:val="AERtextitalic"/>
        </w:rPr>
        <w:t>p. 15.</w:t>
      </w:r>
    </w:p>
  </w:footnote>
  <w:footnote w:id="36">
    <w:p w:rsidR="00065517" w:rsidRDefault="00065517" w:rsidP="00DE14A0">
      <w:pPr>
        <w:pStyle w:val="FootnoteText"/>
      </w:pPr>
      <w:r>
        <w:rPr>
          <w:rStyle w:val="FootnoteReference"/>
        </w:rPr>
        <w:footnoteRef/>
      </w:r>
      <w:r>
        <w:t xml:space="preserve"> </w:t>
      </w:r>
      <w:r>
        <w:tab/>
        <w:t xml:space="preserve">SP AusNet, </w:t>
      </w:r>
      <w:r w:rsidRPr="00464D93">
        <w:rPr>
          <w:rStyle w:val="AERtextitalic"/>
        </w:rPr>
        <w:t>Re-planning Analysis &amp; Recommendations</w:t>
      </w:r>
      <w:r>
        <w:t>, 19 May 2011 (confidential).</w:t>
      </w:r>
    </w:p>
  </w:footnote>
  <w:footnote w:id="37">
    <w:p w:rsidR="00065517" w:rsidRDefault="00065517" w:rsidP="00DE14A0">
      <w:pPr>
        <w:pStyle w:val="FootnoteText"/>
      </w:pPr>
      <w:r>
        <w:rPr>
          <w:rStyle w:val="FootnoteReference"/>
        </w:rPr>
        <w:footnoteRef/>
      </w:r>
      <w:r>
        <w:t xml:space="preserve"> </w:t>
      </w:r>
      <w:r>
        <w:tab/>
        <w:t xml:space="preserve">SP AusNet, </w:t>
      </w:r>
      <w:r w:rsidRPr="00166069">
        <w:rPr>
          <w:rStyle w:val="AERtextitalic"/>
        </w:rPr>
        <w:t>Reconsideration submission</w:t>
      </w:r>
      <w:r>
        <w:t>, 5 June 2012, p. 15.</w:t>
      </w:r>
    </w:p>
  </w:footnote>
  <w:footnote w:id="38">
    <w:p w:rsidR="00065517" w:rsidRDefault="00065517" w:rsidP="00DE14A0">
      <w:pPr>
        <w:pStyle w:val="FootnoteText"/>
      </w:pPr>
      <w:r>
        <w:rPr>
          <w:rStyle w:val="FootnoteReference"/>
        </w:rPr>
        <w:footnoteRef/>
      </w:r>
      <w:r>
        <w:t xml:space="preserve"> </w:t>
      </w:r>
      <w:r>
        <w:tab/>
        <w:t xml:space="preserve">AER, </w:t>
      </w:r>
      <w:r w:rsidRPr="00166069">
        <w:rPr>
          <w:rStyle w:val="AERtextitalic"/>
        </w:rPr>
        <w:t>Final determination</w:t>
      </w:r>
      <w:r>
        <w:t>, October 2011, pp. 78, 79, 81, 117.</w:t>
      </w:r>
    </w:p>
  </w:footnote>
  <w:footnote w:id="39">
    <w:p w:rsidR="00065517" w:rsidRDefault="00065517" w:rsidP="00DE14A0">
      <w:pPr>
        <w:pStyle w:val="FootnoteText"/>
      </w:pPr>
      <w:r>
        <w:rPr>
          <w:rStyle w:val="FootnoteReference"/>
        </w:rPr>
        <w:footnoteRef/>
      </w:r>
      <w:r>
        <w:t xml:space="preserve"> </w:t>
      </w:r>
      <w:r>
        <w:tab/>
        <w:t>Tribunal reasons, paragraphs 119–124, 131.</w:t>
      </w:r>
    </w:p>
  </w:footnote>
  <w:footnote w:id="40">
    <w:p w:rsidR="00065517" w:rsidRDefault="00065517" w:rsidP="00DE14A0">
      <w:pPr>
        <w:pStyle w:val="FootnoteText"/>
      </w:pPr>
      <w:r>
        <w:rPr>
          <w:rStyle w:val="FootnoteReference"/>
        </w:rPr>
        <w:footnoteRef/>
      </w:r>
      <w:r>
        <w:t xml:space="preserve"> </w:t>
      </w:r>
      <w:r>
        <w:tab/>
        <w:t xml:space="preserve">SP AusNet, </w:t>
      </w:r>
      <w:r w:rsidRPr="00166069">
        <w:rPr>
          <w:rStyle w:val="AERtextitalic"/>
        </w:rPr>
        <w:t>Reconsideration submission</w:t>
      </w:r>
      <w:r>
        <w:t>, 5 June 2012, p. 15.</w:t>
      </w:r>
    </w:p>
  </w:footnote>
  <w:footnote w:id="41">
    <w:p w:rsidR="00065517" w:rsidRDefault="00065517" w:rsidP="00DE14A0">
      <w:pPr>
        <w:pStyle w:val="FootnoteText"/>
      </w:pPr>
      <w:r>
        <w:rPr>
          <w:rStyle w:val="FootnoteReference"/>
        </w:rPr>
        <w:footnoteRef/>
      </w:r>
      <w:r>
        <w:t xml:space="preserve"> </w:t>
      </w:r>
      <w:r>
        <w:tab/>
        <w:t xml:space="preserve">AER, </w:t>
      </w:r>
      <w:r w:rsidRPr="00166069">
        <w:rPr>
          <w:rStyle w:val="AERtextitalic"/>
        </w:rPr>
        <w:t>Covering email to information request 2</w:t>
      </w:r>
      <w:r>
        <w:t>, sent 12 June 2012.</w:t>
      </w:r>
    </w:p>
  </w:footnote>
  <w:footnote w:id="42">
    <w:p w:rsidR="00065517" w:rsidRDefault="00065517" w:rsidP="00DE14A0">
      <w:pPr>
        <w:pStyle w:val="FootnoteText"/>
      </w:pPr>
      <w:r>
        <w:rPr>
          <w:rStyle w:val="FootnoteReference"/>
        </w:rPr>
        <w:footnoteRef/>
      </w:r>
      <w:r>
        <w:t xml:space="preserve"> </w:t>
      </w:r>
      <w:r>
        <w:tab/>
        <w:t xml:space="preserve">SP AusNet, </w:t>
      </w:r>
      <w:r w:rsidRPr="00C14FF5">
        <w:rPr>
          <w:rStyle w:val="AERtextitalic"/>
        </w:rPr>
        <w:t xml:space="preserve">Response to </w:t>
      </w:r>
      <w:r>
        <w:rPr>
          <w:rStyle w:val="AERtextitalic"/>
        </w:rPr>
        <w:t>information request 2 of 12 June 2012</w:t>
      </w:r>
      <w:r>
        <w:t>, received 29 June 2012, pp. 1–2.</w:t>
      </w:r>
    </w:p>
  </w:footnote>
  <w:footnote w:id="43">
    <w:p w:rsidR="00065517" w:rsidRDefault="00065517" w:rsidP="00DE14A0">
      <w:pPr>
        <w:pStyle w:val="FootnoteText"/>
      </w:pPr>
      <w:r>
        <w:rPr>
          <w:rStyle w:val="FootnoteReference"/>
        </w:rPr>
        <w:footnoteRef/>
      </w:r>
      <w:r>
        <w:t xml:space="preserve"> </w:t>
      </w:r>
      <w:r>
        <w:tab/>
        <w:t>AMI Order clause 5C.5(a)</w:t>
      </w:r>
    </w:p>
  </w:footnote>
  <w:footnote w:id="44">
    <w:p w:rsidR="00065517" w:rsidRDefault="00065517" w:rsidP="00DE14A0">
      <w:pPr>
        <w:pStyle w:val="FootnoteText"/>
      </w:pPr>
      <w:r>
        <w:rPr>
          <w:rStyle w:val="FootnoteReference"/>
        </w:rPr>
        <w:footnoteRef/>
      </w:r>
      <w:r>
        <w:t xml:space="preserve"> </w:t>
      </w:r>
      <w:r>
        <w:tab/>
        <w:t xml:space="preserve">SP AusNet, </w:t>
      </w:r>
      <w:r w:rsidRPr="00C14FF5">
        <w:rPr>
          <w:rStyle w:val="AERtextitalic"/>
        </w:rPr>
        <w:t xml:space="preserve">Response to </w:t>
      </w:r>
      <w:r>
        <w:rPr>
          <w:rStyle w:val="AERtextitalic"/>
        </w:rPr>
        <w:t>information request 2 of 12 June 2012</w:t>
      </w:r>
      <w:r>
        <w:t>, received 29 June 2012, pp. 1-2.</w:t>
      </w:r>
    </w:p>
  </w:footnote>
  <w:footnote w:id="45">
    <w:p w:rsidR="00065517" w:rsidRDefault="00065517">
      <w:pPr>
        <w:pStyle w:val="FootnoteText"/>
      </w:pPr>
      <w:r>
        <w:rPr>
          <w:rStyle w:val="FootnoteReference"/>
        </w:rPr>
        <w:footnoteRef/>
      </w:r>
      <w:r>
        <w:t xml:space="preserve"> </w:t>
      </w:r>
      <w:r>
        <w:tab/>
      </w:r>
      <w:r w:rsidRPr="00EE48D1">
        <w:t>Tribunal reasons, paragraph 134.</w:t>
      </w:r>
    </w:p>
  </w:footnote>
  <w:footnote w:id="46">
    <w:p w:rsidR="00065517" w:rsidRDefault="00065517">
      <w:pPr>
        <w:pStyle w:val="FootnoteText"/>
      </w:pPr>
      <w:r>
        <w:rPr>
          <w:rStyle w:val="FootnoteReference"/>
        </w:rPr>
        <w:footnoteRef/>
      </w:r>
      <w:r>
        <w:t xml:space="preserve"> </w:t>
      </w:r>
      <w:r>
        <w:tab/>
      </w:r>
      <w:r w:rsidRPr="00342753">
        <w:t>For example, in July 2010, SP AusNet's Board was aware that the cost of the AMI program estimate had increased 19 per cent from the July 2008 business case due to WiMAX issues</w:t>
      </w:r>
      <w:r>
        <w:t>.</w:t>
      </w:r>
      <w:r w:rsidRPr="00342753">
        <w:t xml:space="preserve"> </w:t>
      </w:r>
      <w:r>
        <w:t>SP AusNet, AMI Program Business Case Update, 13 July 2010 (confidential).</w:t>
      </w:r>
    </w:p>
  </w:footnote>
  <w:footnote w:id="47">
    <w:p w:rsidR="00065517" w:rsidRDefault="00065517">
      <w:pPr>
        <w:pStyle w:val="FootnoteText"/>
      </w:pPr>
      <w:r>
        <w:rPr>
          <w:rStyle w:val="FootnoteReference"/>
        </w:rPr>
        <w:footnoteRef/>
      </w:r>
      <w:r>
        <w:t xml:space="preserve"> </w:t>
      </w:r>
      <w:r>
        <w:tab/>
        <w:t>Tribunal reasons, paragraph 121.</w:t>
      </w:r>
    </w:p>
  </w:footnote>
  <w:footnote w:id="48">
    <w:p w:rsidR="00065517" w:rsidRDefault="00065517">
      <w:pPr>
        <w:pStyle w:val="FootnoteText"/>
      </w:pPr>
      <w:r>
        <w:rPr>
          <w:rStyle w:val="FootnoteReference"/>
        </w:rPr>
        <w:footnoteRef/>
      </w:r>
      <w:r>
        <w:t xml:space="preserve"> </w:t>
      </w:r>
      <w:r>
        <w:tab/>
      </w:r>
      <w:r w:rsidRPr="00166069">
        <w:rPr>
          <w:rStyle w:val="AERtextitalic"/>
        </w:rPr>
        <w:t>Energeia Report</w:t>
      </w:r>
      <w:r>
        <w:t>, pp. 16-17.</w:t>
      </w:r>
    </w:p>
  </w:footnote>
  <w:footnote w:id="49">
    <w:p w:rsidR="00065517" w:rsidRDefault="00065517">
      <w:pPr>
        <w:pStyle w:val="FootnoteText"/>
      </w:pPr>
      <w:r>
        <w:rPr>
          <w:rStyle w:val="FootnoteReference"/>
        </w:rPr>
        <w:footnoteRef/>
      </w:r>
      <w:r>
        <w:t xml:space="preserve"> </w:t>
      </w:r>
      <w:r>
        <w:tab/>
      </w:r>
      <w:r w:rsidRPr="00166069">
        <w:rPr>
          <w:rStyle w:val="AERtextitalic"/>
        </w:rPr>
        <w:t>Energeia Report</w:t>
      </w:r>
      <w:r>
        <w:t>, pp. 16-17.</w:t>
      </w:r>
    </w:p>
  </w:footnote>
  <w:footnote w:id="50">
    <w:p w:rsidR="00065517" w:rsidRDefault="00065517" w:rsidP="00342753">
      <w:pPr>
        <w:pStyle w:val="FootnoteText"/>
      </w:pPr>
      <w:r>
        <w:rPr>
          <w:rStyle w:val="FootnoteReference"/>
        </w:rPr>
        <w:footnoteRef/>
      </w:r>
      <w:r>
        <w:t xml:space="preserve"> </w:t>
      </w:r>
      <w:r>
        <w:tab/>
        <w:t>See, for example, SP AusNet, Revised budget application for 2009-11, pp. 38–39.</w:t>
      </w:r>
    </w:p>
  </w:footnote>
  <w:footnote w:id="51">
    <w:p w:rsidR="00065517" w:rsidRDefault="00065517">
      <w:pPr>
        <w:pStyle w:val="FootnoteText"/>
      </w:pPr>
      <w:r>
        <w:rPr>
          <w:rStyle w:val="FootnoteReference"/>
        </w:rPr>
        <w:footnoteRef/>
      </w:r>
      <w:r>
        <w:t xml:space="preserve"> </w:t>
      </w:r>
      <w:r>
        <w:tab/>
        <w:t>Tribunal reasons, paragraph 131.</w:t>
      </w:r>
    </w:p>
  </w:footnote>
  <w:footnote w:id="52">
    <w:p w:rsidR="00065517" w:rsidRDefault="00065517" w:rsidP="00DE14A0">
      <w:pPr>
        <w:pStyle w:val="FootnoteText"/>
      </w:pPr>
      <w:r>
        <w:rPr>
          <w:rStyle w:val="FootnoteReference"/>
        </w:rPr>
        <w:footnoteRef/>
      </w:r>
      <w:r>
        <w:t xml:space="preserve"> </w:t>
      </w:r>
      <w:r>
        <w:tab/>
        <w:t xml:space="preserve">SP AusNet, </w:t>
      </w:r>
      <w:r w:rsidRPr="00166069">
        <w:rPr>
          <w:rStyle w:val="AERtextitalic"/>
        </w:rPr>
        <w:t>Reconsideration submission</w:t>
      </w:r>
      <w:r>
        <w:t>, 5 June 2012,</w:t>
      </w:r>
      <w:r>
        <w:rPr>
          <w:rStyle w:val="AERtextitalic"/>
        </w:rPr>
        <w:t xml:space="preserve"> </w:t>
      </w:r>
      <w:r>
        <w:rPr>
          <w:rStyle w:val="AERtextitalic"/>
          <w:i w:val="0"/>
        </w:rPr>
        <w:t>pp. 20-21.</w:t>
      </w:r>
    </w:p>
  </w:footnote>
  <w:footnote w:id="53">
    <w:p w:rsidR="00065517" w:rsidRDefault="00065517">
      <w:pPr>
        <w:pStyle w:val="FootnoteText"/>
      </w:pPr>
      <w:r>
        <w:rPr>
          <w:rStyle w:val="FootnoteReference"/>
        </w:rPr>
        <w:footnoteRef/>
      </w:r>
      <w:r>
        <w:t xml:space="preserve"> </w:t>
      </w:r>
      <w:r>
        <w:tab/>
        <w:t>Tribunal reasons, paragraph 134.</w:t>
      </w:r>
    </w:p>
  </w:footnote>
  <w:footnote w:id="54">
    <w:p w:rsidR="00065517" w:rsidRDefault="00065517" w:rsidP="00DE14A0">
      <w:pPr>
        <w:pStyle w:val="FootnoteText"/>
      </w:pPr>
      <w:r>
        <w:rPr>
          <w:rStyle w:val="FootnoteReference"/>
        </w:rPr>
        <w:footnoteRef/>
      </w:r>
      <w:r>
        <w:t xml:space="preserve"> </w:t>
      </w:r>
      <w:r>
        <w:tab/>
        <w:t xml:space="preserve">The Tribunal did not have meter installation numbers as at February 2011 before it. </w:t>
      </w:r>
    </w:p>
  </w:footnote>
  <w:footnote w:id="55">
    <w:p w:rsidR="00065517" w:rsidRDefault="00065517" w:rsidP="00DE14A0">
      <w:pPr>
        <w:pStyle w:val="FootnoteText"/>
      </w:pPr>
      <w:r>
        <w:rPr>
          <w:rStyle w:val="FootnoteReference"/>
        </w:rPr>
        <w:footnoteRef/>
      </w:r>
      <w:r>
        <w:t xml:space="preserve"> </w:t>
      </w:r>
      <w:r>
        <w:tab/>
        <w:t>See, for example, Tribunal reasons, paragraph 129.</w:t>
      </w:r>
    </w:p>
  </w:footnote>
  <w:footnote w:id="56">
    <w:p w:rsidR="00065517" w:rsidRDefault="00065517">
      <w:pPr>
        <w:pStyle w:val="FootnoteText"/>
      </w:pPr>
      <w:r>
        <w:rPr>
          <w:rStyle w:val="FootnoteReference"/>
        </w:rPr>
        <w:footnoteRef/>
      </w:r>
      <w:r>
        <w:t xml:space="preserve"> </w:t>
      </w:r>
      <w:r>
        <w:tab/>
      </w:r>
      <w:r w:rsidRPr="00166069">
        <w:rPr>
          <w:rStyle w:val="AERtextitalic"/>
        </w:rPr>
        <w:t>Energeia Report</w:t>
      </w:r>
      <w:r>
        <w:t>, p. 21.</w:t>
      </w:r>
    </w:p>
  </w:footnote>
  <w:footnote w:id="57">
    <w:p w:rsidR="00065517" w:rsidRDefault="00065517" w:rsidP="00E91CC6">
      <w:pPr>
        <w:pStyle w:val="FootnoteText"/>
      </w:pPr>
      <w:r>
        <w:rPr>
          <w:rStyle w:val="FootnoteReference"/>
        </w:rPr>
        <w:footnoteRef/>
      </w:r>
      <w:r>
        <w:t xml:space="preserve"> </w:t>
      </w:r>
      <w:r>
        <w:tab/>
        <w:t xml:space="preserve">SP AusNet, </w:t>
      </w:r>
      <w:r w:rsidRPr="00166069">
        <w:rPr>
          <w:rStyle w:val="AERtextitalic"/>
        </w:rPr>
        <w:t>Reconsideration Submission</w:t>
      </w:r>
      <w:r>
        <w:t>, pp. 12-13.</w:t>
      </w:r>
    </w:p>
  </w:footnote>
  <w:footnote w:id="58">
    <w:p w:rsidR="00065517" w:rsidRDefault="00065517">
      <w:pPr>
        <w:pStyle w:val="FootnoteText"/>
      </w:pPr>
      <w:r>
        <w:rPr>
          <w:rStyle w:val="FootnoteReference"/>
        </w:rPr>
        <w:footnoteRef/>
      </w:r>
      <w:r>
        <w:t xml:space="preserve"> </w:t>
      </w:r>
      <w:r>
        <w:tab/>
        <w:t xml:space="preserve">SP AusNet, </w:t>
      </w:r>
      <w:r w:rsidRPr="00166069">
        <w:rPr>
          <w:rStyle w:val="AERtextitalic"/>
        </w:rPr>
        <w:t>Reconsideration submission</w:t>
      </w:r>
      <w:r>
        <w:t>, 5 June 2012, p. 13.</w:t>
      </w:r>
    </w:p>
  </w:footnote>
  <w:footnote w:id="59">
    <w:p w:rsidR="00065517" w:rsidRDefault="00065517">
      <w:pPr>
        <w:pStyle w:val="FootnoteText"/>
      </w:pPr>
      <w:r>
        <w:rPr>
          <w:rStyle w:val="FootnoteReference"/>
        </w:rPr>
        <w:footnoteRef/>
      </w:r>
      <w:r>
        <w:t xml:space="preserve"> </w:t>
      </w:r>
      <w:r>
        <w:tab/>
        <w:t xml:space="preserve">SP AusNet, </w:t>
      </w:r>
      <w:r w:rsidRPr="00166069">
        <w:rPr>
          <w:rStyle w:val="AERtextitalic"/>
        </w:rPr>
        <w:t>Response to AER email of 9 July 2012</w:t>
      </w:r>
      <w:r>
        <w:t>, Received 17 July 2012, pp. 3-4.</w:t>
      </w:r>
    </w:p>
  </w:footnote>
  <w:footnote w:id="60">
    <w:p w:rsidR="00065517" w:rsidRDefault="00065517">
      <w:pPr>
        <w:pStyle w:val="FootnoteText"/>
      </w:pPr>
      <w:r>
        <w:rPr>
          <w:rStyle w:val="FootnoteReference"/>
        </w:rPr>
        <w:footnoteRef/>
      </w:r>
      <w:r>
        <w:t xml:space="preserve"> </w:t>
      </w:r>
      <w:r>
        <w:tab/>
      </w:r>
      <w:r w:rsidRPr="00166069">
        <w:rPr>
          <w:rStyle w:val="AERtextitalic"/>
        </w:rPr>
        <w:t>Energeia Report</w:t>
      </w:r>
      <w:r>
        <w:t>, pp. 22-25, 28.</w:t>
      </w:r>
    </w:p>
  </w:footnote>
  <w:footnote w:id="61">
    <w:p w:rsidR="00065517" w:rsidRDefault="00065517" w:rsidP="00340D96">
      <w:pPr>
        <w:pStyle w:val="FootnoteText"/>
      </w:pPr>
      <w:r>
        <w:rPr>
          <w:rStyle w:val="FootnoteReference"/>
        </w:rPr>
        <w:footnoteRef/>
      </w:r>
      <w:r>
        <w:t xml:space="preserve"> </w:t>
      </w:r>
      <w:r>
        <w:tab/>
      </w:r>
      <w:r w:rsidRPr="00166069">
        <w:rPr>
          <w:rStyle w:val="AERtextitalic"/>
        </w:rPr>
        <w:t>Comparative costs of Mesh alternative solution -050612.xls</w:t>
      </w:r>
      <w:r w:rsidR="00D754A0">
        <w:rPr>
          <w:rStyle w:val="AERtextitalic"/>
        </w:rPr>
        <w:t xml:space="preserve"> </w:t>
      </w:r>
      <w:r w:rsidR="00D754A0">
        <w:t>(confidential),</w:t>
      </w:r>
      <w:r>
        <w:t xml:space="preserve"> Comms cost of switching tab and IT cost of switching tab, attachment to SP AusNet, </w:t>
      </w:r>
      <w:r w:rsidRPr="00166069">
        <w:rPr>
          <w:rStyle w:val="AERtextitalic"/>
        </w:rPr>
        <w:t>Reconsideration Submission</w:t>
      </w:r>
      <w:r>
        <w:t>, 5 June 2012. In its final determination (pages 73–74), the AER noted that IF differences in topography and geography between the networks of Powercor and SP AusNet had a quantifiable effect on costs, the category of expenditure most likely to be affected would be communications capex. However, since SP AusNet developed its communications capex estimate from a Powercor benchmark, the AER considers the issue of whether or not communications capex can be benchmarked is moot.</w:t>
      </w:r>
    </w:p>
  </w:footnote>
  <w:footnote w:id="62">
    <w:p w:rsidR="00065517" w:rsidRDefault="00065517">
      <w:pPr>
        <w:pStyle w:val="FootnoteText"/>
      </w:pPr>
      <w:r>
        <w:rPr>
          <w:rStyle w:val="FootnoteReference"/>
        </w:rPr>
        <w:footnoteRef/>
      </w:r>
      <w:r>
        <w:t xml:space="preserve"> </w:t>
      </w:r>
      <w:r>
        <w:tab/>
        <w:t xml:space="preserve">SP AusNet's estimate of the IT capex required for the mesh radio NMS and MMS is based on JEN's build costs for these systems. </w:t>
      </w:r>
      <w:r w:rsidRPr="00166069">
        <w:rPr>
          <w:rStyle w:val="AERtextitalic"/>
        </w:rPr>
        <w:t>Comparative costs of Mesh alternative solution -050612.xls</w:t>
      </w:r>
      <w:r w:rsidR="00D754A0">
        <w:rPr>
          <w:rStyle w:val="AERtextitalic"/>
        </w:rPr>
        <w:t xml:space="preserve"> </w:t>
      </w:r>
      <w:r w:rsidR="00D754A0">
        <w:t>(confidential)</w:t>
      </w:r>
      <w:r w:rsidRPr="00655B99">
        <w:t xml:space="preserve">, </w:t>
      </w:r>
      <w:r>
        <w:t>IT</w:t>
      </w:r>
      <w:r w:rsidRPr="00655B99">
        <w:t xml:space="preserve"> cost</w:t>
      </w:r>
      <w:r>
        <w:t>s</w:t>
      </w:r>
      <w:r w:rsidRPr="00655B99">
        <w:t xml:space="preserve"> of switching tab, attachment to SP AusNet, </w:t>
      </w:r>
      <w:r w:rsidRPr="00166069">
        <w:rPr>
          <w:rStyle w:val="AERtextitalic"/>
        </w:rPr>
        <w:t>Reconsideration Submission</w:t>
      </w:r>
      <w:r w:rsidRPr="00655B99">
        <w:t>, 5 June 2012.</w:t>
      </w:r>
    </w:p>
  </w:footnote>
  <w:footnote w:id="63">
    <w:p w:rsidR="00065517" w:rsidRDefault="00065517">
      <w:pPr>
        <w:pStyle w:val="FootnoteText"/>
      </w:pPr>
      <w:r>
        <w:rPr>
          <w:rStyle w:val="FootnoteReference"/>
        </w:rPr>
        <w:footnoteRef/>
      </w:r>
      <w:r>
        <w:t xml:space="preserve"> </w:t>
      </w:r>
      <w:r>
        <w:tab/>
      </w:r>
      <w:r w:rsidRPr="00166069">
        <w:rPr>
          <w:rStyle w:val="AERtextitalic"/>
        </w:rPr>
        <w:t>Energeia Report</w:t>
      </w:r>
      <w:r>
        <w:t>, pp. 27-30.</w:t>
      </w:r>
    </w:p>
  </w:footnote>
  <w:footnote w:id="64">
    <w:p w:rsidR="00065517" w:rsidRDefault="00065517">
      <w:pPr>
        <w:pStyle w:val="FootnoteText"/>
      </w:pPr>
      <w:r>
        <w:rPr>
          <w:rStyle w:val="FootnoteReference"/>
        </w:rPr>
        <w:footnoteRef/>
      </w:r>
      <w:r>
        <w:t xml:space="preserve"> </w:t>
      </w:r>
      <w:r>
        <w:tab/>
      </w:r>
      <w:r w:rsidRPr="00166069">
        <w:rPr>
          <w:rStyle w:val="AERtextitalic"/>
        </w:rPr>
        <w:t>Energeia Report</w:t>
      </w:r>
      <w:r>
        <w:t>, pp. 27-30.</w:t>
      </w:r>
    </w:p>
  </w:footnote>
  <w:footnote w:id="65">
    <w:p w:rsidR="00065517" w:rsidRDefault="00065517">
      <w:pPr>
        <w:pStyle w:val="FootnoteText"/>
      </w:pPr>
      <w:r>
        <w:rPr>
          <w:rStyle w:val="FootnoteReference"/>
        </w:rPr>
        <w:footnoteRef/>
      </w:r>
      <w:r>
        <w:t xml:space="preserve"> </w:t>
      </w:r>
      <w:r>
        <w:tab/>
        <w:t xml:space="preserve">SP AusNet, </w:t>
      </w:r>
      <w:r w:rsidRPr="00166069">
        <w:rPr>
          <w:rStyle w:val="AERtextitalic"/>
        </w:rPr>
        <w:t>Response to AER email of 9 July 2012</w:t>
      </w:r>
      <w:r>
        <w:t>, Received 17 July 2012, pp. 3-4.</w:t>
      </w:r>
    </w:p>
  </w:footnote>
  <w:footnote w:id="66">
    <w:p w:rsidR="00065517" w:rsidRDefault="00065517">
      <w:pPr>
        <w:pStyle w:val="FootnoteText"/>
      </w:pPr>
      <w:r>
        <w:rPr>
          <w:rStyle w:val="FootnoteReference"/>
        </w:rPr>
        <w:footnoteRef/>
      </w:r>
      <w:r>
        <w:t xml:space="preserve"> </w:t>
      </w:r>
      <w:r>
        <w:tab/>
        <w:t>AMI Order, clause 5I.8(d).</w:t>
      </w:r>
    </w:p>
  </w:footnote>
  <w:footnote w:id="67">
    <w:p w:rsidR="00065517" w:rsidRDefault="00065517">
      <w:pPr>
        <w:pStyle w:val="FootnoteText"/>
      </w:pPr>
      <w:r>
        <w:rPr>
          <w:rStyle w:val="FootnoteReference"/>
        </w:rPr>
        <w:footnoteRef/>
      </w:r>
      <w:r>
        <w:t xml:space="preserve"> </w:t>
      </w:r>
      <w:r>
        <w:tab/>
        <w:t xml:space="preserve">SP AusNet, </w:t>
      </w:r>
      <w:r w:rsidRPr="00166069">
        <w:rPr>
          <w:rStyle w:val="AERtextitalic"/>
        </w:rPr>
        <w:t>Reconsideration submission</w:t>
      </w:r>
      <w:r>
        <w:t>, 5 June 2012, p. 19.</w:t>
      </w:r>
    </w:p>
  </w:footnote>
  <w:footnote w:id="68">
    <w:p w:rsidR="00065517" w:rsidRDefault="00065517">
      <w:pPr>
        <w:pStyle w:val="FootnoteText"/>
      </w:pPr>
      <w:r>
        <w:rPr>
          <w:rStyle w:val="FootnoteReference"/>
        </w:rPr>
        <w:footnoteRef/>
      </w:r>
      <w:r>
        <w:t xml:space="preserve"> </w:t>
      </w:r>
      <w:r>
        <w:tab/>
        <w:t>Tribunal reasons, paragraph 138.</w:t>
      </w:r>
    </w:p>
  </w:footnote>
  <w:footnote w:id="69">
    <w:p w:rsidR="00065517" w:rsidRDefault="00065517">
      <w:pPr>
        <w:pStyle w:val="FootnoteText"/>
      </w:pPr>
      <w:r>
        <w:rPr>
          <w:rStyle w:val="FootnoteReference"/>
        </w:rPr>
        <w:footnoteRef/>
      </w:r>
      <w:r>
        <w:t xml:space="preserve"> </w:t>
      </w:r>
      <w:r>
        <w:tab/>
        <w:t xml:space="preserve">Despite repeated requests from the AER (AER, Information request 2 (12 June 2012), email of 25 June 2012, email of 26 June 2012, email of 9 July 2012, email of 19 July 2012, Letter from AGS of 25 July 2012), SP AusNet did not provide this information. SP AusNet, </w:t>
      </w:r>
      <w:r w:rsidRPr="00166069">
        <w:rPr>
          <w:rStyle w:val="AERtextitalic"/>
        </w:rPr>
        <w:t>Response to information request 2</w:t>
      </w:r>
      <w:r>
        <w:t>, received 29 June 2012, 6, July 2012, 17 July 2012, and letter from JWS received 23 July 2012.</w:t>
      </w:r>
    </w:p>
  </w:footnote>
  <w:footnote w:id="70">
    <w:p w:rsidR="00065517" w:rsidRDefault="00065517">
      <w:pPr>
        <w:pStyle w:val="FootnoteText"/>
      </w:pPr>
      <w:r>
        <w:rPr>
          <w:rStyle w:val="FootnoteReference"/>
        </w:rPr>
        <w:footnoteRef/>
      </w:r>
      <w:r>
        <w:t xml:space="preserve"> </w:t>
      </w:r>
      <w:r>
        <w:tab/>
        <w:t>Tribunal reasons, paragraph 138.</w:t>
      </w:r>
    </w:p>
  </w:footnote>
  <w:footnote w:id="71">
    <w:p w:rsidR="00065517" w:rsidRDefault="00065517">
      <w:pPr>
        <w:pStyle w:val="FootnoteText"/>
      </w:pPr>
      <w:r>
        <w:rPr>
          <w:rStyle w:val="FootnoteReference"/>
        </w:rPr>
        <w:footnoteRef/>
      </w:r>
      <w:r>
        <w:t xml:space="preserve"> </w:t>
      </w:r>
      <w:r>
        <w:tab/>
        <w:t>AMI Order, clause 5C.4.</w:t>
      </w:r>
    </w:p>
  </w:footnote>
  <w:footnote w:id="72">
    <w:p w:rsidR="00065517" w:rsidRDefault="00065517" w:rsidP="00983E78">
      <w:pPr>
        <w:pStyle w:val="FootnoteText"/>
      </w:pPr>
      <w:r>
        <w:rPr>
          <w:rStyle w:val="FootnoteReference"/>
        </w:rPr>
        <w:footnoteRef/>
      </w:r>
      <w:r>
        <w:t xml:space="preserve">  </w:t>
      </w:r>
      <w:r>
        <w:tab/>
        <w:t xml:space="preserve">SP AusNet, </w:t>
      </w:r>
      <w:r w:rsidRPr="00166069">
        <w:rPr>
          <w:rStyle w:val="AERtextitalic"/>
        </w:rPr>
        <w:t>Response to AER information request 2 of 12 June 2012</w:t>
      </w:r>
      <w:r>
        <w:t>, received 29 June 2012.</w:t>
      </w:r>
    </w:p>
  </w:footnote>
  <w:footnote w:id="73">
    <w:p w:rsidR="00065517" w:rsidRDefault="00065517" w:rsidP="00983E78">
      <w:pPr>
        <w:pStyle w:val="FootnoteText"/>
      </w:pPr>
      <w:r>
        <w:rPr>
          <w:rStyle w:val="FootnoteReference"/>
        </w:rPr>
        <w:footnoteRef/>
      </w:r>
      <w:r>
        <w:t xml:space="preserve"> </w:t>
      </w:r>
      <w:r>
        <w:tab/>
        <w:t xml:space="preserve">SP AusNet, </w:t>
      </w:r>
      <w:r w:rsidRPr="00166069">
        <w:rPr>
          <w:rStyle w:val="AERtextitalic"/>
        </w:rPr>
        <w:t>Response to AER information request 2 of 12 June 2012</w:t>
      </w:r>
      <w:r>
        <w:t>, received 17 July 2012.</w:t>
      </w:r>
    </w:p>
  </w:footnote>
  <w:footnote w:id="74">
    <w:p w:rsidR="00065517" w:rsidRDefault="00065517" w:rsidP="00983E78">
      <w:pPr>
        <w:pStyle w:val="FootnoteText"/>
      </w:pPr>
      <w:r>
        <w:rPr>
          <w:rStyle w:val="FootnoteReference"/>
        </w:rPr>
        <w:footnoteRef/>
      </w:r>
      <w:r>
        <w:t xml:space="preserve"> </w:t>
      </w:r>
      <w:r>
        <w:tab/>
        <w:t xml:space="preserve">AER, </w:t>
      </w:r>
      <w:r w:rsidRPr="00166069">
        <w:rPr>
          <w:rStyle w:val="AERtextitalic"/>
        </w:rPr>
        <w:t>Response to SP AusNet's response of 17 July 2012</w:t>
      </w:r>
      <w:r>
        <w:t xml:space="preserve">, sent 19 July 2012; AGS, Letter to JWS of 25 July 2012. </w:t>
      </w:r>
    </w:p>
  </w:footnote>
  <w:footnote w:id="75">
    <w:p w:rsidR="00065517" w:rsidRDefault="00065517" w:rsidP="00983E78">
      <w:pPr>
        <w:pStyle w:val="FootnoteText"/>
      </w:pPr>
      <w:r>
        <w:rPr>
          <w:rStyle w:val="FootnoteReference"/>
        </w:rPr>
        <w:footnoteRef/>
      </w:r>
      <w:r>
        <w:t xml:space="preserve"> </w:t>
      </w:r>
      <w:r>
        <w:tab/>
        <w:t>AMI Order, clause 5.6.</w:t>
      </w:r>
    </w:p>
  </w:footnote>
  <w:footnote w:id="76">
    <w:p w:rsidR="00065517" w:rsidRDefault="00065517">
      <w:pPr>
        <w:pStyle w:val="FootnoteText"/>
      </w:pPr>
      <w:r>
        <w:rPr>
          <w:rStyle w:val="FootnoteReference"/>
        </w:rPr>
        <w:footnoteRef/>
      </w:r>
      <w:r>
        <w:t xml:space="preserve"> </w:t>
      </w:r>
      <w:r>
        <w:tab/>
        <w:t>SP AusNet, AMI Program Business Case Update, 13 July 2010 (confidential).</w:t>
      </w:r>
    </w:p>
  </w:footnote>
  <w:footnote w:id="77">
    <w:p w:rsidR="00065517" w:rsidRDefault="00065517" w:rsidP="00340D96">
      <w:pPr>
        <w:pStyle w:val="FootnoteText"/>
      </w:pPr>
      <w:r>
        <w:rPr>
          <w:rStyle w:val="FootnoteReference"/>
        </w:rPr>
        <w:footnoteRef/>
      </w:r>
      <w:r>
        <w:t xml:space="preserve"> </w:t>
      </w:r>
      <w:r>
        <w:tab/>
        <w:t xml:space="preserve">SP AusNet, </w:t>
      </w:r>
      <w:r w:rsidRPr="00464D93">
        <w:rPr>
          <w:rStyle w:val="AERtextitalic"/>
        </w:rPr>
        <w:t>Re-planning Analysis &amp; Recommendations</w:t>
      </w:r>
      <w:r>
        <w:t>, 19 May 2011 (confidential).</w:t>
      </w:r>
    </w:p>
  </w:footnote>
  <w:footnote w:id="78">
    <w:p w:rsidR="00065517" w:rsidRDefault="00065517" w:rsidP="0078200D">
      <w:pPr>
        <w:pStyle w:val="FootnoteText"/>
      </w:pPr>
      <w:r>
        <w:rPr>
          <w:rStyle w:val="FootnoteReference"/>
        </w:rPr>
        <w:footnoteRef/>
      </w:r>
      <w:r>
        <w:t xml:space="preserve"> </w:t>
      </w:r>
      <w:r>
        <w:tab/>
      </w:r>
      <w:r>
        <w:rPr>
          <w:rStyle w:val="AERtextitalic"/>
          <w:i w:val="0"/>
        </w:rPr>
        <w:t xml:space="preserve">SP AusNet, </w:t>
      </w:r>
      <w:r w:rsidRPr="00166069">
        <w:rPr>
          <w:rStyle w:val="AERtextitalic"/>
        </w:rPr>
        <w:t>Reconsideration Submission</w:t>
      </w:r>
      <w:r>
        <w:rPr>
          <w:rStyle w:val="AERtextitalic"/>
          <w:i w:val="0"/>
        </w:rPr>
        <w:t>, 5 June 2012,</w:t>
      </w:r>
      <w:r w:rsidRPr="009644ED">
        <w:rPr>
          <w:rStyle w:val="AERtextitalic"/>
          <w:i w:val="0"/>
        </w:rPr>
        <w:t xml:space="preserve"> p. 19.</w:t>
      </w:r>
    </w:p>
  </w:footnote>
  <w:footnote w:id="79">
    <w:p w:rsidR="00065517" w:rsidRDefault="00065517" w:rsidP="0078200D">
      <w:pPr>
        <w:pStyle w:val="FootnoteText"/>
      </w:pPr>
      <w:r>
        <w:rPr>
          <w:rStyle w:val="FootnoteReference"/>
        </w:rPr>
        <w:footnoteRef/>
      </w:r>
      <w:r>
        <w:t xml:space="preserve"> </w:t>
      </w:r>
      <w:r>
        <w:tab/>
        <w:t xml:space="preserve">This includes </w:t>
      </w:r>
      <w:r w:rsidRPr="00DC6741">
        <w:t>telecommunications network operational costs, IT operational costs for the NMS, M</w:t>
      </w:r>
      <w:r>
        <w:t>MS and MDMS, and backhaul costs. Energeia, p. 22.</w:t>
      </w:r>
    </w:p>
  </w:footnote>
  <w:footnote w:id="80">
    <w:p w:rsidR="00065517" w:rsidRDefault="00065517" w:rsidP="0078200D">
      <w:pPr>
        <w:pStyle w:val="FootnoteText"/>
      </w:pPr>
      <w:r>
        <w:rPr>
          <w:rStyle w:val="FootnoteReference"/>
        </w:rPr>
        <w:footnoteRef/>
      </w:r>
      <w:r>
        <w:t xml:space="preserve"> </w:t>
      </w:r>
      <w:r>
        <w:tab/>
      </w:r>
      <w:r w:rsidRPr="00166069">
        <w:rPr>
          <w:rStyle w:val="AERtextitalic"/>
        </w:rPr>
        <w:t>Energeia Report</w:t>
      </w:r>
      <w:r>
        <w:t>, p. 14.</w:t>
      </w:r>
    </w:p>
  </w:footnote>
  <w:footnote w:id="81">
    <w:p w:rsidR="00065517" w:rsidRDefault="00065517" w:rsidP="0078200D">
      <w:pPr>
        <w:pStyle w:val="FootnoteText"/>
      </w:pPr>
      <w:r>
        <w:rPr>
          <w:rStyle w:val="FootnoteReference"/>
        </w:rPr>
        <w:footnoteRef/>
      </w:r>
      <w:r>
        <w:t xml:space="preserve"> </w:t>
      </w:r>
      <w:r>
        <w:tab/>
        <w:t xml:space="preserve">See SP AusNet, </w:t>
      </w:r>
      <w:r w:rsidRPr="00166069">
        <w:rPr>
          <w:rStyle w:val="AERtextitalic"/>
        </w:rPr>
        <w:t>AMI Communications Program, Executive Brief, Key Recommendations of Technology Choice Analysis June – Dec 2007</w:t>
      </w:r>
      <w:r w:rsidRPr="0063437B">
        <w:t xml:space="preserve">, </w:t>
      </w:r>
      <w:r>
        <w:t>April 2008, pp. 4-</w:t>
      </w:r>
      <w:r w:rsidRPr="0063437B">
        <w:t>5</w:t>
      </w:r>
      <w:r>
        <w:t xml:space="preserve"> (confidential)</w:t>
      </w:r>
      <w:r w:rsidRPr="0063437B">
        <w:t>.</w:t>
      </w:r>
      <w:r>
        <w:t xml:space="preserve"> </w:t>
      </w:r>
    </w:p>
  </w:footnote>
  <w:footnote w:id="82">
    <w:p w:rsidR="00065517" w:rsidRDefault="00065517">
      <w:pPr>
        <w:pStyle w:val="FootnoteText"/>
      </w:pPr>
      <w:r>
        <w:rPr>
          <w:rStyle w:val="FootnoteReference"/>
        </w:rPr>
        <w:footnoteRef/>
      </w:r>
      <w:r>
        <w:t xml:space="preserve"> </w:t>
      </w:r>
      <w:r>
        <w:tab/>
      </w:r>
      <w:r w:rsidRPr="00166069">
        <w:rPr>
          <w:rStyle w:val="AERtextitalic"/>
        </w:rPr>
        <w:t>Energeia Report</w:t>
      </w:r>
      <w:r>
        <w:t>, p. 14.</w:t>
      </w:r>
    </w:p>
  </w:footnote>
  <w:footnote w:id="83">
    <w:p w:rsidR="00065517" w:rsidRDefault="00065517" w:rsidP="0078200D">
      <w:pPr>
        <w:pStyle w:val="FootnoteText"/>
      </w:pPr>
      <w:r>
        <w:rPr>
          <w:rStyle w:val="FootnoteReference"/>
        </w:rPr>
        <w:footnoteRef/>
      </w:r>
      <w:r>
        <w:t xml:space="preserve"> </w:t>
      </w:r>
      <w:r>
        <w:tab/>
        <w:t xml:space="preserve">SP AusNet, </w:t>
      </w:r>
      <w:r w:rsidRPr="00166069">
        <w:rPr>
          <w:rStyle w:val="AERtextitalic"/>
        </w:rPr>
        <w:t>Reconsideration Submission</w:t>
      </w:r>
      <w:r>
        <w:t>, 5 June 2012, p. 12.</w:t>
      </w:r>
    </w:p>
  </w:footnote>
  <w:footnote w:id="84">
    <w:p w:rsidR="00065517" w:rsidRDefault="00065517" w:rsidP="0078200D">
      <w:pPr>
        <w:pStyle w:val="FootnoteText"/>
      </w:pPr>
      <w:r>
        <w:rPr>
          <w:rStyle w:val="FootnoteReference"/>
        </w:rPr>
        <w:footnoteRef/>
      </w:r>
      <w:r>
        <w:t xml:space="preserve"> </w:t>
      </w:r>
      <w:r>
        <w:tab/>
        <w:t>AMI Order, clause 4.1(g); Energeia, p. 12.</w:t>
      </w:r>
    </w:p>
  </w:footnote>
  <w:footnote w:id="85">
    <w:p w:rsidR="00065517" w:rsidRDefault="00065517">
      <w:pPr>
        <w:pStyle w:val="FootnoteText"/>
      </w:pPr>
      <w:r>
        <w:rPr>
          <w:rStyle w:val="FootnoteReference"/>
        </w:rPr>
        <w:footnoteRef/>
      </w:r>
      <w:r>
        <w:t xml:space="preserve"> </w:t>
      </w:r>
      <w:r>
        <w:tab/>
        <w:t xml:space="preserve">SP AusNet, </w:t>
      </w:r>
      <w:r w:rsidRPr="00166069">
        <w:rPr>
          <w:rStyle w:val="AERtextitalic"/>
        </w:rPr>
        <w:t>Reconsideration Submission</w:t>
      </w:r>
      <w:r>
        <w:t>, 5 June 2012, p. 19.</w:t>
      </w:r>
    </w:p>
  </w:footnote>
  <w:footnote w:id="86">
    <w:p w:rsidR="00065517" w:rsidRDefault="00065517" w:rsidP="00A20F0B">
      <w:pPr>
        <w:pStyle w:val="FootnoteText"/>
      </w:pPr>
      <w:r>
        <w:rPr>
          <w:rStyle w:val="FootnoteReference"/>
        </w:rPr>
        <w:footnoteRef/>
      </w:r>
      <w:r>
        <w:t xml:space="preserve"> </w:t>
      </w:r>
      <w:r>
        <w:tab/>
      </w:r>
      <w:r w:rsidRPr="00166069">
        <w:rPr>
          <w:rStyle w:val="AERtextitalic"/>
        </w:rPr>
        <w:t>Energeia Report</w:t>
      </w:r>
      <w:r>
        <w:t>, pp. 22-24.</w:t>
      </w:r>
    </w:p>
  </w:footnote>
  <w:footnote w:id="87">
    <w:p w:rsidR="00065517" w:rsidRDefault="00065517">
      <w:pPr>
        <w:pStyle w:val="FootnoteText"/>
      </w:pPr>
      <w:r>
        <w:rPr>
          <w:rStyle w:val="FootnoteReference"/>
        </w:rPr>
        <w:footnoteRef/>
      </w:r>
      <w:r>
        <w:t xml:space="preserve"> </w:t>
      </w:r>
      <w:r>
        <w:tab/>
        <w:t>AMI Service level specifications, clause 4.3 requires routine remote reads form 1 January 2012.</w:t>
      </w:r>
    </w:p>
  </w:footnote>
  <w:footnote w:id="88">
    <w:p w:rsidR="00065517" w:rsidRDefault="00065517">
      <w:pPr>
        <w:pStyle w:val="FootnoteText"/>
      </w:pPr>
      <w:r>
        <w:rPr>
          <w:rStyle w:val="FootnoteReference"/>
        </w:rPr>
        <w:footnoteRef/>
      </w:r>
      <w:r>
        <w:t xml:space="preserve"> </w:t>
      </w:r>
      <w:r>
        <w:tab/>
      </w:r>
      <w:r w:rsidRPr="00166069">
        <w:rPr>
          <w:rStyle w:val="AERtextitalic"/>
        </w:rPr>
        <w:t>Energeia Report</w:t>
      </w:r>
      <w:r>
        <w:t>, pp. 22-24.</w:t>
      </w:r>
    </w:p>
  </w:footnote>
  <w:footnote w:id="89">
    <w:p w:rsidR="00065517" w:rsidRDefault="00065517">
      <w:pPr>
        <w:pStyle w:val="FootnoteText"/>
      </w:pPr>
      <w:r>
        <w:rPr>
          <w:rStyle w:val="FootnoteReference"/>
        </w:rPr>
        <w:footnoteRef/>
      </w:r>
      <w:r>
        <w:t xml:space="preserve"> </w:t>
      </w:r>
      <w:r>
        <w:tab/>
      </w:r>
      <w:r w:rsidRPr="00166069">
        <w:rPr>
          <w:rStyle w:val="AERtextitalic"/>
        </w:rPr>
        <w:t>Energeia Report</w:t>
      </w:r>
      <w:r>
        <w:t>, pp. 22-24.</w:t>
      </w:r>
    </w:p>
  </w:footnote>
  <w:footnote w:id="90">
    <w:p w:rsidR="00065517" w:rsidRDefault="00065517">
      <w:pPr>
        <w:pStyle w:val="FootnoteText"/>
      </w:pPr>
      <w:r>
        <w:rPr>
          <w:rStyle w:val="FootnoteReference"/>
        </w:rPr>
        <w:footnoteRef/>
      </w:r>
      <w:r>
        <w:t xml:space="preserve"> </w:t>
      </w:r>
      <w:r>
        <w:tab/>
      </w:r>
      <w:r w:rsidRPr="00166069">
        <w:rPr>
          <w:rStyle w:val="AERtextitalic"/>
        </w:rPr>
        <w:t>Energeia Report</w:t>
      </w:r>
      <w:r>
        <w:t>, p. 23.</w:t>
      </w:r>
    </w:p>
  </w:footnote>
  <w:footnote w:id="91">
    <w:p w:rsidR="00065517" w:rsidRDefault="00065517">
      <w:pPr>
        <w:pStyle w:val="FootnoteText"/>
      </w:pPr>
      <w:r>
        <w:rPr>
          <w:rStyle w:val="FootnoteReference"/>
        </w:rPr>
        <w:footnoteRef/>
      </w:r>
      <w:r>
        <w:t xml:space="preserve"> </w:t>
      </w:r>
      <w:r>
        <w:tab/>
      </w:r>
      <w:r w:rsidRPr="00166069">
        <w:rPr>
          <w:rStyle w:val="AERtextitalic"/>
        </w:rPr>
        <w:t>Energeia Report</w:t>
      </w:r>
      <w:r>
        <w:t>, p. 23.</w:t>
      </w:r>
    </w:p>
  </w:footnote>
  <w:footnote w:id="92">
    <w:p w:rsidR="00065517" w:rsidRDefault="00065517">
      <w:pPr>
        <w:pStyle w:val="FootnoteText"/>
      </w:pPr>
      <w:r>
        <w:rPr>
          <w:rStyle w:val="FootnoteReference"/>
        </w:rPr>
        <w:footnoteRef/>
      </w:r>
      <w:r>
        <w:t xml:space="preserve"> </w:t>
      </w:r>
      <w:r>
        <w:tab/>
        <w:t xml:space="preserve">SP AusNet, </w:t>
      </w:r>
      <w:r w:rsidRPr="00166069">
        <w:rPr>
          <w:rStyle w:val="AERtextitalic"/>
        </w:rPr>
        <w:t>Reconsideration submission</w:t>
      </w:r>
      <w:r>
        <w:t>, 5 June 2012, p. 17.</w:t>
      </w:r>
    </w:p>
  </w:footnote>
  <w:footnote w:id="93">
    <w:p w:rsidR="00065517" w:rsidRDefault="00065517">
      <w:pPr>
        <w:pStyle w:val="FootnoteText"/>
      </w:pPr>
      <w:r>
        <w:rPr>
          <w:rStyle w:val="FootnoteReference"/>
        </w:rPr>
        <w:footnoteRef/>
      </w:r>
      <w:r>
        <w:t xml:space="preserve"> </w:t>
      </w:r>
      <w:r>
        <w:tab/>
      </w:r>
      <w:r w:rsidRPr="00166069">
        <w:rPr>
          <w:rStyle w:val="AERtextitalic"/>
        </w:rPr>
        <w:t>Energeia Report</w:t>
      </w:r>
      <w:r>
        <w:t>, p. 23.</w:t>
      </w:r>
    </w:p>
  </w:footnote>
  <w:footnote w:id="94">
    <w:p w:rsidR="00065517" w:rsidRDefault="00065517">
      <w:pPr>
        <w:pStyle w:val="FootnoteText"/>
      </w:pPr>
      <w:r>
        <w:rPr>
          <w:rStyle w:val="FootnoteReference"/>
        </w:rPr>
        <w:footnoteRef/>
      </w:r>
      <w:r>
        <w:t xml:space="preserve"> </w:t>
      </w:r>
      <w:r>
        <w:tab/>
        <w:t xml:space="preserve">SP AusNet, </w:t>
      </w:r>
      <w:r w:rsidRPr="00464D93">
        <w:rPr>
          <w:rStyle w:val="AERtextitalic"/>
        </w:rPr>
        <w:t>Re-planning Analysis &amp; Recommendations</w:t>
      </w:r>
      <w:r>
        <w:t>, 19 May 2011, p.40 (confidential).</w:t>
      </w:r>
    </w:p>
  </w:footnote>
  <w:footnote w:id="95">
    <w:p w:rsidR="00065517" w:rsidRDefault="00065517">
      <w:pPr>
        <w:pStyle w:val="FootnoteText"/>
      </w:pPr>
      <w:r>
        <w:rPr>
          <w:rStyle w:val="FootnoteReference"/>
        </w:rPr>
        <w:footnoteRef/>
      </w:r>
      <w:r>
        <w:t xml:space="preserve"> </w:t>
      </w:r>
      <w:r>
        <w:tab/>
      </w:r>
      <w:r w:rsidRPr="00166069">
        <w:rPr>
          <w:rStyle w:val="AERtextitalic"/>
        </w:rPr>
        <w:t>Energeia Report</w:t>
      </w:r>
      <w:r>
        <w:t>, p. 23.</w:t>
      </w:r>
    </w:p>
  </w:footnote>
  <w:footnote w:id="96">
    <w:p w:rsidR="00065517" w:rsidRDefault="00065517">
      <w:pPr>
        <w:pStyle w:val="FootnoteText"/>
      </w:pPr>
      <w:r>
        <w:rPr>
          <w:rStyle w:val="FootnoteReference"/>
        </w:rPr>
        <w:footnoteRef/>
      </w:r>
      <w:r>
        <w:t xml:space="preserve"> </w:t>
      </w:r>
      <w:r>
        <w:tab/>
      </w:r>
      <w:r w:rsidRPr="00166069">
        <w:rPr>
          <w:rStyle w:val="AERtextitalic"/>
        </w:rPr>
        <w:t>Energeia Report</w:t>
      </w:r>
      <w:r>
        <w:t>, p. 23.</w:t>
      </w:r>
    </w:p>
  </w:footnote>
  <w:footnote w:id="97">
    <w:p w:rsidR="00065517" w:rsidRDefault="00065517">
      <w:pPr>
        <w:pStyle w:val="FootnoteText"/>
      </w:pPr>
      <w:r>
        <w:rPr>
          <w:rStyle w:val="FootnoteReference"/>
        </w:rPr>
        <w:footnoteRef/>
      </w:r>
      <w:r>
        <w:t xml:space="preserve"> </w:t>
      </w:r>
      <w:r>
        <w:tab/>
      </w:r>
      <w:r w:rsidRPr="00166069">
        <w:rPr>
          <w:rStyle w:val="AERtextitalic"/>
        </w:rPr>
        <w:t>Energeia Report</w:t>
      </w:r>
      <w:r>
        <w:t>, p. 24.</w:t>
      </w:r>
    </w:p>
  </w:footnote>
  <w:footnote w:id="98">
    <w:p w:rsidR="00065517" w:rsidRDefault="00065517">
      <w:pPr>
        <w:pStyle w:val="FootnoteText"/>
      </w:pPr>
      <w:r>
        <w:rPr>
          <w:rStyle w:val="FootnoteReference"/>
        </w:rPr>
        <w:footnoteRef/>
      </w:r>
      <w:r>
        <w:t xml:space="preserve"> </w:t>
      </w:r>
      <w:r>
        <w:tab/>
      </w:r>
      <w:r w:rsidRPr="00166069">
        <w:rPr>
          <w:rStyle w:val="AERtextitalic"/>
        </w:rPr>
        <w:t>Energeia Report</w:t>
      </w:r>
      <w:r>
        <w:t>, p. 24.</w:t>
      </w:r>
    </w:p>
  </w:footnote>
  <w:footnote w:id="99">
    <w:p w:rsidR="00065517" w:rsidRDefault="00065517">
      <w:pPr>
        <w:pStyle w:val="FootnoteText"/>
      </w:pPr>
      <w:r>
        <w:rPr>
          <w:rStyle w:val="FootnoteReference"/>
        </w:rPr>
        <w:footnoteRef/>
      </w:r>
      <w:r>
        <w:t xml:space="preserve"> </w:t>
      </w:r>
      <w:r>
        <w:tab/>
      </w:r>
      <w:r w:rsidRPr="00166069">
        <w:rPr>
          <w:rStyle w:val="AERtextitalic"/>
        </w:rPr>
        <w:t>Energeia Report</w:t>
      </w:r>
      <w:r>
        <w:t>, p. 24.</w:t>
      </w:r>
    </w:p>
  </w:footnote>
  <w:footnote w:id="100">
    <w:p w:rsidR="00065517" w:rsidRDefault="00065517">
      <w:pPr>
        <w:pStyle w:val="FootnoteText"/>
      </w:pPr>
      <w:r>
        <w:rPr>
          <w:rStyle w:val="FootnoteReference"/>
        </w:rPr>
        <w:footnoteRef/>
      </w:r>
      <w:r>
        <w:t xml:space="preserve"> </w:t>
      </w:r>
      <w:r>
        <w:tab/>
      </w:r>
      <w:r w:rsidRPr="00166069">
        <w:rPr>
          <w:rStyle w:val="AERtextitalic"/>
        </w:rPr>
        <w:t>Energeia Report</w:t>
      </w:r>
      <w:r>
        <w:t>, p. 25.</w:t>
      </w:r>
    </w:p>
  </w:footnote>
  <w:footnote w:id="101">
    <w:p w:rsidR="00065517" w:rsidRDefault="00065517">
      <w:pPr>
        <w:pStyle w:val="FootnoteText"/>
      </w:pPr>
      <w:r>
        <w:rPr>
          <w:rStyle w:val="FootnoteReference"/>
        </w:rPr>
        <w:footnoteRef/>
      </w:r>
      <w:r>
        <w:t xml:space="preserve"> </w:t>
      </w:r>
      <w:r>
        <w:tab/>
      </w:r>
      <w:r w:rsidRPr="00166069">
        <w:rPr>
          <w:rStyle w:val="AERtextitalic"/>
        </w:rPr>
        <w:t>Energeia Report</w:t>
      </w:r>
      <w:r>
        <w:t>, p. 24.</w:t>
      </w:r>
    </w:p>
  </w:footnote>
  <w:footnote w:id="102">
    <w:p w:rsidR="00065517" w:rsidRDefault="00065517">
      <w:pPr>
        <w:pStyle w:val="FootnoteText"/>
      </w:pPr>
      <w:r>
        <w:rPr>
          <w:rStyle w:val="FootnoteReference"/>
        </w:rPr>
        <w:footnoteRef/>
      </w:r>
      <w:r>
        <w:t xml:space="preserve"> </w:t>
      </w:r>
      <w:r>
        <w:tab/>
      </w:r>
      <w:r w:rsidRPr="00166069">
        <w:rPr>
          <w:rStyle w:val="AERtextitalic"/>
        </w:rPr>
        <w:t>Energeia Report</w:t>
      </w:r>
      <w:r>
        <w:t>, p. 25.</w:t>
      </w:r>
    </w:p>
  </w:footnote>
  <w:footnote w:id="103">
    <w:p w:rsidR="00576E46" w:rsidRDefault="00576E46" w:rsidP="00576E46">
      <w:pPr>
        <w:pStyle w:val="FootnoteText"/>
      </w:pPr>
      <w:r>
        <w:rPr>
          <w:rStyle w:val="FootnoteReference"/>
        </w:rPr>
        <w:footnoteRef/>
      </w:r>
      <w:r>
        <w:t xml:space="preserve"> </w:t>
      </w:r>
      <w:r>
        <w:tab/>
      </w:r>
      <w:r w:rsidRPr="0095490F">
        <w:rPr>
          <w:rStyle w:val="AERtextitalic"/>
        </w:rPr>
        <w:t>Energeia Report</w:t>
      </w:r>
      <w:r w:rsidRPr="00886DC3">
        <w:rPr>
          <w:rStyle w:val="AERbody"/>
        </w:rPr>
        <w:t xml:space="preserve">, p. </w:t>
      </w:r>
      <w:r w:rsidRPr="00B02DEC">
        <w:rPr>
          <w:rStyle w:val="AERtablesourceCharChar"/>
        </w:rPr>
        <w:t>2</w:t>
      </w:r>
      <w:r>
        <w:rPr>
          <w:rStyle w:val="AERtablesourceCharChar"/>
        </w:rPr>
        <w:t>4</w:t>
      </w:r>
      <w:r w:rsidRPr="00886DC3">
        <w:rPr>
          <w:rStyle w:val="AERbody"/>
        </w:rPr>
        <w:t>.</w:t>
      </w:r>
    </w:p>
  </w:footnote>
  <w:footnote w:id="104">
    <w:p w:rsidR="00065517" w:rsidRDefault="00065517" w:rsidP="00AF09B4">
      <w:pPr>
        <w:pStyle w:val="FootnoteText"/>
      </w:pPr>
      <w:r>
        <w:rPr>
          <w:rStyle w:val="FootnoteReference"/>
        </w:rPr>
        <w:footnoteRef/>
      </w:r>
      <w:r>
        <w:t xml:space="preserve"> </w:t>
      </w:r>
      <w:r>
        <w:tab/>
        <w:t xml:space="preserve">SP AusNet, </w:t>
      </w:r>
      <w:r w:rsidRPr="00166069">
        <w:rPr>
          <w:rStyle w:val="AERtextitalic"/>
        </w:rPr>
        <w:t>Reconsideration submission</w:t>
      </w:r>
      <w:r>
        <w:t>, 5 June 2012, p. 16.</w:t>
      </w:r>
    </w:p>
  </w:footnote>
  <w:footnote w:id="105">
    <w:p w:rsidR="00065517" w:rsidRDefault="00065517" w:rsidP="00AF09B4">
      <w:pPr>
        <w:pStyle w:val="FootnoteText"/>
      </w:pPr>
      <w:r>
        <w:rPr>
          <w:rStyle w:val="FootnoteReference"/>
        </w:rPr>
        <w:footnoteRef/>
      </w:r>
      <w:r>
        <w:t xml:space="preserve"> </w:t>
      </w:r>
      <w:r>
        <w:tab/>
        <w:t xml:space="preserve">SP AusNet, </w:t>
      </w:r>
      <w:r w:rsidRPr="00166069">
        <w:rPr>
          <w:rStyle w:val="AERtextitalic"/>
        </w:rPr>
        <w:t>Reconsideration submission</w:t>
      </w:r>
      <w:r>
        <w:t>, 5 June 2012, p. 22.</w:t>
      </w:r>
    </w:p>
  </w:footnote>
  <w:footnote w:id="106">
    <w:p w:rsidR="00065517" w:rsidRDefault="00065517" w:rsidP="00AF09B4">
      <w:pPr>
        <w:pStyle w:val="FootnoteText"/>
      </w:pPr>
      <w:r>
        <w:rPr>
          <w:rStyle w:val="FootnoteReference"/>
        </w:rPr>
        <w:footnoteRef/>
      </w:r>
      <w:r>
        <w:t xml:space="preserve"> </w:t>
      </w:r>
      <w:r>
        <w:tab/>
        <w:t xml:space="preserve">SP AusNet, </w:t>
      </w:r>
      <w:r w:rsidRPr="00166069">
        <w:rPr>
          <w:rStyle w:val="AERtextitalic"/>
        </w:rPr>
        <w:t>Reconsideration submission</w:t>
      </w:r>
      <w:r>
        <w:t>, 5 June 2012, p. 6.</w:t>
      </w:r>
    </w:p>
  </w:footnote>
  <w:footnote w:id="107">
    <w:p w:rsidR="00065517" w:rsidRDefault="00065517">
      <w:pPr>
        <w:pStyle w:val="FootnoteText"/>
      </w:pPr>
      <w:r>
        <w:rPr>
          <w:rStyle w:val="FootnoteReference"/>
        </w:rPr>
        <w:footnoteRef/>
      </w:r>
      <w:r>
        <w:t xml:space="preserve"> </w:t>
      </w:r>
      <w:r>
        <w:tab/>
      </w:r>
      <w:r w:rsidRPr="00166069">
        <w:rPr>
          <w:rStyle w:val="AERtextitalic"/>
        </w:rPr>
        <w:t>Energeia Report</w:t>
      </w:r>
      <w:r>
        <w:t>, pp. 21-22.</w:t>
      </w:r>
    </w:p>
  </w:footnote>
  <w:footnote w:id="108">
    <w:p w:rsidR="00065517" w:rsidRDefault="00065517">
      <w:pPr>
        <w:pStyle w:val="FootnoteText"/>
      </w:pPr>
      <w:r>
        <w:rPr>
          <w:rStyle w:val="FootnoteReference"/>
        </w:rPr>
        <w:footnoteRef/>
      </w:r>
      <w:r>
        <w:t xml:space="preserve"> </w:t>
      </w:r>
      <w:r>
        <w:tab/>
      </w:r>
      <w:r w:rsidRPr="00166069">
        <w:rPr>
          <w:rStyle w:val="AERtextitalic"/>
        </w:rPr>
        <w:t>Energeia Report</w:t>
      </w:r>
      <w:r>
        <w:t>, pp. 21-22.</w:t>
      </w:r>
    </w:p>
  </w:footnote>
  <w:footnote w:id="109">
    <w:p w:rsidR="00065517" w:rsidRDefault="00065517">
      <w:pPr>
        <w:pStyle w:val="FootnoteText"/>
      </w:pPr>
      <w:r>
        <w:rPr>
          <w:rStyle w:val="FootnoteReference"/>
        </w:rPr>
        <w:footnoteRef/>
      </w:r>
      <w:r>
        <w:t xml:space="preserve"> </w:t>
      </w:r>
      <w:r>
        <w:tab/>
      </w:r>
      <w:r w:rsidRPr="00166069">
        <w:rPr>
          <w:rStyle w:val="AERtextitalic"/>
        </w:rPr>
        <w:t>Energeia Report</w:t>
      </w:r>
      <w:r>
        <w:t>, pp. 21-22.</w:t>
      </w:r>
    </w:p>
  </w:footnote>
  <w:footnote w:id="110">
    <w:p w:rsidR="00065517" w:rsidRDefault="00065517">
      <w:pPr>
        <w:pStyle w:val="FootnoteText"/>
      </w:pPr>
      <w:r>
        <w:rPr>
          <w:rStyle w:val="FootnoteReference"/>
        </w:rPr>
        <w:footnoteRef/>
      </w:r>
      <w:r>
        <w:t xml:space="preserve"> </w:t>
      </w:r>
      <w:r>
        <w:tab/>
      </w:r>
      <w:r w:rsidRPr="00166069">
        <w:rPr>
          <w:rStyle w:val="AERtextitalic"/>
        </w:rPr>
        <w:t>Energeia Report</w:t>
      </w:r>
      <w:r>
        <w:t>, pp. 21-22.</w:t>
      </w:r>
    </w:p>
  </w:footnote>
  <w:footnote w:id="111">
    <w:p w:rsidR="00065517" w:rsidRDefault="00065517" w:rsidP="005D5D2E">
      <w:pPr>
        <w:pStyle w:val="FootnoteText"/>
      </w:pPr>
      <w:r>
        <w:rPr>
          <w:rStyle w:val="FootnoteReference"/>
        </w:rPr>
        <w:footnoteRef/>
      </w:r>
      <w:r>
        <w:t xml:space="preserve"> </w:t>
      </w:r>
      <w:r>
        <w:tab/>
        <w:t xml:space="preserve">SP AusNet, </w:t>
      </w:r>
      <w:r w:rsidRPr="00166069">
        <w:rPr>
          <w:rStyle w:val="AERtextitalic"/>
        </w:rPr>
        <w:t>Reconsideration Submission</w:t>
      </w:r>
      <w:r>
        <w:t>, 5 June 2012, pp. 31-32.</w:t>
      </w:r>
    </w:p>
  </w:footnote>
  <w:footnote w:id="112">
    <w:p w:rsidR="00065517" w:rsidRDefault="00065517">
      <w:pPr>
        <w:pStyle w:val="FootnoteText"/>
      </w:pPr>
      <w:r>
        <w:rPr>
          <w:rStyle w:val="FootnoteReference"/>
        </w:rPr>
        <w:footnoteRef/>
      </w:r>
      <w:r>
        <w:t xml:space="preserve"> </w:t>
      </w:r>
      <w:r>
        <w:tab/>
        <w:t xml:space="preserve">SP AusNet, </w:t>
      </w:r>
      <w:r w:rsidRPr="00166069">
        <w:rPr>
          <w:rStyle w:val="AERtextitalic"/>
        </w:rPr>
        <w:t>Reconsideration submission</w:t>
      </w:r>
      <w:r>
        <w:t>, 5 June 2012, p. 6.</w:t>
      </w:r>
    </w:p>
  </w:footnote>
  <w:footnote w:id="113">
    <w:p w:rsidR="00065517" w:rsidRDefault="00065517" w:rsidP="00AF09B4">
      <w:pPr>
        <w:pStyle w:val="FootnoteText"/>
      </w:pPr>
      <w:r>
        <w:rPr>
          <w:rStyle w:val="FootnoteReference"/>
        </w:rPr>
        <w:footnoteRef/>
      </w:r>
      <w:r>
        <w:t xml:space="preserve"> </w:t>
      </w:r>
      <w:r>
        <w:tab/>
        <w:t xml:space="preserve">SP AusNet, </w:t>
      </w:r>
      <w:r w:rsidRPr="00166069">
        <w:rPr>
          <w:rStyle w:val="AERtextitalic"/>
        </w:rPr>
        <w:t>Response to information request 2 of 12 June 2012</w:t>
      </w:r>
      <w:r>
        <w:t>, received 29 June 2012; SP AusNet, Response to information request 2 of 12 June 2012 and further request of 9 July 2012, received 17 July 2012, p. 8.</w:t>
      </w:r>
    </w:p>
  </w:footnote>
  <w:footnote w:id="114">
    <w:p w:rsidR="00065517" w:rsidRDefault="00065517" w:rsidP="004F4566">
      <w:pPr>
        <w:pStyle w:val="FootnoteText"/>
      </w:pPr>
      <w:r>
        <w:rPr>
          <w:rStyle w:val="FootnoteReference"/>
        </w:rPr>
        <w:footnoteRef/>
      </w:r>
      <w:r>
        <w:t xml:space="preserve"> </w:t>
      </w:r>
      <w:r>
        <w:tab/>
        <w:t>Response to information request 2 of 12 June 2012 and further request of 9 July 2012, received 17 July 2012, p. 8.</w:t>
      </w:r>
    </w:p>
  </w:footnote>
  <w:footnote w:id="115">
    <w:p w:rsidR="00065517" w:rsidRDefault="00065517">
      <w:pPr>
        <w:pStyle w:val="FootnoteText"/>
      </w:pPr>
      <w:r>
        <w:rPr>
          <w:rStyle w:val="FootnoteReference"/>
        </w:rPr>
        <w:footnoteRef/>
      </w:r>
      <w:r>
        <w:t xml:space="preserve"> </w:t>
      </w:r>
      <w:r>
        <w:tab/>
        <w:t xml:space="preserve">See, for example, SP AusNet, </w:t>
      </w:r>
      <w:r w:rsidRPr="00166069">
        <w:rPr>
          <w:rStyle w:val="AERtextitalic"/>
        </w:rPr>
        <w:t>AMI WiMAX coverage strategy overview</w:t>
      </w:r>
      <w:r>
        <w:t>, 10 February 2009 (confidential). This document notes that mesh radio will have "coverage holes" but does not provide an estimate of how much of SP AusNet's territory would be affected.</w:t>
      </w:r>
    </w:p>
  </w:footnote>
  <w:footnote w:id="116">
    <w:p w:rsidR="00065517" w:rsidRDefault="00065517">
      <w:pPr>
        <w:pStyle w:val="FootnoteText"/>
      </w:pPr>
      <w:r>
        <w:rPr>
          <w:rStyle w:val="FootnoteReference"/>
        </w:rPr>
        <w:footnoteRef/>
      </w:r>
      <w:r>
        <w:t xml:space="preserve"> </w:t>
      </w:r>
      <w:r>
        <w:tab/>
      </w:r>
      <w:r w:rsidRPr="00166069">
        <w:rPr>
          <w:rStyle w:val="AERtextitalic"/>
        </w:rPr>
        <w:t>Energeia Report</w:t>
      </w:r>
      <w:r>
        <w:t>, p. 28.</w:t>
      </w:r>
    </w:p>
  </w:footnote>
  <w:footnote w:id="117">
    <w:p w:rsidR="00065517" w:rsidRDefault="00065517">
      <w:pPr>
        <w:pStyle w:val="FootnoteText"/>
      </w:pPr>
      <w:r>
        <w:rPr>
          <w:rStyle w:val="FootnoteReference"/>
        </w:rPr>
        <w:footnoteRef/>
      </w:r>
      <w:r>
        <w:t xml:space="preserve"> </w:t>
      </w:r>
      <w:r>
        <w:tab/>
        <w:t xml:space="preserve">For example, SP AusNet developed its communications capex and backhaul opex estimates from Powercor benchmarks. See </w:t>
      </w:r>
      <w:r w:rsidRPr="00166069">
        <w:rPr>
          <w:rStyle w:val="AERtextitalic"/>
        </w:rPr>
        <w:t>Comparative</w:t>
      </w:r>
      <w:r w:rsidRPr="00F0185D">
        <w:t xml:space="preserve"> </w:t>
      </w:r>
      <w:r w:rsidRPr="00166069">
        <w:rPr>
          <w:rStyle w:val="AERtextitalic"/>
        </w:rPr>
        <w:t>costs of Mesh alternative solution -050612.xls</w:t>
      </w:r>
      <w:r w:rsidR="00D754A0">
        <w:rPr>
          <w:rStyle w:val="AERtextitalic"/>
        </w:rPr>
        <w:t xml:space="preserve"> </w:t>
      </w:r>
      <w:r w:rsidR="00D754A0">
        <w:t>(confidential)</w:t>
      </w:r>
      <w:r>
        <w:t xml:space="preserve">, Comms cost of switching and Comms opex cost of switching tabs, attachment to SP AusNet, </w:t>
      </w:r>
      <w:r w:rsidRPr="00166069">
        <w:rPr>
          <w:rStyle w:val="AERtextitalic"/>
        </w:rPr>
        <w:t>Reconsideration Submission</w:t>
      </w:r>
      <w:r>
        <w:t>, 5 June 2012.</w:t>
      </w:r>
    </w:p>
  </w:footnote>
  <w:footnote w:id="118">
    <w:p w:rsidR="00065517" w:rsidRDefault="00065517">
      <w:pPr>
        <w:pStyle w:val="FootnoteText"/>
      </w:pPr>
      <w:r>
        <w:rPr>
          <w:rStyle w:val="FootnoteReference"/>
        </w:rPr>
        <w:footnoteRef/>
      </w:r>
      <w:r>
        <w:t xml:space="preserve"> </w:t>
      </w:r>
      <w:r>
        <w:tab/>
        <w:t>Tribunal reasons, paragraphs 129, 179-182.</w:t>
      </w:r>
    </w:p>
  </w:footnote>
  <w:footnote w:id="119">
    <w:p w:rsidR="00065517" w:rsidRDefault="00065517">
      <w:pPr>
        <w:pStyle w:val="FootnoteText"/>
      </w:pPr>
      <w:r>
        <w:rPr>
          <w:rStyle w:val="FootnoteReference"/>
        </w:rPr>
        <w:footnoteRef/>
      </w:r>
      <w:r>
        <w:t xml:space="preserve"> </w:t>
      </w:r>
      <w:r>
        <w:tab/>
        <w:t>Tribunal reasons, paragraphs 180-181.</w:t>
      </w:r>
    </w:p>
  </w:footnote>
  <w:footnote w:id="120">
    <w:p w:rsidR="00065517" w:rsidRDefault="00065517">
      <w:pPr>
        <w:pStyle w:val="FootnoteText"/>
      </w:pPr>
      <w:r>
        <w:rPr>
          <w:rStyle w:val="FootnoteReference"/>
        </w:rPr>
        <w:footnoteRef/>
      </w:r>
      <w:r>
        <w:t xml:space="preserve"> </w:t>
      </w:r>
      <w:r>
        <w:tab/>
      </w:r>
      <w:r w:rsidRPr="00166069">
        <w:rPr>
          <w:rStyle w:val="AERtextitalic"/>
        </w:rPr>
        <w:t>Energeia Report</w:t>
      </w:r>
      <w:r>
        <w:t>, p. 22.</w:t>
      </w:r>
    </w:p>
  </w:footnote>
  <w:footnote w:id="121">
    <w:p w:rsidR="00065517" w:rsidRDefault="00065517" w:rsidP="00ED376E">
      <w:pPr>
        <w:pStyle w:val="FootnoteText"/>
      </w:pPr>
      <w:r>
        <w:rPr>
          <w:rStyle w:val="FootnoteReference"/>
        </w:rPr>
        <w:footnoteRef/>
      </w:r>
      <w:r>
        <w:t xml:space="preserve"> </w:t>
      </w:r>
      <w:r>
        <w:tab/>
      </w:r>
      <w:r w:rsidRPr="00247D7E">
        <w:t>Tribunal reasons, paragraph 138</w:t>
      </w:r>
      <w:r>
        <w:t>.</w:t>
      </w:r>
    </w:p>
  </w:footnote>
  <w:footnote w:id="122">
    <w:p w:rsidR="00065517" w:rsidRDefault="00065517">
      <w:pPr>
        <w:pStyle w:val="FootnoteText"/>
      </w:pPr>
      <w:r>
        <w:rPr>
          <w:rStyle w:val="FootnoteReference"/>
        </w:rPr>
        <w:footnoteRef/>
      </w:r>
      <w:r>
        <w:t xml:space="preserve"> </w:t>
      </w:r>
      <w:r>
        <w:tab/>
      </w:r>
      <w:r w:rsidRPr="00166069">
        <w:rPr>
          <w:rStyle w:val="AERtextitalic"/>
        </w:rPr>
        <w:t>Energeia Report</w:t>
      </w:r>
      <w:r>
        <w:t>, p. 14.</w:t>
      </w:r>
    </w:p>
  </w:footnote>
  <w:footnote w:id="123">
    <w:p w:rsidR="00065517" w:rsidRDefault="00065517">
      <w:pPr>
        <w:pStyle w:val="FootnoteText"/>
      </w:pPr>
      <w:r>
        <w:rPr>
          <w:rStyle w:val="FootnoteReference"/>
        </w:rPr>
        <w:footnoteRef/>
      </w:r>
      <w:r>
        <w:t xml:space="preserve"> </w:t>
      </w:r>
      <w:r>
        <w:tab/>
      </w:r>
      <w:r w:rsidRPr="00166069">
        <w:rPr>
          <w:rStyle w:val="AERtextitalic"/>
        </w:rPr>
        <w:t>Energeia Report</w:t>
      </w:r>
      <w:r>
        <w:t>, p. 14.</w:t>
      </w:r>
    </w:p>
  </w:footnote>
  <w:footnote w:id="124">
    <w:p w:rsidR="00065517" w:rsidRDefault="00065517">
      <w:pPr>
        <w:pStyle w:val="FootnoteText"/>
      </w:pPr>
      <w:r>
        <w:rPr>
          <w:rStyle w:val="FootnoteReference"/>
        </w:rPr>
        <w:footnoteRef/>
      </w:r>
      <w:r>
        <w:t xml:space="preserve"> </w:t>
      </w:r>
      <w:r>
        <w:tab/>
        <w:t>For example, AMI Order, clauses 5D and 5I.</w:t>
      </w:r>
    </w:p>
  </w:footnote>
  <w:footnote w:id="125">
    <w:p w:rsidR="00065517" w:rsidRDefault="00065517" w:rsidP="00821F19">
      <w:pPr>
        <w:pStyle w:val="FootnoteText"/>
      </w:pPr>
      <w:r>
        <w:rPr>
          <w:rStyle w:val="FootnoteReference"/>
        </w:rPr>
        <w:footnoteRef/>
      </w:r>
      <w:r>
        <w:t xml:space="preserve"> </w:t>
      </w:r>
      <w:r>
        <w:tab/>
        <w:t xml:space="preserve">SP AusNet, </w:t>
      </w:r>
      <w:r w:rsidRPr="00166069">
        <w:rPr>
          <w:rStyle w:val="AERtextitalic"/>
        </w:rPr>
        <w:t>Reconsideration Submission</w:t>
      </w:r>
      <w:r>
        <w:t>, 5 June 2012, p. 6.</w:t>
      </w:r>
    </w:p>
  </w:footnote>
  <w:footnote w:id="126">
    <w:p w:rsidR="00065517" w:rsidRDefault="00065517" w:rsidP="00B718A1">
      <w:pPr>
        <w:pStyle w:val="FootnoteText"/>
      </w:pPr>
      <w:r>
        <w:rPr>
          <w:rStyle w:val="FootnoteReference"/>
        </w:rPr>
        <w:footnoteRef/>
      </w:r>
      <w:r>
        <w:t xml:space="preserve"> </w:t>
      </w:r>
      <w:r>
        <w:tab/>
        <w:t xml:space="preserve">SP AusNet, </w:t>
      </w:r>
      <w:r w:rsidRPr="00166069">
        <w:rPr>
          <w:rStyle w:val="AERtextitalic"/>
        </w:rPr>
        <w:t>Reconsideration Submission</w:t>
      </w:r>
      <w:r>
        <w:t>, 5 June 2012, pp. 6, 25.</w:t>
      </w:r>
    </w:p>
  </w:footnote>
  <w:footnote w:id="127">
    <w:p w:rsidR="00065517" w:rsidRDefault="00065517" w:rsidP="00B718A1">
      <w:pPr>
        <w:pStyle w:val="FootnoteText"/>
      </w:pPr>
      <w:r>
        <w:rPr>
          <w:rStyle w:val="FootnoteReference"/>
        </w:rPr>
        <w:footnoteRef/>
      </w:r>
      <w:r>
        <w:t xml:space="preserve"> </w:t>
      </w:r>
      <w:r>
        <w:tab/>
        <w:t xml:space="preserve">SP AusNet, </w:t>
      </w:r>
      <w:r w:rsidRPr="00166069">
        <w:rPr>
          <w:rStyle w:val="AERtextitalic"/>
        </w:rPr>
        <w:t>Reconsideration Submission</w:t>
      </w:r>
      <w:r>
        <w:t>, 5 June 2012, pp. 6, 25.</w:t>
      </w:r>
    </w:p>
  </w:footnote>
  <w:footnote w:id="128">
    <w:p w:rsidR="00065517" w:rsidRDefault="00065517" w:rsidP="005703CD">
      <w:pPr>
        <w:pStyle w:val="FootnoteText"/>
      </w:pPr>
      <w:r>
        <w:rPr>
          <w:rStyle w:val="FootnoteReference"/>
        </w:rPr>
        <w:footnoteRef/>
      </w:r>
      <w:r>
        <w:t xml:space="preserve"> </w:t>
      </w:r>
      <w:r>
        <w:tab/>
        <w:t xml:space="preserve">SP AusNet, </w:t>
      </w:r>
      <w:r w:rsidRPr="00166069">
        <w:rPr>
          <w:rStyle w:val="AERtextitalic"/>
        </w:rPr>
        <w:t>Reconsideration Submission</w:t>
      </w:r>
      <w:r>
        <w:t>, 5 June 2012, pp. 21-22, 24.</w:t>
      </w:r>
    </w:p>
  </w:footnote>
  <w:footnote w:id="129">
    <w:p w:rsidR="00065517" w:rsidRDefault="00065517">
      <w:pPr>
        <w:pStyle w:val="FootnoteText"/>
      </w:pPr>
      <w:r>
        <w:rPr>
          <w:rStyle w:val="FootnoteReference"/>
        </w:rPr>
        <w:footnoteRef/>
      </w:r>
      <w:r>
        <w:t xml:space="preserve"> </w:t>
      </w:r>
      <w:r>
        <w:tab/>
        <w:t xml:space="preserve">SP AusNet, </w:t>
      </w:r>
      <w:r w:rsidRPr="00166069">
        <w:rPr>
          <w:rStyle w:val="AERtextitalic"/>
        </w:rPr>
        <w:t>Reconsideration Submission</w:t>
      </w:r>
      <w:r>
        <w:t>, 5 June 2012, pp. 21, 24.</w:t>
      </w:r>
    </w:p>
  </w:footnote>
  <w:footnote w:id="130">
    <w:p w:rsidR="00065517" w:rsidRDefault="00065517" w:rsidP="00B26742">
      <w:pPr>
        <w:pStyle w:val="FootnoteText"/>
      </w:pPr>
      <w:r>
        <w:rPr>
          <w:rStyle w:val="FootnoteReference"/>
        </w:rPr>
        <w:footnoteRef/>
      </w:r>
      <w:r>
        <w:t xml:space="preserve"> </w:t>
      </w:r>
      <w:r>
        <w:tab/>
        <w:t xml:space="preserve">SP AusNet, </w:t>
      </w:r>
      <w:r w:rsidRPr="00166069">
        <w:rPr>
          <w:rStyle w:val="AERtextitalic"/>
        </w:rPr>
        <w:t>Reconsideration Submission</w:t>
      </w:r>
      <w:r>
        <w:t xml:space="preserve">, 5 June 2012, pp. 13, 24; </w:t>
      </w:r>
      <w:r w:rsidRPr="00166069">
        <w:rPr>
          <w:rStyle w:val="AERtextitalic"/>
        </w:rPr>
        <w:t>Comparative costs of Mesh alternative solution -050612.xls</w:t>
      </w:r>
      <w:r w:rsidR="00D754A0">
        <w:rPr>
          <w:rStyle w:val="AERtextitalic"/>
        </w:rPr>
        <w:t xml:space="preserve"> </w:t>
      </w:r>
      <w:r w:rsidR="00D754A0">
        <w:t>(confidential)</w:t>
      </w:r>
      <w:r>
        <w:t>, IT costs of switching tab, attachment to SP AusNet, Reconsideration Submission, 5 June 2012.</w:t>
      </w:r>
    </w:p>
  </w:footnote>
  <w:footnote w:id="131">
    <w:p w:rsidR="00065517" w:rsidRDefault="00065517" w:rsidP="00B26742">
      <w:pPr>
        <w:pStyle w:val="FootnoteText"/>
      </w:pPr>
      <w:r>
        <w:rPr>
          <w:rStyle w:val="FootnoteReference"/>
        </w:rPr>
        <w:footnoteRef/>
      </w:r>
      <w:r>
        <w:t xml:space="preserve"> </w:t>
      </w:r>
      <w:r>
        <w:tab/>
        <w:t xml:space="preserve">SP AusNet, </w:t>
      </w:r>
      <w:r w:rsidRPr="00166069">
        <w:rPr>
          <w:rStyle w:val="AERtextitalic"/>
        </w:rPr>
        <w:t>Reconsideration Submission</w:t>
      </w:r>
      <w:r>
        <w:t>, 5 June 2012, p. 13.</w:t>
      </w:r>
    </w:p>
  </w:footnote>
  <w:footnote w:id="132">
    <w:p w:rsidR="00065517" w:rsidRDefault="00065517" w:rsidP="00A8578C">
      <w:pPr>
        <w:pStyle w:val="FootnoteText"/>
      </w:pPr>
      <w:r>
        <w:rPr>
          <w:rStyle w:val="FootnoteReference"/>
        </w:rPr>
        <w:footnoteRef/>
      </w:r>
      <w:r>
        <w:t xml:space="preserve"> </w:t>
      </w:r>
      <w:r>
        <w:tab/>
        <w:t xml:space="preserve">SP AusNet, </w:t>
      </w:r>
      <w:r w:rsidRPr="00166069">
        <w:rPr>
          <w:rStyle w:val="AERtextitalic"/>
        </w:rPr>
        <w:t>Reconsideration Submission</w:t>
      </w:r>
      <w:r>
        <w:t>, 5 June 2012, p. 13. The AER sent an information request asking for substantiation of the higher costs associated with mesh, but did not receive any further information.</w:t>
      </w:r>
    </w:p>
  </w:footnote>
  <w:footnote w:id="133">
    <w:p w:rsidR="00065517" w:rsidRDefault="00065517">
      <w:pPr>
        <w:pStyle w:val="FootnoteText"/>
      </w:pPr>
      <w:r>
        <w:rPr>
          <w:rStyle w:val="FootnoteReference"/>
        </w:rPr>
        <w:footnoteRef/>
      </w:r>
      <w:r>
        <w:t xml:space="preserve"> </w:t>
      </w:r>
      <w:r>
        <w:tab/>
      </w:r>
      <w:r w:rsidRPr="00166069">
        <w:rPr>
          <w:rStyle w:val="AERtextitalic"/>
        </w:rPr>
        <w:t>Energeia Report</w:t>
      </w:r>
      <w:r>
        <w:t>, p. 30.</w:t>
      </w:r>
    </w:p>
  </w:footnote>
  <w:footnote w:id="134">
    <w:p w:rsidR="00065517" w:rsidRDefault="00065517">
      <w:pPr>
        <w:pStyle w:val="FootnoteText"/>
      </w:pPr>
      <w:r>
        <w:rPr>
          <w:rStyle w:val="FootnoteReference"/>
        </w:rPr>
        <w:footnoteRef/>
      </w:r>
      <w:r>
        <w:t xml:space="preserve"> </w:t>
      </w:r>
      <w:r>
        <w:tab/>
        <w:t xml:space="preserve">The AER sent an information request asking for substantiation of the higher costs associated with mesh, but did not receive any further justification. SP AusNet, </w:t>
      </w:r>
      <w:r w:rsidRPr="00166069">
        <w:rPr>
          <w:rStyle w:val="AERtextitalic"/>
        </w:rPr>
        <w:t>Response to AER information request 2 of 12 June 2012</w:t>
      </w:r>
      <w:r>
        <w:t>, received 29 June 2012.</w:t>
      </w:r>
    </w:p>
  </w:footnote>
  <w:footnote w:id="135">
    <w:p w:rsidR="00065517" w:rsidRDefault="00065517">
      <w:pPr>
        <w:pStyle w:val="FootnoteText"/>
      </w:pPr>
      <w:r>
        <w:rPr>
          <w:rStyle w:val="FootnoteReference"/>
        </w:rPr>
        <w:footnoteRef/>
      </w:r>
      <w:r>
        <w:t xml:space="preserve"> </w:t>
      </w:r>
      <w:r>
        <w:tab/>
      </w:r>
      <w:r w:rsidRPr="00166069">
        <w:rPr>
          <w:rStyle w:val="AERtextitalic"/>
        </w:rPr>
        <w:t>Energeia Report</w:t>
      </w:r>
      <w:r>
        <w:t>, pp. 24-26.</w:t>
      </w:r>
    </w:p>
  </w:footnote>
  <w:footnote w:id="136">
    <w:p w:rsidR="00065517" w:rsidRDefault="00065517">
      <w:pPr>
        <w:pStyle w:val="FootnoteText"/>
      </w:pPr>
      <w:r>
        <w:rPr>
          <w:rStyle w:val="FootnoteReference"/>
        </w:rPr>
        <w:footnoteRef/>
      </w:r>
      <w:r>
        <w:t xml:space="preserve"> </w:t>
      </w:r>
      <w:r>
        <w:tab/>
      </w:r>
      <w:r w:rsidRPr="00166069">
        <w:rPr>
          <w:rStyle w:val="AERtextitalic"/>
        </w:rPr>
        <w:t>Energeia Report</w:t>
      </w:r>
      <w:r>
        <w:t>, p. 25.</w:t>
      </w:r>
    </w:p>
  </w:footnote>
  <w:footnote w:id="137">
    <w:p w:rsidR="00065517" w:rsidRDefault="00065517" w:rsidP="00ED25BE">
      <w:pPr>
        <w:pStyle w:val="FootnoteText"/>
      </w:pPr>
      <w:r>
        <w:rPr>
          <w:rStyle w:val="FootnoteReference"/>
        </w:rPr>
        <w:footnoteRef/>
      </w:r>
      <w:r>
        <w:t xml:space="preserve"> </w:t>
      </w:r>
      <w:r>
        <w:tab/>
      </w:r>
      <w:r w:rsidRPr="00166069">
        <w:rPr>
          <w:rStyle w:val="AERtextitalic"/>
        </w:rPr>
        <w:t>Energeia Report</w:t>
      </w:r>
      <w:r>
        <w:t>, pp. 24-26.</w:t>
      </w:r>
    </w:p>
  </w:footnote>
  <w:footnote w:id="138">
    <w:p w:rsidR="00065517" w:rsidRDefault="00065517">
      <w:pPr>
        <w:pStyle w:val="FootnoteText"/>
      </w:pPr>
      <w:r>
        <w:rPr>
          <w:rStyle w:val="FootnoteReference"/>
        </w:rPr>
        <w:footnoteRef/>
      </w:r>
      <w:r>
        <w:t xml:space="preserve"> </w:t>
      </w:r>
      <w:r>
        <w:tab/>
      </w:r>
      <w:r w:rsidRPr="00166069">
        <w:rPr>
          <w:rStyle w:val="AERtextitalic"/>
        </w:rPr>
        <w:t>Energeia Report</w:t>
      </w:r>
      <w:r>
        <w:t>, p. 26.</w:t>
      </w:r>
    </w:p>
  </w:footnote>
  <w:footnote w:id="139">
    <w:p w:rsidR="00065517" w:rsidRDefault="00065517">
      <w:pPr>
        <w:pStyle w:val="FootnoteText"/>
      </w:pPr>
      <w:r>
        <w:rPr>
          <w:rStyle w:val="FootnoteReference"/>
        </w:rPr>
        <w:footnoteRef/>
      </w:r>
      <w:r>
        <w:t xml:space="preserve"> </w:t>
      </w:r>
      <w:r>
        <w:tab/>
      </w:r>
      <w:r w:rsidRPr="00166069">
        <w:rPr>
          <w:rStyle w:val="AERtextitalic"/>
        </w:rPr>
        <w:t>Energeia Report</w:t>
      </w:r>
      <w:r>
        <w:t>, pp. 28-31.</w:t>
      </w:r>
    </w:p>
  </w:footnote>
  <w:footnote w:id="140">
    <w:p w:rsidR="00065517" w:rsidRDefault="00065517" w:rsidP="003B5D56">
      <w:pPr>
        <w:pStyle w:val="FootnoteText"/>
      </w:pPr>
      <w:r>
        <w:rPr>
          <w:rStyle w:val="FootnoteReference"/>
        </w:rPr>
        <w:footnoteRef/>
      </w:r>
      <w:r>
        <w:t xml:space="preserve"> </w:t>
      </w:r>
      <w:r>
        <w:tab/>
        <w:t>AMI Service level specifications, clause 4.3 requires routine remote reads form 1 January 2012.</w:t>
      </w:r>
    </w:p>
  </w:footnote>
  <w:footnote w:id="141">
    <w:p w:rsidR="00065517" w:rsidRDefault="00065517">
      <w:pPr>
        <w:pStyle w:val="FootnoteText"/>
      </w:pPr>
      <w:r>
        <w:rPr>
          <w:rStyle w:val="FootnoteReference"/>
        </w:rPr>
        <w:footnoteRef/>
      </w:r>
      <w:r>
        <w:t xml:space="preserve"> </w:t>
      </w:r>
      <w:r>
        <w:tab/>
      </w:r>
      <w:r w:rsidRPr="00166069">
        <w:rPr>
          <w:rStyle w:val="AERtextitalic"/>
        </w:rPr>
        <w:t>Energeia Report</w:t>
      </w:r>
      <w:r>
        <w:t>, p. 30.</w:t>
      </w:r>
    </w:p>
  </w:footnote>
  <w:footnote w:id="142">
    <w:p w:rsidR="00065517" w:rsidRDefault="00065517">
      <w:pPr>
        <w:pStyle w:val="FootnoteText"/>
      </w:pPr>
      <w:r>
        <w:rPr>
          <w:rStyle w:val="FootnoteReference"/>
        </w:rPr>
        <w:footnoteRef/>
      </w:r>
      <w:r>
        <w:t xml:space="preserve"> </w:t>
      </w:r>
      <w:r>
        <w:tab/>
      </w:r>
      <w:r w:rsidRPr="00166069">
        <w:rPr>
          <w:rStyle w:val="AERtextitalic"/>
        </w:rPr>
        <w:t>Energeia Report</w:t>
      </w:r>
      <w:r>
        <w:t>, pp. 22-25.</w:t>
      </w:r>
    </w:p>
  </w:footnote>
  <w:footnote w:id="143">
    <w:p w:rsidR="00065517" w:rsidRDefault="00065517" w:rsidP="00D32245">
      <w:pPr>
        <w:pStyle w:val="FootnoteText"/>
      </w:pPr>
      <w:r>
        <w:rPr>
          <w:rStyle w:val="FootnoteReference"/>
        </w:rPr>
        <w:footnoteRef/>
      </w:r>
      <w:r>
        <w:t xml:space="preserve"> </w:t>
      </w:r>
      <w:r>
        <w:tab/>
      </w:r>
      <w:r w:rsidRPr="00166069">
        <w:rPr>
          <w:rStyle w:val="AERtextitalic"/>
        </w:rPr>
        <w:t>Energeia Report</w:t>
      </w:r>
      <w:r>
        <w:t>, pp. 27-30.</w:t>
      </w:r>
    </w:p>
  </w:footnote>
  <w:footnote w:id="144">
    <w:p w:rsidR="00065517" w:rsidRDefault="00065517">
      <w:pPr>
        <w:pStyle w:val="FootnoteText"/>
      </w:pPr>
      <w:r>
        <w:rPr>
          <w:rStyle w:val="FootnoteReference"/>
        </w:rPr>
        <w:footnoteRef/>
      </w:r>
      <w:r>
        <w:t xml:space="preserve"> </w:t>
      </w:r>
      <w:r>
        <w:tab/>
      </w:r>
      <w:r w:rsidRPr="00166069">
        <w:rPr>
          <w:rStyle w:val="AERtextitalic"/>
        </w:rPr>
        <w:t>Energeia Report</w:t>
      </w:r>
      <w:r w:rsidRPr="00EF4949">
        <w:t>, pp. 2</w:t>
      </w:r>
      <w:r>
        <w:t>7</w:t>
      </w:r>
      <w:r w:rsidRPr="00EF4949">
        <w:t>-</w:t>
      </w:r>
      <w:r>
        <w:t>30</w:t>
      </w:r>
      <w:r w:rsidRPr="00EF4949">
        <w:t>.</w:t>
      </w:r>
    </w:p>
  </w:footnote>
  <w:footnote w:id="145">
    <w:p w:rsidR="00065517" w:rsidRDefault="00065517">
      <w:pPr>
        <w:pStyle w:val="FootnoteText"/>
      </w:pPr>
      <w:r>
        <w:rPr>
          <w:rStyle w:val="FootnoteReference"/>
        </w:rPr>
        <w:footnoteRef/>
      </w:r>
      <w:r>
        <w:t xml:space="preserve"> </w:t>
      </w:r>
      <w:r>
        <w:tab/>
      </w:r>
      <w:r w:rsidRPr="00166069">
        <w:rPr>
          <w:rStyle w:val="AERtextitalic"/>
        </w:rPr>
        <w:t>Energeia Report</w:t>
      </w:r>
      <w:r w:rsidRPr="00EF4949">
        <w:t>, pp. 2</w:t>
      </w:r>
      <w:r>
        <w:t>7</w:t>
      </w:r>
      <w:r w:rsidRPr="00EF4949">
        <w:t>-</w:t>
      </w:r>
      <w:r>
        <w:t>30</w:t>
      </w:r>
      <w:r w:rsidRPr="00EF4949">
        <w:t>.</w:t>
      </w:r>
    </w:p>
  </w:footnote>
  <w:footnote w:id="146">
    <w:p w:rsidR="00065517" w:rsidRDefault="00065517">
      <w:pPr>
        <w:pStyle w:val="FootnoteText"/>
      </w:pPr>
      <w:r>
        <w:rPr>
          <w:rStyle w:val="FootnoteReference"/>
        </w:rPr>
        <w:footnoteRef/>
      </w:r>
      <w:r>
        <w:t xml:space="preserve"> </w:t>
      </w:r>
      <w:r>
        <w:tab/>
      </w:r>
      <w:r w:rsidRPr="00166069">
        <w:rPr>
          <w:rStyle w:val="AERtextitalic"/>
        </w:rPr>
        <w:t>Energeia Report</w:t>
      </w:r>
      <w:r w:rsidRPr="00EF4949">
        <w:t>, pp. 2</w:t>
      </w:r>
      <w:r>
        <w:t>7</w:t>
      </w:r>
      <w:r w:rsidRPr="00EF4949">
        <w:t>-</w:t>
      </w:r>
      <w:r>
        <w:t>30</w:t>
      </w:r>
      <w:r w:rsidRPr="00EF4949">
        <w:t>.</w:t>
      </w:r>
    </w:p>
  </w:footnote>
  <w:footnote w:id="147">
    <w:p w:rsidR="00065517" w:rsidRDefault="00065517">
      <w:pPr>
        <w:pStyle w:val="FootnoteText"/>
      </w:pPr>
      <w:r>
        <w:rPr>
          <w:rStyle w:val="FootnoteReference"/>
        </w:rPr>
        <w:footnoteRef/>
      </w:r>
      <w:r>
        <w:t xml:space="preserve"> </w:t>
      </w:r>
      <w:r>
        <w:tab/>
      </w:r>
      <w:r w:rsidRPr="00166069">
        <w:rPr>
          <w:rStyle w:val="AERtextitalic"/>
        </w:rPr>
        <w:t>Energeia Report</w:t>
      </w:r>
      <w:r w:rsidRPr="00EF4949">
        <w:t xml:space="preserve">, pp. </w:t>
      </w:r>
      <w:r>
        <w:t>22-24</w:t>
      </w:r>
      <w:r w:rsidRPr="00EF4949">
        <w:t>.</w:t>
      </w:r>
    </w:p>
  </w:footnote>
  <w:footnote w:id="148">
    <w:p w:rsidR="00065517" w:rsidRDefault="00065517">
      <w:pPr>
        <w:pStyle w:val="FootnoteText"/>
      </w:pPr>
      <w:r>
        <w:rPr>
          <w:rStyle w:val="FootnoteReference"/>
        </w:rPr>
        <w:footnoteRef/>
      </w:r>
      <w:r>
        <w:t xml:space="preserve"> </w:t>
      </w:r>
      <w:r>
        <w:tab/>
      </w:r>
      <w:r w:rsidRPr="00166069">
        <w:rPr>
          <w:rStyle w:val="AERtextitalic"/>
        </w:rPr>
        <w:t>Energeia Report</w:t>
      </w:r>
      <w:r w:rsidRPr="00EF4949">
        <w:t xml:space="preserve">, pp. </w:t>
      </w:r>
      <w:r>
        <w:t>22</w:t>
      </w:r>
      <w:r w:rsidRPr="00EF4949">
        <w:t>-2</w:t>
      </w:r>
      <w:r>
        <w:t>4</w:t>
      </w:r>
      <w:r w:rsidRPr="00EF4949">
        <w:t>.</w:t>
      </w:r>
    </w:p>
  </w:footnote>
  <w:footnote w:id="149">
    <w:p w:rsidR="00065517" w:rsidRDefault="00065517">
      <w:pPr>
        <w:pStyle w:val="FootnoteText"/>
      </w:pPr>
      <w:r>
        <w:rPr>
          <w:rStyle w:val="FootnoteReference"/>
        </w:rPr>
        <w:footnoteRef/>
      </w:r>
      <w:r>
        <w:t xml:space="preserve"> </w:t>
      </w:r>
      <w:r>
        <w:tab/>
      </w:r>
      <w:r w:rsidRPr="00166069">
        <w:rPr>
          <w:rStyle w:val="AERtextitalic"/>
        </w:rPr>
        <w:t>Comparative costs of Mesh alternative solution -050612.xls</w:t>
      </w:r>
      <w:r w:rsidR="00D754A0">
        <w:rPr>
          <w:rStyle w:val="AERtextitalic"/>
        </w:rPr>
        <w:t xml:space="preserve"> </w:t>
      </w:r>
      <w:r w:rsidR="00D754A0">
        <w:t>(confidential)</w:t>
      </w:r>
      <w:r>
        <w:t>, 2012-15 Comparison tab, attachment to</w:t>
      </w:r>
      <w:r w:rsidRPr="009673B5">
        <w:t xml:space="preserve"> SP AusNet, </w:t>
      </w:r>
      <w:r w:rsidRPr="00166069">
        <w:rPr>
          <w:rStyle w:val="AERtextitalic"/>
        </w:rPr>
        <w:t>Reconsideration Submission</w:t>
      </w:r>
      <w:r w:rsidRPr="009673B5">
        <w:t>, 5 June 2012</w:t>
      </w:r>
      <w:r>
        <w:t>.</w:t>
      </w:r>
    </w:p>
  </w:footnote>
  <w:footnote w:id="150">
    <w:p w:rsidR="00065517" w:rsidRDefault="00065517">
      <w:pPr>
        <w:pStyle w:val="FootnoteText"/>
      </w:pPr>
      <w:r>
        <w:rPr>
          <w:rStyle w:val="FootnoteReference"/>
        </w:rPr>
        <w:footnoteRef/>
      </w:r>
      <w:r>
        <w:t xml:space="preserve"> </w:t>
      </w:r>
      <w:r>
        <w:tab/>
      </w:r>
      <w:r w:rsidRPr="00166069">
        <w:rPr>
          <w:rStyle w:val="AERtextitalic"/>
        </w:rPr>
        <w:t>Comparative costs of Mesh alternative solution -050612.xls</w:t>
      </w:r>
      <w:r w:rsidR="00D754A0">
        <w:rPr>
          <w:rStyle w:val="AERtextitalic"/>
        </w:rPr>
        <w:t xml:space="preserve"> </w:t>
      </w:r>
      <w:r w:rsidR="00D754A0">
        <w:t>(confidential)</w:t>
      </w:r>
      <w:r>
        <w:t>, 2012-15 Comparison tab, attachment to</w:t>
      </w:r>
      <w:r w:rsidRPr="009673B5">
        <w:t xml:space="preserve"> SP AusNet, </w:t>
      </w:r>
      <w:r w:rsidRPr="00166069">
        <w:rPr>
          <w:rStyle w:val="AERtextitalic"/>
        </w:rPr>
        <w:t>Reconsideration Submission</w:t>
      </w:r>
      <w:r w:rsidRPr="009673B5">
        <w:t>, 5 June 2012</w:t>
      </w:r>
      <w:r>
        <w:t>.</w:t>
      </w:r>
    </w:p>
  </w:footnote>
  <w:footnote w:id="151">
    <w:p w:rsidR="00065517" w:rsidRDefault="00065517">
      <w:pPr>
        <w:pStyle w:val="FootnoteText"/>
      </w:pPr>
      <w:r>
        <w:rPr>
          <w:rStyle w:val="FootnoteReference"/>
        </w:rPr>
        <w:footnoteRef/>
      </w:r>
      <w:r>
        <w:t xml:space="preserve"> </w:t>
      </w:r>
      <w:r>
        <w:tab/>
      </w:r>
      <w:r w:rsidRPr="00166069">
        <w:rPr>
          <w:rStyle w:val="AERtextitalic"/>
        </w:rPr>
        <w:t>Energeia Report</w:t>
      </w:r>
      <w:r>
        <w:t>, pp. 27-30.</w:t>
      </w:r>
    </w:p>
  </w:footnote>
  <w:footnote w:id="152">
    <w:p w:rsidR="00065517" w:rsidRDefault="00065517">
      <w:pPr>
        <w:pStyle w:val="FootnoteText"/>
      </w:pPr>
      <w:r>
        <w:rPr>
          <w:rStyle w:val="FootnoteReference"/>
        </w:rPr>
        <w:footnoteRef/>
      </w:r>
      <w:r>
        <w:t xml:space="preserve"> </w:t>
      </w:r>
      <w:r>
        <w:tab/>
        <w:t>AMI Order, clause 5I.8.</w:t>
      </w:r>
    </w:p>
  </w:footnote>
  <w:footnote w:id="153">
    <w:p w:rsidR="00065517" w:rsidRDefault="00065517">
      <w:pPr>
        <w:pStyle w:val="FootnoteText"/>
      </w:pPr>
      <w:r>
        <w:rPr>
          <w:rStyle w:val="FootnoteReference"/>
        </w:rPr>
        <w:footnoteRef/>
      </w:r>
      <w:r>
        <w:t xml:space="preserve"> </w:t>
      </w:r>
      <w:r>
        <w:tab/>
      </w:r>
      <w:r w:rsidRPr="00166069">
        <w:rPr>
          <w:rStyle w:val="AERtextitalic"/>
        </w:rPr>
        <w:t>Energeia Report</w:t>
      </w:r>
      <w:r>
        <w:t>, p. 30.</w:t>
      </w:r>
    </w:p>
  </w:footnote>
  <w:footnote w:id="154">
    <w:p w:rsidR="00065517" w:rsidRDefault="00065517">
      <w:pPr>
        <w:pStyle w:val="FootnoteText"/>
      </w:pPr>
      <w:r>
        <w:rPr>
          <w:rStyle w:val="FootnoteReference"/>
        </w:rPr>
        <w:footnoteRef/>
      </w:r>
      <w:r>
        <w:t xml:space="preserve"> </w:t>
      </w:r>
      <w:r>
        <w:tab/>
        <w:t xml:space="preserve">SP AusNet, </w:t>
      </w:r>
      <w:r w:rsidRPr="00166069">
        <w:rPr>
          <w:rStyle w:val="AERtextitalic"/>
        </w:rPr>
        <w:t>Reconsideration Submission</w:t>
      </w:r>
      <w:r>
        <w:t>, pp. 11-12.</w:t>
      </w:r>
    </w:p>
  </w:footnote>
  <w:footnote w:id="155">
    <w:p w:rsidR="00065517" w:rsidRDefault="00065517">
      <w:pPr>
        <w:pStyle w:val="FootnoteText"/>
      </w:pPr>
      <w:r>
        <w:rPr>
          <w:rStyle w:val="FootnoteReference"/>
        </w:rPr>
        <w:footnoteRef/>
      </w:r>
      <w:r>
        <w:t xml:space="preserve"> </w:t>
      </w:r>
      <w:r>
        <w:tab/>
        <w:t xml:space="preserve">SP AusNet, </w:t>
      </w:r>
      <w:r w:rsidRPr="00166069">
        <w:rPr>
          <w:rStyle w:val="AERtextitalic"/>
        </w:rPr>
        <w:t>Reconsideration Submission</w:t>
      </w:r>
      <w:r>
        <w:t xml:space="preserve">, pp. 12-13, 27-29. </w:t>
      </w:r>
    </w:p>
  </w:footnote>
  <w:footnote w:id="156">
    <w:p w:rsidR="00065517" w:rsidRDefault="00065517">
      <w:pPr>
        <w:pStyle w:val="FootnoteText"/>
      </w:pPr>
      <w:r>
        <w:rPr>
          <w:rStyle w:val="FootnoteReference"/>
        </w:rPr>
        <w:footnoteRef/>
      </w:r>
      <w:r>
        <w:t xml:space="preserve"> </w:t>
      </w:r>
      <w:r>
        <w:tab/>
        <w:t>AMI Order, clause 5I.8(f) and (j).</w:t>
      </w:r>
    </w:p>
  </w:footnote>
  <w:footnote w:id="157">
    <w:p w:rsidR="00065517" w:rsidRDefault="00065517">
      <w:pPr>
        <w:pStyle w:val="FootnoteText"/>
      </w:pPr>
      <w:r>
        <w:rPr>
          <w:rStyle w:val="FootnoteReference"/>
        </w:rPr>
        <w:footnoteRef/>
      </w:r>
      <w:r>
        <w:t xml:space="preserve"> </w:t>
      </w:r>
      <w:r>
        <w:tab/>
        <w:t xml:space="preserve">SP AusNet, </w:t>
      </w:r>
      <w:r w:rsidRPr="00166069">
        <w:rPr>
          <w:rStyle w:val="AERtextitalic"/>
        </w:rPr>
        <w:t>Reconsideration Submission</w:t>
      </w:r>
      <w:r>
        <w:t>, pp. 27-29.</w:t>
      </w:r>
    </w:p>
  </w:footnote>
  <w:footnote w:id="158">
    <w:p w:rsidR="00065517" w:rsidRDefault="00065517">
      <w:pPr>
        <w:pStyle w:val="FootnoteText"/>
      </w:pPr>
      <w:r>
        <w:rPr>
          <w:rStyle w:val="FootnoteReference"/>
        </w:rPr>
        <w:footnoteRef/>
      </w:r>
      <w:r>
        <w:t xml:space="preserve"> </w:t>
      </w:r>
      <w:r>
        <w:tab/>
        <w:t xml:space="preserve">SP AusNet, </w:t>
      </w:r>
      <w:r w:rsidRPr="00166069">
        <w:rPr>
          <w:rStyle w:val="AERtextitalic"/>
        </w:rPr>
        <w:t>Reconsideration Submission</w:t>
      </w:r>
      <w:r>
        <w:t>, pp. 27-29.</w:t>
      </w:r>
    </w:p>
  </w:footnote>
  <w:footnote w:id="159">
    <w:p w:rsidR="00065517" w:rsidRDefault="00065517">
      <w:pPr>
        <w:pStyle w:val="FootnoteText"/>
      </w:pPr>
      <w:r>
        <w:rPr>
          <w:rStyle w:val="FootnoteReference"/>
        </w:rPr>
        <w:footnoteRef/>
      </w:r>
      <w:r>
        <w:t xml:space="preserve"> </w:t>
      </w:r>
      <w:r>
        <w:tab/>
      </w:r>
      <w:r w:rsidRPr="00166069">
        <w:rPr>
          <w:rStyle w:val="AERtextitalic"/>
        </w:rPr>
        <w:t>Energeia Report</w:t>
      </w:r>
      <w:r>
        <w:t>, p. 31.</w:t>
      </w:r>
    </w:p>
  </w:footnote>
  <w:footnote w:id="160">
    <w:p w:rsidR="00065517" w:rsidRDefault="00065517">
      <w:pPr>
        <w:pStyle w:val="FootnoteText"/>
      </w:pPr>
      <w:r>
        <w:rPr>
          <w:rStyle w:val="FootnoteReference"/>
        </w:rPr>
        <w:footnoteRef/>
      </w:r>
      <w:r>
        <w:t xml:space="preserve"> </w:t>
      </w:r>
      <w:r>
        <w:tab/>
        <w:t>AMI Order, clause 14.2.</w:t>
      </w:r>
    </w:p>
  </w:footnote>
  <w:footnote w:id="161">
    <w:p w:rsidR="00065517" w:rsidRDefault="00065517">
      <w:pPr>
        <w:pStyle w:val="FootnoteText"/>
      </w:pPr>
      <w:r>
        <w:rPr>
          <w:rStyle w:val="FootnoteReference"/>
        </w:rPr>
        <w:footnoteRef/>
      </w:r>
      <w:r>
        <w:t xml:space="preserve"> </w:t>
      </w:r>
      <w:r>
        <w:tab/>
      </w:r>
      <w:r w:rsidRPr="00166069">
        <w:rPr>
          <w:rStyle w:val="AERtextitalic"/>
        </w:rPr>
        <w:t>Energeia Report</w:t>
      </w:r>
      <w:r>
        <w:t>, p. 16.</w:t>
      </w:r>
    </w:p>
  </w:footnote>
  <w:footnote w:id="162">
    <w:p w:rsidR="00065517" w:rsidRDefault="00065517" w:rsidP="00D048B5">
      <w:pPr>
        <w:pStyle w:val="FootnoteText"/>
      </w:pPr>
      <w:r>
        <w:rPr>
          <w:rStyle w:val="FootnoteReference"/>
        </w:rPr>
        <w:footnoteRef/>
      </w:r>
      <w:r>
        <w:t xml:space="preserve"> </w:t>
      </w:r>
      <w:r>
        <w:tab/>
      </w:r>
      <w:r w:rsidRPr="00166069">
        <w:rPr>
          <w:rStyle w:val="AERtextitalic"/>
        </w:rPr>
        <w:t>Energeia Report</w:t>
      </w:r>
      <w:r>
        <w:t>, p. 24.</w:t>
      </w:r>
    </w:p>
  </w:footnote>
  <w:footnote w:id="163">
    <w:p w:rsidR="00065517" w:rsidRDefault="00065517" w:rsidP="00D048B5">
      <w:pPr>
        <w:pStyle w:val="FootnoteText"/>
      </w:pPr>
      <w:r>
        <w:rPr>
          <w:rStyle w:val="FootnoteReference"/>
        </w:rPr>
        <w:footnoteRef/>
      </w:r>
      <w:r>
        <w:t xml:space="preserve"> </w:t>
      </w:r>
      <w:r>
        <w:tab/>
        <w:t>AMI Order, clause 14.2.</w:t>
      </w:r>
    </w:p>
  </w:footnote>
  <w:footnote w:id="164">
    <w:p w:rsidR="00065517" w:rsidRDefault="00065517">
      <w:pPr>
        <w:pStyle w:val="FootnoteText"/>
      </w:pPr>
      <w:r>
        <w:rPr>
          <w:rStyle w:val="FootnoteReference"/>
        </w:rPr>
        <w:footnoteRef/>
      </w:r>
      <w:r>
        <w:t xml:space="preserve"> </w:t>
      </w:r>
      <w:r>
        <w:tab/>
        <w:t xml:space="preserve">SP AusNet, </w:t>
      </w:r>
      <w:r w:rsidRPr="00166069">
        <w:rPr>
          <w:rStyle w:val="AERtextitalic"/>
        </w:rPr>
        <w:t>Reconsideration Submission</w:t>
      </w:r>
      <w:r>
        <w:t>, pp. 12-13, 30-33.</w:t>
      </w:r>
    </w:p>
  </w:footnote>
  <w:footnote w:id="165">
    <w:p w:rsidR="00065517" w:rsidRDefault="00065517" w:rsidP="00831FD9">
      <w:pPr>
        <w:pStyle w:val="FootnoteText"/>
      </w:pPr>
      <w:r>
        <w:rPr>
          <w:rStyle w:val="FootnoteReference"/>
        </w:rPr>
        <w:footnoteRef/>
      </w:r>
      <w:r>
        <w:t xml:space="preserve"> </w:t>
      </w:r>
      <w:r>
        <w:tab/>
        <w:t xml:space="preserve">SP AusNet, </w:t>
      </w:r>
      <w:r w:rsidRPr="00166069">
        <w:rPr>
          <w:rStyle w:val="AERtextitalic"/>
        </w:rPr>
        <w:t>Reconsideration Submission</w:t>
      </w:r>
      <w:r>
        <w:t>, p. 32.</w:t>
      </w:r>
    </w:p>
  </w:footnote>
  <w:footnote w:id="166">
    <w:p w:rsidR="00065517" w:rsidRDefault="00065517">
      <w:pPr>
        <w:pStyle w:val="FootnoteText"/>
      </w:pPr>
      <w:r>
        <w:rPr>
          <w:rStyle w:val="FootnoteReference"/>
        </w:rPr>
        <w:footnoteRef/>
      </w:r>
      <w:r>
        <w:t xml:space="preserve"> </w:t>
      </w:r>
      <w:r>
        <w:tab/>
        <w:t>For example, AMI Order, clauses 5I.8(e), (f), (g), (h), (i) and (j).</w:t>
      </w:r>
    </w:p>
  </w:footnote>
  <w:footnote w:id="167">
    <w:p w:rsidR="00065517" w:rsidRDefault="00065517">
      <w:pPr>
        <w:pStyle w:val="FootnoteText"/>
      </w:pPr>
      <w:r>
        <w:rPr>
          <w:rStyle w:val="FootnoteReference"/>
        </w:rPr>
        <w:footnoteRef/>
      </w:r>
      <w:r>
        <w:t xml:space="preserve"> </w:t>
      </w:r>
      <w:r>
        <w:tab/>
      </w:r>
      <w:r w:rsidRPr="00166069">
        <w:rPr>
          <w:rStyle w:val="AERtextitalic"/>
        </w:rPr>
        <w:t>Energeia Report</w:t>
      </w:r>
      <w:r>
        <w:t>, p. 16.</w:t>
      </w:r>
    </w:p>
  </w:footnote>
  <w:footnote w:id="168">
    <w:p w:rsidR="00065517" w:rsidRDefault="00065517">
      <w:pPr>
        <w:pStyle w:val="FootnoteText"/>
      </w:pPr>
      <w:r>
        <w:rPr>
          <w:rStyle w:val="FootnoteReference"/>
        </w:rPr>
        <w:footnoteRef/>
      </w:r>
      <w:r>
        <w:t xml:space="preserve"> </w:t>
      </w:r>
      <w:r>
        <w:tab/>
      </w:r>
      <w:r w:rsidRPr="00166069">
        <w:rPr>
          <w:rStyle w:val="AERtextitalic"/>
        </w:rPr>
        <w:t>Energeia Report</w:t>
      </w:r>
      <w:r>
        <w:t>, p. 31.</w:t>
      </w:r>
    </w:p>
  </w:footnote>
  <w:footnote w:id="169">
    <w:p w:rsidR="00065517" w:rsidRDefault="00065517">
      <w:pPr>
        <w:pStyle w:val="FootnoteText"/>
      </w:pPr>
      <w:r>
        <w:rPr>
          <w:rStyle w:val="FootnoteReference"/>
        </w:rPr>
        <w:footnoteRef/>
      </w:r>
      <w:r>
        <w:t xml:space="preserve"> </w:t>
      </w:r>
      <w:r>
        <w:tab/>
      </w:r>
      <w:r w:rsidRPr="00166069">
        <w:rPr>
          <w:rStyle w:val="AERtextitalic"/>
        </w:rPr>
        <w:t>Energeia Report</w:t>
      </w:r>
      <w:r>
        <w:t>, p. 16.</w:t>
      </w:r>
    </w:p>
  </w:footnote>
  <w:footnote w:id="170">
    <w:p w:rsidR="00065517" w:rsidRDefault="00065517">
      <w:pPr>
        <w:pStyle w:val="FootnoteText"/>
      </w:pPr>
      <w:r>
        <w:rPr>
          <w:rStyle w:val="FootnoteReference"/>
        </w:rPr>
        <w:footnoteRef/>
      </w:r>
      <w:r>
        <w:t xml:space="preserve"> </w:t>
      </w:r>
      <w:r>
        <w:tab/>
      </w:r>
      <w:r w:rsidRPr="00166069">
        <w:rPr>
          <w:rStyle w:val="AERtextitalic"/>
        </w:rPr>
        <w:t>Energeia Report</w:t>
      </w:r>
      <w:r>
        <w:t>, p. 31.</w:t>
      </w:r>
    </w:p>
  </w:footnote>
  <w:footnote w:id="171">
    <w:p w:rsidR="00065517" w:rsidRDefault="00065517" w:rsidP="00177FA2">
      <w:pPr>
        <w:pStyle w:val="FootnoteText"/>
      </w:pPr>
      <w:r>
        <w:rPr>
          <w:rStyle w:val="FootnoteReference"/>
        </w:rPr>
        <w:footnoteRef/>
      </w:r>
      <w:r>
        <w:t xml:space="preserve"> </w:t>
      </w:r>
      <w:r>
        <w:tab/>
      </w:r>
      <w:r w:rsidRPr="00166069">
        <w:rPr>
          <w:rStyle w:val="AERtextitalic"/>
        </w:rPr>
        <w:t>Energeia Report</w:t>
      </w:r>
      <w:r>
        <w:t>, p. 31.</w:t>
      </w:r>
    </w:p>
  </w:footnote>
  <w:footnote w:id="172">
    <w:p w:rsidR="00065517" w:rsidRDefault="00065517" w:rsidP="00177FA2">
      <w:pPr>
        <w:pStyle w:val="FootnoteText"/>
      </w:pPr>
      <w:r>
        <w:rPr>
          <w:rStyle w:val="FootnoteReference"/>
        </w:rPr>
        <w:footnoteRef/>
      </w:r>
      <w:r>
        <w:t xml:space="preserve"> </w:t>
      </w:r>
      <w:r>
        <w:tab/>
        <w:t xml:space="preserve">Pacific Gas and Electricity Company in California, USA had deployed a mesh solution to 3.8 million customers as at January 2011. </w:t>
      </w:r>
      <w:r w:rsidRPr="00166069">
        <w:rPr>
          <w:rStyle w:val="AERtextitalic"/>
        </w:rPr>
        <w:t>Energeia Report</w:t>
      </w:r>
      <w:r>
        <w:t>, p. 31.</w:t>
      </w:r>
    </w:p>
  </w:footnote>
  <w:footnote w:id="173">
    <w:p w:rsidR="00065517" w:rsidRDefault="00065517" w:rsidP="00177FA2">
      <w:pPr>
        <w:pStyle w:val="FootnoteText"/>
      </w:pPr>
      <w:r>
        <w:rPr>
          <w:rStyle w:val="FootnoteReference"/>
        </w:rPr>
        <w:footnoteRef/>
      </w:r>
      <w:r>
        <w:t xml:space="preserve"> </w:t>
      </w:r>
      <w:r>
        <w:tab/>
        <w:t xml:space="preserve">SP AusNet, </w:t>
      </w:r>
      <w:r w:rsidRPr="00166069">
        <w:rPr>
          <w:rStyle w:val="AERtextitalic"/>
        </w:rPr>
        <w:t>AMI Program Business Case Update</w:t>
      </w:r>
      <w:r>
        <w:t>, 13 July 2010 (confidential).</w:t>
      </w:r>
    </w:p>
  </w:footnote>
  <w:footnote w:id="174">
    <w:p w:rsidR="00065517" w:rsidRDefault="00065517" w:rsidP="008903D2">
      <w:pPr>
        <w:pStyle w:val="FootnoteText"/>
      </w:pPr>
      <w:r>
        <w:rPr>
          <w:rStyle w:val="FootnoteReference"/>
        </w:rPr>
        <w:footnoteRef/>
      </w:r>
      <w:r>
        <w:t xml:space="preserve"> </w:t>
      </w:r>
      <w:r>
        <w:tab/>
        <w:t xml:space="preserve">SP AusNet, </w:t>
      </w:r>
      <w:r w:rsidRPr="00166069">
        <w:rPr>
          <w:rStyle w:val="AERtextitalic"/>
        </w:rPr>
        <w:t>Reconsideration Submission</w:t>
      </w:r>
      <w:r>
        <w:t>, pp. 12-13, 33-35.</w:t>
      </w:r>
    </w:p>
  </w:footnote>
  <w:footnote w:id="175">
    <w:p w:rsidR="00065517" w:rsidRDefault="00065517">
      <w:pPr>
        <w:pStyle w:val="FootnoteText"/>
      </w:pPr>
      <w:r>
        <w:rPr>
          <w:rStyle w:val="FootnoteReference"/>
        </w:rPr>
        <w:footnoteRef/>
      </w:r>
      <w:r>
        <w:t xml:space="preserve"> </w:t>
      </w:r>
      <w:r>
        <w:tab/>
      </w:r>
      <w:r w:rsidRPr="00166069">
        <w:rPr>
          <w:rStyle w:val="AERtextitalic"/>
        </w:rPr>
        <w:t>Energeia Report</w:t>
      </w:r>
      <w:r>
        <w:t>, pp. 31-32.</w:t>
      </w:r>
    </w:p>
  </w:footnote>
  <w:footnote w:id="176">
    <w:p w:rsidR="00065517" w:rsidRDefault="00065517">
      <w:pPr>
        <w:pStyle w:val="FootnoteText"/>
      </w:pPr>
      <w:r>
        <w:rPr>
          <w:rStyle w:val="FootnoteReference"/>
        </w:rPr>
        <w:footnoteRef/>
      </w:r>
      <w:r>
        <w:t xml:space="preserve"> </w:t>
      </w:r>
      <w:r>
        <w:tab/>
        <w:t>AMI Order, clause 5C.3.</w:t>
      </w:r>
    </w:p>
  </w:footnote>
  <w:footnote w:id="177">
    <w:p w:rsidR="00065517" w:rsidRDefault="00065517">
      <w:pPr>
        <w:pStyle w:val="FootnoteText"/>
      </w:pPr>
      <w:r>
        <w:rPr>
          <w:rStyle w:val="FootnoteReference"/>
        </w:rPr>
        <w:footnoteRef/>
      </w:r>
      <w:r>
        <w:t xml:space="preserve"> </w:t>
      </w:r>
      <w:r>
        <w:tab/>
        <w:t xml:space="preserve">SP AusNet, </w:t>
      </w:r>
      <w:r w:rsidRPr="00166069">
        <w:rPr>
          <w:rStyle w:val="AERtextitalic"/>
        </w:rPr>
        <w:t>Reconsideration Submission</w:t>
      </w:r>
      <w:r>
        <w:t>, pp, 12-13, 35-36.</w:t>
      </w:r>
    </w:p>
  </w:footnote>
  <w:footnote w:id="178">
    <w:p w:rsidR="00065517" w:rsidRDefault="00065517">
      <w:pPr>
        <w:pStyle w:val="FootnoteText"/>
      </w:pPr>
      <w:r>
        <w:rPr>
          <w:rStyle w:val="FootnoteReference"/>
        </w:rPr>
        <w:footnoteRef/>
      </w:r>
      <w:r>
        <w:t xml:space="preserve"> </w:t>
      </w:r>
      <w:r>
        <w:tab/>
        <w:t>For example, AMI Order, clause 5I.8(e), (f), (g), (h), (i) and (j).</w:t>
      </w:r>
    </w:p>
  </w:footnote>
  <w:footnote w:id="179">
    <w:p w:rsidR="00065517" w:rsidRDefault="00065517">
      <w:pPr>
        <w:pStyle w:val="FootnoteText"/>
      </w:pPr>
      <w:r>
        <w:rPr>
          <w:rStyle w:val="FootnoteReference"/>
        </w:rPr>
        <w:footnoteRef/>
      </w:r>
      <w:r>
        <w:t xml:space="preserve"> </w:t>
      </w:r>
      <w:r>
        <w:tab/>
      </w:r>
      <w:r w:rsidRPr="00166069">
        <w:rPr>
          <w:rStyle w:val="AERtextitalic"/>
        </w:rPr>
        <w:t>Energeia Report</w:t>
      </w:r>
      <w:r>
        <w:t>, p. 33.</w:t>
      </w:r>
    </w:p>
  </w:footnote>
  <w:footnote w:id="180">
    <w:p w:rsidR="00065517" w:rsidRDefault="00065517">
      <w:pPr>
        <w:pStyle w:val="FootnoteText"/>
      </w:pPr>
      <w:r>
        <w:rPr>
          <w:rStyle w:val="FootnoteReference"/>
        </w:rPr>
        <w:footnoteRef/>
      </w:r>
      <w:r>
        <w:t xml:space="preserve"> </w:t>
      </w:r>
      <w:r>
        <w:tab/>
        <w:t xml:space="preserve">SP AusNet, </w:t>
      </w:r>
      <w:r w:rsidRPr="005C6E39">
        <w:rPr>
          <w:rStyle w:val="AERtextitalic"/>
        </w:rPr>
        <w:t>Reconsideration Submission</w:t>
      </w:r>
      <w:r>
        <w:t>, pp. 12, 14, 36-37.</w:t>
      </w:r>
    </w:p>
  </w:footnote>
  <w:footnote w:id="181">
    <w:p w:rsidR="00065517" w:rsidRDefault="00065517">
      <w:pPr>
        <w:pStyle w:val="FootnoteText"/>
      </w:pPr>
      <w:r>
        <w:rPr>
          <w:rStyle w:val="FootnoteReference"/>
        </w:rPr>
        <w:footnoteRef/>
      </w:r>
      <w:r>
        <w:t xml:space="preserve"> </w:t>
      </w:r>
      <w:r>
        <w:tab/>
        <w:t xml:space="preserve">SP AusNet, </w:t>
      </w:r>
      <w:r w:rsidRPr="005C6E39">
        <w:rPr>
          <w:rStyle w:val="AERtextitalic"/>
        </w:rPr>
        <w:t>Reconsideration Submission</w:t>
      </w:r>
      <w:r>
        <w:t>, pp. 14, 36-37.</w:t>
      </w:r>
    </w:p>
  </w:footnote>
  <w:footnote w:id="182">
    <w:p w:rsidR="00065517" w:rsidRDefault="00065517">
      <w:pPr>
        <w:pStyle w:val="FootnoteText"/>
      </w:pPr>
      <w:r>
        <w:rPr>
          <w:rStyle w:val="FootnoteReference"/>
        </w:rPr>
        <w:footnoteRef/>
      </w:r>
      <w:r>
        <w:t xml:space="preserve"> </w:t>
      </w:r>
      <w:r>
        <w:tab/>
        <w:t>In particular, AMI Order, clauses 5I.8(e), (g), (h) and (i).</w:t>
      </w:r>
    </w:p>
  </w:footnote>
  <w:footnote w:id="183">
    <w:p w:rsidR="00065517" w:rsidRDefault="00065517">
      <w:pPr>
        <w:pStyle w:val="FootnoteText"/>
      </w:pPr>
      <w:r>
        <w:rPr>
          <w:rStyle w:val="FootnoteReference"/>
        </w:rPr>
        <w:footnoteRef/>
      </w:r>
      <w:r>
        <w:t xml:space="preserve"> </w:t>
      </w:r>
      <w:r>
        <w:tab/>
      </w:r>
      <w:r w:rsidRPr="00166069">
        <w:rPr>
          <w:rStyle w:val="AERtextitalic"/>
        </w:rPr>
        <w:t>Energeia Report</w:t>
      </w:r>
      <w:r>
        <w:t>, p. 34.</w:t>
      </w:r>
    </w:p>
  </w:footnote>
  <w:footnote w:id="184">
    <w:p w:rsidR="00065517" w:rsidRDefault="00065517">
      <w:pPr>
        <w:pStyle w:val="FootnoteText"/>
      </w:pPr>
      <w:r>
        <w:rPr>
          <w:rStyle w:val="FootnoteReference"/>
        </w:rPr>
        <w:footnoteRef/>
      </w:r>
      <w:r>
        <w:t xml:space="preserve"> </w:t>
      </w:r>
      <w:r>
        <w:tab/>
        <w:t xml:space="preserve">SP AusNet, </w:t>
      </w:r>
      <w:r w:rsidRPr="005C6E39">
        <w:rPr>
          <w:rStyle w:val="AERtextitalic"/>
        </w:rPr>
        <w:t>Reconsideration Submission</w:t>
      </w:r>
      <w:r>
        <w:t>, p. 37.</w:t>
      </w:r>
    </w:p>
  </w:footnote>
  <w:footnote w:id="185">
    <w:p w:rsidR="00065517" w:rsidRDefault="00065517">
      <w:pPr>
        <w:pStyle w:val="FootnoteText"/>
      </w:pPr>
      <w:r>
        <w:rPr>
          <w:rStyle w:val="FootnoteReference"/>
        </w:rPr>
        <w:footnoteRef/>
      </w:r>
      <w:r>
        <w:t xml:space="preserve"> </w:t>
      </w:r>
      <w:r>
        <w:tab/>
      </w:r>
      <w:r w:rsidRPr="00166069">
        <w:rPr>
          <w:rStyle w:val="AERtextitalic"/>
        </w:rPr>
        <w:t>Energeia Report</w:t>
      </w:r>
      <w:r>
        <w:t>, p. 13.</w:t>
      </w:r>
    </w:p>
  </w:footnote>
  <w:footnote w:id="186">
    <w:p w:rsidR="00065517" w:rsidRDefault="00065517">
      <w:pPr>
        <w:pStyle w:val="FootnoteText"/>
      </w:pPr>
      <w:r>
        <w:rPr>
          <w:rStyle w:val="FootnoteReference"/>
        </w:rPr>
        <w:footnoteRef/>
      </w:r>
      <w:r>
        <w:t xml:space="preserve"> </w:t>
      </w:r>
      <w:r>
        <w:tab/>
        <w:t xml:space="preserve">For example, the contract for SP AusNet's communication network (confidential). </w:t>
      </w:r>
    </w:p>
  </w:footnote>
  <w:footnote w:id="187">
    <w:p w:rsidR="00065517" w:rsidRDefault="00065517">
      <w:pPr>
        <w:pStyle w:val="FootnoteText"/>
      </w:pPr>
      <w:r>
        <w:rPr>
          <w:rStyle w:val="FootnoteReference"/>
        </w:rPr>
        <w:footnoteRef/>
      </w:r>
      <w:r>
        <w:t xml:space="preserve"> </w:t>
      </w:r>
      <w:r>
        <w:tab/>
        <w:t xml:space="preserve">SP AusNet, </w:t>
      </w:r>
      <w:r w:rsidRPr="005C6E39">
        <w:rPr>
          <w:rStyle w:val="AERtextitalic"/>
        </w:rPr>
        <w:t>Reconsideration Submission</w:t>
      </w:r>
      <w:r>
        <w:t>, p. 37.</w:t>
      </w:r>
    </w:p>
  </w:footnote>
  <w:footnote w:id="188">
    <w:p w:rsidR="00065517" w:rsidRDefault="00065517">
      <w:pPr>
        <w:pStyle w:val="FootnoteText"/>
      </w:pPr>
      <w:r>
        <w:rPr>
          <w:rStyle w:val="FootnoteReference"/>
        </w:rPr>
        <w:footnoteRef/>
      </w:r>
      <w:r>
        <w:t xml:space="preserve"> </w:t>
      </w:r>
      <w:r>
        <w:tab/>
      </w:r>
      <w:r w:rsidRPr="00166069">
        <w:rPr>
          <w:rStyle w:val="AERtextitalic"/>
        </w:rPr>
        <w:t>Energeia Report</w:t>
      </w:r>
      <w:r>
        <w:t>, p. 13.</w:t>
      </w:r>
    </w:p>
  </w:footnote>
  <w:footnote w:id="189">
    <w:p w:rsidR="00065517" w:rsidRDefault="00065517" w:rsidP="00C72BBA">
      <w:pPr>
        <w:pStyle w:val="FootnoteText"/>
      </w:pPr>
      <w:r>
        <w:rPr>
          <w:rStyle w:val="FootnoteReference"/>
        </w:rPr>
        <w:footnoteRef/>
      </w:r>
      <w:r>
        <w:t xml:space="preserve"> </w:t>
      </w:r>
      <w:r>
        <w:tab/>
        <w:t>AMI Order, clause 5C.3(b)(iv).</w:t>
      </w:r>
    </w:p>
  </w:footnote>
  <w:footnote w:id="190">
    <w:p w:rsidR="00065517" w:rsidRDefault="00065517" w:rsidP="00C72BBA">
      <w:pPr>
        <w:pStyle w:val="FootnoteText"/>
      </w:pPr>
      <w:r>
        <w:rPr>
          <w:rStyle w:val="FootnoteReference"/>
        </w:rPr>
        <w:footnoteRef/>
      </w:r>
      <w:r>
        <w:t xml:space="preserve"> </w:t>
      </w:r>
      <w:r>
        <w:tab/>
        <w:t>AMI Order, clause 5C.3.</w:t>
      </w:r>
    </w:p>
  </w:footnote>
  <w:footnote w:id="191">
    <w:p w:rsidR="00065517" w:rsidRDefault="00065517" w:rsidP="00C72BBA"/>
    <w:p w:rsidR="00065517" w:rsidRDefault="00065517" w:rsidP="00C72BBA"/>
  </w:footnote>
  <w:footnote w:id="192">
    <w:p w:rsidR="00065517" w:rsidRDefault="00065517">
      <w:pPr>
        <w:pStyle w:val="FootnoteText"/>
      </w:pPr>
      <w:r>
        <w:rPr>
          <w:rStyle w:val="FootnoteReference"/>
        </w:rPr>
        <w:footnoteRef/>
      </w:r>
      <w:r>
        <w:t xml:space="preserve"> </w:t>
      </w:r>
      <w:r>
        <w:tab/>
      </w:r>
      <w:r w:rsidRPr="009971B4">
        <w:t>See, for example, AMI Order clauses 2, 5A, 5B, 5C.</w:t>
      </w:r>
    </w:p>
  </w:footnote>
  <w:footnote w:id="193">
    <w:p w:rsidR="00065517" w:rsidRDefault="00065517">
      <w:pPr>
        <w:pStyle w:val="FootnoteText"/>
      </w:pPr>
      <w:r>
        <w:rPr>
          <w:rStyle w:val="FootnoteReference"/>
        </w:rPr>
        <w:footnoteRef/>
      </w:r>
      <w:r>
        <w:t xml:space="preserve"> </w:t>
      </w:r>
      <w:r>
        <w:tab/>
      </w:r>
      <w:r w:rsidRPr="009971B4">
        <w:t>Arguably, a DNSP could submit a revised budget application for the 2009-11 period as late as (</w:t>
      </w:r>
      <w:r>
        <w:t>approximately</w:t>
      </w:r>
      <w:r w:rsidRPr="009971B4">
        <w:t>) 1 July 2012. This would still allow the AER to assess it in 40 business days and make a determination in time for the DNSP to lodge its charges revision</w:t>
      </w:r>
      <w:r>
        <w:t xml:space="preserve"> application on 31 August 2012.</w:t>
      </w:r>
    </w:p>
  </w:footnote>
  <w:footnote w:id="194">
    <w:p w:rsidR="00065517" w:rsidRDefault="00065517">
      <w:pPr>
        <w:pStyle w:val="FootnoteText"/>
      </w:pPr>
      <w:r>
        <w:rPr>
          <w:rStyle w:val="FootnoteReference"/>
        </w:rPr>
        <w:footnoteRef/>
      </w:r>
      <w:r>
        <w:t xml:space="preserve"> </w:t>
      </w:r>
      <w:r>
        <w:tab/>
      </w:r>
      <w:r w:rsidRPr="009971B4">
        <w:t>AMI Order, clause 5G.</w:t>
      </w:r>
    </w:p>
  </w:footnote>
  <w:footnote w:id="195">
    <w:p w:rsidR="00065517" w:rsidRDefault="00065517">
      <w:pPr>
        <w:pStyle w:val="FootnoteText"/>
      </w:pPr>
      <w:r>
        <w:rPr>
          <w:rStyle w:val="FootnoteReference"/>
        </w:rPr>
        <w:footnoteRef/>
      </w:r>
      <w:r>
        <w:t xml:space="preserve"> </w:t>
      </w:r>
      <w:r>
        <w:tab/>
        <w:t>The 2013 charges revision process will be conducted under the AMI Order as revised in December 2011. Although this changes the AER's assessment approach, the 120 per cent threshold remains for the 2009-11 period.</w:t>
      </w:r>
    </w:p>
  </w:footnote>
  <w:footnote w:id="196">
    <w:p w:rsidR="00065517" w:rsidRDefault="00065517">
      <w:pPr>
        <w:pStyle w:val="FootnoteText"/>
      </w:pPr>
      <w:r>
        <w:rPr>
          <w:rStyle w:val="FootnoteReference"/>
        </w:rPr>
        <w:footnoteRef/>
      </w:r>
      <w:r>
        <w:t xml:space="preserve"> </w:t>
      </w:r>
      <w:r>
        <w:tab/>
        <w:t>The AMI Order as revised in December 2011 changes the assessment approach, but this would not have been known at the time.</w:t>
      </w:r>
    </w:p>
  </w:footnote>
  <w:footnote w:id="197">
    <w:p w:rsidR="00065517" w:rsidRDefault="00065517">
      <w:pPr>
        <w:pStyle w:val="FootnoteText"/>
      </w:pPr>
      <w:r>
        <w:rPr>
          <w:rStyle w:val="FootnoteReference"/>
        </w:rPr>
        <w:footnoteRef/>
      </w:r>
      <w:r>
        <w:t xml:space="preserve"> </w:t>
      </w:r>
      <w:r>
        <w:tab/>
      </w:r>
      <w:r w:rsidRPr="00166069">
        <w:rPr>
          <w:rStyle w:val="AERtextitalic"/>
        </w:rPr>
        <w:t>Energeia Report</w:t>
      </w:r>
      <w:r>
        <w:t>, pp. 15-16.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517" w:rsidRDefault="00065517">
    <w:pPr>
      <w:spacing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517" w:rsidRDefault="00065517">
    <w:pPr>
      <w:spacing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517" w:rsidRDefault="00065517">
    <w:pPr>
      <w:spacing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2593"/>
    <w:multiLevelType w:val="hybridMultilevel"/>
    <w:tmpl w:val="62166C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D517D24"/>
    <w:multiLevelType w:val="hybridMultilevel"/>
    <w:tmpl w:val="66B0C8D4"/>
    <w:lvl w:ilvl="0" w:tplc="ED1E2CD6">
      <w:start w:val="1"/>
      <w:numFmt w:val="lowerRoman"/>
      <w:pStyle w:val="AERnumberedlistthirdstyle"/>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A3A6266"/>
    <w:multiLevelType w:val="multilevel"/>
    <w:tmpl w:val="A93864D8"/>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1ECE7718"/>
    <w:multiLevelType w:val="hybridMultilevel"/>
    <w:tmpl w:val="0D34C4BE"/>
    <w:lvl w:ilvl="0" w:tplc="CC1283D6">
      <w:start w:val="1"/>
      <w:numFmt w:val="lowerLetter"/>
      <w:lvlText w:val="(%1)"/>
      <w:lvlJc w:val="left"/>
      <w:pPr>
        <w:ind w:left="1155" w:hanging="360"/>
      </w:pPr>
      <w:rPr>
        <w:rFonts w:hint="default"/>
      </w:rPr>
    </w:lvl>
    <w:lvl w:ilvl="1" w:tplc="0C090019" w:tentative="1">
      <w:start w:val="1"/>
      <w:numFmt w:val="lowerLetter"/>
      <w:lvlText w:val="%2."/>
      <w:lvlJc w:val="left"/>
      <w:pPr>
        <w:ind w:left="1875" w:hanging="360"/>
      </w:p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4">
    <w:nsid w:val="202D06C6"/>
    <w:multiLevelType w:val="hybridMultilevel"/>
    <w:tmpl w:val="4BA2F8D2"/>
    <w:lvl w:ilvl="0" w:tplc="26BC5DBC">
      <w:start w:val="1"/>
      <w:numFmt w:val="bullet"/>
      <w:pStyle w:val="AERquotebullet1"/>
      <w:lvlText w:val=""/>
      <w:lvlJc w:val="left"/>
      <w:pPr>
        <w:tabs>
          <w:tab w:val="num" w:pos="1077"/>
        </w:tabs>
        <w:ind w:left="1077" w:hanging="357"/>
      </w:pPr>
      <w:rPr>
        <w:rFonts w:ascii="Wingdings" w:hAnsi="Wingdings" w:hint="default"/>
        <w:sz w:val="24"/>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nsid w:val="22D3329F"/>
    <w:multiLevelType w:val="hybridMultilevel"/>
    <w:tmpl w:val="A5180C1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301B31FF"/>
    <w:multiLevelType w:val="multilevel"/>
    <w:tmpl w:val="6B1233FC"/>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443F74CB"/>
    <w:multiLevelType w:val="hybridMultilevel"/>
    <w:tmpl w:val="550AFBE6"/>
    <w:lvl w:ilvl="0" w:tplc="934C6A4C">
      <w:start w:val="1"/>
      <w:numFmt w:val="decimal"/>
      <w:pStyle w:val="AERnumberedlistfirststyle"/>
      <w:lvlText w:val="%1."/>
      <w:lvlJc w:val="left"/>
      <w:pPr>
        <w:tabs>
          <w:tab w:val="num" w:pos="357"/>
        </w:tabs>
        <w:ind w:left="357" w:hanging="357"/>
      </w:pPr>
      <w:rPr>
        <w:rFonts w:ascii="Gautami" w:hAnsi="Gautami" w:hint="default"/>
        <w:b w:val="0"/>
        <w:i w:val="0"/>
        <w:sz w:val="22"/>
      </w:rPr>
    </w:lvl>
    <w:lvl w:ilvl="1" w:tplc="79648B72">
      <w:start w:val="1"/>
      <w:numFmt w:val="bullet"/>
      <w:lvlText w:val=""/>
      <w:lvlJc w:val="left"/>
      <w:pPr>
        <w:tabs>
          <w:tab w:val="num" w:pos="4498"/>
        </w:tabs>
        <w:ind w:left="4498" w:hanging="358"/>
      </w:pPr>
      <w:rPr>
        <w:rFonts w:ascii="Wingdings" w:hAnsi="Wingdings" w:hint="default"/>
        <w:b w:val="0"/>
        <w:i w:val="0"/>
        <w:sz w:val="22"/>
      </w:rPr>
    </w:lvl>
    <w:lvl w:ilvl="2" w:tplc="0074C4EC" w:tentative="1">
      <w:start w:val="1"/>
      <w:numFmt w:val="lowerRoman"/>
      <w:lvlText w:val="%3."/>
      <w:lvlJc w:val="right"/>
      <w:pPr>
        <w:tabs>
          <w:tab w:val="num" w:pos="5220"/>
        </w:tabs>
        <w:ind w:left="5220" w:hanging="180"/>
      </w:pPr>
    </w:lvl>
    <w:lvl w:ilvl="3" w:tplc="07FA5110" w:tentative="1">
      <w:start w:val="1"/>
      <w:numFmt w:val="decimal"/>
      <w:lvlText w:val="%4."/>
      <w:lvlJc w:val="left"/>
      <w:pPr>
        <w:tabs>
          <w:tab w:val="num" w:pos="5940"/>
        </w:tabs>
        <w:ind w:left="5940" w:hanging="360"/>
      </w:pPr>
    </w:lvl>
    <w:lvl w:ilvl="4" w:tplc="50680BF4">
      <w:start w:val="1"/>
      <w:numFmt w:val="lowerLetter"/>
      <w:lvlText w:val="%5."/>
      <w:lvlJc w:val="left"/>
      <w:pPr>
        <w:tabs>
          <w:tab w:val="num" w:pos="6660"/>
        </w:tabs>
        <w:ind w:left="6660" w:hanging="360"/>
      </w:pPr>
    </w:lvl>
    <w:lvl w:ilvl="5" w:tplc="0E7E583A">
      <w:start w:val="1"/>
      <w:numFmt w:val="lowerRoman"/>
      <w:lvlText w:val="%6."/>
      <w:lvlJc w:val="right"/>
      <w:pPr>
        <w:tabs>
          <w:tab w:val="num" w:pos="7380"/>
        </w:tabs>
        <w:ind w:left="7380" w:hanging="180"/>
      </w:pPr>
    </w:lvl>
    <w:lvl w:ilvl="6" w:tplc="276A7C8A" w:tentative="1">
      <w:start w:val="1"/>
      <w:numFmt w:val="decimal"/>
      <w:lvlText w:val="%7."/>
      <w:lvlJc w:val="left"/>
      <w:pPr>
        <w:tabs>
          <w:tab w:val="num" w:pos="8100"/>
        </w:tabs>
        <w:ind w:left="8100" w:hanging="360"/>
      </w:pPr>
    </w:lvl>
    <w:lvl w:ilvl="7" w:tplc="1AB277A6" w:tentative="1">
      <w:start w:val="1"/>
      <w:numFmt w:val="lowerLetter"/>
      <w:lvlText w:val="%8."/>
      <w:lvlJc w:val="left"/>
      <w:pPr>
        <w:tabs>
          <w:tab w:val="num" w:pos="8820"/>
        </w:tabs>
        <w:ind w:left="8820" w:hanging="360"/>
      </w:pPr>
    </w:lvl>
    <w:lvl w:ilvl="8" w:tplc="B4A26256" w:tentative="1">
      <w:start w:val="1"/>
      <w:numFmt w:val="lowerRoman"/>
      <w:lvlText w:val="%9."/>
      <w:lvlJc w:val="right"/>
      <w:pPr>
        <w:tabs>
          <w:tab w:val="num" w:pos="9540"/>
        </w:tabs>
        <w:ind w:left="9540" w:hanging="180"/>
      </w:pPr>
    </w:lvl>
  </w:abstractNum>
  <w:abstractNum w:abstractNumId="8">
    <w:nsid w:val="45505510"/>
    <w:multiLevelType w:val="hybridMultilevel"/>
    <w:tmpl w:val="6024CC76"/>
    <w:lvl w:ilvl="0" w:tplc="1D50E1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7181BA6"/>
    <w:multiLevelType w:val="hybridMultilevel"/>
    <w:tmpl w:val="6C64A470"/>
    <w:lvl w:ilvl="0" w:tplc="C292E9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1487971"/>
    <w:multiLevelType w:val="multilevel"/>
    <w:tmpl w:val="26226504"/>
    <w:styleLink w:val="AERnumberedlist"/>
    <w:lvl w:ilvl="0">
      <w:start w:val="1"/>
      <w:numFmt w:val="none"/>
      <w:lvlText w:val="%1"/>
      <w:lvlJc w:val="left"/>
      <w:pPr>
        <w:tabs>
          <w:tab w:val="num" w:pos="0"/>
        </w:tabs>
      </w:pPr>
      <w:rPr>
        <w:rFonts w:cs="Times New Roman" w:hint="default"/>
      </w:rPr>
    </w:lvl>
    <w:lvl w:ilvl="1">
      <w:start w:val="1"/>
      <w:numFmt w:val="decimal"/>
      <w:lvlText w:val="%2."/>
      <w:lvlJc w:val="left"/>
      <w:pPr>
        <w:tabs>
          <w:tab w:val="num" w:pos="357"/>
        </w:tabs>
        <w:ind w:left="357" w:hanging="357"/>
      </w:pPr>
      <w:rPr>
        <w:rFonts w:cs="Times New Roman" w:hint="default"/>
      </w:rPr>
    </w:lvl>
    <w:lvl w:ilvl="2">
      <w:start w:val="1"/>
      <w:numFmt w:val="lowerLetter"/>
      <w:lvlText w:val="%3."/>
      <w:lvlJc w:val="left"/>
      <w:pPr>
        <w:tabs>
          <w:tab w:val="num" w:pos="720"/>
        </w:tabs>
        <w:ind w:left="720" w:hanging="363"/>
      </w:pPr>
      <w:rPr>
        <w:rFonts w:cs="Times New Roman" w:hint="default"/>
      </w:rPr>
    </w:lvl>
    <w:lvl w:ilvl="3">
      <w:start w:val="1"/>
      <w:numFmt w:val="lowerRoman"/>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5E5C49AC"/>
    <w:multiLevelType w:val="multilevel"/>
    <w:tmpl w:val="478A0A66"/>
    <w:lvl w:ilvl="0">
      <w:start w:val="1"/>
      <w:numFmt w:val="decimal"/>
      <w:lvlText w:val="%1"/>
      <w:lvlJc w:val="left"/>
      <w:pPr>
        <w:tabs>
          <w:tab w:val="num" w:pos="357"/>
        </w:tabs>
        <w:ind w:left="1071" w:hanging="1071"/>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
      <w:lvlRestart w:val="0"/>
      <w:lvlText w:val="Figure %1.%4"/>
      <w:lvlJc w:val="left"/>
      <w:pPr>
        <w:tabs>
          <w:tab w:val="num" w:pos="357"/>
        </w:tabs>
        <w:ind w:left="357" w:hanging="357"/>
      </w:pPr>
      <w:rPr>
        <w:rFonts w:hint="default"/>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5F836245"/>
    <w:multiLevelType w:val="hybridMultilevel"/>
    <w:tmpl w:val="7E4A47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62BF0570"/>
    <w:multiLevelType w:val="hybridMultilevel"/>
    <w:tmpl w:val="2C38EE7E"/>
    <w:lvl w:ilvl="0" w:tplc="3F6EDFFA">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0A604ED8" w:tentative="1">
      <w:start w:val="1"/>
      <w:numFmt w:val="bullet"/>
      <w:lvlText w:val="o"/>
      <w:lvlJc w:val="left"/>
      <w:pPr>
        <w:tabs>
          <w:tab w:val="num" w:pos="1590"/>
        </w:tabs>
        <w:ind w:left="1590" w:hanging="360"/>
      </w:pPr>
      <w:rPr>
        <w:rFonts w:ascii="Courier New" w:hAnsi="Courier New" w:cs="Courier New" w:hint="default"/>
      </w:rPr>
    </w:lvl>
    <w:lvl w:ilvl="2" w:tplc="0E680FF4" w:tentative="1">
      <w:start w:val="1"/>
      <w:numFmt w:val="bullet"/>
      <w:lvlText w:val=""/>
      <w:lvlJc w:val="left"/>
      <w:pPr>
        <w:tabs>
          <w:tab w:val="num" w:pos="2310"/>
        </w:tabs>
        <w:ind w:left="2310" w:hanging="360"/>
      </w:pPr>
      <w:rPr>
        <w:rFonts w:ascii="Wingdings" w:hAnsi="Wingdings" w:hint="default"/>
      </w:rPr>
    </w:lvl>
    <w:lvl w:ilvl="3" w:tplc="8B20E758" w:tentative="1">
      <w:start w:val="1"/>
      <w:numFmt w:val="bullet"/>
      <w:lvlText w:val=""/>
      <w:lvlJc w:val="left"/>
      <w:pPr>
        <w:tabs>
          <w:tab w:val="num" w:pos="3030"/>
        </w:tabs>
        <w:ind w:left="3030" w:hanging="360"/>
      </w:pPr>
      <w:rPr>
        <w:rFonts w:ascii="Symbol" w:hAnsi="Symbol" w:hint="default"/>
      </w:rPr>
    </w:lvl>
    <w:lvl w:ilvl="4" w:tplc="9CB8E524" w:tentative="1">
      <w:start w:val="1"/>
      <w:numFmt w:val="bullet"/>
      <w:lvlText w:val="o"/>
      <w:lvlJc w:val="left"/>
      <w:pPr>
        <w:tabs>
          <w:tab w:val="num" w:pos="3750"/>
        </w:tabs>
        <w:ind w:left="3750" w:hanging="360"/>
      </w:pPr>
      <w:rPr>
        <w:rFonts w:ascii="Courier New" w:hAnsi="Courier New" w:cs="Courier New" w:hint="default"/>
      </w:rPr>
    </w:lvl>
    <w:lvl w:ilvl="5" w:tplc="37B81E14" w:tentative="1">
      <w:start w:val="1"/>
      <w:numFmt w:val="bullet"/>
      <w:lvlText w:val=""/>
      <w:lvlJc w:val="left"/>
      <w:pPr>
        <w:tabs>
          <w:tab w:val="num" w:pos="4470"/>
        </w:tabs>
        <w:ind w:left="4470" w:hanging="360"/>
      </w:pPr>
      <w:rPr>
        <w:rFonts w:ascii="Wingdings" w:hAnsi="Wingdings" w:hint="default"/>
      </w:rPr>
    </w:lvl>
    <w:lvl w:ilvl="6" w:tplc="5F48BEDE" w:tentative="1">
      <w:start w:val="1"/>
      <w:numFmt w:val="bullet"/>
      <w:lvlText w:val=""/>
      <w:lvlJc w:val="left"/>
      <w:pPr>
        <w:tabs>
          <w:tab w:val="num" w:pos="5190"/>
        </w:tabs>
        <w:ind w:left="5190" w:hanging="360"/>
      </w:pPr>
      <w:rPr>
        <w:rFonts w:ascii="Symbol" w:hAnsi="Symbol" w:hint="default"/>
      </w:rPr>
    </w:lvl>
    <w:lvl w:ilvl="7" w:tplc="E5FA3D28" w:tentative="1">
      <w:start w:val="1"/>
      <w:numFmt w:val="bullet"/>
      <w:lvlText w:val="o"/>
      <w:lvlJc w:val="left"/>
      <w:pPr>
        <w:tabs>
          <w:tab w:val="num" w:pos="5910"/>
        </w:tabs>
        <w:ind w:left="5910" w:hanging="360"/>
      </w:pPr>
      <w:rPr>
        <w:rFonts w:ascii="Courier New" w:hAnsi="Courier New" w:cs="Courier New" w:hint="default"/>
      </w:rPr>
    </w:lvl>
    <w:lvl w:ilvl="8" w:tplc="8D846926" w:tentative="1">
      <w:start w:val="1"/>
      <w:numFmt w:val="bullet"/>
      <w:lvlText w:val=""/>
      <w:lvlJc w:val="left"/>
      <w:pPr>
        <w:tabs>
          <w:tab w:val="num" w:pos="6630"/>
        </w:tabs>
        <w:ind w:left="6630" w:hanging="360"/>
      </w:pPr>
      <w:rPr>
        <w:rFonts w:ascii="Wingdings" w:hAnsi="Wingdings" w:hint="default"/>
      </w:rPr>
    </w:lvl>
  </w:abstractNum>
  <w:abstractNum w:abstractNumId="14">
    <w:nsid w:val="65B63771"/>
    <w:multiLevelType w:val="hybridMultilevel"/>
    <w:tmpl w:val="3F66B6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5C75B9D"/>
    <w:multiLevelType w:val="multilevel"/>
    <w:tmpl w:val="1FBE353E"/>
    <w:lvl w:ilvl="0">
      <w:start w:val="1"/>
      <w:numFmt w:val="decimal"/>
      <w:lvlText w:val="%1"/>
      <w:lvlJc w:val="left"/>
      <w:pPr>
        <w:tabs>
          <w:tab w:val="num" w:pos="357"/>
        </w:tabs>
        <w:ind w:left="1071" w:hanging="1071"/>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Figure %1.%4"/>
      <w:lvlJc w:val="left"/>
      <w:pPr>
        <w:tabs>
          <w:tab w:val="num" w:pos="357"/>
        </w:tabs>
        <w:ind w:left="357" w:hanging="357"/>
      </w:pPr>
      <w:rPr>
        <w:rFonts w:hint="default"/>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73BD7B84"/>
    <w:multiLevelType w:val="hybridMultilevel"/>
    <w:tmpl w:val="3424A1D2"/>
    <w:lvl w:ilvl="0" w:tplc="4B8CB110">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76142A02"/>
    <w:multiLevelType w:val="multilevel"/>
    <w:tmpl w:val="6B10CE7C"/>
    <w:lvl w:ilvl="0">
      <w:start w:val="1"/>
      <w:numFmt w:val="decimal"/>
      <w:lvlText w:val="%1"/>
      <w:lvlJc w:val="left"/>
      <w:pPr>
        <w:tabs>
          <w:tab w:val="num" w:pos="357"/>
        </w:tabs>
        <w:ind w:left="1071" w:hanging="1071"/>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Figure %1.%4"/>
      <w:lvlJc w:val="left"/>
      <w:pPr>
        <w:tabs>
          <w:tab w:val="num" w:pos="357"/>
        </w:tabs>
        <w:ind w:left="357" w:hanging="357"/>
      </w:pPr>
      <w:rPr>
        <w:rFonts w:hint="default"/>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76A149FE"/>
    <w:multiLevelType w:val="multilevel"/>
    <w:tmpl w:val="FA9E0686"/>
    <w:lvl w:ilvl="0">
      <w:start w:val="1"/>
      <w:numFmt w:val="decimal"/>
      <w:pStyle w:val="AERheading1"/>
      <w:lvlText w:val="%1"/>
      <w:lvlJc w:val="left"/>
      <w:pPr>
        <w:tabs>
          <w:tab w:val="num" w:pos="-357"/>
        </w:tabs>
        <w:ind w:left="357" w:hanging="1071"/>
      </w:pPr>
      <w:rPr>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decimal"/>
      <w:pStyle w:val="AERheading2"/>
      <w:lvlText w:val="%1.%2"/>
      <w:lvlJc w:val="left"/>
      <w:pPr>
        <w:tabs>
          <w:tab w:val="num" w:pos="4317"/>
        </w:tabs>
        <w:ind w:left="4317" w:hanging="35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AERheading3"/>
      <w:lvlText w:val="%1.%2.%3"/>
      <w:lvlJc w:val="left"/>
      <w:pPr>
        <w:tabs>
          <w:tab w:val="num" w:pos="-357"/>
        </w:tabs>
        <w:ind w:left="-357" w:hanging="357"/>
      </w:pPr>
      <w:rPr>
        <w:rFonts w:hint="default"/>
      </w:rPr>
    </w:lvl>
    <w:lvl w:ilvl="3">
      <w:start w:val="1"/>
      <w:numFmt w:val="decimal"/>
      <w:lvlRestart w:val="0"/>
      <w:pStyle w:val="AERfigureheading"/>
      <w:lvlText w:val="Figure %1.%4"/>
      <w:lvlJc w:val="left"/>
      <w:pPr>
        <w:tabs>
          <w:tab w:val="num" w:pos="357"/>
        </w:tabs>
        <w:ind w:left="357" w:hanging="357"/>
      </w:pPr>
      <w:rPr>
        <w:rFonts w:hint="default"/>
      </w:rPr>
    </w:lvl>
    <w:lvl w:ilvl="4">
      <w:start w:val="1"/>
      <w:numFmt w:val="decimal"/>
      <w:lvlRestart w:val="1"/>
      <w:pStyle w:val="AERtabletitle"/>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7AEF67FF"/>
    <w:multiLevelType w:val="multilevel"/>
    <w:tmpl w:val="E1F4D8C6"/>
    <w:lvl w:ilvl="0">
      <w:start w:val="1"/>
      <w:numFmt w:val="bullet"/>
      <w:pStyle w:val="AERbulletlistfirststyle"/>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num w:numId="1">
    <w:abstractNumId w:val="19"/>
  </w:num>
  <w:num w:numId="2">
    <w:abstractNumId w:val="2"/>
  </w:num>
  <w:num w:numId="3">
    <w:abstractNumId w:val="13"/>
  </w:num>
  <w:num w:numId="4">
    <w:abstractNumId w:val="1"/>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9"/>
  </w:num>
  <w:num w:numId="19">
    <w:abstractNumId w:val="14"/>
  </w:num>
  <w:num w:numId="20">
    <w:abstractNumId w:val="0"/>
  </w:num>
  <w:num w:numId="21">
    <w:abstractNumId w:val="5"/>
  </w:num>
  <w:num w:numId="22">
    <w:abstractNumId w:val="2"/>
  </w:num>
  <w:num w:numId="23">
    <w:abstractNumId w:val="8"/>
  </w:num>
  <w:num w:numId="24">
    <w:abstractNumId w:val="9"/>
  </w:num>
  <w:num w:numId="25">
    <w:abstractNumId w:val="3"/>
  </w:num>
  <w:num w:numId="26">
    <w:abstractNumId w:val="12"/>
  </w:num>
  <w:num w:numId="27">
    <w:abstractNumId w:val="19"/>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stylePaneFormatFilter w:val="3001"/>
  <w:doNotTrackMoves/>
  <w:documentProtection w:formatting="1" w:enforcement="1" w:cryptProviderType="rsaFull" w:cryptAlgorithmClass="hash" w:cryptAlgorithmType="typeAny" w:cryptAlgorithmSid="4" w:cryptSpinCount="100000" w:hash="1ssVZNd+za21A5dKdgPwPjgYt3k=" w:salt="1d1Coxof/MfZERFHEcqLRg=="/>
  <w:defaultTabStop w:val="720"/>
  <w:drawingGridHorizontalSpacing w:val="100"/>
  <w:displayHorizontalDrawingGridEvery w:val="2"/>
  <w:characterSpacingControl w:val="doNotCompress"/>
  <w:hdrShapeDefaults>
    <o:shapedefaults v:ext="edit" spidmax="2344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Document2"/>
  </w:docVars>
  <w:rsids>
    <w:rsidRoot w:val="00A02329"/>
    <w:rsid w:val="000018CD"/>
    <w:rsid w:val="00004EAD"/>
    <w:rsid w:val="00013F4C"/>
    <w:rsid w:val="00014C2A"/>
    <w:rsid w:val="00015BE2"/>
    <w:rsid w:val="0001725E"/>
    <w:rsid w:val="00020FCB"/>
    <w:rsid w:val="000213F3"/>
    <w:rsid w:val="000219BB"/>
    <w:rsid w:val="00022060"/>
    <w:rsid w:val="00022AEF"/>
    <w:rsid w:val="00024C33"/>
    <w:rsid w:val="00025781"/>
    <w:rsid w:val="0002586E"/>
    <w:rsid w:val="00030190"/>
    <w:rsid w:val="00032D12"/>
    <w:rsid w:val="000344F9"/>
    <w:rsid w:val="000352DE"/>
    <w:rsid w:val="00035313"/>
    <w:rsid w:val="0003584F"/>
    <w:rsid w:val="0003617E"/>
    <w:rsid w:val="00041603"/>
    <w:rsid w:val="00043B93"/>
    <w:rsid w:val="000446CC"/>
    <w:rsid w:val="000508F7"/>
    <w:rsid w:val="00051B37"/>
    <w:rsid w:val="00053F3B"/>
    <w:rsid w:val="00061646"/>
    <w:rsid w:val="00065517"/>
    <w:rsid w:val="00066432"/>
    <w:rsid w:val="00067FE9"/>
    <w:rsid w:val="00074847"/>
    <w:rsid w:val="00075D3E"/>
    <w:rsid w:val="00076EBC"/>
    <w:rsid w:val="00077070"/>
    <w:rsid w:val="00080470"/>
    <w:rsid w:val="000807E3"/>
    <w:rsid w:val="00081F75"/>
    <w:rsid w:val="000859BA"/>
    <w:rsid w:val="00086AAB"/>
    <w:rsid w:val="00087318"/>
    <w:rsid w:val="000873CD"/>
    <w:rsid w:val="000876BD"/>
    <w:rsid w:val="000902A8"/>
    <w:rsid w:val="000923E8"/>
    <w:rsid w:val="000925FC"/>
    <w:rsid w:val="00092EFD"/>
    <w:rsid w:val="00097281"/>
    <w:rsid w:val="000A105F"/>
    <w:rsid w:val="000A3417"/>
    <w:rsid w:val="000A48F1"/>
    <w:rsid w:val="000B35BA"/>
    <w:rsid w:val="000B7433"/>
    <w:rsid w:val="000C1520"/>
    <w:rsid w:val="000C588B"/>
    <w:rsid w:val="000C5C04"/>
    <w:rsid w:val="000C6375"/>
    <w:rsid w:val="000C7C8D"/>
    <w:rsid w:val="000D1E93"/>
    <w:rsid w:val="000D5CD6"/>
    <w:rsid w:val="000D74B8"/>
    <w:rsid w:val="000E08CA"/>
    <w:rsid w:val="000E0BF3"/>
    <w:rsid w:val="000F0DE0"/>
    <w:rsid w:val="000F1917"/>
    <w:rsid w:val="000F1E4C"/>
    <w:rsid w:val="000F39F8"/>
    <w:rsid w:val="000F41F4"/>
    <w:rsid w:val="0010644E"/>
    <w:rsid w:val="00106A25"/>
    <w:rsid w:val="00110043"/>
    <w:rsid w:val="00110D3D"/>
    <w:rsid w:val="00116F92"/>
    <w:rsid w:val="0012073E"/>
    <w:rsid w:val="00120C0A"/>
    <w:rsid w:val="001260D2"/>
    <w:rsid w:val="00126C55"/>
    <w:rsid w:val="001306AE"/>
    <w:rsid w:val="00131876"/>
    <w:rsid w:val="00134F44"/>
    <w:rsid w:val="00135DE4"/>
    <w:rsid w:val="001364CB"/>
    <w:rsid w:val="001365FB"/>
    <w:rsid w:val="00140EA6"/>
    <w:rsid w:val="001437DA"/>
    <w:rsid w:val="00144876"/>
    <w:rsid w:val="00144EA7"/>
    <w:rsid w:val="001466EE"/>
    <w:rsid w:val="00150366"/>
    <w:rsid w:val="00150454"/>
    <w:rsid w:val="00152708"/>
    <w:rsid w:val="001528C3"/>
    <w:rsid w:val="00152DFB"/>
    <w:rsid w:val="00156896"/>
    <w:rsid w:val="00157C3E"/>
    <w:rsid w:val="00157E8C"/>
    <w:rsid w:val="0016169B"/>
    <w:rsid w:val="00164E9D"/>
    <w:rsid w:val="00165163"/>
    <w:rsid w:val="00165CE5"/>
    <w:rsid w:val="00166069"/>
    <w:rsid w:val="00166A35"/>
    <w:rsid w:val="0017063B"/>
    <w:rsid w:val="0017121D"/>
    <w:rsid w:val="0017273B"/>
    <w:rsid w:val="001729BB"/>
    <w:rsid w:val="0017549F"/>
    <w:rsid w:val="00177FA2"/>
    <w:rsid w:val="00180576"/>
    <w:rsid w:val="0018203B"/>
    <w:rsid w:val="00184CD2"/>
    <w:rsid w:val="00184E59"/>
    <w:rsid w:val="00186FFE"/>
    <w:rsid w:val="0018737C"/>
    <w:rsid w:val="001924F8"/>
    <w:rsid w:val="00192E31"/>
    <w:rsid w:val="001936A2"/>
    <w:rsid w:val="00193D94"/>
    <w:rsid w:val="00194EF3"/>
    <w:rsid w:val="00195DE6"/>
    <w:rsid w:val="001976F6"/>
    <w:rsid w:val="001A0EBB"/>
    <w:rsid w:val="001A2FB2"/>
    <w:rsid w:val="001A3822"/>
    <w:rsid w:val="001A39ED"/>
    <w:rsid w:val="001A423B"/>
    <w:rsid w:val="001A7245"/>
    <w:rsid w:val="001B187B"/>
    <w:rsid w:val="001B1F8E"/>
    <w:rsid w:val="001B6680"/>
    <w:rsid w:val="001B6745"/>
    <w:rsid w:val="001B7387"/>
    <w:rsid w:val="001C037E"/>
    <w:rsid w:val="001C0D70"/>
    <w:rsid w:val="001C231F"/>
    <w:rsid w:val="001C4055"/>
    <w:rsid w:val="001C48D0"/>
    <w:rsid w:val="001D3E63"/>
    <w:rsid w:val="001D4168"/>
    <w:rsid w:val="001D41E0"/>
    <w:rsid w:val="001D4F3A"/>
    <w:rsid w:val="001D56DE"/>
    <w:rsid w:val="001D5C86"/>
    <w:rsid w:val="001D7226"/>
    <w:rsid w:val="001E10A3"/>
    <w:rsid w:val="001E1D6F"/>
    <w:rsid w:val="001E3091"/>
    <w:rsid w:val="001F042E"/>
    <w:rsid w:val="001F07C2"/>
    <w:rsid w:val="001F67FC"/>
    <w:rsid w:val="00200ADB"/>
    <w:rsid w:val="002016F2"/>
    <w:rsid w:val="00201A9D"/>
    <w:rsid w:val="0020296B"/>
    <w:rsid w:val="00202F97"/>
    <w:rsid w:val="00207172"/>
    <w:rsid w:val="0020757A"/>
    <w:rsid w:val="0020766A"/>
    <w:rsid w:val="00210845"/>
    <w:rsid w:val="00210E33"/>
    <w:rsid w:val="00213019"/>
    <w:rsid w:val="002140F2"/>
    <w:rsid w:val="0021465A"/>
    <w:rsid w:val="00215239"/>
    <w:rsid w:val="00215E6B"/>
    <w:rsid w:val="00216A35"/>
    <w:rsid w:val="00223175"/>
    <w:rsid w:val="00223D4D"/>
    <w:rsid w:val="00224133"/>
    <w:rsid w:val="00224675"/>
    <w:rsid w:val="0022553F"/>
    <w:rsid w:val="00225A53"/>
    <w:rsid w:val="00225E9F"/>
    <w:rsid w:val="0023229F"/>
    <w:rsid w:val="0024037D"/>
    <w:rsid w:val="00240AC7"/>
    <w:rsid w:val="00243FBF"/>
    <w:rsid w:val="00246EBD"/>
    <w:rsid w:val="00247D7E"/>
    <w:rsid w:val="002525F4"/>
    <w:rsid w:val="00254092"/>
    <w:rsid w:val="00257915"/>
    <w:rsid w:val="00260B0F"/>
    <w:rsid w:val="00261104"/>
    <w:rsid w:val="002660D4"/>
    <w:rsid w:val="002661E2"/>
    <w:rsid w:val="00266DA0"/>
    <w:rsid w:val="00267BBA"/>
    <w:rsid w:val="00267DC9"/>
    <w:rsid w:val="002716B7"/>
    <w:rsid w:val="00273788"/>
    <w:rsid w:val="002739F7"/>
    <w:rsid w:val="0027583C"/>
    <w:rsid w:val="0028066B"/>
    <w:rsid w:val="002809EA"/>
    <w:rsid w:val="00281CDA"/>
    <w:rsid w:val="00286A96"/>
    <w:rsid w:val="00287597"/>
    <w:rsid w:val="00294799"/>
    <w:rsid w:val="00294F44"/>
    <w:rsid w:val="00295E4C"/>
    <w:rsid w:val="002A07A8"/>
    <w:rsid w:val="002A176A"/>
    <w:rsid w:val="002A17EE"/>
    <w:rsid w:val="002A295F"/>
    <w:rsid w:val="002A4805"/>
    <w:rsid w:val="002A6FD7"/>
    <w:rsid w:val="002A7338"/>
    <w:rsid w:val="002B3E20"/>
    <w:rsid w:val="002B4D6D"/>
    <w:rsid w:val="002C2FF5"/>
    <w:rsid w:val="002C6412"/>
    <w:rsid w:val="002C64A5"/>
    <w:rsid w:val="002D18FD"/>
    <w:rsid w:val="002D3AF6"/>
    <w:rsid w:val="002D775E"/>
    <w:rsid w:val="002E428C"/>
    <w:rsid w:val="002E50E3"/>
    <w:rsid w:val="002E618C"/>
    <w:rsid w:val="002E6D52"/>
    <w:rsid w:val="002E7E38"/>
    <w:rsid w:val="002F1E34"/>
    <w:rsid w:val="002F2C47"/>
    <w:rsid w:val="002F3C8C"/>
    <w:rsid w:val="002F571D"/>
    <w:rsid w:val="002F60AB"/>
    <w:rsid w:val="002F65B1"/>
    <w:rsid w:val="002F6F14"/>
    <w:rsid w:val="0030234B"/>
    <w:rsid w:val="00304B17"/>
    <w:rsid w:val="00304E81"/>
    <w:rsid w:val="003113B6"/>
    <w:rsid w:val="003115E3"/>
    <w:rsid w:val="003116D2"/>
    <w:rsid w:val="00312BB8"/>
    <w:rsid w:val="003144D3"/>
    <w:rsid w:val="00316D1A"/>
    <w:rsid w:val="00316DFF"/>
    <w:rsid w:val="00317D20"/>
    <w:rsid w:val="00321CED"/>
    <w:rsid w:val="003230DA"/>
    <w:rsid w:val="00323B70"/>
    <w:rsid w:val="00326112"/>
    <w:rsid w:val="00327F28"/>
    <w:rsid w:val="00330377"/>
    <w:rsid w:val="00332096"/>
    <w:rsid w:val="00334395"/>
    <w:rsid w:val="003346B0"/>
    <w:rsid w:val="00335EA5"/>
    <w:rsid w:val="00340D96"/>
    <w:rsid w:val="0034268C"/>
    <w:rsid w:val="00342753"/>
    <w:rsid w:val="0034289C"/>
    <w:rsid w:val="0034334E"/>
    <w:rsid w:val="003440B1"/>
    <w:rsid w:val="0034477A"/>
    <w:rsid w:val="003449CD"/>
    <w:rsid w:val="0034657B"/>
    <w:rsid w:val="00350E90"/>
    <w:rsid w:val="00352D8C"/>
    <w:rsid w:val="00353BC2"/>
    <w:rsid w:val="00355203"/>
    <w:rsid w:val="00355A9E"/>
    <w:rsid w:val="00355D72"/>
    <w:rsid w:val="0035666B"/>
    <w:rsid w:val="00357E03"/>
    <w:rsid w:val="00357EFF"/>
    <w:rsid w:val="00361C2C"/>
    <w:rsid w:val="00364695"/>
    <w:rsid w:val="003672F0"/>
    <w:rsid w:val="00370C26"/>
    <w:rsid w:val="00372950"/>
    <w:rsid w:val="00373B1C"/>
    <w:rsid w:val="00374B4A"/>
    <w:rsid w:val="003753C4"/>
    <w:rsid w:val="00381ABA"/>
    <w:rsid w:val="00383E48"/>
    <w:rsid w:val="00383F1F"/>
    <w:rsid w:val="0038416A"/>
    <w:rsid w:val="0039170C"/>
    <w:rsid w:val="0039505C"/>
    <w:rsid w:val="003973A1"/>
    <w:rsid w:val="003A09F7"/>
    <w:rsid w:val="003A6C16"/>
    <w:rsid w:val="003A7AB1"/>
    <w:rsid w:val="003A7BDF"/>
    <w:rsid w:val="003B0682"/>
    <w:rsid w:val="003B5A5D"/>
    <w:rsid w:val="003B5D56"/>
    <w:rsid w:val="003B6205"/>
    <w:rsid w:val="003B6C2F"/>
    <w:rsid w:val="003C0E06"/>
    <w:rsid w:val="003C10D7"/>
    <w:rsid w:val="003C2BA5"/>
    <w:rsid w:val="003C32DD"/>
    <w:rsid w:val="003C46AE"/>
    <w:rsid w:val="003D0B3A"/>
    <w:rsid w:val="003D2107"/>
    <w:rsid w:val="003E0547"/>
    <w:rsid w:val="003E3562"/>
    <w:rsid w:val="003E38C6"/>
    <w:rsid w:val="003E580C"/>
    <w:rsid w:val="003E6168"/>
    <w:rsid w:val="003E6EAE"/>
    <w:rsid w:val="003F0A5C"/>
    <w:rsid w:val="003F2C58"/>
    <w:rsid w:val="003F48FE"/>
    <w:rsid w:val="004014AB"/>
    <w:rsid w:val="00401B95"/>
    <w:rsid w:val="00401CA0"/>
    <w:rsid w:val="00401CF0"/>
    <w:rsid w:val="00402309"/>
    <w:rsid w:val="00410590"/>
    <w:rsid w:val="004120D4"/>
    <w:rsid w:val="004154EB"/>
    <w:rsid w:val="0041552A"/>
    <w:rsid w:val="00416722"/>
    <w:rsid w:val="00417411"/>
    <w:rsid w:val="00422AEA"/>
    <w:rsid w:val="00425522"/>
    <w:rsid w:val="00427128"/>
    <w:rsid w:val="00430216"/>
    <w:rsid w:val="00434B50"/>
    <w:rsid w:val="00436AA2"/>
    <w:rsid w:val="004402B0"/>
    <w:rsid w:val="00440C3F"/>
    <w:rsid w:val="00442EED"/>
    <w:rsid w:val="00445BC8"/>
    <w:rsid w:val="0044702C"/>
    <w:rsid w:val="00447047"/>
    <w:rsid w:val="004517EB"/>
    <w:rsid w:val="00451994"/>
    <w:rsid w:val="00453871"/>
    <w:rsid w:val="00453C92"/>
    <w:rsid w:val="004573B9"/>
    <w:rsid w:val="00457F30"/>
    <w:rsid w:val="00461257"/>
    <w:rsid w:val="00464D32"/>
    <w:rsid w:val="00465CFF"/>
    <w:rsid w:val="00466B07"/>
    <w:rsid w:val="004676CE"/>
    <w:rsid w:val="00473BFB"/>
    <w:rsid w:val="004742FD"/>
    <w:rsid w:val="00475DF6"/>
    <w:rsid w:val="00476FFC"/>
    <w:rsid w:val="0048030E"/>
    <w:rsid w:val="00482500"/>
    <w:rsid w:val="00483141"/>
    <w:rsid w:val="00483E36"/>
    <w:rsid w:val="00483F0D"/>
    <w:rsid w:val="004909C6"/>
    <w:rsid w:val="00491BF1"/>
    <w:rsid w:val="00496F8F"/>
    <w:rsid w:val="00497920"/>
    <w:rsid w:val="0049793A"/>
    <w:rsid w:val="00497B48"/>
    <w:rsid w:val="004A22E6"/>
    <w:rsid w:val="004A3525"/>
    <w:rsid w:val="004A395A"/>
    <w:rsid w:val="004A40B2"/>
    <w:rsid w:val="004A628F"/>
    <w:rsid w:val="004A74BD"/>
    <w:rsid w:val="004B1074"/>
    <w:rsid w:val="004B1D27"/>
    <w:rsid w:val="004B395E"/>
    <w:rsid w:val="004B4637"/>
    <w:rsid w:val="004C05BE"/>
    <w:rsid w:val="004C6FD2"/>
    <w:rsid w:val="004C7258"/>
    <w:rsid w:val="004D0DBF"/>
    <w:rsid w:val="004D5F0C"/>
    <w:rsid w:val="004D7380"/>
    <w:rsid w:val="004E0346"/>
    <w:rsid w:val="004E51E2"/>
    <w:rsid w:val="004E5ED7"/>
    <w:rsid w:val="004F1A11"/>
    <w:rsid w:val="004F2D06"/>
    <w:rsid w:val="004F3608"/>
    <w:rsid w:val="004F3B60"/>
    <w:rsid w:val="004F3E31"/>
    <w:rsid w:val="004F4566"/>
    <w:rsid w:val="004F7464"/>
    <w:rsid w:val="005015CA"/>
    <w:rsid w:val="00504A53"/>
    <w:rsid w:val="00505958"/>
    <w:rsid w:val="005111FF"/>
    <w:rsid w:val="00512F4F"/>
    <w:rsid w:val="00515083"/>
    <w:rsid w:val="00532E53"/>
    <w:rsid w:val="00533F0C"/>
    <w:rsid w:val="005343D8"/>
    <w:rsid w:val="00537B84"/>
    <w:rsid w:val="00537F80"/>
    <w:rsid w:val="0054349D"/>
    <w:rsid w:val="00544B18"/>
    <w:rsid w:val="00546E5B"/>
    <w:rsid w:val="0054726C"/>
    <w:rsid w:val="0054783D"/>
    <w:rsid w:val="00551BB7"/>
    <w:rsid w:val="00552266"/>
    <w:rsid w:val="00560323"/>
    <w:rsid w:val="005672AB"/>
    <w:rsid w:val="00567959"/>
    <w:rsid w:val="005703CD"/>
    <w:rsid w:val="00572533"/>
    <w:rsid w:val="0057356E"/>
    <w:rsid w:val="00576B81"/>
    <w:rsid w:val="00576E46"/>
    <w:rsid w:val="00577350"/>
    <w:rsid w:val="00580AFC"/>
    <w:rsid w:val="00583529"/>
    <w:rsid w:val="00587B8E"/>
    <w:rsid w:val="00587D45"/>
    <w:rsid w:val="005917B2"/>
    <w:rsid w:val="00593014"/>
    <w:rsid w:val="00593AB5"/>
    <w:rsid w:val="005940C0"/>
    <w:rsid w:val="005948D3"/>
    <w:rsid w:val="005961E6"/>
    <w:rsid w:val="005A00E0"/>
    <w:rsid w:val="005A1B61"/>
    <w:rsid w:val="005A2B9C"/>
    <w:rsid w:val="005A62D7"/>
    <w:rsid w:val="005A78AC"/>
    <w:rsid w:val="005B0A8A"/>
    <w:rsid w:val="005B11E2"/>
    <w:rsid w:val="005B16F2"/>
    <w:rsid w:val="005B1AA1"/>
    <w:rsid w:val="005B40D1"/>
    <w:rsid w:val="005B6F6D"/>
    <w:rsid w:val="005C480F"/>
    <w:rsid w:val="005C5851"/>
    <w:rsid w:val="005C6E39"/>
    <w:rsid w:val="005D0B97"/>
    <w:rsid w:val="005D2110"/>
    <w:rsid w:val="005D59FF"/>
    <w:rsid w:val="005D5D2E"/>
    <w:rsid w:val="005D6EDE"/>
    <w:rsid w:val="005D7E24"/>
    <w:rsid w:val="005E2610"/>
    <w:rsid w:val="005E2C05"/>
    <w:rsid w:val="005E3D38"/>
    <w:rsid w:val="005E3FC3"/>
    <w:rsid w:val="005E48F3"/>
    <w:rsid w:val="005E590F"/>
    <w:rsid w:val="005E6786"/>
    <w:rsid w:val="005E7DF4"/>
    <w:rsid w:val="005F0ADC"/>
    <w:rsid w:val="005F3F7A"/>
    <w:rsid w:val="005F427C"/>
    <w:rsid w:val="005F5BF5"/>
    <w:rsid w:val="00600799"/>
    <w:rsid w:val="0060148D"/>
    <w:rsid w:val="00602692"/>
    <w:rsid w:val="00603906"/>
    <w:rsid w:val="00605388"/>
    <w:rsid w:val="00607771"/>
    <w:rsid w:val="0061287A"/>
    <w:rsid w:val="00613A95"/>
    <w:rsid w:val="00614590"/>
    <w:rsid w:val="00614640"/>
    <w:rsid w:val="006153D8"/>
    <w:rsid w:val="00615BEE"/>
    <w:rsid w:val="00616133"/>
    <w:rsid w:val="006170D0"/>
    <w:rsid w:val="00620671"/>
    <w:rsid w:val="006231EC"/>
    <w:rsid w:val="00623BA7"/>
    <w:rsid w:val="00625D3F"/>
    <w:rsid w:val="006307EE"/>
    <w:rsid w:val="00630941"/>
    <w:rsid w:val="00631DE3"/>
    <w:rsid w:val="0063265C"/>
    <w:rsid w:val="00632C8D"/>
    <w:rsid w:val="00632CB6"/>
    <w:rsid w:val="0063437B"/>
    <w:rsid w:val="00634D48"/>
    <w:rsid w:val="0063635F"/>
    <w:rsid w:val="00637977"/>
    <w:rsid w:val="006402EE"/>
    <w:rsid w:val="006406E2"/>
    <w:rsid w:val="00641CFA"/>
    <w:rsid w:val="00641CFE"/>
    <w:rsid w:val="006435F8"/>
    <w:rsid w:val="00647EEB"/>
    <w:rsid w:val="0065295E"/>
    <w:rsid w:val="00653E0A"/>
    <w:rsid w:val="00654722"/>
    <w:rsid w:val="00655B99"/>
    <w:rsid w:val="00656181"/>
    <w:rsid w:val="0065664E"/>
    <w:rsid w:val="00662822"/>
    <w:rsid w:val="00662EFC"/>
    <w:rsid w:val="00663865"/>
    <w:rsid w:val="00664E13"/>
    <w:rsid w:val="00664FCB"/>
    <w:rsid w:val="006666CA"/>
    <w:rsid w:val="00671E01"/>
    <w:rsid w:val="006730A1"/>
    <w:rsid w:val="00674580"/>
    <w:rsid w:val="00674732"/>
    <w:rsid w:val="0068021C"/>
    <w:rsid w:val="00680E69"/>
    <w:rsid w:val="0068153F"/>
    <w:rsid w:val="00682CF1"/>
    <w:rsid w:val="00684A5D"/>
    <w:rsid w:val="00687FF0"/>
    <w:rsid w:val="00690CD1"/>
    <w:rsid w:val="00691401"/>
    <w:rsid w:val="00691CA3"/>
    <w:rsid w:val="0069344A"/>
    <w:rsid w:val="00693707"/>
    <w:rsid w:val="00694864"/>
    <w:rsid w:val="006A108A"/>
    <w:rsid w:val="006A1766"/>
    <w:rsid w:val="006A4AE2"/>
    <w:rsid w:val="006A4DCC"/>
    <w:rsid w:val="006B0FC2"/>
    <w:rsid w:val="006B1F6A"/>
    <w:rsid w:val="006B31C2"/>
    <w:rsid w:val="006B3D5E"/>
    <w:rsid w:val="006B4544"/>
    <w:rsid w:val="006B58B5"/>
    <w:rsid w:val="006B6018"/>
    <w:rsid w:val="006B6C9D"/>
    <w:rsid w:val="006C28A8"/>
    <w:rsid w:val="006C6798"/>
    <w:rsid w:val="006D3792"/>
    <w:rsid w:val="006D4BEB"/>
    <w:rsid w:val="006D53D4"/>
    <w:rsid w:val="006E036F"/>
    <w:rsid w:val="006F0473"/>
    <w:rsid w:val="006F056F"/>
    <w:rsid w:val="006F6D88"/>
    <w:rsid w:val="00700235"/>
    <w:rsid w:val="00702D30"/>
    <w:rsid w:val="00704A2B"/>
    <w:rsid w:val="0070579C"/>
    <w:rsid w:val="0070774C"/>
    <w:rsid w:val="00715820"/>
    <w:rsid w:val="0071648C"/>
    <w:rsid w:val="0071763E"/>
    <w:rsid w:val="00720768"/>
    <w:rsid w:val="00721A2A"/>
    <w:rsid w:val="00723E5E"/>
    <w:rsid w:val="00724F63"/>
    <w:rsid w:val="00725046"/>
    <w:rsid w:val="007250FE"/>
    <w:rsid w:val="0072519B"/>
    <w:rsid w:val="00726B0A"/>
    <w:rsid w:val="00734194"/>
    <w:rsid w:val="007375D4"/>
    <w:rsid w:val="007419EF"/>
    <w:rsid w:val="007423C2"/>
    <w:rsid w:val="00742C3A"/>
    <w:rsid w:val="0074340C"/>
    <w:rsid w:val="00751A6D"/>
    <w:rsid w:val="00752CE8"/>
    <w:rsid w:val="007542B6"/>
    <w:rsid w:val="0075714C"/>
    <w:rsid w:val="007608FE"/>
    <w:rsid w:val="007612FE"/>
    <w:rsid w:val="007614EB"/>
    <w:rsid w:val="00764813"/>
    <w:rsid w:val="00767D0F"/>
    <w:rsid w:val="00773F89"/>
    <w:rsid w:val="007762DC"/>
    <w:rsid w:val="00780DD1"/>
    <w:rsid w:val="0078200D"/>
    <w:rsid w:val="00782451"/>
    <w:rsid w:val="00784900"/>
    <w:rsid w:val="00786CE0"/>
    <w:rsid w:val="007871ED"/>
    <w:rsid w:val="0078731B"/>
    <w:rsid w:val="00791DA9"/>
    <w:rsid w:val="00793ECC"/>
    <w:rsid w:val="007948FD"/>
    <w:rsid w:val="00795E86"/>
    <w:rsid w:val="00796207"/>
    <w:rsid w:val="007A121A"/>
    <w:rsid w:val="007A14E8"/>
    <w:rsid w:val="007A1837"/>
    <w:rsid w:val="007A1AC6"/>
    <w:rsid w:val="007A2791"/>
    <w:rsid w:val="007A3B3D"/>
    <w:rsid w:val="007A3DC7"/>
    <w:rsid w:val="007A4ABE"/>
    <w:rsid w:val="007A63B3"/>
    <w:rsid w:val="007B178B"/>
    <w:rsid w:val="007B3C3D"/>
    <w:rsid w:val="007C08CF"/>
    <w:rsid w:val="007C13EE"/>
    <w:rsid w:val="007C3F75"/>
    <w:rsid w:val="007C53A1"/>
    <w:rsid w:val="007D22FB"/>
    <w:rsid w:val="007D2537"/>
    <w:rsid w:val="007D4C5E"/>
    <w:rsid w:val="007E2864"/>
    <w:rsid w:val="007E2907"/>
    <w:rsid w:val="007F1361"/>
    <w:rsid w:val="007F1CD8"/>
    <w:rsid w:val="007F2B42"/>
    <w:rsid w:val="007F2BF4"/>
    <w:rsid w:val="007F2C5F"/>
    <w:rsid w:val="007F63C5"/>
    <w:rsid w:val="007F6959"/>
    <w:rsid w:val="007F7252"/>
    <w:rsid w:val="007F7970"/>
    <w:rsid w:val="007F7E31"/>
    <w:rsid w:val="007F7FA5"/>
    <w:rsid w:val="008037ED"/>
    <w:rsid w:val="00804AA1"/>
    <w:rsid w:val="00806819"/>
    <w:rsid w:val="00811F3B"/>
    <w:rsid w:val="00816B2D"/>
    <w:rsid w:val="00820FA1"/>
    <w:rsid w:val="00821B44"/>
    <w:rsid w:val="00821F19"/>
    <w:rsid w:val="00822408"/>
    <w:rsid w:val="00826954"/>
    <w:rsid w:val="00830FB9"/>
    <w:rsid w:val="00831FD9"/>
    <w:rsid w:val="00833548"/>
    <w:rsid w:val="00834002"/>
    <w:rsid w:val="00840115"/>
    <w:rsid w:val="0084096F"/>
    <w:rsid w:val="00844EAE"/>
    <w:rsid w:val="00846737"/>
    <w:rsid w:val="00846F1E"/>
    <w:rsid w:val="00847A71"/>
    <w:rsid w:val="008514C1"/>
    <w:rsid w:val="0085289E"/>
    <w:rsid w:val="00864BF4"/>
    <w:rsid w:val="00870883"/>
    <w:rsid w:val="0087398D"/>
    <w:rsid w:val="00874F21"/>
    <w:rsid w:val="00880B4A"/>
    <w:rsid w:val="00881528"/>
    <w:rsid w:val="0088197C"/>
    <w:rsid w:val="00881DFC"/>
    <w:rsid w:val="00882339"/>
    <w:rsid w:val="00884BA7"/>
    <w:rsid w:val="0088602F"/>
    <w:rsid w:val="00886109"/>
    <w:rsid w:val="00887386"/>
    <w:rsid w:val="008903D2"/>
    <w:rsid w:val="00892A50"/>
    <w:rsid w:val="008937EF"/>
    <w:rsid w:val="00895C41"/>
    <w:rsid w:val="008964FC"/>
    <w:rsid w:val="008974A1"/>
    <w:rsid w:val="008A05B1"/>
    <w:rsid w:val="008A2313"/>
    <w:rsid w:val="008A4B63"/>
    <w:rsid w:val="008A590B"/>
    <w:rsid w:val="008A6117"/>
    <w:rsid w:val="008A61A2"/>
    <w:rsid w:val="008A7D84"/>
    <w:rsid w:val="008B0371"/>
    <w:rsid w:val="008B0DAF"/>
    <w:rsid w:val="008B2E2C"/>
    <w:rsid w:val="008B371E"/>
    <w:rsid w:val="008B3EF7"/>
    <w:rsid w:val="008B4AFD"/>
    <w:rsid w:val="008B76EA"/>
    <w:rsid w:val="008B7850"/>
    <w:rsid w:val="008C175B"/>
    <w:rsid w:val="008C20B5"/>
    <w:rsid w:val="008C393E"/>
    <w:rsid w:val="008C753A"/>
    <w:rsid w:val="008C7FAD"/>
    <w:rsid w:val="008D203D"/>
    <w:rsid w:val="008D77C5"/>
    <w:rsid w:val="008D7854"/>
    <w:rsid w:val="008E086E"/>
    <w:rsid w:val="008E2186"/>
    <w:rsid w:val="008E2E67"/>
    <w:rsid w:val="008E302A"/>
    <w:rsid w:val="008E34A3"/>
    <w:rsid w:val="008E3601"/>
    <w:rsid w:val="008E41CC"/>
    <w:rsid w:val="008F0481"/>
    <w:rsid w:val="008F10B9"/>
    <w:rsid w:val="008F1836"/>
    <w:rsid w:val="008F51EB"/>
    <w:rsid w:val="008F6B82"/>
    <w:rsid w:val="008F7BA3"/>
    <w:rsid w:val="00900BA3"/>
    <w:rsid w:val="00901FCB"/>
    <w:rsid w:val="00902621"/>
    <w:rsid w:val="0090352E"/>
    <w:rsid w:val="009054ED"/>
    <w:rsid w:val="00905B3B"/>
    <w:rsid w:val="0091565E"/>
    <w:rsid w:val="00915BB8"/>
    <w:rsid w:val="00917A6A"/>
    <w:rsid w:val="00917F7E"/>
    <w:rsid w:val="00921E26"/>
    <w:rsid w:val="00922781"/>
    <w:rsid w:val="00923DDA"/>
    <w:rsid w:val="00924A61"/>
    <w:rsid w:val="00924B57"/>
    <w:rsid w:val="00926A82"/>
    <w:rsid w:val="00932898"/>
    <w:rsid w:val="0093569C"/>
    <w:rsid w:val="0094243D"/>
    <w:rsid w:val="00942539"/>
    <w:rsid w:val="00943903"/>
    <w:rsid w:val="00943969"/>
    <w:rsid w:val="009446E2"/>
    <w:rsid w:val="00952246"/>
    <w:rsid w:val="0095289C"/>
    <w:rsid w:val="0095409A"/>
    <w:rsid w:val="009543A4"/>
    <w:rsid w:val="0095490F"/>
    <w:rsid w:val="0095760E"/>
    <w:rsid w:val="00957A17"/>
    <w:rsid w:val="009644D6"/>
    <w:rsid w:val="00964B58"/>
    <w:rsid w:val="009659D9"/>
    <w:rsid w:val="009673B5"/>
    <w:rsid w:val="00971089"/>
    <w:rsid w:val="00971A91"/>
    <w:rsid w:val="009727AF"/>
    <w:rsid w:val="00974CA8"/>
    <w:rsid w:val="009757D4"/>
    <w:rsid w:val="00976D54"/>
    <w:rsid w:val="00977128"/>
    <w:rsid w:val="00982B61"/>
    <w:rsid w:val="00983E78"/>
    <w:rsid w:val="0099202F"/>
    <w:rsid w:val="00992A73"/>
    <w:rsid w:val="00992D0F"/>
    <w:rsid w:val="00994EAB"/>
    <w:rsid w:val="0099511F"/>
    <w:rsid w:val="00996B19"/>
    <w:rsid w:val="009971B4"/>
    <w:rsid w:val="00997BA3"/>
    <w:rsid w:val="009A08E3"/>
    <w:rsid w:val="009A4EE9"/>
    <w:rsid w:val="009B44D6"/>
    <w:rsid w:val="009C40B9"/>
    <w:rsid w:val="009C5427"/>
    <w:rsid w:val="009C5F2F"/>
    <w:rsid w:val="009C767E"/>
    <w:rsid w:val="009D232C"/>
    <w:rsid w:val="009D72AD"/>
    <w:rsid w:val="009D7602"/>
    <w:rsid w:val="009E0F39"/>
    <w:rsid w:val="009E1654"/>
    <w:rsid w:val="009E250D"/>
    <w:rsid w:val="009E252E"/>
    <w:rsid w:val="009E4A5A"/>
    <w:rsid w:val="009F0305"/>
    <w:rsid w:val="009F1C59"/>
    <w:rsid w:val="009F4AD9"/>
    <w:rsid w:val="009F4C6A"/>
    <w:rsid w:val="009F514D"/>
    <w:rsid w:val="009F65D8"/>
    <w:rsid w:val="009F73DC"/>
    <w:rsid w:val="009F7491"/>
    <w:rsid w:val="00A02329"/>
    <w:rsid w:val="00A0689A"/>
    <w:rsid w:val="00A0741D"/>
    <w:rsid w:val="00A07F27"/>
    <w:rsid w:val="00A1038E"/>
    <w:rsid w:val="00A13C55"/>
    <w:rsid w:val="00A15EED"/>
    <w:rsid w:val="00A173FD"/>
    <w:rsid w:val="00A20F0B"/>
    <w:rsid w:val="00A214F5"/>
    <w:rsid w:val="00A2222D"/>
    <w:rsid w:val="00A253DA"/>
    <w:rsid w:val="00A271B0"/>
    <w:rsid w:val="00A30E40"/>
    <w:rsid w:val="00A33B82"/>
    <w:rsid w:val="00A3495E"/>
    <w:rsid w:val="00A355E9"/>
    <w:rsid w:val="00A43C71"/>
    <w:rsid w:val="00A44746"/>
    <w:rsid w:val="00A451BB"/>
    <w:rsid w:val="00A46AE4"/>
    <w:rsid w:val="00A510AC"/>
    <w:rsid w:val="00A52594"/>
    <w:rsid w:val="00A5603D"/>
    <w:rsid w:val="00A56CD2"/>
    <w:rsid w:val="00A60B67"/>
    <w:rsid w:val="00A6442B"/>
    <w:rsid w:val="00A65370"/>
    <w:rsid w:val="00A66325"/>
    <w:rsid w:val="00A67F0D"/>
    <w:rsid w:val="00A70206"/>
    <w:rsid w:val="00A725E5"/>
    <w:rsid w:val="00A743EF"/>
    <w:rsid w:val="00A74F49"/>
    <w:rsid w:val="00A7767C"/>
    <w:rsid w:val="00A80EAC"/>
    <w:rsid w:val="00A82D08"/>
    <w:rsid w:val="00A830CC"/>
    <w:rsid w:val="00A8578C"/>
    <w:rsid w:val="00A860BE"/>
    <w:rsid w:val="00A9168F"/>
    <w:rsid w:val="00A91A2E"/>
    <w:rsid w:val="00A9288A"/>
    <w:rsid w:val="00A92FD0"/>
    <w:rsid w:val="00A93E04"/>
    <w:rsid w:val="00A94F8A"/>
    <w:rsid w:val="00A957F0"/>
    <w:rsid w:val="00AA0644"/>
    <w:rsid w:val="00AA0F9D"/>
    <w:rsid w:val="00AB2A50"/>
    <w:rsid w:val="00AB2D81"/>
    <w:rsid w:val="00AB4D12"/>
    <w:rsid w:val="00AB7BE4"/>
    <w:rsid w:val="00AC1DC8"/>
    <w:rsid w:val="00AC3A32"/>
    <w:rsid w:val="00AC433C"/>
    <w:rsid w:val="00AC6029"/>
    <w:rsid w:val="00AC624F"/>
    <w:rsid w:val="00AC6BFC"/>
    <w:rsid w:val="00AD189D"/>
    <w:rsid w:val="00AD191A"/>
    <w:rsid w:val="00AD1BE9"/>
    <w:rsid w:val="00AE11D4"/>
    <w:rsid w:val="00AE2330"/>
    <w:rsid w:val="00AE477F"/>
    <w:rsid w:val="00AE72D6"/>
    <w:rsid w:val="00AF08C9"/>
    <w:rsid w:val="00AF09B4"/>
    <w:rsid w:val="00AF0E53"/>
    <w:rsid w:val="00AF282B"/>
    <w:rsid w:val="00AF3CA1"/>
    <w:rsid w:val="00AF4780"/>
    <w:rsid w:val="00AF66FE"/>
    <w:rsid w:val="00AF6841"/>
    <w:rsid w:val="00B000D6"/>
    <w:rsid w:val="00B02DEC"/>
    <w:rsid w:val="00B0710A"/>
    <w:rsid w:val="00B10256"/>
    <w:rsid w:val="00B1162C"/>
    <w:rsid w:val="00B17265"/>
    <w:rsid w:val="00B2138E"/>
    <w:rsid w:val="00B24BCB"/>
    <w:rsid w:val="00B24E80"/>
    <w:rsid w:val="00B25843"/>
    <w:rsid w:val="00B2634A"/>
    <w:rsid w:val="00B26742"/>
    <w:rsid w:val="00B275EE"/>
    <w:rsid w:val="00B27C8C"/>
    <w:rsid w:val="00B347ED"/>
    <w:rsid w:val="00B363F7"/>
    <w:rsid w:val="00B366B6"/>
    <w:rsid w:val="00B36A58"/>
    <w:rsid w:val="00B43D66"/>
    <w:rsid w:val="00B4432C"/>
    <w:rsid w:val="00B47E12"/>
    <w:rsid w:val="00B51638"/>
    <w:rsid w:val="00B5403C"/>
    <w:rsid w:val="00B546D3"/>
    <w:rsid w:val="00B55F8D"/>
    <w:rsid w:val="00B6415A"/>
    <w:rsid w:val="00B657D1"/>
    <w:rsid w:val="00B708B2"/>
    <w:rsid w:val="00B718A1"/>
    <w:rsid w:val="00B737A5"/>
    <w:rsid w:val="00B758BD"/>
    <w:rsid w:val="00B75CDE"/>
    <w:rsid w:val="00B760AE"/>
    <w:rsid w:val="00B76915"/>
    <w:rsid w:val="00B76F15"/>
    <w:rsid w:val="00B77824"/>
    <w:rsid w:val="00B80C2A"/>
    <w:rsid w:val="00B81C19"/>
    <w:rsid w:val="00B83EC4"/>
    <w:rsid w:val="00B86013"/>
    <w:rsid w:val="00B90D67"/>
    <w:rsid w:val="00B930A3"/>
    <w:rsid w:val="00B934F3"/>
    <w:rsid w:val="00B950C8"/>
    <w:rsid w:val="00BA13E5"/>
    <w:rsid w:val="00BA572A"/>
    <w:rsid w:val="00BA5BAE"/>
    <w:rsid w:val="00BA7565"/>
    <w:rsid w:val="00BA7777"/>
    <w:rsid w:val="00BB1887"/>
    <w:rsid w:val="00BB33DA"/>
    <w:rsid w:val="00BB5E95"/>
    <w:rsid w:val="00BB640B"/>
    <w:rsid w:val="00BB7C1C"/>
    <w:rsid w:val="00BC167B"/>
    <w:rsid w:val="00BC2A02"/>
    <w:rsid w:val="00BC2FD5"/>
    <w:rsid w:val="00BC38DB"/>
    <w:rsid w:val="00BC58A6"/>
    <w:rsid w:val="00BC5982"/>
    <w:rsid w:val="00BC649B"/>
    <w:rsid w:val="00BC679B"/>
    <w:rsid w:val="00BC7446"/>
    <w:rsid w:val="00BD0645"/>
    <w:rsid w:val="00BD0857"/>
    <w:rsid w:val="00BD2C45"/>
    <w:rsid w:val="00BD5EE4"/>
    <w:rsid w:val="00BE0909"/>
    <w:rsid w:val="00BE417F"/>
    <w:rsid w:val="00BE6410"/>
    <w:rsid w:val="00BE6EB9"/>
    <w:rsid w:val="00BF0C2F"/>
    <w:rsid w:val="00BF27B8"/>
    <w:rsid w:val="00BF7D41"/>
    <w:rsid w:val="00C044C2"/>
    <w:rsid w:val="00C053EF"/>
    <w:rsid w:val="00C06B67"/>
    <w:rsid w:val="00C075EE"/>
    <w:rsid w:val="00C07B9D"/>
    <w:rsid w:val="00C10AAE"/>
    <w:rsid w:val="00C14FF5"/>
    <w:rsid w:val="00C17A1D"/>
    <w:rsid w:val="00C17F71"/>
    <w:rsid w:val="00C24653"/>
    <w:rsid w:val="00C2782A"/>
    <w:rsid w:val="00C31544"/>
    <w:rsid w:val="00C32C7A"/>
    <w:rsid w:val="00C33E9D"/>
    <w:rsid w:val="00C34F7B"/>
    <w:rsid w:val="00C36005"/>
    <w:rsid w:val="00C36084"/>
    <w:rsid w:val="00C36A94"/>
    <w:rsid w:val="00C36B9C"/>
    <w:rsid w:val="00C40B72"/>
    <w:rsid w:val="00C44B61"/>
    <w:rsid w:val="00C45050"/>
    <w:rsid w:val="00C45D17"/>
    <w:rsid w:val="00C50739"/>
    <w:rsid w:val="00C51E97"/>
    <w:rsid w:val="00C53819"/>
    <w:rsid w:val="00C561D2"/>
    <w:rsid w:val="00C5659A"/>
    <w:rsid w:val="00C56FBA"/>
    <w:rsid w:val="00C60F39"/>
    <w:rsid w:val="00C62777"/>
    <w:rsid w:val="00C64329"/>
    <w:rsid w:val="00C65B1D"/>
    <w:rsid w:val="00C66E9E"/>
    <w:rsid w:val="00C702CE"/>
    <w:rsid w:val="00C709D7"/>
    <w:rsid w:val="00C72113"/>
    <w:rsid w:val="00C72251"/>
    <w:rsid w:val="00C72705"/>
    <w:rsid w:val="00C72BBA"/>
    <w:rsid w:val="00C7486F"/>
    <w:rsid w:val="00C74E2E"/>
    <w:rsid w:val="00C75017"/>
    <w:rsid w:val="00C76BA8"/>
    <w:rsid w:val="00C82D56"/>
    <w:rsid w:val="00C8460E"/>
    <w:rsid w:val="00C859FA"/>
    <w:rsid w:val="00C86F78"/>
    <w:rsid w:val="00C905B8"/>
    <w:rsid w:val="00C90DD8"/>
    <w:rsid w:val="00C93E93"/>
    <w:rsid w:val="00C952E4"/>
    <w:rsid w:val="00C95A38"/>
    <w:rsid w:val="00C95D2E"/>
    <w:rsid w:val="00C9661A"/>
    <w:rsid w:val="00C97BCF"/>
    <w:rsid w:val="00CA110A"/>
    <w:rsid w:val="00CA1852"/>
    <w:rsid w:val="00CA43DC"/>
    <w:rsid w:val="00CA5243"/>
    <w:rsid w:val="00CB07C9"/>
    <w:rsid w:val="00CB6EDD"/>
    <w:rsid w:val="00CB73F7"/>
    <w:rsid w:val="00CC00DA"/>
    <w:rsid w:val="00CC211B"/>
    <w:rsid w:val="00CC2FCA"/>
    <w:rsid w:val="00CC4127"/>
    <w:rsid w:val="00CC44D8"/>
    <w:rsid w:val="00CC48E1"/>
    <w:rsid w:val="00CC55C2"/>
    <w:rsid w:val="00CC5C25"/>
    <w:rsid w:val="00CD12C9"/>
    <w:rsid w:val="00CD195A"/>
    <w:rsid w:val="00CD4D5F"/>
    <w:rsid w:val="00CE117B"/>
    <w:rsid w:val="00CE7A0C"/>
    <w:rsid w:val="00CF0C94"/>
    <w:rsid w:val="00CF0EAE"/>
    <w:rsid w:val="00CF3775"/>
    <w:rsid w:val="00CF4448"/>
    <w:rsid w:val="00CF6E57"/>
    <w:rsid w:val="00D00EE8"/>
    <w:rsid w:val="00D02A8B"/>
    <w:rsid w:val="00D03336"/>
    <w:rsid w:val="00D048B5"/>
    <w:rsid w:val="00D04EC9"/>
    <w:rsid w:val="00D1069A"/>
    <w:rsid w:val="00D10B6B"/>
    <w:rsid w:val="00D111B5"/>
    <w:rsid w:val="00D122ED"/>
    <w:rsid w:val="00D12693"/>
    <w:rsid w:val="00D132FF"/>
    <w:rsid w:val="00D13FC7"/>
    <w:rsid w:val="00D1415F"/>
    <w:rsid w:val="00D1452F"/>
    <w:rsid w:val="00D16BC2"/>
    <w:rsid w:val="00D17389"/>
    <w:rsid w:val="00D20618"/>
    <w:rsid w:val="00D2299E"/>
    <w:rsid w:val="00D22B40"/>
    <w:rsid w:val="00D232AA"/>
    <w:rsid w:val="00D24766"/>
    <w:rsid w:val="00D2636B"/>
    <w:rsid w:val="00D3023E"/>
    <w:rsid w:val="00D306D8"/>
    <w:rsid w:val="00D30D0F"/>
    <w:rsid w:val="00D32245"/>
    <w:rsid w:val="00D40D05"/>
    <w:rsid w:val="00D425A8"/>
    <w:rsid w:val="00D44C05"/>
    <w:rsid w:val="00D44FD4"/>
    <w:rsid w:val="00D46007"/>
    <w:rsid w:val="00D46DC6"/>
    <w:rsid w:val="00D50256"/>
    <w:rsid w:val="00D5161D"/>
    <w:rsid w:val="00D51CF6"/>
    <w:rsid w:val="00D53F89"/>
    <w:rsid w:val="00D54DF8"/>
    <w:rsid w:val="00D5669D"/>
    <w:rsid w:val="00D56E8E"/>
    <w:rsid w:val="00D579ED"/>
    <w:rsid w:val="00D60219"/>
    <w:rsid w:val="00D60D25"/>
    <w:rsid w:val="00D63DD0"/>
    <w:rsid w:val="00D67003"/>
    <w:rsid w:val="00D67297"/>
    <w:rsid w:val="00D71991"/>
    <w:rsid w:val="00D754A0"/>
    <w:rsid w:val="00D77CC0"/>
    <w:rsid w:val="00D81701"/>
    <w:rsid w:val="00D83C8A"/>
    <w:rsid w:val="00D86601"/>
    <w:rsid w:val="00D872B8"/>
    <w:rsid w:val="00D87DD0"/>
    <w:rsid w:val="00D91064"/>
    <w:rsid w:val="00D91880"/>
    <w:rsid w:val="00D9324A"/>
    <w:rsid w:val="00DA2398"/>
    <w:rsid w:val="00DA3E7A"/>
    <w:rsid w:val="00DA5222"/>
    <w:rsid w:val="00DA5FBC"/>
    <w:rsid w:val="00DA66B3"/>
    <w:rsid w:val="00DA7AEC"/>
    <w:rsid w:val="00DB00AE"/>
    <w:rsid w:val="00DB06F6"/>
    <w:rsid w:val="00DB233A"/>
    <w:rsid w:val="00DB4707"/>
    <w:rsid w:val="00DB707C"/>
    <w:rsid w:val="00DC11B7"/>
    <w:rsid w:val="00DC2392"/>
    <w:rsid w:val="00DC25EB"/>
    <w:rsid w:val="00DC3C58"/>
    <w:rsid w:val="00DC4DEB"/>
    <w:rsid w:val="00DC551B"/>
    <w:rsid w:val="00DC6741"/>
    <w:rsid w:val="00DC6A8E"/>
    <w:rsid w:val="00DD0353"/>
    <w:rsid w:val="00DD089F"/>
    <w:rsid w:val="00DD09C2"/>
    <w:rsid w:val="00DD2B44"/>
    <w:rsid w:val="00DD44D4"/>
    <w:rsid w:val="00DD7CCF"/>
    <w:rsid w:val="00DE14A0"/>
    <w:rsid w:val="00DE1EA8"/>
    <w:rsid w:val="00DE33B1"/>
    <w:rsid w:val="00DE57DF"/>
    <w:rsid w:val="00DE5E9E"/>
    <w:rsid w:val="00DE608F"/>
    <w:rsid w:val="00DF0298"/>
    <w:rsid w:val="00DF1401"/>
    <w:rsid w:val="00DF5EC1"/>
    <w:rsid w:val="00E001D1"/>
    <w:rsid w:val="00E025D6"/>
    <w:rsid w:val="00E02892"/>
    <w:rsid w:val="00E02EDC"/>
    <w:rsid w:val="00E03F7D"/>
    <w:rsid w:val="00E059B3"/>
    <w:rsid w:val="00E06690"/>
    <w:rsid w:val="00E10CF5"/>
    <w:rsid w:val="00E1277C"/>
    <w:rsid w:val="00E13A45"/>
    <w:rsid w:val="00E202E2"/>
    <w:rsid w:val="00E26090"/>
    <w:rsid w:val="00E30212"/>
    <w:rsid w:val="00E36D1D"/>
    <w:rsid w:val="00E37A9C"/>
    <w:rsid w:val="00E37CB2"/>
    <w:rsid w:val="00E40237"/>
    <w:rsid w:val="00E4137B"/>
    <w:rsid w:val="00E44478"/>
    <w:rsid w:val="00E45D98"/>
    <w:rsid w:val="00E4752B"/>
    <w:rsid w:val="00E52A3E"/>
    <w:rsid w:val="00E577E5"/>
    <w:rsid w:val="00E57D05"/>
    <w:rsid w:val="00E6133A"/>
    <w:rsid w:val="00E65720"/>
    <w:rsid w:val="00E65F45"/>
    <w:rsid w:val="00E678FF"/>
    <w:rsid w:val="00E71570"/>
    <w:rsid w:val="00E71B3E"/>
    <w:rsid w:val="00E7444E"/>
    <w:rsid w:val="00E76990"/>
    <w:rsid w:val="00E81166"/>
    <w:rsid w:val="00E81FF6"/>
    <w:rsid w:val="00E8299C"/>
    <w:rsid w:val="00E85A9D"/>
    <w:rsid w:val="00E9196A"/>
    <w:rsid w:val="00E91CC6"/>
    <w:rsid w:val="00E964C5"/>
    <w:rsid w:val="00E97370"/>
    <w:rsid w:val="00EA43EE"/>
    <w:rsid w:val="00EA4A48"/>
    <w:rsid w:val="00EA5133"/>
    <w:rsid w:val="00EA597C"/>
    <w:rsid w:val="00EA63C9"/>
    <w:rsid w:val="00EA6A64"/>
    <w:rsid w:val="00EA7FD5"/>
    <w:rsid w:val="00EB11E4"/>
    <w:rsid w:val="00EB2236"/>
    <w:rsid w:val="00EB320B"/>
    <w:rsid w:val="00EB4044"/>
    <w:rsid w:val="00EB5724"/>
    <w:rsid w:val="00EC06B9"/>
    <w:rsid w:val="00EC1AF2"/>
    <w:rsid w:val="00EC2655"/>
    <w:rsid w:val="00EC2840"/>
    <w:rsid w:val="00EC34DB"/>
    <w:rsid w:val="00EC5560"/>
    <w:rsid w:val="00EC5D18"/>
    <w:rsid w:val="00EC6EE6"/>
    <w:rsid w:val="00ED15C4"/>
    <w:rsid w:val="00ED15D1"/>
    <w:rsid w:val="00ED25BE"/>
    <w:rsid w:val="00ED376E"/>
    <w:rsid w:val="00ED414B"/>
    <w:rsid w:val="00ED50C5"/>
    <w:rsid w:val="00ED5C2A"/>
    <w:rsid w:val="00ED7338"/>
    <w:rsid w:val="00EE038D"/>
    <w:rsid w:val="00EE1638"/>
    <w:rsid w:val="00EE48D1"/>
    <w:rsid w:val="00EE4A02"/>
    <w:rsid w:val="00EF1CF9"/>
    <w:rsid w:val="00EF1EAC"/>
    <w:rsid w:val="00EF4949"/>
    <w:rsid w:val="00EF5C81"/>
    <w:rsid w:val="00EF7803"/>
    <w:rsid w:val="00F00327"/>
    <w:rsid w:val="00F003F0"/>
    <w:rsid w:val="00F0185D"/>
    <w:rsid w:val="00F026D1"/>
    <w:rsid w:val="00F03762"/>
    <w:rsid w:val="00F04752"/>
    <w:rsid w:val="00F10A35"/>
    <w:rsid w:val="00F13E0F"/>
    <w:rsid w:val="00F15B7B"/>
    <w:rsid w:val="00F178BA"/>
    <w:rsid w:val="00F236B6"/>
    <w:rsid w:val="00F255C0"/>
    <w:rsid w:val="00F25E6A"/>
    <w:rsid w:val="00F26226"/>
    <w:rsid w:val="00F312FD"/>
    <w:rsid w:val="00F31CC5"/>
    <w:rsid w:val="00F31F2F"/>
    <w:rsid w:val="00F342F8"/>
    <w:rsid w:val="00F34333"/>
    <w:rsid w:val="00F362EC"/>
    <w:rsid w:val="00F377B0"/>
    <w:rsid w:val="00F4194F"/>
    <w:rsid w:val="00F422B0"/>
    <w:rsid w:val="00F42637"/>
    <w:rsid w:val="00F43FBC"/>
    <w:rsid w:val="00F44A13"/>
    <w:rsid w:val="00F46D57"/>
    <w:rsid w:val="00F502D6"/>
    <w:rsid w:val="00F5086F"/>
    <w:rsid w:val="00F5136E"/>
    <w:rsid w:val="00F52775"/>
    <w:rsid w:val="00F545D0"/>
    <w:rsid w:val="00F55E77"/>
    <w:rsid w:val="00F56D96"/>
    <w:rsid w:val="00F613DB"/>
    <w:rsid w:val="00F62494"/>
    <w:rsid w:val="00F64923"/>
    <w:rsid w:val="00F64C3F"/>
    <w:rsid w:val="00F66E36"/>
    <w:rsid w:val="00F675F0"/>
    <w:rsid w:val="00F70D5E"/>
    <w:rsid w:val="00F71DA4"/>
    <w:rsid w:val="00F72436"/>
    <w:rsid w:val="00F745A5"/>
    <w:rsid w:val="00F7553A"/>
    <w:rsid w:val="00F75FBD"/>
    <w:rsid w:val="00F7766E"/>
    <w:rsid w:val="00F776B4"/>
    <w:rsid w:val="00F80F12"/>
    <w:rsid w:val="00F81E25"/>
    <w:rsid w:val="00F8360C"/>
    <w:rsid w:val="00F8428F"/>
    <w:rsid w:val="00F86367"/>
    <w:rsid w:val="00F86A88"/>
    <w:rsid w:val="00F965D6"/>
    <w:rsid w:val="00FA07A4"/>
    <w:rsid w:val="00FA186E"/>
    <w:rsid w:val="00FA1B22"/>
    <w:rsid w:val="00FA48AC"/>
    <w:rsid w:val="00FA50C2"/>
    <w:rsid w:val="00FA56CC"/>
    <w:rsid w:val="00FA7561"/>
    <w:rsid w:val="00FB02A3"/>
    <w:rsid w:val="00FB1060"/>
    <w:rsid w:val="00FB2462"/>
    <w:rsid w:val="00FB688E"/>
    <w:rsid w:val="00FC03F3"/>
    <w:rsid w:val="00FC0C20"/>
    <w:rsid w:val="00FC7CD3"/>
    <w:rsid w:val="00FD06B4"/>
    <w:rsid w:val="00FD1690"/>
    <w:rsid w:val="00FD186D"/>
    <w:rsid w:val="00FD4AA8"/>
    <w:rsid w:val="00FD7B02"/>
    <w:rsid w:val="00FE0B17"/>
    <w:rsid w:val="00FE0F9F"/>
    <w:rsid w:val="00FE542F"/>
    <w:rsid w:val="00FE6288"/>
    <w:rsid w:val="00FF1F1E"/>
    <w:rsid w:val="00FF22F8"/>
    <w:rsid w:val="00FF3AB2"/>
    <w:rsid w:val="00FF40BE"/>
    <w:rsid w:val="00FF5810"/>
    <w:rsid w:val="00FF7D75"/>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34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uiPriority="0" w:qFormat="1"/>
    <w:lsdException w:name="heading 3" w:uiPriority="0" w:qFormat="1"/>
    <w:lsdException w:name="heading 4" w:uiPriority="9" w:qFormat="1"/>
    <w:lsdException w:name="heading 5" w:locked="0" w:semiHidden="0" w:uiPriority="9" w:unhideWhenUsed="0" w:qFormat="1"/>
    <w:lsdException w:name="heading 6" w:locked="0" w:semiHidden="0" w:uiPriority="9" w:unhideWhenUsed="0"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lsdException w:name="annotation text" w:uiPriority="0"/>
    <w:lsdException w:name="header" w:uiPriority="0"/>
    <w:lsdException w:name="footer" w:locked="0" w:uiPriority="0"/>
    <w:lsdException w:name="caption" w:semiHidden="0" w:uiPriority="35" w:unhideWhenUsed="0" w:qFormat="1"/>
    <w:lsdException w:name="footnote reference" w:locked="0"/>
    <w:lsdException w:name="annotation reference" w:uiPriority="0"/>
    <w:lsdException w:name="page number" w:locked="0" w:uiPriority="0"/>
    <w:lsdException w:name="endnote reference" w:uiPriority="0"/>
    <w:lsdException w:name="endnote text" w:uiPriority="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FollowedHyperlink" w:uiPriority="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uiPriority="0"/>
    <w:lsdException w:name="No List" w:locked="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AERbodytext"/>
    <w:qFormat/>
    <w:rsid w:val="009E0F39"/>
    <w:pPr>
      <w:spacing w:line="288" w:lineRule="auto"/>
      <w:jc w:val="both"/>
    </w:pPr>
    <w:rPr>
      <w:rFonts w:ascii="Gautami" w:eastAsia="Times New Roman" w:hAnsi="Gautami"/>
      <w:szCs w:val="24"/>
    </w:rPr>
  </w:style>
  <w:style w:type="paragraph" w:styleId="Heading1">
    <w:name w:val="heading 1"/>
    <w:basedOn w:val="Normal"/>
    <w:next w:val="Normal"/>
    <w:uiPriority w:val="9"/>
    <w:qFormat/>
    <w:locked/>
    <w:rsid w:val="009E0F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locked/>
    <w:rsid w:val="00BC679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BC679B"/>
    <w:pPr>
      <w:keepNext/>
      <w:spacing w:before="240" w:after="60"/>
      <w:outlineLvl w:val="2"/>
    </w:pPr>
    <w:rPr>
      <w:rFonts w:ascii="Arial" w:hAnsi="Arial" w:cs="Arial"/>
      <w:b/>
      <w:bCs/>
      <w:sz w:val="26"/>
      <w:szCs w:val="26"/>
    </w:rPr>
  </w:style>
  <w:style w:type="paragraph" w:styleId="Heading5">
    <w:name w:val="heading 5"/>
    <w:basedOn w:val="Normal"/>
    <w:next w:val="Normal"/>
    <w:uiPriority w:val="9"/>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AERfigureheading"/>
    <w:next w:val="Normal"/>
    <w:rsid w:val="00C17F71"/>
    <w:pPr>
      <w:numPr>
        <w:ilvl w:val="4"/>
      </w:numPr>
      <w:tabs>
        <w:tab w:val="clear" w:pos="357"/>
        <w:tab w:val="num" w:pos="1440"/>
      </w:tabs>
      <w:ind w:left="1440" w:hanging="1440"/>
    </w:pPr>
  </w:style>
  <w:style w:type="paragraph" w:customStyle="1" w:styleId="AERfigureheading">
    <w:name w:val="AER figure heading"/>
    <w:basedOn w:val="Normal"/>
    <w:next w:val="AERbodytext"/>
    <w:rsid w:val="00C17F71"/>
    <w:pPr>
      <w:keepNext/>
      <w:numPr>
        <w:ilvl w:val="3"/>
        <w:numId w:val="7"/>
      </w:numPr>
      <w:tabs>
        <w:tab w:val="clear" w:pos="357"/>
        <w:tab w:val="num" w:pos="1440"/>
      </w:tabs>
      <w:spacing w:before="240" w:after="120"/>
      <w:ind w:left="1440" w:hanging="1440"/>
      <w:outlineLvl w:val="3"/>
    </w:pPr>
    <w:rPr>
      <w:b/>
      <w:lang w:eastAsia="en-US"/>
    </w:rPr>
  </w:style>
  <w:style w:type="paragraph" w:customStyle="1" w:styleId="AERrevisionbox">
    <w:name w:val="AER revision box"/>
    <w:basedOn w:val="AERbodytext"/>
    <w:rsid w:val="006B1F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basedOn w:val="AERtextbold"/>
    <w:rsid w:val="009E0F39"/>
    <w:rPr>
      <w:i/>
    </w:rPr>
  </w:style>
  <w:style w:type="character" w:customStyle="1" w:styleId="AERtextbold">
    <w:name w:val="AER text bold"/>
    <w:rsid w:val="009E0F39"/>
    <w:rPr>
      <w:b/>
    </w:rPr>
  </w:style>
  <w:style w:type="paragraph" w:customStyle="1" w:styleId="AERbulletlistfirststyle">
    <w:name w:val="AER bullet list (first style)"/>
    <w:basedOn w:val="AERbodytext"/>
    <w:link w:val="AERbulletlistfirststyleChar"/>
    <w:rsid w:val="008F51EB"/>
    <w:pPr>
      <w:numPr>
        <w:numId w:val="1"/>
      </w:numPr>
      <w:tabs>
        <w:tab w:val="clear" w:pos="1071"/>
        <w:tab w:val="num" w:pos="357"/>
      </w:tabs>
      <w:spacing w:after="200" w:line="240" w:lineRule="atLeast"/>
      <w:ind w:left="357"/>
    </w:pPr>
  </w:style>
  <w:style w:type="paragraph" w:customStyle="1" w:styleId="AERbulletlistsecondstyle">
    <w:name w:val="AER bullet list (second style)"/>
    <w:basedOn w:val="AERbodytext"/>
    <w:rsid w:val="009E0F39"/>
    <w:pPr>
      <w:numPr>
        <w:numId w:val="2"/>
      </w:numPr>
      <w:tabs>
        <w:tab w:val="clear" w:pos="714"/>
        <w:tab w:val="left" w:pos="720"/>
      </w:tabs>
      <w:spacing w:after="200"/>
      <w:ind w:left="720" w:hanging="363"/>
    </w:pPr>
  </w:style>
  <w:style w:type="paragraph" w:customStyle="1" w:styleId="AERbulletlistthirdstyle">
    <w:name w:val="AER bullet list (third style)"/>
    <w:basedOn w:val="AERbodytext"/>
    <w:rsid w:val="009E0F39"/>
    <w:pPr>
      <w:numPr>
        <w:numId w:val="3"/>
      </w:numPr>
      <w:tabs>
        <w:tab w:val="clear" w:pos="870"/>
        <w:tab w:val="left" w:pos="1077"/>
      </w:tabs>
      <w:spacing w:after="200"/>
      <w:ind w:left="1077" w:hanging="357"/>
    </w:pPr>
  </w:style>
  <w:style w:type="paragraph" w:customStyle="1" w:styleId="AERheading1">
    <w:name w:val="AER heading 1"/>
    <w:basedOn w:val="Heading1"/>
    <w:next w:val="AERbodytext"/>
    <w:rsid w:val="00BC679B"/>
    <w:pPr>
      <w:keepLines w:val="0"/>
      <w:pageBreakBefore/>
      <w:numPr>
        <w:numId w:val="7"/>
      </w:numPr>
      <w:tabs>
        <w:tab w:val="clear" w:pos="-357"/>
        <w:tab w:val="num" w:pos="0"/>
      </w:tabs>
      <w:spacing w:before="240" w:after="240"/>
      <w:ind w:left="0" w:hanging="709"/>
    </w:pPr>
    <w:rPr>
      <w:rFonts w:ascii="Gautami" w:hAnsi="Gautami" w:cs="Arial"/>
      <w:color w:val="F2750E"/>
      <w:kern w:val="32"/>
      <w:sz w:val="36"/>
      <w:szCs w:val="32"/>
      <w:lang w:eastAsia="en-US"/>
    </w:rPr>
  </w:style>
  <w:style w:type="paragraph" w:customStyle="1" w:styleId="AERheading2">
    <w:name w:val="AER heading 2"/>
    <w:basedOn w:val="AERheading1"/>
    <w:next w:val="AERbodytext"/>
    <w:rsid w:val="00D50256"/>
    <w:pPr>
      <w:pageBreakBefore w:val="0"/>
      <w:numPr>
        <w:ilvl w:val="1"/>
      </w:numPr>
      <w:tabs>
        <w:tab w:val="clear" w:pos="4317"/>
        <w:tab w:val="num" w:pos="0"/>
      </w:tabs>
      <w:spacing w:after="360"/>
      <w:ind w:left="0" w:hanging="720"/>
    </w:pPr>
    <w:rPr>
      <w:sz w:val="28"/>
      <w:szCs w:val="30"/>
    </w:rPr>
  </w:style>
  <w:style w:type="paragraph" w:customStyle="1" w:styleId="AERheading3">
    <w:name w:val="AER heading 3"/>
    <w:basedOn w:val="AERheading2"/>
    <w:next w:val="AERbodytext"/>
    <w:rsid w:val="00587D45"/>
    <w:pPr>
      <w:numPr>
        <w:ilvl w:val="2"/>
      </w:numPr>
      <w:tabs>
        <w:tab w:val="clear" w:pos="-357"/>
        <w:tab w:val="num" w:pos="0"/>
      </w:tabs>
      <w:spacing w:before="120" w:after="240"/>
      <w:ind w:left="0" w:hanging="714"/>
    </w:pPr>
    <w:rPr>
      <w:sz w:val="24"/>
      <w:szCs w:val="24"/>
    </w:rPr>
  </w:style>
  <w:style w:type="paragraph" w:customStyle="1" w:styleId="AERnumberedlistfirststyle">
    <w:name w:val="AER numbered list (first style)"/>
    <w:basedOn w:val="AERbodytext"/>
    <w:rsid w:val="009E0F39"/>
    <w:pPr>
      <w:numPr>
        <w:numId w:val="5"/>
      </w:numPr>
      <w:spacing w:after="200" w:line="200" w:lineRule="atLeast"/>
    </w:pPr>
  </w:style>
  <w:style w:type="paragraph" w:customStyle="1" w:styleId="AERnumberedlistsecondstyle">
    <w:name w:val="AER numbered list (second style)"/>
    <w:basedOn w:val="AERnumberedlistfirststyle"/>
    <w:rsid w:val="009E0F39"/>
    <w:pPr>
      <w:numPr>
        <w:numId w:val="6"/>
      </w:numPr>
    </w:pPr>
  </w:style>
  <w:style w:type="paragraph" w:customStyle="1" w:styleId="AERnumberedlistthirdstyle">
    <w:name w:val="AER numbered list (third style)"/>
    <w:basedOn w:val="AERbodytext"/>
    <w:rsid w:val="009E0F39"/>
    <w:pPr>
      <w:numPr>
        <w:numId w:val="4"/>
      </w:numPr>
      <w:tabs>
        <w:tab w:val="clear" w:pos="1440"/>
        <w:tab w:val="left" w:pos="1077"/>
      </w:tabs>
      <w:spacing w:after="200"/>
      <w:ind w:left="1077" w:hanging="357"/>
    </w:pPr>
  </w:style>
  <w:style w:type="paragraph" w:customStyle="1" w:styleId="AERquote">
    <w:name w:val="AER quote"/>
    <w:basedOn w:val="AERbodytextindent1"/>
    <w:next w:val="AERbodytext"/>
    <w:rsid w:val="006A4DCC"/>
    <w:pPr>
      <w:spacing w:after="160"/>
      <w:ind w:left="900" w:right="1077"/>
    </w:pPr>
    <w:rPr>
      <w:color w:val="000000"/>
      <w:sz w:val="16"/>
    </w:rPr>
  </w:style>
  <w:style w:type="paragraph" w:customStyle="1" w:styleId="AERbodytextindent1">
    <w:name w:val="AER body text (indent 1)"/>
    <w:basedOn w:val="AERbodytext"/>
    <w:rsid w:val="009E0F39"/>
    <w:pPr>
      <w:ind w:left="357"/>
    </w:pPr>
  </w:style>
  <w:style w:type="paragraph" w:customStyle="1" w:styleId="AERquotebullet1">
    <w:name w:val="AER quote bullet 1"/>
    <w:basedOn w:val="AERquote"/>
    <w:rsid w:val="006A4DCC"/>
    <w:pPr>
      <w:numPr>
        <w:numId w:val="8"/>
      </w:numPr>
    </w:pPr>
    <w:rPr>
      <w:szCs w:val="16"/>
    </w:rPr>
  </w:style>
  <w:style w:type="character" w:customStyle="1" w:styleId="AERsubscript">
    <w:name w:val="AER subscript"/>
    <w:rsid w:val="009E0F39"/>
    <w:rPr>
      <w:rFonts w:ascii="Gautami" w:hAnsi="Gautami"/>
      <w:vertAlign w:val="subscript"/>
    </w:rPr>
  </w:style>
  <w:style w:type="character" w:customStyle="1" w:styleId="AERsuperscript">
    <w:name w:val="AER superscript"/>
    <w:rsid w:val="009E0F39"/>
    <w:rPr>
      <w:rFonts w:ascii="Gautami" w:hAnsi="Gautami"/>
      <w:vertAlign w:val="superscript"/>
    </w:rPr>
  </w:style>
  <w:style w:type="table" w:customStyle="1" w:styleId="AERtable-numbers">
    <w:name w:val="AER table - numbers"/>
    <w:basedOn w:val="TableNormal"/>
    <w:rsid w:val="0017273B"/>
    <w:pPr>
      <w:spacing w:before="40" w:after="40"/>
      <w:jc w:val="right"/>
    </w:pPr>
    <w:rPr>
      <w:rFonts w:ascii="Gautami" w:eastAsia="Times New Roman" w:hAnsi="Gautami"/>
      <w:sz w:val="16"/>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nil"/>
          <w:bottom w:val="nil"/>
          <w:right w:val="nil"/>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tablesource">
    <w:name w:val="AER table source"/>
    <w:next w:val="AERbodytext"/>
    <w:link w:val="AERtablesourceChar"/>
    <w:rsid w:val="00AE72D6"/>
    <w:pPr>
      <w:tabs>
        <w:tab w:val="left" w:pos="1361"/>
      </w:tabs>
      <w:spacing w:before="40" w:after="240"/>
      <w:ind w:left="794" w:right="32" w:hanging="794"/>
      <w:contextualSpacing/>
    </w:pPr>
    <w:rPr>
      <w:rFonts w:ascii="Gautami" w:eastAsia="Times New Roman" w:hAnsi="Gautami"/>
      <w:sz w:val="16"/>
      <w:szCs w:val="24"/>
      <w:lang w:eastAsia="en-US"/>
    </w:rPr>
  </w:style>
  <w:style w:type="paragraph" w:customStyle="1" w:styleId="AERtabletext">
    <w:name w:val="AER table text"/>
    <w:basedOn w:val="Normal"/>
    <w:rsid w:val="009659D9"/>
    <w:pPr>
      <w:widowControl w:val="0"/>
      <w:spacing w:before="120" w:after="80"/>
      <w:jc w:val="left"/>
    </w:pPr>
    <w:rPr>
      <w:sz w:val="16"/>
      <w:lang w:eastAsia="en-US"/>
    </w:rPr>
  </w:style>
  <w:style w:type="paragraph" w:customStyle="1" w:styleId="AERtabletextheading">
    <w:name w:val="AER table text heading"/>
    <w:rsid w:val="009659D9"/>
    <w:pPr>
      <w:spacing w:before="120" w:after="80" w:line="288" w:lineRule="auto"/>
    </w:pPr>
    <w:rPr>
      <w:rFonts w:ascii="Gautami" w:eastAsia="Times New Roman" w:hAnsi="Gautami"/>
      <w:b/>
      <w:sz w:val="16"/>
      <w:szCs w:val="24"/>
      <w:lang w:eastAsia="en-US"/>
    </w:rPr>
  </w:style>
  <w:style w:type="paragraph" w:customStyle="1" w:styleId="AERheading4">
    <w:name w:val="AER heading 4"/>
    <w:next w:val="AERbodytext"/>
    <w:rsid w:val="006A4DCC"/>
    <w:pPr>
      <w:keepNext/>
      <w:spacing w:after="240"/>
    </w:pPr>
    <w:rPr>
      <w:rFonts w:ascii="Gautami" w:eastAsia="Times New Roman" w:hAnsi="Gautami" w:cs="Arial"/>
      <w:b/>
      <w:bCs/>
      <w:kern w:val="32"/>
      <w:sz w:val="22"/>
      <w:szCs w:val="24"/>
      <w:lang w:eastAsia="en-US"/>
    </w:rPr>
  </w:style>
  <w:style w:type="paragraph" w:styleId="Footer">
    <w:name w:val="footer"/>
    <w:basedOn w:val="Normal"/>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17273B"/>
    <w:pPr>
      <w:jc w:val="left"/>
    </w:p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nil"/>
          <w:bottom w:val="nil"/>
          <w:right w:val="nil"/>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quoteindent1">
    <w:name w:val="AER quote (indent 1)"/>
    <w:basedOn w:val="AERquote"/>
    <w:rsid w:val="006A4DCC"/>
    <w:pPr>
      <w:ind w:left="1260" w:right="1440"/>
    </w:pPr>
  </w:style>
  <w:style w:type="paragraph" w:customStyle="1" w:styleId="AERbodytextindent2">
    <w:name w:val="AER body text (indent 2)"/>
    <w:basedOn w:val="AERbodytext"/>
    <w:rsid w:val="009E0F39"/>
    <w:pPr>
      <w:ind w:left="720"/>
    </w:pPr>
  </w:style>
  <w:style w:type="paragraph" w:customStyle="1" w:styleId="AERbodytextindent3">
    <w:name w:val="AER body text (indent 3)"/>
    <w:basedOn w:val="AERbodytext"/>
    <w:rsid w:val="009E0F39"/>
    <w:pPr>
      <w:ind w:left="1077"/>
    </w:pPr>
  </w:style>
  <w:style w:type="paragraph" w:customStyle="1" w:styleId="AERquoteindent2">
    <w:name w:val="AER quote (indent 2)"/>
    <w:basedOn w:val="AERquoteindent1"/>
    <w:rsid w:val="006A4DCC"/>
    <w:pPr>
      <w:ind w:left="1620" w:right="1797"/>
    </w:pPr>
  </w:style>
  <w:style w:type="paragraph" w:customStyle="1" w:styleId="AERunnumberedheading">
    <w:name w:val="AER unnumbered heading"/>
    <w:basedOn w:val="AERheading1"/>
    <w:rsid w:val="00BC679B"/>
    <w:pPr>
      <w:numPr>
        <w:numId w:val="0"/>
      </w:numPr>
      <w:spacing w:after="120"/>
    </w:pPr>
  </w:style>
  <w:style w:type="character" w:customStyle="1" w:styleId="AERtexthighlight">
    <w:name w:val="AER text highlight"/>
    <w:rsid w:val="009E0F39"/>
    <w:rPr>
      <w:bdr w:val="none" w:sz="0" w:space="0" w:color="auto"/>
      <w:shd w:val="clear" w:color="auto" w:fill="FFFF99"/>
    </w:rPr>
  </w:style>
  <w:style w:type="paragraph" w:customStyle="1" w:styleId="NER-RC-Para">
    <w:name w:val="NER-RC-Para"/>
    <w:basedOn w:val="Normal"/>
    <w:rsid w:val="009E0F39"/>
    <w:pPr>
      <w:autoSpaceDE w:val="0"/>
      <w:autoSpaceDN w:val="0"/>
      <w:adjustRightInd w:val="0"/>
      <w:spacing w:before="120" w:after="120"/>
      <w:ind w:left="357"/>
    </w:pPr>
    <w:rPr>
      <w:color w:val="000000"/>
      <w:sz w:val="18"/>
    </w:rPr>
  </w:style>
  <w:style w:type="paragraph" w:customStyle="1" w:styleId="NER-RC-List-1-MNum">
    <w:name w:val="NER-RC-List-1-MNum"/>
    <w:basedOn w:val="Normal"/>
    <w:rsid w:val="009E0F39"/>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rsid w:val="009E0F39"/>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rsid w:val="009E0F39"/>
    <w:pPr>
      <w:autoSpaceDE w:val="0"/>
      <w:autoSpaceDN w:val="0"/>
      <w:adjustRightInd w:val="0"/>
      <w:spacing w:before="120" w:after="120"/>
      <w:ind w:left="720"/>
    </w:pPr>
    <w:rPr>
      <w:color w:val="000000"/>
      <w:sz w:val="18"/>
    </w:rPr>
  </w:style>
  <w:style w:type="paragraph" w:customStyle="1" w:styleId="NER-Cl-Title-Lvl-4">
    <w:name w:val="NER-Cl-Title-Lvl-4"/>
    <w:basedOn w:val="Normal"/>
    <w:rsid w:val="009E0F39"/>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rsid w:val="009E0F39"/>
    <w:rPr>
      <w:bdr w:val="none" w:sz="0" w:space="0" w:color="auto"/>
      <w:shd w:val="clear" w:color="auto" w:fill="CCFFFF"/>
    </w:rPr>
  </w:style>
  <w:style w:type="paragraph" w:customStyle="1" w:styleId="AERheading5">
    <w:name w:val="AER heading 5"/>
    <w:basedOn w:val="Heading5"/>
    <w:next w:val="AERbodytext"/>
    <w:rsid w:val="006A4DCC"/>
    <w:pPr>
      <w:keepLines w:val="0"/>
      <w:spacing w:before="120" w:after="240" w:line="240" w:lineRule="atLeast"/>
    </w:pPr>
    <w:rPr>
      <w:rFonts w:ascii="Gautami" w:hAnsi="Gautami" w:cs="Arial"/>
      <w:b/>
      <w:bCs/>
      <w:color w:val="auto"/>
      <w:kern w:val="32"/>
      <w:lang w:eastAsia="en-US"/>
    </w:rPr>
  </w:style>
  <w:style w:type="paragraph" w:customStyle="1" w:styleId="AERheading6">
    <w:name w:val="AER heading 6"/>
    <w:basedOn w:val="Heading6"/>
    <w:next w:val="AERbodytext"/>
    <w:rsid w:val="006A4DCC"/>
    <w:pPr>
      <w:keepLines w:val="0"/>
      <w:spacing w:before="120" w:after="120"/>
    </w:pPr>
    <w:rPr>
      <w:rFonts w:ascii="Gautami" w:hAnsi="Gautami" w:cs="Arial"/>
      <w:bCs/>
      <w:iCs w:val="0"/>
      <w:color w:val="auto"/>
      <w:szCs w:val="22"/>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9E0F39"/>
    <w:rPr>
      <w:vertAlign w:val="superscript"/>
    </w:rPr>
  </w:style>
  <w:style w:type="paragraph" w:styleId="Header">
    <w:name w:val="header"/>
    <w:basedOn w:val="Normal"/>
    <w:locked/>
    <w:rsid w:val="009E0F39"/>
    <w:pPr>
      <w:tabs>
        <w:tab w:val="center" w:pos="4153"/>
        <w:tab w:val="right" w:pos="8306"/>
      </w:tabs>
    </w:pPr>
  </w:style>
  <w:style w:type="character" w:styleId="CommentReference">
    <w:name w:val="annotation reference"/>
    <w:basedOn w:val="DefaultParagraphFont"/>
    <w:semiHidden/>
    <w:locked/>
    <w:rsid w:val="009E0F39"/>
    <w:rPr>
      <w:sz w:val="16"/>
      <w:szCs w:val="16"/>
    </w:rPr>
  </w:style>
  <w:style w:type="paragraph" w:styleId="CommentText">
    <w:name w:val="annotation text"/>
    <w:basedOn w:val="Normal"/>
    <w:semiHidden/>
    <w:locked/>
    <w:rsid w:val="009E0F39"/>
    <w:rPr>
      <w:szCs w:val="20"/>
    </w:rPr>
  </w:style>
  <w:style w:type="paragraph" w:styleId="CommentSubject">
    <w:name w:val="annotation subject"/>
    <w:basedOn w:val="CommentText"/>
    <w:next w:val="CommentText"/>
    <w:semiHidden/>
    <w:locked/>
    <w:rsid w:val="009E0F39"/>
    <w:rPr>
      <w:b/>
      <w:bCs/>
    </w:rPr>
  </w:style>
  <w:style w:type="paragraph" w:styleId="BalloonText">
    <w:name w:val="Balloon Text"/>
    <w:basedOn w:val="Normal"/>
    <w:semiHidden/>
    <w:locked/>
    <w:rsid w:val="009E0F39"/>
    <w:rPr>
      <w:rFonts w:ascii="Tahoma" w:hAnsi="Tahoma" w:cs="Tahoma"/>
      <w:sz w:val="16"/>
      <w:szCs w:val="16"/>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
    <w:basedOn w:val="Normal"/>
    <w:link w:val="FootnoteTextChar"/>
    <w:rsid w:val="009E0F39"/>
    <w:pPr>
      <w:tabs>
        <w:tab w:val="left" w:pos="454"/>
      </w:tabs>
      <w:ind w:left="454" w:hanging="454"/>
    </w:pPr>
    <w:rPr>
      <w:sz w:val="16"/>
      <w:szCs w:val="20"/>
    </w:rPr>
  </w:style>
  <w:style w:type="character" w:customStyle="1" w:styleId="AERbody">
    <w:name w:val="AER body"/>
    <w:basedOn w:val="DefaultParagraphFont"/>
    <w:rsid w:val="009E0F39"/>
    <w:rPr>
      <w:rFonts w:ascii="Gautami" w:hAnsi="Gautami"/>
      <w:color w:val="auto"/>
      <w:sz w:val="20"/>
    </w:rPr>
  </w:style>
  <w:style w:type="paragraph" w:customStyle="1" w:styleId="AERtabletext-numbers">
    <w:name w:val="AER table text - numbers"/>
    <w:basedOn w:val="AERtabletext"/>
    <w:rsid w:val="009659D9"/>
    <w:pPr>
      <w:keepNext/>
      <w:jc w:val="right"/>
    </w:pPr>
  </w:style>
  <w:style w:type="character" w:customStyle="1" w:styleId="AERtextboldunderline">
    <w:name w:val="AER text bold underline"/>
    <w:rsid w:val="009E0F39"/>
    <w:rPr>
      <w:b/>
      <w:u w:val="single"/>
    </w:rPr>
  </w:style>
  <w:style w:type="character" w:customStyle="1" w:styleId="AERtextunderline">
    <w:name w:val="AER text underline"/>
    <w:rsid w:val="009E0F39"/>
    <w:rPr>
      <w:u w:val="single"/>
    </w:rPr>
  </w:style>
  <w:style w:type="character" w:customStyle="1" w:styleId="AERtextitalic">
    <w:name w:val="AER text italic"/>
    <w:rsid w:val="009E0F39"/>
    <w:rPr>
      <w:i/>
    </w:rPr>
  </w:style>
  <w:style w:type="table" w:styleId="TableGrid">
    <w:name w:val="Table Grid"/>
    <w:basedOn w:val="TableNormal"/>
    <w:locked/>
    <w:rsid w:val="00D122ED"/>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locked/>
    <w:rsid w:val="00B6415A"/>
    <w:rPr>
      <w:b/>
      <w:bCs/>
      <w:szCs w:val="20"/>
    </w:rPr>
  </w:style>
  <w:style w:type="paragraph" w:customStyle="1" w:styleId="AERtabletextheadingright">
    <w:name w:val="AER table text heading right"/>
    <w:rsid w:val="009659D9"/>
    <w:pPr>
      <w:spacing w:before="120" w:after="80" w:line="288" w:lineRule="auto"/>
      <w:jc w:val="right"/>
    </w:pPr>
    <w:rPr>
      <w:rFonts w:ascii="Gautami" w:eastAsia="Times New Roman" w:hAnsi="Gautami"/>
      <w:b/>
      <w:sz w:val="16"/>
      <w:szCs w:val="24"/>
      <w:lang w:eastAsia="en-US"/>
    </w:rPr>
  </w:style>
  <w:style w:type="paragraph" w:customStyle="1" w:styleId="AERTitle1">
    <w:name w:val="AER Title 1"/>
    <w:basedOn w:val="AERheading4"/>
    <w:rsid w:val="00BC679B"/>
    <w:pPr>
      <w:jc w:val="center"/>
    </w:pPr>
    <w:rPr>
      <w:sz w:val="40"/>
    </w:rPr>
  </w:style>
  <w:style w:type="paragraph" w:customStyle="1" w:styleId="AERTitle2">
    <w:name w:val="AER Title 2"/>
    <w:basedOn w:val="AERTitle1"/>
    <w:rsid w:val="00BC679B"/>
    <w:pPr>
      <w:spacing w:before="1680"/>
    </w:pPr>
    <w:rPr>
      <w:b w:val="0"/>
      <w:sz w:val="32"/>
    </w:rPr>
  </w:style>
  <w:style w:type="character" w:customStyle="1" w:styleId="Heading2Char">
    <w:name w:val="Heading 2 Char"/>
    <w:basedOn w:val="DefaultParagraphFont"/>
    <w:link w:val="Heading2"/>
    <w:rsid w:val="00BC679B"/>
    <w:rPr>
      <w:rFonts w:ascii="Arial" w:eastAsia="Times New Roman" w:hAnsi="Arial" w:cs="Arial"/>
      <w:b/>
      <w:bCs/>
      <w:i/>
      <w:iCs/>
      <w:sz w:val="28"/>
      <w:szCs w:val="28"/>
    </w:rPr>
  </w:style>
  <w:style w:type="character" w:customStyle="1" w:styleId="Heading3Char">
    <w:name w:val="Heading 3 Char"/>
    <w:basedOn w:val="DefaultParagraphFont"/>
    <w:link w:val="Heading3"/>
    <w:rsid w:val="00BC679B"/>
    <w:rPr>
      <w:rFonts w:ascii="Arial" w:eastAsia="Times New Roman" w:hAnsi="Arial" w:cs="Arial"/>
      <w:b/>
      <w:bCs/>
      <w:sz w:val="26"/>
      <w:szCs w:val="26"/>
    </w:rPr>
  </w:style>
  <w:style w:type="paragraph" w:customStyle="1" w:styleId="AERquoteindent3">
    <w:name w:val="AER quote (indent 3)"/>
    <w:basedOn w:val="AERquoteindent2"/>
    <w:rsid w:val="00BC679B"/>
    <w:pPr>
      <w:ind w:left="1440" w:right="2160"/>
    </w:pPr>
  </w:style>
  <w:style w:type="paragraph" w:styleId="TOC1">
    <w:name w:val="toc 1"/>
    <w:basedOn w:val="Normal"/>
    <w:next w:val="Normal"/>
    <w:uiPriority w:val="39"/>
    <w:rsid w:val="00BC679B"/>
    <w:pPr>
      <w:tabs>
        <w:tab w:val="left" w:pos="567"/>
        <w:tab w:val="right" w:leader="dot" w:pos="8307"/>
      </w:tabs>
      <w:spacing w:before="120" w:after="120"/>
    </w:pPr>
    <w:rPr>
      <w:b/>
      <w:lang w:eastAsia="en-US"/>
    </w:rPr>
  </w:style>
  <w:style w:type="paragraph" w:styleId="TOC2">
    <w:name w:val="toc 2"/>
    <w:basedOn w:val="Normal"/>
    <w:next w:val="Normal"/>
    <w:uiPriority w:val="39"/>
    <w:rsid w:val="00BC679B"/>
    <w:pPr>
      <w:tabs>
        <w:tab w:val="left" w:pos="1080"/>
        <w:tab w:val="right" w:leader="dot" w:pos="8307"/>
      </w:tabs>
      <w:ind w:left="1134" w:hanging="567"/>
    </w:pPr>
    <w:rPr>
      <w:lang w:eastAsia="en-US"/>
    </w:rPr>
  </w:style>
  <w:style w:type="paragraph" w:styleId="TOC3">
    <w:name w:val="toc 3"/>
    <w:basedOn w:val="Normal"/>
    <w:next w:val="Normal"/>
    <w:rsid w:val="00BC679B"/>
    <w:pPr>
      <w:tabs>
        <w:tab w:val="left" w:pos="1980"/>
        <w:tab w:val="right" w:leader="dot" w:pos="8307"/>
      </w:tabs>
      <w:ind w:left="1980" w:hanging="900"/>
    </w:pPr>
    <w:rPr>
      <w:lang w:eastAsia="en-US"/>
    </w:rPr>
  </w:style>
  <w:style w:type="character" w:styleId="Hyperlink">
    <w:name w:val="Hyperlink"/>
    <w:basedOn w:val="DefaultParagraphFont"/>
    <w:uiPriority w:val="99"/>
    <w:rsid w:val="00BC679B"/>
    <w:rPr>
      <w:color w:val="0000FF"/>
      <w:u w:val="single"/>
    </w:rPr>
  </w:style>
  <w:style w:type="paragraph" w:customStyle="1" w:styleId="AERtableheadingright">
    <w:name w:val="AER table heading right"/>
    <w:basedOn w:val="AERtabletextheading"/>
    <w:rsid w:val="00BC679B"/>
    <w:pPr>
      <w:spacing w:after="120" w:line="240" w:lineRule="auto"/>
      <w:jc w:val="right"/>
    </w:pPr>
    <w:rPr>
      <w:szCs w:val="16"/>
    </w:rPr>
  </w:style>
  <w:style w:type="paragraph" w:customStyle="1" w:styleId="AERunnumberedtabletitle">
    <w:name w:val="AER unnumbered table title"/>
    <w:basedOn w:val="AERtabletitle"/>
    <w:rsid w:val="00BC679B"/>
    <w:pPr>
      <w:numPr>
        <w:ilvl w:val="0"/>
        <w:numId w:val="0"/>
      </w:numPr>
      <w:tabs>
        <w:tab w:val="num" w:pos="357"/>
        <w:tab w:val="left" w:pos="1260"/>
      </w:tabs>
      <w:ind w:left="1260" w:hanging="1257"/>
    </w:pPr>
  </w:style>
  <w:style w:type="paragraph" w:customStyle="1" w:styleId="AERgenericboldheading">
    <w:name w:val="AER generic bold heading"/>
    <w:basedOn w:val="AERbodytext"/>
    <w:rsid w:val="00BC679B"/>
    <w:pPr>
      <w:keepNext/>
      <w:tabs>
        <w:tab w:val="left" w:pos="1440"/>
      </w:tabs>
      <w:spacing w:after="120" w:line="240" w:lineRule="auto"/>
      <w:ind w:left="1440" w:hanging="1440"/>
    </w:pPr>
    <w:rPr>
      <w:b/>
    </w:rPr>
  </w:style>
  <w:style w:type="paragraph" w:customStyle="1" w:styleId="AERbodynospacing">
    <w:name w:val="AER body no spacing"/>
    <w:basedOn w:val="AERbodytext"/>
    <w:rsid w:val="00BC679B"/>
    <w:pPr>
      <w:spacing w:after="0"/>
    </w:pPr>
  </w:style>
  <w:style w:type="paragraph" w:styleId="EndnoteText">
    <w:name w:val="endnote text"/>
    <w:basedOn w:val="Normal"/>
    <w:link w:val="EndnoteTextChar"/>
    <w:semiHidden/>
    <w:locked/>
    <w:rsid w:val="00BC679B"/>
    <w:rPr>
      <w:szCs w:val="20"/>
    </w:rPr>
  </w:style>
  <w:style w:type="character" w:customStyle="1" w:styleId="EndnoteTextChar">
    <w:name w:val="Endnote Text Char"/>
    <w:basedOn w:val="DefaultParagraphFont"/>
    <w:link w:val="EndnoteText"/>
    <w:semiHidden/>
    <w:rsid w:val="00BC679B"/>
    <w:rPr>
      <w:rFonts w:ascii="Gautami" w:eastAsia="Times New Roman" w:hAnsi="Gautami"/>
    </w:rPr>
  </w:style>
  <w:style w:type="character" w:styleId="EndnoteReference">
    <w:name w:val="endnote reference"/>
    <w:basedOn w:val="DefaultParagraphFont"/>
    <w:semiHidden/>
    <w:locked/>
    <w:rsid w:val="00BC679B"/>
    <w:rPr>
      <w:vertAlign w:val="superscript"/>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
    <w:basedOn w:val="DefaultParagraphFont"/>
    <w:link w:val="FootnoteText"/>
    <w:rsid w:val="00BC679B"/>
    <w:rPr>
      <w:rFonts w:ascii="Gautami" w:eastAsia="Times New Roman" w:hAnsi="Gautami"/>
      <w:sz w:val="16"/>
    </w:rPr>
  </w:style>
  <w:style w:type="character" w:styleId="FollowedHyperlink">
    <w:name w:val="FollowedHyperlink"/>
    <w:basedOn w:val="DefaultParagraphFont"/>
    <w:locked/>
    <w:rsid w:val="00BC679B"/>
    <w:rPr>
      <w:color w:val="800080"/>
      <w:u w:val="single"/>
    </w:rPr>
  </w:style>
  <w:style w:type="character" w:customStyle="1" w:styleId="AERtablesourceChar">
    <w:name w:val="AER table source Char"/>
    <w:basedOn w:val="DefaultParagraphFont"/>
    <w:link w:val="AERtablesource"/>
    <w:rsid w:val="00BC679B"/>
    <w:rPr>
      <w:rFonts w:ascii="Gautami" w:eastAsia="Times New Roman" w:hAnsi="Gautami"/>
      <w:sz w:val="16"/>
      <w:szCs w:val="24"/>
      <w:lang w:val="en-AU" w:eastAsia="en-US" w:bidi="ar-SA"/>
    </w:rPr>
  </w:style>
  <w:style w:type="character" w:customStyle="1" w:styleId="AERtablesourceCharChar">
    <w:name w:val="AER table source Char Char"/>
    <w:basedOn w:val="DefaultParagraphFont"/>
    <w:rsid w:val="00BC679B"/>
    <w:rPr>
      <w:rFonts w:ascii="Gautami" w:hAnsi="Gautami"/>
      <w:sz w:val="16"/>
      <w:szCs w:val="24"/>
      <w:lang w:val="en-AU" w:eastAsia="en-US" w:bidi="ar-SA"/>
    </w:rPr>
  </w:style>
  <w:style w:type="character" w:customStyle="1" w:styleId="AERbodytextChar">
    <w:name w:val="AER body text Char"/>
    <w:basedOn w:val="DefaultParagraphFont"/>
    <w:link w:val="AERbodytext"/>
    <w:rsid w:val="00BC679B"/>
    <w:rPr>
      <w:rFonts w:ascii="Gautami" w:eastAsia="Times New Roman" w:hAnsi="Gautami"/>
      <w:szCs w:val="24"/>
      <w:lang w:val="en-AU" w:eastAsia="en-US" w:bidi="ar-SA"/>
    </w:rPr>
  </w:style>
  <w:style w:type="character" w:customStyle="1" w:styleId="AERbulletlistfirststyleChar">
    <w:name w:val="AER bullet list (first style) Char"/>
    <w:basedOn w:val="DefaultParagraphFont"/>
    <w:link w:val="AERbulletlistfirststyle"/>
    <w:locked/>
    <w:rsid w:val="00BC679B"/>
    <w:rPr>
      <w:rFonts w:ascii="Gautami" w:eastAsia="Times New Roman" w:hAnsi="Gautami"/>
      <w:szCs w:val="24"/>
      <w:lang w:eastAsia="en-US"/>
    </w:rPr>
  </w:style>
  <w:style w:type="numbering" w:customStyle="1" w:styleId="AERnumberedlist">
    <w:name w:val="AER numbered list"/>
    <w:rsid w:val="00BC679B"/>
    <w:pPr>
      <w:numPr>
        <w:numId w:val="17"/>
      </w:numPr>
    </w:pPr>
  </w:style>
  <w:style w:type="character" w:customStyle="1" w:styleId="AERbodyitalic">
    <w:name w:val="AER body italic"/>
    <w:rsid w:val="00BC679B"/>
    <w:rPr>
      <w:rFonts w:ascii="Gautami" w:hAnsi="Gautami"/>
      <w:i/>
      <w:sz w:val="20"/>
    </w:rPr>
  </w:style>
  <w:style w:type="table" w:customStyle="1" w:styleId="AERtable-numbers1">
    <w:name w:val="AER table - numbers1"/>
    <w:basedOn w:val="TableNormal"/>
    <w:rsid w:val="0017273B"/>
    <w:pPr>
      <w:spacing w:before="40" w:after="40"/>
      <w:jc w:val="right"/>
    </w:pPr>
    <w:rPr>
      <w:rFonts w:ascii="Gautami" w:eastAsia="Times New Roman" w:hAnsi="Gautami"/>
      <w:sz w:val="16"/>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nil"/>
          <w:bottom w:val="nil"/>
          <w:right w:val="nil"/>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bulletlistsecondstyle0">
    <w:name w:val="aerbulletlistsecondstyle"/>
    <w:basedOn w:val="Normal"/>
    <w:rsid w:val="00BC679B"/>
    <w:pPr>
      <w:tabs>
        <w:tab w:val="num" w:pos="714"/>
      </w:tabs>
      <w:spacing w:after="200"/>
      <w:ind w:left="714" w:hanging="357"/>
    </w:pPr>
    <w:rPr>
      <w:rFonts w:cs="Gautami"/>
      <w:sz w:val="22"/>
      <w:szCs w:val="22"/>
    </w:rPr>
  </w:style>
  <w:style w:type="character" w:customStyle="1" w:styleId="FootnoteTextChar1">
    <w:name w:val="Footnote Text Char1"/>
    <w:aliases w:val="Footnote Text1 Char1,Footnote Text2 Char1,ALTS FOOTNOTE2 Char1,Footnote Text11 Char1,(NECG) Footnote Text Char1,(NECG) Footnote Text1 Char1,Footnote text Char1,AR Footnote Text Char1"/>
    <w:basedOn w:val="DefaultParagraphFont"/>
    <w:locked/>
    <w:rsid w:val="00BC679B"/>
    <w:rPr>
      <w:rFonts w:ascii="Gautami" w:hAnsi="Gautami" w:cs="Times New Roman"/>
      <w:sz w:val="20"/>
      <w:szCs w:val="20"/>
      <w:lang w:eastAsia="en-US"/>
    </w:rPr>
  </w:style>
  <w:style w:type="paragraph" w:styleId="Revision">
    <w:name w:val="Revision"/>
    <w:hidden/>
    <w:uiPriority w:val="99"/>
    <w:semiHidden/>
    <w:rsid w:val="007A1837"/>
    <w:rPr>
      <w:rFonts w:ascii="Gautami" w:eastAsia="Times New Roman" w:hAnsi="Gautami"/>
      <w:szCs w:val="24"/>
    </w:rPr>
  </w:style>
  <w:style w:type="paragraph" w:styleId="TOC4">
    <w:name w:val="toc 4"/>
    <w:basedOn w:val="Normal"/>
    <w:next w:val="Normal"/>
    <w:autoRedefine/>
    <w:uiPriority w:val="39"/>
    <w:semiHidden/>
    <w:unhideWhenUsed/>
    <w:locked/>
    <w:rsid w:val="00457F30"/>
    <w:pPr>
      <w:ind w:left="600"/>
    </w:pPr>
  </w:style>
  <w:style w:type="paragraph" w:styleId="TOC6">
    <w:name w:val="toc 6"/>
    <w:basedOn w:val="Normal"/>
    <w:next w:val="Normal"/>
    <w:autoRedefine/>
    <w:uiPriority w:val="39"/>
    <w:semiHidden/>
    <w:unhideWhenUsed/>
    <w:locked/>
    <w:rsid w:val="00457F30"/>
    <w:pPr>
      <w:ind w:left="1000"/>
    </w:pPr>
  </w:style>
</w:styles>
</file>

<file path=word/webSettings.xml><?xml version="1.0" encoding="utf-8"?>
<w:webSettings xmlns:r="http://schemas.openxmlformats.org/officeDocument/2006/relationships" xmlns:w="http://schemas.openxmlformats.org/wordprocessingml/2006/main">
  <w:divs>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536310461">
      <w:bodyDiv w:val="1"/>
      <w:marLeft w:val="0"/>
      <w:marRight w:val="0"/>
      <w:marTop w:val="0"/>
      <w:marBottom w:val="0"/>
      <w:divBdr>
        <w:top w:val="none" w:sz="0" w:space="0" w:color="auto"/>
        <w:left w:val="none" w:sz="0" w:space="0" w:color="auto"/>
        <w:bottom w:val="none" w:sz="0" w:space="0" w:color="auto"/>
        <w:right w:val="none" w:sz="0" w:space="0" w:color="auto"/>
      </w:divBdr>
    </w:div>
    <w:div w:id="1198160758">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9876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F23EC-CC27-4F7D-A505-97F5EBD89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11841</Words>
  <Characters>67499</Characters>
  <Application>Microsoft Office Word</Application>
  <DocSecurity>0</DocSecurity>
  <Lines>562</Lines>
  <Paragraphs>158</Paragraphs>
  <ScaleCrop>false</ScaleCrop>
  <Company/>
  <LinksUpToDate>false</LinksUpToDate>
  <CharactersWithSpaces>79182</CharactersWithSpaces>
  <SharedDoc>false</SharedDoc>
  <HLinks>
    <vt:vector size="204" baseType="variant">
      <vt:variant>
        <vt:i4>1835067</vt:i4>
      </vt:variant>
      <vt:variant>
        <vt:i4>200</vt:i4>
      </vt:variant>
      <vt:variant>
        <vt:i4>0</vt:i4>
      </vt:variant>
      <vt:variant>
        <vt:i4>5</vt:i4>
      </vt:variant>
      <vt:variant>
        <vt:lpwstr/>
      </vt:variant>
      <vt:variant>
        <vt:lpwstr>_Toc322697382</vt:lpwstr>
      </vt:variant>
      <vt:variant>
        <vt:i4>1835067</vt:i4>
      </vt:variant>
      <vt:variant>
        <vt:i4>194</vt:i4>
      </vt:variant>
      <vt:variant>
        <vt:i4>0</vt:i4>
      </vt:variant>
      <vt:variant>
        <vt:i4>5</vt:i4>
      </vt:variant>
      <vt:variant>
        <vt:lpwstr/>
      </vt:variant>
      <vt:variant>
        <vt:lpwstr>_Toc322697381</vt:lpwstr>
      </vt:variant>
      <vt:variant>
        <vt:i4>1835067</vt:i4>
      </vt:variant>
      <vt:variant>
        <vt:i4>188</vt:i4>
      </vt:variant>
      <vt:variant>
        <vt:i4>0</vt:i4>
      </vt:variant>
      <vt:variant>
        <vt:i4>5</vt:i4>
      </vt:variant>
      <vt:variant>
        <vt:lpwstr/>
      </vt:variant>
      <vt:variant>
        <vt:lpwstr>_Toc322697380</vt:lpwstr>
      </vt:variant>
      <vt:variant>
        <vt:i4>1245243</vt:i4>
      </vt:variant>
      <vt:variant>
        <vt:i4>182</vt:i4>
      </vt:variant>
      <vt:variant>
        <vt:i4>0</vt:i4>
      </vt:variant>
      <vt:variant>
        <vt:i4>5</vt:i4>
      </vt:variant>
      <vt:variant>
        <vt:lpwstr/>
      </vt:variant>
      <vt:variant>
        <vt:lpwstr>_Toc322697379</vt:lpwstr>
      </vt:variant>
      <vt:variant>
        <vt:i4>1245243</vt:i4>
      </vt:variant>
      <vt:variant>
        <vt:i4>176</vt:i4>
      </vt:variant>
      <vt:variant>
        <vt:i4>0</vt:i4>
      </vt:variant>
      <vt:variant>
        <vt:i4>5</vt:i4>
      </vt:variant>
      <vt:variant>
        <vt:lpwstr/>
      </vt:variant>
      <vt:variant>
        <vt:lpwstr>_Toc322697378</vt:lpwstr>
      </vt:variant>
      <vt:variant>
        <vt:i4>1245243</vt:i4>
      </vt:variant>
      <vt:variant>
        <vt:i4>170</vt:i4>
      </vt:variant>
      <vt:variant>
        <vt:i4>0</vt:i4>
      </vt:variant>
      <vt:variant>
        <vt:i4>5</vt:i4>
      </vt:variant>
      <vt:variant>
        <vt:lpwstr/>
      </vt:variant>
      <vt:variant>
        <vt:lpwstr>_Toc322697377</vt:lpwstr>
      </vt:variant>
      <vt:variant>
        <vt:i4>1245243</vt:i4>
      </vt:variant>
      <vt:variant>
        <vt:i4>164</vt:i4>
      </vt:variant>
      <vt:variant>
        <vt:i4>0</vt:i4>
      </vt:variant>
      <vt:variant>
        <vt:i4>5</vt:i4>
      </vt:variant>
      <vt:variant>
        <vt:lpwstr/>
      </vt:variant>
      <vt:variant>
        <vt:lpwstr>_Toc322697376</vt:lpwstr>
      </vt:variant>
      <vt:variant>
        <vt:i4>1245243</vt:i4>
      </vt:variant>
      <vt:variant>
        <vt:i4>158</vt:i4>
      </vt:variant>
      <vt:variant>
        <vt:i4>0</vt:i4>
      </vt:variant>
      <vt:variant>
        <vt:i4>5</vt:i4>
      </vt:variant>
      <vt:variant>
        <vt:lpwstr/>
      </vt:variant>
      <vt:variant>
        <vt:lpwstr>_Toc322697375</vt:lpwstr>
      </vt:variant>
      <vt:variant>
        <vt:i4>1245243</vt:i4>
      </vt:variant>
      <vt:variant>
        <vt:i4>152</vt:i4>
      </vt:variant>
      <vt:variant>
        <vt:i4>0</vt:i4>
      </vt:variant>
      <vt:variant>
        <vt:i4>5</vt:i4>
      </vt:variant>
      <vt:variant>
        <vt:lpwstr/>
      </vt:variant>
      <vt:variant>
        <vt:lpwstr>_Toc322697374</vt:lpwstr>
      </vt:variant>
      <vt:variant>
        <vt:i4>1245243</vt:i4>
      </vt:variant>
      <vt:variant>
        <vt:i4>146</vt:i4>
      </vt:variant>
      <vt:variant>
        <vt:i4>0</vt:i4>
      </vt:variant>
      <vt:variant>
        <vt:i4>5</vt:i4>
      </vt:variant>
      <vt:variant>
        <vt:lpwstr/>
      </vt:variant>
      <vt:variant>
        <vt:lpwstr>_Toc322697373</vt:lpwstr>
      </vt:variant>
      <vt:variant>
        <vt:i4>1245243</vt:i4>
      </vt:variant>
      <vt:variant>
        <vt:i4>140</vt:i4>
      </vt:variant>
      <vt:variant>
        <vt:i4>0</vt:i4>
      </vt:variant>
      <vt:variant>
        <vt:i4>5</vt:i4>
      </vt:variant>
      <vt:variant>
        <vt:lpwstr/>
      </vt:variant>
      <vt:variant>
        <vt:lpwstr>_Toc322697372</vt:lpwstr>
      </vt:variant>
      <vt:variant>
        <vt:i4>1245243</vt:i4>
      </vt:variant>
      <vt:variant>
        <vt:i4>134</vt:i4>
      </vt:variant>
      <vt:variant>
        <vt:i4>0</vt:i4>
      </vt:variant>
      <vt:variant>
        <vt:i4>5</vt:i4>
      </vt:variant>
      <vt:variant>
        <vt:lpwstr/>
      </vt:variant>
      <vt:variant>
        <vt:lpwstr>_Toc322697371</vt:lpwstr>
      </vt:variant>
      <vt:variant>
        <vt:i4>1245243</vt:i4>
      </vt:variant>
      <vt:variant>
        <vt:i4>128</vt:i4>
      </vt:variant>
      <vt:variant>
        <vt:i4>0</vt:i4>
      </vt:variant>
      <vt:variant>
        <vt:i4>5</vt:i4>
      </vt:variant>
      <vt:variant>
        <vt:lpwstr/>
      </vt:variant>
      <vt:variant>
        <vt:lpwstr>_Toc322697370</vt:lpwstr>
      </vt:variant>
      <vt:variant>
        <vt:i4>1179707</vt:i4>
      </vt:variant>
      <vt:variant>
        <vt:i4>122</vt:i4>
      </vt:variant>
      <vt:variant>
        <vt:i4>0</vt:i4>
      </vt:variant>
      <vt:variant>
        <vt:i4>5</vt:i4>
      </vt:variant>
      <vt:variant>
        <vt:lpwstr/>
      </vt:variant>
      <vt:variant>
        <vt:lpwstr>_Toc322697369</vt:lpwstr>
      </vt:variant>
      <vt:variant>
        <vt:i4>1179707</vt:i4>
      </vt:variant>
      <vt:variant>
        <vt:i4>116</vt:i4>
      </vt:variant>
      <vt:variant>
        <vt:i4>0</vt:i4>
      </vt:variant>
      <vt:variant>
        <vt:i4>5</vt:i4>
      </vt:variant>
      <vt:variant>
        <vt:lpwstr/>
      </vt:variant>
      <vt:variant>
        <vt:lpwstr>_Toc322697368</vt:lpwstr>
      </vt:variant>
      <vt:variant>
        <vt:i4>1179707</vt:i4>
      </vt:variant>
      <vt:variant>
        <vt:i4>110</vt:i4>
      </vt:variant>
      <vt:variant>
        <vt:i4>0</vt:i4>
      </vt:variant>
      <vt:variant>
        <vt:i4>5</vt:i4>
      </vt:variant>
      <vt:variant>
        <vt:lpwstr/>
      </vt:variant>
      <vt:variant>
        <vt:lpwstr>_Toc322697367</vt:lpwstr>
      </vt:variant>
      <vt:variant>
        <vt:i4>1179707</vt:i4>
      </vt:variant>
      <vt:variant>
        <vt:i4>104</vt:i4>
      </vt:variant>
      <vt:variant>
        <vt:i4>0</vt:i4>
      </vt:variant>
      <vt:variant>
        <vt:i4>5</vt:i4>
      </vt:variant>
      <vt:variant>
        <vt:lpwstr/>
      </vt:variant>
      <vt:variant>
        <vt:lpwstr>_Toc322697366</vt:lpwstr>
      </vt:variant>
      <vt:variant>
        <vt:i4>1179707</vt:i4>
      </vt:variant>
      <vt:variant>
        <vt:i4>98</vt:i4>
      </vt:variant>
      <vt:variant>
        <vt:i4>0</vt:i4>
      </vt:variant>
      <vt:variant>
        <vt:i4>5</vt:i4>
      </vt:variant>
      <vt:variant>
        <vt:lpwstr/>
      </vt:variant>
      <vt:variant>
        <vt:lpwstr>_Toc322697365</vt:lpwstr>
      </vt:variant>
      <vt:variant>
        <vt:i4>1179707</vt:i4>
      </vt:variant>
      <vt:variant>
        <vt:i4>92</vt:i4>
      </vt:variant>
      <vt:variant>
        <vt:i4>0</vt:i4>
      </vt:variant>
      <vt:variant>
        <vt:i4>5</vt:i4>
      </vt:variant>
      <vt:variant>
        <vt:lpwstr/>
      </vt:variant>
      <vt:variant>
        <vt:lpwstr>_Toc322697364</vt:lpwstr>
      </vt:variant>
      <vt:variant>
        <vt:i4>1179707</vt:i4>
      </vt:variant>
      <vt:variant>
        <vt:i4>86</vt:i4>
      </vt:variant>
      <vt:variant>
        <vt:i4>0</vt:i4>
      </vt:variant>
      <vt:variant>
        <vt:i4>5</vt:i4>
      </vt:variant>
      <vt:variant>
        <vt:lpwstr/>
      </vt:variant>
      <vt:variant>
        <vt:lpwstr>_Toc322697363</vt:lpwstr>
      </vt:variant>
      <vt:variant>
        <vt:i4>1179707</vt:i4>
      </vt:variant>
      <vt:variant>
        <vt:i4>80</vt:i4>
      </vt:variant>
      <vt:variant>
        <vt:i4>0</vt:i4>
      </vt:variant>
      <vt:variant>
        <vt:i4>5</vt:i4>
      </vt:variant>
      <vt:variant>
        <vt:lpwstr/>
      </vt:variant>
      <vt:variant>
        <vt:lpwstr>_Toc322697362</vt:lpwstr>
      </vt:variant>
      <vt:variant>
        <vt:i4>1179707</vt:i4>
      </vt:variant>
      <vt:variant>
        <vt:i4>74</vt:i4>
      </vt:variant>
      <vt:variant>
        <vt:i4>0</vt:i4>
      </vt:variant>
      <vt:variant>
        <vt:i4>5</vt:i4>
      </vt:variant>
      <vt:variant>
        <vt:lpwstr/>
      </vt:variant>
      <vt:variant>
        <vt:lpwstr>_Toc322697361</vt:lpwstr>
      </vt:variant>
      <vt:variant>
        <vt:i4>1179707</vt:i4>
      </vt:variant>
      <vt:variant>
        <vt:i4>68</vt:i4>
      </vt:variant>
      <vt:variant>
        <vt:i4>0</vt:i4>
      </vt:variant>
      <vt:variant>
        <vt:i4>5</vt:i4>
      </vt:variant>
      <vt:variant>
        <vt:lpwstr/>
      </vt:variant>
      <vt:variant>
        <vt:lpwstr>_Toc322697360</vt:lpwstr>
      </vt:variant>
      <vt:variant>
        <vt:i4>1114171</vt:i4>
      </vt:variant>
      <vt:variant>
        <vt:i4>62</vt:i4>
      </vt:variant>
      <vt:variant>
        <vt:i4>0</vt:i4>
      </vt:variant>
      <vt:variant>
        <vt:i4>5</vt:i4>
      </vt:variant>
      <vt:variant>
        <vt:lpwstr/>
      </vt:variant>
      <vt:variant>
        <vt:lpwstr>_Toc322697359</vt:lpwstr>
      </vt:variant>
      <vt:variant>
        <vt:i4>1114171</vt:i4>
      </vt:variant>
      <vt:variant>
        <vt:i4>56</vt:i4>
      </vt:variant>
      <vt:variant>
        <vt:i4>0</vt:i4>
      </vt:variant>
      <vt:variant>
        <vt:i4>5</vt:i4>
      </vt:variant>
      <vt:variant>
        <vt:lpwstr/>
      </vt:variant>
      <vt:variant>
        <vt:lpwstr>_Toc322697358</vt:lpwstr>
      </vt:variant>
      <vt:variant>
        <vt:i4>1114171</vt:i4>
      </vt:variant>
      <vt:variant>
        <vt:i4>50</vt:i4>
      </vt:variant>
      <vt:variant>
        <vt:i4>0</vt:i4>
      </vt:variant>
      <vt:variant>
        <vt:i4>5</vt:i4>
      </vt:variant>
      <vt:variant>
        <vt:lpwstr/>
      </vt:variant>
      <vt:variant>
        <vt:lpwstr>_Toc322697357</vt:lpwstr>
      </vt:variant>
      <vt:variant>
        <vt:i4>1114171</vt:i4>
      </vt:variant>
      <vt:variant>
        <vt:i4>44</vt:i4>
      </vt:variant>
      <vt:variant>
        <vt:i4>0</vt:i4>
      </vt:variant>
      <vt:variant>
        <vt:i4>5</vt:i4>
      </vt:variant>
      <vt:variant>
        <vt:lpwstr/>
      </vt:variant>
      <vt:variant>
        <vt:lpwstr>_Toc322697356</vt:lpwstr>
      </vt:variant>
      <vt:variant>
        <vt:i4>1114171</vt:i4>
      </vt:variant>
      <vt:variant>
        <vt:i4>38</vt:i4>
      </vt:variant>
      <vt:variant>
        <vt:i4>0</vt:i4>
      </vt:variant>
      <vt:variant>
        <vt:i4>5</vt:i4>
      </vt:variant>
      <vt:variant>
        <vt:lpwstr/>
      </vt:variant>
      <vt:variant>
        <vt:lpwstr>_Toc322697355</vt:lpwstr>
      </vt:variant>
      <vt:variant>
        <vt:i4>1114171</vt:i4>
      </vt:variant>
      <vt:variant>
        <vt:i4>32</vt:i4>
      </vt:variant>
      <vt:variant>
        <vt:i4>0</vt:i4>
      </vt:variant>
      <vt:variant>
        <vt:i4>5</vt:i4>
      </vt:variant>
      <vt:variant>
        <vt:lpwstr/>
      </vt:variant>
      <vt:variant>
        <vt:lpwstr>_Toc322697354</vt:lpwstr>
      </vt:variant>
      <vt:variant>
        <vt:i4>1114171</vt:i4>
      </vt:variant>
      <vt:variant>
        <vt:i4>26</vt:i4>
      </vt:variant>
      <vt:variant>
        <vt:i4>0</vt:i4>
      </vt:variant>
      <vt:variant>
        <vt:i4>5</vt:i4>
      </vt:variant>
      <vt:variant>
        <vt:lpwstr/>
      </vt:variant>
      <vt:variant>
        <vt:lpwstr>_Toc322697353</vt:lpwstr>
      </vt:variant>
      <vt:variant>
        <vt:i4>1114171</vt:i4>
      </vt:variant>
      <vt:variant>
        <vt:i4>20</vt:i4>
      </vt:variant>
      <vt:variant>
        <vt:i4>0</vt:i4>
      </vt:variant>
      <vt:variant>
        <vt:i4>5</vt:i4>
      </vt:variant>
      <vt:variant>
        <vt:lpwstr/>
      </vt:variant>
      <vt:variant>
        <vt:lpwstr>_Toc322697352</vt:lpwstr>
      </vt:variant>
      <vt:variant>
        <vt:i4>1114171</vt:i4>
      </vt:variant>
      <vt:variant>
        <vt:i4>14</vt:i4>
      </vt:variant>
      <vt:variant>
        <vt:i4>0</vt:i4>
      </vt:variant>
      <vt:variant>
        <vt:i4>5</vt:i4>
      </vt:variant>
      <vt:variant>
        <vt:lpwstr/>
      </vt:variant>
      <vt:variant>
        <vt:lpwstr>_Toc322697351</vt:lpwstr>
      </vt:variant>
      <vt:variant>
        <vt:i4>1114171</vt:i4>
      </vt:variant>
      <vt:variant>
        <vt:i4>8</vt:i4>
      </vt:variant>
      <vt:variant>
        <vt:i4>0</vt:i4>
      </vt:variant>
      <vt:variant>
        <vt:i4>5</vt:i4>
      </vt:variant>
      <vt:variant>
        <vt:lpwstr/>
      </vt:variant>
      <vt:variant>
        <vt:lpwstr>_Toc322697350</vt:lpwstr>
      </vt:variant>
      <vt:variant>
        <vt:i4>1048635</vt:i4>
      </vt:variant>
      <vt:variant>
        <vt:i4>2</vt:i4>
      </vt:variant>
      <vt:variant>
        <vt:i4>0</vt:i4>
      </vt:variant>
      <vt:variant>
        <vt:i4>5</vt:i4>
      </vt:variant>
      <vt:variant>
        <vt:lpwstr/>
      </vt:variant>
      <vt:variant>
        <vt:lpwstr>_Toc322697349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2012-10-09T05:06:00Z</dcterms:created>
  <dcterms:modified xsi:type="dcterms:W3CDTF">2012-10-09T05:07:00Z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