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F2D" w:rsidRDefault="00E81722">
      <w:pPr>
        <w:pStyle w:val="BodyText"/>
        <w:ind w:left="2208"/>
        <w:rPr>
          <w:rFonts w:ascii="Times New Roman"/>
        </w:rPr>
      </w:pPr>
      <w:r>
        <w:rPr>
          <w:rFonts w:ascii="Times New Roman"/>
          <w:noProof/>
          <w:lang w:val="en-AU" w:eastAsia="en-AU"/>
        </w:rPr>
        <w:drawing>
          <wp:inline distT="0" distB="0" distL="0" distR="0">
            <wp:extent cx="2315152" cy="77323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5152" cy="773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F2D" w:rsidRDefault="001F0F2D">
      <w:pPr>
        <w:pStyle w:val="BodyText"/>
        <w:rPr>
          <w:rFonts w:ascii="Times New Roman"/>
        </w:rPr>
      </w:pPr>
    </w:p>
    <w:p w:rsidR="001F0F2D" w:rsidRDefault="001F0F2D">
      <w:pPr>
        <w:pStyle w:val="BodyText"/>
        <w:rPr>
          <w:rFonts w:ascii="Times New Roman"/>
        </w:rPr>
      </w:pPr>
    </w:p>
    <w:p w:rsidR="001F0F2D" w:rsidRDefault="001F0F2D">
      <w:pPr>
        <w:pStyle w:val="BodyText"/>
        <w:spacing w:before="10"/>
        <w:rPr>
          <w:rFonts w:ascii="Times New Roman"/>
          <w:sz w:val="15"/>
        </w:rPr>
      </w:pPr>
    </w:p>
    <w:p w:rsidR="001F0F2D" w:rsidRDefault="000F0307" w:rsidP="004014C3">
      <w:pPr>
        <w:pStyle w:val="Heading1"/>
        <w:ind w:left="2880"/>
        <w:rPr>
          <w:color w:val="231F20"/>
        </w:rPr>
      </w:pPr>
      <w:r>
        <w:rPr>
          <w:color w:val="231F20"/>
        </w:rPr>
        <w:t>AER REFERENCE</w:t>
      </w:r>
      <w:r w:rsidR="00E81722">
        <w:rPr>
          <w:color w:val="231F20"/>
          <w:spacing w:val="51"/>
        </w:rPr>
        <w:t xml:space="preserve"> </w:t>
      </w:r>
      <w:r w:rsidR="00E81722">
        <w:rPr>
          <w:color w:val="231F20"/>
        </w:rPr>
        <w:t>GROUP</w:t>
      </w:r>
    </w:p>
    <w:p w:rsidR="001F0F2D" w:rsidRDefault="00AA5E5E" w:rsidP="004014C3">
      <w:pPr>
        <w:spacing w:before="194"/>
        <w:ind w:left="1172" w:right="64" w:firstLine="268"/>
        <w:rPr>
          <w:rFonts w:ascii="Cambria"/>
          <w:b/>
          <w:sz w:val="26"/>
        </w:rPr>
      </w:pPr>
      <w:r>
        <w:rPr>
          <w:rFonts w:ascii="Cambria"/>
          <w:b/>
          <w:color w:val="231F20"/>
          <w:w w:val="105"/>
          <w:sz w:val="26"/>
        </w:rPr>
        <w:t>Record of m</w:t>
      </w:r>
      <w:r w:rsidR="00E81722">
        <w:rPr>
          <w:rFonts w:ascii="Cambria"/>
          <w:b/>
          <w:color w:val="231F20"/>
          <w:w w:val="105"/>
          <w:sz w:val="26"/>
        </w:rPr>
        <w:t xml:space="preserve">eeting </w:t>
      </w:r>
      <w:r w:rsidR="000F0307">
        <w:rPr>
          <w:rFonts w:ascii="Cambria"/>
          <w:b/>
          <w:color w:val="231F20"/>
          <w:w w:val="120"/>
          <w:sz w:val="26"/>
        </w:rPr>
        <w:t>–</w:t>
      </w:r>
      <w:r w:rsidR="00E81722">
        <w:rPr>
          <w:rFonts w:ascii="Cambria"/>
          <w:b/>
          <w:color w:val="231F20"/>
          <w:w w:val="120"/>
          <w:sz w:val="26"/>
        </w:rPr>
        <w:t xml:space="preserve"> </w:t>
      </w:r>
      <w:r w:rsidR="000F0307">
        <w:rPr>
          <w:rFonts w:ascii="Cambria"/>
          <w:b/>
          <w:color w:val="231F20"/>
          <w:w w:val="105"/>
          <w:sz w:val="26"/>
        </w:rPr>
        <w:t>22 September</w:t>
      </w:r>
      <w:r w:rsidR="00E81722">
        <w:rPr>
          <w:rFonts w:ascii="Cambria"/>
          <w:b/>
          <w:color w:val="231F20"/>
          <w:w w:val="105"/>
          <w:sz w:val="26"/>
        </w:rPr>
        <w:t xml:space="preserve"> 2017</w:t>
      </w:r>
    </w:p>
    <w:p w:rsidR="001F0F2D" w:rsidRDefault="001F0F2D">
      <w:pPr>
        <w:pStyle w:val="BodyText"/>
        <w:rPr>
          <w:rFonts w:ascii="Cambria"/>
          <w:b/>
          <w:sz w:val="26"/>
        </w:rPr>
      </w:pPr>
    </w:p>
    <w:p w:rsidR="001F0F2D" w:rsidRDefault="001F0F2D">
      <w:pPr>
        <w:pStyle w:val="BodyText"/>
        <w:rPr>
          <w:rFonts w:ascii="Cambria"/>
          <w:b/>
        </w:rPr>
      </w:pPr>
    </w:p>
    <w:p w:rsidR="0008631F" w:rsidRPr="00C111AE" w:rsidRDefault="00E81722" w:rsidP="00465406">
      <w:pPr>
        <w:pStyle w:val="ListParagraph"/>
        <w:numPr>
          <w:ilvl w:val="0"/>
          <w:numId w:val="1"/>
        </w:numPr>
        <w:tabs>
          <w:tab w:val="left" w:pos="475"/>
        </w:tabs>
        <w:spacing w:before="113"/>
        <w:rPr>
          <w:color w:val="231F20"/>
          <w:w w:val="105"/>
          <w:sz w:val="20"/>
        </w:rPr>
      </w:pPr>
      <w:r w:rsidRPr="009D037C">
        <w:rPr>
          <w:color w:val="231F20"/>
          <w:w w:val="105"/>
          <w:sz w:val="20"/>
        </w:rPr>
        <w:t>The</w:t>
      </w:r>
      <w:r w:rsidRPr="009D037C">
        <w:rPr>
          <w:color w:val="231F20"/>
          <w:spacing w:val="-12"/>
          <w:w w:val="105"/>
          <w:sz w:val="20"/>
        </w:rPr>
        <w:t xml:space="preserve"> </w:t>
      </w:r>
      <w:r w:rsidRPr="009D037C">
        <w:rPr>
          <w:color w:val="231F20"/>
          <w:w w:val="105"/>
          <w:sz w:val="20"/>
        </w:rPr>
        <w:t>Australian</w:t>
      </w:r>
      <w:r w:rsidRPr="009D037C">
        <w:rPr>
          <w:color w:val="231F20"/>
          <w:spacing w:val="-12"/>
          <w:w w:val="105"/>
          <w:sz w:val="20"/>
        </w:rPr>
        <w:t xml:space="preserve"> </w:t>
      </w:r>
      <w:r w:rsidRPr="009D037C">
        <w:rPr>
          <w:color w:val="231F20"/>
          <w:w w:val="105"/>
          <w:sz w:val="20"/>
        </w:rPr>
        <w:t>Energy</w:t>
      </w:r>
      <w:r w:rsidRPr="009D037C">
        <w:rPr>
          <w:color w:val="231F20"/>
          <w:spacing w:val="-17"/>
          <w:w w:val="105"/>
          <w:sz w:val="20"/>
        </w:rPr>
        <w:t xml:space="preserve"> </w:t>
      </w:r>
      <w:r w:rsidRPr="009D037C">
        <w:rPr>
          <w:color w:val="231F20"/>
          <w:w w:val="105"/>
          <w:sz w:val="20"/>
        </w:rPr>
        <w:t>Regulator</w:t>
      </w:r>
      <w:r w:rsidRPr="009D037C">
        <w:rPr>
          <w:color w:val="231F20"/>
          <w:spacing w:val="-14"/>
          <w:w w:val="105"/>
          <w:sz w:val="20"/>
        </w:rPr>
        <w:t xml:space="preserve"> </w:t>
      </w:r>
      <w:r w:rsidRPr="009D037C">
        <w:rPr>
          <w:color w:val="231F20"/>
          <w:w w:val="105"/>
          <w:sz w:val="20"/>
        </w:rPr>
        <w:t>(AER)</w:t>
      </w:r>
      <w:r w:rsidR="00057901">
        <w:rPr>
          <w:color w:val="231F20"/>
          <w:w w:val="105"/>
          <w:sz w:val="20"/>
        </w:rPr>
        <w:t xml:space="preserve"> </w:t>
      </w:r>
      <w:r w:rsidR="0008631F">
        <w:rPr>
          <w:color w:val="231F20"/>
          <w:w w:val="105"/>
          <w:sz w:val="20"/>
        </w:rPr>
        <w:t xml:space="preserve">has convened a </w:t>
      </w:r>
      <w:r w:rsidR="00057901">
        <w:rPr>
          <w:color w:val="231F20"/>
          <w:w w:val="105"/>
          <w:sz w:val="20"/>
        </w:rPr>
        <w:t>customer information and engagement</w:t>
      </w:r>
      <w:r w:rsidRPr="00465406">
        <w:rPr>
          <w:color w:val="231F20"/>
          <w:w w:val="105"/>
          <w:sz w:val="20"/>
        </w:rPr>
        <w:t xml:space="preserve"> </w:t>
      </w:r>
      <w:r w:rsidR="009D037C" w:rsidRPr="009D037C">
        <w:rPr>
          <w:color w:val="231F20"/>
          <w:w w:val="105"/>
          <w:sz w:val="20"/>
        </w:rPr>
        <w:t>reference</w:t>
      </w:r>
      <w:r w:rsidR="00057901">
        <w:rPr>
          <w:color w:val="231F20"/>
          <w:w w:val="105"/>
          <w:sz w:val="20"/>
        </w:rPr>
        <w:t xml:space="preserve"> </w:t>
      </w:r>
      <w:r w:rsidR="009D037C" w:rsidRPr="009D037C">
        <w:rPr>
          <w:color w:val="231F20"/>
          <w:w w:val="105"/>
          <w:sz w:val="20"/>
        </w:rPr>
        <w:t>group</w:t>
      </w:r>
      <w:r w:rsidRPr="00465406">
        <w:rPr>
          <w:color w:val="231F20"/>
          <w:w w:val="105"/>
          <w:sz w:val="20"/>
        </w:rPr>
        <w:t xml:space="preserve"> </w:t>
      </w:r>
      <w:r w:rsidR="0008631F" w:rsidRPr="00465406">
        <w:rPr>
          <w:color w:val="231F20"/>
          <w:w w:val="105"/>
          <w:sz w:val="20"/>
        </w:rPr>
        <w:t>to inform its work on improving the clarity and accessibility of information customers receive about the energy market.</w:t>
      </w:r>
    </w:p>
    <w:p w:rsidR="00057901" w:rsidRPr="00CF2422" w:rsidRDefault="0008631F" w:rsidP="00465406">
      <w:pPr>
        <w:pStyle w:val="ListParagraph"/>
        <w:numPr>
          <w:ilvl w:val="0"/>
          <w:numId w:val="1"/>
        </w:numPr>
        <w:tabs>
          <w:tab w:val="left" w:pos="475"/>
        </w:tabs>
        <w:spacing w:before="113"/>
        <w:rPr>
          <w:color w:val="231F20"/>
          <w:w w:val="105"/>
          <w:sz w:val="20"/>
        </w:rPr>
      </w:pPr>
      <w:r>
        <w:rPr>
          <w:color w:val="231F20"/>
          <w:w w:val="105"/>
          <w:sz w:val="20"/>
        </w:rPr>
        <w:t xml:space="preserve">The group </w:t>
      </w:r>
      <w:r w:rsidR="00E81722" w:rsidRPr="009D037C">
        <w:rPr>
          <w:color w:val="231F20"/>
          <w:w w:val="105"/>
          <w:sz w:val="20"/>
        </w:rPr>
        <w:t>met</w:t>
      </w:r>
      <w:r w:rsidR="00E81722" w:rsidRPr="00465406">
        <w:rPr>
          <w:color w:val="231F20"/>
          <w:w w:val="105"/>
          <w:sz w:val="20"/>
        </w:rPr>
        <w:t xml:space="preserve"> </w:t>
      </w:r>
      <w:r w:rsidR="00E81722" w:rsidRPr="009D037C">
        <w:rPr>
          <w:color w:val="231F20"/>
          <w:w w:val="105"/>
          <w:sz w:val="20"/>
        </w:rPr>
        <w:t>for</w:t>
      </w:r>
      <w:r w:rsidR="00E81722" w:rsidRPr="00465406">
        <w:rPr>
          <w:color w:val="231F20"/>
          <w:w w:val="105"/>
          <w:sz w:val="20"/>
        </w:rPr>
        <w:t xml:space="preserve"> </w:t>
      </w:r>
      <w:r w:rsidR="00E81722" w:rsidRPr="009D037C">
        <w:rPr>
          <w:color w:val="231F20"/>
          <w:w w:val="105"/>
          <w:sz w:val="20"/>
        </w:rPr>
        <w:t>the</w:t>
      </w:r>
      <w:r w:rsidR="00E81722" w:rsidRPr="00465406">
        <w:rPr>
          <w:color w:val="231F20"/>
          <w:w w:val="105"/>
          <w:sz w:val="20"/>
        </w:rPr>
        <w:t xml:space="preserve"> </w:t>
      </w:r>
      <w:r w:rsidR="00E81722" w:rsidRPr="009D037C">
        <w:rPr>
          <w:color w:val="231F20"/>
          <w:w w:val="105"/>
          <w:sz w:val="20"/>
        </w:rPr>
        <w:t>first</w:t>
      </w:r>
      <w:r w:rsidR="00E81722" w:rsidRPr="00465406">
        <w:rPr>
          <w:color w:val="231F20"/>
          <w:w w:val="105"/>
          <w:sz w:val="20"/>
        </w:rPr>
        <w:t xml:space="preserve"> </w:t>
      </w:r>
      <w:r w:rsidR="00E81722" w:rsidRPr="009D037C">
        <w:rPr>
          <w:color w:val="231F20"/>
          <w:w w:val="105"/>
          <w:sz w:val="20"/>
        </w:rPr>
        <w:t>time</w:t>
      </w:r>
      <w:r w:rsidR="00E81722" w:rsidRPr="00465406">
        <w:rPr>
          <w:color w:val="231F20"/>
          <w:w w:val="105"/>
          <w:sz w:val="20"/>
        </w:rPr>
        <w:t xml:space="preserve"> </w:t>
      </w:r>
      <w:r w:rsidR="00E81722" w:rsidRPr="009D037C">
        <w:rPr>
          <w:color w:val="231F20"/>
          <w:w w:val="105"/>
          <w:sz w:val="20"/>
        </w:rPr>
        <w:t>on</w:t>
      </w:r>
      <w:r w:rsidR="00E81722" w:rsidRPr="00465406">
        <w:rPr>
          <w:color w:val="231F20"/>
          <w:w w:val="105"/>
          <w:sz w:val="20"/>
        </w:rPr>
        <w:t xml:space="preserve"> </w:t>
      </w:r>
      <w:r w:rsidR="009D037C" w:rsidRPr="009D037C">
        <w:rPr>
          <w:color w:val="231F20"/>
          <w:w w:val="105"/>
          <w:sz w:val="20"/>
        </w:rPr>
        <w:t>22</w:t>
      </w:r>
      <w:r w:rsidR="00E81722" w:rsidRPr="00465406">
        <w:rPr>
          <w:color w:val="231F20"/>
          <w:w w:val="105"/>
          <w:sz w:val="20"/>
        </w:rPr>
        <w:t xml:space="preserve"> </w:t>
      </w:r>
      <w:r w:rsidR="009D037C" w:rsidRPr="009D037C">
        <w:rPr>
          <w:color w:val="231F20"/>
          <w:w w:val="105"/>
          <w:sz w:val="20"/>
        </w:rPr>
        <w:t>September</w:t>
      </w:r>
      <w:r w:rsidR="00E81722" w:rsidRPr="00465406">
        <w:rPr>
          <w:color w:val="231F20"/>
          <w:w w:val="105"/>
          <w:sz w:val="20"/>
        </w:rPr>
        <w:t xml:space="preserve"> </w:t>
      </w:r>
      <w:r w:rsidR="00E81722" w:rsidRPr="009D037C">
        <w:rPr>
          <w:color w:val="231F20"/>
          <w:w w:val="105"/>
          <w:sz w:val="20"/>
        </w:rPr>
        <w:t>2017</w:t>
      </w:r>
      <w:r w:rsidR="00961734" w:rsidRPr="00465406">
        <w:rPr>
          <w:color w:val="231F20"/>
          <w:w w:val="105"/>
          <w:sz w:val="20"/>
        </w:rPr>
        <w:t xml:space="preserve"> (</w:t>
      </w:r>
      <w:r w:rsidR="00961734" w:rsidRPr="00CF2422">
        <w:rPr>
          <w:color w:val="231F20"/>
          <w:w w:val="105"/>
          <w:sz w:val="20"/>
        </w:rPr>
        <w:t xml:space="preserve">see member list at </w:t>
      </w:r>
      <w:r w:rsidR="00961734" w:rsidRPr="00465406">
        <w:rPr>
          <w:b/>
          <w:color w:val="231F20"/>
          <w:w w:val="105"/>
          <w:sz w:val="20"/>
        </w:rPr>
        <w:t>Attachment A</w:t>
      </w:r>
      <w:r w:rsidR="00961734" w:rsidRPr="00CF2422">
        <w:rPr>
          <w:color w:val="231F20"/>
          <w:w w:val="105"/>
          <w:sz w:val="20"/>
        </w:rPr>
        <w:t>)</w:t>
      </w:r>
      <w:r w:rsidR="00D35F07">
        <w:rPr>
          <w:color w:val="231F20"/>
          <w:w w:val="105"/>
          <w:sz w:val="20"/>
        </w:rPr>
        <w:t>.</w:t>
      </w:r>
    </w:p>
    <w:p w:rsidR="001F0F2D" w:rsidRPr="00FB14A4" w:rsidRDefault="000F0307" w:rsidP="00E2676D">
      <w:pPr>
        <w:pStyle w:val="ListParagraph"/>
        <w:numPr>
          <w:ilvl w:val="0"/>
          <w:numId w:val="1"/>
        </w:numPr>
        <w:tabs>
          <w:tab w:val="left" w:pos="475"/>
        </w:tabs>
        <w:spacing w:before="113"/>
        <w:rPr>
          <w:sz w:val="20"/>
        </w:rPr>
      </w:pPr>
      <w:r w:rsidRPr="00FB14A4">
        <w:rPr>
          <w:color w:val="231F20"/>
          <w:w w:val="105"/>
          <w:sz w:val="20"/>
        </w:rPr>
        <w:t>AER</w:t>
      </w:r>
      <w:r w:rsidR="00E81722" w:rsidRPr="00465406">
        <w:rPr>
          <w:color w:val="231F20"/>
          <w:w w:val="105"/>
          <w:sz w:val="20"/>
        </w:rPr>
        <w:t xml:space="preserve"> </w:t>
      </w:r>
      <w:r w:rsidR="00E81722" w:rsidRPr="00FB14A4">
        <w:rPr>
          <w:color w:val="231F20"/>
          <w:w w:val="105"/>
          <w:sz w:val="20"/>
        </w:rPr>
        <w:t>Chair,</w:t>
      </w:r>
      <w:r w:rsidR="00E81722" w:rsidRPr="00465406">
        <w:rPr>
          <w:color w:val="231F20"/>
          <w:w w:val="105"/>
          <w:sz w:val="20"/>
        </w:rPr>
        <w:t xml:space="preserve"> </w:t>
      </w:r>
      <w:r w:rsidRPr="00FB14A4">
        <w:rPr>
          <w:color w:val="231F20"/>
          <w:w w:val="105"/>
          <w:sz w:val="20"/>
        </w:rPr>
        <w:t>Paula Conboy</w:t>
      </w:r>
      <w:r w:rsidR="00E2676D">
        <w:rPr>
          <w:color w:val="231F20"/>
          <w:w w:val="105"/>
          <w:sz w:val="20"/>
        </w:rPr>
        <w:t xml:space="preserve"> (PC)</w:t>
      </w:r>
      <w:r w:rsidR="00E81722" w:rsidRPr="00FB14A4">
        <w:rPr>
          <w:color w:val="231F20"/>
          <w:w w:val="105"/>
          <w:sz w:val="20"/>
        </w:rPr>
        <w:t>,</w:t>
      </w:r>
      <w:r w:rsidR="00E81722" w:rsidRPr="00465406">
        <w:rPr>
          <w:color w:val="231F20"/>
          <w:w w:val="105"/>
          <w:sz w:val="20"/>
        </w:rPr>
        <w:t xml:space="preserve"> </w:t>
      </w:r>
      <w:r w:rsidR="00E81722" w:rsidRPr="00FB14A4">
        <w:rPr>
          <w:color w:val="231F20"/>
          <w:w w:val="105"/>
          <w:sz w:val="20"/>
        </w:rPr>
        <w:t>noted</w:t>
      </w:r>
      <w:r w:rsidR="00E81722" w:rsidRPr="00465406">
        <w:rPr>
          <w:color w:val="231F20"/>
          <w:w w:val="105"/>
          <w:sz w:val="20"/>
        </w:rPr>
        <w:t xml:space="preserve"> </w:t>
      </w:r>
      <w:r w:rsidR="0008631F" w:rsidRPr="00465406">
        <w:rPr>
          <w:color w:val="231F20"/>
          <w:w w:val="105"/>
          <w:sz w:val="20"/>
        </w:rPr>
        <w:t xml:space="preserve">a number of </w:t>
      </w:r>
      <w:r w:rsidR="00FB14A4" w:rsidRPr="00465406">
        <w:rPr>
          <w:color w:val="231F20"/>
          <w:w w:val="105"/>
          <w:sz w:val="20"/>
        </w:rPr>
        <w:t xml:space="preserve">the </w:t>
      </w:r>
      <w:r w:rsidR="007E3297">
        <w:rPr>
          <w:color w:val="231F20"/>
          <w:w w:val="105"/>
          <w:sz w:val="20"/>
        </w:rPr>
        <w:t xml:space="preserve">commitments made at </w:t>
      </w:r>
      <w:r w:rsidR="00FB14A4" w:rsidRPr="00FE21EB">
        <w:rPr>
          <w:color w:val="231F20"/>
          <w:w w:val="105"/>
          <w:sz w:val="20"/>
        </w:rPr>
        <w:t>the recent meetings between the Prime Minister</w:t>
      </w:r>
      <w:r w:rsidR="00E2676D">
        <w:rPr>
          <w:color w:val="231F20"/>
          <w:w w:val="105"/>
          <w:sz w:val="20"/>
        </w:rPr>
        <w:t>, Energy Minister and Treasurer</w:t>
      </w:r>
      <w:r w:rsidR="00FB14A4" w:rsidRPr="00FE21EB">
        <w:rPr>
          <w:color w:val="231F20"/>
          <w:w w:val="105"/>
          <w:sz w:val="20"/>
        </w:rPr>
        <w:t xml:space="preserve"> and energy retailers</w:t>
      </w:r>
      <w:r w:rsidR="00975ED3">
        <w:rPr>
          <w:color w:val="231F20"/>
          <w:w w:val="105"/>
          <w:sz w:val="20"/>
        </w:rPr>
        <w:t xml:space="preserve"> (commitments</w:t>
      </w:r>
      <w:r w:rsidR="0008631F">
        <w:rPr>
          <w:color w:val="231F20"/>
          <w:w w:val="105"/>
          <w:sz w:val="20"/>
        </w:rPr>
        <w:t>)</w:t>
      </w:r>
      <w:r w:rsidR="00FB14A4">
        <w:rPr>
          <w:color w:val="231F20"/>
          <w:w w:val="105"/>
          <w:sz w:val="20"/>
        </w:rPr>
        <w:t xml:space="preserve"> </w:t>
      </w:r>
      <w:r w:rsidR="00FE21EB">
        <w:rPr>
          <w:color w:val="231F20"/>
          <w:w w:val="105"/>
          <w:sz w:val="20"/>
        </w:rPr>
        <w:t>align with the</w:t>
      </w:r>
      <w:r w:rsidR="00E81722" w:rsidRPr="00FE21EB">
        <w:rPr>
          <w:color w:val="231F20"/>
          <w:w w:val="105"/>
          <w:sz w:val="20"/>
        </w:rPr>
        <w:t xml:space="preserve"> </w:t>
      </w:r>
      <w:r w:rsidR="00E81722" w:rsidRPr="00FB14A4">
        <w:rPr>
          <w:color w:val="231F20"/>
          <w:w w:val="105"/>
          <w:sz w:val="20"/>
        </w:rPr>
        <w:t>AER</w:t>
      </w:r>
      <w:r w:rsidR="00FE21EB">
        <w:rPr>
          <w:color w:val="231F20"/>
          <w:w w:val="105"/>
          <w:sz w:val="20"/>
        </w:rPr>
        <w:t xml:space="preserve">’s strategic focus </w:t>
      </w:r>
      <w:r w:rsidR="0008631F">
        <w:rPr>
          <w:color w:val="231F20"/>
          <w:w w:val="105"/>
          <w:sz w:val="20"/>
        </w:rPr>
        <w:t xml:space="preserve">of </w:t>
      </w:r>
      <w:r w:rsidR="00FE21EB">
        <w:rPr>
          <w:color w:val="231F20"/>
          <w:w w:val="105"/>
          <w:sz w:val="20"/>
        </w:rPr>
        <w:t xml:space="preserve">placing customers at the heart of a transitioning market. </w:t>
      </w:r>
      <w:r w:rsidR="0008631F">
        <w:rPr>
          <w:color w:val="231F20"/>
          <w:w w:val="105"/>
          <w:sz w:val="20"/>
        </w:rPr>
        <w:t>PC</w:t>
      </w:r>
      <w:r w:rsidR="00E2676D">
        <w:rPr>
          <w:color w:val="231F20"/>
          <w:w w:val="105"/>
          <w:sz w:val="20"/>
        </w:rPr>
        <w:t xml:space="preserve">: </w:t>
      </w:r>
    </w:p>
    <w:p w:rsidR="001F0F2D" w:rsidRPr="0013568C" w:rsidRDefault="007E3297" w:rsidP="007E3297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spacing w:before="112"/>
        <w:ind w:left="829"/>
        <w:rPr>
          <w:color w:val="231F20"/>
          <w:w w:val="105"/>
          <w:sz w:val="20"/>
        </w:rPr>
      </w:pPr>
      <w:proofErr w:type="gramStart"/>
      <w:r>
        <w:rPr>
          <w:color w:val="231F20"/>
          <w:w w:val="105"/>
          <w:sz w:val="20"/>
        </w:rPr>
        <w:t>n</w:t>
      </w:r>
      <w:r w:rsidR="00E2676D">
        <w:rPr>
          <w:color w:val="231F20"/>
          <w:w w:val="105"/>
          <w:sz w:val="20"/>
        </w:rPr>
        <w:t>oted</w:t>
      </w:r>
      <w:proofErr w:type="gramEnd"/>
      <w:r w:rsidR="00E2676D">
        <w:rPr>
          <w:color w:val="231F20"/>
          <w:w w:val="105"/>
          <w:sz w:val="20"/>
        </w:rPr>
        <w:t xml:space="preserve"> </w:t>
      </w:r>
      <w:r w:rsidR="0013568C">
        <w:rPr>
          <w:color w:val="231F20"/>
          <w:w w:val="105"/>
          <w:sz w:val="20"/>
        </w:rPr>
        <w:t>many energy customers</w:t>
      </w:r>
      <w:r w:rsidR="00312921">
        <w:rPr>
          <w:color w:val="231F20"/>
          <w:w w:val="105"/>
          <w:sz w:val="20"/>
        </w:rPr>
        <w:t xml:space="preserve"> </w:t>
      </w:r>
      <w:r w:rsidR="0013568C">
        <w:rPr>
          <w:color w:val="231F20"/>
          <w:w w:val="105"/>
          <w:sz w:val="20"/>
        </w:rPr>
        <w:t xml:space="preserve">are </w:t>
      </w:r>
      <w:r w:rsidR="00E2676D">
        <w:rPr>
          <w:color w:val="231F20"/>
          <w:w w:val="105"/>
          <w:sz w:val="20"/>
        </w:rPr>
        <w:t>not actively engaged with the market</w:t>
      </w:r>
      <w:r w:rsidR="0008631F">
        <w:rPr>
          <w:color w:val="231F20"/>
          <w:w w:val="105"/>
          <w:sz w:val="20"/>
        </w:rPr>
        <w:t>, for various reasons, one of which is the complexity of information provided and concern about making a ‘wrong’ decision</w:t>
      </w:r>
      <w:r w:rsidR="00E2676D">
        <w:rPr>
          <w:color w:val="231F20"/>
          <w:w w:val="105"/>
          <w:sz w:val="20"/>
        </w:rPr>
        <w:t xml:space="preserve">. </w:t>
      </w:r>
    </w:p>
    <w:p w:rsidR="001F0F2D" w:rsidRDefault="0008631F" w:rsidP="0013568C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spacing w:before="112"/>
        <w:ind w:left="829"/>
        <w:rPr>
          <w:color w:val="231F20"/>
          <w:w w:val="105"/>
          <w:sz w:val="20"/>
        </w:rPr>
      </w:pPr>
      <w:r>
        <w:rPr>
          <w:color w:val="231F20"/>
          <w:w w:val="105"/>
          <w:sz w:val="20"/>
        </w:rPr>
        <w:t xml:space="preserve">advised the process is coming at a good time, </w:t>
      </w:r>
      <w:r w:rsidR="007E3297">
        <w:rPr>
          <w:color w:val="231F20"/>
          <w:w w:val="105"/>
          <w:sz w:val="20"/>
        </w:rPr>
        <w:t>as</w:t>
      </w:r>
      <w:r w:rsidR="00E2676D">
        <w:rPr>
          <w:color w:val="231F20"/>
          <w:w w:val="105"/>
          <w:sz w:val="20"/>
        </w:rPr>
        <w:t xml:space="preserve"> </w:t>
      </w:r>
      <w:r w:rsidR="00E81722">
        <w:rPr>
          <w:color w:val="231F20"/>
          <w:w w:val="105"/>
          <w:sz w:val="20"/>
        </w:rPr>
        <w:t xml:space="preserve">the AER </w:t>
      </w:r>
      <w:r w:rsidR="0013568C">
        <w:rPr>
          <w:color w:val="231F20"/>
          <w:w w:val="105"/>
          <w:sz w:val="20"/>
        </w:rPr>
        <w:t xml:space="preserve">has been </w:t>
      </w:r>
      <w:r w:rsidR="0013568C" w:rsidRPr="0013568C">
        <w:rPr>
          <w:color w:val="231F20"/>
          <w:w w:val="105"/>
          <w:sz w:val="20"/>
        </w:rPr>
        <w:t>increasingly thinking about how information about energy services can be made simpler and more useful to customers</w:t>
      </w:r>
    </w:p>
    <w:p w:rsidR="00172C35" w:rsidRPr="0013568C" w:rsidRDefault="00E2676D" w:rsidP="0013568C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spacing w:before="112"/>
        <w:ind w:left="829"/>
        <w:rPr>
          <w:color w:val="231F20"/>
          <w:w w:val="105"/>
          <w:sz w:val="20"/>
        </w:rPr>
      </w:pPr>
      <w:r>
        <w:rPr>
          <w:color w:val="231F20"/>
          <w:w w:val="105"/>
          <w:sz w:val="20"/>
        </w:rPr>
        <w:t>welcomed the</w:t>
      </w:r>
      <w:r w:rsidR="00172C35" w:rsidRPr="00172C35">
        <w:rPr>
          <w:color w:val="231F20"/>
          <w:w w:val="105"/>
          <w:sz w:val="20"/>
        </w:rPr>
        <w:t xml:space="preserve"> opportunity to work</w:t>
      </w:r>
      <w:r w:rsidR="00485BF7">
        <w:rPr>
          <w:color w:val="231F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with energy retailers and consumer representatives</w:t>
      </w:r>
      <w:r w:rsidR="00172C35" w:rsidRPr="00172C35">
        <w:rPr>
          <w:color w:val="231F20"/>
          <w:w w:val="105"/>
          <w:sz w:val="20"/>
        </w:rPr>
        <w:t xml:space="preserve"> to make the information consumers receive about energy more useful</w:t>
      </w:r>
      <w:r>
        <w:rPr>
          <w:color w:val="231F20"/>
          <w:w w:val="105"/>
          <w:sz w:val="20"/>
        </w:rPr>
        <w:t>.</w:t>
      </w:r>
    </w:p>
    <w:p w:rsidR="00376841" w:rsidRPr="008B00A5" w:rsidRDefault="00F05E31">
      <w:pPr>
        <w:pStyle w:val="ListParagraph"/>
        <w:numPr>
          <w:ilvl w:val="0"/>
          <w:numId w:val="1"/>
        </w:numPr>
        <w:tabs>
          <w:tab w:val="left" w:pos="475"/>
        </w:tabs>
        <w:spacing w:before="113" w:line="247" w:lineRule="auto"/>
        <w:ind w:right="167" w:hanging="339"/>
        <w:rPr>
          <w:sz w:val="20"/>
        </w:rPr>
      </w:pPr>
      <w:r>
        <w:rPr>
          <w:color w:val="231F20"/>
          <w:w w:val="105"/>
          <w:sz w:val="20"/>
        </w:rPr>
        <w:t xml:space="preserve">The </w:t>
      </w:r>
      <w:r w:rsidR="00E2676D">
        <w:rPr>
          <w:color w:val="231F20"/>
          <w:w w:val="105"/>
          <w:sz w:val="20"/>
        </w:rPr>
        <w:t xml:space="preserve">reference group </w:t>
      </w:r>
      <w:r>
        <w:rPr>
          <w:color w:val="231F20"/>
          <w:w w:val="105"/>
          <w:sz w:val="20"/>
        </w:rPr>
        <w:t xml:space="preserve">Chair, Sarah Proudfoot, noted </w:t>
      </w:r>
      <w:r w:rsidR="00057901" w:rsidRPr="00EA2881">
        <w:rPr>
          <w:color w:val="231F20"/>
          <w:w w:val="105"/>
          <w:sz w:val="20"/>
        </w:rPr>
        <w:t xml:space="preserve">that a number of the </w:t>
      </w:r>
      <w:r w:rsidR="00975ED3" w:rsidRPr="00EA2881">
        <w:rPr>
          <w:color w:val="231F20"/>
          <w:w w:val="105"/>
          <w:sz w:val="20"/>
        </w:rPr>
        <w:t>c</w:t>
      </w:r>
      <w:r w:rsidR="00057901" w:rsidRPr="00EA2881">
        <w:rPr>
          <w:color w:val="231F20"/>
          <w:w w:val="105"/>
          <w:sz w:val="20"/>
        </w:rPr>
        <w:t xml:space="preserve">ommitments </w:t>
      </w:r>
      <w:r w:rsidR="008B00A5">
        <w:rPr>
          <w:color w:val="231F20"/>
          <w:w w:val="105"/>
          <w:sz w:val="20"/>
        </w:rPr>
        <w:t xml:space="preserve">made in the Prime Minister’s meetings </w:t>
      </w:r>
      <w:r w:rsidR="00057901" w:rsidRPr="00EA2881">
        <w:rPr>
          <w:color w:val="231F20"/>
          <w:w w:val="105"/>
          <w:sz w:val="20"/>
        </w:rPr>
        <w:t>fell within the AER’s areas of re</w:t>
      </w:r>
      <w:r w:rsidR="00057901" w:rsidRPr="008B00A5">
        <w:rPr>
          <w:color w:val="231F20"/>
          <w:w w:val="105"/>
          <w:sz w:val="20"/>
        </w:rPr>
        <w:t>sponsibility. These included commitments relating to</w:t>
      </w:r>
      <w:r w:rsidR="00376841" w:rsidRPr="008B00A5">
        <w:rPr>
          <w:color w:val="231F20"/>
          <w:w w:val="105"/>
          <w:sz w:val="20"/>
        </w:rPr>
        <w:t>:</w:t>
      </w:r>
    </w:p>
    <w:p w:rsidR="00376841" w:rsidRPr="008B00A5" w:rsidRDefault="00EA2881" w:rsidP="004E70FB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spacing w:before="112"/>
        <w:ind w:left="829"/>
        <w:rPr>
          <w:sz w:val="20"/>
        </w:rPr>
      </w:pPr>
      <w:r>
        <w:rPr>
          <w:color w:val="231F20"/>
          <w:w w:val="105"/>
          <w:sz w:val="20"/>
        </w:rPr>
        <w:t>r</w:t>
      </w:r>
      <w:r w:rsidR="00485BF7" w:rsidRPr="00EA2881">
        <w:rPr>
          <w:color w:val="231F20"/>
          <w:w w:val="105"/>
          <w:sz w:val="20"/>
        </w:rPr>
        <w:t xml:space="preserve">etailer </w:t>
      </w:r>
      <w:r w:rsidR="00057901" w:rsidRPr="00EA2881">
        <w:rPr>
          <w:color w:val="231F20"/>
          <w:w w:val="105"/>
          <w:sz w:val="20"/>
        </w:rPr>
        <w:t xml:space="preserve">hardship </w:t>
      </w:r>
      <w:r w:rsidR="00485BF7" w:rsidRPr="008B00A5">
        <w:rPr>
          <w:color w:val="231F20"/>
          <w:w w:val="105"/>
          <w:sz w:val="20"/>
        </w:rPr>
        <w:t>obligations</w:t>
      </w:r>
    </w:p>
    <w:p w:rsidR="00376841" w:rsidRPr="00EA2881" w:rsidRDefault="00057901" w:rsidP="004E70FB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spacing w:before="112"/>
        <w:ind w:left="829"/>
        <w:rPr>
          <w:sz w:val="20"/>
        </w:rPr>
      </w:pPr>
      <w:r w:rsidRPr="00EA2881">
        <w:rPr>
          <w:color w:val="231F20"/>
          <w:w w:val="105"/>
          <w:sz w:val="20"/>
        </w:rPr>
        <w:t>market performance</w:t>
      </w:r>
      <w:r w:rsidR="00485BF7" w:rsidRPr="00EA2881">
        <w:rPr>
          <w:color w:val="231F20"/>
          <w:w w:val="105"/>
          <w:sz w:val="20"/>
        </w:rPr>
        <w:t xml:space="preserve"> monitoring</w:t>
      </w:r>
    </w:p>
    <w:p w:rsidR="00376841" w:rsidRPr="00EA2881" w:rsidRDefault="00BD077C" w:rsidP="004E70FB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spacing w:before="112"/>
        <w:ind w:left="829"/>
        <w:rPr>
          <w:sz w:val="20"/>
        </w:rPr>
      </w:pPr>
      <w:proofErr w:type="gramStart"/>
      <w:r w:rsidRPr="00EA2881">
        <w:rPr>
          <w:color w:val="231F20"/>
          <w:w w:val="105"/>
          <w:sz w:val="20"/>
        </w:rPr>
        <w:t>customer</w:t>
      </w:r>
      <w:proofErr w:type="gramEnd"/>
      <w:r w:rsidRPr="00EA2881">
        <w:rPr>
          <w:color w:val="231F20"/>
          <w:w w:val="105"/>
          <w:sz w:val="20"/>
        </w:rPr>
        <w:t xml:space="preserve"> price information.</w:t>
      </w:r>
      <w:r w:rsidR="00422C71" w:rsidRPr="00EA2881">
        <w:rPr>
          <w:color w:val="231F20"/>
          <w:w w:val="105"/>
          <w:sz w:val="20"/>
        </w:rPr>
        <w:t xml:space="preserve"> </w:t>
      </w:r>
    </w:p>
    <w:p w:rsidR="00057901" w:rsidRPr="00F504DC" w:rsidRDefault="00057901" w:rsidP="00CF2422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before="112"/>
        <w:rPr>
          <w:sz w:val="20"/>
        </w:rPr>
      </w:pPr>
      <w:r>
        <w:rPr>
          <w:color w:val="231F20"/>
          <w:w w:val="105"/>
          <w:sz w:val="20"/>
        </w:rPr>
        <w:t xml:space="preserve">She noted the </w:t>
      </w:r>
      <w:r w:rsidR="00422C71">
        <w:rPr>
          <w:color w:val="231F20"/>
          <w:w w:val="105"/>
          <w:sz w:val="20"/>
        </w:rPr>
        <w:t xml:space="preserve">AER had convened the reference group to provide insight and advice </w:t>
      </w:r>
      <w:r w:rsidR="007E3297">
        <w:rPr>
          <w:color w:val="231F20"/>
          <w:w w:val="105"/>
          <w:sz w:val="20"/>
        </w:rPr>
        <w:t>on the information and engagement issue. The other issues would be the subject of separate consultative processes</w:t>
      </w:r>
      <w:r w:rsidR="007E3297" w:rsidRPr="007E3297">
        <w:rPr>
          <w:sz w:val="20"/>
        </w:rPr>
        <w:t>.</w:t>
      </w:r>
    </w:p>
    <w:p w:rsidR="00422C71" w:rsidRPr="00CF2422" w:rsidRDefault="00422C71" w:rsidP="00CF2422">
      <w:pPr>
        <w:pStyle w:val="ListParagraph"/>
        <w:numPr>
          <w:ilvl w:val="0"/>
          <w:numId w:val="1"/>
        </w:numPr>
        <w:tabs>
          <w:tab w:val="left" w:pos="475"/>
        </w:tabs>
        <w:spacing w:before="113" w:line="247" w:lineRule="auto"/>
        <w:ind w:right="167" w:hanging="339"/>
        <w:rPr>
          <w:sz w:val="20"/>
        </w:rPr>
      </w:pPr>
      <w:r>
        <w:rPr>
          <w:color w:val="231F20"/>
          <w:w w:val="105"/>
          <w:sz w:val="20"/>
        </w:rPr>
        <w:t>SP discussed the main issues to be covered by the group, noting she envisaged the group’s feedback would inform the AER’s development of a draft Retail Pricing and Information Guideline</w:t>
      </w:r>
      <w:r w:rsidR="007E3297">
        <w:rPr>
          <w:color w:val="231F20"/>
          <w:w w:val="105"/>
          <w:sz w:val="20"/>
        </w:rPr>
        <w:t xml:space="preserve"> </w:t>
      </w:r>
      <w:r w:rsidR="008B00A5">
        <w:rPr>
          <w:color w:val="231F20"/>
          <w:w w:val="105"/>
          <w:sz w:val="20"/>
        </w:rPr>
        <w:t>as well as</w:t>
      </w:r>
      <w:r>
        <w:rPr>
          <w:color w:val="231F20"/>
          <w:w w:val="105"/>
          <w:sz w:val="20"/>
        </w:rPr>
        <w:t xml:space="preserve"> future redevelopment of Energy Made Easy.</w:t>
      </w:r>
    </w:p>
    <w:p w:rsidR="00422C71" w:rsidRPr="00F504DC" w:rsidRDefault="00422C71">
      <w:pPr>
        <w:pStyle w:val="ListParagraph"/>
        <w:numPr>
          <w:ilvl w:val="0"/>
          <w:numId w:val="1"/>
        </w:numPr>
        <w:tabs>
          <w:tab w:val="left" w:pos="475"/>
        </w:tabs>
        <w:spacing w:before="113" w:line="247" w:lineRule="auto"/>
        <w:ind w:right="167" w:hanging="339"/>
        <w:rPr>
          <w:sz w:val="20"/>
        </w:rPr>
      </w:pPr>
      <w:r>
        <w:rPr>
          <w:color w:val="231F20"/>
          <w:w w:val="105"/>
          <w:sz w:val="20"/>
        </w:rPr>
        <w:t>SP also highlight</w:t>
      </w:r>
      <w:r w:rsidR="001969D8">
        <w:rPr>
          <w:color w:val="231F20"/>
          <w:w w:val="105"/>
          <w:sz w:val="20"/>
        </w:rPr>
        <w:t>ed the Government’s direction that the AER work with</w:t>
      </w:r>
      <w:r w:rsidR="007E3297">
        <w:rPr>
          <w:color w:val="231F20"/>
          <w:w w:val="105"/>
          <w:sz w:val="20"/>
        </w:rPr>
        <w:t xml:space="preserve"> the Australian Government’s </w:t>
      </w:r>
      <w:proofErr w:type="spellStart"/>
      <w:r w:rsidR="007E3297">
        <w:rPr>
          <w:color w:val="231F20"/>
          <w:w w:val="105"/>
          <w:sz w:val="20"/>
        </w:rPr>
        <w:t>behavioural</w:t>
      </w:r>
      <w:proofErr w:type="spellEnd"/>
      <w:r w:rsidR="007E3297">
        <w:rPr>
          <w:color w:val="231F20"/>
          <w:w w:val="105"/>
          <w:sz w:val="20"/>
        </w:rPr>
        <w:t xml:space="preserve"> economics team (BETA) and noted </w:t>
      </w:r>
      <w:r>
        <w:rPr>
          <w:color w:val="231F20"/>
          <w:w w:val="105"/>
          <w:sz w:val="20"/>
        </w:rPr>
        <w:t xml:space="preserve">the AER had commenced discussions with BETA about </w:t>
      </w:r>
      <w:r w:rsidR="00BD077C">
        <w:rPr>
          <w:color w:val="231F20"/>
          <w:w w:val="105"/>
          <w:sz w:val="20"/>
        </w:rPr>
        <w:t>consumer testing of EPFS.</w:t>
      </w:r>
    </w:p>
    <w:p w:rsidR="001969D8" w:rsidRPr="00975ED3" w:rsidRDefault="00F05E31" w:rsidP="00EB2F8F">
      <w:pPr>
        <w:pStyle w:val="ListParagraph"/>
        <w:numPr>
          <w:ilvl w:val="0"/>
          <w:numId w:val="1"/>
        </w:numPr>
        <w:tabs>
          <w:tab w:val="left" w:pos="475"/>
        </w:tabs>
        <w:spacing w:before="111" w:line="249" w:lineRule="auto"/>
        <w:ind w:right="242" w:hanging="339"/>
        <w:rPr>
          <w:sz w:val="20"/>
        </w:rPr>
      </w:pPr>
      <w:r>
        <w:rPr>
          <w:color w:val="231F20"/>
          <w:w w:val="105"/>
          <w:sz w:val="20"/>
        </w:rPr>
        <w:t>Tess Fitzgerald from the Australian Energy Council (AEC) provided</w:t>
      </w:r>
      <w:r w:rsidR="007E3297">
        <w:rPr>
          <w:color w:val="231F20"/>
          <w:w w:val="105"/>
          <w:sz w:val="20"/>
        </w:rPr>
        <w:t xml:space="preserve"> the council’s perspective and expectations for the group. She acknowledged a lack of </w:t>
      </w:r>
      <w:r w:rsidR="00F504DC">
        <w:rPr>
          <w:color w:val="231F20"/>
          <w:w w:val="105"/>
          <w:sz w:val="20"/>
        </w:rPr>
        <w:t xml:space="preserve">consumer </w:t>
      </w:r>
      <w:r w:rsidR="007E3297">
        <w:rPr>
          <w:color w:val="231F20"/>
          <w:w w:val="105"/>
          <w:sz w:val="20"/>
        </w:rPr>
        <w:t xml:space="preserve">trust, and </w:t>
      </w:r>
      <w:r w:rsidR="00BD077C">
        <w:rPr>
          <w:color w:val="231F20"/>
          <w:w w:val="105"/>
          <w:sz w:val="20"/>
        </w:rPr>
        <w:t>retailers’ desire</w:t>
      </w:r>
      <w:r w:rsidR="007E3297">
        <w:rPr>
          <w:color w:val="231F20"/>
          <w:w w:val="105"/>
          <w:sz w:val="20"/>
        </w:rPr>
        <w:t xml:space="preserve"> to improve </w:t>
      </w:r>
      <w:r w:rsidR="00975ED3">
        <w:rPr>
          <w:color w:val="231F20"/>
          <w:w w:val="105"/>
          <w:sz w:val="20"/>
        </w:rPr>
        <w:t xml:space="preserve">transparency and </w:t>
      </w:r>
      <w:r w:rsidR="007E3297">
        <w:rPr>
          <w:color w:val="231F20"/>
          <w:w w:val="105"/>
          <w:sz w:val="20"/>
        </w:rPr>
        <w:t xml:space="preserve">customers’ experiences so that they could take advantage of the competitive market. </w:t>
      </w:r>
      <w:r w:rsidR="00EB2F8F">
        <w:rPr>
          <w:color w:val="231F20"/>
          <w:w w:val="105"/>
          <w:sz w:val="20"/>
        </w:rPr>
        <w:t xml:space="preserve">The AEC </w:t>
      </w:r>
      <w:r w:rsidR="008B00A5">
        <w:rPr>
          <w:color w:val="231F20"/>
          <w:w w:val="105"/>
          <w:sz w:val="20"/>
        </w:rPr>
        <w:t>will</w:t>
      </w:r>
      <w:r w:rsidR="001969D8">
        <w:rPr>
          <w:color w:val="231F20"/>
          <w:w w:val="105"/>
          <w:sz w:val="20"/>
        </w:rPr>
        <w:t xml:space="preserve"> facilitate expert input when needed, </w:t>
      </w:r>
      <w:r w:rsidR="00D35F07">
        <w:rPr>
          <w:color w:val="231F20"/>
          <w:w w:val="105"/>
          <w:sz w:val="20"/>
        </w:rPr>
        <w:t xml:space="preserve">and would be a conduit for the views of its membership. </w:t>
      </w:r>
    </w:p>
    <w:p w:rsidR="00EB2F8F" w:rsidRPr="00975ED3" w:rsidRDefault="00E81722" w:rsidP="00932D1E">
      <w:pPr>
        <w:pStyle w:val="ListParagraph"/>
        <w:numPr>
          <w:ilvl w:val="0"/>
          <w:numId w:val="1"/>
        </w:numPr>
        <w:tabs>
          <w:tab w:val="left" w:pos="475"/>
        </w:tabs>
        <w:spacing w:before="111" w:line="247" w:lineRule="auto"/>
        <w:ind w:right="340" w:hanging="338"/>
        <w:rPr>
          <w:sz w:val="20"/>
        </w:rPr>
      </w:pPr>
      <w:r w:rsidRPr="00D931A5">
        <w:rPr>
          <w:color w:val="231F20"/>
          <w:w w:val="105"/>
          <w:sz w:val="20"/>
        </w:rPr>
        <w:t xml:space="preserve">The AER’s </w:t>
      </w:r>
      <w:r w:rsidR="00932D1E" w:rsidRPr="00D931A5">
        <w:rPr>
          <w:color w:val="231F20"/>
          <w:w w:val="105"/>
          <w:sz w:val="20"/>
        </w:rPr>
        <w:t xml:space="preserve">Simon Kidd provided </w:t>
      </w:r>
      <w:r w:rsidR="00376841">
        <w:rPr>
          <w:color w:val="231F20"/>
          <w:w w:val="105"/>
          <w:sz w:val="20"/>
        </w:rPr>
        <w:t xml:space="preserve">an overview of </w:t>
      </w:r>
      <w:r w:rsidR="00975ED3">
        <w:rPr>
          <w:color w:val="231F20"/>
          <w:w w:val="105"/>
          <w:sz w:val="20"/>
        </w:rPr>
        <w:t>the</w:t>
      </w:r>
      <w:r w:rsidR="00932D1E" w:rsidRPr="00D931A5">
        <w:rPr>
          <w:color w:val="231F20"/>
          <w:w w:val="105"/>
          <w:sz w:val="20"/>
        </w:rPr>
        <w:t xml:space="preserve"> AER</w:t>
      </w:r>
      <w:r w:rsidR="00975ED3">
        <w:rPr>
          <w:color w:val="231F20"/>
          <w:w w:val="105"/>
          <w:sz w:val="20"/>
        </w:rPr>
        <w:t xml:space="preserve">’s forthcoming Customer Price </w:t>
      </w:r>
      <w:r w:rsidR="00975ED3">
        <w:rPr>
          <w:color w:val="231F20"/>
          <w:w w:val="105"/>
          <w:sz w:val="20"/>
        </w:rPr>
        <w:lastRenderedPageBreak/>
        <w:t>Information issues paper</w:t>
      </w:r>
      <w:r w:rsidR="00932D1E" w:rsidRPr="00D931A5">
        <w:rPr>
          <w:color w:val="231F20"/>
          <w:w w:val="105"/>
          <w:sz w:val="20"/>
        </w:rPr>
        <w:t xml:space="preserve">. </w:t>
      </w:r>
      <w:r w:rsidR="00975ED3">
        <w:rPr>
          <w:color w:val="231F20"/>
          <w:w w:val="105"/>
          <w:sz w:val="20"/>
        </w:rPr>
        <w:t>He noted t</w:t>
      </w:r>
      <w:r w:rsidR="00932D1E" w:rsidRPr="00D931A5">
        <w:rPr>
          <w:color w:val="231F20"/>
          <w:w w:val="105"/>
          <w:sz w:val="20"/>
        </w:rPr>
        <w:t xml:space="preserve">he </w:t>
      </w:r>
      <w:r w:rsidR="00975ED3">
        <w:rPr>
          <w:color w:val="231F20"/>
          <w:w w:val="105"/>
          <w:sz w:val="20"/>
        </w:rPr>
        <w:t>i</w:t>
      </w:r>
      <w:r w:rsidR="00932D1E" w:rsidRPr="00D931A5">
        <w:rPr>
          <w:color w:val="231F20"/>
          <w:w w:val="105"/>
          <w:sz w:val="20"/>
        </w:rPr>
        <w:t>ssue</w:t>
      </w:r>
      <w:r w:rsidR="00D931A5">
        <w:rPr>
          <w:color w:val="231F20"/>
          <w:w w:val="105"/>
          <w:sz w:val="20"/>
        </w:rPr>
        <w:t>s</w:t>
      </w:r>
      <w:r w:rsidR="00932D1E" w:rsidRPr="00D931A5">
        <w:rPr>
          <w:color w:val="231F20"/>
          <w:w w:val="105"/>
          <w:sz w:val="20"/>
        </w:rPr>
        <w:t xml:space="preserve"> paper would </w:t>
      </w:r>
      <w:r w:rsidR="00975ED3">
        <w:rPr>
          <w:color w:val="231F20"/>
          <w:w w:val="105"/>
          <w:sz w:val="20"/>
        </w:rPr>
        <w:t>seek</w:t>
      </w:r>
      <w:r w:rsidR="00932D1E" w:rsidRPr="00D931A5">
        <w:rPr>
          <w:color w:val="231F20"/>
          <w:w w:val="105"/>
          <w:sz w:val="20"/>
        </w:rPr>
        <w:t xml:space="preserve"> </w:t>
      </w:r>
      <w:r w:rsidR="00BD077C">
        <w:rPr>
          <w:color w:val="231F20"/>
          <w:w w:val="105"/>
          <w:sz w:val="20"/>
        </w:rPr>
        <w:t xml:space="preserve">feedback </w:t>
      </w:r>
      <w:r w:rsidR="00376841">
        <w:rPr>
          <w:color w:val="231F20"/>
          <w:w w:val="105"/>
          <w:sz w:val="20"/>
        </w:rPr>
        <w:t>on</w:t>
      </w:r>
      <w:r w:rsidR="00932D1E" w:rsidRPr="00D931A5">
        <w:rPr>
          <w:color w:val="231F20"/>
          <w:w w:val="105"/>
          <w:sz w:val="20"/>
        </w:rPr>
        <w:t xml:space="preserve"> four specific issues </w:t>
      </w:r>
      <w:r w:rsidR="00EB2F8F">
        <w:rPr>
          <w:color w:val="231F20"/>
          <w:w w:val="105"/>
          <w:sz w:val="20"/>
        </w:rPr>
        <w:t>related to the PM commitments – fact sheets, comparison rates/prices, using technology to facilitate customer engagement, and engaging non-</w:t>
      </w:r>
      <w:r w:rsidR="00EB2F8F">
        <w:rPr>
          <w:sz w:val="20"/>
        </w:rPr>
        <w:t>digitally active customers. He noted the AER ha</w:t>
      </w:r>
      <w:r w:rsidR="00485BF7">
        <w:rPr>
          <w:sz w:val="20"/>
        </w:rPr>
        <w:t>d</w:t>
      </w:r>
      <w:r w:rsidR="00EB2F8F">
        <w:rPr>
          <w:sz w:val="20"/>
        </w:rPr>
        <w:t xml:space="preserve"> framed the paper broadly, </w:t>
      </w:r>
      <w:r w:rsidR="00490ABB">
        <w:rPr>
          <w:sz w:val="20"/>
        </w:rPr>
        <w:t xml:space="preserve">seeking to elicit stakeholder views rather than to promote </w:t>
      </w:r>
      <w:r w:rsidR="00EB2F8F">
        <w:rPr>
          <w:sz w:val="20"/>
        </w:rPr>
        <w:t xml:space="preserve">pre-determined </w:t>
      </w:r>
      <w:r w:rsidR="00490ABB">
        <w:rPr>
          <w:sz w:val="20"/>
        </w:rPr>
        <w:t>outcomes</w:t>
      </w:r>
      <w:r w:rsidR="00EB2F8F">
        <w:rPr>
          <w:sz w:val="20"/>
        </w:rPr>
        <w:t>.</w:t>
      </w:r>
    </w:p>
    <w:p w:rsidR="001F0F2D" w:rsidRDefault="00EB2F8F">
      <w:pPr>
        <w:pStyle w:val="ListParagraph"/>
        <w:numPr>
          <w:ilvl w:val="0"/>
          <w:numId w:val="1"/>
        </w:numPr>
        <w:tabs>
          <w:tab w:val="left" w:pos="475"/>
        </w:tabs>
        <w:spacing w:before="111" w:line="249" w:lineRule="auto"/>
        <w:ind w:right="386" w:hanging="338"/>
        <w:rPr>
          <w:sz w:val="20"/>
        </w:rPr>
      </w:pPr>
      <w:r w:rsidRPr="00376841">
        <w:rPr>
          <w:color w:val="231F20"/>
          <w:w w:val="105"/>
          <w:sz w:val="20"/>
        </w:rPr>
        <w:t>Group</w:t>
      </w:r>
      <w:r>
        <w:rPr>
          <w:color w:val="231F20"/>
          <w:w w:val="105"/>
          <w:sz w:val="20"/>
        </w:rPr>
        <w:t xml:space="preserve"> </w:t>
      </w:r>
      <w:r w:rsidR="00C51AE6">
        <w:rPr>
          <w:color w:val="231F20"/>
          <w:w w:val="105"/>
          <w:sz w:val="20"/>
        </w:rPr>
        <w:t>m</w:t>
      </w:r>
      <w:r w:rsidR="00E81722">
        <w:rPr>
          <w:color w:val="231F20"/>
          <w:w w:val="105"/>
          <w:sz w:val="20"/>
        </w:rPr>
        <w:t>embers</w:t>
      </w:r>
      <w:r w:rsidR="00E81722">
        <w:rPr>
          <w:color w:val="231F20"/>
          <w:spacing w:val="-10"/>
          <w:w w:val="105"/>
          <w:sz w:val="20"/>
        </w:rPr>
        <w:t xml:space="preserve"> </w:t>
      </w:r>
      <w:r w:rsidR="00D931A5">
        <w:rPr>
          <w:color w:val="231F20"/>
          <w:w w:val="105"/>
          <w:sz w:val="20"/>
        </w:rPr>
        <w:t xml:space="preserve">raised a number </w:t>
      </w:r>
      <w:r>
        <w:rPr>
          <w:color w:val="231F20"/>
          <w:w w:val="105"/>
          <w:sz w:val="20"/>
        </w:rPr>
        <w:t>of issues and questions</w:t>
      </w:r>
      <w:r w:rsidR="00975ED3">
        <w:rPr>
          <w:color w:val="231F20"/>
          <w:w w:val="105"/>
          <w:sz w:val="20"/>
        </w:rPr>
        <w:t xml:space="preserve"> for discussion. </w:t>
      </w:r>
      <w:r>
        <w:rPr>
          <w:color w:val="231F20"/>
          <w:w w:val="105"/>
          <w:sz w:val="20"/>
        </w:rPr>
        <w:t>These included</w:t>
      </w:r>
      <w:r w:rsidR="00975ED3">
        <w:rPr>
          <w:color w:val="231F20"/>
          <w:w w:val="105"/>
          <w:sz w:val="20"/>
        </w:rPr>
        <w:t>:</w:t>
      </w:r>
    </w:p>
    <w:p w:rsidR="00376841" w:rsidRDefault="00975ED3" w:rsidP="00EB2F8F">
      <w:pPr>
        <w:pStyle w:val="ListParagraph"/>
        <w:numPr>
          <w:ilvl w:val="1"/>
          <w:numId w:val="1"/>
        </w:numPr>
        <w:tabs>
          <w:tab w:val="left" w:pos="1167"/>
          <w:tab w:val="left" w:pos="1168"/>
        </w:tabs>
        <w:spacing w:before="110"/>
        <w:ind w:right="291"/>
        <w:rPr>
          <w:sz w:val="20"/>
        </w:rPr>
      </w:pPr>
      <w:r>
        <w:rPr>
          <w:sz w:val="20"/>
        </w:rPr>
        <w:t xml:space="preserve">How the </w:t>
      </w:r>
      <w:r w:rsidR="00BF2046">
        <w:rPr>
          <w:sz w:val="20"/>
        </w:rPr>
        <w:t xml:space="preserve">group would </w:t>
      </w:r>
      <w:r w:rsidR="00BD077C">
        <w:rPr>
          <w:sz w:val="20"/>
        </w:rPr>
        <w:t xml:space="preserve">deal with </w:t>
      </w:r>
      <w:r w:rsidR="00376841">
        <w:rPr>
          <w:sz w:val="20"/>
        </w:rPr>
        <w:t>jurisdictions that had not commenced the National Energy Retail Law, or d</w:t>
      </w:r>
      <w:r w:rsidR="00490ABB">
        <w:rPr>
          <w:sz w:val="20"/>
        </w:rPr>
        <w:t>o</w:t>
      </w:r>
      <w:r w:rsidR="00376841">
        <w:rPr>
          <w:sz w:val="20"/>
        </w:rPr>
        <w:t xml:space="preserve"> </w:t>
      </w:r>
      <w:r w:rsidR="00490ABB">
        <w:rPr>
          <w:sz w:val="20"/>
        </w:rPr>
        <w:t xml:space="preserve">not </w:t>
      </w:r>
      <w:r w:rsidR="00376841">
        <w:rPr>
          <w:sz w:val="20"/>
        </w:rPr>
        <w:t>have competitive retail energy markets. SP</w:t>
      </w:r>
      <w:r w:rsidR="00485BF7">
        <w:rPr>
          <w:sz w:val="20"/>
        </w:rPr>
        <w:t xml:space="preserve"> said the AER </w:t>
      </w:r>
      <w:r w:rsidR="00490ABB">
        <w:rPr>
          <w:sz w:val="20"/>
        </w:rPr>
        <w:t>is alive to those issues, and has</w:t>
      </w:r>
      <w:r w:rsidR="00376841">
        <w:rPr>
          <w:sz w:val="20"/>
        </w:rPr>
        <w:t xml:space="preserve"> had preliminary discussions with the Victorian energy market regulator (ESCV) about the PM commitments and </w:t>
      </w:r>
      <w:r w:rsidR="00490ABB">
        <w:rPr>
          <w:sz w:val="20"/>
        </w:rPr>
        <w:t xml:space="preserve">how </w:t>
      </w:r>
      <w:r w:rsidR="00376841">
        <w:rPr>
          <w:sz w:val="20"/>
        </w:rPr>
        <w:t>would work towards consisten</w:t>
      </w:r>
      <w:r>
        <w:rPr>
          <w:sz w:val="20"/>
        </w:rPr>
        <w:t>cy</w:t>
      </w:r>
      <w:r w:rsidR="00961734">
        <w:rPr>
          <w:sz w:val="20"/>
        </w:rPr>
        <w:t xml:space="preserve"> </w:t>
      </w:r>
      <w:r w:rsidR="00376841">
        <w:rPr>
          <w:sz w:val="20"/>
        </w:rPr>
        <w:t>as far as possible.</w:t>
      </w:r>
    </w:p>
    <w:p w:rsidR="00975ED3" w:rsidRDefault="00975ED3" w:rsidP="00EB2F8F">
      <w:pPr>
        <w:pStyle w:val="ListParagraph"/>
        <w:numPr>
          <w:ilvl w:val="1"/>
          <w:numId w:val="1"/>
        </w:numPr>
        <w:tabs>
          <w:tab w:val="left" w:pos="1167"/>
          <w:tab w:val="left" w:pos="1168"/>
        </w:tabs>
        <w:spacing w:before="110"/>
        <w:ind w:right="291"/>
        <w:rPr>
          <w:sz w:val="20"/>
        </w:rPr>
      </w:pPr>
      <w:r>
        <w:rPr>
          <w:sz w:val="20"/>
        </w:rPr>
        <w:t xml:space="preserve">Highlighting that </w:t>
      </w:r>
      <w:r w:rsidR="00491030">
        <w:rPr>
          <w:sz w:val="20"/>
        </w:rPr>
        <w:t>many customers lacked the capacity to engage with the energy market</w:t>
      </w:r>
      <w:r w:rsidR="00BD077C">
        <w:rPr>
          <w:sz w:val="20"/>
        </w:rPr>
        <w:t xml:space="preserve">, and cautioning that </w:t>
      </w:r>
      <w:r w:rsidR="00491030">
        <w:rPr>
          <w:sz w:val="20"/>
        </w:rPr>
        <w:t>better information</w:t>
      </w:r>
      <w:r w:rsidR="00BD077C">
        <w:rPr>
          <w:sz w:val="20"/>
        </w:rPr>
        <w:t xml:space="preserve"> </w:t>
      </w:r>
      <w:r w:rsidR="00490ABB">
        <w:rPr>
          <w:sz w:val="20"/>
        </w:rPr>
        <w:t xml:space="preserve">should not be seen as the only tool necessary </w:t>
      </w:r>
      <w:r w:rsidR="00BD077C">
        <w:rPr>
          <w:sz w:val="20"/>
        </w:rPr>
        <w:t xml:space="preserve">to address </w:t>
      </w:r>
      <w:r w:rsidR="00C111AE">
        <w:rPr>
          <w:sz w:val="20"/>
        </w:rPr>
        <w:t>affordability.</w:t>
      </w:r>
    </w:p>
    <w:p w:rsidR="00BD077C" w:rsidRPr="00961734" w:rsidRDefault="00BD077C" w:rsidP="00BD077C">
      <w:pPr>
        <w:pStyle w:val="ListParagraph"/>
        <w:numPr>
          <w:ilvl w:val="1"/>
          <w:numId w:val="1"/>
        </w:numPr>
        <w:tabs>
          <w:tab w:val="left" w:pos="1167"/>
          <w:tab w:val="left" w:pos="1168"/>
        </w:tabs>
        <w:spacing w:before="110"/>
        <w:ind w:right="291"/>
        <w:rPr>
          <w:sz w:val="20"/>
        </w:rPr>
      </w:pPr>
      <w:r>
        <w:rPr>
          <w:sz w:val="20"/>
        </w:rPr>
        <w:t xml:space="preserve">Members </w:t>
      </w:r>
      <w:r w:rsidR="00490ABB">
        <w:rPr>
          <w:sz w:val="20"/>
        </w:rPr>
        <w:t xml:space="preserve">suggested </w:t>
      </w:r>
      <w:r>
        <w:rPr>
          <w:sz w:val="20"/>
        </w:rPr>
        <w:t>t</w:t>
      </w:r>
      <w:r w:rsidRPr="00961734">
        <w:rPr>
          <w:sz w:val="20"/>
        </w:rPr>
        <w:t>he need</w:t>
      </w:r>
      <w:r w:rsidR="00485BF7">
        <w:rPr>
          <w:sz w:val="20"/>
        </w:rPr>
        <w:t xml:space="preserve"> to clarify: the </w:t>
      </w:r>
      <w:r w:rsidRPr="00961734">
        <w:rPr>
          <w:sz w:val="20"/>
        </w:rPr>
        <w:t xml:space="preserve">problems the group was aiming to address; </w:t>
      </w:r>
      <w:r w:rsidR="00490ABB">
        <w:rPr>
          <w:sz w:val="20"/>
        </w:rPr>
        <w:t>its purpose</w:t>
      </w:r>
      <w:r>
        <w:rPr>
          <w:sz w:val="20"/>
        </w:rPr>
        <w:t xml:space="preserve">; </w:t>
      </w:r>
      <w:r w:rsidR="00485BF7">
        <w:rPr>
          <w:sz w:val="20"/>
        </w:rPr>
        <w:t xml:space="preserve">the </w:t>
      </w:r>
      <w:r>
        <w:rPr>
          <w:sz w:val="20"/>
        </w:rPr>
        <w:t>broader context for customer disengagement before thinking about interventions;</w:t>
      </w:r>
      <w:r w:rsidR="00485BF7">
        <w:rPr>
          <w:sz w:val="20"/>
        </w:rPr>
        <w:t xml:space="preserve"> </w:t>
      </w:r>
      <w:r>
        <w:rPr>
          <w:sz w:val="20"/>
        </w:rPr>
        <w:t xml:space="preserve">and </w:t>
      </w:r>
      <w:r w:rsidR="00485BF7">
        <w:rPr>
          <w:sz w:val="20"/>
        </w:rPr>
        <w:t xml:space="preserve">set </w:t>
      </w:r>
      <w:r>
        <w:rPr>
          <w:sz w:val="20"/>
        </w:rPr>
        <w:t>measur</w:t>
      </w:r>
      <w:r w:rsidR="00485BF7">
        <w:rPr>
          <w:sz w:val="20"/>
        </w:rPr>
        <w:t xml:space="preserve">able </w:t>
      </w:r>
      <w:r>
        <w:rPr>
          <w:sz w:val="20"/>
        </w:rPr>
        <w:t>outcomes.</w:t>
      </w:r>
    </w:p>
    <w:p w:rsidR="00BD077C" w:rsidRPr="00EB2F8F" w:rsidRDefault="00BD077C" w:rsidP="00962384">
      <w:pPr>
        <w:pStyle w:val="ListParagraph"/>
        <w:numPr>
          <w:ilvl w:val="2"/>
          <w:numId w:val="3"/>
        </w:numPr>
        <w:tabs>
          <w:tab w:val="left" w:pos="1167"/>
          <w:tab w:val="left" w:pos="1168"/>
        </w:tabs>
        <w:spacing w:before="110"/>
        <w:ind w:right="291"/>
        <w:rPr>
          <w:sz w:val="20"/>
        </w:rPr>
      </w:pPr>
      <w:r w:rsidRPr="00EB2F8F">
        <w:rPr>
          <w:sz w:val="20"/>
        </w:rPr>
        <w:t>S</w:t>
      </w:r>
      <w:r>
        <w:rPr>
          <w:sz w:val="20"/>
        </w:rPr>
        <w:t>P noted the AER ha</w:t>
      </w:r>
      <w:r w:rsidR="00490ABB">
        <w:rPr>
          <w:sz w:val="20"/>
        </w:rPr>
        <w:t>s</w:t>
      </w:r>
      <w:r>
        <w:rPr>
          <w:sz w:val="20"/>
        </w:rPr>
        <w:t xml:space="preserve"> framed </w:t>
      </w:r>
      <w:r w:rsidR="00490ABB">
        <w:rPr>
          <w:sz w:val="20"/>
        </w:rPr>
        <w:t>its i</w:t>
      </w:r>
      <w:r>
        <w:rPr>
          <w:sz w:val="20"/>
        </w:rPr>
        <w:t xml:space="preserve">ssues </w:t>
      </w:r>
      <w:r w:rsidR="00490ABB">
        <w:rPr>
          <w:sz w:val="20"/>
        </w:rPr>
        <w:t>p</w:t>
      </w:r>
      <w:r>
        <w:rPr>
          <w:sz w:val="20"/>
        </w:rPr>
        <w:t xml:space="preserve">aper to invite discussion on </w:t>
      </w:r>
      <w:r w:rsidR="00490ABB">
        <w:rPr>
          <w:sz w:val="20"/>
        </w:rPr>
        <w:t xml:space="preserve">both the measures to be progressed through the commitments made at Prime Ministerial meetings, as well as </w:t>
      </w:r>
      <w:r>
        <w:rPr>
          <w:sz w:val="20"/>
        </w:rPr>
        <w:t xml:space="preserve">any </w:t>
      </w:r>
      <w:r w:rsidR="00490ABB">
        <w:rPr>
          <w:sz w:val="20"/>
        </w:rPr>
        <w:t xml:space="preserve">other </w:t>
      </w:r>
      <w:r>
        <w:rPr>
          <w:sz w:val="20"/>
        </w:rPr>
        <w:t>interventions or approaches that would improve customer experiences</w:t>
      </w:r>
      <w:r w:rsidRPr="00EB2F8F">
        <w:rPr>
          <w:sz w:val="20"/>
        </w:rPr>
        <w:t xml:space="preserve"> </w:t>
      </w:r>
    </w:p>
    <w:p w:rsidR="00BD077C" w:rsidRPr="00CF2422" w:rsidRDefault="00BD077C" w:rsidP="00962384">
      <w:pPr>
        <w:pStyle w:val="ListParagraph"/>
        <w:numPr>
          <w:ilvl w:val="2"/>
          <w:numId w:val="3"/>
        </w:numPr>
        <w:tabs>
          <w:tab w:val="left" w:pos="1167"/>
          <w:tab w:val="left" w:pos="1168"/>
        </w:tabs>
        <w:spacing w:before="110"/>
        <w:ind w:right="291"/>
        <w:rPr>
          <w:sz w:val="20"/>
        </w:rPr>
      </w:pPr>
      <w:r>
        <w:rPr>
          <w:sz w:val="20"/>
        </w:rPr>
        <w:t>S</w:t>
      </w:r>
      <w:r w:rsidR="00D35F07">
        <w:rPr>
          <w:sz w:val="20"/>
        </w:rPr>
        <w:t>ome members</w:t>
      </w:r>
      <w:r>
        <w:rPr>
          <w:sz w:val="20"/>
        </w:rPr>
        <w:t xml:space="preserve"> highlighted the need to identify </w:t>
      </w:r>
      <w:r w:rsidR="00D35F07">
        <w:rPr>
          <w:sz w:val="20"/>
        </w:rPr>
        <w:t>which outcomes could be achieved in the shorter term.</w:t>
      </w:r>
    </w:p>
    <w:p w:rsidR="004014C3" w:rsidRPr="004014C3" w:rsidRDefault="00485BF7">
      <w:pPr>
        <w:pStyle w:val="ListParagraph"/>
        <w:numPr>
          <w:ilvl w:val="0"/>
          <w:numId w:val="1"/>
        </w:numPr>
        <w:tabs>
          <w:tab w:val="left" w:pos="475"/>
        </w:tabs>
        <w:spacing w:before="116" w:line="247" w:lineRule="auto"/>
        <w:ind w:right="254" w:hanging="338"/>
        <w:rPr>
          <w:sz w:val="20"/>
        </w:rPr>
      </w:pPr>
      <w:r>
        <w:rPr>
          <w:color w:val="231F20"/>
          <w:w w:val="105"/>
          <w:sz w:val="20"/>
        </w:rPr>
        <w:t>M</w:t>
      </w:r>
      <w:r w:rsidR="004014C3">
        <w:rPr>
          <w:color w:val="231F20"/>
          <w:w w:val="105"/>
          <w:sz w:val="20"/>
        </w:rPr>
        <w:t>embers</w:t>
      </w:r>
      <w:r w:rsidR="00D35F07">
        <w:rPr>
          <w:color w:val="231F20"/>
          <w:w w:val="105"/>
          <w:sz w:val="20"/>
        </w:rPr>
        <w:t xml:space="preserve"> agreed:</w:t>
      </w:r>
    </w:p>
    <w:p w:rsidR="004014C3" w:rsidRDefault="00057901" w:rsidP="00962384">
      <w:pPr>
        <w:pStyle w:val="ListParagraph"/>
        <w:numPr>
          <w:ilvl w:val="2"/>
          <w:numId w:val="3"/>
        </w:numPr>
        <w:tabs>
          <w:tab w:val="left" w:pos="1167"/>
          <w:tab w:val="left" w:pos="1168"/>
        </w:tabs>
        <w:spacing w:before="110"/>
        <w:ind w:right="291"/>
        <w:rPr>
          <w:color w:val="231F20"/>
          <w:w w:val="105"/>
          <w:sz w:val="20"/>
        </w:rPr>
      </w:pPr>
      <w:r>
        <w:rPr>
          <w:color w:val="231F20"/>
          <w:w w:val="105"/>
          <w:sz w:val="20"/>
        </w:rPr>
        <w:t>to  meet</w:t>
      </w:r>
      <w:r w:rsidR="004014C3">
        <w:rPr>
          <w:color w:val="231F20"/>
          <w:w w:val="105"/>
          <w:sz w:val="20"/>
        </w:rPr>
        <w:t xml:space="preserve"> fortnightly</w:t>
      </w:r>
      <w:r w:rsidR="00485BF7">
        <w:rPr>
          <w:color w:val="231F20"/>
          <w:w w:val="105"/>
          <w:sz w:val="20"/>
        </w:rPr>
        <w:t xml:space="preserve"> for an</w:t>
      </w:r>
      <w:r w:rsidR="00961734">
        <w:rPr>
          <w:color w:val="231F20"/>
          <w:w w:val="105"/>
          <w:sz w:val="20"/>
        </w:rPr>
        <w:t xml:space="preserve"> initia</w:t>
      </w:r>
      <w:r w:rsidR="00485BF7">
        <w:rPr>
          <w:color w:val="231F20"/>
          <w:w w:val="105"/>
          <w:sz w:val="20"/>
        </w:rPr>
        <w:t>l period</w:t>
      </w:r>
    </w:p>
    <w:p w:rsidR="004014C3" w:rsidRDefault="004014C3" w:rsidP="00962384">
      <w:pPr>
        <w:pStyle w:val="ListParagraph"/>
        <w:numPr>
          <w:ilvl w:val="2"/>
          <w:numId w:val="3"/>
        </w:numPr>
        <w:tabs>
          <w:tab w:val="left" w:pos="1167"/>
          <w:tab w:val="left" w:pos="1168"/>
        </w:tabs>
        <w:spacing w:before="110"/>
        <w:ind w:right="291"/>
        <w:rPr>
          <w:color w:val="231F20"/>
          <w:w w:val="105"/>
          <w:sz w:val="20"/>
        </w:rPr>
      </w:pPr>
      <w:r>
        <w:rPr>
          <w:color w:val="231F20"/>
          <w:w w:val="105"/>
          <w:sz w:val="20"/>
        </w:rPr>
        <w:t>that subject matter experts</w:t>
      </w:r>
      <w:r w:rsidR="00485BF7">
        <w:rPr>
          <w:color w:val="231F20"/>
          <w:w w:val="105"/>
          <w:sz w:val="20"/>
        </w:rPr>
        <w:t xml:space="preserve"> from members’ organisations were welcome to attend</w:t>
      </w:r>
    </w:p>
    <w:p w:rsidR="004014C3" w:rsidRDefault="00D35F07" w:rsidP="00962384">
      <w:pPr>
        <w:pStyle w:val="ListParagraph"/>
        <w:numPr>
          <w:ilvl w:val="2"/>
          <w:numId w:val="3"/>
        </w:numPr>
        <w:tabs>
          <w:tab w:val="left" w:pos="1167"/>
          <w:tab w:val="left" w:pos="1168"/>
        </w:tabs>
        <w:spacing w:before="110"/>
        <w:ind w:right="291"/>
        <w:rPr>
          <w:color w:val="231F20"/>
          <w:w w:val="105"/>
          <w:sz w:val="20"/>
        </w:rPr>
      </w:pPr>
      <w:proofErr w:type="gramStart"/>
      <w:r>
        <w:rPr>
          <w:color w:val="231F20"/>
          <w:w w:val="105"/>
          <w:sz w:val="20"/>
        </w:rPr>
        <w:t>that</w:t>
      </w:r>
      <w:proofErr w:type="gramEnd"/>
      <w:r>
        <w:rPr>
          <w:color w:val="231F20"/>
          <w:w w:val="105"/>
          <w:sz w:val="20"/>
        </w:rPr>
        <w:t xml:space="preserve"> the AER would produce a summary of each meeting to be made public.</w:t>
      </w:r>
    </w:p>
    <w:p w:rsidR="00057901" w:rsidRDefault="00057901">
      <w:pPr>
        <w:spacing w:line="247" w:lineRule="auto"/>
        <w:rPr>
          <w:sz w:val="20"/>
        </w:rPr>
        <w:sectPr w:rsidR="0005790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140" w:right="1720" w:bottom="280" w:left="1720" w:header="720" w:footer="720" w:gutter="0"/>
          <w:cols w:space="720"/>
        </w:sectPr>
      </w:pPr>
    </w:p>
    <w:p w:rsidR="001F0F2D" w:rsidRDefault="00E81722">
      <w:pPr>
        <w:pStyle w:val="BodyText"/>
        <w:ind w:left="2494"/>
      </w:pPr>
      <w:r>
        <w:rPr>
          <w:noProof/>
          <w:lang w:val="en-AU" w:eastAsia="en-AU"/>
        </w:rPr>
        <w:lastRenderedPageBreak/>
        <w:drawing>
          <wp:inline distT="0" distB="0" distL="0" distR="0" wp14:anchorId="69EDE1FB" wp14:editId="660336DE">
            <wp:extent cx="2315152" cy="773239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5152" cy="773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F2D" w:rsidRDefault="001F0F2D">
      <w:pPr>
        <w:pStyle w:val="BodyText"/>
        <w:spacing w:before="7"/>
        <w:rPr>
          <w:sz w:val="27"/>
        </w:rPr>
      </w:pPr>
    </w:p>
    <w:p w:rsidR="001F0F2D" w:rsidRDefault="000F0307">
      <w:pPr>
        <w:pStyle w:val="Heading2"/>
        <w:ind w:left="2501"/>
        <w:rPr>
          <w:color w:val="231F20"/>
          <w:w w:val="105"/>
        </w:rPr>
      </w:pPr>
      <w:r>
        <w:rPr>
          <w:color w:val="231F20"/>
          <w:w w:val="105"/>
        </w:rPr>
        <w:t>AER Reference</w:t>
      </w:r>
      <w:r w:rsidR="000259B6">
        <w:rPr>
          <w:color w:val="231F20"/>
          <w:w w:val="105"/>
        </w:rPr>
        <w:t xml:space="preserve"> Group A</w:t>
      </w:r>
      <w:bookmarkStart w:id="0" w:name="_GoBack"/>
      <w:bookmarkEnd w:id="0"/>
      <w:r w:rsidR="000259B6">
        <w:rPr>
          <w:color w:val="231F20"/>
          <w:w w:val="105"/>
        </w:rPr>
        <w:t>ttendees</w:t>
      </w:r>
    </w:p>
    <w:p w:rsidR="00D35F07" w:rsidRDefault="00D35F07" w:rsidP="00CF2422">
      <w:pPr>
        <w:pStyle w:val="Heading2"/>
        <w:rPr>
          <w:color w:val="231F20"/>
          <w:w w:val="105"/>
        </w:rPr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3206"/>
        <w:gridCol w:w="5930"/>
      </w:tblGrid>
      <w:tr w:rsidR="009C6CD9" w:rsidRPr="007B341F" w:rsidTr="002463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9C6CD9" w:rsidRPr="007B341F" w:rsidRDefault="009C6CD9" w:rsidP="002463B6">
            <w:pPr>
              <w:spacing w:line="360" w:lineRule="auto"/>
              <w:rPr>
                <w:bCs w:val="0"/>
                <w:sz w:val="20"/>
                <w:szCs w:val="20"/>
              </w:rPr>
            </w:pPr>
            <w:r w:rsidRPr="007B341F">
              <w:rPr>
                <w:bCs w:val="0"/>
                <w:sz w:val="20"/>
                <w:szCs w:val="20"/>
              </w:rPr>
              <w:t>Reference group members</w:t>
            </w:r>
          </w:p>
        </w:tc>
        <w:tc>
          <w:tcPr>
            <w:tcW w:w="6015" w:type="dxa"/>
          </w:tcPr>
          <w:p w:rsidR="009C6CD9" w:rsidRPr="007B341F" w:rsidRDefault="009C6CD9" w:rsidP="002463B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20"/>
              </w:rPr>
            </w:pPr>
          </w:p>
        </w:tc>
      </w:tr>
      <w:tr w:rsidR="009C6CD9" w:rsidRPr="007B341F" w:rsidTr="00246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9C6CD9" w:rsidRPr="007B341F" w:rsidRDefault="009C6CD9" w:rsidP="002463B6">
            <w:pPr>
              <w:spacing w:line="360" w:lineRule="auto"/>
              <w:rPr>
                <w:bCs w:val="0"/>
                <w:sz w:val="20"/>
                <w:szCs w:val="20"/>
              </w:rPr>
            </w:pPr>
            <w:r w:rsidRPr="007B341F">
              <w:rPr>
                <w:sz w:val="20"/>
                <w:szCs w:val="20"/>
              </w:rPr>
              <w:t>Australian Energy Regulator</w:t>
            </w:r>
          </w:p>
        </w:tc>
        <w:tc>
          <w:tcPr>
            <w:tcW w:w="6015" w:type="dxa"/>
          </w:tcPr>
          <w:p w:rsidR="009C6CD9" w:rsidRPr="007B341F" w:rsidRDefault="009C6CD9" w:rsidP="002463B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7B341F">
              <w:rPr>
                <w:bCs/>
                <w:sz w:val="20"/>
                <w:szCs w:val="20"/>
              </w:rPr>
              <w:t>Sarah Proudfoot - General Manager, Retail Markets (Chair)</w:t>
            </w:r>
          </w:p>
        </w:tc>
      </w:tr>
      <w:tr w:rsidR="009C6CD9" w:rsidRPr="007B341F" w:rsidTr="002463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9C6CD9" w:rsidRPr="007B341F" w:rsidRDefault="009C6CD9" w:rsidP="002463B6">
            <w:pPr>
              <w:spacing w:line="360" w:lineRule="auto"/>
              <w:rPr>
                <w:bCs w:val="0"/>
                <w:sz w:val="20"/>
                <w:szCs w:val="20"/>
              </w:rPr>
            </w:pPr>
            <w:r w:rsidRPr="007B341F">
              <w:rPr>
                <w:sz w:val="20"/>
                <w:szCs w:val="20"/>
              </w:rPr>
              <w:t>ActewAGL Retail</w:t>
            </w:r>
          </w:p>
        </w:tc>
        <w:tc>
          <w:tcPr>
            <w:tcW w:w="6015" w:type="dxa"/>
          </w:tcPr>
          <w:p w:rsidR="009C6CD9" w:rsidRPr="007B341F" w:rsidRDefault="009C6CD9" w:rsidP="002463B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7B341F">
              <w:rPr>
                <w:bCs/>
                <w:sz w:val="20"/>
                <w:szCs w:val="20"/>
              </w:rPr>
              <w:t>Kate Goatley - Manager, Business Projects</w:t>
            </w:r>
          </w:p>
          <w:p w:rsidR="009C6CD9" w:rsidRPr="007B341F" w:rsidRDefault="009C6CD9" w:rsidP="002463B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7B341F">
              <w:rPr>
                <w:bCs/>
                <w:sz w:val="20"/>
                <w:szCs w:val="20"/>
              </w:rPr>
              <w:t>Rohan Richardson - Pricing and Program Manager</w:t>
            </w:r>
          </w:p>
        </w:tc>
      </w:tr>
      <w:tr w:rsidR="009C6CD9" w:rsidRPr="007B341F" w:rsidTr="00246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9C6CD9" w:rsidRPr="007B341F" w:rsidRDefault="009C6CD9" w:rsidP="002463B6">
            <w:pPr>
              <w:spacing w:line="360" w:lineRule="auto"/>
              <w:rPr>
                <w:bCs w:val="0"/>
                <w:sz w:val="20"/>
                <w:szCs w:val="20"/>
              </w:rPr>
            </w:pPr>
            <w:r w:rsidRPr="007B341F">
              <w:rPr>
                <w:sz w:val="20"/>
                <w:szCs w:val="20"/>
              </w:rPr>
              <w:t>Australian Energy Council</w:t>
            </w:r>
          </w:p>
        </w:tc>
        <w:tc>
          <w:tcPr>
            <w:tcW w:w="6015" w:type="dxa"/>
          </w:tcPr>
          <w:p w:rsidR="009C6CD9" w:rsidRPr="007B341F" w:rsidRDefault="009C6CD9" w:rsidP="002463B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7B341F">
              <w:rPr>
                <w:bCs/>
                <w:sz w:val="20"/>
                <w:szCs w:val="20"/>
              </w:rPr>
              <w:t>Tess Fitzgerald  - Retail Policy Manager</w:t>
            </w:r>
          </w:p>
        </w:tc>
      </w:tr>
      <w:tr w:rsidR="009C6CD9" w:rsidRPr="007B341F" w:rsidTr="002463B6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9C6CD9" w:rsidRPr="007B341F" w:rsidRDefault="009C6CD9" w:rsidP="002463B6">
            <w:pPr>
              <w:spacing w:line="360" w:lineRule="auto"/>
              <w:rPr>
                <w:bCs w:val="0"/>
                <w:sz w:val="20"/>
                <w:szCs w:val="20"/>
              </w:rPr>
            </w:pPr>
            <w:r w:rsidRPr="007B341F">
              <w:rPr>
                <w:sz w:val="20"/>
                <w:szCs w:val="20"/>
              </w:rPr>
              <w:t>Brotherhood of St Laurence</w:t>
            </w:r>
          </w:p>
        </w:tc>
        <w:tc>
          <w:tcPr>
            <w:tcW w:w="6015" w:type="dxa"/>
          </w:tcPr>
          <w:p w:rsidR="009C6CD9" w:rsidRPr="007B341F" w:rsidRDefault="009C6CD9" w:rsidP="002463B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7B341F">
              <w:rPr>
                <w:bCs/>
                <w:sz w:val="20"/>
                <w:szCs w:val="20"/>
              </w:rPr>
              <w:t>Damien Sullivan - Research and Policy Senior Manager</w:t>
            </w:r>
          </w:p>
        </w:tc>
      </w:tr>
      <w:tr w:rsidR="009C6CD9" w:rsidRPr="007B341F" w:rsidTr="00246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9C6CD9" w:rsidRPr="007B341F" w:rsidRDefault="009C6CD9" w:rsidP="002463B6">
            <w:pPr>
              <w:spacing w:line="360" w:lineRule="auto"/>
              <w:rPr>
                <w:bCs w:val="0"/>
                <w:sz w:val="20"/>
                <w:szCs w:val="20"/>
              </w:rPr>
            </w:pPr>
            <w:r w:rsidRPr="007B341F">
              <w:rPr>
                <w:sz w:val="20"/>
                <w:szCs w:val="20"/>
              </w:rPr>
              <w:t>Consumer Action Law Centre</w:t>
            </w:r>
          </w:p>
        </w:tc>
        <w:tc>
          <w:tcPr>
            <w:tcW w:w="6015" w:type="dxa"/>
          </w:tcPr>
          <w:p w:rsidR="009C6CD9" w:rsidRPr="007B341F" w:rsidRDefault="009C6CD9" w:rsidP="002463B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7B341F">
              <w:rPr>
                <w:bCs/>
                <w:sz w:val="20"/>
                <w:szCs w:val="20"/>
              </w:rPr>
              <w:t>Zac Gillam - Senior Policy Officer</w:t>
            </w:r>
          </w:p>
        </w:tc>
      </w:tr>
      <w:tr w:rsidR="009C6CD9" w:rsidRPr="007B341F" w:rsidTr="002463B6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9C6CD9" w:rsidRPr="007B341F" w:rsidRDefault="009C6CD9" w:rsidP="002463B6">
            <w:pPr>
              <w:spacing w:line="360" w:lineRule="auto"/>
              <w:rPr>
                <w:bCs w:val="0"/>
                <w:sz w:val="20"/>
                <w:szCs w:val="20"/>
              </w:rPr>
            </w:pPr>
            <w:r w:rsidRPr="007B341F">
              <w:rPr>
                <w:sz w:val="20"/>
                <w:szCs w:val="20"/>
              </w:rPr>
              <w:t>Consumer Policy Research Centre</w:t>
            </w:r>
          </w:p>
        </w:tc>
        <w:tc>
          <w:tcPr>
            <w:tcW w:w="6015" w:type="dxa"/>
          </w:tcPr>
          <w:p w:rsidR="009C6CD9" w:rsidRPr="007B341F" w:rsidRDefault="009C6CD9" w:rsidP="002463B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7B341F">
              <w:rPr>
                <w:bCs/>
                <w:sz w:val="20"/>
                <w:szCs w:val="20"/>
              </w:rPr>
              <w:t>Lauren Solomon - CEO</w:t>
            </w:r>
          </w:p>
        </w:tc>
      </w:tr>
      <w:tr w:rsidR="009C6CD9" w:rsidRPr="007B341F" w:rsidTr="00246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9C6CD9" w:rsidRPr="007B341F" w:rsidRDefault="009C6CD9" w:rsidP="002463B6">
            <w:pPr>
              <w:spacing w:line="360" w:lineRule="auto"/>
              <w:rPr>
                <w:bCs w:val="0"/>
                <w:sz w:val="20"/>
                <w:szCs w:val="20"/>
              </w:rPr>
            </w:pPr>
            <w:r w:rsidRPr="007B341F">
              <w:rPr>
                <w:bCs w:val="0"/>
                <w:sz w:val="20"/>
                <w:szCs w:val="20"/>
              </w:rPr>
              <w:t>COTA Australia</w:t>
            </w:r>
          </w:p>
        </w:tc>
        <w:tc>
          <w:tcPr>
            <w:tcW w:w="6015" w:type="dxa"/>
          </w:tcPr>
          <w:p w:rsidR="009C6CD9" w:rsidRPr="007B341F" w:rsidRDefault="009C6CD9" w:rsidP="002463B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7B341F">
              <w:rPr>
                <w:bCs/>
                <w:sz w:val="20"/>
                <w:szCs w:val="20"/>
              </w:rPr>
              <w:t>Robyn Robinson</w:t>
            </w:r>
          </w:p>
        </w:tc>
      </w:tr>
      <w:tr w:rsidR="009C6CD9" w:rsidRPr="007B341F" w:rsidTr="002463B6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9C6CD9" w:rsidRPr="007B341F" w:rsidRDefault="009C6CD9" w:rsidP="002463B6">
            <w:pPr>
              <w:spacing w:line="360" w:lineRule="auto"/>
              <w:rPr>
                <w:bCs w:val="0"/>
                <w:sz w:val="20"/>
                <w:szCs w:val="20"/>
              </w:rPr>
            </w:pPr>
            <w:r w:rsidRPr="007B341F">
              <w:rPr>
                <w:bCs w:val="0"/>
                <w:sz w:val="20"/>
                <w:szCs w:val="20"/>
              </w:rPr>
              <w:t>EnergyAustralia</w:t>
            </w:r>
          </w:p>
        </w:tc>
        <w:tc>
          <w:tcPr>
            <w:tcW w:w="6015" w:type="dxa"/>
          </w:tcPr>
          <w:p w:rsidR="009C6CD9" w:rsidRPr="007B341F" w:rsidRDefault="009C6CD9" w:rsidP="002463B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7B341F">
              <w:rPr>
                <w:bCs/>
                <w:sz w:val="20"/>
                <w:szCs w:val="20"/>
              </w:rPr>
              <w:t>Samantha Nunan – Industry Regulatory Lead, Corporate</w:t>
            </w:r>
          </w:p>
        </w:tc>
      </w:tr>
      <w:tr w:rsidR="009C6CD9" w:rsidRPr="007B341F" w:rsidTr="00246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9C6CD9" w:rsidRPr="007B341F" w:rsidRDefault="009C6CD9" w:rsidP="002463B6">
            <w:pPr>
              <w:spacing w:line="360" w:lineRule="auto"/>
              <w:rPr>
                <w:bCs w:val="0"/>
                <w:sz w:val="20"/>
                <w:szCs w:val="20"/>
              </w:rPr>
            </w:pPr>
            <w:r w:rsidRPr="007B341F">
              <w:rPr>
                <w:sz w:val="20"/>
                <w:szCs w:val="20"/>
              </w:rPr>
              <w:t>Energy Consumers Australia</w:t>
            </w:r>
          </w:p>
        </w:tc>
        <w:tc>
          <w:tcPr>
            <w:tcW w:w="6015" w:type="dxa"/>
          </w:tcPr>
          <w:p w:rsidR="009C6CD9" w:rsidRPr="007B341F" w:rsidRDefault="009C6CD9" w:rsidP="002463B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7B341F">
              <w:rPr>
                <w:bCs/>
                <w:sz w:val="20"/>
                <w:szCs w:val="20"/>
              </w:rPr>
              <w:t>Sabiene Heindl – Director, Strategic Engagement</w:t>
            </w:r>
          </w:p>
        </w:tc>
      </w:tr>
      <w:tr w:rsidR="009C6CD9" w:rsidRPr="007B341F" w:rsidTr="002463B6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9C6CD9" w:rsidRPr="007B341F" w:rsidRDefault="009C6CD9" w:rsidP="002463B6">
            <w:pPr>
              <w:spacing w:line="360" w:lineRule="auto"/>
              <w:rPr>
                <w:bCs w:val="0"/>
                <w:sz w:val="20"/>
                <w:szCs w:val="20"/>
              </w:rPr>
            </w:pPr>
            <w:r w:rsidRPr="007B341F">
              <w:rPr>
                <w:sz w:val="20"/>
                <w:szCs w:val="20"/>
              </w:rPr>
              <w:t>Origin</w:t>
            </w:r>
            <w:r w:rsidRPr="007B341F">
              <w:rPr>
                <w:bCs w:val="0"/>
                <w:sz w:val="20"/>
                <w:szCs w:val="20"/>
              </w:rPr>
              <w:t xml:space="preserve"> Energy</w:t>
            </w:r>
          </w:p>
        </w:tc>
        <w:tc>
          <w:tcPr>
            <w:tcW w:w="6015" w:type="dxa"/>
          </w:tcPr>
          <w:p w:rsidR="009C6CD9" w:rsidRPr="007B341F" w:rsidRDefault="009C6CD9" w:rsidP="002463B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7B341F">
              <w:rPr>
                <w:bCs/>
                <w:sz w:val="20"/>
                <w:szCs w:val="20"/>
              </w:rPr>
              <w:t>Timothy Wilson - Manager, Regulatory Policy</w:t>
            </w:r>
          </w:p>
        </w:tc>
      </w:tr>
      <w:tr w:rsidR="009C6CD9" w:rsidRPr="007B341F" w:rsidTr="00246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9C6CD9" w:rsidRPr="007B341F" w:rsidRDefault="009C6CD9" w:rsidP="002463B6">
            <w:pPr>
              <w:spacing w:line="360" w:lineRule="auto"/>
              <w:rPr>
                <w:sz w:val="20"/>
                <w:szCs w:val="20"/>
              </w:rPr>
            </w:pPr>
            <w:r w:rsidRPr="007B341F">
              <w:rPr>
                <w:sz w:val="20"/>
                <w:szCs w:val="20"/>
              </w:rPr>
              <w:t>Powershop</w:t>
            </w:r>
          </w:p>
        </w:tc>
        <w:tc>
          <w:tcPr>
            <w:tcW w:w="6015" w:type="dxa"/>
          </w:tcPr>
          <w:p w:rsidR="009C6CD9" w:rsidRPr="007B341F" w:rsidRDefault="009C6CD9" w:rsidP="002463B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7B341F">
              <w:rPr>
                <w:bCs/>
                <w:sz w:val="20"/>
                <w:szCs w:val="20"/>
              </w:rPr>
              <w:t xml:space="preserve">Michael </w:t>
            </w:r>
            <w:proofErr w:type="spellStart"/>
            <w:r w:rsidRPr="007B341F">
              <w:rPr>
                <w:bCs/>
                <w:sz w:val="20"/>
                <w:szCs w:val="20"/>
              </w:rPr>
              <w:t>Benveniste</w:t>
            </w:r>
            <w:proofErr w:type="spellEnd"/>
            <w:r w:rsidRPr="007B341F">
              <w:rPr>
                <w:bCs/>
                <w:sz w:val="20"/>
                <w:szCs w:val="20"/>
              </w:rPr>
              <w:t xml:space="preserve"> - Head of Commercial &amp; Strategy</w:t>
            </w:r>
          </w:p>
        </w:tc>
      </w:tr>
      <w:tr w:rsidR="009C6CD9" w:rsidRPr="007B341F" w:rsidTr="002463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9C6CD9" w:rsidRPr="007B341F" w:rsidRDefault="009C6CD9" w:rsidP="002463B6">
            <w:pPr>
              <w:spacing w:line="360" w:lineRule="auto"/>
              <w:rPr>
                <w:bCs w:val="0"/>
                <w:sz w:val="20"/>
                <w:szCs w:val="20"/>
              </w:rPr>
            </w:pPr>
            <w:r w:rsidRPr="007B341F">
              <w:rPr>
                <w:sz w:val="20"/>
                <w:szCs w:val="20"/>
              </w:rPr>
              <w:t>Red Energy</w:t>
            </w:r>
          </w:p>
        </w:tc>
        <w:tc>
          <w:tcPr>
            <w:tcW w:w="6015" w:type="dxa"/>
          </w:tcPr>
          <w:p w:rsidR="009C6CD9" w:rsidRPr="007B341F" w:rsidRDefault="009C6CD9" w:rsidP="002463B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7B341F">
              <w:rPr>
                <w:bCs/>
                <w:sz w:val="20"/>
                <w:szCs w:val="20"/>
              </w:rPr>
              <w:t>Ben Barnes - Regulatory Manager</w:t>
            </w:r>
          </w:p>
        </w:tc>
      </w:tr>
      <w:tr w:rsidR="009C6CD9" w:rsidRPr="007B341F" w:rsidTr="00246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9C6CD9" w:rsidRPr="007B341F" w:rsidRDefault="009C6CD9" w:rsidP="002463B6">
            <w:pPr>
              <w:spacing w:line="360" w:lineRule="auto"/>
              <w:rPr>
                <w:bCs w:val="0"/>
                <w:sz w:val="20"/>
                <w:szCs w:val="20"/>
              </w:rPr>
            </w:pPr>
            <w:r w:rsidRPr="007B341F">
              <w:rPr>
                <w:sz w:val="20"/>
                <w:szCs w:val="20"/>
              </w:rPr>
              <w:t xml:space="preserve">Uniting </w:t>
            </w:r>
            <w:r w:rsidRPr="007B341F">
              <w:rPr>
                <w:bCs w:val="0"/>
                <w:sz w:val="20"/>
                <w:szCs w:val="20"/>
              </w:rPr>
              <w:t xml:space="preserve">Communities/Uniting </w:t>
            </w:r>
            <w:r w:rsidRPr="007B341F">
              <w:rPr>
                <w:sz w:val="20"/>
                <w:szCs w:val="20"/>
              </w:rPr>
              <w:t>Care</w:t>
            </w:r>
          </w:p>
        </w:tc>
        <w:tc>
          <w:tcPr>
            <w:tcW w:w="6015" w:type="dxa"/>
          </w:tcPr>
          <w:p w:rsidR="009C6CD9" w:rsidRPr="00490ABB" w:rsidRDefault="009C6CD9" w:rsidP="002463B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490ABB">
              <w:rPr>
                <w:bCs/>
                <w:sz w:val="20"/>
                <w:szCs w:val="20"/>
              </w:rPr>
              <w:t>Mark Henley ‎- Manager Advocacy, Uniting Communities and Energy Advocate, Uniting Care</w:t>
            </w:r>
          </w:p>
        </w:tc>
      </w:tr>
    </w:tbl>
    <w:p w:rsidR="00D35F07" w:rsidRDefault="00D35F07" w:rsidP="00CF2422">
      <w:pPr>
        <w:pStyle w:val="Heading2"/>
      </w:pPr>
    </w:p>
    <w:p w:rsidR="001F0F2D" w:rsidRDefault="001F0F2D">
      <w:pPr>
        <w:pStyle w:val="BodyText"/>
        <w:spacing w:before="3"/>
        <w:rPr>
          <w:b/>
          <w:sz w:val="10"/>
        </w:rPr>
      </w:pPr>
    </w:p>
    <w:p w:rsidR="001F0F2D" w:rsidRDefault="001F0F2D">
      <w:pPr>
        <w:pStyle w:val="BodyText"/>
        <w:rPr>
          <w:b/>
        </w:rPr>
      </w:pPr>
    </w:p>
    <w:p w:rsidR="001F0F2D" w:rsidRDefault="001F0F2D" w:rsidP="00CF2422">
      <w:pPr>
        <w:rPr>
          <w:b/>
          <w:sz w:val="17"/>
        </w:rPr>
      </w:pPr>
    </w:p>
    <w:sectPr w:rsidR="001F0F2D">
      <w:pgSz w:w="12240" w:h="15840"/>
      <w:pgMar w:top="1340" w:right="1660" w:bottom="280" w:left="1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76D" w:rsidRDefault="00E2676D" w:rsidP="00E2676D">
      <w:r>
        <w:separator/>
      </w:r>
    </w:p>
  </w:endnote>
  <w:endnote w:type="continuationSeparator" w:id="0">
    <w:p w:rsidR="00E2676D" w:rsidRDefault="00E2676D" w:rsidP="00E2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76D" w:rsidRDefault="00E267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76D" w:rsidRDefault="00E267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76D" w:rsidRDefault="00E267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76D" w:rsidRDefault="00E2676D" w:rsidP="00E2676D">
      <w:r>
        <w:separator/>
      </w:r>
    </w:p>
  </w:footnote>
  <w:footnote w:type="continuationSeparator" w:id="0">
    <w:p w:rsidR="00E2676D" w:rsidRDefault="00E2676D" w:rsidP="00E26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76D" w:rsidRDefault="00E267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76D" w:rsidRDefault="00E267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76D" w:rsidRDefault="00E267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7E49"/>
    <w:multiLevelType w:val="hybridMultilevel"/>
    <w:tmpl w:val="0DD85FA0"/>
    <w:lvl w:ilvl="0" w:tplc="0C09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>
    <w:nsid w:val="355B1902"/>
    <w:multiLevelType w:val="hybridMultilevel"/>
    <w:tmpl w:val="0BEEFA72"/>
    <w:lvl w:ilvl="0" w:tplc="97A63B7A">
      <w:start w:val="1"/>
      <w:numFmt w:val="decimal"/>
      <w:lvlText w:val="%1."/>
      <w:lvlJc w:val="left"/>
      <w:pPr>
        <w:ind w:left="339" w:hanging="323"/>
      </w:pPr>
      <w:rPr>
        <w:rFonts w:ascii="Arial" w:eastAsia="Arial" w:hAnsi="Arial" w:cs="Arial" w:hint="default"/>
        <w:color w:val="231F20"/>
        <w:w w:val="103"/>
        <w:sz w:val="20"/>
        <w:szCs w:val="20"/>
      </w:rPr>
    </w:lvl>
    <w:lvl w:ilvl="1" w:tplc="0742E7D0">
      <w:numFmt w:val="bullet"/>
      <w:lvlText w:val=""/>
      <w:lvlJc w:val="left"/>
      <w:pPr>
        <w:ind w:left="677" w:hanging="339"/>
      </w:pPr>
      <w:rPr>
        <w:rFonts w:ascii="Symbol" w:eastAsia="Symbol" w:hAnsi="Symbol" w:cs="Symbol" w:hint="default"/>
        <w:color w:val="231F20"/>
        <w:w w:val="103"/>
        <w:sz w:val="20"/>
        <w:szCs w:val="20"/>
      </w:rPr>
    </w:lvl>
    <w:lvl w:ilvl="2" w:tplc="DC1E222C">
      <w:numFmt w:val="bullet"/>
      <w:lvlText w:val="•"/>
      <w:lvlJc w:val="left"/>
      <w:pPr>
        <w:ind w:left="1009" w:hanging="339"/>
      </w:pPr>
      <w:rPr>
        <w:rFonts w:hint="default"/>
      </w:rPr>
    </w:lvl>
    <w:lvl w:ilvl="3" w:tplc="43661A98">
      <w:numFmt w:val="bullet"/>
      <w:lvlText w:val="•"/>
      <w:lvlJc w:val="left"/>
      <w:pPr>
        <w:ind w:left="1964" w:hanging="339"/>
      </w:pPr>
      <w:rPr>
        <w:rFonts w:hint="default"/>
      </w:rPr>
    </w:lvl>
    <w:lvl w:ilvl="4" w:tplc="BB8C5DA6">
      <w:numFmt w:val="bullet"/>
      <w:lvlText w:val="•"/>
      <w:lvlJc w:val="left"/>
      <w:pPr>
        <w:ind w:left="2919" w:hanging="339"/>
      </w:pPr>
      <w:rPr>
        <w:rFonts w:hint="default"/>
      </w:rPr>
    </w:lvl>
    <w:lvl w:ilvl="5" w:tplc="011280D2">
      <w:numFmt w:val="bullet"/>
      <w:lvlText w:val="•"/>
      <w:lvlJc w:val="left"/>
      <w:pPr>
        <w:ind w:left="3874" w:hanging="339"/>
      </w:pPr>
      <w:rPr>
        <w:rFonts w:hint="default"/>
      </w:rPr>
    </w:lvl>
    <w:lvl w:ilvl="6" w:tplc="9EFC9C48">
      <w:numFmt w:val="bullet"/>
      <w:lvlText w:val="•"/>
      <w:lvlJc w:val="left"/>
      <w:pPr>
        <w:ind w:left="4829" w:hanging="339"/>
      </w:pPr>
      <w:rPr>
        <w:rFonts w:hint="default"/>
      </w:rPr>
    </w:lvl>
    <w:lvl w:ilvl="7" w:tplc="1F44C2D0">
      <w:numFmt w:val="bullet"/>
      <w:lvlText w:val="•"/>
      <w:lvlJc w:val="left"/>
      <w:pPr>
        <w:ind w:left="5784" w:hanging="339"/>
      </w:pPr>
      <w:rPr>
        <w:rFonts w:hint="default"/>
      </w:rPr>
    </w:lvl>
    <w:lvl w:ilvl="8" w:tplc="2C144F82">
      <w:numFmt w:val="bullet"/>
      <w:lvlText w:val="•"/>
      <w:lvlJc w:val="left"/>
      <w:pPr>
        <w:ind w:left="6739" w:hanging="339"/>
      </w:pPr>
      <w:rPr>
        <w:rFonts w:hint="default"/>
      </w:rPr>
    </w:lvl>
  </w:abstractNum>
  <w:abstractNum w:abstractNumId="2">
    <w:nsid w:val="38B53483"/>
    <w:multiLevelType w:val="hybridMultilevel"/>
    <w:tmpl w:val="8B0238BC"/>
    <w:lvl w:ilvl="0" w:tplc="97A63B7A">
      <w:start w:val="1"/>
      <w:numFmt w:val="decimal"/>
      <w:lvlText w:val="%1."/>
      <w:lvlJc w:val="left"/>
      <w:pPr>
        <w:ind w:left="339" w:hanging="323"/>
      </w:pPr>
      <w:rPr>
        <w:rFonts w:ascii="Arial" w:eastAsia="Arial" w:hAnsi="Arial" w:cs="Arial" w:hint="default"/>
        <w:color w:val="231F20"/>
        <w:w w:val="103"/>
        <w:sz w:val="20"/>
        <w:szCs w:val="20"/>
      </w:rPr>
    </w:lvl>
    <w:lvl w:ilvl="1" w:tplc="0742E7D0">
      <w:numFmt w:val="bullet"/>
      <w:lvlText w:val=""/>
      <w:lvlJc w:val="left"/>
      <w:pPr>
        <w:ind w:left="677" w:hanging="339"/>
      </w:pPr>
      <w:rPr>
        <w:rFonts w:ascii="Symbol" w:eastAsia="Symbol" w:hAnsi="Symbol" w:cs="Symbol" w:hint="default"/>
        <w:color w:val="231F20"/>
        <w:w w:val="103"/>
        <w:sz w:val="20"/>
        <w:szCs w:val="20"/>
      </w:rPr>
    </w:lvl>
    <w:lvl w:ilvl="2" w:tplc="0C090003">
      <w:start w:val="1"/>
      <w:numFmt w:val="bullet"/>
      <w:lvlText w:val="o"/>
      <w:lvlJc w:val="left"/>
      <w:pPr>
        <w:ind w:left="1009" w:hanging="339"/>
      </w:pPr>
      <w:rPr>
        <w:rFonts w:ascii="Courier New" w:hAnsi="Courier New" w:cs="Courier New" w:hint="default"/>
      </w:rPr>
    </w:lvl>
    <w:lvl w:ilvl="3" w:tplc="43661A98">
      <w:numFmt w:val="bullet"/>
      <w:lvlText w:val="•"/>
      <w:lvlJc w:val="left"/>
      <w:pPr>
        <w:ind w:left="1964" w:hanging="339"/>
      </w:pPr>
      <w:rPr>
        <w:rFonts w:hint="default"/>
      </w:rPr>
    </w:lvl>
    <w:lvl w:ilvl="4" w:tplc="BB8C5DA6">
      <w:numFmt w:val="bullet"/>
      <w:lvlText w:val="•"/>
      <w:lvlJc w:val="left"/>
      <w:pPr>
        <w:ind w:left="2919" w:hanging="339"/>
      </w:pPr>
      <w:rPr>
        <w:rFonts w:hint="default"/>
      </w:rPr>
    </w:lvl>
    <w:lvl w:ilvl="5" w:tplc="011280D2">
      <w:numFmt w:val="bullet"/>
      <w:lvlText w:val="•"/>
      <w:lvlJc w:val="left"/>
      <w:pPr>
        <w:ind w:left="3874" w:hanging="339"/>
      </w:pPr>
      <w:rPr>
        <w:rFonts w:hint="default"/>
      </w:rPr>
    </w:lvl>
    <w:lvl w:ilvl="6" w:tplc="9EFC9C48">
      <w:numFmt w:val="bullet"/>
      <w:lvlText w:val="•"/>
      <w:lvlJc w:val="left"/>
      <w:pPr>
        <w:ind w:left="4829" w:hanging="339"/>
      </w:pPr>
      <w:rPr>
        <w:rFonts w:hint="default"/>
      </w:rPr>
    </w:lvl>
    <w:lvl w:ilvl="7" w:tplc="1F44C2D0">
      <w:numFmt w:val="bullet"/>
      <w:lvlText w:val="•"/>
      <w:lvlJc w:val="left"/>
      <w:pPr>
        <w:ind w:left="5784" w:hanging="339"/>
      </w:pPr>
      <w:rPr>
        <w:rFonts w:hint="default"/>
      </w:rPr>
    </w:lvl>
    <w:lvl w:ilvl="8" w:tplc="2C144F82">
      <w:numFmt w:val="bullet"/>
      <w:lvlText w:val="•"/>
      <w:lvlJc w:val="left"/>
      <w:pPr>
        <w:ind w:left="6739" w:hanging="339"/>
      </w:pPr>
      <w:rPr>
        <w:rFonts w:hint="default"/>
      </w:rPr>
    </w:lvl>
  </w:abstractNum>
  <w:abstractNum w:abstractNumId="3">
    <w:nsid w:val="559E5E59"/>
    <w:multiLevelType w:val="hybridMultilevel"/>
    <w:tmpl w:val="934A2124"/>
    <w:lvl w:ilvl="0" w:tplc="0C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docVars>
    <w:docVar w:name="currentname" w:val="\\homesharecl\HomeDrives\apabl\Desktop\CCG%20Communiqu%C3%A9%20-%2018%20July%202017_0.docx"/>
  </w:docVars>
  <w:rsids>
    <w:rsidRoot w:val="001F0F2D"/>
    <w:rsid w:val="000259B6"/>
    <w:rsid w:val="00057901"/>
    <w:rsid w:val="0008631F"/>
    <w:rsid w:val="000F0307"/>
    <w:rsid w:val="0013568C"/>
    <w:rsid w:val="00172C35"/>
    <w:rsid w:val="001969D8"/>
    <w:rsid w:val="001F0F2D"/>
    <w:rsid w:val="00312921"/>
    <w:rsid w:val="00376841"/>
    <w:rsid w:val="0038398F"/>
    <w:rsid w:val="004014C3"/>
    <w:rsid w:val="00422C71"/>
    <w:rsid w:val="00425384"/>
    <w:rsid w:val="00465406"/>
    <w:rsid w:val="00485BF7"/>
    <w:rsid w:val="00490ABB"/>
    <w:rsid w:val="00491030"/>
    <w:rsid w:val="004E70FB"/>
    <w:rsid w:val="00616674"/>
    <w:rsid w:val="00694FEC"/>
    <w:rsid w:val="006E695D"/>
    <w:rsid w:val="007E3297"/>
    <w:rsid w:val="00802EDE"/>
    <w:rsid w:val="008B00A5"/>
    <w:rsid w:val="00932D1E"/>
    <w:rsid w:val="00961734"/>
    <w:rsid w:val="00962384"/>
    <w:rsid w:val="00975ED3"/>
    <w:rsid w:val="009C6CD9"/>
    <w:rsid w:val="009D037C"/>
    <w:rsid w:val="009F2BC7"/>
    <w:rsid w:val="00A13858"/>
    <w:rsid w:val="00AA5E5E"/>
    <w:rsid w:val="00BD077C"/>
    <w:rsid w:val="00BF2046"/>
    <w:rsid w:val="00C111AE"/>
    <w:rsid w:val="00C51AE6"/>
    <w:rsid w:val="00CF2422"/>
    <w:rsid w:val="00D35F07"/>
    <w:rsid w:val="00D931A5"/>
    <w:rsid w:val="00E2676D"/>
    <w:rsid w:val="00E81722"/>
    <w:rsid w:val="00EA2881"/>
    <w:rsid w:val="00EB2F8F"/>
    <w:rsid w:val="00F05E31"/>
    <w:rsid w:val="00F504DC"/>
    <w:rsid w:val="00FB14A4"/>
    <w:rsid w:val="00FE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67"/>
      <w:ind w:left="2196" w:right="64"/>
      <w:outlineLvl w:val="0"/>
    </w:pPr>
    <w:rPr>
      <w:rFonts w:ascii="Cambria" w:eastAsia="Cambria" w:hAnsi="Cambria" w:cs="Cambria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81"/>
      <w:ind w:left="211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17"/>
      <w:ind w:left="490" w:hanging="339"/>
    </w:pPr>
  </w:style>
  <w:style w:type="paragraph" w:customStyle="1" w:styleId="TableParagraph">
    <w:name w:val="Table Paragraph"/>
    <w:basedOn w:val="Normal"/>
    <w:uiPriority w:val="1"/>
    <w:qFormat/>
    <w:pPr>
      <w:spacing w:before="116"/>
      <w:ind w:left="9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3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07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67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76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267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76D"/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D35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9C6CD9"/>
    <w:pPr>
      <w:widowControl/>
    </w:pPr>
    <w:rPr>
      <w:lang w:val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863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3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31F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3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31F"/>
    <w:rPr>
      <w:rFonts w:ascii="Arial" w:eastAsia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4167D-9C61-4961-AA2F-22BFFA8A4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3F90BF1</Template>
  <TotalTime>836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CCG%20Communiqu%C3%A9%20-%2018%20July%202017_0.pdf</vt:lpstr>
    </vt:vector>
  </TitlesOfParts>
  <Company>ACCC</Company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CCG%20Communiqu%C3%A9%20-%2018%20July%202017_0.pdf</dc:title>
  <dc:creator>apabl</dc:creator>
  <cp:keywords>()</cp:keywords>
  <cp:lastModifiedBy>Hartcher-O'Brien, Imogen</cp:lastModifiedBy>
  <cp:revision>20</cp:revision>
  <cp:lastPrinted>2017-09-22T04:01:00Z</cp:lastPrinted>
  <dcterms:created xsi:type="dcterms:W3CDTF">2017-09-22T01:56:00Z</dcterms:created>
  <dcterms:modified xsi:type="dcterms:W3CDTF">2017-10-03T04:01:00Z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2017-09-22T00:00:00Z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2017-09-22T00:00:00Z</vt:filetime>
  </property>
  <property fmtid="{D5CDD505-2E9C-101B-9397-08002B2CF9AE}" pid="5" name="URI">
    <vt:lpwstr>8975726</vt:lpwstr>
  </property>
  <property fmtid="{D5CDD505-2E9C-101B-9397-08002B2CF9AE}" pid="6" name="currfile">
    <vt:lpwstr>\\homesharecl\HomeDrives\ihart\aer reference group record of meeting - 22 september 2017 (D2017-00133668).docx</vt:lpwstr>
  </property>
</Properties>
</file>