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5A22BC28" wp14:editId="01993888">
                <wp:simplePos x="0" y="0"/>
                <wp:positionH relativeFrom="column">
                  <wp:posOffset>-1106805</wp:posOffset>
                </wp:positionH>
                <wp:positionV relativeFrom="paragraph">
                  <wp:posOffset>-1049597</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B51652"/>
        <w:p w:rsidR="00DB723B" w:rsidRPr="00DB723B" w:rsidRDefault="00DB723B" w:rsidP="00B51652"/>
        <w:p w:rsidR="00B96B46" w:rsidRDefault="00220B0E" w:rsidP="00327A1E">
          <w:pPr>
            <w:pStyle w:val="ReportTitle"/>
          </w:pPr>
          <w:r>
            <w:t>Electr</w:t>
          </w:r>
          <w:r w:rsidR="00B96B46">
            <w:t>i</w:t>
          </w:r>
          <w:r>
            <w:t>c</w:t>
          </w:r>
          <w:bookmarkStart w:id="0" w:name="_GoBack"/>
          <w:bookmarkEnd w:id="0"/>
          <w:r>
            <w:t xml:space="preserve">ity </w:t>
          </w:r>
          <w:r w:rsidR="00964B56">
            <w:t>R</w:t>
          </w:r>
          <w:r>
            <w:t>ing-</w:t>
          </w:r>
          <w:r w:rsidR="00964B56">
            <w:t>F</w:t>
          </w:r>
          <w:r>
            <w:t>encing</w:t>
          </w:r>
          <w:r w:rsidR="00B96B46">
            <w:t xml:space="preserve"> </w:t>
          </w:r>
          <w:r w:rsidR="00964B56">
            <w:t>Guideline</w:t>
          </w:r>
        </w:p>
        <w:p w:rsidR="00220B0E" w:rsidRDefault="00B51652" w:rsidP="00327A1E">
          <w:pPr>
            <w:pStyle w:val="ReportTitle"/>
          </w:pPr>
          <w:r>
            <w:t xml:space="preserve"> </w:t>
          </w:r>
        </w:p>
        <w:p w:rsidR="00DB723B" w:rsidRPr="00DB723B" w:rsidRDefault="00B96B46" w:rsidP="00327A1E">
          <w:pPr>
            <w:pStyle w:val="ReportTitle"/>
          </w:pPr>
          <w:r>
            <w:t>P</w:t>
          </w:r>
          <w:r w:rsidR="00B51652">
            <w:t xml:space="preserve">reliminary positions </w:t>
          </w:r>
        </w:p>
        <w:p w:rsidR="00FA3FA3" w:rsidRDefault="00FA3FA3" w:rsidP="00FA3FA3">
          <w:pPr>
            <w:pStyle w:val="ReportSubtitle"/>
          </w:pPr>
        </w:p>
        <w:p w:rsidR="00B51652" w:rsidRDefault="00B51652" w:rsidP="00327A1E">
          <w:pPr>
            <w:pStyle w:val="ReportDate"/>
          </w:pPr>
        </w:p>
        <w:p w:rsidR="00DB723B" w:rsidRPr="00DB723B" w:rsidRDefault="000E535D" w:rsidP="00327A1E">
          <w:pPr>
            <w:pStyle w:val="ReportDate"/>
          </w:pPr>
          <w:r>
            <w:t xml:space="preserve">April </w:t>
          </w:r>
          <w:r w:rsidR="006301A0">
            <w:t>2016</w:t>
          </w:r>
        </w:p>
        <w:p w:rsidR="00DB723B" w:rsidRPr="00DB723B" w:rsidRDefault="00DB723B" w:rsidP="00DB723B">
          <w:r w:rsidRPr="00DB723B">
            <w:br w:type="page"/>
          </w:r>
        </w:p>
      </w:sdtContent>
    </w:sdt>
    <w:p w:rsidR="000A6C7B" w:rsidRDefault="000A6C7B" w:rsidP="00327A1E">
      <w:pPr>
        <w:pStyle w:val="Copyright"/>
      </w:pPr>
      <w:r>
        <w:lastRenderedPageBreak/>
        <w:t>© Commonwealth of Australia 201</w:t>
      </w:r>
      <w:r w:rsidR="006301A0">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635538">
      <w:pPr>
        <w:pStyle w:val="StyleCopyrightBefore0pt"/>
        <w:numPr>
          <w:ilvl w:val="0"/>
          <w:numId w:val="22"/>
        </w:numPr>
      </w:pPr>
      <w:r>
        <w:t>the Commonwealth Coat of Arms</w:t>
      </w:r>
    </w:p>
    <w:p w:rsidR="000A6C7B" w:rsidRDefault="000A6C7B" w:rsidP="00635538">
      <w:pPr>
        <w:pStyle w:val="StyleCopyrightBefore0pt"/>
        <w:numPr>
          <w:ilvl w:val="0"/>
          <w:numId w:val="22"/>
        </w:numPr>
      </w:pPr>
      <w:r>
        <w:t>the ACCC and AER logos</w:t>
      </w:r>
    </w:p>
    <w:p w:rsidR="000A6C7B" w:rsidRPr="00B927D8" w:rsidRDefault="000A6C7B" w:rsidP="00635538">
      <w:pPr>
        <w:pStyle w:val="ListBullet"/>
        <w:numPr>
          <w:ilvl w:val="0"/>
          <w:numId w:val="22"/>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0" w:history="1">
        <w:r w:rsidRPr="00D64888">
          <w:rPr>
            <w:rStyle w:val="Hyperlink"/>
          </w:rPr>
          <w:t>AERInquiry@aer.gov.au</w:t>
        </w:r>
      </w:hyperlink>
      <w:r w:rsidR="00951978">
        <w:rPr>
          <w:rStyle w:val="Hyperlink"/>
        </w:rPr>
        <w:br/>
      </w:r>
      <w:r>
        <w:t xml:space="preserve">AER Reference: </w:t>
      </w:r>
      <w:r w:rsidR="00572CDB">
        <w:t>46484</w:t>
      </w:r>
    </w:p>
    <w:p w:rsidR="000A6C7B" w:rsidRDefault="000A6C7B" w:rsidP="000A6C7B"/>
    <w:p w:rsidR="007A0BC2" w:rsidRDefault="007A0BC2" w:rsidP="007A0BC2">
      <w:pPr>
        <w:pStyle w:val="Heading1notnumber"/>
      </w:pPr>
      <w:bookmarkStart w:id="1" w:name="_Toc448838434"/>
      <w:r>
        <w:lastRenderedPageBreak/>
        <w:t>Request for submissions</w:t>
      </w:r>
      <w:bookmarkEnd w:id="1"/>
    </w:p>
    <w:p w:rsidR="007A0BC2" w:rsidRPr="007A0BC2" w:rsidRDefault="007A0BC2" w:rsidP="007A0BC2">
      <w:r w:rsidRPr="007A0BC2">
        <w:t>Interested parties are invited to make written submissions to the Australian Energy Regulator (AER)</w:t>
      </w:r>
      <w:r>
        <w:t xml:space="preserve"> </w:t>
      </w:r>
      <w:r w:rsidRPr="007A0BC2">
        <w:t xml:space="preserve">regarding this paper by the close of business, </w:t>
      </w:r>
      <w:r w:rsidR="005112E3">
        <w:rPr>
          <w:rStyle w:val="Bold"/>
        </w:rPr>
        <w:t>30 May</w:t>
      </w:r>
      <w:r w:rsidRPr="007A0BC2">
        <w:rPr>
          <w:rStyle w:val="Bold"/>
        </w:rPr>
        <w:t xml:space="preserve"> 2016</w:t>
      </w:r>
      <w:r w:rsidRPr="007A0BC2">
        <w:t>.</w:t>
      </w:r>
    </w:p>
    <w:p w:rsidR="007A0BC2" w:rsidRPr="007A0BC2" w:rsidRDefault="007A0BC2" w:rsidP="007A0BC2">
      <w:r w:rsidRPr="007A0BC2">
        <w:t xml:space="preserve">Submissions should be sent electronically to: </w:t>
      </w:r>
      <w:r w:rsidR="00220B0E">
        <w:t>Ringfencingguideline2016@aer.gov.au</w:t>
      </w:r>
      <w:r>
        <w:t xml:space="preserve"> </w:t>
      </w:r>
    </w:p>
    <w:p w:rsidR="007A0BC2" w:rsidRDefault="007A0BC2" w:rsidP="007A0BC2">
      <w:r w:rsidRPr="007A0BC2">
        <w:t>Alternatively, submissions can be mailed to:</w:t>
      </w:r>
    </w:p>
    <w:p w:rsidR="007A0BC2" w:rsidRDefault="007A0BC2" w:rsidP="007A0BC2">
      <w:pPr>
        <w:pStyle w:val="NoSpacing"/>
      </w:pPr>
    </w:p>
    <w:p w:rsidR="007A0BC2" w:rsidRPr="007A0BC2" w:rsidRDefault="007A0BC2" w:rsidP="007A0BC2">
      <w:pPr>
        <w:pStyle w:val="NoSpacing"/>
      </w:pPr>
      <w:r w:rsidRPr="007A0BC2">
        <w:t xml:space="preserve">Mr </w:t>
      </w:r>
      <w:r w:rsidR="00220B0E">
        <w:t>Chris Pattas</w:t>
      </w:r>
    </w:p>
    <w:p w:rsidR="007A0BC2" w:rsidRPr="007A0BC2" w:rsidRDefault="007A0BC2" w:rsidP="007A0BC2">
      <w:pPr>
        <w:pStyle w:val="NoSpacing"/>
      </w:pPr>
      <w:r w:rsidRPr="007A0BC2">
        <w:t>General Manager, Network</w:t>
      </w:r>
      <w:r w:rsidR="006D6762">
        <w:t>s</w:t>
      </w:r>
      <w:r w:rsidRPr="007A0BC2">
        <w:t xml:space="preserve"> </w:t>
      </w:r>
    </w:p>
    <w:p w:rsidR="007A0BC2" w:rsidRPr="007A0BC2" w:rsidRDefault="007A0BC2" w:rsidP="007A0BC2">
      <w:pPr>
        <w:pStyle w:val="NoSpacing"/>
      </w:pPr>
      <w:r w:rsidRPr="007A0BC2">
        <w:t>Australian Energy Regulator</w:t>
      </w:r>
    </w:p>
    <w:p w:rsidR="007A0BC2" w:rsidRPr="007A0BC2" w:rsidRDefault="007A0BC2" w:rsidP="007A0BC2">
      <w:pPr>
        <w:pStyle w:val="NoSpacing"/>
      </w:pPr>
      <w:r w:rsidRPr="007A0BC2">
        <w:t xml:space="preserve">GPO Box </w:t>
      </w:r>
      <w:r>
        <w:t>520</w:t>
      </w:r>
    </w:p>
    <w:p w:rsidR="007A0BC2" w:rsidRPr="007A0BC2" w:rsidRDefault="007A0BC2" w:rsidP="007A0BC2">
      <w:pPr>
        <w:pStyle w:val="NoSpacing"/>
      </w:pPr>
      <w:proofErr w:type="gramStart"/>
      <w:r>
        <w:t>Melbourne  VIC</w:t>
      </w:r>
      <w:proofErr w:type="gramEnd"/>
      <w:r>
        <w:t xml:space="preserve">  3001</w:t>
      </w:r>
    </w:p>
    <w:p w:rsidR="007A0BC2" w:rsidRPr="007A0BC2" w:rsidRDefault="007A0BC2" w:rsidP="007A0BC2">
      <w:r w:rsidRPr="007A0BC2">
        <w:t>The AER prefers that all submissions be publicly available to facilitate an informed and transparent</w:t>
      </w:r>
      <w:r>
        <w:t xml:space="preserve"> </w:t>
      </w:r>
      <w:r w:rsidRPr="007A0BC2">
        <w:t>consultative process. Submissions will be treated as public documents unless otherwise requested.</w:t>
      </w:r>
    </w:p>
    <w:p w:rsidR="007A0BC2" w:rsidRPr="007A0BC2" w:rsidRDefault="007A0BC2" w:rsidP="007A0BC2">
      <w:r w:rsidRPr="007A0BC2">
        <w:t>Parties wishing to submit confidential information are requested to:</w:t>
      </w:r>
    </w:p>
    <w:p w:rsidR="007A0BC2" w:rsidRPr="007A0BC2" w:rsidRDefault="007A0BC2" w:rsidP="007A0BC2">
      <w:pPr>
        <w:pStyle w:val="ListBullet"/>
      </w:pPr>
      <w:r w:rsidRPr="007A0BC2">
        <w:t>clearly identify the information that is the subject of the confidentiality claim</w:t>
      </w:r>
    </w:p>
    <w:p w:rsidR="007A0BC2" w:rsidRPr="007A0BC2" w:rsidRDefault="007A0BC2" w:rsidP="007A0BC2">
      <w:pPr>
        <w:pStyle w:val="ListBullet"/>
      </w:pPr>
      <w:proofErr w:type="gramStart"/>
      <w:r w:rsidRPr="007A0BC2">
        <w:t>provide</w:t>
      </w:r>
      <w:proofErr w:type="gramEnd"/>
      <w:r w:rsidRPr="007A0BC2">
        <w:t xml:space="preserve"> a non-confidential version of the submission in a form suitable for publication.</w:t>
      </w:r>
    </w:p>
    <w:p w:rsidR="007A0BC2" w:rsidRPr="007A0BC2" w:rsidRDefault="007A0BC2" w:rsidP="007A0BC2">
      <w:r w:rsidRPr="007A0BC2">
        <w:t>All non-confidential submissions will be placed on the AER's website at www.aer.gov.au. For further</w:t>
      </w:r>
      <w:r>
        <w:t xml:space="preserve"> </w:t>
      </w:r>
      <w:r w:rsidRPr="007A0BC2">
        <w:t xml:space="preserve">information regarding the AER's use and disclosure of information provided to it, see the </w:t>
      </w:r>
      <w:r w:rsidRPr="007A0BC2">
        <w:rPr>
          <w:rStyle w:val="Emphasis"/>
        </w:rPr>
        <w:t>ACCC/AER Information Policy</w:t>
      </w:r>
      <w:r w:rsidRPr="007A0BC2">
        <w:t xml:space="preserve">, </w:t>
      </w:r>
      <w:r w:rsidR="00B72A3D">
        <w:t>June 2014</w:t>
      </w:r>
      <w:r w:rsidRPr="007A0BC2">
        <w:t xml:space="preserve"> available on the AER's website.</w:t>
      </w:r>
    </w:p>
    <w:p w:rsidR="002010BC" w:rsidRDefault="007A0BC2" w:rsidP="007A0BC2">
      <w:r w:rsidRPr="007A0BC2">
        <w:t>Enquiries about this paper, or about lodging submissions, should be directed to the Network</w:t>
      </w:r>
      <w:r>
        <w:t xml:space="preserve"> </w:t>
      </w:r>
      <w:r w:rsidRPr="007A0BC2">
        <w:t>Regulation branch of the AER on (02) 9230 9133.</w:t>
      </w:r>
      <w:r w:rsidR="002010BC">
        <w:br w:type="page"/>
      </w:r>
    </w:p>
    <w:p w:rsidR="002010BC" w:rsidRDefault="00A75077" w:rsidP="007A0BC2">
      <w:pPr>
        <w:pStyle w:val="Heading1notnumber"/>
      </w:pPr>
      <w:bookmarkStart w:id="2" w:name="_Toc448838435"/>
      <w:r>
        <w:lastRenderedPageBreak/>
        <w:t>Contents</w:t>
      </w:r>
      <w:bookmarkEnd w:id="2"/>
    </w:p>
    <w:p w:rsidR="00343BAD"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48838434" w:history="1">
        <w:r w:rsidR="00343BAD" w:rsidRPr="00454CF4">
          <w:rPr>
            <w:rStyle w:val="Hyperlink"/>
          </w:rPr>
          <w:t>Request for submissions</w:t>
        </w:r>
        <w:r w:rsidR="00343BAD">
          <w:rPr>
            <w:webHidden/>
          </w:rPr>
          <w:tab/>
        </w:r>
        <w:r w:rsidR="00343BAD">
          <w:rPr>
            <w:webHidden/>
          </w:rPr>
          <w:fldChar w:fldCharType="begin"/>
        </w:r>
        <w:r w:rsidR="00343BAD">
          <w:rPr>
            <w:webHidden/>
          </w:rPr>
          <w:instrText xml:space="preserve"> PAGEREF _Toc448838434 \h </w:instrText>
        </w:r>
        <w:r w:rsidR="00343BAD">
          <w:rPr>
            <w:webHidden/>
          </w:rPr>
        </w:r>
        <w:r w:rsidR="00343BAD">
          <w:rPr>
            <w:webHidden/>
          </w:rPr>
          <w:fldChar w:fldCharType="separate"/>
        </w:r>
        <w:r w:rsidR="002B7CD8">
          <w:rPr>
            <w:webHidden/>
          </w:rPr>
          <w:t>3</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35" w:history="1">
        <w:r w:rsidR="00343BAD" w:rsidRPr="00454CF4">
          <w:rPr>
            <w:rStyle w:val="Hyperlink"/>
          </w:rPr>
          <w:t>Contents</w:t>
        </w:r>
        <w:r w:rsidR="00343BAD">
          <w:rPr>
            <w:webHidden/>
          </w:rPr>
          <w:tab/>
        </w:r>
        <w:r w:rsidR="00343BAD">
          <w:rPr>
            <w:webHidden/>
          </w:rPr>
          <w:fldChar w:fldCharType="begin"/>
        </w:r>
        <w:r w:rsidR="00343BAD">
          <w:rPr>
            <w:webHidden/>
          </w:rPr>
          <w:instrText xml:space="preserve"> PAGEREF _Toc448838435 \h </w:instrText>
        </w:r>
        <w:r w:rsidR="00343BAD">
          <w:rPr>
            <w:webHidden/>
          </w:rPr>
        </w:r>
        <w:r w:rsidR="00343BAD">
          <w:rPr>
            <w:webHidden/>
          </w:rPr>
          <w:fldChar w:fldCharType="separate"/>
        </w:r>
        <w:r>
          <w:rPr>
            <w:webHidden/>
          </w:rPr>
          <w:t>4</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36" w:history="1">
        <w:r w:rsidR="00343BAD" w:rsidRPr="00454CF4">
          <w:rPr>
            <w:rStyle w:val="Hyperlink"/>
          </w:rPr>
          <w:t>About the ring-fencing guideline</w:t>
        </w:r>
        <w:r w:rsidR="00343BAD">
          <w:rPr>
            <w:webHidden/>
          </w:rPr>
          <w:tab/>
        </w:r>
        <w:r w:rsidR="00343BAD">
          <w:rPr>
            <w:webHidden/>
          </w:rPr>
          <w:fldChar w:fldCharType="begin"/>
        </w:r>
        <w:r w:rsidR="00343BAD">
          <w:rPr>
            <w:webHidden/>
          </w:rPr>
          <w:instrText xml:space="preserve"> PAGEREF _Toc448838436 \h </w:instrText>
        </w:r>
        <w:r w:rsidR="00343BAD">
          <w:rPr>
            <w:webHidden/>
          </w:rPr>
        </w:r>
        <w:r w:rsidR="00343BAD">
          <w:rPr>
            <w:webHidden/>
          </w:rPr>
          <w:fldChar w:fldCharType="separate"/>
        </w:r>
        <w:r>
          <w:rPr>
            <w:webHidden/>
          </w:rPr>
          <w:t>6</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37" w:history="1">
        <w:r w:rsidR="00343BAD" w:rsidRPr="00454CF4">
          <w:rPr>
            <w:rStyle w:val="Hyperlink"/>
          </w:rPr>
          <w:t>1</w:t>
        </w:r>
        <w:r w:rsidR="00343BAD">
          <w:rPr>
            <w:rFonts w:asciiTheme="minorHAnsi" w:eastAsiaTheme="minorEastAsia" w:hAnsiTheme="minorHAnsi"/>
            <w:b w:val="0"/>
            <w:color w:val="auto"/>
            <w:sz w:val="22"/>
            <w:lang w:val="en-AU" w:eastAsia="en-AU"/>
          </w:rPr>
          <w:tab/>
        </w:r>
        <w:r w:rsidR="00343BAD" w:rsidRPr="00454CF4">
          <w:rPr>
            <w:rStyle w:val="Hyperlink"/>
          </w:rPr>
          <w:t>Introduction</w:t>
        </w:r>
        <w:r w:rsidR="00343BAD">
          <w:rPr>
            <w:webHidden/>
          </w:rPr>
          <w:tab/>
        </w:r>
        <w:r w:rsidR="00343BAD">
          <w:rPr>
            <w:webHidden/>
          </w:rPr>
          <w:fldChar w:fldCharType="begin"/>
        </w:r>
        <w:r w:rsidR="00343BAD">
          <w:rPr>
            <w:webHidden/>
          </w:rPr>
          <w:instrText xml:space="preserve"> PAGEREF _Toc448838437 \h </w:instrText>
        </w:r>
        <w:r w:rsidR="00343BAD">
          <w:rPr>
            <w:webHidden/>
          </w:rPr>
        </w:r>
        <w:r w:rsidR="00343BAD">
          <w:rPr>
            <w:webHidden/>
          </w:rPr>
          <w:fldChar w:fldCharType="separate"/>
        </w:r>
        <w:r>
          <w:rPr>
            <w:webHidden/>
          </w:rPr>
          <w:t>9</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38" w:history="1">
        <w:r w:rsidR="00343BAD" w:rsidRPr="00454CF4">
          <w:rPr>
            <w:rStyle w:val="Hyperlink"/>
          </w:rPr>
          <w:t>1.1</w:t>
        </w:r>
        <w:r w:rsidR="00343BAD">
          <w:rPr>
            <w:rFonts w:asciiTheme="minorHAnsi" w:eastAsiaTheme="minorEastAsia" w:hAnsiTheme="minorHAnsi"/>
            <w:b w:val="0"/>
            <w:color w:val="auto"/>
            <w:sz w:val="22"/>
            <w:lang w:eastAsia="en-AU"/>
          </w:rPr>
          <w:tab/>
        </w:r>
        <w:r w:rsidR="00343BAD" w:rsidRPr="00454CF4">
          <w:rPr>
            <w:rStyle w:val="Hyperlink"/>
          </w:rPr>
          <w:t>What is ring-fencing?</w:t>
        </w:r>
        <w:r w:rsidR="00343BAD">
          <w:rPr>
            <w:webHidden/>
          </w:rPr>
          <w:tab/>
        </w:r>
        <w:r w:rsidR="00343BAD">
          <w:rPr>
            <w:webHidden/>
          </w:rPr>
          <w:fldChar w:fldCharType="begin"/>
        </w:r>
        <w:r w:rsidR="00343BAD">
          <w:rPr>
            <w:webHidden/>
          </w:rPr>
          <w:instrText xml:space="preserve"> PAGEREF _Toc448838438 \h </w:instrText>
        </w:r>
        <w:r w:rsidR="00343BAD">
          <w:rPr>
            <w:webHidden/>
          </w:rPr>
        </w:r>
        <w:r w:rsidR="00343BAD">
          <w:rPr>
            <w:webHidden/>
          </w:rPr>
          <w:fldChar w:fldCharType="separate"/>
        </w:r>
        <w:r>
          <w:rPr>
            <w:webHidden/>
          </w:rPr>
          <w:t>10</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39" w:history="1">
        <w:r w:rsidR="00343BAD" w:rsidRPr="00454CF4">
          <w:rPr>
            <w:rStyle w:val="Hyperlink"/>
          </w:rPr>
          <w:t>1.2</w:t>
        </w:r>
        <w:r w:rsidR="00343BAD">
          <w:rPr>
            <w:rFonts w:asciiTheme="minorHAnsi" w:eastAsiaTheme="minorEastAsia" w:hAnsiTheme="minorHAnsi"/>
            <w:b w:val="0"/>
            <w:color w:val="auto"/>
            <w:sz w:val="22"/>
            <w:lang w:eastAsia="en-AU"/>
          </w:rPr>
          <w:tab/>
        </w:r>
        <w:r w:rsidR="00343BAD" w:rsidRPr="00454CF4">
          <w:rPr>
            <w:rStyle w:val="Hyperlink"/>
          </w:rPr>
          <w:t>Elements of the AER ring-fencing guideline</w:t>
        </w:r>
        <w:r w:rsidR="00343BAD">
          <w:rPr>
            <w:webHidden/>
          </w:rPr>
          <w:tab/>
        </w:r>
        <w:r w:rsidR="00343BAD">
          <w:rPr>
            <w:webHidden/>
          </w:rPr>
          <w:fldChar w:fldCharType="begin"/>
        </w:r>
        <w:r w:rsidR="00343BAD">
          <w:rPr>
            <w:webHidden/>
          </w:rPr>
          <w:instrText xml:space="preserve"> PAGEREF _Toc448838439 \h </w:instrText>
        </w:r>
        <w:r w:rsidR="00343BAD">
          <w:rPr>
            <w:webHidden/>
          </w:rPr>
        </w:r>
        <w:r w:rsidR="00343BAD">
          <w:rPr>
            <w:webHidden/>
          </w:rPr>
          <w:fldChar w:fldCharType="separate"/>
        </w:r>
        <w:r>
          <w:rPr>
            <w:webHidden/>
          </w:rPr>
          <w:t>11</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40" w:history="1">
        <w:r w:rsidR="00343BAD" w:rsidRPr="00454CF4">
          <w:rPr>
            <w:rStyle w:val="Hyperlink"/>
          </w:rPr>
          <w:t>2</w:t>
        </w:r>
        <w:r w:rsidR="00343BAD">
          <w:rPr>
            <w:rFonts w:asciiTheme="minorHAnsi" w:eastAsiaTheme="minorEastAsia" w:hAnsiTheme="minorHAnsi"/>
            <w:b w:val="0"/>
            <w:color w:val="auto"/>
            <w:sz w:val="22"/>
            <w:lang w:val="en-AU" w:eastAsia="en-AU"/>
          </w:rPr>
          <w:tab/>
        </w:r>
        <w:r w:rsidR="00343BAD" w:rsidRPr="00454CF4">
          <w:rPr>
            <w:rStyle w:val="Hyperlink"/>
          </w:rPr>
          <w:t>What is the objective of ring-fencing?</w:t>
        </w:r>
        <w:r w:rsidR="00343BAD">
          <w:rPr>
            <w:webHidden/>
          </w:rPr>
          <w:tab/>
        </w:r>
        <w:r w:rsidR="00343BAD">
          <w:rPr>
            <w:webHidden/>
          </w:rPr>
          <w:fldChar w:fldCharType="begin"/>
        </w:r>
        <w:r w:rsidR="00343BAD">
          <w:rPr>
            <w:webHidden/>
          </w:rPr>
          <w:instrText xml:space="preserve"> PAGEREF _Toc448838440 \h </w:instrText>
        </w:r>
        <w:r w:rsidR="00343BAD">
          <w:rPr>
            <w:webHidden/>
          </w:rPr>
        </w:r>
        <w:r w:rsidR="00343BAD">
          <w:rPr>
            <w:webHidden/>
          </w:rPr>
          <w:fldChar w:fldCharType="separate"/>
        </w:r>
        <w:r>
          <w:rPr>
            <w:webHidden/>
          </w:rPr>
          <w:t>14</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1" w:history="1">
        <w:r w:rsidR="00343BAD" w:rsidRPr="00454CF4">
          <w:rPr>
            <w:rStyle w:val="Hyperlink"/>
          </w:rPr>
          <w:t>2.1</w:t>
        </w:r>
        <w:r w:rsidR="00343BAD">
          <w:rPr>
            <w:rFonts w:asciiTheme="minorHAnsi" w:eastAsiaTheme="minorEastAsia" w:hAnsiTheme="minorHAnsi"/>
            <w:b w:val="0"/>
            <w:color w:val="auto"/>
            <w:sz w:val="22"/>
            <w:lang w:eastAsia="en-AU"/>
          </w:rPr>
          <w:tab/>
        </w:r>
        <w:r w:rsidR="00343BAD" w:rsidRPr="00454CF4">
          <w:rPr>
            <w:rStyle w:val="Hyperlink"/>
          </w:rPr>
          <w:t>Proposed ring-fencing objectives</w:t>
        </w:r>
        <w:r w:rsidR="00343BAD">
          <w:rPr>
            <w:webHidden/>
          </w:rPr>
          <w:tab/>
        </w:r>
        <w:r w:rsidR="00343BAD">
          <w:rPr>
            <w:webHidden/>
          </w:rPr>
          <w:fldChar w:fldCharType="begin"/>
        </w:r>
        <w:r w:rsidR="00343BAD">
          <w:rPr>
            <w:webHidden/>
          </w:rPr>
          <w:instrText xml:space="preserve"> PAGEREF _Toc448838441 \h </w:instrText>
        </w:r>
        <w:r w:rsidR="00343BAD">
          <w:rPr>
            <w:webHidden/>
          </w:rPr>
        </w:r>
        <w:r w:rsidR="00343BAD">
          <w:rPr>
            <w:webHidden/>
          </w:rPr>
          <w:fldChar w:fldCharType="separate"/>
        </w:r>
        <w:r>
          <w:rPr>
            <w:webHidden/>
          </w:rPr>
          <w:t>16</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42" w:history="1">
        <w:r w:rsidR="00343BAD" w:rsidRPr="00454CF4">
          <w:rPr>
            <w:rStyle w:val="Hyperlink"/>
          </w:rPr>
          <w:t>3</w:t>
        </w:r>
        <w:r w:rsidR="00343BAD">
          <w:rPr>
            <w:rFonts w:asciiTheme="minorHAnsi" w:eastAsiaTheme="minorEastAsia" w:hAnsiTheme="minorHAnsi"/>
            <w:b w:val="0"/>
            <w:color w:val="auto"/>
            <w:sz w:val="22"/>
            <w:lang w:val="en-AU" w:eastAsia="en-AU"/>
          </w:rPr>
          <w:tab/>
        </w:r>
        <w:r w:rsidR="00343BAD" w:rsidRPr="00454CF4">
          <w:rPr>
            <w:rStyle w:val="Hyperlink"/>
          </w:rPr>
          <w:t>Which services should be ring-fenced?</w:t>
        </w:r>
        <w:r w:rsidR="00343BAD">
          <w:rPr>
            <w:webHidden/>
          </w:rPr>
          <w:tab/>
        </w:r>
        <w:r w:rsidR="00343BAD">
          <w:rPr>
            <w:webHidden/>
          </w:rPr>
          <w:fldChar w:fldCharType="begin"/>
        </w:r>
        <w:r w:rsidR="00343BAD">
          <w:rPr>
            <w:webHidden/>
          </w:rPr>
          <w:instrText xml:space="preserve"> PAGEREF _Toc448838442 \h </w:instrText>
        </w:r>
        <w:r w:rsidR="00343BAD">
          <w:rPr>
            <w:webHidden/>
          </w:rPr>
        </w:r>
        <w:r w:rsidR="00343BAD">
          <w:rPr>
            <w:webHidden/>
          </w:rPr>
          <w:fldChar w:fldCharType="separate"/>
        </w:r>
        <w:r>
          <w:rPr>
            <w:webHidden/>
          </w:rPr>
          <w:t>18</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3" w:history="1">
        <w:r w:rsidR="00343BAD" w:rsidRPr="00454CF4">
          <w:rPr>
            <w:rStyle w:val="Hyperlink"/>
          </w:rPr>
          <w:t>3.1</w:t>
        </w:r>
        <w:r w:rsidR="00343BAD">
          <w:rPr>
            <w:rFonts w:asciiTheme="minorHAnsi" w:eastAsiaTheme="minorEastAsia" w:hAnsiTheme="minorHAnsi"/>
            <w:b w:val="0"/>
            <w:color w:val="auto"/>
            <w:sz w:val="22"/>
            <w:lang w:eastAsia="en-AU"/>
          </w:rPr>
          <w:tab/>
        </w:r>
        <w:r w:rsidR="00343BAD" w:rsidRPr="00454CF4">
          <w:rPr>
            <w:rStyle w:val="Hyperlink"/>
          </w:rPr>
          <w:t>Is it possible to ring-fence an asset?</w:t>
        </w:r>
        <w:r w:rsidR="00343BAD">
          <w:rPr>
            <w:webHidden/>
          </w:rPr>
          <w:tab/>
        </w:r>
        <w:r w:rsidR="00343BAD">
          <w:rPr>
            <w:webHidden/>
          </w:rPr>
          <w:fldChar w:fldCharType="begin"/>
        </w:r>
        <w:r w:rsidR="00343BAD">
          <w:rPr>
            <w:webHidden/>
          </w:rPr>
          <w:instrText xml:space="preserve"> PAGEREF _Toc448838443 \h </w:instrText>
        </w:r>
        <w:r w:rsidR="00343BAD">
          <w:rPr>
            <w:webHidden/>
          </w:rPr>
        </w:r>
        <w:r w:rsidR="00343BAD">
          <w:rPr>
            <w:webHidden/>
          </w:rPr>
          <w:fldChar w:fldCharType="separate"/>
        </w:r>
        <w:r>
          <w:rPr>
            <w:webHidden/>
          </w:rPr>
          <w:t>18</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4" w:history="1">
        <w:r w:rsidR="00343BAD" w:rsidRPr="00454CF4">
          <w:rPr>
            <w:rStyle w:val="Hyperlink"/>
          </w:rPr>
          <w:t>3.2</w:t>
        </w:r>
        <w:r w:rsidR="00343BAD">
          <w:rPr>
            <w:rFonts w:asciiTheme="minorHAnsi" w:eastAsiaTheme="minorEastAsia" w:hAnsiTheme="minorHAnsi"/>
            <w:b w:val="0"/>
            <w:color w:val="auto"/>
            <w:sz w:val="22"/>
            <w:lang w:eastAsia="en-AU"/>
          </w:rPr>
          <w:tab/>
        </w:r>
        <w:r w:rsidR="00343BAD" w:rsidRPr="00454CF4">
          <w:rPr>
            <w:rStyle w:val="Hyperlink"/>
          </w:rPr>
          <w:t>Services currently subject to ring-fencing</w:t>
        </w:r>
        <w:r w:rsidR="00343BAD">
          <w:rPr>
            <w:webHidden/>
          </w:rPr>
          <w:tab/>
        </w:r>
        <w:r w:rsidR="00343BAD">
          <w:rPr>
            <w:webHidden/>
          </w:rPr>
          <w:fldChar w:fldCharType="begin"/>
        </w:r>
        <w:r w:rsidR="00343BAD">
          <w:rPr>
            <w:webHidden/>
          </w:rPr>
          <w:instrText xml:space="preserve"> PAGEREF _Toc448838444 \h </w:instrText>
        </w:r>
        <w:r w:rsidR="00343BAD">
          <w:rPr>
            <w:webHidden/>
          </w:rPr>
        </w:r>
        <w:r w:rsidR="00343BAD">
          <w:rPr>
            <w:webHidden/>
          </w:rPr>
          <w:fldChar w:fldCharType="separate"/>
        </w:r>
        <w:r>
          <w:rPr>
            <w:webHidden/>
          </w:rPr>
          <w:t>19</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5" w:history="1">
        <w:r w:rsidR="00343BAD" w:rsidRPr="00454CF4">
          <w:rPr>
            <w:rStyle w:val="Hyperlink"/>
          </w:rPr>
          <w:t>3.3</w:t>
        </w:r>
        <w:r w:rsidR="00343BAD">
          <w:rPr>
            <w:rFonts w:asciiTheme="minorHAnsi" w:eastAsiaTheme="minorEastAsia" w:hAnsiTheme="minorHAnsi"/>
            <w:b w:val="0"/>
            <w:color w:val="auto"/>
            <w:sz w:val="22"/>
            <w:lang w:eastAsia="en-AU"/>
          </w:rPr>
          <w:tab/>
        </w:r>
        <w:r w:rsidR="00343BAD" w:rsidRPr="00454CF4">
          <w:rPr>
            <w:rStyle w:val="Hyperlink"/>
          </w:rPr>
          <w:t>Ring-fencing coverage</w:t>
        </w:r>
        <w:r w:rsidR="00343BAD">
          <w:rPr>
            <w:webHidden/>
          </w:rPr>
          <w:tab/>
        </w:r>
        <w:r w:rsidR="00343BAD">
          <w:rPr>
            <w:webHidden/>
          </w:rPr>
          <w:fldChar w:fldCharType="begin"/>
        </w:r>
        <w:r w:rsidR="00343BAD">
          <w:rPr>
            <w:webHidden/>
          </w:rPr>
          <w:instrText xml:space="preserve"> PAGEREF _Toc448838445 \h </w:instrText>
        </w:r>
        <w:r w:rsidR="00343BAD">
          <w:rPr>
            <w:webHidden/>
          </w:rPr>
        </w:r>
        <w:r w:rsidR="00343BAD">
          <w:rPr>
            <w:webHidden/>
          </w:rPr>
          <w:fldChar w:fldCharType="separate"/>
        </w:r>
        <w:r>
          <w:rPr>
            <w:webHidden/>
          </w:rPr>
          <w:t>19</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6" w:history="1">
        <w:r w:rsidR="00343BAD" w:rsidRPr="00454CF4">
          <w:rPr>
            <w:rStyle w:val="Hyperlink"/>
          </w:rPr>
          <w:t>3.4</w:t>
        </w:r>
        <w:r w:rsidR="00343BAD">
          <w:rPr>
            <w:rFonts w:asciiTheme="minorHAnsi" w:eastAsiaTheme="minorEastAsia" w:hAnsiTheme="minorHAnsi"/>
            <w:b w:val="0"/>
            <w:color w:val="auto"/>
            <w:sz w:val="22"/>
            <w:lang w:eastAsia="en-AU"/>
          </w:rPr>
          <w:tab/>
        </w:r>
        <w:r w:rsidR="00343BAD" w:rsidRPr="00454CF4">
          <w:rPr>
            <w:rStyle w:val="Hyperlink"/>
          </w:rPr>
          <w:t>Case study—metering</w:t>
        </w:r>
        <w:r w:rsidR="00343BAD">
          <w:rPr>
            <w:webHidden/>
          </w:rPr>
          <w:tab/>
        </w:r>
        <w:r w:rsidR="00343BAD">
          <w:rPr>
            <w:webHidden/>
          </w:rPr>
          <w:fldChar w:fldCharType="begin"/>
        </w:r>
        <w:r w:rsidR="00343BAD">
          <w:rPr>
            <w:webHidden/>
          </w:rPr>
          <w:instrText xml:space="preserve"> PAGEREF _Toc448838446 \h </w:instrText>
        </w:r>
        <w:r w:rsidR="00343BAD">
          <w:rPr>
            <w:webHidden/>
          </w:rPr>
        </w:r>
        <w:r w:rsidR="00343BAD">
          <w:rPr>
            <w:webHidden/>
          </w:rPr>
          <w:fldChar w:fldCharType="separate"/>
        </w:r>
        <w:r>
          <w:rPr>
            <w:webHidden/>
          </w:rPr>
          <w:t>22</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7" w:history="1">
        <w:r w:rsidR="00343BAD" w:rsidRPr="00454CF4">
          <w:rPr>
            <w:rStyle w:val="Hyperlink"/>
          </w:rPr>
          <w:t>3.5</w:t>
        </w:r>
        <w:r w:rsidR="00343BAD">
          <w:rPr>
            <w:rFonts w:asciiTheme="minorHAnsi" w:eastAsiaTheme="minorEastAsia" w:hAnsiTheme="minorHAnsi"/>
            <w:b w:val="0"/>
            <w:color w:val="auto"/>
            <w:sz w:val="22"/>
            <w:lang w:eastAsia="en-AU"/>
          </w:rPr>
          <w:tab/>
        </w:r>
        <w:r w:rsidR="00343BAD" w:rsidRPr="00454CF4">
          <w:rPr>
            <w:rStyle w:val="Hyperlink"/>
          </w:rPr>
          <w:t>Case study—NSP energy storage devices</w:t>
        </w:r>
        <w:r w:rsidR="00343BAD">
          <w:rPr>
            <w:webHidden/>
          </w:rPr>
          <w:tab/>
        </w:r>
        <w:r w:rsidR="00343BAD">
          <w:rPr>
            <w:webHidden/>
          </w:rPr>
          <w:fldChar w:fldCharType="begin"/>
        </w:r>
        <w:r w:rsidR="00343BAD">
          <w:rPr>
            <w:webHidden/>
          </w:rPr>
          <w:instrText xml:space="preserve"> PAGEREF _Toc448838447 \h </w:instrText>
        </w:r>
        <w:r w:rsidR="00343BAD">
          <w:rPr>
            <w:webHidden/>
          </w:rPr>
        </w:r>
        <w:r w:rsidR="00343BAD">
          <w:rPr>
            <w:webHidden/>
          </w:rPr>
          <w:fldChar w:fldCharType="separate"/>
        </w:r>
        <w:r>
          <w:rPr>
            <w:webHidden/>
          </w:rPr>
          <w:t>22</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48" w:history="1">
        <w:r w:rsidR="00343BAD" w:rsidRPr="00454CF4">
          <w:rPr>
            <w:rStyle w:val="Hyperlink"/>
          </w:rPr>
          <w:t>3.6</w:t>
        </w:r>
        <w:r w:rsidR="00343BAD">
          <w:rPr>
            <w:rFonts w:asciiTheme="minorHAnsi" w:eastAsiaTheme="minorEastAsia" w:hAnsiTheme="minorHAnsi"/>
            <w:b w:val="0"/>
            <w:color w:val="auto"/>
            <w:sz w:val="22"/>
            <w:lang w:eastAsia="en-AU"/>
          </w:rPr>
          <w:tab/>
        </w:r>
        <w:r w:rsidR="00343BAD" w:rsidRPr="00454CF4">
          <w:rPr>
            <w:rStyle w:val="Hyperlink"/>
          </w:rPr>
          <w:t>Case study—connections</w:t>
        </w:r>
        <w:r w:rsidR="00343BAD">
          <w:rPr>
            <w:webHidden/>
          </w:rPr>
          <w:tab/>
        </w:r>
        <w:r w:rsidR="00343BAD">
          <w:rPr>
            <w:webHidden/>
          </w:rPr>
          <w:fldChar w:fldCharType="begin"/>
        </w:r>
        <w:r w:rsidR="00343BAD">
          <w:rPr>
            <w:webHidden/>
          </w:rPr>
          <w:instrText xml:space="preserve"> PAGEREF _Toc448838448 \h </w:instrText>
        </w:r>
        <w:r w:rsidR="00343BAD">
          <w:rPr>
            <w:webHidden/>
          </w:rPr>
        </w:r>
        <w:r w:rsidR="00343BAD">
          <w:rPr>
            <w:webHidden/>
          </w:rPr>
          <w:fldChar w:fldCharType="separate"/>
        </w:r>
        <w:r>
          <w:rPr>
            <w:webHidden/>
          </w:rPr>
          <w:t>24</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49" w:history="1">
        <w:r w:rsidR="00343BAD" w:rsidRPr="00454CF4">
          <w:rPr>
            <w:rStyle w:val="Hyperlink"/>
          </w:rPr>
          <w:t>4</w:t>
        </w:r>
        <w:r w:rsidR="00343BAD">
          <w:rPr>
            <w:rFonts w:asciiTheme="minorHAnsi" w:eastAsiaTheme="minorEastAsia" w:hAnsiTheme="minorHAnsi"/>
            <w:b w:val="0"/>
            <w:color w:val="auto"/>
            <w:sz w:val="22"/>
            <w:lang w:val="en-AU" w:eastAsia="en-AU"/>
          </w:rPr>
          <w:tab/>
        </w:r>
        <w:r w:rsidR="00343BAD" w:rsidRPr="00454CF4">
          <w:rPr>
            <w:rStyle w:val="Hyperlink"/>
          </w:rPr>
          <w:t>Ring-fencing obligations</w:t>
        </w:r>
        <w:r w:rsidR="00343BAD">
          <w:rPr>
            <w:webHidden/>
          </w:rPr>
          <w:tab/>
        </w:r>
        <w:r w:rsidR="00343BAD">
          <w:rPr>
            <w:webHidden/>
          </w:rPr>
          <w:fldChar w:fldCharType="begin"/>
        </w:r>
        <w:r w:rsidR="00343BAD">
          <w:rPr>
            <w:webHidden/>
          </w:rPr>
          <w:instrText xml:space="preserve"> PAGEREF _Toc448838449 \h </w:instrText>
        </w:r>
        <w:r w:rsidR="00343BAD">
          <w:rPr>
            <w:webHidden/>
          </w:rPr>
        </w:r>
        <w:r w:rsidR="00343BAD">
          <w:rPr>
            <w:webHidden/>
          </w:rPr>
          <w:fldChar w:fldCharType="separate"/>
        </w:r>
        <w:r>
          <w:rPr>
            <w:webHidden/>
          </w:rPr>
          <w:t>26</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0" w:history="1">
        <w:r w:rsidR="00343BAD" w:rsidRPr="00454CF4">
          <w:rPr>
            <w:rStyle w:val="Hyperlink"/>
          </w:rPr>
          <w:t>5</w:t>
        </w:r>
        <w:r w:rsidR="00343BAD">
          <w:rPr>
            <w:rFonts w:asciiTheme="minorHAnsi" w:eastAsiaTheme="minorEastAsia" w:hAnsiTheme="minorHAnsi"/>
            <w:b w:val="0"/>
            <w:color w:val="auto"/>
            <w:sz w:val="22"/>
            <w:lang w:val="en-AU" w:eastAsia="en-AU"/>
          </w:rPr>
          <w:tab/>
        </w:r>
        <w:r w:rsidR="00343BAD" w:rsidRPr="00454CF4">
          <w:rPr>
            <w:rStyle w:val="Hyperlink"/>
          </w:rPr>
          <w:t>Ring-fencing waivers</w:t>
        </w:r>
        <w:r w:rsidR="00343BAD">
          <w:rPr>
            <w:webHidden/>
          </w:rPr>
          <w:tab/>
        </w:r>
        <w:r w:rsidR="00343BAD">
          <w:rPr>
            <w:webHidden/>
          </w:rPr>
          <w:fldChar w:fldCharType="begin"/>
        </w:r>
        <w:r w:rsidR="00343BAD">
          <w:rPr>
            <w:webHidden/>
          </w:rPr>
          <w:instrText xml:space="preserve"> PAGEREF _Toc448838450 \h </w:instrText>
        </w:r>
        <w:r w:rsidR="00343BAD">
          <w:rPr>
            <w:webHidden/>
          </w:rPr>
        </w:r>
        <w:r w:rsidR="00343BAD">
          <w:rPr>
            <w:webHidden/>
          </w:rPr>
          <w:fldChar w:fldCharType="separate"/>
        </w:r>
        <w:r>
          <w:rPr>
            <w:webHidden/>
          </w:rPr>
          <w:t>29</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1" w:history="1">
        <w:r w:rsidR="00343BAD" w:rsidRPr="00454CF4">
          <w:rPr>
            <w:rStyle w:val="Hyperlink"/>
          </w:rPr>
          <w:t>6</w:t>
        </w:r>
        <w:r w:rsidR="00343BAD">
          <w:rPr>
            <w:rFonts w:asciiTheme="minorHAnsi" w:eastAsiaTheme="minorEastAsia" w:hAnsiTheme="minorHAnsi"/>
            <w:b w:val="0"/>
            <w:color w:val="auto"/>
            <w:sz w:val="22"/>
            <w:lang w:val="en-AU" w:eastAsia="en-AU"/>
          </w:rPr>
          <w:tab/>
        </w:r>
        <w:r w:rsidR="00343BAD" w:rsidRPr="00454CF4">
          <w:rPr>
            <w:rStyle w:val="Hyperlink"/>
          </w:rPr>
          <w:t>Reducing the administrative costs of ring-fencing</w:t>
        </w:r>
        <w:r w:rsidR="00343BAD">
          <w:rPr>
            <w:webHidden/>
          </w:rPr>
          <w:tab/>
        </w:r>
        <w:r w:rsidR="00343BAD">
          <w:rPr>
            <w:webHidden/>
          </w:rPr>
          <w:fldChar w:fldCharType="begin"/>
        </w:r>
        <w:r w:rsidR="00343BAD">
          <w:rPr>
            <w:webHidden/>
          </w:rPr>
          <w:instrText xml:space="preserve"> PAGEREF _Toc448838451 \h </w:instrText>
        </w:r>
        <w:r w:rsidR="00343BAD">
          <w:rPr>
            <w:webHidden/>
          </w:rPr>
        </w:r>
        <w:r w:rsidR="00343BAD">
          <w:rPr>
            <w:webHidden/>
          </w:rPr>
          <w:fldChar w:fldCharType="separate"/>
        </w:r>
        <w:r>
          <w:rPr>
            <w:webHidden/>
          </w:rPr>
          <w:t>31</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52" w:history="1">
        <w:r w:rsidR="00343BAD" w:rsidRPr="00454CF4">
          <w:rPr>
            <w:rStyle w:val="Hyperlink"/>
          </w:rPr>
          <w:t>6.1</w:t>
        </w:r>
        <w:r w:rsidR="00343BAD">
          <w:rPr>
            <w:rFonts w:asciiTheme="minorHAnsi" w:eastAsiaTheme="minorEastAsia" w:hAnsiTheme="minorHAnsi"/>
            <w:b w:val="0"/>
            <w:color w:val="auto"/>
            <w:sz w:val="22"/>
            <w:lang w:eastAsia="en-AU"/>
          </w:rPr>
          <w:tab/>
        </w:r>
        <w:r w:rsidR="00343BAD" w:rsidRPr="00454CF4">
          <w:rPr>
            <w:rStyle w:val="Hyperlink"/>
          </w:rPr>
          <w:t>Transitional arrangements</w:t>
        </w:r>
        <w:r w:rsidR="00343BAD">
          <w:rPr>
            <w:webHidden/>
          </w:rPr>
          <w:tab/>
        </w:r>
        <w:r w:rsidR="00343BAD">
          <w:rPr>
            <w:webHidden/>
          </w:rPr>
          <w:fldChar w:fldCharType="begin"/>
        </w:r>
        <w:r w:rsidR="00343BAD">
          <w:rPr>
            <w:webHidden/>
          </w:rPr>
          <w:instrText xml:space="preserve"> PAGEREF _Toc448838452 \h </w:instrText>
        </w:r>
        <w:r w:rsidR="00343BAD">
          <w:rPr>
            <w:webHidden/>
          </w:rPr>
        </w:r>
        <w:r w:rsidR="00343BAD">
          <w:rPr>
            <w:webHidden/>
          </w:rPr>
          <w:fldChar w:fldCharType="separate"/>
        </w:r>
        <w:r>
          <w:rPr>
            <w:webHidden/>
          </w:rPr>
          <w:t>32</w:t>
        </w:r>
        <w:r w:rsidR="00343BAD">
          <w:rPr>
            <w:webHidden/>
          </w:rPr>
          <w:fldChar w:fldCharType="end"/>
        </w:r>
      </w:hyperlink>
    </w:p>
    <w:p w:rsidR="00343BAD" w:rsidRDefault="002B7CD8">
      <w:pPr>
        <w:pStyle w:val="TOC2"/>
        <w:rPr>
          <w:rFonts w:asciiTheme="minorHAnsi" w:eastAsiaTheme="minorEastAsia" w:hAnsiTheme="minorHAnsi"/>
          <w:b w:val="0"/>
          <w:color w:val="auto"/>
          <w:sz w:val="22"/>
          <w:lang w:eastAsia="en-AU"/>
        </w:rPr>
      </w:pPr>
      <w:hyperlink w:anchor="_Toc448838453" w:history="1">
        <w:r w:rsidR="00343BAD" w:rsidRPr="00454CF4">
          <w:rPr>
            <w:rStyle w:val="Hyperlink"/>
          </w:rPr>
          <w:t>6.2</w:t>
        </w:r>
        <w:r w:rsidR="00343BAD">
          <w:rPr>
            <w:rFonts w:asciiTheme="minorHAnsi" w:eastAsiaTheme="minorEastAsia" w:hAnsiTheme="minorHAnsi"/>
            <w:b w:val="0"/>
            <w:color w:val="auto"/>
            <w:sz w:val="22"/>
            <w:lang w:eastAsia="en-AU"/>
          </w:rPr>
          <w:tab/>
        </w:r>
        <w:r w:rsidR="00343BAD" w:rsidRPr="00454CF4">
          <w:rPr>
            <w:rStyle w:val="Hyperlink"/>
          </w:rPr>
          <w:t>Other issues</w:t>
        </w:r>
        <w:r w:rsidR="00343BAD">
          <w:rPr>
            <w:webHidden/>
          </w:rPr>
          <w:tab/>
        </w:r>
        <w:r w:rsidR="00343BAD">
          <w:rPr>
            <w:webHidden/>
          </w:rPr>
          <w:fldChar w:fldCharType="begin"/>
        </w:r>
        <w:r w:rsidR="00343BAD">
          <w:rPr>
            <w:webHidden/>
          </w:rPr>
          <w:instrText xml:space="preserve"> PAGEREF _Toc448838453 \h </w:instrText>
        </w:r>
        <w:r w:rsidR="00343BAD">
          <w:rPr>
            <w:webHidden/>
          </w:rPr>
        </w:r>
        <w:r w:rsidR="00343BAD">
          <w:rPr>
            <w:webHidden/>
          </w:rPr>
          <w:fldChar w:fldCharType="separate"/>
        </w:r>
        <w:r>
          <w:rPr>
            <w:webHidden/>
          </w:rPr>
          <w:t>33</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4" w:history="1">
        <w:r w:rsidR="00343BAD" w:rsidRPr="00454CF4">
          <w:rPr>
            <w:rStyle w:val="Hyperlink"/>
          </w:rPr>
          <w:t>7</w:t>
        </w:r>
        <w:r w:rsidR="00343BAD">
          <w:rPr>
            <w:rFonts w:asciiTheme="minorHAnsi" w:eastAsiaTheme="minorEastAsia" w:hAnsiTheme="minorHAnsi"/>
            <w:b w:val="0"/>
            <w:color w:val="auto"/>
            <w:sz w:val="22"/>
            <w:lang w:val="en-AU" w:eastAsia="en-AU"/>
          </w:rPr>
          <w:tab/>
        </w:r>
        <w:r w:rsidR="00343BAD" w:rsidRPr="00454CF4">
          <w:rPr>
            <w:rStyle w:val="Hyperlink"/>
          </w:rPr>
          <w:t>Reporting, compliance and enforcement</w:t>
        </w:r>
        <w:r w:rsidR="00343BAD">
          <w:rPr>
            <w:webHidden/>
          </w:rPr>
          <w:tab/>
        </w:r>
        <w:r w:rsidR="00343BAD">
          <w:rPr>
            <w:webHidden/>
          </w:rPr>
          <w:fldChar w:fldCharType="begin"/>
        </w:r>
        <w:r w:rsidR="00343BAD">
          <w:rPr>
            <w:webHidden/>
          </w:rPr>
          <w:instrText xml:space="preserve"> PAGEREF _Toc448838454 \h </w:instrText>
        </w:r>
        <w:r w:rsidR="00343BAD">
          <w:rPr>
            <w:webHidden/>
          </w:rPr>
        </w:r>
        <w:r w:rsidR="00343BAD">
          <w:rPr>
            <w:webHidden/>
          </w:rPr>
          <w:fldChar w:fldCharType="separate"/>
        </w:r>
        <w:r>
          <w:rPr>
            <w:webHidden/>
          </w:rPr>
          <w:t>34</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5" w:history="1">
        <w:r w:rsidR="00343BAD" w:rsidRPr="00454CF4">
          <w:rPr>
            <w:rStyle w:val="Hyperlink"/>
          </w:rPr>
          <w:t>8</w:t>
        </w:r>
        <w:r w:rsidR="00343BAD">
          <w:rPr>
            <w:rFonts w:asciiTheme="minorHAnsi" w:eastAsiaTheme="minorEastAsia" w:hAnsiTheme="minorHAnsi"/>
            <w:b w:val="0"/>
            <w:color w:val="auto"/>
            <w:sz w:val="22"/>
            <w:lang w:val="en-AU" w:eastAsia="en-AU"/>
          </w:rPr>
          <w:tab/>
        </w:r>
        <w:r w:rsidR="00343BAD" w:rsidRPr="00454CF4">
          <w:rPr>
            <w:rStyle w:val="Hyperlink"/>
          </w:rPr>
          <w:t>Next steps</w:t>
        </w:r>
        <w:r w:rsidR="00343BAD">
          <w:rPr>
            <w:webHidden/>
          </w:rPr>
          <w:tab/>
        </w:r>
        <w:r w:rsidR="00343BAD">
          <w:rPr>
            <w:webHidden/>
          </w:rPr>
          <w:fldChar w:fldCharType="begin"/>
        </w:r>
        <w:r w:rsidR="00343BAD">
          <w:rPr>
            <w:webHidden/>
          </w:rPr>
          <w:instrText xml:space="preserve"> PAGEREF _Toc448838455 \h </w:instrText>
        </w:r>
        <w:r w:rsidR="00343BAD">
          <w:rPr>
            <w:webHidden/>
          </w:rPr>
        </w:r>
        <w:r w:rsidR="00343BAD">
          <w:rPr>
            <w:webHidden/>
          </w:rPr>
          <w:fldChar w:fldCharType="separate"/>
        </w:r>
        <w:r>
          <w:rPr>
            <w:webHidden/>
          </w:rPr>
          <w:t>35</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6" w:history="1">
        <w:r w:rsidR="00343BAD" w:rsidRPr="00454CF4">
          <w:rPr>
            <w:rStyle w:val="Hyperlink"/>
          </w:rPr>
          <w:t>9</w:t>
        </w:r>
        <w:r w:rsidR="00343BAD">
          <w:rPr>
            <w:rFonts w:asciiTheme="minorHAnsi" w:eastAsiaTheme="minorEastAsia" w:hAnsiTheme="minorHAnsi"/>
            <w:b w:val="0"/>
            <w:color w:val="auto"/>
            <w:sz w:val="22"/>
            <w:lang w:val="en-AU" w:eastAsia="en-AU"/>
          </w:rPr>
          <w:tab/>
        </w:r>
        <w:r w:rsidR="00343BAD" w:rsidRPr="00454CF4">
          <w:rPr>
            <w:rStyle w:val="Hyperlink"/>
          </w:rPr>
          <w:t>Summary of questions</w:t>
        </w:r>
        <w:r w:rsidR="00343BAD">
          <w:rPr>
            <w:webHidden/>
          </w:rPr>
          <w:tab/>
        </w:r>
        <w:r w:rsidR="00343BAD">
          <w:rPr>
            <w:webHidden/>
          </w:rPr>
          <w:fldChar w:fldCharType="begin"/>
        </w:r>
        <w:r w:rsidR="00343BAD">
          <w:rPr>
            <w:webHidden/>
          </w:rPr>
          <w:instrText xml:space="preserve"> PAGEREF _Toc448838456 \h </w:instrText>
        </w:r>
        <w:r w:rsidR="00343BAD">
          <w:rPr>
            <w:webHidden/>
          </w:rPr>
        </w:r>
        <w:r w:rsidR="00343BAD">
          <w:rPr>
            <w:webHidden/>
          </w:rPr>
          <w:fldChar w:fldCharType="separate"/>
        </w:r>
        <w:r>
          <w:rPr>
            <w:webHidden/>
          </w:rPr>
          <w:t>36</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7" w:history="1">
        <w:r w:rsidR="00343BAD" w:rsidRPr="00454CF4">
          <w:rPr>
            <w:rStyle w:val="Hyperlink"/>
          </w:rPr>
          <w:t>Appendix A: Relevant NER and NEL provisions</w:t>
        </w:r>
        <w:r w:rsidR="00343BAD">
          <w:rPr>
            <w:webHidden/>
          </w:rPr>
          <w:tab/>
        </w:r>
        <w:r w:rsidR="00343BAD">
          <w:rPr>
            <w:webHidden/>
          </w:rPr>
          <w:fldChar w:fldCharType="begin"/>
        </w:r>
        <w:r w:rsidR="00343BAD">
          <w:rPr>
            <w:webHidden/>
          </w:rPr>
          <w:instrText xml:space="preserve"> PAGEREF _Toc448838457 \h </w:instrText>
        </w:r>
        <w:r w:rsidR="00343BAD">
          <w:rPr>
            <w:webHidden/>
          </w:rPr>
        </w:r>
        <w:r w:rsidR="00343BAD">
          <w:rPr>
            <w:webHidden/>
          </w:rPr>
          <w:fldChar w:fldCharType="separate"/>
        </w:r>
        <w:r>
          <w:rPr>
            <w:webHidden/>
          </w:rPr>
          <w:t>37</w:t>
        </w:r>
        <w:r w:rsidR="00343BAD">
          <w:rPr>
            <w:webHidden/>
          </w:rPr>
          <w:fldChar w:fldCharType="end"/>
        </w:r>
      </w:hyperlink>
    </w:p>
    <w:p w:rsidR="00343BAD" w:rsidRDefault="002B7CD8">
      <w:pPr>
        <w:pStyle w:val="TOC1"/>
        <w:rPr>
          <w:rFonts w:asciiTheme="minorHAnsi" w:eastAsiaTheme="minorEastAsia" w:hAnsiTheme="minorHAnsi"/>
          <w:b w:val="0"/>
          <w:color w:val="auto"/>
          <w:sz w:val="22"/>
          <w:lang w:val="en-AU" w:eastAsia="en-AU"/>
        </w:rPr>
      </w:pPr>
      <w:hyperlink w:anchor="_Toc448838458" w:history="1">
        <w:r w:rsidR="00343BAD" w:rsidRPr="00454CF4">
          <w:rPr>
            <w:rStyle w:val="Hyperlink"/>
          </w:rPr>
          <w:t>Appendix B: Current electricity ring-fencing arrangements by jurisdiction</w:t>
        </w:r>
        <w:r w:rsidR="00343BAD">
          <w:rPr>
            <w:webHidden/>
          </w:rPr>
          <w:tab/>
        </w:r>
        <w:r w:rsidR="00343BAD">
          <w:rPr>
            <w:webHidden/>
          </w:rPr>
          <w:fldChar w:fldCharType="begin"/>
        </w:r>
        <w:r w:rsidR="00343BAD">
          <w:rPr>
            <w:webHidden/>
          </w:rPr>
          <w:instrText xml:space="preserve"> PAGEREF _Toc448838458 \h </w:instrText>
        </w:r>
        <w:r w:rsidR="00343BAD">
          <w:rPr>
            <w:webHidden/>
          </w:rPr>
        </w:r>
        <w:r w:rsidR="00343BAD">
          <w:rPr>
            <w:webHidden/>
          </w:rPr>
          <w:fldChar w:fldCharType="separate"/>
        </w:r>
        <w:r>
          <w:rPr>
            <w:webHidden/>
          </w:rPr>
          <w:t>39</w:t>
        </w:r>
        <w:r w:rsidR="00343BAD">
          <w:rPr>
            <w:webHidden/>
          </w:rPr>
          <w:fldChar w:fldCharType="end"/>
        </w:r>
      </w:hyperlink>
    </w:p>
    <w:p w:rsidR="00B51652" w:rsidRPr="00864105" w:rsidRDefault="00A75077" w:rsidP="00D86DB2">
      <w:r>
        <w:fldChar w:fldCharType="end"/>
      </w:r>
      <w:bookmarkStart w:id="3" w:name="_Toc413854326"/>
      <w:bookmarkStart w:id="4" w:name="_Toc440615697"/>
      <w:r w:rsidR="00B51652" w:rsidRPr="00864105">
        <w:t>Shortened forms</w:t>
      </w:r>
      <w:bookmarkEnd w:id="3"/>
      <w:bookmarkEnd w:id="4"/>
    </w:p>
    <w:tbl>
      <w:tblPr>
        <w:tblStyle w:val="AERTable-Text"/>
        <w:tblW w:w="0" w:type="auto"/>
        <w:tblLook w:val="04A0" w:firstRow="1" w:lastRow="0" w:firstColumn="1" w:lastColumn="0" w:noHBand="0" w:noVBand="1"/>
      </w:tblPr>
      <w:tblGrid>
        <w:gridCol w:w="4349"/>
        <w:gridCol w:w="4344"/>
      </w:tblGrid>
      <w:tr w:rsidR="00B51652" w:rsidRPr="00864105" w:rsidTr="00D86DB2">
        <w:trPr>
          <w:cnfStyle w:val="100000000000" w:firstRow="1" w:lastRow="0" w:firstColumn="0" w:lastColumn="0" w:oddVBand="0" w:evenVBand="0" w:oddHBand="0" w:evenHBand="0" w:firstRowFirstColumn="0" w:firstRowLastColumn="0" w:lastRowFirstColumn="0" w:lastRowLastColumn="0"/>
        </w:trPr>
        <w:tc>
          <w:tcPr>
            <w:tcW w:w="4349" w:type="dxa"/>
          </w:tcPr>
          <w:p w:rsidR="00B51652" w:rsidRPr="00B51652" w:rsidRDefault="00B51652" w:rsidP="00B51652">
            <w:r w:rsidRPr="00864105">
              <w:t>Shortened Form</w:t>
            </w:r>
          </w:p>
        </w:tc>
        <w:tc>
          <w:tcPr>
            <w:tcW w:w="4344" w:type="dxa"/>
          </w:tcPr>
          <w:p w:rsidR="00B51652" w:rsidRPr="00B51652" w:rsidRDefault="00B51652" w:rsidP="00B51652">
            <w:r w:rsidRPr="00864105">
              <w:t>Extended Form</w:t>
            </w:r>
          </w:p>
        </w:tc>
      </w:tr>
      <w:tr w:rsidR="00B51652" w:rsidRPr="00864105" w:rsidTr="00D86DB2">
        <w:tc>
          <w:tcPr>
            <w:tcW w:w="4349" w:type="dxa"/>
          </w:tcPr>
          <w:p w:rsidR="00B51652" w:rsidRPr="00B51652" w:rsidRDefault="00B51652" w:rsidP="00B51652">
            <w:r w:rsidRPr="00864105">
              <w:t>AEMC</w:t>
            </w:r>
          </w:p>
        </w:tc>
        <w:tc>
          <w:tcPr>
            <w:tcW w:w="4344" w:type="dxa"/>
          </w:tcPr>
          <w:p w:rsidR="00B51652" w:rsidRPr="00B51652" w:rsidRDefault="00B51652" w:rsidP="00B51652">
            <w:r w:rsidRPr="00864105">
              <w:t>Australian Energy</w:t>
            </w:r>
            <w:r w:rsidRPr="00B51652">
              <w:t xml:space="preserve"> Market Commission</w:t>
            </w:r>
          </w:p>
        </w:tc>
      </w:tr>
      <w:tr w:rsidR="00B51652" w:rsidRPr="00864105"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B51652" w:rsidRPr="00B51652" w:rsidRDefault="00B51652" w:rsidP="00B51652">
            <w:r w:rsidRPr="00864105">
              <w:t>AER</w:t>
            </w:r>
          </w:p>
        </w:tc>
        <w:tc>
          <w:tcPr>
            <w:tcW w:w="4344" w:type="dxa"/>
          </w:tcPr>
          <w:p w:rsidR="00B51652" w:rsidRPr="00B51652" w:rsidRDefault="00B51652" w:rsidP="00B51652">
            <w:r w:rsidRPr="00864105">
              <w:t xml:space="preserve">Australian Energy </w:t>
            </w:r>
            <w:r w:rsidRPr="00B51652">
              <w:t>Regulator</w:t>
            </w:r>
          </w:p>
        </w:tc>
      </w:tr>
      <w:tr w:rsidR="00B51652" w:rsidRPr="00864105" w:rsidTr="00D86DB2">
        <w:tc>
          <w:tcPr>
            <w:tcW w:w="4349" w:type="dxa"/>
          </w:tcPr>
          <w:p w:rsidR="00B51652" w:rsidRPr="00B51652" w:rsidRDefault="00B51652" w:rsidP="00B51652">
            <w:r w:rsidRPr="00864105">
              <w:t>capex</w:t>
            </w:r>
          </w:p>
        </w:tc>
        <w:tc>
          <w:tcPr>
            <w:tcW w:w="4344" w:type="dxa"/>
          </w:tcPr>
          <w:p w:rsidR="00B51652" w:rsidRPr="00B51652" w:rsidRDefault="00B51652" w:rsidP="00B51652">
            <w:r w:rsidRPr="00864105">
              <w:t>capital expenditure</w:t>
            </w:r>
          </w:p>
        </w:tc>
      </w:tr>
      <w:tr w:rsidR="00B51652" w:rsidRPr="00BF207C"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B51652" w:rsidRPr="00B51652" w:rsidRDefault="00B51652" w:rsidP="00B51652">
            <w:r w:rsidRPr="00864105">
              <w:t>EBSS</w:t>
            </w:r>
          </w:p>
        </w:tc>
        <w:tc>
          <w:tcPr>
            <w:tcW w:w="4344" w:type="dxa"/>
          </w:tcPr>
          <w:p w:rsidR="00B51652" w:rsidRPr="00B51652" w:rsidRDefault="00B51652" w:rsidP="00B51652">
            <w:r w:rsidRPr="00864105">
              <w:t xml:space="preserve">efficiency benefit </w:t>
            </w:r>
            <w:r w:rsidRPr="00B51652">
              <w:t>sharing scheme</w:t>
            </w:r>
          </w:p>
        </w:tc>
      </w:tr>
      <w:tr w:rsidR="00B51652" w:rsidRPr="00864105" w:rsidTr="00D86DB2">
        <w:tc>
          <w:tcPr>
            <w:tcW w:w="4349" w:type="dxa"/>
          </w:tcPr>
          <w:p w:rsidR="00B51652" w:rsidRPr="00B51652" w:rsidRDefault="00B51652" w:rsidP="00B51652">
            <w:r w:rsidRPr="00864105">
              <w:t>F&amp;A</w:t>
            </w:r>
          </w:p>
        </w:tc>
        <w:tc>
          <w:tcPr>
            <w:tcW w:w="4344" w:type="dxa"/>
          </w:tcPr>
          <w:p w:rsidR="00B51652" w:rsidRPr="00B51652" w:rsidRDefault="00B51652" w:rsidP="00B51652">
            <w:r w:rsidRPr="00864105">
              <w:t>Framework and approach</w:t>
            </w:r>
          </w:p>
        </w:tc>
      </w:tr>
      <w:tr w:rsidR="00B51652" w:rsidRPr="00864105"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B51652" w:rsidRPr="00B51652" w:rsidRDefault="00B51652" w:rsidP="00B51652">
            <w:r w:rsidRPr="00864105">
              <w:t>MAR</w:t>
            </w:r>
          </w:p>
        </w:tc>
        <w:tc>
          <w:tcPr>
            <w:tcW w:w="4344" w:type="dxa"/>
          </w:tcPr>
          <w:p w:rsidR="00B51652" w:rsidRPr="00B51652" w:rsidRDefault="00B51652" w:rsidP="00B51652">
            <w:r w:rsidRPr="00864105">
              <w:t>maximum allowable revenue</w:t>
            </w:r>
          </w:p>
        </w:tc>
      </w:tr>
      <w:tr w:rsidR="00B51652" w:rsidRPr="00864105" w:rsidTr="00D86DB2">
        <w:tc>
          <w:tcPr>
            <w:tcW w:w="4349" w:type="dxa"/>
          </w:tcPr>
          <w:p w:rsidR="00B51652" w:rsidRPr="00B51652" w:rsidRDefault="00B51652" w:rsidP="00B51652">
            <w:r w:rsidRPr="00864105">
              <w:t>NECF</w:t>
            </w:r>
          </w:p>
        </w:tc>
        <w:tc>
          <w:tcPr>
            <w:tcW w:w="4344" w:type="dxa"/>
          </w:tcPr>
          <w:p w:rsidR="00B51652" w:rsidRPr="00B51652" w:rsidRDefault="00B51652" w:rsidP="00B51652">
            <w:r w:rsidRPr="00864105">
              <w:t>National Energy Customer Framework</w:t>
            </w:r>
          </w:p>
        </w:tc>
      </w:tr>
      <w:tr w:rsidR="00B51652" w:rsidRPr="00864105"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B51652" w:rsidRPr="00B51652" w:rsidRDefault="00B51652" w:rsidP="00B51652">
            <w:r w:rsidRPr="00864105">
              <w:t>NEM</w:t>
            </w:r>
          </w:p>
        </w:tc>
        <w:tc>
          <w:tcPr>
            <w:tcW w:w="4344" w:type="dxa"/>
          </w:tcPr>
          <w:p w:rsidR="00B51652" w:rsidRPr="00B51652" w:rsidRDefault="00B51652" w:rsidP="00B51652">
            <w:r w:rsidRPr="00864105">
              <w:t>National Electricity Market</w:t>
            </w:r>
          </w:p>
        </w:tc>
      </w:tr>
      <w:tr w:rsidR="00B51652" w:rsidRPr="00864105" w:rsidTr="00D86DB2">
        <w:tc>
          <w:tcPr>
            <w:tcW w:w="4349" w:type="dxa"/>
          </w:tcPr>
          <w:p w:rsidR="00B51652" w:rsidRPr="00B51652" w:rsidRDefault="00B51652" w:rsidP="00B51652">
            <w:r w:rsidRPr="00864105">
              <w:t>NER or the rules</w:t>
            </w:r>
          </w:p>
        </w:tc>
        <w:tc>
          <w:tcPr>
            <w:tcW w:w="4344" w:type="dxa"/>
          </w:tcPr>
          <w:p w:rsidR="00B51652" w:rsidRPr="00B51652" w:rsidRDefault="00B51652" w:rsidP="00B51652">
            <w:r w:rsidRPr="00864105">
              <w:t>National Electricity Rules</w:t>
            </w:r>
          </w:p>
        </w:tc>
      </w:tr>
      <w:tr w:rsidR="002E6D50" w:rsidRPr="00864105"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2E6D50" w:rsidRPr="00864105" w:rsidRDefault="002E6D50" w:rsidP="00B51652">
            <w:r>
              <w:t>NSP</w:t>
            </w:r>
          </w:p>
        </w:tc>
        <w:tc>
          <w:tcPr>
            <w:tcW w:w="4344" w:type="dxa"/>
          </w:tcPr>
          <w:p w:rsidR="002E6D50" w:rsidRPr="00864105" w:rsidRDefault="002E6D50" w:rsidP="00B51652">
            <w:r>
              <w:t>network service provider</w:t>
            </w:r>
          </w:p>
        </w:tc>
      </w:tr>
      <w:tr w:rsidR="00B51652" w:rsidRPr="00864105" w:rsidTr="00D86DB2">
        <w:tc>
          <w:tcPr>
            <w:tcW w:w="4349" w:type="dxa"/>
          </w:tcPr>
          <w:p w:rsidR="00B51652" w:rsidRPr="00B51652" w:rsidRDefault="00B51652" w:rsidP="00B51652">
            <w:r w:rsidRPr="00864105">
              <w:t>opex</w:t>
            </w:r>
          </w:p>
        </w:tc>
        <w:tc>
          <w:tcPr>
            <w:tcW w:w="4344" w:type="dxa"/>
          </w:tcPr>
          <w:p w:rsidR="00B51652" w:rsidRPr="00B51652" w:rsidRDefault="00B51652" w:rsidP="00B51652">
            <w:r w:rsidRPr="00864105">
              <w:t>operating expenditure</w:t>
            </w:r>
          </w:p>
        </w:tc>
      </w:tr>
      <w:tr w:rsidR="00B51652" w:rsidRPr="00864105" w:rsidTr="00D86DB2">
        <w:trPr>
          <w:cnfStyle w:val="000000010000" w:firstRow="0" w:lastRow="0" w:firstColumn="0" w:lastColumn="0" w:oddVBand="0" w:evenVBand="0" w:oddHBand="0" w:evenHBand="1" w:firstRowFirstColumn="0" w:firstRowLastColumn="0" w:lastRowFirstColumn="0" w:lastRowLastColumn="0"/>
        </w:trPr>
        <w:tc>
          <w:tcPr>
            <w:tcW w:w="4349" w:type="dxa"/>
          </w:tcPr>
          <w:p w:rsidR="00B51652" w:rsidRPr="00B51652" w:rsidRDefault="00B51652" w:rsidP="00B51652">
            <w:r w:rsidRPr="00864105">
              <w:t>RAB</w:t>
            </w:r>
          </w:p>
        </w:tc>
        <w:tc>
          <w:tcPr>
            <w:tcW w:w="4344" w:type="dxa"/>
          </w:tcPr>
          <w:p w:rsidR="00B51652" w:rsidRPr="00B51652" w:rsidRDefault="00B51652" w:rsidP="00B51652">
            <w:r w:rsidRPr="00864105">
              <w:t>regulatory asset base</w:t>
            </w:r>
          </w:p>
        </w:tc>
      </w:tr>
      <w:tr w:rsidR="00B51652" w:rsidRPr="00864105" w:rsidTr="00D86DB2">
        <w:tc>
          <w:tcPr>
            <w:tcW w:w="4349" w:type="dxa"/>
          </w:tcPr>
          <w:p w:rsidR="00B51652" w:rsidRPr="00B51652" w:rsidRDefault="00B51652" w:rsidP="00B51652">
            <w:r w:rsidRPr="00864105">
              <w:t>TNSP</w:t>
            </w:r>
          </w:p>
        </w:tc>
        <w:tc>
          <w:tcPr>
            <w:tcW w:w="4344" w:type="dxa"/>
          </w:tcPr>
          <w:p w:rsidR="00B51652" w:rsidRPr="00B51652" w:rsidRDefault="00B51652" w:rsidP="00B51652">
            <w:r w:rsidRPr="00864105">
              <w:t>transmission network service provider</w:t>
            </w:r>
          </w:p>
        </w:tc>
      </w:tr>
    </w:tbl>
    <w:p w:rsidR="00B51652" w:rsidRPr="00864105" w:rsidRDefault="00B51652" w:rsidP="00B51652"/>
    <w:p w:rsidR="007A0BC2" w:rsidRDefault="00753EE9" w:rsidP="00753EE9">
      <w:pPr>
        <w:pStyle w:val="Heading1notnumber"/>
      </w:pPr>
      <w:bookmarkStart w:id="5" w:name="_Toc448838436"/>
      <w:r>
        <w:lastRenderedPageBreak/>
        <w:t xml:space="preserve">About the </w:t>
      </w:r>
      <w:r w:rsidR="00D41D81">
        <w:t xml:space="preserve">ring-fencing </w:t>
      </w:r>
      <w:r w:rsidR="00D86DB2">
        <w:t>guideline</w:t>
      </w:r>
      <w:bookmarkEnd w:id="5"/>
    </w:p>
    <w:p w:rsidR="00753EE9" w:rsidRDefault="00DB1914" w:rsidP="00753EE9">
      <w:r>
        <w:t xml:space="preserve">The Australian Energy Regulator (AER) is the economic regulator for transmission and distribution electricity and gas businesses in Australia's national electricity market (NEM). We are an independent statutory authority, </w:t>
      </w:r>
      <w:r w:rsidR="00260B8E">
        <w:t>o</w:t>
      </w:r>
      <w:r>
        <w:t xml:space="preserve">ur powers and functions are set in the National Electricity Law (NEL) and National Electricity Rules (NER). </w:t>
      </w:r>
    </w:p>
    <w:p w:rsidR="001024F0" w:rsidRDefault="006F3280" w:rsidP="0032502C">
      <w:r>
        <w:t>This</w:t>
      </w:r>
      <w:r w:rsidR="00DB1914">
        <w:t xml:space="preserve"> </w:t>
      </w:r>
      <w:r w:rsidR="00D41D81">
        <w:t xml:space="preserve">preliminary positions paper for </w:t>
      </w:r>
      <w:r>
        <w:t>an</w:t>
      </w:r>
      <w:r w:rsidR="00D41D81">
        <w:t xml:space="preserve"> electricity ring-fencing guideline </w:t>
      </w:r>
      <w:r w:rsidR="00DB1914">
        <w:t xml:space="preserve">is </w:t>
      </w:r>
      <w:r w:rsidR="00D41D81">
        <w:t xml:space="preserve">a </w:t>
      </w:r>
      <w:r w:rsidR="00DB1914">
        <w:t xml:space="preserve">step </w:t>
      </w:r>
      <w:r w:rsidR="00D41D81">
        <w:t xml:space="preserve">away </w:t>
      </w:r>
      <w:r w:rsidR="00A42718">
        <w:t>from State based ring</w:t>
      </w:r>
      <w:r w:rsidR="00FB3F71">
        <w:t>-</w:t>
      </w:r>
      <w:r w:rsidR="00D41D81">
        <w:t>fencing arrangements to</w:t>
      </w:r>
      <w:r>
        <w:t>ward</w:t>
      </w:r>
      <w:r w:rsidR="00D41D81">
        <w:t xml:space="preserve"> a national </w:t>
      </w:r>
      <w:r w:rsidR="009A0A7E">
        <w:t xml:space="preserve">ring-fencing </w:t>
      </w:r>
      <w:r>
        <w:t>guideline</w:t>
      </w:r>
      <w:r w:rsidR="00DB1914">
        <w:t xml:space="preserve">. </w:t>
      </w:r>
      <w:r w:rsidR="00D41D81">
        <w:t xml:space="preserve">Since 2008, </w:t>
      </w:r>
      <w:r>
        <w:t xml:space="preserve">the AER has relied on </w:t>
      </w:r>
      <w:r w:rsidR="00785987">
        <w:t>ring-fencing</w:t>
      </w:r>
      <w:r w:rsidR="00D41D81">
        <w:t xml:space="preserve"> arrangement</w:t>
      </w:r>
      <w:r w:rsidR="00EE2FC7">
        <w:t>s</w:t>
      </w:r>
      <w:r w:rsidR="00D41D81">
        <w:t xml:space="preserve"> </w:t>
      </w:r>
      <w:r>
        <w:t>that were</w:t>
      </w:r>
      <w:r w:rsidR="00D41D81">
        <w:t xml:space="preserve"> established by jurisdictional regulators</w:t>
      </w:r>
      <w:r w:rsidR="000E535D" w:rsidRPr="000E535D">
        <w:t xml:space="preserve"> </w:t>
      </w:r>
      <w:r w:rsidR="007901BA">
        <w:t>for</w:t>
      </w:r>
      <w:r w:rsidR="000E535D">
        <w:t xml:space="preserve"> each State and Territory</w:t>
      </w:r>
      <w:r>
        <w:t xml:space="preserve">. </w:t>
      </w:r>
      <w:r w:rsidR="00566CF2">
        <w:t xml:space="preserve">To date </w:t>
      </w:r>
      <w:r w:rsidR="00785987">
        <w:t>ring-fencing</w:t>
      </w:r>
      <w:r w:rsidR="00566CF2">
        <w:t xml:space="preserve"> has been </w:t>
      </w:r>
      <w:r w:rsidR="002852C5">
        <w:t xml:space="preserve">largely </w:t>
      </w:r>
      <w:r w:rsidR="00566CF2">
        <w:t xml:space="preserve">focussed on separating regulated </w:t>
      </w:r>
      <w:r w:rsidR="002852C5">
        <w:t>network services</w:t>
      </w:r>
      <w:r w:rsidR="00566CF2">
        <w:t xml:space="preserve"> (poles and wires) from contestable services (</w:t>
      </w:r>
      <w:r w:rsidR="002852C5">
        <w:t>electricity retail and</w:t>
      </w:r>
      <w:r w:rsidR="00566CF2">
        <w:t xml:space="preserve"> generation). Now we are looking at its applicability more broadly to </w:t>
      </w:r>
      <w:r w:rsidR="002852C5">
        <w:t xml:space="preserve">all contestable services, including </w:t>
      </w:r>
      <w:r w:rsidR="00566CF2">
        <w:t>metering, connection</w:t>
      </w:r>
      <w:r w:rsidR="002852C5">
        <w:t xml:space="preserve"> and </w:t>
      </w:r>
      <w:r w:rsidR="006D6762">
        <w:t xml:space="preserve">decentralised energy resources, such as </w:t>
      </w:r>
      <w:r w:rsidR="002852C5">
        <w:t>energy</w:t>
      </w:r>
      <w:r w:rsidR="00566CF2">
        <w:t xml:space="preserve"> storage </w:t>
      </w:r>
      <w:r w:rsidR="002852C5">
        <w:t>services</w:t>
      </w:r>
      <w:r w:rsidR="00566CF2">
        <w:t xml:space="preserve">. </w:t>
      </w:r>
      <w:r w:rsidR="002852C5">
        <w:t xml:space="preserve">The need for a broader scope to </w:t>
      </w:r>
      <w:r w:rsidR="00785987">
        <w:t>ring-fencing</w:t>
      </w:r>
      <w:r w:rsidR="002852C5">
        <w:t xml:space="preserve"> was </w:t>
      </w:r>
      <w:r w:rsidR="005E2A56">
        <w:t>signalled</w:t>
      </w:r>
      <w:r w:rsidR="002852C5">
        <w:t xml:space="preserve"> in the </w:t>
      </w:r>
      <w:r w:rsidR="00140224">
        <w:t>Australian Energy Markets Commission (AEMC)</w:t>
      </w:r>
      <w:r w:rsidR="002852C5">
        <w:t xml:space="preserve"> final rule </w:t>
      </w:r>
      <w:r w:rsidR="005E2A56">
        <w:t>determination on metering contestability</w:t>
      </w:r>
      <w:r w:rsidR="002852C5">
        <w:t>.</w:t>
      </w:r>
      <w:r w:rsidR="002852C5">
        <w:rPr>
          <w:rStyle w:val="FootnoteReference"/>
        </w:rPr>
        <w:footnoteReference w:id="2"/>
      </w:r>
      <w:r w:rsidR="002852C5">
        <w:t xml:space="preserve"> </w:t>
      </w:r>
      <w:r w:rsidR="00566CF2">
        <w:t>Our</w:t>
      </w:r>
      <w:r w:rsidR="008A3CD4">
        <w:t xml:space="preserve"> aim is also to bring together State and T</w:t>
      </w:r>
      <w:r w:rsidR="00566CF2">
        <w:t xml:space="preserve">erritory based regimes </w:t>
      </w:r>
      <w:r w:rsidR="002852C5">
        <w:t>under</w:t>
      </w:r>
      <w:r w:rsidR="00566CF2">
        <w:t xml:space="preserve"> a consistent, national approach</w:t>
      </w:r>
      <w:r w:rsidR="002852C5">
        <w:t>.</w:t>
      </w:r>
    </w:p>
    <w:p w:rsidR="001024F0" w:rsidRDefault="001024F0" w:rsidP="0032502C">
      <w:r>
        <w:t>In 2015, the AEMC introduced changes to the NER</w:t>
      </w:r>
      <w:r w:rsidR="00062332">
        <w:t xml:space="preserve"> as part of its Power of Choice program. </w:t>
      </w:r>
      <w:r w:rsidR="00062332" w:rsidRPr="00062332">
        <w:t xml:space="preserve">The Power of Choice Review </w:t>
      </w:r>
      <w:r w:rsidR="00260B8E">
        <w:t>recommended</w:t>
      </w:r>
      <w:r w:rsidR="00062332" w:rsidRPr="00062332">
        <w:t xml:space="preserve"> substantial reforms </w:t>
      </w:r>
      <w:r w:rsidR="00E62AEA">
        <w:t>to</w:t>
      </w:r>
      <w:r w:rsidR="00E62AEA" w:rsidRPr="00062332">
        <w:t xml:space="preserve"> </w:t>
      </w:r>
      <w:r w:rsidR="00062332" w:rsidRPr="00062332">
        <w:t xml:space="preserve">the National Electricity Market </w:t>
      </w:r>
      <w:r w:rsidR="006B17F7">
        <w:t xml:space="preserve">(NEM) </w:t>
      </w:r>
      <w:r w:rsidR="00062332">
        <w:t>and ha</w:t>
      </w:r>
      <w:r w:rsidR="00260B8E">
        <w:t>s</w:t>
      </w:r>
      <w:r w:rsidR="00062332">
        <w:t xml:space="preserve"> been accompanied by</w:t>
      </w:r>
      <w:r w:rsidR="00062332" w:rsidRPr="00062332">
        <w:t xml:space="preserve"> a series of rule changes. </w:t>
      </w:r>
      <w:r w:rsidR="00E62AEA">
        <w:t>T</w:t>
      </w:r>
      <w:r w:rsidR="00314102">
        <w:t xml:space="preserve">he rule changes </w:t>
      </w:r>
      <w:r w:rsidR="00E62AEA">
        <w:t>will lead to</w:t>
      </w:r>
      <w:r w:rsidR="009A0A7E">
        <w:t>, amongst other things,</w:t>
      </w:r>
      <w:r w:rsidR="00E62AEA">
        <w:t xml:space="preserve"> greater competition </w:t>
      </w:r>
      <w:r w:rsidR="00987D39">
        <w:t>in</w:t>
      </w:r>
      <w:r w:rsidR="00E62AEA">
        <w:t xml:space="preserve"> the provision of metering services. As a consequence</w:t>
      </w:r>
      <w:r w:rsidR="009A0A7E">
        <w:t xml:space="preserve"> of this and other reforms</w:t>
      </w:r>
      <w:r w:rsidR="00E62AEA">
        <w:t xml:space="preserve">, </w:t>
      </w:r>
      <w:r w:rsidR="00314102">
        <w:t xml:space="preserve">the AER is required to develop a national </w:t>
      </w:r>
      <w:r w:rsidR="00785987">
        <w:t>ring-fencing</w:t>
      </w:r>
      <w:r w:rsidR="00314102">
        <w:t xml:space="preserve"> guideline by 1 December 2016. </w:t>
      </w:r>
      <w:r w:rsidR="00E62AEA">
        <w:t>The</w:t>
      </w:r>
      <w:r w:rsidR="00314102">
        <w:t xml:space="preserve"> guideline </w:t>
      </w:r>
      <w:r w:rsidR="00E62AEA">
        <w:t xml:space="preserve">will underpin </w:t>
      </w:r>
      <w:r w:rsidR="00314102">
        <w:t xml:space="preserve">the </w:t>
      </w:r>
      <w:r w:rsidR="00314102" w:rsidRPr="00314102">
        <w:t xml:space="preserve">increasingly important </w:t>
      </w:r>
      <w:r w:rsidR="00314102">
        <w:t>role</w:t>
      </w:r>
      <w:r>
        <w:t xml:space="preserve"> third party </w:t>
      </w:r>
      <w:r w:rsidR="00A30A87">
        <w:t xml:space="preserve">service </w:t>
      </w:r>
      <w:r>
        <w:t xml:space="preserve">providers will play </w:t>
      </w:r>
      <w:r w:rsidR="00314102">
        <w:t>in</w:t>
      </w:r>
      <w:r>
        <w:t xml:space="preserve"> the supply of </w:t>
      </w:r>
      <w:r w:rsidR="00E62AEA">
        <w:t xml:space="preserve">metering and other network </w:t>
      </w:r>
      <w:r w:rsidR="00D03D0C">
        <w:t>services</w:t>
      </w:r>
      <w:r>
        <w:t xml:space="preserve"> to consumers.</w:t>
      </w:r>
      <w:r w:rsidR="009F4A80">
        <w:t xml:space="preserve"> </w:t>
      </w:r>
      <w:r w:rsidR="00F45E74">
        <w:t xml:space="preserve">For example, </w:t>
      </w:r>
      <w:r>
        <w:t>distribution businesses</w:t>
      </w:r>
      <w:r w:rsidR="009F4A80">
        <w:t xml:space="preserve"> </w:t>
      </w:r>
      <w:r w:rsidR="00F45E74">
        <w:t>p</w:t>
      </w:r>
      <w:r w:rsidR="00F45E74" w:rsidRPr="009F4A80">
        <w:t xml:space="preserve">reviously </w:t>
      </w:r>
      <w:r w:rsidR="009F4A80" w:rsidRPr="009F4A80">
        <w:t xml:space="preserve">provided residential customers </w:t>
      </w:r>
      <w:r w:rsidR="009F4A80">
        <w:t>with</w:t>
      </w:r>
      <w:r w:rsidR="009F4A80" w:rsidRPr="009F4A80">
        <w:t xml:space="preserve"> metering and connection </w:t>
      </w:r>
      <w:r w:rsidR="009F4A80">
        <w:t>services</w:t>
      </w:r>
      <w:r w:rsidR="00314102" w:rsidRPr="00314102">
        <w:t xml:space="preserve"> exclusive</w:t>
      </w:r>
      <w:r w:rsidR="00314102">
        <w:t>ly</w:t>
      </w:r>
      <w:r w:rsidR="009F4A80">
        <w:t xml:space="preserve">. </w:t>
      </w:r>
      <w:r w:rsidR="00F45E74">
        <w:t>Within a few years</w:t>
      </w:r>
      <w:r w:rsidR="009F4A80">
        <w:t xml:space="preserve"> these services </w:t>
      </w:r>
      <w:r w:rsidR="00F45E74">
        <w:t>will be</w:t>
      </w:r>
      <w:r w:rsidR="00314102">
        <w:t xml:space="preserve"> </w:t>
      </w:r>
      <w:r w:rsidR="00260B8E">
        <w:t xml:space="preserve">more </w:t>
      </w:r>
      <w:r w:rsidR="00314102">
        <w:t>contestable</w:t>
      </w:r>
      <w:r w:rsidR="009F4A80">
        <w:t xml:space="preserve"> </w:t>
      </w:r>
      <w:r w:rsidR="00F45E74">
        <w:t xml:space="preserve">in most States </w:t>
      </w:r>
      <w:r w:rsidR="009F4A80">
        <w:t xml:space="preserve">and </w:t>
      </w:r>
      <w:r w:rsidR="00F45E74">
        <w:t xml:space="preserve">provide consumers with </w:t>
      </w:r>
      <w:r w:rsidR="00987D39">
        <w:t xml:space="preserve">far greater </w:t>
      </w:r>
      <w:r w:rsidR="00F45E74">
        <w:t>choice</w:t>
      </w:r>
      <w:r>
        <w:t xml:space="preserve">. </w:t>
      </w:r>
      <w:r w:rsidR="00A30A87">
        <w:t xml:space="preserve">The </w:t>
      </w:r>
      <w:r w:rsidR="00785987">
        <w:t>ring-fencing</w:t>
      </w:r>
      <w:r w:rsidR="00A30A87">
        <w:t xml:space="preserve"> guideline will support the development of these markets by separating regulated </w:t>
      </w:r>
      <w:r w:rsidR="00F45E74">
        <w:t xml:space="preserve">monopoly </w:t>
      </w:r>
      <w:r w:rsidR="009F4A80">
        <w:t>service</w:t>
      </w:r>
      <w:r w:rsidR="00F45E74">
        <w:t>s</w:t>
      </w:r>
      <w:r w:rsidR="009F4A80">
        <w:t xml:space="preserve"> </w:t>
      </w:r>
      <w:r w:rsidR="00A30A87">
        <w:t xml:space="preserve">from </w:t>
      </w:r>
      <w:r w:rsidR="009F4A80">
        <w:t xml:space="preserve">services offered </w:t>
      </w:r>
      <w:r w:rsidR="00A30A87">
        <w:t>competitive</w:t>
      </w:r>
      <w:r w:rsidR="009F4A80">
        <w:t>ly</w:t>
      </w:r>
      <w:r w:rsidR="00A30A87">
        <w:t>.</w:t>
      </w:r>
      <w:r w:rsidR="00F45E74">
        <w:t xml:space="preserve"> </w:t>
      </w:r>
    </w:p>
    <w:p w:rsidR="003955E8" w:rsidRPr="003955E8" w:rsidRDefault="003955E8" w:rsidP="005E2A56">
      <w:r w:rsidRPr="003955E8">
        <w:t xml:space="preserve">Ring-fencing </w:t>
      </w:r>
      <w:r w:rsidR="005E2A56" w:rsidRPr="005E2A56">
        <w:t>refers to the separation within a network service provider of regulated services from contestable business activities</w:t>
      </w:r>
      <w:r w:rsidR="006D6762">
        <w:t xml:space="preserve"> or non-regulated services</w:t>
      </w:r>
      <w:r w:rsidR="005E2A56" w:rsidRPr="005E2A56">
        <w:t xml:space="preserve">. </w:t>
      </w:r>
      <w:r w:rsidR="005E2A56">
        <w:t>R</w:t>
      </w:r>
      <w:r w:rsidRPr="003955E8">
        <w:t>egulated</w:t>
      </w:r>
      <w:r w:rsidR="005E2A56">
        <w:t xml:space="preserve"> services—</w:t>
      </w:r>
      <w:r w:rsidRPr="003955E8">
        <w:t xml:space="preserve">like traditional monopoly </w:t>
      </w:r>
      <w:r w:rsidR="005E2A56">
        <w:t>networks regulated by the AE</w:t>
      </w:r>
      <w:r w:rsidR="001A6D70">
        <w:t>R—</w:t>
      </w:r>
      <w:r w:rsidR="005E2A56">
        <w:t xml:space="preserve">are separated </w:t>
      </w:r>
      <w:r w:rsidRPr="003955E8">
        <w:t>from those services that are delivered by the competitive market, like energy retailing. Ring-fencing</w:t>
      </w:r>
      <w:r w:rsidR="005E2A56">
        <w:t xml:space="preserve"> </w:t>
      </w:r>
      <w:r w:rsidRPr="005E2A56">
        <w:t>protects the long term interests of consumers by ensuring efficient costs for regulated services provided by networks</w:t>
      </w:r>
      <w:r w:rsidRPr="003955E8">
        <w:t>. It does this by identifying and separating regulated business activities from services available in a competitive market.</w:t>
      </w:r>
    </w:p>
    <w:p w:rsidR="006D6762" w:rsidRDefault="00785987" w:rsidP="003955E8">
      <w:r>
        <w:lastRenderedPageBreak/>
        <w:t>A ring-fencing guideline</w:t>
      </w:r>
      <w:r w:rsidR="003955E8" w:rsidRPr="003955E8">
        <w:t xml:space="preserve"> should facilitate the use of new technologies (like </w:t>
      </w:r>
      <w:r w:rsidR="00140224">
        <w:t xml:space="preserve">use of </w:t>
      </w:r>
      <w:r w:rsidR="003955E8" w:rsidRPr="003955E8">
        <w:t>batteries</w:t>
      </w:r>
      <w:r w:rsidR="00140224">
        <w:t xml:space="preserve"> </w:t>
      </w:r>
      <w:r w:rsidR="006D0776">
        <w:t>of</w:t>
      </w:r>
      <w:r w:rsidR="00140224">
        <w:t xml:space="preserve"> energy storage</w:t>
      </w:r>
      <w:r w:rsidR="003955E8" w:rsidRPr="003955E8">
        <w:t xml:space="preserve">) and greater participation by all providers including network businesses. </w:t>
      </w:r>
    </w:p>
    <w:p w:rsidR="003955E8" w:rsidRPr="003955E8" w:rsidRDefault="006D6762" w:rsidP="003955E8">
      <w:r>
        <w:t>Consistent with the C</w:t>
      </w:r>
      <w:r w:rsidR="008A3CD4">
        <w:t xml:space="preserve">ouncil of Australian Government's (COAG) </w:t>
      </w:r>
      <w:r>
        <w:t>Energy Council's communique</w:t>
      </w:r>
      <w:r w:rsidR="00AE3E9A">
        <w:t xml:space="preserve"> last year</w:t>
      </w:r>
      <w:r w:rsidR="00AE3E9A">
        <w:rPr>
          <w:rStyle w:val="FootnoteReference"/>
        </w:rPr>
        <w:footnoteReference w:id="3"/>
      </w:r>
      <w:r>
        <w:t xml:space="preserve"> w</w:t>
      </w:r>
      <w:r w:rsidR="003955E8" w:rsidRPr="003955E8">
        <w:t xml:space="preserve">ork between </w:t>
      </w:r>
      <w:r>
        <w:t xml:space="preserve">COAG Energy Council </w:t>
      </w:r>
      <w:r w:rsidR="003955E8" w:rsidRPr="003955E8">
        <w:t>officials and market agencies will include a review of ring-fencing arrangements in 2016 to:</w:t>
      </w:r>
    </w:p>
    <w:p w:rsidR="003955E8" w:rsidRPr="003955E8" w:rsidRDefault="00AE3E9A" w:rsidP="00D86DB2">
      <w:pPr>
        <w:pStyle w:val="Bulletpoint"/>
      </w:pPr>
      <w:proofErr w:type="gramStart"/>
      <w:r>
        <w:t>s</w:t>
      </w:r>
      <w:r w:rsidR="003955E8" w:rsidRPr="003955E8">
        <w:t>upport</w:t>
      </w:r>
      <w:proofErr w:type="gramEnd"/>
      <w:r w:rsidR="003955E8" w:rsidRPr="003955E8">
        <w:t xml:space="preserve"> the development of competitive markets in services which are or should be contestable.</w:t>
      </w:r>
    </w:p>
    <w:p w:rsidR="003955E8" w:rsidRPr="003955E8" w:rsidRDefault="00AE3E9A" w:rsidP="00D86DB2">
      <w:pPr>
        <w:pStyle w:val="Bulletpoint"/>
      </w:pPr>
      <w:proofErr w:type="gramStart"/>
      <w:r>
        <w:t>p</w:t>
      </w:r>
      <w:r w:rsidR="003955E8" w:rsidRPr="003955E8">
        <w:t>rovide</w:t>
      </w:r>
      <w:proofErr w:type="gramEnd"/>
      <w:r w:rsidR="003955E8" w:rsidRPr="003955E8">
        <w:t xml:space="preserve"> clarity and </w:t>
      </w:r>
      <w:r w:rsidR="00C178E4">
        <w:t>certainty</w:t>
      </w:r>
      <w:r w:rsidR="003955E8" w:rsidRPr="003955E8">
        <w:t xml:space="preserve"> in the market for new investment.</w:t>
      </w:r>
    </w:p>
    <w:p w:rsidR="003955E8" w:rsidRPr="003955E8" w:rsidRDefault="00AE3E9A" w:rsidP="00D86DB2">
      <w:pPr>
        <w:pStyle w:val="Bulletpoint"/>
      </w:pPr>
      <w:proofErr w:type="gramStart"/>
      <w:r>
        <w:t>p</w:t>
      </w:r>
      <w:r w:rsidR="003955E8" w:rsidRPr="003955E8">
        <w:t>rovide</w:t>
      </w:r>
      <w:proofErr w:type="gramEnd"/>
      <w:r w:rsidR="003955E8" w:rsidRPr="003955E8">
        <w:t xml:space="preserve"> a level playing field for all parties providing energy services.</w:t>
      </w:r>
    </w:p>
    <w:p w:rsidR="003955E8" w:rsidRPr="003955E8" w:rsidRDefault="00AE3E9A" w:rsidP="00D86DB2">
      <w:pPr>
        <w:pStyle w:val="Bulletpoint"/>
      </w:pPr>
      <w:r>
        <w:t>a</w:t>
      </w:r>
      <w:r w:rsidR="003955E8" w:rsidRPr="003955E8">
        <w:t>ccelerate inno</w:t>
      </w:r>
      <w:r w:rsidR="00140224">
        <w:t>vation and efficient investment</w:t>
      </w:r>
    </w:p>
    <w:p w:rsidR="0032502C" w:rsidRPr="0032502C" w:rsidRDefault="00A30A87" w:rsidP="0032502C">
      <w:r>
        <w:t>The purpose of this paper is</w:t>
      </w:r>
      <w:r w:rsidR="009F4A80">
        <w:t xml:space="preserve"> </w:t>
      </w:r>
      <w:r w:rsidR="005C733E">
        <w:t xml:space="preserve">to </w:t>
      </w:r>
      <w:r w:rsidR="009F4A80">
        <w:t>draw out key issue</w:t>
      </w:r>
      <w:r w:rsidR="00260B8E">
        <w:t>s</w:t>
      </w:r>
      <w:r w:rsidR="009F4A80">
        <w:t xml:space="preserve"> </w:t>
      </w:r>
      <w:r w:rsidR="004A3D65">
        <w:t xml:space="preserve">that will need to be considered in drafting a national </w:t>
      </w:r>
      <w:r w:rsidR="00785987">
        <w:t>ring-fencing</w:t>
      </w:r>
      <w:r w:rsidR="004A3D65" w:rsidRPr="004A3D65">
        <w:t xml:space="preserve"> guideline</w:t>
      </w:r>
      <w:r w:rsidR="009F4A80">
        <w:t xml:space="preserve">. </w:t>
      </w:r>
      <w:r w:rsidR="004A3D65">
        <w:t>In this paper w</w:t>
      </w:r>
      <w:r w:rsidR="009F4A80">
        <w:t xml:space="preserve">e have drawn on previous work </w:t>
      </w:r>
      <w:r w:rsidR="004A3D65">
        <w:t>undertaken</w:t>
      </w:r>
      <w:r w:rsidR="005C733E">
        <w:t xml:space="preserve"> </w:t>
      </w:r>
      <w:r w:rsidR="00EE2FC7">
        <w:t xml:space="preserve">in </w:t>
      </w:r>
      <w:r w:rsidR="005C733E">
        <w:t>2012 to</w:t>
      </w:r>
      <w:r w:rsidR="009F4A80">
        <w:t xml:space="preserve"> examin</w:t>
      </w:r>
      <w:r w:rsidR="005C733E">
        <w:t>e</w:t>
      </w:r>
      <w:r w:rsidR="009F4A80">
        <w:t xml:space="preserve"> </w:t>
      </w:r>
      <w:r w:rsidR="00785987">
        <w:t>ring-fencing</w:t>
      </w:r>
      <w:r w:rsidR="004A3D65">
        <w:t>, including submissions we received</w:t>
      </w:r>
      <w:r w:rsidR="005C733E">
        <w:t>. At</w:t>
      </w:r>
      <w:r w:rsidR="009F4A80">
        <w:t xml:space="preserve"> </w:t>
      </w:r>
      <w:r w:rsidR="004A3D65">
        <w:t>the</w:t>
      </w:r>
      <w:r w:rsidR="009F4A80">
        <w:t xml:space="preserve"> time the AER was considering whether a national </w:t>
      </w:r>
      <w:r w:rsidR="00785987">
        <w:t>ring-fencing</w:t>
      </w:r>
      <w:r w:rsidR="009F4A80">
        <w:t xml:space="preserve"> guideline was warranted. </w:t>
      </w:r>
      <w:r w:rsidR="005C733E">
        <w:t xml:space="preserve">The </w:t>
      </w:r>
      <w:r w:rsidR="004A3D65">
        <w:t xml:space="preserve">recent </w:t>
      </w:r>
      <w:r w:rsidR="005C733E">
        <w:t xml:space="preserve">rule change makes preparation of the guideline </w:t>
      </w:r>
      <w:r w:rsidR="00163CD7">
        <w:t xml:space="preserve">a </w:t>
      </w:r>
      <w:r w:rsidR="009F4A80">
        <w:t>requirement</w:t>
      </w:r>
      <w:r w:rsidR="00163CD7">
        <w:t xml:space="preserve"> by the end of 2016</w:t>
      </w:r>
      <w:r w:rsidR="009F4A80">
        <w:t>. Aside from putting forward preliminary view</w:t>
      </w:r>
      <w:r w:rsidR="00163CD7">
        <w:t>s</w:t>
      </w:r>
      <w:r w:rsidR="009F4A80">
        <w:t xml:space="preserve"> of how the </w:t>
      </w:r>
      <w:r w:rsidR="00785987">
        <w:t>ring-fencing</w:t>
      </w:r>
      <w:r w:rsidR="009F4A80">
        <w:t xml:space="preserve"> guideline might work, we have posed numerous questions and seek comment from interested</w:t>
      </w:r>
      <w:r w:rsidR="000D3D23">
        <w:t xml:space="preserve"> parties</w:t>
      </w:r>
      <w:r w:rsidR="0032502C" w:rsidRPr="0032502C">
        <w:t xml:space="preserve">. </w:t>
      </w:r>
    </w:p>
    <w:p w:rsidR="003C377E" w:rsidRDefault="003C377E" w:rsidP="003C377E">
      <w:pPr>
        <w:pStyle w:val="Caption"/>
      </w:pPr>
      <w:r>
        <w:t xml:space="preserve">Table 1 </w:t>
      </w:r>
      <w:r w:rsidR="008A3CD4">
        <w:t>Ring-</w:t>
      </w:r>
      <w:r w:rsidR="00A42718">
        <w:t>fencing guideline</w:t>
      </w:r>
      <w:r>
        <w:t xml:space="preserve"> </w:t>
      </w:r>
      <w:r w:rsidR="00A42718">
        <w:t>timeline (</w:t>
      </w:r>
      <w:r w:rsidR="00FB3F71">
        <w:t>indicative</w:t>
      </w:r>
      <w:r w:rsidR="00A42718">
        <w:t>)</w:t>
      </w:r>
    </w:p>
    <w:tbl>
      <w:tblPr>
        <w:tblStyle w:val="AERTable-Text"/>
        <w:tblW w:w="0" w:type="auto"/>
        <w:tblLook w:val="04A0" w:firstRow="1" w:lastRow="0" w:firstColumn="1" w:lastColumn="0" w:noHBand="0" w:noVBand="1"/>
      </w:tblPr>
      <w:tblGrid>
        <w:gridCol w:w="6204"/>
        <w:gridCol w:w="2489"/>
      </w:tblGrid>
      <w:tr w:rsidR="003C377E" w:rsidTr="003C377E">
        <w:trPr>
          <w:cnfStyle w:val="100000000000" w:firstRow="1" w:lastRow="0" w:firstColumn="0" w:lastColumn="0" w:oddVBand="0" w:evenVBand="0" w:oddHBand="0" w:evenHBand="0" w:firstRowFirstColumn="0" w:firstRowLastColumn="0" w:lastRowFirstColumn="0" w:lastRowLastColumn="0"/>
        </w:trPr>
        <w:tc>
          <w:tcPr>
            <w:tcW w:w="6204" w:type="dxa"/>
          </w:tcPr>
          <w:p w:rsidR="003C377E" w:rsidRDefault="003C377E" w:rsidP="001B1917">
            <w:pPr>
              <w:pStyle w:val="Tabletext"/>
            </w:pPr>
            <w:r>
              <w:t>Step</w:t>
            </w:r>
          </w:p>
        </w:tc>
        <w:tc>
          <w:tcPr>
            <w:tcW w:w="2489" w:type="dxa"/>
          </w:tcPr>
          <w:p w:rsidR="003C377E" w:rsidRDefault="003C377E" w:rsidP="001B1917">
            <w:pPr>
              <w:pStyle w:val="Tabletext"/>
            </w:pPr>
            <w:r>
              <w:t>Date</w:t>
            </w:r>
          </w:p>
        </w:tc>
      </w:tr>
      <w:tr w:rsidR="003C377E" w:rsidTr="003C377E">
        <w:tc>
          <w:tcPr>
            <w:tcW w:w="6204" w:type="dxa"/>
          </w:tcPr>
          <w:p w:rsidR="003C377E" w:rsidRDefault="009F1627" w:rsidP="00BD58F9">
            <w:pPr>
              <w:pStyle w:val="Tabletext"/>
            </w:pPr>
            <w:r>
              <w:t xml:space="preserve">AER to </w:t>
            </w:r>
            <w:r w:rsidR="00BD58F9">
              <w:t xml:space="preserve">publish </w:t>
            </w:r>
            <w:r w:rsidR="00A42718">
              <w:t>preliminary position</w:t>
            </w:r>
          </w:p>
        </w:tc>
        <w:tc>
          <w:tcPr>
            <w:tcW w:w="2489" w:type="dxa"/>
          </w:tcPr>
          <w:p w:rsidR="003C377E" w:rsidRDefault="000E5DD7" w:rsidP="00A42718">
            <w:pPr>
              <w:pStyle w:val="Tabletext"/>
            </w:pPr>
            <w:r>
              <w:t>April</w:t>
            </w:r>
            <w:r w:rsidR="00A42718">
              <w:t xml:space="preserve"> </w:t>
            </w:r>
            <w:r w:rsidR="001B1917">
              <w:t>2016</w:t>
            </w:r>
          </w:p>
        </w:tc>
      </w:tr>
      <w:tr w:rsidR="003C377E" w:rsidTr="003C377E">
        <w:trPr>
          <w:cnfStyle w:val="000000010000" w:firstRow="0" w:lastRow="0" w:firstColumn="0" w:lastColumn="0" w:oddVBand="0" w:evenVBand="0" w:oddHBand="0" w:evenHBand="1" w:firstRowFirstColumn="0" w:firstRowLastColumn="0" w:lastRowFirstColumn="0" w:lastRowLastColumn="0"/>
        </w:trPr>
        <w:tc>
          <w:tcPr>
            <w:tcW w:w="6204" w:type="dxa"/>
          </w:tcPr>
          <w:p w:rsidR="003C377E" w:rsidRDefault="00A42718" w:rsidP="001B1917">
            <w:pPr>
              <w:pStyle w:val="Tabletext"/>
            </w:pPr>
            <w:r>
              <w:t>Submissions due</w:t>
            </w:r>
          </w:p>
        </w:tc>
        <w:tc>
          <w:tcPr>
            <w:tcW w:w="2489" w:type="dxa"/>
          </w:tcPr>
          <w:p w:rsidR="003C377E" w:rsidRDefault="005112E3" w:rsidP="00A42718">
            <w:pPr>
              <w:pStyle w:val="Tabletext"/>
            </w:pPr>
            <w:r>
              <w:t xml:space="preserve">30 </w:t>
            </w:r>
            <w:r w:rsidR="000E5DD7">
              <w:t>May</w:t>
            </w:r>
            <w:r w:rsidR="00A42718">
              <w:t xml:space="preserve"> </w:t>
            </w:r>
            <w:r w:rsidR="001B1917">
              <w:t>201</w:t>
            </w:r>
            <w:r w:rsidR="00A42718">
              <w:t>6</w:t>
            </w:r>
          </w:p>
        </w:tc>
      </w:tr>
      <w:tr w:rsidR="001B1917" w:rsidTr="003C377E">
        <w:tc>
          <w:tcPr>
            <w:tcW w:w="6204" w:type="dxa"/>
          </w:tcPr>
          <w:p w:rsidR="001B1917" w:rsidRDefault="001B1917" w:rsidP="00FB3F71">
            <w:pPr>
              <w:pStyle w:val="Tabletext"/>
            </w:pPr>
            <w:r>
              <w:t xml:space="preserve">AER to </w:t>
            </w:r>
            <w:r w:rsidR="00FB3F71">
              <w:t>hold workshops</w:t>
            </w:r>
            <w:r w:rsidR="00BD58F9">
              <w:t xml:space="preserve"> with key stakeholders</w:t>
            </w:r>
          </w:p>
        </w:tc>
        <w:tc>
          <w:tcPr>
            <w:tcW w:w="2489" w:type="dxa"/>
          </w:tcPr>
          <w:p w:rsidR="001B1917" w:rsidRDefault="000E5DD7" w:rsidP="000E5DD7">
            <w:pPr>
              <w:pStyle w:val="Tabletext"/>
            </w:pPr>
            <w:r>
              <w:t>Through mid-year</w:t>
            </w:r>
            <w:r w:rsidR="001B1917">
              <w:t xml:space="preserve"> 201</w:t>
            </w:r>
            <w:r w:rsidR="00FB3F71">
              <w:t>6</w:t>
            </w:r>
          </w:p>
        </w:tc>
      </w:tr>
      <w:tr w:rsidR="001B1917" w:rsidTr="003C377E">
        <w:trPr>
          <w:cnfStyle w:val="000000010000" w:firstRow="0" w:lastRow="0" w:firstColumn="0" w:lastColumn="0" w:oddVBand="0" w:evenVBand="0" w:oddHBand="0" w:evenHBand="1" w:firstRowFirstColumn="0" w:firstRowLastColumn="0" w:lastRowFirstColumn="0" w:lastRowLastColumn="0"/>
        </w:trPr>
        <w:tc>
          <w:tcPr>
            <w:tcW w:w="6204" w:type="dxa"/>
          </w:tcPr>
          <w:p w:rsidR="001B1917" w:rsidRDefault="001B1917" w:rsidP="00FB3F71">
            <w:pPr>
              <w:pStyle w:val="Tabletext"/>
            </w:pPr>
            <w:r>
              <w:t xml:space="preserve">AER to </w:t>
            </w:r>
            <w:r w:rsidR="00FB3F71">
              <w:t>issue draft Guideline</w:t>
            </w:r>
          </w:p>
        </w:tc>
        <w:tc>
          <w:tcPr>
            <w:tcW w:w="2489" w:type="dxa"/>
          </w:tcPr>
          <w:p w:rsidR="001B1917" w:rsidRDefault="000E5DD7" w:rsidP="00BD58F9">
            <w:pPr>
              <w:pStyle w:val="Tabletext"/>
            </w:pPr>
            <w:r>
              <w:t>July</w:t>
            </w:r>
            <w:r w:rsidR="00FB3F71">
              <w:t xml:space="preserve"> 2016</w:t>
            </w:r>
          </w:p>
        </w:tc>
      </w:tr>
      <w:tr w:rsidR="001B1917" w:rsidTr="003C377E">
        <w:tc>
          <w:tcPr>
            <w:tcW w:w="6204" w:type="dxa"/>
          </w:tcPr>
          <w:p w:rsidR="001B1917" w:rsidRDefault="001B1917" w:rsidP="00FB3F71">
            <w:pPr>
              <w:pStyle w:val="Tabletext"/>
            </w:pPr>
            <w:r>
              <w:t xml:space="preserve">Submissions on </w:t>
            </w:r>
            <w:r w:rsidR="00FB3F71">
              <w:t>Guideline</w:t>
            </w:r>
          </w:p>
        </w:tc>
        <w:tc>
          <w:tcPr>
            <w:tcW w:w="2489" w:type="dxa"/>
          </w:tcPr>
          <w:p w:rsidR="001B1917" w:rsidRDefault="000E5DD7" w:rsidP="001B1917">
            <w:pPr>
              <w:pStyle w:val="Tabletext"/>
            </w:pPr>
            <w:r>
              <w:t>Early August</w:t>
            </w:r>
          </w:p>
        </w:tc>
      </w:tr>
      <w:tr w:rsidR="003C377E" w:rsidTr="003C377E">
        <w:trPr>
          <w:cnfStyle w:val="000000010000" w:firstRow="0" w:lastRow="0" w:firstColumn="0" w:lastColumn="0" w:oddVBand="0" w:evenVBand="0" w:oddHBand="0" w:evenHBand="1" w:firstRowFirstColumn="0" w:firstRowLastColumn="0" w:lastRowFirstColumn="0" w:lastRowLastColumn="0"/>
        </w:trPr>
        <w:tc>
          <w:tcPr>
            <w:tcW w:w="6204" w:type="dxa"/>
          </w:tcPr>
          <w:p w:rsidR="003C377E" w:rsidRDefault="001B1917" w:rsidP="00BD58F9">
            <w:pPr>
              <w:pStyle w:val="Tabletext"/>
            </w:pPr>
            <w:r>
              <w:t xml:space="preserve">AER to </w:t>
            </w:r>
            <w:r w:rsidR="00FB3F71">
              <w:t>hold work shops</w:t>
            </w:r>
          </w:p>
        </w:tc>
        <w:tc>
          <w:tcPr>
            <w:tcW w:w="2489" w:type="dxa"/>
          </w:tcPr>
          <w:p w:rsidR="003C377E" w:rsidRDefault="000E5DD7" w:rsidP="001B1917">
            <w:pPr>
              <w:pStyle w:val="Tabletext"/>
            </w:pPr>
            <w:r>
              <w:t>August September</w:t>
            </w:r>
            <w:r w:rsidR="00FB3F71">
              <w:t xml:space="preserve"> 2016</w:t>
            </w:r>
            <w:r w:rsidR="0070699E">
              <w:t>*</w:t>
            </w:r>
          </w:p>
        </w:tc>
      </w:tr>
      <w:tr w:rsidR="003C377E" w:rsidTr="003C377E">
        <w:tc>
          <w:tcPr>
            <w:tcW w:w="6204" w:type="dxa"/>
          </w:tcPr>
          <w:p w:rsidR="003C377E" w:rsidRDefault="001B1917" w:rsidP="00FB3F71">
            <w:pPr>
              <w:pStyle w:val="Tabletext"/>
            </w:pPr>
            <w:r>
              <w:t xml:space="preserve">AER to </w:t>
            </w:r>
            <w:r w:rsidR="00FB3F71">
              <w:t>publish additional papers (if required)</w:t>
            </w:r>
            <w:r>
              <w:t xml:space="preserve"> </w:t>
            </w:r>
          </w:p>
        </w:tc>
        <w:tc>
          <w:tcPr>
            <w:tcW w:w="2489" w:type="dxa"/>
          </w:tcPr>
          <w:p w:rsidR="003C377E" w:rsidRDefault="00FB3F71" w:rsidP="001B1917">
            <w:pPr>
              <w:pStyle w:val="Tabletext"/>
            </w:pPr>
            <w:r>
              <w:t xml:space="preserve">August/September </w:t>
            </w:r>
            <w:r w:rsidR="0070699E">
              <w:t>201</w:t>
            </w:r>
            <w:r>
              <w:t>6</w:t>
            </w:r>
          </w:p>
        </w:tc>
      </w:tr>
      <w:tr w:rsidR="001B1917" w:rsidTr="003C377E">
        <w:trPr>
          <w:cnfStyle w:val="000000010000" w:firstRow="0" w:lastRow="0" w:firstColumn="0" w:lastColumn="0" w:oddVBand="0" w:evenVBand="0" w:oddHBand="0" w:evenHBand="1" w:firstRowFirstColumn="0" w:firstRowLastColumn="0" w:lastRowFirstColumn="0" w:lastRowLastColumn="0"/>
        </w:trPr>
        <w:tc>
          <w:tcPr>
            <w:tcW w:w="6204" w:type="dxa"/>
          </w:tcPr>
          <w:p w:rsidR="001B1917" w:rsidRDefault="00BD58F9" w:rsidP="001B1917">
            <w:pPr>
              <w:pStyle w:val="Tabletext"/>
            </w:pPr>
            <w:r>
              <w:t>Last</w:t>
            </w:r>
            <w:r w:rsidR="00FB3F71">
              <w:t xml:space="preserve"> submissions</w:t>
            </w:r>
            <w:r>
              <w:t xml:space="preserve"> due</w:t>
            </w:r>
          </w:p>
        </w:tc>
        <w:tc>
          <w:tcPr>
            <w:tcW w:w="2489" w:type="dxa"/>
          </w:tcPr>
          <w:p w:rsidR="001B1917" w:rsidRDefault="00BD58F9" w:rsidP="001B1917">
            <w:pPr>
              <w:pStyle w:val="Tabletext"/>
            </w:pPr>
            <w:r>
              <w:t>mid</w:t>
            </w:r>
            <w:r w:rsidR="00FB3F71">
              <w:t xml:space="preserve"> October</w:t>
            </w:r>
            <w:r w:rsidR="0070699E">
              <w:t xml:space="preserve"> 201</w:t>
            </w:r>
            <w:r w:rsidR="00FB3F71">
              <w:t>6</w:t>
            </w:r>
          </w:p>
        </w:tc>
      </w:tr>
      <w:tr w:rsidR="001B1917" w:rsidTr="003C377E">
        <w:tc>
          <w:tcPr>
            <w:tcW w:w="6204" w:type="dxa"/>
          </w:tcPr>
          <w:p w:rsidR="001B1917" w:rsidRDefault="00BD58F9" w:rsidP="00BD58F9">
            <w:pPr>
              <w:pStyle w:val="Tabletext"/>
            </w:pPr>
            <w:r>
              <w:t>F</w:t>
            </w:r>
            <w:r w:rsidR="001B1917">
              <w:t xml:space="preserve">inal </w:t>
            </w:r>
            <w:r w:rsidR="00FB3F71">
              <w:t>Guideline</w:t>
            </w:r>
            <w:r>
              <w:t xml:space="preserve"> (must be within 80 business days draft guideline*) </w:t>
            </w:r>
          </w:p>
        </w:tc>
        <w:tc>
          <w:tcPr>
            <w:tcW w:w="2489" w:type="dxa"/>
          </w:tcPr>
          <w:p w:rsidR="001B1917" w:rsidRDefault="006615E7" w:rsidP="00FB3F71">
            <w:pPr>
              <w:pStyle w:val="Tabletext"/>
            </w:pPr>
            <w:r>
              <w:t xml:space="preserve">On or before </w:t>
            </w:r>
            <w:r w:rsidR="0070699E">
              <w:t xml:space="preserve">30 </w:t>
            </w:r>
            <w:r w:rsidR="00FB3F71">
              <w:t xml:space="preserve">November </w:t>
            </w:r>
            <w:r w:rsidR="0070699E">
              <w:t>201</w:t>
            </w:r>
            <w:r w:rsidR="00FB3F71">
              <w:t>6</w:t>
            </w:r>
            <w:r w:rsidR="00895454">
              <w:t>*</w:t>
            </w:r>
          </w:p>
        </w:tc>
      </w:tr>
    </w:tbl>
    <w:p w:rsidR="003C377E" w:rsidRDefault="00BD58F9" w:rsidP="001B1917">
      <w:pPr>
        <w:pStyle w:val="Source"/>
      </w:pPr>
      <w:r>
        <w:t>* NER requirement</w:t>
      </w:r>
    </w:p>
    <w:p w:rsidR="0032502C" w:rsidRDefault="005E038E" w:rsidP="0032502C">
      <w:r>
        <w:lastRenderedPageBreak/>
        <w:t xml:space="preserve">The </w:t>
      </w:r>
      <w:r w:rsidR="008D02E1">
        <w:t xml:space="preserve">timeline makes provision for </w:t>
      </w:r>
      <w:r>
        <w:t xml:space="preserve">additional papers </w:t>
      </w:r>
      <w:r w:rsidR="008D02E1">
        <w:t xml:space="preserve">should </w:t>
      </w:r>
      <w:r w:rsidR="00BD58F9">
        <w:t xml:space="preserve">any </w:t>
      </w:r>
      <w:r w:rsidR="008D02E1">
        <w:t xml:space="preserve">particular </w:t>
      </w:r>
      <w:r w:rsidR="00785987">
        <w:t>ring-fencing</w:t>
      </w:r>
      <w:r w:rsidR="008D02E1">
        <w:t xml:space="preserve"> issues require further input from interested parties. A </w:t>
      </w:r>
      <w:r w:rsidR="00BD58F9">
        <w:t>decision to publish additional issues papers</w:t>
      </w:r>
      <w:r w:rsidR="008D02E1">
        <w:t xml:space="preserve"> (if any) would be made after submission</w:t>
      </w:r>
      <w:r w:rsidR="00BD58F9">
        <w:t>s</w:t>
      </w:r>
      <w:r w:rsidR="008D02E1">
        <w:t xml:space="preserve"> have been received on the draft </w:t>
      </w:r>
      <w:r w:rsidR="00785987">
        <w:t>ring-fencing</w:t>
      </w:r>
      <w:r w:rsidR="008D02E1">
        <w:t xml:space="preserve"> </w:t>
      </w:r>
      <w:r w:rsidR="00785987">
        <w:t>guideline</w:t>
      </w:r>
      <w:r w:rsidR="008D02E1">
        <w:t>.</w:t>
      </w:r>
    </w:p>
    <w:p w:rsidR="0027498B" w:rsidRPr="00EA4777" w:rsidRDefault="0027498B" w:rsidP="008A3CD4">
      <w:pPr>
        <w:pStyle w:val="Heading4notnumbered"/>
        <w:rPr>
          <w:rStyle w:val="Strong"/>
        </w:rPr>
      </w:pPr>
      <w:r w:rsidRPr="00EA4777">
        <w:rPr>
          <w:rStyle w:val="Strong"/>
        </w:rPr>
        <w:t>Updates</w:t>
      </w:r>
    </w:p>
    <w:p w:rsidR="0027498B" w:rsidRPr="0032502C" w:rsidRDefault="0027498B" w:rsidP="0032502C">
      <w:r>
        <w:t xml:space="preserve">Stakeholders that wish to be advised of upcoming workshops or other </w:t>
      </w:r>
      <w:r w:rsidR="00785987">
        <w:t>ring-fencing</w:t>
      </w:r>
      <w:r>
        <w:t xml:space="preserve"> related issues should subscribe to the AER website for notification</w:t>
      </w:r>
      <w:r w:rsidR="004848C0">
        <w:t>s</w:t>
      </w:r>
      <w:r w:rsidR="00791BF1">
        <w:t xml:space="preserve"> at</w:t>
      </w:r>
      <w:r w:rsidR="00F177A7">
        <w:t xml:space="preserve"> </w:t>
      </w:r>
      <w:hyperlink r:id="rId11" w:history="1">
        <w:r w:rsidR="00F177A7">
          <w:rPr>
            <w:rStyle w:val="Hyperlink"/>
          </w:rPr>
          <w:t>www.aer.gov.au/newsletter/subscribe</w:t>
        </w:r>
      </w:hyperlink>
      <w:r w:rsidR="00F177A7">
        <w:t xml:space="preserve"> </w:t>
      </w:r>
      <w:r w:rsidR="00791BF1">
        <w:t>and i</w:t>
      </w:r>
      <w:r>
        <w:t>ndicate '</w:t>
      </w:r>
      <w:r w:rsidR="00785987">
        <w:t>ring-fencing</w:t>
      </w:r>
      <w:r>
        <w:t>' as a topic of interest to you.</w:t>
      </w:r>
    </w:p>
    <w:p w:rsidR="00022326" w:rsidRDefault="00022326" w:rsidP="00FB6DA1">
      <w:pPr>
        <w:pStyle w:val="Heading1"/>
      </w:pPr>
      <w:bookmarkStart w:id="6" w:name="_Toc448838437"/>
      <w:r>
        <w:lastRenderedPageBreak/>
        <w:t>Introduction</w:t>
      </w:r>
      <w:bookmarkEnd w:id="6"/>
    </w:p>
    <w:p w:rsidR="00022326" w:rsidRDefault="00022326" w:rsidP="00022326">
      <w:r>
        <w:t xml:space="preserve">This paper sets out preliminary views on </w:t>
      </w:r>
      <w:r w:rsidR="00AE3E9A">
        <w:t xml:space="preserve">an </w:t>
      </w:r>
      <w:r>
        <w:t xml:space="preserve">approach to </w:t>
      </w:r>
      <w:r w:rsidR="00785987">
        <w:t>ring-fencing</w:t>
      </w:r>
      <w:r>
        <w:t xml:space="preserve"> issues that could form the basis of </w:t>
      </w:r>
      <w:r w:rsidR="002223A8">
        <w:t xml:space="preserve">an </w:t>
      </w:r>
      <w:r>
        <w:t xml:space="preserve">AER electricity distribution </w:t>
      </w:r>
      <w:r w:rsidR="00785987">
        <w:t>ring-fencing</w:t>
      </w:r>
      <w:r w:rsidRPr="00EC2E96">
        <w:t xml:space="preserve"> </w:t>
      </w:r>
      <w:r>
        <w:t xml:space="preserve">guideline. The paper builds on earlier work by the AER in 2011 and 2012 to consider electricity distribution </w:t>
      </w:r>
      <w:r w:rsidR="00785987">
        <w:t>ring-fencing</w:t>
      </w:r>
      <w:r>
        <w:t>. In addition, the paper draws on recent work by the AEMC in regard to expanding competition in metering and in regard to the implications of energy storage for the energy sector.</w:t>
      </w:r>
      <w:r w:rsidR="00286D3B">
        <w:rPr>
          <w:rStyle w:val="FootnoteReference"/>
        </w:rPr>
        <w:footnoteReference w:id="4"/>
      </w:r>
      <w:r>
        <w:t xml:space="preserve"> </w:t>
      </w:r>
    </w:p>
    <w:p w:rsidR="00022326" w:rsidRPr="00022326" w:rsidRDefault="00022326" w:rsidP="00022326">
      <w:pPr>
        <w:rPr>
          <w:lang w:eastAsia="en-AU"/>
        </w:rPr>
      </w:pPr>
      <w:r w:rsidRPr="00022326">
        <w:rPr>
          <w:lang w:eastAsia="en-AU"/>
        </w:rPr>
        <w:t xml:space="preserve">Since 2008, </w:t>
      </w:r>
      <w:r w:rsidR="007901BA">
        <w:t>we have</w:t>
      </w:r>
      <w:r w:rsidRPr="00022326">
        <w:rPr>
          <w:lang w:eastAsia="en-AU"/>
        </w:rPr>
        <w:t xml:space="preserve"> had the ability to develop </w:t>
      </w:r>
      <w:r w:rsidR="001A2579">
        <w:t>a</w:t>
      </w:r>
      <w:r w:rsidRPr="00022326">
        <w:rPr>
          <w:lang w:eastAsia="en-AU"/>
        </w:rPr>
        <w:t xml:space="preserve"> </w:t>
      </w:r>
      <w:r w:rsidR="00785987">
        <w:rPr>
          <w:lang w:eastAsia="en-AU"/>
        </w:rPr>
        <w:t>ring-fencing</w:t>
      </w:r>
      <w:r w:rsidRPr="00022326">
        <w:rPr>
          <w:lang w:eastAsia="en-AU"/>
        </w:rPr>
        <w:t xml:space="preserve"> guideline</w:t>
      </w:r>
      <w:r w:rsidR="009A0A7E">
        <w:t xml:space="preserve"> to replace existing jurisdictional guidelines</w:t>
      </w:r>
      <w:r w:rsidRPr="00022326">
        <w:rPr>
          <w:lang w:eastAsia="en-AU"/>
        </w:rPr>
        <w:t xml:space="preserve">. </w:t>
      </w:r>
      <w:r w:rsidR="008D3FDC">
        <w:t xml:space="preserve">That we have not done so </w:t>
      </w:r>
      <w:r w:rsidR="009A0A7E">
        <w:t xml:space="preserve">to date </w:t>
      </w:r>
      <w:r w:rsidRPr="00022326">
        <w:rPr>
          <w:lang w:eastAsia="en-AU"/>
        </w:rPr>
        <w:t xml:space="preserve">is because we have been </w:t>
      </w:r>
      <w:r w:rsidR="009A0A7E">
        <w:t xml:space="preserve">largely </w:t>
      </w:r>
      <w:r w:rsidRPr="00022326">
        <w:rPr>
          <w:lang w:eastAsia="en-AU"/>
        </w:rPr>
        <w:t xml:space="preserve">able to rely on distribution </w:t>
      </w:r>
      <w:r w:rsidR="00785987">
        <w:rPr>
          <w:lang w:eastAsia="en-AU"/>
        </w:rPr>
        <w:t>ring-fencing</w:t>
      </w:r>
      <w:r w:rsidRPr="00022326">
        <w:rPr>
          <w:lang w:eastAsia="en-AU"/>
        </w:rPr>
        <w:t xml:space="preserve"> arrangements established by jurisdictional regulators (and the ACCC guideline for transmission). </w:t>
      </w:r>
    </w:p>
    <w:p w:rsidR="008D3FDC" w:rsidRDefault="00022326" w:rsidP="00022326">
      <w:r w:rsidRPr="00022326">
        <w:rPr>
          <w:lang w:eastAsia="en-AU"/>
        </w:rPr>
        <w:t xml:space="preserve">The existing jurisdictional </w:t>
      </w:r>
      <w:r w:rsidR="00785987">
        <w:rPr>
          <w:lang w:eastAsia="en-AU"/>
        </w:rPr>
        <w:t>ring-fencing</w:t>
      </w:r>
      <w:r w:rsidRPr="00022326">
        <w:rPr>
          <w:lang w:eastAsia="en-AU"/>
        </w:rPr>
        <w:t xml:space="preserve"> guidelines have not been revised since they were first published in the early 2000s</w:t>
      </w:r>
      <w:r w:rsidR="009A0A7E">
        <w:t xml:space="preserve"> by individual state regulators</w:t>
      </w:r>
      <w:r w:rsidRPr="00022326">
        <w:rPr>
          <w:lang w:eastAsia="en-AU"/>
        </w:rPr>
        <w:t xml:space="preserve">. </w:t>
      </w:r>
      <w:r w:rsidR="008D3FDC">
        <w:t>The existing</w:t>
      </w:r>
      <w:r w:rsidRPr="00022326">
        <w:rPr>
          <w:lang w:eastAsia="en-AU"/>
        </w:rPr>
        <w:t xml:space="preserve"> </w:t>
      </w:r>
      <w:r w:rsidR="00CC44E9">
        <w:t xml:space="preserve">guidelines were </w:t>
      </w:r>
      <w:r w:rsidRPr="00022326">
        <w:rPr>
          <w:lang w:eastAsia="en-AU"/>
        </w:rPr>
        <w:t>designed to support the structural separation of retail, transmission, distribution and generation and do not adequately account for new and emerging technologies like solar PV, network energy storage or market reforms around metering</w:t>
      </w:r>
      <w:r w:rsidR="009A0A7E">
        <w:t xml:space="preserve"> and other service</w:t>
      </w:r>
      <w:r w:rsidRPr="00022326">
        <w:rPr>
          <w:lang w:eastAsia="en-AU"/>
        </w:rPr>
        <w:t xml:space="preserve"> contestability. </w:t>
      </w:r>
    </w:p>
    <w:p w:rsidR="00022326" w:rsidRPr="00022326" w:rsidRDefault="00022326" w:rsidP="00022326">
      <w:pPr>
        <w:rPr>
          <w:lang w:eastAsia="en-AU"/>
        </w:rPr>
      </w:pPr>
      <w:r w:rsidRPr="00022326">
        <w:rPr>
          <w:lang w:eastAsia="en-AU"/>
        </w:rPr>
        <w:t>Furthermore, as an outcome of the AEMC’s Power of Choice review</w:t>
      </w:r>
      <w:r w:rsidR="00CC44E9">
        <w:t>, changes made to the</w:t>
      </w:r>
      <w:r w:rsidRPr="00022326">
        <w:rPr>
          <w:lang w:eastAsia="en-AU"/>
        </w:rPr>
        <w:t xml:space="preserve"> NER in December 2015</w:t>
      </w:r>
      <w:r w:rsidR="00CC44E9">
        <w:t xml:space="preserve"> affect existing </w:t>
      </w:r>
      <w:r w:rsidR="00785987">
        <w:t>ring-fencing</w:t>
      </w:r>
      <w:r w:rsidR="00CC44E9">
        <w:t xml:space="preserve"> arrangements. In particular</w:t>
      </w:r>
      <w:r w:rsidRPr="00022326">
        <w:rPr>
          <w:lang w:eastAsia="en-AU"/>
        </w:rPr>
        <w:t xml:space="preserve">, </w:t>
      </w:r>
      <w:r w:rsidR="007901BA">
        <w:t>we are</w:t>
      </w:r>
      <w:r w:rsidRPr="00022326">
        <w:rPr>
          <w:lang w:eastAsia="en-AU"/>
        </w:rPr>
        <w:t xml:space="preserve"> </w:t>
      </w:r>
      <w:r w:rsidR="00CC44E9">
        <w:t xml:space="preserve">now </w:t>
      </w:r>
      <w:r w:rsidRPr="00022326">
        <w:rPr>
          <w:lang w:eastAsia="en-AU"/>
        </w:rPr>
        <w:t xml:space="preserve">required to develop a </w:t>
      </w:r>
      <w:r w:rsidR="00785987">
        <w:rPr>
          <w:lang w:eastAsia="en-AU"/>
        </w:rPr>
        <w:t>ring-fencing</w:t>
      </w:r>
      <w:r w:rsidRPr="00022326">
        <w:rPr>
          <w:lang w:eastAsia="en-AU"/>
        </w:rPr>
        <w:t xml:space="preserve"> guideline by 1 December 2016, which is one year ahead of the commencement of metering contestability.</w:t>
      </w:r>
      <w:r w:rsidR="00CC44E9">
        <w:t xml:space="preserve"> Once developed, the AER </w:t>
      </w:r>
      <w:r w:rsidR="00785987">
        <w:t>ring-fencing</w:t>
      </w:r>
      <w:r w:rsidR="00CC44E9">
        <w:t xml:space="preserve"> guideline </w:t>
      </w:r>
      <w:r w:rsidR="00FA7289">
        <w:t xml:space="preserve">would apply across the NEM and </w:t>
      </w:r>
      <w:r w:rsidR="00CC44E9">
        <w:t xml:space="preserve">will replace existing jurisdictional </w:t>
      </w:r>
      <w:r w:rsidR="00785987">
        <w:t>ring-fencing</w:t>
      </w:r>
      <w:r w:rsidR="00CC44E9">
        <w:t xml:space="preserve"> arrangements.</w:t>
      </w:r>
    </w:p>
    <w:p w:rsidR="00E73991" w:rsidRDefault="00E73991" w:rsidP="00E73991">
      <w:r>
        <w:t xml:space="preserve">Ring-fencing arrangements for transmission are not discussed separately in this paper. The AER guideline will pertain to distribution services, in part </w:t>
      </w:r>
      <w:r w:rsidRPr="00373040">
        <w:t xml:space="preserve">due </w:t>
      </w:r>
      <w:r>
        <w:t>to the differences in the way that prescribed transmission services are defined in the rules. However, we anticipate the ring-fencing arrangements for transmission services will likely mirror the arrangements that will be put place for distribution. Variations would be likely only where there is an underlying need for any differences to be maintained.</w:t>
      </w:r>
    </w:p>
    <w:p w:rsidR="00022326" w:rsidRPr="00022326" w:rsidRDefault="00022326" w:rsidP="00022326">
      <w:r w:rsidRPr="00022326">
        <w:t xml:space="preserve">The relevant provisions of the NER relating to the AER </w:t>
      </w:r>
      <w:r w:rsidR="00785987">
        <w:t>ring-fencing</w:t>
      </w:r>
      <w:r w:rsidRPr="00022326">
        <w:t xml:space="preserve"> gui</w:t>
      </w:r>
      <w:r w:rsidR="008A3CD4">
        <w:t>deline are summarised in table 2</w:t>
      </w:r>
      <w:r w:rsidRPr="00022326">
        <w:t xml:space="preserve">. The requirements </w:t>
      </w:r>
      <w:r w:rsidR="005112E3">
        <w:t xml:space="preserve">of </w:t>
      </w:r>
      <w:r w:rsidRPr="00022326">
        <w:t xml:space="preserve">the NER are not prescriptive and do not identify the intended harm the </w:t>
      </w:r>
      <w:r w:rsidR="00785987">
        <w:t>guideline</w:t>
      </w:r>
      <w:r w:rsidRPr="00022326">
        <w:t xml:space="preserve"> might seek to avoid. The relevant sections of the </w:t>
      </w:r>
      <w:r w:rsidR="00560474">
        <w:t>NER</w:t>
      </w:r>
      <w:r w:rsidRPr="00022326">
        <w:t xml:space="preserve"> and </w:t>
      </w:r>
      <w:r w:rsidR="00560474">
        <w:t>NEL</w:t>
      </w:r>
      <w:r w:rsidRPr="00022326">
        <w:t xml:space="preserve"> are provided in full in </w:t>
      </w:r>
      <w:r w:rsidR="008A3CD4">
        <w:t>a</w:t>
      </w:r>
      <w:r w:rsidR="003D5FBA">
        <w:t>ppendix</w:t>
      </w:r>
      <w:r w:rsidR="003D5FBA" w:rsidRPr="00022326">
        <w:t xml:space="preserve"> </w:t>
      </w:r>
      <w:r w:rsidRPr="00022326">
        <w:t>A.</w:t>
      </w:r>
    </w:p>
    <w:p w:rsidR="006B17F7" w:rsidRDefault="006B17F7" w:rsidP="00EA4777">
      <w:pPr>
        <w:pStyle w:val="Caption"/>
        <w:keepNext/>
      </w:pPr>
      <w:r>
        <w:lastRenderedPageBreak/>
        <w:t xml:space="preserve">Table </w:t>
      </w:r>
      <w:r w:rsidR="00E73991">
        <w:t>2</w:t>
      </w:r>
      <w:r>
        <w:tab/>
        <w:t xml:space="preserve">NER </w:t>
      </w:r>
      <w:r w:rsidR="004848C0">
        <w:t xml:space="preserve">references to distribution </w:t>
      </w:r>
      <w:r w:rsidR="00785987">
        <w:t>ring-fencing</w:t>
      </w:r>
      <w:r w:rsidR="004848C0">
        <w:t xml:space="preserve"> guideline</w:t>
      </w:r>
    </w:p>
    <w:tbl>
      <w:tblPr>
        <w:tblStyle w:val="AERTable-Text"/>
        <w:tblW w:w="0" w:type="auto"/>
        <w:tblLook w:val="04A0" w:firstRow="1" w:lastRow="0" w:firstColumn="1" w:lastColumn="0" w:noHBand="0" w:noVBand="1"/>
      </w:tblPr>
      <w:tblGrid>
        <w:gridCol w:w="1881"/>
        <w:gridCol w:w="6812"/>
      </w:tblGrid>
      <w:tr w:rsidR="00022326" w:rsidRPr="00022326" w:rsidTr="00EA4777">
        <w:trPr>
          <w:cnfStyle w:val="100000000000" w:firstRow="1" w:lastRow="0" w:firstColumn="0" w:lastColumn="0" w:oddVBand="0" w:evenVBand="0" w:oddHBand="0" w:evenHBand="0" w:firstRowFirstColumn="0" w:firstRowLastColumn="0" w:lastRowFirstColumn="0" w:lastRowLastColumn="0"/>
        </w:trPr>
        <w:tc>
          <w:tcPr>
            <w:tcW w:w="1881" w:type="dxa"/>
          </w:tcPr>
          <w:p w:rsidR="00022326" w:rsidRPr="00022326" w:rsidRDefault="00022326" w:rsidP="00022326">
            <w:r w:rsidRPr="00022326">
              <w:t>Clause</w:t>
            </w:r>
          </w:p>
        </w:tc>
        <w:tc>
          <w:tcPr>
            <w:tcW w:w="6812" w:type="dxa"/>
          </w:tcPr>
          <w:p w:rsidR="00022326" w:rsidRPr="00022326" w:rsidRDefault="00022326" w:rsidP="00022326">
            <w:r w:rsidRPr="00022326">
              <w:t>Element</w:t>
            </w:r>
          </w:p>
        </w:tc>
      </w:tr>
      <w:tr w:rsidR="00022326" w:rsidRPr="00022326" w:rsidTr="00EA4777">
        <w:tc>
          <w:tcPr>
            <w:tcW w:w="1881" w:type="dxa"/>
          </w:tcPr>
          <w:p w:rsidR="00022326" w:rsidRPr="00022326" w:rsidRDefault="00022326" w:rsidP="00022326">
            <w:r w:rsidRPr="00022326">
              <w:t>6.17.1</w:t>
            </w:r>
          </w:p>
        </w:tc>
        <w:tc>
          <w:tcPr>
            <w:tcW w:w="6812" w:type="dxa"/>
          </w:tcPr>
          <w:p w:rsidR="00022326" w:rsidRPr="00022326" w:rsidRDefault="00022326" w:rsidP="00022326">
            <w:r w:rsidRPr="00022326">
              <w:t>All DNSPs must comply with the Guideline.</w:t>
            </w:r>
          </w:p>
        </w:tc>
      </w:tr>
      <w:tr w:rsidR="00022326" w:rsidRPr="00022326" w:rsidTr="00EA4777">
        <w:trPr>
          <w:cnfStyle w:val="000000010000" w:firstRow="0" w:lastRow="0" w:firstColumn="0" w:lastColumn="0" w:oddVBand="0" w:evenVBand="0" w:oddHBand="0" w:evenHBand="1" w:firstRowFirstColumn="0" w:firstRowLastColumn="0" w:lastRowFirstColumn="0" w:lastRowLastColumn="0"/>
        </w:trPr>
        <w:tc>
          <w:tcPr>
            <w:tcW w:w="1881" w:type="dxa"/>
          </w:tcPr>
          <w:p w:rsidR="00022326" w:rsidRPr="00022326" w:rsidRDefault="00022326" w:rsidP="00022326">
            <w:r w:rsidRPr="00022326">
              <w:t>6.17.2(a)</w:t>
            </w:r>
          </w:p>
        </w:tc>
        <w:tc>
          <w:tcPr>
            <w:tcW w:w="6812" w:type="dxa"/>
          </w:tcPr>
          <w:p w:rsidR="00022326" w:rsidRPr="00022326" w:rsidRDefault="00022326" w:rsidP="00022326">
            <w:r w:rsidRPr="00022326">
              <w:t>The AER may develop Guidelines that provide for accounting and functional separation between direct control services and other service provided by a DNSP. The application of the guideline may vary between jurisdictions.</w:t>
            </w:r>
          </w:p>
        </w:tc>
      </w:tr>
      <w:tr w:rsidR="00022326" w:rsidRPr="00022326" w:rsidTr="00EA4777">
        <w:tc>
          <w:tcPr>
            <w:tcW w:w="1881" w:type="dxa"/>
          </w:tcPr>
          <w:p w:rsidR="00022326" w:rsidRPr="00022326" w:rsidRDefault="00022326" w:rsidP="00022326">
            <w:r w:rsidRPr="00022326">
              <w:t>6.17.2(b)</w:t>
            </w:r>
          </w:p>
        </w:tc>
        <w:tc>
          <w:tcPr>
            <w:tcW w:w="6812" w:type="dxa"/>
          </w:tcPr>
          <w:p w:rsidR="00022326" w:rsidRPr="00022326" w:rsidRDefault="00022326" w:rsidP="00022326">
            <w:r w:rsidRPr="00022326">
              <w:t>The Guidelines may include provisions for:</w:t>
            </w:r>
          </w:p>
          <w:p w:rsidR="00022326" w:rsidRPr="00022326" w:rsidRDefault="00022326" w:rsidP="008A3CD4">
            <w:pPr>
              <w:pStyle w:val="Bulletpoint"/>
            </w:pPr>
            <w:r w:rsidRPr="00022326">
              <w:t>Legal separation</w:t>
            </w:r>
          </w:p>
          <w:p w:rsidR="00022326" w:rsidRPr="00022326" w:rsidRDefault="00022326" w:rsidP="008A3CD4">
            <w:pPr>
              <w:pStyle w:val="Bulletpoint"/>
            </w:pPr>
            <w:r w:rsidRPr="00022326">
              <w:t>Separate financial accounts for SCS, ACS and other services</w:t>
            </w:r>
          </w:p>
          <w:p w:rsidR="00022326" w:rsidRPr="00022326" w:rsidRDefault="00022326" w:rsidP="008A3CD4">
            <w:pPr>
              <w:pStyle w:val="Bulletpoint"/>
            </w:pPr>
            <w:r w:rsidRPr="00022326">
              <w:t>Allocation of costs between SCS, ACS and other services</w:t>
            </w:r>
          </w:p>
          <w:p w:rsidR="00022326" w:rsidRPr="00022326" w:rsidRDefault="00022326" w:rsidP="008A3CD4">
            <w:pPr>
              <w:pStyle w:val="Bulletpoint"/>
            </w:pPr>
            <w:r w:rsidRPr="00022326">
              <w:t>Limitations on information flows</w:t>
            </w:r>
          </w:p>
          <w:p w:rsidR="00022326" w:rsidRPr="00022326" w:rsidRDefault="00022326" w:rsidP="008A3CD4">
            <w:pPr>
              <w:pStyle w:val="Bulletpoint"/>
            </w:pPr>
            <w:r w:rsidRPr="00022326">
              <w:t xml:space="preserve">Provisions for </w:t>
            </w:r>
            <w:r w:rsidR="00785987">
              <w:t>ring-fencing</w:t>
            </w:r>
            <w:r w:rsidRPr="00022326">
              <w:t xml:space="preserve"> waivers</w:t>
            </w:r>
          </w:p>
        </w:tc>
      </w:tr>
      <w:tr w:rsidR="00022326" w:rsidRPr="00022326" w:rsidTr="00EA4777">
        <w:trPr>
          <w:cnfStyle w:val="000000010000" w:firstRow="0" w:lastRow="0" w:firstColumn="0" w:lastColumn="0" w:oddVBand="0" w:evenVBand="0" w:oddHBand="0" w:evenHBand="1" w:firstRowFirstColumn="0" w:firstRowLastColumn="0" w:lastRowFirstColumn="0" w:lastRowLastColumn="0"/>
        </w:trPr>
        <w:tc>
          <w:tcPr>
            <w:tcW w:w="1881" w:type="dxa"/>
          </w:tcPr>
          <w:p w:rsidR="00022326" w:rsidRPr="00022326" w:rsidRDefault="00022326" w:rsidP="00022326">
            <w:r w:rsidRPr="00022326">
              <w:t>6.17(c)</w:t>
            </w:r>
          </w:p>
        </w:tc>
        <w:tc>
          <w:tcPr>
            <w:tcW w:w="6812" w:type="dxa"/>
          </w:tcPr>
          <w:p w:rsidR="00022326" w:rsidRPr="00022326" w:rsidRDefault="00022326" w:rsidP="00022326">
            <w:r w:rsidRPr="00022326">
              <w:t>In developing the Guideline the AER must consider consistency between distribution and transmission</w:t>
            </w:r>
            <w:r w:rsidR="00E73991">
              <w:t>.</w:t>
            </w:r>
            <w:r w:rsidRPr="00022326">
              <w:t xml:space="preserve"> </w:t>
            </w:r>
          </w:p>
        </w:tc>
      </w:tr>
      <w:tr w:rsidR="00022326" w:rsidRPr="00022326" w:rsidTr="00EA4777">
        <w:tc>
          <w:tcPr>
            <w:tcW w:w="1881" w:type="dxa"/>
          </w:tcPr>
          <w:p w:rsidR="00022326" w:rsidRPr="00022326" w:rsidRDefault="00022326" w:rsidP="00022326">
            <w:r w:rsidRPr="00022326">
              <w:t>6.17.2(d)</w:t>
            </w:r>
          </w:p>
        </w:tc>
        <w:tc>
          <w:tcPr>
            <w:tcW w:w="6812" w:type="dxa"/>
          </w:tcPr>
          <w:p w:rsidR="00022326" w:rsidRPr="00022326" w:rsidRDefault="00022326" w:rsidP="00022326">
            <w:r w:rsidRPr="00022326">
              <w:t>Guideline must be developed in accordance with the distribution consultation procedures</w:t>
            </w:r>
            <w:r w:rsidR="00E73991">
              <w:t>.</w:t>
            </w:r>
          </w:p>
        </w:tc>
      </w:tr>
    </w:tbl>
    <w:p w:rsidR="00022326" w:rsidRPr="00022326" w:rsidRDefault="00022326" w:rsidP="00022326"/>
    <w:p w:rsidR="00EA5DAC" w:rsidRDefault="005B1519" w:rsidP="00022326">
      <w:pPr>
        <w:pStyle w:val="Heading2"/>
      </w:pPr>
      <w:bookmarkStart w:id="7" w:name="_Toc448838438"/>
      <w:r>
        <w:t>What is</w:t>
      </w:r>
      <w:r w:rsidR="0064117C">
        <w:t xml:space="preserve"> </w:t>
      </w:r>
      <w:r w:rsidR="00785987">
        <w:t>ring-fencing</w:t>
      </w:r>
      <w:r>
        <w:t>?</w:t>
      </w:r>
      <w:bookmarkEnd w:id="7"/>
    </w:p>
    <w:p w:rsidR="00E215BE" w:rsidRPr="00E215BE" w:rsidRDefault="008A3CD4" w:rsidP="00E215BE">
      <w:r>
        <w:t>Ring-</w:t>
      </w:r>
      <w:r w:rsidR="000803C1">
        <w:t>fencing is needed when both</w:t>
      </w:r>
      <w:r w:rsidR="000803C1" w:rsidRPr="00506AA2">
        <w:t xml:space="preserve"> regulated and contestable services are provided by </w:t>
      </w:r>
      <w:r w:rsidR="000803C1">
        <w:t xml:space="preserve">a single </w:t>
      </w:r>
      <w:r w:rsidR="000803C1" w:rsidRPr="00506AA2">
        <w:t>network business</w:t>
      </w:r>
      <w:r w:rsidR="000803C1">
        <w:t xml:space="preserve">. </w:t>
      </w:r>
      <w:r>
        <w:t>Ring-</w:t>
      </w:r>
      <w:r w:rsidR="00570DA3">
        <w:t xml:space="preserve">fencing refers to the separation </w:t>
      </w:r>
      <w:r w:rsidR="00CC44E9">
        <w:t xml:space="preserve">of </w:t>
      </w:r>
      <w:r w:rsidR="00570DA3">
        <w:t xml:space="preserve">regulated services from contestable business </w:t>
      </w:r>
      <w:r w:rsidR="00642B28">
        <w:t xml:space="preserve">activities </w:t>
      </w:r>
      <w:r w:rsidR="00CC44E9">
        <w:t>with</w:t>
      </w:r>
      <w:r w:rsidR="00642B28">
        <w:t>in</w:t>
      </w:r>
      <w:r w:rsidR="00CC44E9">
        <w:t xml:space="preserve"> a network service provider</w:t>
      </w:r>
      <w:r w:rsidR="002E6D50">
        <w:t xml:space="preserve"> (NSP)</w:t>
      </w:r>
      <w:r w:rsidR="00CC44E9">
        <w:t>.</w:t>
      </w:r>
      <w:r w:rsidR="00791BF1">
        <w:t xml:space="preserve"> I</w:t>
      </w:r>
      <w:r w:rsidR="00E215BE" w:rsidRPr="00E215BE">
        <w:t>n simple terms, ring</w:t>
      </w:r>
      <w:r>
        <w:t>-</w:t>
      </w:r>
      <w:r w:rsidR="00E215BE" w:rsidRPr="00E215BE">
        <w:t>fencing is designed to limit the ability</w:t>
      </w:r>
      <w:r w:rsidR="00642B28">
        <w:t xml:space="preserve"> of</w:t>
      </w:r>
      <w:r w:rsidR="00E215BE" w:rsidRPr="00E215BE">
        <w:t xml:space="preserve"> a regulated service provider to confer an unfair advantage </w:t>
      </w:r>
      <w:r w:rsidR="00791BF1">
        <w:t xml:space="preserve">when it or one of its </w:t>
      </w:r>
      <w:r w:rsidR="00E215BE" w:rsidRPr="00E215BE">
        <w:t>affiliate</w:t>
      </w:r>
      <w:r w:rsidR="00791BF1">
        <w:t>s operates</w:t>
      </w:r>
      <w:r w:rsidR="00E215BE" w:rsidRPr="00E215BE">
        <w:t xml:space="preserve"> in a contestable market</w:t>
      </w:r>
      <w:r w:rsidR="00791BF1">
        <w:t>.</w:t>
      </w:r>
      <w:r w:rsidR="00E215BE" w:rsidRPr="00E215BE">
        <w:t xml:space="preserve"> </w:t>
      </w:r>
      <w:r w:rsidR="00791BF1">
        <w:t>As noted by the AEMC,</w:t>
      </w:r>
      <w:r w:rsidR="00791BF1" w:rsidRPr="00E215BE">
        <w:t xml:space="preserve"> </w:t>
      </w:r>
      <w:r w:rsidR="00E215BE" w:rsidRPr="00E215BE">
        <w:t xml:space="preserve">the following types of </w:t>
      </w:r>
      <w:r w:rsidR="00791BF1">
        <w:t>behaviours</w:t>
      </w:r>
      <w:r w:rsidR="00791BF1" w:rsidRPr="00791BF1">
        <w:t xml:space="preserve"> </w:t>
      </w:r>
      <w:r w:rsidR="002E6D50">
        <w:t xml:space="preserve">by NSPs </w:t>
      </w:r>
      <w:r w:rsidR="00791BF1">
        <w:t xml:space="preserve">result in harm that </w:t>
      </w:r>
      <w:r w:rsidR="00785987">
        <w:t>ring-fencing</w:t>
      </w:r>
      <w:r w:rsidR="00791BF1">
        <w:t xml:space="preserve"> aims to avoid: </w:t>
      </w:r>
      <w:r w:rsidR="004168B0">
        <w:rPr>
          <w:rStyle w:val="FootnoteReference"/>
        </w:rPr>
        <w:footnoteReference w:id="5"/>
      </w:r>
    </w:p>
    <w:p w:rsidR="00E215BE" w:rsidRDefault="00E215BE" w:rsidP="008001C9">
      <w:pPr>
        <w:pStyle w:val="Bulletpoint"/>
      </w:pPr>
      <w:r w:rsidRPr="00E215BE">
        <w:t>cross-subsidising the affiliate’s services in the contestable market with revenue derived from its regulated services</w:t>
      </w:r>
    </w:p>
    <w:p w:rsidR="005E2A56" w:rsidRPr="00E215BE" w:rsidRDefault="005E2A56" w:rsidP="008001C9">
      <w:pPr>
        <w:pStyle w:val="Bulletpoint"/>
      </w:pPr>
      <w:r>
        <w:t>discrimination in favour of an affiliate operating in a contestable market</w:t>
      </w:r>
      <w:r w:rsidR="002E6D50">
        <w:t xml:space="preserve"> </w:t>
      </w:r>
    </w:p>
    <w:p w:rsidR="00E215BE" w:rsidRPr="00E215BE" w:rsidRDefault="00E215BE" w:rsidP="008001C9">
      <w:pPr>
        <w:pStyle w:val="Bulletpoint"/>
      </w:pPr>
      <w:r w:rsidRPr="00E215BE">
        <w:t>providing the affiliate with access to commercially sensitive information acquired through the provision of regulated services</w:t>
      </w:r>
    </w:p>
    <w:p w:rsidR="00425C06" w:rsidRDefault="00E215BE" w:rsidP="008001C9">
      <w:pPr>
        <w:pStyle w:val="Bulletpoint"/>
      </w:pPr>
      <w:proofErr w:type="gramStart"/>
      <w:r w:rsidRPr="00E215BE">
        <w:lastRenderedPageBreak/>
        <w:t>restricting</w:t>
      </w:r>
      <w:proofErr w:type="gramEnd"/>
      <w:r w:rsidR="002C2670">
        <w:t xml:space="preserve"> </w:t>
      </w:r>
      <w:r w:rsidRPr="00E215BE">
        <w:t>the access other participants in the contestable market have to the infrastructure services provided by the regulated entity, or providing access on less favourable terms than its affiliate.</w:t>
      </w:r>
    </w:p>
    <w:p w:rsidR="005B1519" w:rsidRDefault="008A3CD4" w:rsidP="00812E22">
      <w:r>
        <w:t>Ring-fencing</w:t>
      </w:r>
      <w:r w:rsidR="001035AC">
        <w:t xml:space="preserve"> was </w:t>
      </w:r>
      <w:r w:rsidR="004066AA">
        <w:t xml:space="preserve">initially </w:t>
      </w:r>
      <w:r w:rsidR="001035AC">
        <w:t xml:space="preserve">used </w:t>
      </w:r>
      <w:r w:rsidR="005B1519">
        <w:t xml:space="preserve">in the NEM </w:t>
      </w:r>
      <w:r w:rsidR="001035AC">
        <w:t>to give effect to vertical separation between large segments of the electricity supply industry</w:t>
      </w:r>
      <w:r w:rsidR="005B1519">
        <w:t xml:space="preserve">. For example, it was common for </w:t>
      </w:r>
      <w:r w:rsidR="00425C06">
        <w:t xml:space="preserve">an </w:t>
      </w:r>
      <w:r w:rsidR="001035AC">
        <w:t>electricity retail</w:t>
      </w:r>
      <w:r w:rsidR="005B1519">
        <w:t>er</w:t>
      </w:r>
      <w:r w:rsidR="001035AC">
        <w:t xml:space="preserve"> </w:t>
      </w:r>
      <w:r w:rsidR="005B1519">
        <w:t>and an</w:t>
      </w:r>
      <w:r w:rsidR="001035AC">
        <w:t xml:space="preserve"> electricity distribution</w:t>
      </w:r>
      <w:r w:rsidR="005B1519">
        <w:t xml:space="preserve"> </w:t>
      </w:r>
      <w:r w:rsidR="00425C06">
        <w:t xml:space="preserve">business </w:t>
      </w:r>
      <w:r w:rsidR="005B1519">
        <w:t>to have a single owner</w:t>
      </w:r>
      <w:r w:rsidR="004066AA">
        <w:t xml:space="preserve">, although few </w:t>
      </w:r>
      <w:r w:rsidR="00425C06">
        <w:t xml:space="preserve">of these </w:t>
      </w:r>
      <w:r w:rsidR="004066AA">
        <w:t>now remain</w:t>
      </w:r>
      <w:r w:rsidR="001035AC">
        <w:t xml:space="preserve">. </w:t>
      </w:r>
      <w:r w:rsidR="004066AA">
        <w:t>S</w:t>
      </w:r>
      <w:r w:rsidR="005B1519">
        <w:t xml:space="preserve">eparation of </w:t>
      </w:r>
      <w:r w:rsidR="004066AA">
        <w:t xml:space="preserve">the </w:t>
      </w:r>
      <w:r w:rsidR="005B1519">
        <w:t xml:space="preserve">retail </w:t>
      </w:r>
      <w:r w:rsidR="004066AA">
        <w:t xml:space="preserve">business </w:t>
      </w:r>
      <w:r w:rsidR="005B1519">
        <w:t xml:space="preserve">from </w:t>
      </w:r>
      <w:r w:rsidR="007F74DA">
        <w:t xml:space="preserve">the </w:t>
      </w:r>
      <w:r w:rsidR="005B1519">
        <w:t xml:space="preserve">distribution </w:t>
      </w:r>
      <w:r w:rsidR="004066AA">
        <w:t>business</w:t>
      </w:r>
      <w:r w:rsidR="005B1519">
        <w:t xml:space="preserve"> was achieved through </w:t>
      </w:r>
      <w:r w:rsidR="00785987">
        <w:t>ring-fencing</w:t>
      </w:r>
      <w:r w:rsidR="00570DA3">
        <w:t xml:space="preserve">, which meant that staff, financial accounts and information flows were separated. However, there </w:t>
      </w:r>
      <w:r w:rsidR="005112E3">
        <w:t>are</w:t>
      </w:r>
      <w:r w:rsidR="00570DA3">
        <w:t xml:space="preserve"> significant </w:t>
      </w:r>
      <w:r w:rsidR="00987D39">
        <w:t xml:space="preserve">differences </w:t>
      </w:r>
      <w:r w:rsidR="007F74DA">
        <w:t xml:space="preserve">between the jurisdictions </w:t>
      </w:r>
      <w:r w:rsidR="005112E3">
        <w:t>with respect to</w:t>
      </w:r>
      <w:r w:rsidR="00987D39">
        <w:t xml:space="preserve"> </w:t>
      </w:r>
      <w:r w:rsidR="00785987">
        <w:t>ring-fencing</w:t>
      </w:r>
      <w:r w:rsidR="00987D39">
        <w:t xml:space="preserve"> </w:t>
      </w:r>
      <w:r w:rsidR="005112E3">
        <w:t xml:space="preserve">obligations </w:t>
      </w:r>
      <w:r w:rsidR="00987D39">
        <w:t xml:space="preserve">and reporting and compliance requirements. </w:t>
      </w:r>
    </w:p>
    <w:p w:rsidR="00812E22" w:rsidRDefault="001035AC" w:rsidP="00812E22">
      <w:r>
        <w:t>In more recent times</w:t>
      </w:r>
      <w:r w:rsidR="00A424B7">
        <w:t>,</w:t>
      </w:r>
      <w:r>
        <w:t xml:space="preserve"> small customer connections </w:t>
      </w:r>
      <w:r w:rsidR="00E215BE">
        <w:t xml:space="preserve">and </w:t>
      </w:r>
      <w:r>
        <w:t>residential metering</w:t>
      </w:r>
      <w:r w:rsidR="000F7D0B">
        <w:t>—</w:t>
      </w:r>
      <w:r>
        <w:t>once considered core to electricity distribution business</w:t>
      </w:r>
      <w:r w:rsidR="00772DFC">
        <w:t>es</w:t>
      </w:r>
      <w:r w:rsidR="000F7D0B">
        <w:t>—</w:t>
      </w:r>
      <w:r>
        <w:t xml:space="preserve">are now </w:t>
      </w:r>
      <w:r w:rsidR="005B1519">
        <w:t>being opened up to competition</w:t>
      </w:r>
      <w:r>
        <w:t xml:space="preserve">. As a result, </w:t>
      </w:r>
      <w:r w:rsidR="00785987">
        <w:t>ring-fencing</w:t>
      </w:r>
      <w:r>
        <w:t xml:space="preserve"> </w:t>
      </w:r>
      <w:r w:rsidR="00A424B7">
        <w:t>is being</w:t>
      </w:r>
      <w:r w:rsidR="005B1519">
        <w:t xml:space="preserve"> </w:t>
      </w:r>
      <w:r>
        <w:t xml:space="preserve">applied to </w:t>
      </w:r>
      <w:r w:rsidR="00F45E74">
        <w:t xml:space="preserve">these </w:t>
      </w:r>
      <w:r>
        <w:t xml:space="preserve">smaller </w:t>
      </w:r>
      <w:r w:rsidR="005B1519">
        <w:t>segments of the electricity supply industry</w:t>
      </w:r>
      <w:r w:rsidR="00425C06">
        <w:t xml:space="preserve">. Other business activities </w:t>
      </w:r>
      <w:r w:rsidR="005112E3">
        <w:t xml:space="preserve">that may be subject to </w:t>
      </w:r>
      <w:r w:rsidR="00785987">
        <w:t>ring-fencing</w:t>
      </w:r>
      <w:r w:rsidR="005112E3">
        <w:t xml:space="preserve"> </w:t>
      </w:r>
      <w:r w:rsidR="00425C06">
        <w:t xml:space="preserve">include </w:t>
      </w:r>
      <w:r>
        <w:t>load control</w:t>
      </w:r>
      <w:r w:rsidR="00163CD7">
        <w:t xml:space="preserve"> and management</w:t>
      </w:r>
      <w:r w:rsidR="005B1519">
        <w:t xml:space="preserve">, network battery storage </w:t>
      </w:r>
      <w:r w:rsidR="00425C06">
        <w:t>or</w:t>
      </w:r>
      <w:r w:rsidR="005B1519">
        <w:t xml:space="preserve"> meter</w:t>
      </w:r>
      <w:r w:rsidR="00163CD7">
        <w:t xml:space="preserve"> data provision</w:t>
      </w:r>
      <w:r w:rsidR="00425C06">
        <w:t>, to mention just a few</w:t>
      </w:r>
      <w:r>
        <w:t>.</w:t>
      </w:r>
    </w:p>
    <w:p w:rsidR="00744E7F" w:rsidRPr="006D72C6" w:rsidRDefault="00744E7F" w:rsidP="00744E7F">
      <w:r w:rsidRPr="006D72C6">
        <w:t xml:space="preserve">In developing an AER electricity distribution </w:t>
      </w:r>
      <w:r w:rsidR="00785987">
        <w:t>ring-fencing</w:t>
      </w:r>
      <w:r w:rsidRPr="006D72C6">
        <w:t xml:space="preserve"> guideline, </w:t>
      </w:r>
      <w:r>
        <w:t xml:space="preserve">we are not starting from scratch. Indeed </w:t>
      </w:r>
      <w:r w:rsidRPr="006D72C6">
        <w:t>the existing jurisdictional guidelines</w:t>
      </w:r>
      <w:r>
        <w:t xml:space="preserve">, which </w:t>
      </w:r>
      <w:r w:rsidR="00E73991">
        <w:t>we have</w:t>
      </w:r>
      <w:r>
        <w:t xml:space="preserve"> administered since 2008, </w:t>
      </w:r>
      <w:r w:rsidR="00785987">
        <w:t>are</w:t>
      </w:r>
      <w:r w:rsidR="00785987" w:rsidRPr="006D72C6">
        <w:t xml:space="preserve"> </w:t>
      </w:r>
      <w:r w:rsidRPr="006D72C6">
        <w:t xml:space="preserve">a good place to start. </w:t>
      </w:r>
      <w:r w:rsidR="000A6485">
        <w:t xml:space="preserve">Key features of the jurisdictional distribution </w:t>
      </w:r>
      <w:r w:rsidR="00785987">
        <w:t>ring-fencing</w:t>
      </w:r>
      <w:r w:rsidR="000A6485">
        <w:t xml:space="preserve"> guidelines, as well as the ACCC transmission </w:t>
      </w:r>
      <w:r w:rsidR="00D86DB2">
        <w:t>guideline</w:t>
      </w:r>
      <w:r w:rsidR="000A6485">
        <w:t xml:space="preserve"> are </w:t>
      </w:r>
      <w:r w:rsidR="00566CF2">
        <w:t>summarised in A</w:t>
      </w:r>
      <w:r w:rsidR="000A6485">
        <w:t xml:space="preserve">ppendix B. </w:t>
      </w:r>
      <w:r w:rsidRPr="006D72C6">
        <w:t>Th</w:t>
      </w:r>
      <w:r w:rsidR="000803C1">
        <w:t>e</w:t>
      </w:r>
      <w:r w:rsidRPr="006D72C6">
        <w:t xml:space="preserve">se guidelines, developed in the early 2000s, considered many of the competition principles and issues we will need to consider in developing our own guideline. </w:t>
      </w:r>
      <w:r>
        <w:t xml:space="preserve">Since that time, </w:t>
      </w:r>
      <w:r w:rsidR="00C154C2">
        <w:t xml:space="preserve">the NEM has evolved but </w:t>
      </w:r>
      <w:r>
        <w:t xml:space="preserve">little has changed with respect to </w:t>
      </w:r>
      <w:r w:rsidR="00DD2420">
        <w:t xml:space="preserve">the fundamental purposes of </w:t>
      </w:r>
      <w:r>
        <w:t>ring-fencing</w:t>
      </w:r>
      <w:r w:rsidR="006D6762">
        <w:t xml:space="preserve"> to promote competition</w:t>
      </w:r>
      <w:r>
        <w:t xml:space="preserve">. </w:t>
      </w:r>
      <w:r w:rsidRPr="006D72C6">
        <w:t>The State regulators also considered how the</w:t>
      </w:r>
      <w:r w:rsidR="00EE1D5F">
        <w:t>ir</w:t>
      </w:r>
      <w:r w:rsidRPr="006D72C6">
        <w:t xml:space="preserve"> guidelines should be implemented, such as processes for waiver applications and reporting </w:t>
      </w:r>
      <w:r w:rsidR="00DD2420">
        <w:t xml:space="preserve">and compliance </w:t>
      </w:r>
      <w:r w:rsidRPr="006D72C6">
        <w:t>requirements. We can learn from their approaches and experiences</w:t>
      </w:r>
      <w:r>
        <w:t>, as well as similar provisions in the gas rules/law</w:t>
      </w:r>
      <w:r w:rsidRPr="006D72C6">
        <w:t xml:space="preserve">. </w:t>
      </w:r>
    </w:p>
    <w:p w:rsidR="000803C1" w:rsidRDefault="000803C1" w:rsidP="00D86DB2">
      <w:r>
        <w:t xml:space="preserve">The fundamental purpose of </w:t>
      </w:r>
      <w:r w:rsidR="00785987">
        <w:t>ring-fencing</w:t>
      </w:r>
      <w:r>
        <w:t xml:space="preserve"> is to assist in the development of </w:t>
      </w:r>
      <w:r w:rsidRPr="007A10D8">
        <w:t>competitive markets where competition is feasible, and to apply</w:t>
      </w:r>
      <w:r>
        <w:t xml:space="preserve"> </w:t>
      </w:r>
      <w:r w:rsidRPr="007A10D8">
        <w:t>efficient incentive-based regulation to the monopoly network market sectors where competition is not feasible. The</w:t>
      </w:r>
      <w:r w:rsidRPr="000803C1">
        <w:t xml:space="preserve"> objective of these reforms has been to ensure </w:t>
      </w:r>
      <w:r w:rsidR="00A14FD5">
        <w:t xml:space="preserve">both </w:t>
      </w:r>
      <w:r w:rsidRPr="000803C1">
        <w:t>the long-term efficiency and viability of the restructured industries and that the resulting benefits flow through to customers in the form of lower prices, greater choice and higher standards of service.</w:t>
      </w:r>
    </w:p>
    <w:p w:rsidR="001A6D70" w:rsidRPr="001A6D70" w:rsidRDefault="005112E3">
      <w:pPr>
        <w:pStyle w:val="Caption"/>
      </w:pPr>
      <w:r>
        <w:t xml:space="preserve">Question 1: What aspects of current jurisdictional </w:t>
      </w:r>
      <w:r w:rsidR="00785987">
        <w:t>ring-fencing</w:t>
      </w:r>
      <w:r>
        <w:t xml:space="preserve"> arrangements have or have not worked well?</w:t>
      </w:r>
      <w:r w:rsidR="00FA7289">
        <w:rPr>
          <w:rStyle w:val="FootnoteReference"/>
        </w:rPr>
        <w:footnoteReference w:id="6"/>
      </w:r>
    </w:p>
    <w:p w:rsidR="00744E7F" w:rsidRDefault="00744E7F" w:rsidP="00744E7F">
      <w:pPr>
        <w:pStyle w:val="Heading2"/>
      </w:pPr>
      <w:bookmarkStart w:id="8" w:name="_Toc448838439"/>
      <w:r>
        <w:t xml:space="preserve">Elements of the AER </w:t>
      </w:r>
      <w:r w:rsidR="00785987">
        <w:t>ring-fencing</w:t>
      </w:r>
      <w:r>
        <w:t xml:space="preserve"> guideline</w:t>
      </w:r>
      <w:bookmarkEnd w:id="8"/>
    </w:p>
    <w:p w:rsidR="000803C1" w:rsidRDefault="008A3CD4" w:rsidP="00744E7F">
      <w:r>
        <w:lastRenderedPageBreak/>
        <w:t>Ring-fencing</w:t>
      </w:r>
      <w:r w:rsidR="000803C1">
        <w:t xml:space="preserve"> </w:t>
      </w:r>
      <w:r w:rsidR="00A14FD5">
        <w:t>obligations</w:t>
      </w:r>
      <w:r w:rsidR="000803C1">
        <w:t xml:space="preserve"> will </w:t>
      </w:r>
      <w:r w:rsidR="000803C1" w:rsidRPr="00506AA2">
        <w:t>need to be developed with ve</w:t>
      </w:r>
      <w:r w:rsidR="00B40474">
        <w:t>ry clear requirements for arm'</w:t>
      </w:r>
      <w:r w:rsidR="00B40474" w:rsidRPr="00506AA2">
        <w:t>s length</w:t>
      </w:r>
      <w:r w:rsidR="000803C1" w:rsidRPr="00506AA2">
        <w:t xml:space="preserve"> transactions and be accompanied by rigorous compliance and enforcement activities. This will enable networks to compete with other service providers on an equal basis</w:t>
      </w:r>
      <w:r w:rsidR="000803C1">
        <w:t>.</w:t>
      </w:r>
    </w:p>
    <w:p w:rsidR="002270DC" w:rsidRDefault="00261F1C" w:rsidP="00744E7F">
      <w:r>
        <w:t>Submission</w:t>
      </w:r>
      <w:r w:rsidR="00C24462">
        <w:t>s</w:t>
      </w:r>
      <w:r>
        <w:t xml:space="preserve"> to our earl</w:t>
      </w:r>
      <w:r w:rsidR="00075B60">
        <w:t>ier</w:t>
      </w:r>
      <w:r>
        <w:t xml:space="preserve"> discussion paper suggested </w:t>
      </w:r>
      <w:r w:rsidR="00785987">
        <w:t>ring-fencing</w:t>
      </w:r>
      <w:r>
        <w:t xml:space="preserve"> should be strict with robust compliance checks</w:t>
      </w:r>
      <w:r w:rsidR="00874DF5">
        <w:t xml:space="preserve"> and enforcement</w:t>
      </w:r>
      <w:r>
        <w:t>.</w:t>
      </w:r>
      <w:r w:rsidR="00C24462">
        <w:rPr>
          <w:rStyle w:val="FootnoteReference"/>
        </w:rPr>
        <w:footnoteReference w:id="7"/>
      </w:r>
      <w:r>
        <w:t xml:space="preserve"> </w:t>
      </w:r>
      <w:r w:rsidR="00D543E1">
        <w:t xml:space="preserve">A wide range of views on </w:t>
      </w:r>
      <w:r w:rsidR="00785987">
        <w:t>ring-fencing</w:t>
      </w:r>
      <w:r w:rsidR="00D543E1">
        <w:t xml:space="preserve"> were </w:t>
      </w:r>
      <w:r w:rsidR="00B40474">
        <w:t xml:space="preserve">also </w:t>
      </w:r>
      <w:r w:rsidR="00D543E1">
        <w:t>expressed in submissions to the AMEC's discussion paper on the integration of energy storage.</w:t>
      </w:r>
      <w:r w:rsidR="00D543E1">
        <w:rPr>
          <w:rStyle w:val="FootnoteReference"/>
        </w:rPr>
        <w:footnoteReference w:id="8"/>
      </w:r>
      <w:r w:rsidR="00D543E1">
        <w:t xml:space="preserve"> </w:t>
      </w:r>
      <w:r w:rsidR="00127B7B">
        <w:t>Our preliminary view is that in order to give confidence to third parties looking to compete with NSP</w:t>
      </w:r>
      <w:r>
        <w:t>s</w:t>
      </w:r>
      <w:r w:rsidR="00127B7B">
        <w:t xml:space="preserve"> in contestable markets</w:t>
      </w:r>
      <w:r>
        <w:t>,</w:t>
      </w:r>
      <w:r w:rsidR="00127B7B">
        <w:t xml:space="preserve"> the </w:t>
      </w:r>
      <w:r w:rsidR="00785987">
        <w:t>ring-fencing</w:t>
      </w:r>
      <w:r w:rsidR="00127B7B">
        <w:t xml:space="preserve"> regime must be robust. </w:t>
      </w:r>
      <w:r>
        <w:t>The guideline, therefore, needs clarity of purpose, predictability, reasoned flexibility and the ability to be monitored and enforced.</w:t>
      </w:r>
    </w:p>
    <w:p w:rsidR="00744E7F" w:rsidRDefault="00744E7F" w:rsidP="00744E7F">
      <w:r>
        <w:t xml:space="preserve">There are at least four key elements the </w:t>
      </w:r>
      <w:r w:rsidR="00785987">
        <w:t>ring-fencing</w:t>
      </w:r>
      <w:r>
        <w:t xml:space="preserve"> guideline will need to include:</w:t>
      </w:r>
    </w:p>
    <w:p w:rsidR="00744E7F" w:rsidRPr="00744E7F" w:rsidRDefault="00E6664B" w:rsidP="00744E7F">
      <w:pPr>
        <w:pStyle w:val="Listalphabet"/>
      </w:pPr>
      <w:r>
        <w:t>T</w:t>
      </w:r>
      <w:r w:rsidR="00744E7F">
        <w:t xml:space="preserve">he guideline should have an objective that identifies the harm we are seeking </w:t>
      </w:r>
      <w:r w:rsidR="00681F87">
        <w:t xml:space="preserve">to </w:t>
      </w:r>
      <w:r w:rsidR="00744E7F">
        <w:t xml:space="preserve">avoid though </w:t>
      </w:r>
      <w:r w:rsidR="00785987">
        <w:t>ring-fencing</w:t>
      </w:r>
      <w:r w:rsidR="00744E7F">
        <w:t xml:space="preserve">. The objective is important because it will guide our decisions under the guideline (defining the objectives of ring-fencing). </w:t>
      </w:r>
    </w:p>
    <w:p w:rsidR="00744E7F" w:rsidRPr="00744E7F" w:rsidRDefault="00E6664B" w:rsidP="00744E7F">
      <w:pPr>
        <w:pStyle w:val="Listalphabet"/>
      </w:pPr>
      <w:r>
        <w:t>W</w:t>
      </w:r>
      <w:r w:rsidR="00744E7F">
        <w:t xml:space="preserve">e should set out which </w:t>
      </w:r>
      <w:r w:rsidR="00744E7F" w:rsidRPr="00744E7F">
        <w:t xml:space="preserve">services need to be </w:t>
      </w:r>
      <w:r w:rsidR="00785987">
        <w:t>ring-fenced</w:t>
      </w:r>
      <w:r w:rsidR="00744E7F" w:rsidRPr="00744E7F">
        <w:t xml:space="preserve"> in prima facie terms at least (identifying ring-fenced services)</w:t>
      </w:r>
      <w:r>
        <w:t>.</w:t>
      </w:r>
    </w:p>
    <w:p w:rsidR="00744E7F" w:rsidRPr="00744E7F" w:rsidRDefault="005112E3" w:rsidP="00744E7F">
      <w:pPr>
        <w:pStyle w:val="Listalphabet"/>
      </w:pPr>
      <w:r>
        <w:t>For those services</w:t>
      </w:r>
      <w:r w:rsidR="00744E7F" w:rsidRPr="00744E7F">
        <w:t xml:space="preserve"> to be </w:t>
      </w:r>
      <w:r w:rsidR="00785987">
        <w:t>ring-fenced</w:t>
      </w:r>
      <w:r w:rsidR="00744E7F" w:rsidRPr="00744E7F">
        <w:t xml:space="preserve">, the guideline will need to set out the </w:t>
      </w:r>
      <w:r w:rsidR="00785987">
        <w:t>ring-fencing</w:t>
      </w:r>
      <w:r w:rsidR="00744E7F" w:rsidRPr="00744E7F">
        <w:t xml:space="preserve"> obligations</w:t>
      </w:r>
      <w:r>
        <w:t xml:space="preserve"> </w:t>
      </w:r>
      <w:r w:rsidR="00744E7F" w:rsidRPr="00744E7F">
        <w:t>(ring-fencing obligations)</w:t>
      </w:r>
      <w:r w:rsidR="00E6664B">
        <w:t>.</w:t>
      </w:r>
    </w:p>
    <w:p w:rsidR="00744E7F" w:rsidRPr="00744E7F" w:rsidRDefault="00E6664B" w:rsidP="00744E7F">
      <w:pPr>
        <w:pStyle w:val="Listalphabet"/>
      </w:pPr>
      <w:r>
        <w:t>W</w:t>
      </w:r>
      <w:r w:rsidR="00744E7F">
        <w:t xml:space="preserve">e need to provide guidance on </w:t>
      </w:r>
      <w:r w:rsidR="00785987">
        <w:t>ring-fencing</w:t>
      </w:r>
      <w:r w:rsidR="00744E7F">
        <w:t xml:space="preserve"> waivers</w:t>
      </w:r>
      <w:r w:rsidR="00DD2420">
        <w:t xml:space="preserve"> to the extent these are seen as appropriate</w:t>
      </w:r>
      <w:r w:rsidR="00744E7F">
        <w:t xml:space="preserve">—that is, the circumstances in which an NSP may be exempted from meeting one or more or all </w:t>
      </w:r>
      <w:r w:rsidR="00785987">
        <w:t>ring-fencing</w:t>
      </w:r>
      <w:r w:rsidR="00744E7F">
        <w:t xml:space="preserve"> obligations</w:t>
      </w:r>
      <w:r w:rsidR="00E73991">
        <w:t>.</w:t>
      </w:r>
      <w:r w:rsidR="00614860">
        <w:rPr>
          <w:rStyle w:val="FootnoteReference"/>
        </w:rPr>
        <w:footnoteReference w:id="9"/>
      </w:r>
      <w:r w:rsidR="00744E7F">
        <w:t xml:space="preserve"> In deciding whether or not to grant a waiver, we will examine the nature of the service, the costs of </w:t>
      </w:r>
      <w:r w:rsidR="00785987">
        <w:t>ring-fencing</w:t>
      </w:r>
      <w:r w:rsidR="00744E7F">
        <w:t xml:space="preserve"> and the </w:t>
      </w:r>
      <w:r w:rsidR="00785987">
        <w:t>ring-fencing</w:t>
      </w:r>
      <w:r w:rsidR="00744E7F">
        <w:t xml:space="preserve"> objective</w:t>
      </w:r>
      <w:r>
        <w:t xml:space="preserve"> </w:t>
      </w:r>
      <w:r w:rsidR="00744E7F">
        <w:t>(waiver processes)</w:t>
      </w:r>
      <w:r>
        <w:t>.</w:t>
      </w:r>
    </w:p>
    <w:p w:rsidR="00744E7F" w:rsidRPr="006D72C6" w:rsidRDefault="00320091" w:rsidP="00744E7F">
      <w:r>
        <w:t>Aside</w:t>
      </w:r>
      <w:r w:rsidR="00B507CB">
        <w:t xml:space="preserve"> </w:t>
      </w:r>
      <w:r>
        <w:t>from t</w:t>
      </w:r>
      <w:r w:rsidR="00B507CB">
        <w:t xml:space="preserve">he </w:t>
      </w:r>
      <w:r w:rsidR="005112E3">
        <w:t>k</w:t>
      </w:r>
      <w:r w:rsidR="00B507CB">
        <w:t>ey e</w:t>
      </w:r>
      <w:r>
        <w:t>le</w:t>
      </w:r>
      <w:r w:rsidR="00B507CB">
        <w:t xml:space="preserve">ments </w:t>
      </w:r>
      <w:r>
        <w:t>of the guideline</w:t>
      </w:r>
      <w:r w:rsidR="00B507CB">
        <w:t xml:space="preserve"> there are </w:t>
      </w:r>
      <w:r>
        <w:t>other</w:t>
      </w:r>
      <w:r w:rsidR="00B507CB">
        <w:t xml:space="preserve"> </w:t>
      </w:r>
      <w:r>
        <w:t>matters</w:t>
      </w:r>
      <w:r w:rsidR="00B507CB">
        <w:t xml:space="preserve"> to be </w:t>
      </w:r>
      <w:r>
        <w:t>considered</w:t>
      </w:r>
      <w:r w:rsidR="00B507CB">
        <w:t xml:space="preserve"> that relate to the </w:t>
      </w:r>
      <w:r>
        <w:t>practical implementation of the guideline. These include:</w:t>
      </w:r>
    </w:p>
    <w:p w:rsidR="00744E7F" w:rsidRPr="00744E7F" w:rsidRDefault="00320091" w:rsidP="00744E7F">
      <w:pPr>
        <w:pStyle w:val="Listalphabet"/>
      </w:pPr>
      <w:r>
        <w:t>T</w:t>
      </w:r>
      <w:r w:rsidR="00744E7F" w:rsidRPr="00744E7F">
        <w:t>ransitional arrangements, if any</w:t>
      </w:r>
      <w:r w:rsidR="00744E7F">
        <w:t xml:space="preserve">. For example, how quickly do we expect NSPs </w:t>
      </w:r>
      <w:r w:rsidR="00EF655C">
        <w:t>to</w:t>
      </w:r>
      <w:r w:rsidR="00744E7F">
        <w:t xml:space="preserve"> become complaint </w:t>
      </w:r>
      <w:r w:rsidR="00EF655C">
        <w:t xml:space="preserve">with the new guideline </w:t>
      </w:r>
      <w:r w:rsidR="00744E7F">
        <w:t xml:space="preserve">and how will waivers </w:t>
      </w:r>
      <w:r w:rsidR="00EF655C">
        <w:t xml:space="preserve">granted under earlier </w:t>
      </w:r>
      <w:r w:rsidR="00785987">
        <w:t>ring-fencing</w:t>
      </w:r>
      <w:r w:rsidR="00EF655C">
        <w:t xml:space="preserve"> arrangements </w:t>
      </w:r>
      <w:r w:rsidR="00DD2420">
        <w:t xml:space="preserve">('grandfathering') </w:t>
      </w:r>
      <w:r w:rsidR="00744E7F">
        <w:t>be treated?</w:t>
      </w:r>
    </w:p>
    <w:p w:rsidR="00744E7F" w:rsidRPr="00744E7F" w:rsidRDefault="00320091" w:rsidP="00744E7F">
      <w:pPr>
        <w:pStyle w:val="Listalphabet"/>
      </w:pPr>
      <w:r>
        <w:t>P</w:t>
      </w:r>
      <w:r w:rsidR="00744E7F" w:rsidRPr="00744E7F">
        <w:t>rocesses and administration</w:t>
      </w:r>
      <w:r w:rsidR="00EF655C">
        <w:t>. What are the reporting and compliance requirement</w:t>
      </w:r>
      <w:r w:rsidR="00DD2420">
        <w:t>s</w:t>
      </w:r>
      <w:r w:rsidR="00EF655C">
        <w:t xml:space="preserve">? How does an NSP apply for a </w:t>
      </w:r>
      <w:r w:rsidR="00785987">
        <w:t>ring-fencing</w:t>
      </w:r>
      <w:r w:rsidR="00EF655C">
        <w:t xml:space="preserve"> waiver and will stakeholders be consulted? How will breaches of the </w:t>
      </w:r>
      <w:r w:rsidR="00785987">
        <w:t>ring-fencing</w:t>
      </w:r>
      <w:r w:rsidR="00EF655C">
        <w:t xml:space="preserve"> guideline be treated?</w:t>
      </w:r>
    </w:p>
    <w:p w:rsidR="00744E7F" w:rsidRDefault="00744E7F" w:rsidP="00744E7F">
      <w:r>
        <w:lastRenderedPageBreak/>
        <w:t xml:space="preserve">Each of these elements is discussed below. </w:t>
      </w:r>
      <w:r w:rsidRPr="006D72C6">
        <w:t xml:space="preserve">For each, we consider the current jurisdictional approaches and </w:t>
      </w:r>
      <w:r>
        <w:t xml:space="preserve">put forward </w:t>
      </w:r>
      <w:r w:rsidRPr="006D72C6">
        <w:t xml:space="preserve">a preliminary view on the positon the AER could take. </w:t>
      </w:r>
    </w:p>
    <w:p w:rsidR="00744E7F" w:rsidRPr="006D72C6" w:rsidRDefault="00744E7F" w:rsidP="00744E7F">
      <w:pPr>
        <w:pStyle w:val="Heading1"/>
      </w:pPr>
      <w:bookmarkStart w:id="9" w:name="_Toc448838440"/>
      <w:r w:rsidRPr="006D72C6">
        <w:lastRenderedPageBreak/>
        <w:t xml:space="preserve">What is the objective of </w:t>
      </w:r>
      <w:r w:rsidR="00785987">
        <w:t>ring-fencing</w:t>
      </w:r>
      <w:r w:rsidRPr="006D72C6">
        <w:t>?</w:t>
      </w:r>
      <w:bookmarkEnd w:id="9"/>
    </w:p>
    <w:p w:rsidR="000803C1" w:rsidRDefault="000803C1" w:rsidP="00744E7F">
      <w:r>
        <w:t xml:space="preserve">The objective </w:t>
      </w:r>
      <w:r w:rsidR="001A2579">
        <w:t xml:space="preserve">of </w:t>
      </w:r>
      <w:r w:rsidR="00785987">
        <w:t>ring-fencing</w:t>
      </w:r>
      <w:r>
        <w:t xml:space="preserve"> is to limit the ability of the regulated entity to confer an unfair advantage </w:t>
      </w:r>
      <w:r w:rsidR="00E35AD0">
        <w:t>to</w:t>
      </w:r>
      <w:r w:rsidR="00A14FD5">
        <w:t xml:space="preserve"> itself or </w:t>
      </w:r>
      <w:r w:rsidR="00E35AD0">
        <w:t>to</w:t>
      </w:r>
      <w:r>
        <w:t xml:space="preserve"> an affiliate operating in a competitive market. </w:t>
      </w:r>
      <w:r w:rsidR="001F63EC">
        <w:t xml:space="preserve">This is achieved by separating the regulated from contestable business activities. The separation can be relatively simple, </w:t>
      </w:r>
      <w:r w:rsidR="00862DB1">
        <w:t>or</w:t>
      </w:r>
      <w:r w:rsidR="001F63EC">
        <w:t xml:space="preserve"> more onerous</w:t>
      </w:r>
      <w:r w:rsidR="00862DB1">
        <w:t>. The choice depends on how important it is</w:t>
      </w:r>
      <w:r w:rsidR="00E73991">
        <w:t xml:space="preserve"> to</w:t>
      </w:r>
      <w:r w:rsidR="00862DB1">
        <w:t xml:space="preserve"> keep the different business activities separated and this will depend on the potential harm that could result if regulated and contestable business activities are not kept apart.</w:t>
      </w:r>
    </w:p>
    <w:p w:rsidR="00744E7F" w:rsidRPr="006D72C6" w:rsidRDefault="00744E7F" w:rsidP="00744E7F">
      <w:r w:rsidRPr="006D72C6">
        <w:t xml:space="preserve">The </w:t>
      </w:r>
      <w:r w:rsidR="00A14FD5">
        <w:t xml:space="preserve">typical </w:t>
      </w:r>
      <w:r w:rsidR="000803C1">
        <w:t xml:space="preserve">means of </w:t>
      </w:r>
      <w:r w:rsidR="001A2579">
        <w:t>separating</w:t>
      </w:r>
      <w:r w:rsidR="001A2579" w:rsidRPr="006D72C6">
        <w:t xml:space="preserve"> services </w:t>
      </w:r>
      <w:r w:rsidR="001A2579">
        <w:t xml:space="preserve">through </w:t>
      </w:r>
      <w:r w:rsidR="00785987">
        <w:t>ring-fencing</w:t>
      </w:r>
      <w:r w:rsidRPr="006D72C6">
        <w:t xml:space="preserve"> are well established</w:t>
      </w:r>
      <w:r>
        <w:t>: legal, accounting and functional separation, along with restrictions around information flows</w:t>
      </w:r>
      <w:r w:rsidR="001A2579">
        <w:t xml:space="preserve"> and</w:t>
      </w:r>
      <w:r>
        <w:t xml:space="preserve"> staff</w:t>
      </w:r>
      <w:r w:rsidR="00AE3E9A">
        <w:t xml:space="preserve"> sharing</w:t>
      </w:r>
      <w:r w:rsidRPr="006D72C6">
        <w:t xml:space="preserve">. </w:t>
      </w:r>
      <w:r>
        <w:t>To determine how best to use the</w:t>
      </w:r>
      <w:r w:rsidRPr="006D72C6">
        <w:t xml:space="preserve">se </w:t>
      </w:r>
      <w:r w:rsidR="00681946">
        <w:t>means of separation</w:t>
      </w:r>
      <w:r w:rsidR="00681946" w:rsidRPr="006D72C6">
        <w:t xml:space="preserve"> </w:t>
      </w:r>
      <w:r w:rsidRPr="006D72C6">
        <w:t xml:space="preserve">efficiently, effectively and in the long </w:t>
      </w:r>
      <w:proofErr w:type="gramStart"/>
      <w:r w:rsidRPr="006D72C6">
        <w:t>term interests of consumers</w:t>
      </w:r>
      <w:proofErr w:type="gramEnd"/>
      <w:r>
        <w:t>,</w:t>
      </w:r>
      <w:r w:rsidRPr="006D72C6">
        <w:t xml:space="preserve"> we need to have a clear understanding of the objectives of </w:t>
      </w:r>
      <w:r w:rsidR="00785987">
        <w:t>ring-fencing</w:t>
      </w:r>
      <w:r w:rsidRPr="006D72C6">
        <w:t>. Indeed we need to be able to answer the questions</w:t>
      </w:r>
      <w:r>
        <w:t>:</w:t>
      </w:r>
      <w:r w:rsidRPr="006D72C6">
        <w:t xml:space="preserve"> </w:t>
      </w:r>
      <w:r w:rsidR="00681946">
        <w:t>what is the potential harm</w:t>
      </w:r>
      <w:r>
        <w:t xml:space="preserve"> </w:t>
      </w:r>
      <w:r w:rsidR="00A14FD5">
        <w:t xml:space="preserve">that </w:t>
      </w:r>
      <w:r w:rsidR="00785987">
        <w:t>ring-fencing</w:t>
      </w:r>
      <w:r w:rsidR="00A14FD5">
        <w:t xml:space="preserve"> is intended to address </w:t>
      </w:r>
      <w:r>
        <w:t xml:space="preserve">and </w:t>
      </w:r>
      <w:r w:rsidR="00681946">
        <w:t xml:space="preserve">do the benefits of </w:t>
      </w:r>
      <w:r w:rsidR="00785987">
        <w:t>ring-fencing</w:t>
      </w:r>
      <w:r w:rsidR="00681946">
        <w:t xml:space="preserve"> outweigh the costs of compliance</w:t>
      </w:r>
      <w:r w:rsidRPr="006D72C6">
        <w:t>?</w:t>
      </w:r>
    </w:p>
    <w:p w:rsidR="006057CF" w:rsidRDefault="00744E7F" w:rsidP="00744E7F">
      <w:r w:rsidRPr="006D72C6">
        <w:t xml:space="preserve">Regulated network businesses do not face the same costs or risks as </w:t>
      </w:r>
      <w:r w:rsidR="005112E3">
        <w:t>unregulated businesses</w:t>
      </w:r>
      <w:r w:rsidR="005112E3" w:rsidRPr="006D72C6">
        <w:t xml:space="preserve"> </w:t>
      </w:r>
      <w:r w:rsidRPr="006D72C6">
        <w:t xml:space="preserve">operating in </w:t>
      </w:r>
      <w:r w:rsidR="005112E3">
        <w:t>competitive</w:t>
      </w:r>
      <w:r w:rsidR="005112E3" w:rsidRPr="006D72C6">
        <w:t xml:space="preserve"> </w:t>
      </w:r>
      <w:r w:rsidRPr="006D72C6">
        <w:t>markets</w:t>
      </w:r>
      <w:r w:rsidR="005112E3">
        <w:t>. Regulated businesses</w:t>
      </w:r>
      <w:r>
        <w:t xml:space="preserve"> may </w:t>
      </w:r>
      <w:r w:rsidR="005112E3">
        <w:t xml:space="preserve">also </w:t>
      </w:r>
      <w:r>
        <w:t xml:space="preserve">have exclusive access to information </w:t>
      </w:r>
      <w:r w:rsidR="00681946">
        <w:t>they gather as network operators</w:t>
      </w:r>
      <w:r w:rsidRPr="006D72C6">
        <w:t xml:space="preserve">. </w:t>
      </w:r>
      <w:r w:rsidR="00A07273">
        <w:t xml:space="preserve">Furthermore, a regulated business </w:t>
      </w:r>
      <w:r w:rsidR="00614860">
        <w:t>could</w:t>
      </w:r>
      <w:r w:rsidR="00A07273">
        <w:t xml:space="preserve"> </w:t>
      </w:r>
      <w:r w:rsidR="00614860">
        <w:t>restrict</w:t>
      </w:r>
      <w:r w:rsidR="00A07273">
        <w:t xml:space="preserve"> </w:t>
      </w:r>
      <w:r w:rsidR="00614860">
        <w:t>access</w:t>
      </w:r>
      <w:r w:rsidR="00A07273">
        <w:t xml:space="preserve"> </w:t>
      </w:r>
      <w:r w:rsidR="00614860">
        <w:t xml:space="preserve">to </w:t>
      </w:r>
      <w:r w:rsidR="00A07273">
        <w:t>its monopoly assets</w:t>
      </w:r>
      <w:r w:rsidR="00614860">
        <w:t>, favouring its own affiliated businesses over competitors.</w:t>
      </w:r>
      <w:r w:rsidR="00A07273">
        <w:t xml:space="preserve"> </w:t>
      </w:r>
      <w:r w:rsidRPr="006D72C6">
        <w:t xml:space="preserve">What this means is </w:t>
      </w:r>
      <w:r w:rsidR="001A2579">
        <w:t>a</w:t>
      </w:r>
      <w:r w:rsidR="001A2579" w:rsidRPr="006D72C6">
        <w:t xml:space="preserve"> </w:t>
      </w:r>
      <w:r w:rsidRPr="006D72C6">
        <w:t xml:space="preserve">regulated network business </w:t>
      </w:r>
      <w:r w:rsidR="00614860">
        <w:t xml:space="preserve">could </w:t>
      </w:r>
      <w:r w:rsidRPr="006D72C6">
        <w:t xml:space="preserve">gain an unfair advantage that </w:t>
      </w:r>
      <w:r w:rsidR="003D3B3D">
        <w:t>limits</w:t>
      </w:r>
      <w:r w:rsidR="003D3B3D" w:rsidRPr="006D72C6">
        <w:t xml:space="preserve"> </w:t>
      </w:r>
      <w:r w:rsidRPr="006D72C6">
        <w:t>the potential development of competitive markets</w:t>
      </w:r>
      <w:r w:rsidR="00A14FD5">
        <w:t>, which can provide customers</w:t>
      </w:r>
      <w:r w:rsidR="00567346">
        <w:t xml:space="preserve"> with better services and choices and at lower prices</w:t>
      </w:r>
      <w:r w:rsidRPr="006D72C6">
        <w:t xml:space="preserve">. </w:t>
      </w:r>
    </w:p>
    <w:p w:rsidR="00744E7F" w:rsidRPr="006D72C6" w:rsidRDefault="003D3B3D" w:rsidP="00744E7F">
      <w:r>
        <w:t xml:space="preserve">Arguably, regulated businesses should be excluded from offering services that can </w:t>
      </w:r>
      <w:r w:rsidR="001A2579">
        <w:t xml:space="preserve">be </w:t>
      </w:r>
      <w:r>
        <w:t xml:space="preserve">obtained in </w:t>
      </w:r>
      <w:r w:rsidR="00744E7F" w:rsidRPr="006D72C6">
        <w:t>contestable market</w:t>
      </w:r>
      <w:r w:rsidR="001A2579">
        <w:t>s</w:t>
      </w:r>
      <w:r w:rsidR="00744E7F" w:rsidRPr="006D72C6">
        <w:t xml:space="preserve">. This is because regulated entities enjoy advantages that are not available to </w:t>
      </w:r>
      <w:r w:rsidR="001A2579">
        <w:t xml:space="preserve">an </w:t>
      </w:r>
      <w:r w:rsidR="00744E7F" w:rsidRPr="006D72C6">
        <w:t xml:space="preserve">unregulated business. </w:t>
      </w:r>
      <w:r w:rsidRPr="006D72C6">
        <w:t xml:space="preserve">Under the NER, the advantages include (but are not limited to) the </w:t>
      </w:r>
      <w:r>
        <w:t xml:space="preserve">regulatory compact that </w:t>
      </w:r>
      <w:r w:rsidR="00567346">
        <w:t>guarantees</w:t>
      </w:r>
      <w:r>
        <w:t xml:space="preserve"> the recovery of</w:t>
      </w:r>
      <w:r w:rsidRPr="006D72C6">
        <w:t xml:space="preserve"> </w:t>
      </w:r>
      <w:r>
        <w:t>efficient</w:t>
      </w:r>
      <w:r w:rsidRPr="006D72C6">
        <w:t xml:space="preserve"> investment</w:t>
      </w:r>
      <w:r>
        <w:t>s</w:t>
      </w:r>
      <w:r w:rsidRPr="006D72C6">
        <w:t>.</w:t>
      </w:r>
      <w:r>
        <w:t xml:space="preserve"> However, excluding regulated businesses from contestable markets </w:t>
      </w:r>
      <w:r w:rsidR="00567346">
        <w:t xml:space="preserve">would </w:t>
      </w:r>
      <w:r w:rsidR="000E5A4D">
        <w:t>entail</w:t>
      </w:r>
      <w:r>
        <w:t xml:space="preserve"> structural separation of regulated from contestable business activities</w:t>
      </w:r>
      <w:r w:rsidR="000E5A4D">
        <w:t xml:space="preserve"> and this goes beyond the scope of </w:t>
      </w:r>
      <w:r w:rsidR="00785987">
        <w:t>ring-fencing</w:t>
      </w:r>
      <w:r w:rsidR="00567346">
        <w:t xml:space="preserve"> under the NER</w:t>
      </w:r>
      <w:r>
        <w:t xml:space="preserve">. </w:t>
      </w:r>
      <w:r w:rsidR="000E5A4D">
        <w:t xml:space="preserve">The rules </w:t>
      </w:r>
      <w:r>
        <w:t xml:space="preserve">do not </w:t>
      </w:r>
      <w:r w:rsidR="00567346">
        <w:t xml:space="preserve">appear to </w:t>
      </w:r>
      <w:r w:rsidR="000E5A4D">
        <w:t>provide us with</w:t>
      </w:r>
      <w:r>
        <w:t xml:space="preserve"> the </w:t>
      </w:r>
      <w:r w:rsidR="000E5A4D">
        <w:t>authority</w:t>
      </w:r>
      <w:r>
        <w:t xml:space="preserve"> to impose structural separation of business activities</w:t>
      </w:r>
      <w:r w:rsidR="000E5A4D">
        <w:t xml:space="preserve"> within an NSP</w:t>
      </w:r>
      <w:r w:rsidR="00B40474">
        <w:t xml:space="preserve">. </w:t>
      </w:r>
      <w:r w:rsidR="00567346">
        <w:t>In the absence of any rule changes to strengthen such requirements, h</w:t>
      </w:r>
      <w:r w:rsidR="00B40474">
        <w:t>owever</w:t>
      </w:r>
      <w:r w:rsidR="001A5920">
        <w:t xml:space="preserve">, </w:t>
      </w:r>
      <w:r w:rsidR="003E38A5">
        <w:t>some may view it is</w:t>
      </w:r>
      <w:r w:rsidR="00C178E4">
        <w:t xml:space="preserve"> </w:t>
      </w:r>
      <w:r w:rsidR="001A5920">
        <w:t xml:space="preserve">possible for State Governments to preclude </w:t>
      </w:r>
      <w:r w:rsidR="00B40474">
        <w:t>NSPs from</w:t>
      </w:r>
      <w:r w:rsidR="001A5920">
        <w:t xml:space="preserve"> certain </w:t>
      </w:r>
      <w:r w:rsidR="000E5A4D">
        <w:t>business activities</w:t>
      </w:r>
      <w:r w:rsidR="001A5920">
        <w:t xml:space="preserve"> through restrictions imposed a</w:t>
      </w:r>
      <w:r w:rsidR="000E5A4D">
        <w:t xml:space="preserve">s part of distribution licences. </w:t>
      </w:r>
    </w:p>
    <w:p w:rsidR="00744E7F" w:rsidRPr="006D72C6" w:rsidRDefault="00567346" w:rsidP="00744E7F">
      <w:r>
        <w:t>It may be</w:t>
      </w:r>
      <w:r w:rsidR="00102315">
        <w:t>,</w:t>
      </w:r>
      <w:r>
        <w:t xml:space="preserve"> though</w:t>
      </w:r>
      <w:r w:rsidR="00102315">
        <w:t>,</w:t>
      </w:r>
      <w:r>
        <w:t xml:space="preserve"> that </w:t>
      </w:r>
      <w:r w:rsidR="00B40474">
        <w:t>structural</w:t>
      </w:r>
      <w:r w:rsidR="000E5A4D">
        <w:t xml:space="preserve"> separation </w:t>
      </w:r>
      <w:r>
        <w:t xml:space="preserve">may entail other costs. A </w:t>
      </w:r>
      <w:r w:rsidR="00744E7F" w:rsidRPr="006D72C6">
        <w:t xml:space="preserve">regulated business may have certain </w:t>
      </w:r>
      <w:r w:rsidR="00744E7F">
        <w:t xml:space="preserve">efficiency </w:t>
      </w:r>
      <w:r w:rsidR="00744E7F" w:rsidRPr="006D72C6">
        <w:t>advantages in the provision of a contestable service</w:t>
      </w:r>
      <w:r w:rsidR="000E5A4D">
        <w:t>. This may be</w:t>
      </w:r>
      <w:r w:rsidR="00744E7F" w:rsidRPr="006D72C6">
        <w:t xml:space="preserve"> due to comparative advantage stemming from, for example, its scale and scope of </w:t>
      </w:r>
      <w:r w:rsidR="000E5A4D">
        <w:t xml:space="preserve">network related </w:t>
      </w:r>
      <w:r w:rsidR="00744E7F" w:rsidRPr="006D72C6">
        <w:t xml:space="preserve">activities. </w:t>
      </w:r>
      <w:r>
        <w:t xml:space="preserve">If so, </w:t>
      </w:r>
      <w:r w:rsidR="00785987">
        <w:t>ring-fencing</w:t>
      </w:r>
      <w:r w:rsidR="00744E7F">
        <w:t xml:space="preserve"> </w:t>
      </w:r>
      <w:r>
        <w:t>can</w:t>
      </w:r>
      <w:r w:rsidR="00744E7F">
        <w:t xml:space="preserve"> seek to balance the competing objectives of promoting competition whilst at the same time providing </w:t>
      </w:r>
      <w:r w:rsidR="00744E7F">
        <w:lastRenderedPageBreak/>
        <w:t xml:space="preserve">regulated NSPs with a means (through a separate affiliate) </w:t>
      </w:r>
      <w:r w:rsidR="005112E3">
        <w:t xml:space="preserve">to </w:t>
      </w:r>
      <w:r w:rsidR="00744E7F">
        <w:t xml:space="preserve">offer services into a </w:t>
      </w:r>
      <w:r w:rsidR="008D23C1">
        <w:t xml:space="preserve">competitive </w:t>
      </w:r>
      <w:r w:rsidR="00744E7F">
        <w:t>market.</w:t>
      </w:r>
      <w:r w:rsidR="001A2579">
        <w:t xml:space="preserve"> That is, there </w:t>
      </w:r>
      <w:r>
        <w:t xml:space="preserve">may be </w:t>
      </w:r>
      <w:r w:rsidR="001A2579">
        <w:t>merit in</w:t>
      </w:r>
      <w:r w:rsidR="001A5920">
        <w:t xml:space="preserve"> taking an approach that seeks to balance the costs and benefits of </w:t>
      </w:r>
      <w:r w:rsidR="00785987">
        <w:t>ring-fencing</w:t>
      </w:r>
      <w:r w:rsidR="001A5920">
        <w:t>.</w:t>
      </w:r>
      <w:r w:rsidR="002E114D">
        <w:t xml:space="preserve"> The approach to ring-fencing proposed in this paper is broadly consistent with striking an appropriate balance between such costs and benefits. In regards to the broader issue of whether structural separation should be applied in relation to new services, this is ultimately a policy issue for governments through the COAG E</w:t>
      </w:r>
      <w:r w:rsidR="00752584">
        <w:t xml:space="preserve">nergy </w:t>
      </w:r>
      <w:r w:rsidR="002E114D">
        <w:t>C</w:t>
      </w:r>
      <w:r w:rsidR="00752584">
        <w:t>ouncil</w:t>
      </w:r>
      <w:r w:rsidR="002E114D">
        <w:t xml:space="preserve"> and in our view would require changes to the NER.</w:t>
      </w:r>
    </w:p>
    <w:p w:rsidR="002E114D" w:rsidRDefault="002E114D" w:rsidP="00744E7F">
      <w:r>
        <w:t xml:space="preserve">By contrast, this question of structural separation for existing services had been determined </w:t>
      </w:r>
      <w:r w:rsidR="00CE7913">
        <w:t xml:space="preserve">by </w:t>
      </w:r>
      <w:r>
        <w:t xml:space="preserve">governments at the outset of the NEM. </w:t>
      </w:r>
      <w:r w:rsidR="00744E7F" w:rsidRPr="006D72C6">
        <w:t xml:space="preserve">In the 1990s and early 2000s generation assets were structurally separated </w:t>
      </w:r>
      <w:r w:rsidR="006057CF">
        <w:t>from networks</w:t>
      </w:r>
      <w:r w:rsidR="001A2579">
        <w:t>,</w:t>
      </w:r>
      <w:r w:rsidR="006057CF">
        <w:t xml:space="preserve"> </w:t>
      </w:r>
      <w:r w:rsidR="00744E7F" w:rsidRPr="006D72C6">
        <w:t xml:space="preserve">largely obviating the need for </w:t>
      </w:r>
      <w:r w:rsidR="00785987">
        <w:t>ring-fencing</w:t>
      </w:r>
      <w:r w:rsidR="00744E7F" w:rsidRPr="006D72C6">
        <w:t>. However, a decade ago it was common for a</w:t>
      </w:r>
      <w:r w:rsidR="008D23C1">
        <w:t xml:space="preserve"> combined</w:t>
      </w:r>
      <w:r w:rsidR="00744E7F" w:rsidRPr="006D72C6">
        <w:t xml:space="preserve"> electricity retailer and an electricity distribution business to have a single owner. That is, retail an</w:t>
      </w:r>
      <w:r w:rsidR="00744E7F">
        <w:t>d</w:t>
      </w:r>
      <w:r w:rsidR="00744E7F" w:rsidRPr="006D72C6">
        <w:t xml:space="preserve"> network businesses were</w:t>
      </w:r>
      <w:r w:rsidR="00744E7F">
        <w:t xml:space="preserve"> sometimes</w:t>
      </w:r>
      <w:r w:rsidR="00744E7F" w:rsidRPr="006D72C6">
        <w:t xml:space="preserve"> integrated—</w:t>
      </w:r>
      <w:r w:rsidR="00744E7F">
        <w:t xml:space="preserve">this business model has largely disappeared but </w:t>
      </w:r>
      <w:r w:rsidR="00744E7F" w:rsidRPr="006D72C6">
        <w:t xml:space="preserve">a few </w:t>
      </w:r>
      <w:r w:rsidR="00744E7F">
        <w:t xml:space="preserve">examples </w:t>
      </w:r>
      <w:r w:rsidR="00744E7F" w:rsidRPr="006D72C6">
        <w:t xml:space="preserve">still remain. In this circumstance, separation of the retail business from distribution business is achieved through </w:t>
      </w:r>
      <w:r w:rsidR="00785987">
        <w:t>ring-fencing</w:t>
      </w:r>
      <w:r w:rsidR="00744E7F" w:rsidRPr="006D72C6">
        <w:t xml:space="preserve">, which may have included legal, functional and accounting separation as well as restrictions to sensitive commercial information flows. </w:t>
      </w:r>
    </w:p>
    <w:p w:rsidR="00744E7F" w:rsidRPr="006D72C6" w:rsidRDefault="00744E7F" w:rsidP="00744E7F">
      <w:proofErr w:type="gramStart"/>
      <w:r w:rsidRPr="006D72C6">
        <w:t>That said, there was and remain</w:t>
      </w:r>
      <w:proofErr w:type="gramEnd"/>
      <w:r w:rsidRPr="006D72C6">
        <w:t xml:space="preserve"> significant differences in the precise </w:t>
      </w:r>
      <w:r w:rsidR="00785987">
        <w:t>ring-fencing</w:t>
      </w:r>
      <w:r w:rsidRPr="006D72C6">
        <w:t xml:space="preserve"> obligations between the jurisdictions. For example, there are variations in the types of services that are </w:t>
      </w:r>
      <w:r w:rsidR="00785987">
        <w:t>ring-fenced</w:t>
      </w:r>
      <w:r w:rsidRPr="006D72C6">
        <w:t xml:space="preserve">, the need for legal separation or requirements for </w:t>
      </w:r>
      <w:r w:rsidR="00785987">
        <w:t>ring-fencing</w:t>
      </w:r>
      <w:r w:rsidRPr="006D72C6">
        <w:t xml:space="preserve"> monitoring and compliance. </w:t>
      </w:r>
    </w:p>
    <w:p w:rsidR="00744E7F" w:rsidRPr="006D72C6" w:rsidRDefault="00744E7F" w:rsidP="00744E7F">
      <w:r>
        <w:t xml:space="preserve">In developing </w:t>
      </w:r>
      <w:r w:rsidR="00785987">
        <w:t>ring-fencing</w:t>
      </w:r>
      <w:r>
        <w:t xml:space="preserve"> guidelines in each of the NEM jurisdictions, State regulators identified </w:t>
      </w:r>
      <w:r w:rsidR="00785987">
        <w:t>ring-fencing</w:t>
      </w:r>
      <w:r w:rsidRPr="006D72C6">
        <w:t xml:space="preserve"> objective</w:t>
      </w:r>
      <w:r>
        <w:t>s</w:t>
      </w:r>
      <w:r w:rsidRPr="006D72C6">
        <w:t>. The objective</w:t>
      </w:r>
      <w:r>
        <w:t>s</w:t>
      </w:r>
      <w:r w:rsidRPr="006D72C6">
        <w:t xml:space="preserve"> are similar (but not identical) and highlight </w:t>
      </w:r>
      <w:r>
        <w:t>a key object: to</w:t>
      </w:r>
      <w:r w:rsidRPr="006D72C6">
        <w:t xml:space="preserve"> </w:t>
      </w:r>
      <w:r>
        <w:t>separate</w:t>
      </w:r>
      <w:r w:rsidRPr="006D72C6">
        <w:t xml:space="preserve"> </w:t>
      </w:r>
      <w:r>
        <w:t>contestable and regulated activities provided by an NSP</w:t>
      </w:r>
      <w:r w:rsidRPr="006D72C6">
        <w:t xml:space="preserve">. </w:t>
      </w:r>
    </w:p>
    <w:p w:rsidR="00744E7F" w:rsidRPr="006D72C6" w:rsidRDefault="00744E7F" w:rsidP="00744E7F">
      <w:r w:rsidRPr="006D72C6">
        <w:t>In Victoria, the ESC guideline has the following objective:</w:t>
      </w:r>
    </w:p>
    <w:p w:rsidR="00744E7F" w:rsidRPr="00AD1DAA" w:rsidRDefault="00744E7F" w:rsidP="00744E7F">
      <w:pPr>
        <w:rPr>
          <w:rStyle w:val="Emphasis"/>
        </w:rPr>
      </w:pPr>
      <w:r w:rsidRPr="00AD1DAA">
        <w:rPr>
          <w:rStyle w:val="Emphasis"/>
        </w:rPr>
        <w:t>By limiting the ability of distributors to exercise vertical market power in the competitive areas of the electricity industry under this guideline, the Commission is seeking to achieve its objectives under section 8 of the Essential Services Commission Act 2001 and in particular the objectives regarding efficiency in the electricity industry, misuse of monopoly market power, effective competition and benefits to users and consumers.</w:t>
      </w:r>
      <w:r w:rsidR="00AD1DAA">
        <w:rPr>
          <w:rStyle w:val="FootnoteReference"/>
          <w:i/>
          <w:iCs/>
        </w:rPr>
        <w:footnoteReference w:id="10"/>
      </w:r>
    </w:p>
    <w:p w:rsidR="00744E7F" w:rsidRPr="006D72C6" w:rsidRDefault="00744E7F" w:rsidP="00744E7F">
      <w:r w:rsidRPr="006D72C6">
        <w:t>Similarly, the Tasmanian Guideline states its objective to be:</w:t>
      </w:r>
    </w:p>
    <w:p w:rsidR="00744E7F" w:rsidRPr="00AD1DAA" w:rsidRDefault="00744E7F" w:rsidP="00744E7F">
      <w:pPr>
        <w:rPr>
          <w:rStyle w:val="Emphasis"/>
        </w:rPr>
      </w:pPr>
      <w:r w:rsidRPr="00AD1DAA">
        <w:rPr>
          <w:rStyle w:val="Emphasis"/>
        </w:rPr>
        <w:t>By limiting the ability of a distributor to distort competition in the contestable areas of the electricity supply industry, the Regulator is seeking to achieve the Regulator’s objectives under the Electricity Supply Industry Act 1995 to promote competition in the electricity supply industry and to protect the interests of consumers of electricity.</w:t>
      </w:r>
      <w:r w:rsidR="00AD1DAA">
        <w:rPr>
          <w:rStyle w:val="FootnoteReference"/>
          <w:i/>
          <w:iCs/>
        </w:rPr>
        <w:footnoteReference w:id="11"/>
      </w:r>
    </w:p>
    <w:p w:rsidR="00744E7F" w:rsidRPr="006D72C6" w:rsidRDefault="00744E7F" w:rsidP="00744E7F">
      <w:r w:rsidRPr="006D72C6">
        <w:lastRenderedPageBreak/>
        <w:t>In South Australia, ESCOSA adopted the following objective:</w:t>
      </w:r>
    </w:p>
    <w:p w:rsidR="00744E7F" w:rsidRPr="00AD1DAA" w:rsidRDefault="00744E7F" w:rsidP="00744E7F">
      <w:pPr>
        <w:rPr>
          <w:rStyle w:val="Emphasis"/>
        </w:rPr>
      </w:pPr>
      <w:r w:rsidRPr="00AD1DAA">
        <w:rPr>
          <w:rStyle w:val="Emphasis"/>
        </w:rPr>
        <w:t>The objectives of Ring-Fencing are to facilitate a competitive electricity supply market by providing controls that seek to:</w:t>
      </w:r>
    </w:p>
    <w:p w:rsidR="00744E7F" w:rsidRPr="00AD1DAA" w:rsidRDefault="00744E7F" w:rsidP="00AD1DAA">
      <w:pPr>
        <w:pStyle w:val="ListParagraph"/>
        <w:rPr>
          <w:rStyle w:val="Emphasis"/>
        </w:rPr>
      </w:pPr>
      <w:r w:rsidRPr="00AD1DAA">
        <w:rPr>
          <w:rStyle w:val="Emphasis"/>
        </w:rPr>
        <w:t>avoid the anti-competitive effects of cross-subsidies or other discriminatory interactions between the contestable and non-contestable activities;</w:t>
      </w:r>
    </w:p>
    <w:p w:rsidR="00744E7F" w:rsidRPr="00AD1DAA" w:rsidRDefault="00744E7F" w:rsidP="00AD1DAA">
      <w:pPr>
        <w:pStyle w:val="ListParagraph"/>
        <w:rPr>
          <w:rStyle w:val="Emphasis"/>
        </w:rPr>
      </w:pPr>
      <w:r w:rsidRPr="00AD1DAA">
        <w:rPr>
          <w:rStyle w:val="Emphasis"/>
        </w:rPr>
        <w:t>ensure that unfair advantage is not secured by using information acquired by a monopoly activity, for the benefit of contestable activity;</w:t>
      </w:r>
    </w:p>
    <w:p w:rsidR="00744E7F" w:rsidRPr="00AD1DAA" w:rsidRDefault="00744E7F" w:rsidP="00AD1DAA">
      <w:pPr>
        <w:pStyle w:val="ListParagraph"/>
        <w:rPr>
          <w:rStyle w:val="Emphasis"/>
        </w:rPr>
      </w:pPr>
      <w:r w:rsidRPr="00AD1DAA">
        <w:rPr>
          <w:rStyle w:val="Emphasis"/>
        </w:rPr>
        <w:t>avoid a perception of an uneven playing field that may deter potential market participants; and</w:t>
      </w:r>
    </w:p>
    <w:p w:rsidR="00744E7F" w:rsidRPr="00AD1DAA" w:rsidRDefault="00744E7F" w:rsidP="00AD1DAA">
      <w:pPr>
        <w:pStyle w:val="ListParagraph"/>
        <w:rPr>
          <w:rStyle w:val="Emphasis"/>
        </w:rPr>
      </w:pPr>
      <w:proofErr w:type="gramStart"/>
      <w:r w:rsidRPr="00AD1DAA">
        <w:rPr>
          <w:rStyle w:val="Emphasis"/>
        </w:rPr>
        <w:t>provide</w:t>
      </w:r>
      <w:proofErr w:type="gramEnd"/>
      <w:r w:rsidRPr="00AD1DAA">
        <w:rPr>
          <w:rStyle w:val="Emphasis"/>
        </w:rPr>
        <w:t xml:space="preserve"> the Commission with sufficiently detailed and accurate information to undertake price reviews.</w:t>
      </w:r>
      <w:r w:rsidR="00AD1DAA">
        <w:rPr>
          <w:rStyle w:val="FootnoteReference"/>
          <w:i/>
          <w:iCs/>
        </w:rPr>
        <w:footnoteReference w:id="12"/>
      </w:r>
    </w:p>
    <w:p w:rsidR="00744E7F" w:rsidRPr="006D72C6" w:rsidRDefault="00744E7F" w:rsidP="00744E7F">
      <w:r w:rsidRPr="006D72C6">
        <w:t xml:space="preserve">The last </w:t>
      </w:r>
      <w:r>
        <w:t xml:space="preserve">of the </w:t>
      </w:r>
      <w:r w:rsidRPr="006D72C6">
        <w:t>E</w:t>
      </w:r>
      <w:r w:rsidR="001A0983">
        <w:t>S</w:t>
      </w:r>
      <w:r w:rsidRPr="006D72C6">
        <w:t>COSA objective</w:t>
      </w:r>
      <w:r>
        <w:t>s</w:t>
      </w:r>
      <w:r w:rsidRPr="006D72C6">
        <w:t xml:space="preserve"> reflects the role </w:t>
      </w:r>
      <w:r w:rsidR="00785987">
        <w:t>ring-fencing</w:t>
      </w:r>
      <w:r w:rsidRPr="006D72C6">
        <w:t xml:space="preserve"> played in providing State regulators with a means to compel </w:t>
      </w:r>
      <w:r w:rsidR="001A2579">
        <w:t xml:space="preserve">an </w:t>
      </w:r>
      <w:r w:rsidRPr="006D72C6">
        <w:t xml:space="preserve">NSP to </w:t>
      </w:r>
      <w:r>
        <w:t>prepare</w:t>
      </w:r>
      <w:r w:rsidRPr="006D72C6">
        <w:t xml:space="preserve"> regulatory accounts. However, this is less of an issue for the AER as it has powers under the NEL to require information to be collected and provided for its own regulatory purposes.</w:t>
      </w:r>
    </w:p>
    <w:p w:rsidR="00744E7F" w:rsidRPr="006D72C6" w:rsidRDefault="00744E7F" w:rsidP="00744E7F">
      <w:r w:rsidRPr="006D72C6">
        <w:t>In Q</w:t>
      </w:r>
      <w:r w:rsidR="00AD1DAA">
        <w:t>ueensland,</w:t>
      </w:r>
      <w:r w:rsidRPr="006D72C6">
        <w:t xml:space="preserve"> the Q</w:t>
      </w:r>
      <w:r w:rsidR="00AD1DAA">
        <w:t xml:space="preserve">ueensland </w:t>
      </w:r>
      <w:r w:rsidRPr="006D72C6">
        <w:t>C</w:t>
      </w:r>
      <w:r w:rsidR="00AD1DAA">
        <w:t xml:space="preserve">ompetition </w:t>
      </w:r>
      <w:r w:rsidR="00AD1DAA" w:rsidRPr="006D72C6">
        <w:t>A</w:t>
      </w:r>
      <w:r w:rsidR="00AD1DAA">
        <w:t>uthority's</w:t>
      </w:r>
      <w:r w:rsidRPr="006D72C6">
        <w:t xml:space="preserve"> guideline is very much focussed on structural separation:</w:t>
      </w:r>
    </w:p>
    <w:p w:rsidR="00744E7F" w:rsidRPr="00AD1DAA" w:rsidRDefault="00744E7F" w:rsidP="00744E7F">
      <w:pPr>
        <w:rPr>
          <w:rStyle w:val="Emphasis"/>
        </w:rPr>
      </w:pPr>
      <w:r w:rsidRPr="00AD1DAA">
        <w:rPr>
          <w:rStyle w:val="Emphasis"/>
        </w:rPr>
        <w:t>…the Authority’s objective in preparing Distribution Ring-Fencing Guidelines is to assist in creating an environment where the price, quantity and quality of electricity traded in the retail market, and the price, quantity and quality of distribution services used to deliver the energy, are not biased as a result of the vertical integration of distribution and other businesses – irrespective of the degree of integration.</w:t>
      </w:r>
      <w:r w:rsidR="00AD1DAA">
        <w:rPr>
          <w:rStyle w:val="FootnoteReference"/>
          <w:i/>
          <w:iCs/>
        </w:rPr>
        <w:footnoteReference w:id="13"/>
      </w:r>
    </w:p>
    <w:p w:rsidR="00744E7F" w:rsidRPr="006D72C6" w:rsidRDefault="00744E7F" w:rsidP="00744E7F">
      <w:r>
        <w:t>The</w:t>
      </w:r>
      <w:r w:rsidRPr="006D72C6">
        <w:t xml:space="preserve"> AER guideline</w:t>
      </w:r>
      <w:r>
        <w:t xml:space="preserve"> could </w:t>
      </w:r>
      <w:r w:rsidRPr="006D72C6">
        <w:t xml:space="preserve">draw </w:t>
      </w:r>
      <w:r>
        <w:t>o</w:t>
      </w:r>
      <w:r w:rsidRPr="006D72C6">
        <w:t xml:space="preserve">n </w:t>
      </w:r>
      <w:r>
        <w:t xml:space="preserve">at least some </w:t>
      </w:r>
      <w:r w:rsidR="007901BA">
        <w:t xml:space="preserve">of </w:t>
      </w:r>
      <w:r>
        <w:t xml:space="preserve">the </w:t>
      </w:r>
      <w:r w:rsidRPr="006D72C6">
        <w:t>objective</w:t>
      </w:r>
      <w:r>
        <w:t>s</w:t>
      </w:r>
      <w:r w:rsidRPr="006D72C6">
        <w:t xml:space="preserve"> from the </w:t>
      </w:r>
      <w:r>
        <w:t>jurisdictional</w:t>
      </w:r>
      <w:r w:rsidRPr="006D72C6">
        <w:t xml:space="preserve"> guidelines. However, we </w:t>
      </w:r>
      <w:r>
        <w:t xml:space="preserve">also </w:t>
      </w:r>
      <w:r w:rsidRPr="006D72C6">
        <w:t>need to revise the objective</w:t>
      </w:r>
      <w:r>
        <w:t>s</w:t>
      </w:r>
      <w:r w:rsidRPr="006D72C6">
        <w:t xml:space="preserve"> to reflect the broader scope of </w:t>
      </w:r>
      <w:r w:rsidR="00785987">
        <w:t>ring-fencing</w:t>
      </w:r>
      <w:r w:rsidRPr="006D72C6">
        <w:t xml:space="preserve"> given the more complex nature of current interaction between competitive and regulated aspects of network service</w:t>
      </w:r>
      <w:r>
        <w:t>s</w:t>
      </w:r>
      <w:r w:rsidRPr="006D72C6">
        <w:t xml:space="preserve"> </w:t>
      </w:r>
      <w:r>
        <w:t xml:space="preserve">potentially on </w:t>
      </w:r>
      <w:r w:rsidRPr="006D72C6">
        <w:t>offer by NSP</w:t>
      </w:r>
      <w:r>
        <w:t>s</w:t>
      </w:r>
      <w:r w:rsidRPr="006D72C6">
        <w:t xml:space="preserve">. </w:t>
      </w:r>
    </w:p>
    <w:p w:rsidR="00177C9F" w:rsidRDefault="006A4F31" w:rsidP="00177C9F">
      <w:pPr>
        <w:pStyle w:val="Heading2"/>
      </w:pPr>
      <w:bookmarkStart w:id="10" w:name="_Toc448838441"/>
      <w:r>
        <w:t xml:space="preserve">Proposed </w:t>
      </w:r>
      <w:r w:rsidR="00785987">
        <w:t>ring-fencing</w:t>
      </w:r>
      <w:r w:rsidR="00177C9F">
        <w:t xml:space="preserve"> objectives</w:t>
      </w:r>
      <w:bookmarkEnd w:id="10"/>
    </w:p>
    <w:p w:rsidR="00744E7F" w:rsidRPr="006D72C6" w:rsidRDefault="00744E7F" w:rsidP="00744E7F">
      <w:r>
        <w:t>Our view is that the</w:t>
      </w:r>
      <w:r w:rsidRPr="006D72C6">
        <w:t xml:space="preserve"> </w:t>
      </w:r>
      <w:r w:rsidR="00785987">
        <w:t>ring-fencing</w:t>
      </w:r>
      <w:r w:rsidRPr="006D72C6">
        <w:t xml:space="preserve"> objectives</w:t>
      </w:r>
      <w:r>
        <w:t xml:space="preserve"> aim to</w:t>
      </w:r>
      <w:r w:rsidRPr="006D72C6">
        <w:t>:</w:t>
      </w:r>
    </w:p>
    <w:p w:rsidR="00744E7F" w:rsidRPr="00744E7F" w:rsidRDefault="00744E7F" w:rsidP="00635538">
      <w:pPr>
        <w:pStyle w:val="ListParagraph"/>
        <w:numPr>
          <w:ilvl w:val="0"/>
          <w:numId w:val="25"/>
        </w:numPr>
      </w:pPr>
      <w:r>
        <w:t>avoid</w:t>
      </w:r>
      <w:r w:rsidRPr="00744E7F">
        <w:t xml:space="preserve"> the anti-competitive effects of cross-subsidies between the contestable and non-contestable activities offered by an NSP that would adversely affect markets for con</w:t>
      </w:r>
      <w:r w:rsidR="001A5920">
        <w:t>test</w:t>
      </w:r>
      <w:r w:rsidRPr="00744E7F">
        <w:t>able services or the efficient provision of regulated services</w:t>
      </w:r>
      <w:r w:rsidR="007901BA">
        <w:t>;</w:t>
      </w:r>
    </w:p>
    <w:p w:rsidR="00744E7F" w:rsidRPr="00744E7F" w:rsidRDefault="00744E7F" w:rsidP="00635538">
      <w:pPr>
        <w:pStyle w:val="ListParagraph"/>
        <w:numPr>
          <w:ilvl w:val="0"/>
          <w:numId w:val="25"/>
        </w:numPr>
      </w:pPr>
      <w:r>
        <w:lastRenderedPageBreak/>
        <w:t xml:space="preserve">avoid </w:t>
      </w:r>
      <w:r w:rsidRPr="00744E7F">
        <w:t xml:space="preserve">discriminatory interactions between the contestable and non-contestable </w:t>
      </w:r>
      <w:r w:rsidR="001A5920">
        <w:t>services</w:t>
      </w:r>
      <w:r w:rsidR="001A5920" w:rsidRPr="00744E7F">
        <w:t xml:space="preserve"> </w:t>
      </w:r>
      <w:r w:rsidRPr="00744E7F">
        <w:t xml:space="preserve">offered by an NSP that would adversely affect markets for </w:t>
      </w:r>
      <w:r w:rsidR="008D23C1">
        <w:t>contestable</w:t>
      </w:r>
      <w:r w:rsidR="008D23C1" w:rsidRPr="00744E7F">
        <w:t xml:space="preserve"> </w:t>
      </w:r>
      <w:r w:rsidRPr="00744E7F">
        <w:t>services or the efficient provision of regulated services</w:t>
      </w:r>
      <w:r w:rsidR="007901BA">
        <w:t>;</w:t>
      </w:r>
    </w:p>
    <w:p w:rsidR="00744E7F" w:rsidRPr="00744E7F" w:rsidRDefault="00744E7F" w:rsidP="00635538">
      <w:pPr>
        <w:pStyle w:val="ListParagraph"/>
        <w:numPr>
          <w:ilvl w:val="0"/>
          <w:numId w:val="25"/>
        </w:numPr>
      </w:pPr>
      <w:r w:rsidRPr="00744E7F">
        <w:t xml:space="preserve">avoid </w:t>
      </w:r>
      <w:r w:rsidR="001A5920">
        <w:t xml:space="preserve">providing </w:t>
      </w:r>
      <w:r w:rsidR="00C154C2">
        <w:t>a preferred</w:t>
      </w:r>
      <w:r w:rsidR="00FA48A1">
        <w:t xml:space="preserve"> or related party</w:t>
      </w:r>
      <w:r w:rsidR="00C154C2">
        <w:t xml:space="preserve"> with </w:t>
      </w:r>
      <w:r w:rsidR="00FA48A1">
        <w:t xml:space="preserve">an </w:t>
      </w:r>
      <w:r w:rsidRPr="00744E7F">
        <w:t xml:space="preserve">unfair advantage </w:t>
      </w:r>
      <w:r w:rsidR="00FA48A1">
        <w:t>in offering contestable service that stem from</w:t>
      </w:r>
      <w:r w:rsidRPr="00744E7F">
        <w:t xml:space="preserve"> information acquired in providing </w:t>
      </w:r>
      <w:r w:rsidR="00FA48A1">
        <w:t xml:space="preserve">a </w:t>
      </w:r>
      <w:r w:rsidRPr="00744E7F">
        <w:t>regulated services;</w:t>
      </w:r>
      <w:r w:rsidR="007901BA">
        <w:t xml:space="preserve"> and</w:t>
      </w:r>
    </w:p>
    <w:p w:rsidR="00744E7F" w:rsidRPr="00744E7F" w:rsidRDefault="00947CF1" w:rsidP="00635538">
      <w:pPr>
        <w:pStyle w:val="ListParagraph"/>
        <w:numPr>
          <w:ilvl w:val="0"/>
          <w:numId w:val="25"/>
        </w:numPr>
      </w:pPr>
      <w:proofErr w:type="gramStart"/>
      <w:r>
        <w:t>in</w:t>
      </w:r>
      <w:proofErr w:type="gramEnd"/>
      <w:r>
        <w:t xml:space="preserve"> achieving the first three objectives, </w:t>
      </w:r>
      <w:r w:rsidR="00744E7F">
        <w:t>promote an even</w:t>
      </w:r>
      <w:r w:rsidR="00744E7F" w:rsidRPr="00744E7F">
        <w:t xml:space="preserve"> playing field that may encourage market entry.</w:t>
      </w:r>
    </w:p>
    <w:p w:rsidR="00744E7F" w:rsidRDefault="008A3CD4" w:rsidP="00744E7F">
      <w:r>
        <w:t>Ring-fencing</w:t>
      </w:r>
      <w:r w:rsidR="00744E7F" w:rsidRPr="006D72C6">
        <w:t xml:space="preserve"> </w:t>
      </w:r>
      <w:r w:rsidR="00FA48A1">
        <w:t xml:space="preserve">compliance </w:t>
      </w:r>
      <w:r w:rsidR="00744E7F" w:rsidRPr="006D72C6">
        <w:t>is not costless</w:t>
      </w:r>
      <w:r w:rsidR="00FA48A1">
        <w:t>. A</w:t>
      </w:r>
      <w:r w:rsidR="00744E7F" w:rsidRPr="006D72C6">
        <w:t xml:space="preserve">chieving these objectives should be subject to a consideration of the costs and benefits of </w:t>
      </w:r>
      <w:r w:rsidR="00FA48A1">
        <w:t>compliance</w:t>
      </w:r>
      <w:r w:rsidR="00744E7F" w:rsidRPr="006D72C6">
        <w:t xml:space="preserve">. </w:t>
      </w:r>
      <w:r w:rsidR="00C24462">
        <w:t>Therefore, i</w:t>
      </w:r>
      <w:r w:rsidR="00744E7F" w:rsidRPr="006D72C6">
        <w:t xml:space="preserve">n seeking to satisfy the competition principles embedded in the objectives, we should </w:t>
      </w:r>
      <w:r w:rsidR="00744E7F">
        <w:t xml:space="preserve">also </w:t>
      </w:r>
      <w:r w:rsidR="00744E7F" w:rsidRPr="006D72C6">
        <w:t>have regard to the long term interests of consumers</w:t>
      </w:r>
      <w:r w:rsidR="00FA48A1">
        <w:t xml:space="preserve"> as defined in the National Electricity Objective (NEO)</w:t>
      </w:r>
      <w:r w:rsidR="00744E7F" w:rsidRPr="006D72C6">
        <w:t xml:space="preserve">. </w:t>
      </w:r>
      <w:r w:rsidR="00744E7F">
        <w:t xml:space="preserve">In effect this means there will be times </w:t>
      </w:r>
      <w:r w:rsidR="008D23C1">
        <w:t xml:space="preserve">when the </w:t>
      </w:r>
      <w:r w:rsidR="00744E7F">
        <w:t xml:space="preserve">application of the </w:t>
      </w:r>
      <w:r w:rsidR="00785987">
        <w:t>ring-fencing</w:t>
      </w:r>
      <w:r w:rsidR="00744E7F">
        <w:t xml:space="preserve"> guideline will need to be considered against the costs of doing so – a cost benefit assessment. </w:t>
      </w:r>
      <w:r w:rsidR="006057CF">
        <w:t xml:space="preserve">This also forms the basis or rationale for </w:t>
      </w:r>
      <w:r w:rsidR="00752584">
        <w:t>deciding whether</w:t>
      </w:r>
      <w:r w:rsidR="006057CF">
        <w:t xml:space="preserve"> to grant waivers from ring-fencing obligations</w:t>
      </w:r>
      <w:r w:rsidR="00DD2D5C">
        <w:t>,</w:t>
      </w:r>
      <w:r w:rsidR="006057CF">
        <w:t xml:space="preserve"> where the costs of ring-fencing are considered greater than the benefits </w:t>
      </w:r>
      <w:r w:rsidR="00DD2D5C">
        <w:t xml:space="preserve">that are being sought (see further discussion of waivers in section </w:t>
      </w:r>
      <w:r w:rsidR="00614860">
        <w:t>5</w:t>
      </w:r>
      <w:r w:rsidR="00DD2D5C">
        <w:t xml:space="preserve"> below).</w:t>
      </w:r>
    </w:p>
    <w:p w:rsidR="00AD1DAA" w:rsidRDefault="00947CF1" w:rsidP="00947CF1">
      <w:pPr>
        <w:pStyle w:val="Tabletitle"/>
      </w:pPr>
      <w:r>
        <w:t>Que</w:t>
      </w:r>
      <w:r w:rsidR="00541C93">
        <w:t>stion 2</w:t>
      </w:r>
      <w:r>
        <w:t xml:space="preserve">: </w:t>
      </w:r>
      <w:r w:rsidR="00AD1DAA">
        <w:t>Do you consider these objective</w:t>
      </w:r>
      <w:r>
        <w:t xml:space="preserve">s </w:t>
      </w:r>
      <w:r w:rsidR="00E854E6">
        <w:t xml:space="preserve">discussed in section 2.1 </w:t>
      </w:r>
      <w:r>
        <w:t xml:space="preserve">adequately reflect </w:t>
      </w:r>
      <w:r w:rsidR="00AD1DAA">
        <w:t xml:space="preserve">the harm </w:t>
      </w:r>
      <w:r w:rsidR="00785987">
        <w:t>ring-fencing</w:t>
      </w:r>
      <w:r w:rsidR="006A4F31">
        <w:t xml:space="preserve"> is seeking to avoid</w:t>
      </w:r>
      <w:r w:rsidR="00C154C2">
        <w:t xml:space="preserve"> and the benefits of an even playing field</w:t>
      </w:r>
      <w:r w:rsidR="00AD1DAA">
        <w:t>?</w:t>
      </w:r>
    </w:p>
    <w:p w:rsidR="00744E7F" w:rsidRPr="006D72C6" w:rsidRDefault="00744E7F" w:rsidP="00744E7F">
      <w:r w:rsidRPr="006D72C6">
        <w:t xml:space="preserve">With these objectives and the NEO in mind, we need to consider which services to </w:t>
      </w:r>
      <w:r w:rsidR="00D86DB2">
        <w:t>ring-fence</w:t>
      </w:r>
      <w:r w:rsidRPr="006D72C6">
        <w:t>.</w:t>
      </w:r>
      <w:r w:rsidR="00DD2D5C">
        <w:t xml:space="preserve"> This is discussed in section 3.</w:t>
      </w:r>
    </w:p>
    <w:p w:rsidR="00744E7F" w:rsidRPr="006D72C6" w:rsidRDefault="00744E7F" w:rsidP="00744E7F">
      <w:pPr>
        <w:pStyle w:val="Heading1"/>
      </w:pPr>
      <w:bookmarkStart w:id="11" w:name="_Toc448838442"/>
      <w:r w:rsidRPr="006D72C6">
        <w:lastRenderedPageBreak/>
        <w:t xml:space="preserve">Which services should be </w:t>
      </w:r>
      <w:r w:rsidR="00785987">
        <w:t>ring-fenced</w:t>
      </w:r>
      <w:r w:rsidRPr="006D72C6">
        <w:t>?</w:t>
      </w:r>
      <w:bookmarkEnd w:id="11"/>
    </w:p>
    <w:p w:rsidR="002F64B3" w:rsidRDefault="0083350C" w:rsidP="00177C9F">
      <w:r>
        <w:t>Before we can consider which service</w:t>
      </w:r>
      <w:r w:rsidR="00282512">
        <w:t>s</w:t>
      </w:r>
      <w:r>
        <w:t xml:space="preserve"> should be </w:t>
      </w:r>
      <w:r w:rsidR="00785987">
        <w:t>ring-fenced</w:t>
      </w:r>
      <w:r>
        <w:t xml:space="preserve">, </w:t>
      </w:r>
      <w:r w:rsidR="007A6419">
        <w:t>we need</w:t>
      </w:r>
      <w:r>
        <w:t xml:space="preserve"> to </w:t>
      </w:r>
      <w:r w:rsidR="007A6419">
        <w:t>explain</w:t>
      </w:r>
      <w:r>
        <w:t xml:space="preserve"> the role of service classification under the NER. </w:t>
      </w:r>
      <w:r w:rsidR="00726B94">
        <w:t xml:space="preserve">This is because service </w:t>
      </w:r>
      <w:r w:rsidR="007A6419">
        <w:t>classification tells</w:t>
      </w:r>
      <w:r w:rsidR="00726B94">
        <w:t xml:space="preserve"> us what </w:t>
      </w:r>
      <w:r w:rsidR="007A6419">
        <w:t>services are</w:t>
      </w:r>
      <w:r w:rsidR="00726B94">
        <w:t xml:space="preserve"> </w:t>
      </w:r>
      <w:r w:rsidR="007A6419">
        <w:t xml:space="preserve">or are not </w:t>
      </w:r>
      <w:r w:rsidR="00726B94">
        <w:t xml:space="preserve">regulated by the </w:t>
      </w:r>
      <w:r w:rsidR="007A6419">
        <w:t>AER</w:t>
      </w:r>
      <w:r w:rsidR="00282512">
        <w:t>, which in turn will have a</w:t>
      </w:r>
      <w:r w:rsidR="00DD2D5C">
        <w:t>n important</w:t>
      </w:r>
      <w:r w:rsidR="00282512">
        <w:t xml:space="preserve"> bearing whether </w:t>
      </w:r>
      <w:r w:rsidR="00785987">
        <w:t>ring-fencing</w:t>
      </w:r>
      <w:r w:rsidR="00282512">
        <w:t xml:space="preserve"> may be required</w:t>
      </w:r>
      <w:r w:rsidR="00726B94">
        <w:t xml:space="preserve">. </w:t>
      </w:r>
      <w:r w:rsidR="007A6419">
        <w:t>We</w:t>
      </w:r>
      <w:r w:rsidR="00726B94">
        <w:t xml:space="preserve"> </w:t>
      </w:r>
      <w:r w:rsidR="00282512">
        <w:t xml:space="preserve">first consider </w:t>
      </w:r>
      <w:r w:rsidR="00726B94">
        <w:t xml:space="preserve">the classification of services as part of </w:t>
      </w:r>
      <w:r w:rsidR="007A6419">
        <w:t>our</w:t>
      </w:r>
      <w:r w:rsidR="00726B94">
        <w:t xml:space="preserve"> Framework and approach</w:t>
      </w:r>
      <w:r w:rsidR="007A6419">
        <w:t xml:space="preserve"> (F&amp;A)</w:t>
      </w:r>
      <w:r w:rsidR="00726B94">
        <w:t xml:space="preserve"> process</w:t>
      </w:r>
      <w:r w:rsidR="007A6419">
        <w:t>. The F&amp;A</w:t>
      </w:r>
      <w:r w:rsidR="00726B94">
        <w:t xml:space="preserve"> </w:t>
      </w:r>
      <w:r w:rsidR="007A6419">
        <w:t xml:space="preserve">provides guidance to an NSP </w:t>
      </w:r>
      <w:r w:rsidR="00DD2D5C">
        <w:t xml:space="preserve">on </w:t>
      </w:r>
      <w:r w:rsidR="007A6419">
        <w:t>which services will be regulated</w:t>
      </w:r>
      <w:r w:rsidR="001A2579">
        <w:t xml:space="preserve"> and </w:t>
      </w:r>
      <w:r w:rsidR="007A6419">
        <w:t>the for</w:t>
      </w:r>
      <w:r w:rsidR="002F64B3">
        <w:t>m</w:t>
      </w:r>
      <w:r w:rsidR="007A6419">
        <w:t xml:space="preserve"> of regulation (for example, </w:t>
      </w:r>
      <w:r w:rsidR="002F64B3">
        <w:t>price cap regulation</w:t>
      </w:r>
      <w:r w:rsidR="007A6419">
        <w:t>)</w:t>
      </w:r>
      <w:r w:rsidR="002F64B3">
        <w:t>,</w:t>
      </w:r>
      <w:r w:rsidR="007A6419">
        <w:t xml:space="preserve"> </w:t>
      </w:r>
      <w:r w:rsidR="002F64B3">
        <w:t xml:space="preserve">amongst other things. The F&amp;A process commences about </w:t>
      </w:r>
      <w:r w:rsidR="00726B94">
        <w:t>a year before an NSP submits a five year regulatory proposal to us</w:t>
      </w:r>
      <w:r w:rsidR="007A6419">
        <w:t xml:space="preserve"> for assessment</w:t>
      </w:r>
      <w:r>
        <w:t xml:space="preserve">. </w:t>
      </w:r>
    </w:p>
    <w:p w:rsidR="0083350C" w:rsidRDefault="00726B94" w:rsidP="00177C9F">
      <w:r>
        <w:t xml:space="preserve">NSPs typically </w:t>
      </w:r>
      <w:r w:rsidR="00223D8E">
        <w:t xml:space="preserve">provide </w:t>
      </w:r>
      <w:r w:rsidR="00FA48A1">
        <w:t>many</w:t>
      </w:r>
      <w:r>
        <w:t xml:space="preserve"> different </w:t>
      </w:r>
      <w:r w:rsidR="007A6419">
        <w:t>services</w:t>
      </w:r>
      <w:r>
        <w:t xml:space="preserve"> and these are typically rolled up into </w:t>
      </w:r>
      <w:r w:rsidR="007A6419">
        <w:t>service</w:t>
      </w:r>
      <w:r>
        <w:t xml:space="preserve"> group</w:t>
      </w:r>
      <w:r w:rsidR="007A6419">
        <w:t>ing</w:t>
      </w:r>
      <w:r w:rsidR="00DD2D5C">
        <w:t>s</w:t>
      </w:r>
      <w:r w:rsidR="002F64B3">
        <w:t xml:space="preserve"> that share similar characteristics</w:t>
      </w:r>
      <w:r w:rsidR="007A6419">
        <w:t xml:space="preserve">. For example, </w:t>
      </w:r>
      <w:r w:rsidR="002F64B3">
        <w:t>service groupings include '</w:t>
      </w:r>
      <w:r w:rsidR="007A6419">
        <w:t>metering services</w:t>
      </w:r>
      <w:r w:rsidR="002F64B3">
        <w:t>'</w:t>
      </w:r>
      <w:r w:rsidR="007A6419">
        <w:t xml:space="preserve">, </w:t>
      </w:r>
      <w:r w:rsidR="002F64B3">
        <w:t>'</w:t>
      </w:r>
      <w:r w:rsidR="007A6419">
        <w:t>connection services</w:t>
      </w:r>
      <w:r w:rsidR="002F64B3">
        <w:t>'</w:t>
      </w:r>
      <w:r w:rsidR="007A6419">
        <w:t xml:space="preserve"> or </w:t>
      </w:r>
      <w:r w:rsidR="002F64B3">
        <w:t>'ancillary</w:t>
      </w:r>
      <w:r w:rsidR="007A6419">
        <w:t xml:space="preserve"> services</w:t>
      </w:r>
      <w:r w:rsidR="002F64B3">
        <w:t>'</w:t>
      </w:r>
      <w:r w:rsidR="007A6419">
        <w:t>.</w:t>
      </w:r>
      <w:r w:rsidR="002F64B3">
        <w:t xml:space="preserve"> While service classification is not settled until the AER makes it</w:t>
      </w:r>
      <w:r w:rsidR="00FA48A1">
        <w:t>s</w:t>
      </w:r>
      <w:r w:rsidR="002F64B3">
        <w:t xml:space="preserve"> final determination, the F&amp;A provides a good guide as to those services offered by an NSP </w:t>
      </w:r>
      <w:r w:rsidR="00282512">
        <w:t xml:space="preserve">that </w:t>
      </w:r>
      <w:r w:rsidR="002F64B3">
        <w:t xml:space="preserve">will be subject to regulation. </w:t>
      </w:r>
    </w:p>
    <w:p w:rsidR="00177C9F" w:rsidRPr="00177C9F" w:rsidRDefault="00177C9F" w:rsidP="00177C9F">
      <w:r>
        <w:t xml:space="preserve">The NER makes it clear that the only services that can be </w:t>
      </w:r>
      <w:r w:rsidR="00785987">
        <w:t>ring-fenced</w:t>
      </w:r>
      <w:r>
        <w:t xml:space="preserve"> are those offered by NSPs that are not </w:t>
      </w:r>
      <w:r w:rsidR="002F64B3">
        <w:t xml:space="preserve">directly regulated by the AER. That is, </w:t>
      </w:r>
      <w:proofErr w:type="gramStart"/>
      <w:r w:rsidR="004424FB">
        <w:t xml:space="preserve">only </w:t>
      </w:r>
      <w:r w:rsidR="00E73991">
        <w:t>d</w:t>
      </w:r>
      <w:r w:rsidR="004424FB">
        <w:t xml:space="preserve">irect </w:t>
      </w:r>
      <w:r w:rsidR="00E73991">
        <w:t>c</w:t>
      </w:r>
      <w:r w:rsidR="004424FB">
        <w:t xml:space="preserve">ontrol </w:t>
      </w:r>
      <w:r w:rsidR="00E73991">
        <w:t>s</w:t>
      </w:r>
      <w:r w:rsidR="004424FB">
        <w:t>ervices, which is</w:t>
      </w:r>
      <w:proofErr w:type="gramEnd"/>
      <w:r w:rsidR="004424FB">
        <w:t xml:space="preserve"> made up of </w:t>
      </w:r>
      <w:r w:rsidR="00E73991">
        <w:t>s</w:t>
      </w:r>
      <w:r>
        <w:t xml:space="preserve">tandard </w:t>
      </w:r>
      <w:r w:rsidR="00E73991">
        <w:t>c</w:t>
      </w:r>
      <w:r>
        <w:t xml:space="preserve">ontrol </w:t>
      </w:r>
      <w:r w:rsidR="00E73991">
        <w:t>s</w:t>
      </w:r>
      <w:r>
        <w:t xml:space="preserve">ervices (SCS) </w:t>
      </w:r>
      <w:r w:rsidR="002F64B3">
        <w:t>and</w:t>
      </w:r>
      <w:r>
        <w:t xml:space="preserve"> </w:t>
      </w:r>
      <w:r w:rsidR="00E73991">
        <w:t>a</w:t>
      </w:r>
      <w:r>
        <w:t xml:space="preserve">lternative </w:t>
      </w:r>
      <w:r w:rsidR="00E73991">
        <w:t>c</w:t>
      </w:r>
      <w:r>
        <w:t xml:space="preserve">ontrol </w:t>
      </w:r>
      <w:r w:rsidR="00E73991">
        <w:t>s</w:t>
      </w:r>
      <w:r>
        <w:t>ervices (ACS)</w:t>
      </w:r>
      <w:r w:rsidR="004424FB">
        <w:t>,</w:t>
      </w:r>
      <w:r w:rsidR="002F64B3">
        <w:t xml:space="preserve"> may be </w:t>
      </w:r>
      <w:r w:rsidR="00785987">
        <w:t>ring-fenced</w:t>
      </w:r>
      <w:r w:rsidR="002F64B3">
        <w:t xml:space="preserve"> from </w:t>
      </w:r>
      <w:r w:rsidR="00282512">
        <w:t xml:space="preserve">all </w:t>
      </w:r>
      <w:r w:rsidR="002F64B3">
        <w:t>the other services offered by an NSP</w:t>
      </w:r>
      <w:r w:rsidRPr="00177C9F">
        <w:t>.</w:t>
      </w:r>
      <w:r>
        <w:rPr>
          <w:rStyle w:val="FootnoteReference"/>
        </w:rPr>
        <w:footnoteReference w:id="14"/>
      </w:r>
    </w:p>
    <w:p w:rsidR="00177C9F" w:rsidRPr="00177C9F" w:rsidRDefault="0083350C" w:rsidP="00177C9F">
      <w:r>
        <w:t>I</w:t>
      </w:r>
      <w:r w:rsidR="00177C9F" w:rsidRPr="006D72C6">
        <w:t xml:space="preserve">t should be noted that it is </w:t>
      </w:r>
      <w:r w:rsidR="00177C9F" w:rsidRPr="00177C9F">
        <w:t xml:space="preserve">services that are </w:t>
      </w:r>
      <w:r w:rsidR="00785987">
        <w:t>ring-fenced</w:t>
      </w:r>
      <w:r w:rsidR="00177C9F" w:rsidRPr="00177C9F">
        <w:t xml:space="preserve">, not assets. The AER’s power under </w:t>
      </w:r>
      <w:r w:rsidR="00E73991">
        <w:t xml:space="preserve">the </w:t>
      </w:r>
      <w:r w:rsidR="00177C9F" w:rsidRPr="00177C9F">
        <w:t xml:space="preserve">NER to establish a </w:t>
      </w:r>
      <w:r w:rsidR="00785987">
        <w:t>ring-fencing</w:t>
      </w:r>
      <w:r w:rsidR="00177C9F" w:rsidRPr="00177C9F">
        <w:t xml:space="preserve"> guideline refers to the accounting and functional separation of </w:t>
      </w:r>
      <w:r w:rsidR="004424FB">
        <w:t>regulated</w:t>
      </w:r>
      <w:r w:rsidR="004424FB" w:rsidRPr="00177C9F">
        <w:t xml:space="preserve"> </w:t>
      </w:r>
      <w:r w:rsidR="00177C9F" w:rsidRPr="00177C9F">
        <w:t>direct control services (</w:t>
      </w:r>
      <w:r w:rsidR="004424FB" w:rsidRPr="00177C9F">
        <w:t xml:space="preserve">SCS </w:t>
      </w:r>
      <w:r w:rsidR="004424FB">
        <w:t>and</w:t>
      </w:r>
      <w:r w:rsidR="004424FB" w:rsidRPr="004424FB">
        <w:t xml:space="preserve"> </w:t>
      </w:r>
      <w:r w:rsidR="004424FB" w:rsidRPr="00177C9F">
        <w:t>ACS</w:t>
      </w:r>
      <w:r w:rsidR="00177C9F" w:rsidRPr="00177C9F">
        <w:t xml:space="preserve">) from other services. So if we or stakeholders took the view that energy storage </w:t>
      </w:r>
      <w:r w:rsidR="00282512">
        <w:t>devices,</w:t>
      </w:r>
      <w:r w:rsidR="00177C9F" w:rsidRPr="00177C9F">
        <w:t xml:space="preserve"> solar PV or meters needs to be </w:t>
      </w:r>
      <w:r w:rsidR="00785987">
        <w:t>ring-fenced</w:t>
      </w:r>
      <w:r w:rsidR="00177C9F" w:rsidRPr="00177C9F">
        <w:t xml:space="preserve">, we need to express this in terms of battery storage services, embedded generation services or metering services. </w:t>
      </w:r>
    </w:p>
    <w:p w:rsidR="001D3C78" w:rsidRDefault="001D3C78" w:rsidP="001D3C78">
      <w:pPr>
        <w:pStyle w:val="Heading2"/>
      </w:pPr>
      <w:bookmarkStart w:id="12" w:name="_Toc448838443"/>
      <w:r>
        <w:t xml:space="preserve">Is it possible to </w:t>
      </w:r>
      <w:r w:rsidR="00D86DB2">
        <w:t>ring-fence</w:t>
      </w:r>
      <w:r>
        <w:t xml:space="preserve"> </w:t>
      </w:r>
      <w:r w:rsidR="006918C0">
        <w:t>an asset</w:t>
      </w:r>
      <w:r>
        <w:t>?</w:t>
      </w:r>
      <w:bookmarkEnd w:id="12"/>
    </w:p>
    <w:p w:rsidR="001D3C78" w:rsidRDefault="001D3C78" w:rsidP="00177C9F">
      <w:r>
        <w:t xml:space="preserve">The short answer is </w:t>
      </w:r>
      <w:r w:rsidR="006918C0">
        <w:t xml:space="preserve">that </w:t>
      </w:r>
      <w:r w:rsidR="00C24462">
        <w:t xml:space="preserve">given the current rules </w:t>
      </w:r>
      <w:r w:rsidR="006918C0">
        <w:t xml:space="preserve">we </w:t>
      </w:r>
      <w:r w:rsidR="00E73991">
        <w:t>consider</w:t>
      </w:r>
      <w:r w:rsidR="00DD2D5C">
        <w:t xml:space="preserve"> it</w:t>
      </w:r>
      <w:r w:rsidR="000D754B">
        <w:t xml:space="preserve"> i</w:t>
      </w:r>
      <w:r w:rsidR="00DD2D5C">
        <w:t>s unlikely</w:t>
      </w:r>
      <w:r w:rsidR="001A2579">
        <w:t xml:space="preserve"> that assets can be </w:t>
      </w:r>
      <w:r w:rsidR="00785987">
        <w:t>ring-fenced</w:t>
      </w:r>
      <w:r>
        <w:t xml:space="preserve">. </w:t>
      </w:r>
      <w:r w:rsidR="00875116">
        <w:t>We anticipate</w:t>
      </w:r>
      <w:r w:rsidR="00177C9F">
        <w:t xml:space="preserve"> </w:t>
      </w:r>
      <w:r>
        <w:t>some stakeholders may</w:t>
      </w:r>
      <w:r w:rsidR="00177C9F">
        <w:t xml:space="preserve"> hold the view that certain assets types, such as </w:t>
      </w:r>
      <w:r>
        <w:t xml:space="preserve">energy </w:t>
      </w:r>
      <w:r w:rsidR="00177C9F">
        <w:t>storage devices</w:t>
      </w:r>
      <w:r>
        <w:t xml:space="preserve"> or load control devices,</w:t>
      </w:r>
      <w:r w:rsidR="00177C9F">
        <w:t xml:space="preserve"> should always be </w:t>
      </w:r>
      <w:r w:rsidR="00785987">
        <w:t>ring-fenced</w:t>
      </w:r>
      <w:r w:rsidR="00DD2D5C">
        <w:t xml:space="preserve"> and not provided by NSPs directly</w:t>
      </w:r>
      <w:r w:rsidR="00177C9F">
        <w:t xml:space="preserve">. That is, these devices should be </w:t>
      </w:r>
      <w:r w:rsidR="00785987">
        <w:t>ring-fenced</w:t>
      </w:r>
      <w:r w:rsidR="00177C9F">
        <w:t xml:space="preserve"> irrespective of whether they are used to provide a contestable service </w:t>
      </w:r>
      <w:r w:rsidR="00DD2D5C">
        <w:t xml:space="preserve">in a market </w:t>
      </w:r>
      <w:r w:rsidR="00177C9F">
        <w:t xml:space="preserve">or whether they are used </w:t>
      </w:r>
      <w:r w:rsidR="00DD2D5C">
        <w:t xml:space="preserve">purely </w:t>
      </w:r>
      <w:r w:rsidR="00177C9F">
        <w:t>as an input to the provision of regulated services</w:t>
      </w:r>
      <w:r w:rsidR="00DD2D5C">
        <w:t>,</w:t>
      </w:r>
      <w:r w:rsidR="00177C9F">
        <w:t xml:space="preserve"> due </w:t>
      </w:r>
      <w:r w:rsidR="00275A8F">
        <w:t xml:space="preserve">to </w:t>
      </w:r>
      <w:r w:rsidR="00177C9F">
        <w:t xml:space="preserve">the potential to crowd out </w:t>
      </w:r>
      <w:r w:rsidR="008D23C1">
        <w:t xml:space="preserve">alternative </w:t>
      </w:r>
      <w:r w:rsidR="00177C9F">
        <w:t>service providers</w:t>
      </w:r>
      <w:r w:rsidR="00DD2D5C">
        <w:t xml:space="preserve"> in either case</w:t>
      </w:r>
      <w:r w:rsidR="00177C9F">
        <w:t xml:space="preserve">. </w:t>
      </w:r>
    </w:p>
    <w:p w:rsidR="005F01C3" w:rsidRPr="005F01C3" w:rsidRDefault="005F01C3" w:rsidP="005F01C3">
      <w:r w:rsidRPr="005F01C3">
        <w:t>As the NER is currently written</w:t>
      </w:r>
      <w:r w:rsidR="001A2579">
        <w:t>,</w:t>
      </w:r>
      <w:r w:rsidRPr="005F01C3">
        <w:t xml:space="preserve"> the AER cannot prohibit an NSP from acquiring and using any given type of asset. We consider we are only able to require a particular </w:t>
      </w:r>
      <w:r w:rsidR="00785987">
        <w:lastRenderedPageBreak/>
        <w:t>ring-fencing</w:t>
      </w:r>
      <w:r w:rsidRPr="005F01C3">
        <w:t xml:space="preserve"> treatment of an asset where it is used to provide services to customers. However, we appreciate some stakeholders may consider more restrictive arrangements should be placed on use or ownership of certain types of assets. In particular, </w:t>
      </w:r>
      <w:r w:rsidR="003E38A5">
        <w:t>some may view that</w:t>
      </w:r>
      <w:r w:rsidR="001A2579">
        <w:t xml:space="preserve"> </w:t>
      </w:r>
      <w:r w:rsidR="004424FB">
        <w:t>NSPs should be restricted</w:t>
      </w:r>
      <w:r w:rsidRPr="005F01C3">
        <w:t xml:space="preserve"> </w:t>
      </w:r>
      <w:r w:rsidR="004424FB">
        <w:t>from acquiring</w:t>
      </w:r>
      <w:r w:rsidRPr="005F01C3">
        <w:t xml:space="preserve"> assets that are </w:t>
      </w:r>
      <w:proofErr w:type="gramStart"/>
      <w:r w:rsidRPr="005F01C3">
        <w:t>key</w:t>
      </w:r>
      <w:proofErr w:type="gramEnd"/>
      <w:r w:rsidRPr="005F01C3">
        <w:t xml:space="preserve"> to the development of emerging markets, such as energy storage and other types of d</w:t>
      </w:r>
      <w:r>
        <w:t>istributed</w:t>
      </w:r>
      <w:r w:rsidRPr="005F01C3">
        <w:t xml:space="preserve"> energy resources.</w:t>
      </w:r>
    </w:p>
    <w:p w:rsidR="001D3C78" w:rsidRDefault="001D3C78" w:rsidP="001D3C78">
      <w:pPr>
        <w:pStyle w:val="Heading2"/>
      </w:pPr>
      <w:bookmarkStart w:id="13" w:name="_Toc448838444"/>
      <w:r>
        <w:t xml:space="preserve">Services currently subject to </w:t>
      </w:r>
      <w:r w:rsidR="00785987">
        <w:t>ring-fencing</w:t>
      </w:r>
      <w:bookmarkEnd w:id="13"/>
      <w:r>
        <w:t xml:space="preserve"> </w:t>
      </w:r>
    </w:p>
    <w:p w:rsidR="00177C9F" w:rsidRPr="00177C9F" w:rsidRDefault="00177C9F" w:rsidP="00177C9F">
      <w:r w:rsidRPr="006D72C6">
        <w:t xml:space="preserve">The current jurisdictional approaches to determining </w:t>
      </w:r>
      <w:r w:rsidR="009A0713">
        <w:t>which</w:t>
      </w:r>
      <w:r w:rsidR="009A0713" w:rsidRPr="006D72C6">
        <w:t xml:space="preserve"> </w:t>
      </w:r>
      <w:r w:rsidRPr="006D72C6">
        <w:t xml:space="preserve">services </w:t>
      </w:r>
      <w:r w:rsidR="009A0713">
        <w:t xml:space="preserve">are </w:t>
      </w:r>
      <w:r w:rsidRPr="006D72C6">
        <w:t xml:space="preserve">to be subject to </w:t>
      </w:r>
      <w:r w:rsidR="00785987">
        <w:t>ring-fencing</w:t>
      </w:r>
      <w:r w:rsidRPr="006D72C6">
        <w:t xml:space="preserve"> are, for the most part, </w:t>
      </w:r>
      <w:r w:rsidRPr="00177C9F">
        <w:t xml:space="preserve">narrowly defined or specifically identified. In Victoria, only retail activities are </w:t>
      </w:r>
      <w:r w:rsidR="00785987">
        <w:t>ring-fenced</w:t>
      </w:r>
      <w:r w:rsidRPr="00177C9F">
        <w:t xml:space="preserve">. In Qld and the ACT, the list is slightly expanded to include production, sale and purchase of energy, as does the ACCC in its transmission </w:t>
      </w:r>
      <w:r w:rsidR="00785987">
        <w:t>ring-fencing</w:t>
      </w:r>
      <w:r w:rsidRPr="00177C9F">
        <w:t xml:space="preserve"> guideline. Other jurisdictions use a broader definition of ‘co</w:t>
      </w:r>
      <w:r w:rsidR="006918C0">
        <w:t>nt</w:t>
      </w:r>
      <w:r w:rsidR="00E73991">
        <w:t>estable services’. See table 3</w:t>
      </w:r>
      <w:r w:rsidR="006918C0">
        <w:t>.</w:t>
      </w:r>
    </w:p>
    <w:p w:rsidR="00177C9F" w:rsidRPr="00177C9F" w:rsidRDefault="00E73991" w:rsidP="00E73991">
      <w:pPr>
        <w:pStyle w:val="Charttitle"/>
      </w:pPr>
      <w:r>
        <w:t>Table 3</w:t>
      </w:r>
      <w:r w:rsidR="00177C9F" w:rsidRPr="00177C9F">
        <w:t xml:space="preserve"> Jurisdictional </w:t>
      </w:r>
      <w:r w:rsidR="00785987">
        <w:t>ring-fencing</w:t>
      </w:r>
      <w:r w:rsidR="00177C9F" w:rsidRPr="00177C9F">
        <w:t xml:space="preserve"> coverage</w:t>
      </w:r>
    </w:p>
    <w:tbl>
      <w:tblPr>
        <w:tblW w:w="0" w:type="auto"/>
        <w:tblBorders>
          <w:bottom w:val="single" w:sz="4" w:space="0" w:color="auto"/>
        </w:tblBorders>
        <w:tblLook w:val="04A0" w:firstRow="1" w:lastRow="0" w:firstColumn="1" w:lastColumn="0" w:noHBand="0" w:noVBand="1"/>
      </w:tblPr>
      <w:tblGrid>
        <w:gridCol w:w="2235"/>
        <w:gridCol w:w="6458"/>
      </w:tblGrid>
      <w:tr w:rsidR="00177C9F" w:rsidRPr="006D72C6" w:rsidTr="006B476F">
        <w:tc>
          <w:tcPr>
            <w:tcW w:w="2235" w:type="dxa"/>
            <w:shd w:val="clear" w:color="auto" w:fill="076A92"/>
          </w:tcPr>
          <w:p w:rsidR="00177C9F" w:rsidRPr="00177C9F" w:rsidRDefault="00177C9F" w:rsidP="00177C9F"/>
        </w:tc>
        <w:tc>
          <w:tcPr>
            <w:tcW w:w="6458" w:type="dxa"/>
            <w:shd w:val="clear" w:color="auto" w:fill="076A92"/>
          </w:tcPr>
          <w:p w:rsidR="00177C9F" w:rsidRPr="00177C9F" w:rsidRDefault="00177C9F" w:rsidP="00177C9F"/>
        </w:tc>
      </w:tr>
      <w:tr w:rsidR="00177C9F" w:rsidRPr="006D72C6" w:rsidTr="006B476F">
        <w:tc>
          <w:tcPr>
            <w:tcW w:w="2235" w:type="dxa"/>
            <w:shd w:val="clear" w:color="auto" w:fill="auto"/>
          </w:tcPr>
          <w:p w:rsidR="00177C9F" w:rsidRPr="00177C9F" w:rsidRDefault="00177C9F" w:rsidP="00177C9F">
            <w:r w:rsidRPr="00177C9F">
              <w:t>ICRC (ACT)</w:t>
            </w:r>
          </w:p>
        </w:tc>
        <w:tc>
          <w:tcPr>
            <w:tcW w:w="6458" w:type="dxa"/>
            <w:shd w:val="clear" w:color="auto" w:fill="auto"/>
          </w:tcPr>
          <w:p w:rsidR="00177C9F" w:rsidRPr="00177C9F" w:rsidRDefault="00177C9F" w:rsidP="00177C9F">
            <w:r w:rsidRPr="00177C9F">
              <w:t>Producing, selling or purchase of electricity</w:t>
            </w:r>
          </w:p>
        </w:tc>
      </w:tr>
      <w:tr w:rsidR="00177C9F" w:rsidRPr="006D72C6" w:rsidTr="006B476F">
        <w:tc>
          <w:tcPr>
            <w:tcW w:w="2235" w:type="dxa"/>
            <w:shd w:val="clear" w:color="auto" w:fill="DBE5F1"/>
          </w:tcPr>
          <w:p w:rsidR="00177C9F" w:rsidRPr="00177C9F" w:rsidRDefault="00177C9F" w:rsidP="00177C9F">
            <w:r w:rsidRPr="00177C9F">
              <w:t>QCA (Qld)</w:t>
            </w:r>
          </w:p>
        </w:tc>
        <w:tc>
          <w:tcPr>
            <w:tcW w:w="6458" w:type="dxa"/>
            <w:shd w:val="clear" w:color="auto" w:fill="DBE5F1"/>
          </w:tcPr>
          <w:p w:rsidR="00177C9F" w:rsidRPr="00177C9F" w:rsidRDefault="00177C9F" w:rsidP="00177C9F">
            <w:r w:rsidRPr="00177C9F">
              <w:t>Producing, selling or purchase of electricity</w:t>
            </w:r>
          </w:p>
        </w:tc>
      </w:tr>
      <w:tr w:rsidR="00177C9F" w:rsidRPr="006D72C6" w:rsidTr="006B476F">
        <w:tc>
          <w:tcPr>
            <w:tcW w:w="2235" w:type="dxa"/>
            <w:shd w:val="clear" w:color="auto" w:fill="auto"/>
          </w:tcPr>
          <w:p w:rsidR="00177C9F" w:rsidRPr="00177C9F" w:rsidRDefault="00177C9F" w:rsidP="00177C9F">
            <w:r w:rsidRPr="00177C9F">
              <w:t>ESCOSA (SA)</w:t>
            </w:r>
          </w:p>
        </w:tc>
        <w:tc>
          <w:tcPr>
            <w:tcW w:w="6458" w:type="dxa"/>
            <w:shd w:val="clear" w:color="auto" w:fill="auto"/>
          </w:tcPr>
          <w:p w:rsidR="00177C9F" w:rsidRPr="00177C9F" w:rsidRDefault="00177C9F" w:rsidP="00177C9F">
            <w:r w:rsidRPr="00177C9F">
              <w:t>Contestable business activities</w:t>
            </w:r>
          </w:p>
        </w:tc>
      </w:tr>
      <w:tr w:rsidR="00177C9F" w:rsidRPr="006D72C6" w:rsidTr="006B476F">
        <w:tc>
          <w:tcPr>
            <w:tcW w:w="2235" w:type="dxa"/>
            <w:shd w:val="clear" w:color="auto" w:fill="DBE5F1"/>
          </w:tcPr>
          <w:p w:rsidR="00177C9F" w:rsidRPr="00177C9F" w:rsidRDefault="00177C9F" w:rsidP="00177C9F">
            <w:r w:rsidRPr="00177C9F">
              <w:t>OTTER (</w:t>
            </w:r>
            <w:proofErr w:type="spellStart"/>
            <w:r w:rsidRPr="00177C9F">
              <w:t>Tas</w:t>
            </w:r>
            <w:proofErr w:type="spellEnd"/>
            <w:r w:rsidRPr="00177C9F">
              <w:t>)</w:t>
            </w:r>
          </w:p>
        </w:tc>
        <w:tc>
          <w:tcPr>
            <w:tcW w:w="6458" w:type="dxa"/>
            <w:shd w:val="clear" w:color="auto" w:fill="DBE5F1"/>
          </w:tcPr>
          <w:p w:rsidR="00177C9F" w:rsidRPr="00177C9F" w:rsidRDefault="00177C9F" w:rsidP="00177C9F">
            <w:r w:rsidRPr="00177C9F">
              <w:t>Contestable business activities or where customer contributions are paid for connection</w:t>
            </w:r>
          </w:p>
        </w:tc>
      </w:tr>
      <w:tr w:rsidR="00177C9F" w:rsidRPr="006D72C6" w:rsidTr="006B476F">
        <w:tc>
          <w:tcPr>
            <w:tcW w:w="2235" w:type="dxa"/>
            <w:shd w:val="clear" w:color="auto" w:fill="auto"/>
          </w:tcPr>
          <w:p w:rsidR="00177C9F" w:rsidRPr="00177C9F" w:rsidRDefault="00177C9F" w:rsidP="00177C9F">
            <w:r w:rsidRPr="00177C9F">
              <w:t>ESC (Vic)</w:t>
            </w:r>
          </w:p>
        </w:tc>
        <w:tc>
          <w:tcPr>
            <w:tcW w:w="6458" w:type="dxa"/>
            <w:shd w:val="clear" w:color="auto" w:fill="auto"/>
          </w:tcPr>
          <w:p w:rsidR="00177C9F" w:rsidRPr="00177C9F" w:rsidRDefault="00177C9F" w:rsidP="00177C9F">
            <w:r w:rsidRPr="00177C9F">
              <w:t>Business activities provided under a retail licence</w:t>
            </w:r>
          </w:p>
        </w:tc>
      </w:tr>
      <w:tr w:rsidR="00177C9F" w:rsidRPr="006D72C6" w:rsidTr="006B476F">
        <w:tc>
          <w:tcPr>
            <w:tcW w:w="2235" w:type="dxa"/>
            <w:shd w:val="clear" w:color="auto" w:fill="DBE5F1"/>
          </w:tcPr>
          <w:p w:rsidR="00177C9F" w:rsidRPr="00177C9F" w:rsidRDefault="00177C9F" w:rsidP="00177C9F">
            <w:r w:rsidRPr="00177C9F">
              <w:t>IPART (NSW)</w:t>
            </w:r>
          </w:p>
        </w:tc>
        <w:tc>
          <w:tcPr>
            <w:tcW w:w="6458" w:type="dxa"/>
            <w:shd w:val="clear" w:color="auto" w:fill="DBE5F1"/>
          </w:tcPr>
          <w:p w:rsidR="00177C9F" w:rsidRPr="00177C9F" w:rsidRDefault="00177C9F" w:rsidP="00177C9F">
            <w:r w:rsidRPr="00177C9F">
              <w:t>Regulated (prescribed) services are ring-fenced from contestable services</w:t>
            </w:r>
          </w:p>
        </w:tc>
      </w:tr>
      <w:tr w:rsidR="00177C9F" w:rsidRPr="006D72C6" w:rsidTr="006B476F">
        <w:tc>
          <w:tcPr>
            <w:tcW w:w="2235" w:type="dxa"/>
            <w:shd w:val="clear" w:color="auto" w:fill="auto"/>
          </w:tcPr>
          <w:p w:rsidR="00177C9F" w:rsidRPr="00177C9F" w:rsidRDefault="00177C9F" w:rsidP="00177C9F">
            <w:r w:rsidRPr="00177C9F">
              <w:t>ACCC (transmission)</w:t>
            </w:r>
          </w:p>
        </w:tc>
        <w:tc>
          <w:tcPr>
            <w:tcW w:w="6458" w:type="dxa"/>
            <w:shd w:val="clear" w:color="auto" w:fill="auto"/>
          </w:tcPr>
          <w:p w:rsidR="00177C9F" w:rsidRPr="00177C9F" w:rsidRDefault="00177C9F" w:rsidP="00177C9F">
            <w:r w:rsidRPr="00177C9F">
              <w:t>Generation, distribution and retail of electricity</w:t>
            </w:r>
          </w:p>
        </w:tc>
      </w:tr>
    </w:tbl>
    <w:p w:rsidR="001D3C78" w:rsidRDefault="008A3CD4" w:rsidP="001D3C78">
      <w:pPr>
        <w:pStyle w:val="Heading2"/>
      </w:pPr>
      <w:bookmarkStart w:id="14" w:name="_Toc448838445"/>
      <w:r>
        <w:t>Ring-fencing</w:t>
      </w:r>
      <w:r w:rsidR="00067D79">
        <w:t xml:space="preserve"> coverage</w:t>
      </w:r>
      <w:bookmarkEnd w:id="14"/>
    </w:p>
    <w:p w:rsidR="00507E21" w:rsidRDefault="001D3C78" w:rsidP="001D3C78">
      <w:r w:rsidRPr="006D72C6">
        <w:t xml:space="preserve">If </w:t>
      </w:r>
      <w:r w:rsidR="00785987">
        <w:t>ring-fencing</w:t>
      </w:r>
      <w:r w:rsidRPr="006D72C6">
        <w:t xml:space="preserve"> aims to separate regulated </w:t>
      </w:r>
      <w:r w:rsidR="001335B3">
        <w:t xml:space="preserve">services </w:t>
      </w:r>
      <w:r w:rsidRPr="006D72C6">
        <w:t xml:space="preserve">from unregulated services </w:t>
      </w:r>
      <w:r>
        <w:t xml:space="preserve">offered by an NSP, why not </w:t>
      </w:r>
      <w:r w:rsidR="00D86DB2">
        <w:t>ring-fence</w:t>
      </w:r>
      <w:r w:rsidRPr="006D72C6">
        <w:t xml:space="preserve"> all contestable services </w:t>
      </w:r>
      <w:r>
        <w:t>an NSP</w:t>
      </w:r>
      <w:r w:rsidRPr="006D72C6">
        <w:t xml:space="preserve"> offers? If the costs were not prohibitive, </w:t>
      </w:r>
      <w:r w:rsidR="00995FE9">
        <w:t xml:space="preserve">this </w:t>
      </w:r>
      <w:r w:rsidR="005F01C3">
        <w:t xml:space="preserve">might </w:t>
      </w:r>
      <w:r w:rsidR="00995FE9">
        <w:t xml:space="preserve">be </w:t>
      </w:r>
      <w:r w:rsidR="00067D79">
        <w:t xml:space="preserve">a </w:t>
      </w:r>
      <w:r w:rsidR="005F01C3">
        <w:t>suitable approach</w:t>
      </w:r>
      <w:r w:rsidRPr="006D72C6">
        <w:t xml:space="preserve">. </w:t>
      </w:r>
      <w:r w:rsidR="005F01C3">
        <w:t>Given there w</w:t>
      </w:r>
      <w:r w:rsidR="001A2579">
        <w:t>ill be cost</w:t>
      </w:r>
      <w:r w:rsidR="005F01C3">
        <w:t>s</w:t>
      </w:r>
      <w:r w:rsidR="001A2579">
        <w:t xml:space="preserve"> </w:t>
      </w:r>
      <w:r w:rsidR="005F01C3">
        <w:t xml:space="preserve">of compliance, </w:t>
      </w:r>
      <w:r w:rsidR="00404C24">
        <w:t xml:space="preserve">perhaps </w:t>
      </w:r>
      <w:r w:rsidR="00785987">
        <w:t>ring-fencing</w:t>
      </w:r>
      <w:r>
        <w:t xml:space="preserve"> </w:t>
      </w:r>
      <w:r w:rsidR="00404C24">
        <w:t>sh</w:t>
      </w:r>
      <w:r w:rsidR="005F01C3">
        <w:t xml:space="preserve">ould </w:t>
      </w:r>
      <w:r w:rsidR="001A2579">
        <w:t xml:space="preserve">still </w:t>
      </w:r>
      <w:r w:rsidR="005F01C3">
        <w:t xml:space="preserve">be applied by </w:t>
      </w:r>
      <w:r w:rsidR="001A2579">
        <w:t>default</w:t>
      </w:r>
      <w:r w:rsidR="00995FE9">
        <w:t>,</w:t>
      </w:r>
      <w:r w:rsidRPr="00177C9F">
        <w:t xml:space="preserve"> </w:t>
      </w:r>
      <w:r w:rsidR="001A2579">
        <w:t xml:space="preserve">but </w:t>
      </w:r>
      <w:r w:rsidRPr="00177C9F">
        <w:t xml:space="preserve">subject to </w:t>
      </w:r>
      <w:r w:rsidR="00404C24">
        <w:t xml:space="preserve">a </w:t>
      </w:r>
      <w:r w:rsidR="005F01C3">
        <w:t xml:space="preserve">consideration of </w:t>
      </w:r>
      <w:r w:rsidRPr="00177C9F">
        <w:t>the cost</w:t>
      </w:r>
      <w:r w:rsidR="001A2579">
        <w:t>s</w:t>
      </w:r>
      <w:r w:rsidR="00233611">
        <w:t xml:space="preserve"> </w:t>
      </w:r>
      <w:r w:rsidR="004424FB">
        <w:t>where these are material</w:t>
      </w:r>
      <w:r w:rsidRPr="00177C9F">
        <w:t>.</w:t>
      </w:r>
      <w:r w:rsidR="006918C0">
        <w:t xml:space="preserve"> </w:t>
      </w:r>
    </w:p>
    <w:p w:rsidR="001C4B6D" w:rsidRDefault="00507E21" w:rsidP="001D3C78">
      <w:r>
        <w:t xml:space="preserve">An alternative </w:t>
      </w:r>
      <w:r w:rsidR="00404C24">
        <w:t xml:space="preserve">and opposite </w:t>
      </w:r>
      <w:r w:rsidR="001C4B6D">
        <w:t>approach would be</w:t>
      </w:r>
      <w:r w:rsidR="006918C0">
        <w:t xml:space="preserve"> </w:t>
      </w:r>
      <w:r w:rsidR="005F01C3">
        <w:t xml:space="preserve">to assume </w:t>
      </w:r>
      <w:r w:rsidR="006918C0">
        <w:t>no harm</w:t>
      </w:r>
      <w:r w:rsidR="005F01C3">
        <w:t xml:space="preserve"> is</w:t>
      </w:r>
      <w:r w:rsidR="006918C0">
        <w:t xml:space="preserve"> caused by an NSP offering services in a contestable market, </w:t>
      </w:r>
      <w:r w:rsidR="001C4B6D">
        <w:t xml:space="preserve">unless </w:t>
      </w:r>
      <w:r w:rsidR="00404C24">
        <w:t>a</w:t>
      </w:r>
      <w:r w:rsidR="001C4B6D">
        <w:t xml:space="preserve"> net benefit </w:t>
      </w:r>
      <w:r w:rsidR="00404C24">
        <w:t>from the application of</w:t>
      </w:r>
      <w:r w:rsidR="001C4B6D">
        <w:t xml:space="preserve"> </w:t>
      </w:r>
      <w:r w:rsidR="00785987">
        <w:t>ring-fencing</w:t>
      </w:r>
      <w:r w:rsidR="001C4B6D">
        <w:t xml:space="preserve"> can be demonstrated</w:t>
      </w:r>
      <w:r w:rsidR="006918C0">
        <w:t>.</w:t>
      </w:r>
      <w:r>
        <w:t xml:space="preserve"> </w:t>
      </w:r>
      <w:r w:rsidR="00BE2D22">
        <w:t>This approach places the</w:t>
      </w:r>
      <w:r w:rsidR="00404C24">
        <w:t xml:space="preserve"> onus on consumers or </w:t>
      </w:r>
      <w:r w:rsidR="00404C24">
        <w:lastRenderedPageBreak/>
        <w:t>other stakeholders</w:t>
      </w:r>
      <w:r w:rsidR="00233611">
        <w:t>, such as potential competitors,</w:t>
      </w:r>
      <w:r w:rsidR="00404C24">
        <w:t xml:space="preserve"> to identify the situation where a service offered by an NSP could result in harm to consumers or the development of competitive markets.</w:t>
      </w:r>
    </w:p>
    <w:p w:rsidR="001D3C78" w:rsidRPr="00177C9F" w:rsidRDefault="001C4B6D" w:rsidP="001D3C78">
      <w:r>
        <w:t xml:space="preserve">Our preference is to adopt the first approach, which assumes </w:t>
      </w:r>
      <w:r w:rsidR="00785987">
        <w:t>ring-fencing</w:t>
      </w:r>
      <w:r>
        <w:t xml:space="preserve"> is beneficial to consumers</w:t>
      </w:r>
      <w:r w:rsidR="00404C24">
        <w:t>. We consider this approach is clearly beneficial to</w:t>
      </w:r>
      <w:r>
        <w:t xml:space="preserve"> the development of contestable markets. </w:t>
      </w:r>
      <w:r w:rsidR="00404C24">
        <w:t>Availability of information would also disadvantage consumers and other stakeholder</w:t>
      </w:r>
      <w:r w:rsidR="00233611">
        <w:t>s</w:t>
      </w:r>
      <w:r w:rsidR="00404C24">
        <w:t xml:space="preserve"> with respect to the alternative approach. </w:t>
      </w:r>
      <w:r>
        <w:t xml:space="preserve">We also </w:t>
      </w:r>
      <w:r w:rsidR="003E38A5">
        <w:t>believe</w:t>
      </w:r>
      <w:r>
        <w:t xml:space="preserve"> that </w:t>
      </w:r>
      <w:r w:rsidR="00067D79">
        <w:t>in those in</w:t>
      </w:r>
      <w:r>
        <w:t>stanc</w:t>
      </w:r>
      <w:r w:rsidR="00067D79">
        <w:t>es</w:t>
      </w:r>
      <w:r>
        <w:t xml:space="preserve"> where the costs of </w:t>
      </w:r>
      <w:r w:rsidR="00785987">
        <w:t>ring-fencing</w:t>
      </w:r>
      <w:r w:rsidR="00067D79">
        <w:t xml:space="preserve"> compliance</w:t>
      </w:r>
      <w:r>
        <w:t xml:space="preserve"> exceed the b</w:t>
      </w:r>
      <w:r w:rsidR="00067D79">
        <w:t>ene</w:t>
      </w:r>
      <w:r>
        <w:t xml:space="preserve">fits, there will be </w:t>
      </w:r>
      <w:r w:rsidR="00067D79">
        <w:t>opportunities</w:t>
      </w:r>
      <w:r>
        <w:t xml:space="preserve"> for NSP</w:t>
      </w:r>
      <w:r w:rsidR="00067D79">
        <w:t>s</w:t>
      </w:r>
      <w:r>
        <w:t xml:space="preserve"> to </w:t>
      </w:r>
      <w:r w:rsidR="00067D79">
        <w:t>submit</w:t>
      </w:r>
      <w:r>
        <w:t xml:space="preserve"> evidence </w:t>
      </w:r>
      <w:r w:rsidR="00067D79">
        <w:t xml:space="preserve">to us </w:t>
      </w:r>
      <w:r>
        <w:t>(to which they will have first</w:t>
      </w:r>
      <w:r w:rsidR="00233611">
        <w:t>-</w:t>
      </w:r>
      <w:r>
        <w:t xml:space="preserve">hand access) to put forward a case for a relaxation of </w:t>
      </w:r>
      <w:r w:rsidR="00785987">
        <w:t>ring-fencing</w:t>
      </w:r>
      <w:r>
        <w:t xml:space="preserve"> obligations through waiver</w:t>
      </w:r>
      <w:r w:rsidR="00067D79">
        <w:t>s</w:t>
      </w:r>
      <w:r>
        <w:t>, as discussed in section 5.</w:t>
      </w:r>
    </w:p>
    <w:p w:rsidR="00177C9F" w:rsidRPr="00177C9F" w:rsidRDefault="001C4B6D" w:rsidP="00177C9F">
      <w:r>
        <w:t xml:space="preserve">With respect to the services that will </w:t>
      </w:r>
      <w:r w:rsidR="00233611">
        <w:t xml:space="preserve">be </w:t>
      </w:r>
      <w:r>
        <w:t>subject to</w:t>
      </w:r>
      <w:r w:rsidR="00177C9F" w:rsidRPr="00177C9F">
        <w:t xml:space="preserve"> our </w:t>
      </w:r>
      <w:r w:rsidR="00785987">
        <w:t>ring-fencing</w:t>
      </w:r>
      <w:r w:rsidR="00177C9F" w:rsidRPr="00177C9F">
        <w:t xml:space="preserve"> guideline, there are a</w:t>
      </w:r>
      <w:r>
        <w:t>lso a</w:t>
      </w:r>
      <w:r w:rsidR="00177C9F" w:rsidRPr="00177C9F">
        <w:t xml:space="preserve"> few </w:t>
      </w:r>
      <w:r w:rsidR="00507E21">
        <w:t xml:space="preserve">alternative </w:t>
      </w:r>
      <w:r w:rsidR="00177C9F" w:rsidRPr="00177C9F">
        <w:t xml:space="preserve">options. </w:t>
      </w:r>
      <w:r w:rsidR="003D2F3E">
        <w:t>The</w:t>
      </w:r>
      <w:r w:rsidR="00BE2D22">
        <w:t>se</w:t>
      </w:r>
      <w:r w:rsidR="003D2F3E">
        <w:t xml:space="preserve"> options include</w:t>
      </w:r>
      <w:r w:rsidR="00177C9F" w:rsidRPr="00177C9F">
        <w:t>:</w:t>
      </w:r>
    </w:p>
    <w:p w:rsidR="00177C9F" w:rsidRPr="00177C9F" w:rsidRDefault="00682F17" w:rsidP="00635538">
      <w:pPr>
        <w:pStyle w:val="ListParagraph"/>
        <w:numPr>
          <w:ilvl w:val="0"/>
          <w:numId w:val="26"/>
        </w:numPr>
      </w:pPr>
      <w:proofErr w:type="gramStart"/>
      <w:r>
        <w:t>defin</w:t>
      </w:r>
      <w:r w:rsidR="00BE2D22">
        <w:t>ing</w:t>
      </w:r>
      <w:proofErr w:type="gramEnd"/>
      <w:r w:rsidR="00177C9F" w:rsidRPr="00177C9F">
        <w:t xml:space="preserve"> </w:t>
      </w:r>
      <w:r w:rsidR="00507E21">
        <w:t>a</w:t>
      </w:r>
      <w:r w:rsidR="00177C9F" w:rsidRPr="00177C9F">
        <w:t xml:space="preserve"> </w:t>
      </w:r>
      <w:r>
        <w:t xml:space="preserve">precise </w:t>
      </w:r>
      <w:r w:rsidR="00177C9F" w:rsidRPr="00177C9F">
        <w:t xml:space="preserve">list of services that would be </w:t>
      </w:r>
      <w:r w:rsidR="00507E21">
        <w:t>subject to</w:t>
      </w:r>
      <w:r w:rsidR="00177C9F" w:rsidRPr="00177C9F">
        <w:t xml:space="preserve"> the guideline, essentially taking a similar approach to the jurisdictions.</w:t>
      </w:r>
      <w:r w:rsidR="001C4B6D">
        <w:t xml:space="preserve"> This is the approach taken in most current jurisdictional </w:t>
      </w:r>
      <w:r w:rsidR="00233611">
        <w:t>guidelines</w:t>
      </w:r>
    </w:p>
    <w:p w:rsidR="00177C9F" w:rsidRPr="00177C9F" w:rsidRDefault="00BE2D22" w:rsidP="00635538">
      <w:pPr>
        <w:pStyle w:val="ListParagraph"/>
        <w:numPr>
          <w:ilvl w:val="0"/>
          <w:numId w:val="26"/>
        </w:numPr>
      </w:pPr>
      <w:r>
        <w:t>providing</w:t>
      </w:r>
      <w:r w:rsidR="00177C9F" w:rsidRPr="006D72C6">
        <w:t xml:space="preserve"> a general definition of services to be </w:t>
      </w:r>
      <w:r w:rsidR="00785987">
        <w:t>ring-fenced</w:t>
      </w:r>
    </w:p>
    <w:p w:rsidR="00177C9F" w:rsidRPr="00177C9F" w:rsidRDefault="00507E21" w:rsidP="00635538">
      <w:pPr>
        <w:pStyle w:val="ListParagraph"/>
        <w:numPr>
          <w:ilvl w:val="0"/>
          <w:numId w:val="26"/>
        </w:numPr>
      </w:pPr>
      <w:proofErr w:type="gramStart"/>
      <w:r>
        <w:t>periodically</w:t>
      </w:r>
      <w:proofErr w:type="gramEnd"/>
      <w:r>
        <w:t xml:space="preserve"> review</w:t>
      </w:r>
      <w:r w:rsidR="00BE2D22">
        <w:t>ing</w:t>
      </w:r>
      <w:r>
        <w:t xml:space="preserve"> the services offered </w:t>
      </w:r>
      <w:r w:rsidR="00995FE9">
        <w:t xml:space="preserve">by </w:t>
      </w:r>
      <w:r>
        <w:t>each NSP and determine</w:t>
      </w:r>
      <w:r w:rsidR="00177C9F" w:rsidRPr="006D72C6">
        <w:t xml:space="preserve"> which services </w:t>
      </w:r>
      <w:r>
        <w:t xml:space="preserve">will be subject to </w:t>
      </w:r>
      <w:r w:rsidR="00785987">
        <w:t>ring-fencing</w:t>
      </w:r>
      <w:r>
        <w:t xml:space="preserve"> at that time (that is, as part of the F&amp;A service classification</w:t>
      </w:r>
      <w:r w:rsidR="00995FE9">
        <w:t xml:space="preserve"> process</w:t>
      </w:r>
      <w:r>
        <w:t>)</w:t>
      </w:r>
      <w:r w:rsidR="00177C9F" w:rsidRPr="006D72C6">
        <w:t xml:space="preserve">. </w:t>
      </w:r>
    </w:p>
    <w:p w:rsidR="00177C9F" w:rsidRPr="00177C9F" w:rsidRDefault="00177C9F" w:rsidP="00177C9F">
      <w:r w:rsidRPr="006D72C6">
        <w:t xml:space="preserve">The advantage of option 1 (service list) is </w:t>
      </w:r>
      <w:r w:rsidRPr="00177C9F">
        <w:t>that a specific list of service</w:t>
      </w:r>
      <w:r w:rsidR="00995FE9">
        <w:t>s</w:t>
      </w:r>
      <w:r w:rsidRPr="00177C9F">
        <w:t xml:space="preserve"> would make clear precisely which services are </w:t>
      </w:r>
      <w:r w:rsidR="00785987">
        <w:t>ring-fenced</w:t>
      </w:r>
      <w:r w:rsidRPr="00177C9F">
        <w:t>, reducing uncertainty. Further, th</w:t>
      </w:r>
      <w:r w:rsidR="00233611">
        <w:t>is</w:t>
      </w:r>
      <w:r w:rsidRPr="00177C9F">
        <w:t xml:space="preserve"> mirrors th</w:t>
      </w:r>
      <w:r w:rsidR="00995FE9">
        <w:t>at of most</w:t>
      </w:r>
      <w:r w:rsidRPr="00177C9F">
        <w:t xml:space="preserve"> existing jurisdictional approaches that identified specific services like ‘generation, purchase or selling of energy’. Additional services, like metering or load control services that we might consider should be </w:t>
      </w:r>
      <w:r w:rsidR="00785987">
        <w:t>ring-fenced</w:t>
      </w:r>
      <w:r w:rsidRPr="00177C9F">
        <w:t xml:space="preserve"> could be added to the ‘list’. The main disadvantage of this approach is that is creates a new and separate regulatory decision making process</w:t>
      </w:r>
      <w:r w:rsidR="00995FE9">
        <w:t xml:space="preserve"> each time a new service is provided</w:t>
      </w:r>
      <w:r w:rsidRPr="00177C9F">
        <w:t xml:space="preserve">. </w:t>
      </w:r>
    </w:p>
    <w:p w:rsidR="00177C9F" w:rsidRPr="00177C9F" w:rsidRDefault="00177C9F" w:rsidP="00177C9F">
      <w:r w:rsidRPr="006D72C6">
        <w:t xml:space="preserve">The second option (broad definition) would be to define those services to be subject to </w:t>
      </w:r>
      <w:r w:rsidR="00785987">
        <w:t>ring-fencing</w:t>
      </w:r>
      <w:r w:rsidRPr="006D72C6">
        <w:t xml:space="preserve"> as ‘contestable and potentially contestable services’. </w:t>
      </w:r>
      <w:r w:rsidR="00995FE9">
        <w:t>This is similar to the way some jurisdictional regulators have defined ring-fenced services, such as IPART and ESC</w:t>
      </w:r>
      <w:r w:rsidR="001A0983">
        <w:t>O</w:t>
      </w:r>
      <w:r w:rsidR="00995FE9">
        <w:t xml:space="preserve">SA. </w:t>
      </w:r>
      <w:r w:rsidRPr="006D72C6">
        <w:t xml:space="preserve">This would leave it open to the AER to nominate services that must comply with the </w:t>
      </w:r>
      <w:r w:rsidR="00785987">
        <w:t>ring-fencing</w:t>
      </w:r>
      <w:r w:rsidRPr="006D72C6">
        <w:t xml:space="preserve"> obligations. As with option 1, this approach would create a new decision making </w:t>
      </w:r>
      <w:r w:rsidR="00BE2D22">
        <w:t>process</w:t>
      </w:r>
      <w:r w:rsidRPr="00177C9F">
        <w:t xml:space="preserve"> each time a new service was to be provided. This would create some uncertainty, which the </w:t>
      </w:r>
      <w:r w:rsidR="00785987">
        <w:t>ring-fencing</w:t>
      </w:r>
      <w:r w:rsidRPr="00177C9F">
        <w:t xml:space="preserve"> guideline is supposed to remove, according to the AEMC.</w:t>
      </w:r>
      <w:r w:rsidRPr="00177C9F">
        <w:rPr>
          <w:rStyle w:val="FootnoteReference"/>
        </w:rPr>
        <w:footnoteReference w:id="15"/>
      </w:r>
    </w:p>
    <w:p w:rsidR="00177C9F" w:rsidRPr="00177C9F" w:rsidRDefault="00177C9F" w:rsidP="00177C9F">
      <w:r w:rsidRPr="006D72C6">
        <w:t xml:space="preserve">Option 3 (classification) ties </w:t>
      </w:r>
      <w:r w:rsidR="00785987">
        <w:t>ring-fencing</w:t>
      </w:r>
      <w:r w:rsidRPr="006D72C6">
        <w:t xml:space="preserve"> obligations </w:t>
      </w:r>
      <w:r w:rsidR="00995FE9">
        <w:t xml:space="preserve">more closely </w:t>
      </w:r>
      <w:r w:rsidRPr="006D72C6">
        <w:t>to service classification</w:t>
      </w:r>
      <w:r w:rsidRPr="00177C9F">
        <w:t xml:space="preserve">. That is, the decision about which services will be subject </w:t>
      </w:r>
      <w:r w:rsidR="00452005">
        <w:t xml:space="preserve">to </w:t>
      </w:r>
      <w:r w:rsidR="00785987">
        <w:t>ring-fencing</w:t>
      </w:r>
      <w:r w:rsidRPr="00177C9F">
        <w:t xml:space="preserve"> </w:t>
      </w:r>
      <w:r w:rsidRPr="00177C9F">
        <w:lastRenderedPageBreak/>
        <w:t>is made at the same time the AER considers which services will be subject to regulation in the forthcoming regulatory control period. Once the classification of a service has been defined in terms of whether it should be regulated or otherwise (standard control, alternat</w:t>
      </w:r>
      <w:r w:rsidR="00452005">
        <w:t>iv</w:t>
      </w:r>
      <w:r w:rsidRPr="00177C9F">
        <w:t xml:space="preserve">e control, negotiated or unclassified) so would a decision be made, prima facie, as to </w:t>
      </w:r>
      <w:r w:rsidR="00785987">
        <w:t>ring-fencing</w:t>
      </w:r>
      <w:r w:rsidRPr="00177C9F">
        <w:t xml:space="preserve"> obligations. </w:t>
      </w:r>
    </w:p>
    <w:p w:rsidR="00177C9F" w:rsidRPr="00177C9F" w:rsidRDefault="00177C9F" w:rsidP="00177C9F">
      <w:r>
        <w:t xml:space="preserve">In a sense, the NER </w:t>
      </w:r>
      <w:r w:rsidRPr="00177C9F">
        <w:t xml:space="preserve">already links </w:t>
      </w:r>
      <w:r w:rsidR="00785987">
        <w:t>ring-fencing</w:t>
      </w:r>
      <w:r w:rsidRPr="00177C9F">
        <w:t xml:space="preserve"> to classification given a literal reading of </w:t>
      </w:r>
      <w:r w:rsidR="00BE2D22">
        <w:t xml:space="preserve">clause </w:t>
      </w:r>
      <w:r w:rsidRPr="00177C9F">
        <w:t>6.17.2. This approach allows the F&amp;A process to be used a</w:t>
      </w:r>
      <w:r w:rsidR="001C4B6D">
        <w:t>s a</w:t>
      </w:r>
      <w:r w:rsidRPr="00177C9F">
        <w:t xml:space="preserve"> vehicle for revisiting </w:t>
      </w:r>
      <w:r w:rsidR="00785987">
        <w:t>ring-fencing</w:t>
      </w:r>
      <w:r w:rsidRPr="00177C9F">
        <w:t xml:space="preserve"> prior to the lodgement of a regulatory proposal. Any changes to classification and therefore </w:t>
      </w:r>
      <w:r w:rsidR="00785987">
        <w:t>ring-fencing</w:t>
      </w:r>
      <w:r w:rsidRPr="00177C9F">
        <w:t xml:space="preserve"> obl</w:t>
      </w:r>
      <w:r w:rsidR="00785987">
        <w:t>ig</w:t>
      </w:r>
      <w:r w:rsidRPr="00177C9F">
        <w:t xml:space="preserve">ations would be considered prior to an NSP submitting its regulatory proposal. This means that no additional regulatory decision making process would be required. This approach also ties in with the need to make allowances for jurisdictional considerations as part of </w:t>
      </w:r>
      <w:r w:rsidR="00785987">
        <w:t>ring-fencing</w:t>
      </w:r>
      <w:r w:rsidRPr="00177C9F">
        <w:t xml:space="preserve">. The main disadvantage of this approach is that it potentially captures </w:t>
      </w:r>
      <w:r w:rsidR="00233611">
        <w:t>more</w:t>
      </w:r>
      <w:r w:rsidR="00233611" w:rsidRPr="00177C9F">
        <w:t xml:space="preserve"> </w:t>
      </w:r>
      <w:r w:rsidRPr="00177C9F">
        <w:t xml:space="preserve">services </w:t>
      </w:r>
      <w:r w:rsidR="00233611">
        <w:t xml:space="preserve">than may be really necessary </w:t>
      </w:r>
      <w:r w:rsidRPr="00177C9F">
        <w:t xml:space="preserve">and therefore may introduce </w:t>
      </w:r>
      <w:r w:rsidR="001A0983">
        <w:t>higher</w:t>
      </w:r>
      <w:r w:rsidR="001A0983" w:rsidRPr="00177C9F">
        <w:t xml:space="preserve"> </w:t>
      </w:r>
      <w:r w:rsidRPr="00177C9F">
        <w:t xml:space="preserve">costs of compliance. </w:t>
      </w:r>
    </w:p>
    <w:p w:rsidR="00177C9F" w:rsidRPr="00177C9F" w:rsidRDefault="00177C9F" w:rsidP="00177C9F">
      <w:r>
        <w:t xml:space="preserve">Given these three options, </w:t>
      </w:r>
      <w:r w:rsidRPr="00177C9F">
        <w:t xml:space="preserve">our preliminary view is to support option 3. The main reason is that there are strong similarities between the purpose of service classification and the purpose of </w:t>
      </w:r>
      <w:r w:rsidR="00785987">
        <w:t>ring-fencing</w:t>
      </w:r>
      <w:r w:rsidRPr="00177C9F">
        <w:t>. In determining the classification of services the AER is required to have regard to the form of regulation factors set out in the NEL</w:t>
      </w:r>
      <w:r w:rsidR="00BE2D22">
        <w:t>.</w:t>
      </w:r>
      <w:r w:rsidRPr="00BE2D22">
        <w:rPr>
          <w:rStyle w:val="Superscript"/>
        </w:rPr>
        <w:footnoteReference w:id="16"/>
      </w:r>
      <w:r w:rsidRPr="00177C9F">
        <w:t xml:space="preserve"> These factors are concerned with: barriers to third parties providing a service; the existence of substitute services; and interdependencies between the different services provided by a network business. In simple terms, the factors ask whether there is scope for the </w:t>
      </w:r>
      <w:r w:rsidR="00233611">
        <w:t xml:space="preserve">(competitive) </w:t>
      </w:r>
      <w:r w:rsidRPr="00177C9F">
        <w:t xml:space="preserve">provision of the service by third parties, or are the services inherently tied to the monopoly services provided by network businesses. The parts of the NER and NEL relevant to </w:t>
      </w:r>
      <w:r w:rsidR="00BE2D22">
        <w:t>classification are provided in a</w:t>
      </w:r>
      <w:r w:rsidRPr="00177C9F">
        <w:t>ppendix A.</w:t>
      </w:r>
    </w:p>
    <w:p w:rsidR="00177C9F" w:rsidRPr="00177C9F" w:rsidRDefault="00177C9F" w:rsidP="00177C9F">
      <w:r w:rsidRPr="00F70BCE">
        <w:t>In summary, t</w:t>
      </w:r>
      <w:r w:rsidRPr="00177C9F">
        <w:t xml:space="preserve">he advantages of the </w:t>
      </w:r>
      <w:r w:rsidR="00BE2D22">
        <w:t>option 3</w:t>
      </w:r>
      <w:r w:rsidRPr="00177C9F">
        <w:t xml:space="preserve"> are as follows:</w:t>
      </w:r>
    </w:p>
    <w:p w:rsidR="00177C9F" w:rsidRPr="00177C9F" w:rsidRDefault="00177C9F" w:rsidP="00EA4777">
      <w:pPr>
        <w:pStyle w:val="Bulletpoint"/>
      </w:pPr>
      <w:r>
        <w:t xml:space="preserve">links the classification decision to initial consideration of which services will be </w:t>
      </w:r>
      <w:r w:rsidR="00785987">
        <w:t>ring-fenced</w:t>
      </w:r>
      <w:r>
        <w:t xml:space="preserve"> (does not create a second administrative process)</w:t>
      </w:r>
    </w:p>
    <w:p w:rsidR="00177C9F" w:rsidRPr="00177C9F" w:rsidRDefault="00177C9F" w:rsidP="00EA4777">
      <w:pPr>
        <w:pStyle w:val="Bulletpoint"/>
      </w:pPr>
      <w:r>
        <w:t xml:space="preserve">provides an approach that tailors </w:t>
      </w:r>
      <w:r w:rsidR="00785987">
        <w:t>ring-fencing</w:t>
      </w:r>
      <w:r>
        <w:t xml:space="preserve"> to the requirements of each jurisdiction, as is the case for classification</w:t>
      </w:r>
    </w:p>
    <w:p w:rsidR="00177C9F" w:rsidRPr="00177C9F" w:rsidRDefault="00177C9F" w:rsidP="00EA4777">
      <w:pPr>
        <w:pStyle w:val="Bulletpoint"/>
      </w:pPr>
      <w:r>
        <w:t xml:space="preserve">provides for a 5 year review of </w:t>
      </w:r>
      <w:r w:rsidR="00785987">
        <w:t>ring-fencing</w:t>
      </w:r>
      <w:r>
        <w:t xml:space="preserve"> of an NSPs services with the F&amp;A and immediately prior to the regulatory proposal being submitted</w:t>
      </w:r>
    </w:p>
    <w:p w:rsidR="00177C9F" w:rsidRPr="00177C9F" w:rsidRDefault="00177C9F" w:rsidP="00EA4777">
      <w:pPr>
        <w:pStyle w:val="Bulletpoint"/>
      </w:pPr>
      <w:proofErr w:type="gramStart"/>
      <w:r>
        <w:t>effectively</w:t>
      </w:r>
      <w:proofErr w:type="gramEnd"/>
      <w:r>
        <w:t xml:space="preserve"> means all existing unregulated services, including retail and generation/wholesale services remain outside the NSPs remit. This would facilitate a continuation of restriction</w:t>
      </w:r>
      <w:r w:rsidR="00452005">
        <w:t>s</w:t>
      </w:r>
      <w:r>
        <w:t xml:space="preserve"> placed on NSPs by jurisdictional authorities.</w:t>
      </w:r>
    </w:p>
    <w:p w:rsidR="00177C9F" w:rsidRPr="00177C9F" w:rsidRDefault="00085BCD" w:rsidP="00177C9F">
      <w:r>
        <w:t xml:space="preserve">As noted </w:t>
      </w:r>
      <w:r w:rsidR="00233611">
        <w:t>above, however</w:t>
      </w:r>
      <w:r w:rsidR="00DE1A7B">
        <w:t xml:space="preserve">, this approach </w:t>
      </w:r>
      <w:r>
        <w:t xml:space="preserve">to </w:t>
      </w:r>
      <w:r w:rsidR="00785987">
        <w:t>ring-fencing</w:t>
      </w:r>
      <w:r>
        <w:t xml:space="preserve"> </w:t>
      </w:r>
      <w:r w:rsidR="00DE1A7B">
        <w:t xml:space="preserve">will </w:t>
      </w:r>
      <w:r w:rsidR="00177C9F" w:rsidRPr="00177C9F">
        <w:t xml:space="preserve">capture </w:t>
      </w:r>
      <w:r w:rsidR="00EE22E6">
        <w:t>some</w:t>
      </w:r>
      <w:r w:rsidR="00177C9F" w:rsidRPr="00177C9F">
        <w:t xml:space="preserve"> service</w:t>
      </w:r>
      <w:r w:rsidR="008D23C1">
        <w:t>s</w:t>
      </w:r>
      <w:r w:rsidR="00DE1A7B">
        <w:t xml:space="preserve"> </w:t>
      </w:r>
      <w:r w:rsidR="00EE22E6">
        <w:t xml:space="preserve">that may not warrant </w:t>
      </w:r>
      <w:r w:rsidR="00785987">
        <w:t>ring-fencing</w:t>
      </w:r>
      <w:r w:rsidR="00EE22E6">
        <w:t xml:space="preserve"> because the costs of </w:t>
      </w:r>
      <w:r w:rsidR="00785987">
        <w:t>ring-fencing</w:t>
      </w:r>
      <w:r w:rsidR="00EE22E6">
        <w:t xml:space="preserve"> exceed the benefits to consumers</w:t>
      </w:r>
      <w:r w:rsidR="00DE1A7B">
        <w:t>.</w:t>
      </w:r>
      <w:r w:rsidR="00177C9F" w:rsidRPr="00177C9F">
        <w:t xml:space="preserve"> </w:t>
      </w:r>
      <w:r w:rsidR="00DE1A7B">
        <w:t xml:space="preserve">However, </w:t>
      </w:r>
      <w:r w:rsidR="00233611">
        <w:t xml:space="preserve">this could be addressed through mechanisms such as </w:t>
      </w:r>
      <w:r w:rsidR="00785987">
        <w:t>ring-</w:t>
      </w:r>
      <w:r w:rsidR="00785987">
        <w:lastRenderedPageBreak/>
        <w:t>fencing</w:t>
      </w:r>
      <w:r w:rsidR="00177C9F" w:rsidRPr="00177C9F">
        <w:t xml:space="preserve"> waivers</w:t>
      </w:r>
      <w:r w:rsidR="004424FB">
        <w:t xml:space="preserve"> that</w:t>
      </w:r>
      <w:r w:rsidR="00233611">
        <w:t xml:space="preserve"> would</w:t>
      </w:r>
      <w:r w:rsidR="004424FB">
        <w:t xml:space="preserve"> </w:t>
      </w:r>
      <w:r w:rsidR="00DE1A7B">
        <w:t xml:space="preserve">exempt an NSP from ring-fencing obligations in </w:t>
      </w:r>
      <w:r w:rsidR="001A0983">
        <w:t>regard to specific services</w:t>
      </w:r>
      <w:r w:rsidR="00DE1A7B">
        <w:t xml:space="preserve">. </w:t>
      </w:r>
    </w:p>
    <w:p w:rsidR="00177C9F" w:rsidRDefault="00177C9F" w:rsidP="00177C9F">
      <w:r w:rsidRPr="000A7996">
        <w:t>Therefore</w:t>
      </w:r>
      <w:r w:rsidRPr="00177C9F">
        <w:t xml:space="preserve">, </w:t>
      </w:r>
      <w:r w:rsidR="00452005">
        <w:t>we</w:t>
      </w:r>
      <w:r w:rsidRPr="00177C9F">
        <w:t xml:space="preserve"> propose that all services offered by an NSP that are not direct control services </w:t>
      </w:r>
      <w:r w:rsidR="00B77588">
        <w:t xml:space="preserve">would </w:t>
      </w:r>
      <w:r w:rsidRPr="00177C9F">
        <w:t xml:space="preserve">be </w:t>
      </w:r>
      <w:r w:rsidR="00785987">
        <w:t>ring-fenced</w:t>
      </w:r>
      <w:r w:rsidRPr="00177C9F">
        <w:t xml:space="preserve"> unless a </w:t>
      </w:r>
      <w:r w:rsidR="00785987">
        <w:t>ring-fencing</w:t>
      </w:r>
      <w:r w:rsidRPr="00177C9F">
        <w:t xml:space="preserve"> waiver is in place. </w:t>
      </w:r>
    </w:p>
    <w:p w:rsidR="003D2F3E" w:rsidRPr="00177C9F" w:rsidRDefault="00541C93" w:rsidP="003D2F3E">
      <w:pPr>
        <w:pStyle w:val="Tabletitle"/>
      </w:pPr>
      <w:r>
        <w:t>Question 3</w:t>
      </w:r>
      <w:r w:rsidR="003D2F3E">
        <w:t xml:space="preserve">: </w:t>
      </w:r>
      <w:r w:rsidR="00E854E6" w:rsidRPr="00E854E6">
        <w:t xml:space="preserve">Do you agree with the service classification approach to </w:t>
      </w:r>
      <w:r w:rsidR="00785987">
        <w:t>ring-fencing</w:t>
      </w:r>
      <w:r w:rsidR="00E854E6" w:rsidRPr="00E854E6">
        <w:t xml:space="preserve"> which is discussed in section 3.3? Is there a better alternative?</w:t>
      </w:r>
    </w:p>
    <w:p w:rsidR="006A2FE1" w:rsidRDefault="006A2FE1" w:rsidP="006A2FE1">
      <w:pPr>
        <w:pStyle w:val="Heading2"/>
      </w:pPr>
      <w:bookmarkStart w:id="15" w:name="_Toc448838446"/>
      <w:r>
        <w:t>Case study—metering</w:t>
      </w:r>
      <w:bookmarkEnd w:id="15"/>
    </w:p>
    <w:p w:rsidR="00177C9F" w:rsidRPr="00177C9F" w:rsidRDefault="00177C9F" w:rsidP="00177C9F">
      <w:r w:rsidRPr="00177C9F">
        <w:t xml:space="preserve">What does this </w:t>
      </w:r>
      <w:r w:rsidR="00507E21">
        <w:t xml:space="preserve">preliminary </w:t>
      </w:r>
      <w:r w:rsidRPr="00177C9F">
        <w:t>approach mean for residential meter</w:t>
      </w:r>
      <w:r w:rsidR="00085BCD">
        <w:t xml:space="preserve">ing </w:t>
      </w:r>
      <w:r w:rsidR="00085BCD" w:rsidRPr="00177C9F">
        <w:t>s</w:t>
      </w:r>
      <w:r w:rsidR="00085BCD">
        <w:t>ervices</w:t>
      </w:r>
      <w:r w:rsidRPr="00177C9F">
        <w:t>?</w:t>
      </w:r>
    </w:p>
    <w:p w:rsidR="00177C9F" w:rsidRPr="00177C9F" w:rsidRDefault="00177C9F" w:rsidP="00177C9F">
      <w:r w:rsidRPr="006D72C6">
        <w:t xml:space="preserve">In the 2015 AER Determinations for </w:t>
      </w:r>
      <w:r w:rsidR="00CC3448">
        <w:t xml:space="preserve">the </w:t>
      </w:r>
      <w:r w:rsidRPr="006D72C6">
        <w:t xml:space="preserve">NSW and Qld </w:t>
      </w:r>
      <w:r w:rsidR="00CC3448">
        <w:t>electricity distributors</w:t>
      </w:r>
      <w:r w:rsidRPr="006D72C6">
        <w:t xml:space="preserve">, </w:t>
      </w:r>
      <w:r w:rsidR="00157AEC">
        <w:t>we</w:t>
      </w:r>
      <w:r w:rsidRPr="006D72C6">
        <w:t xml:space="preserve"> unbundled </w:t>
      </w:r>
      <w:r w:rsidR="00CC3448">
        <w:t xml:space="preserve">residential </w:t>
      </w:r>
      <w:r w:rsidRPr="006D72C6">
        <w:t>meter</w:t>
      </w:r>
      <w:r w:rsidR="004A50F5">
        <w:t>ing charge</w:t>
      </w:r>
      <w:r w:rsidRPr="006D72C6">
        <w:t xml:space="preserve">s from </w:t>
      </w:r>
      <w:r w:rsidR="00CC3448">
        <w:t xml:space="preserve">standard electricity charges. We did this to enable electricity consumers to choose </w:t>
      </w:r>
      <w:r w:rsidR="004A50F5">
        <w:t xml:space="preserve">to retain their existing </w:t>
      </w:r>
      <w:r w:rsidR="00CC3448">
        <w:t xml:space="preserve">metering service </w:t>
      </w:r>
      <w:r w:rsidR="004A50F5">
        <w:t xml:space="preserve">from the distributor or choose an alternative metering </w:t>
      </w:r>
      <w:r w:rsidR="00085BCD">
        <w:t xml:space="preserve">service </w:t>
      </w:r>
      <w:r w:rsidR="004A50F5">
        <w:t>provider</w:t>
      </w:r>
      <w:r w:rsidR="00CC3448">
        <w:t xml:space="preserve">. </w:t>
      </w:r>
      <w:r w:rsidR="00FA4406">
        <w:t>We</w:t>
      </w:r>
      <w:r w:rsidR="00CC3448">
        <w:t xml:space="preserve"> classified</w:t>
      </w:r>
      <w:r w:rsidRPr="006D72C6">
        <w:t xml:space="preserve"> </w:t>
      </w:r>
      <w:r w:rsidR="004A50F5">
        <w:t>metering</w:t>
      </w:r>
      <w:r w:rsidRPr="006D72C6">
        <w:t xml:space="preserve"> services </w:t>
      </w:r>
      <w:r w:rsidR="008B7967">
        <w:t xml:space="preserve">being provided by regulated entities (accumulation </w:t>
      </w:r>
      <w:r w:rsidR="004424FB">
        <w:t>and</w:t>
      </w:r>
      <w:r w:rsidR="008B7967">
        <w:t xml:space="preserve"> interval </w:t>
      </w:r>
      <w:r w:rsidR="004424FB">
        <w:t>type meters</w:t>
      </w:r>
      <w:r w:rsidR="008B7967">
        <w:t xml:space="preserve">) </w:t>
      </w:r>
      <w:r w:rsidRPr="006D72C6">
        <w:t xml:space="preserve">as </w:t>
      </w:r>
      <w:r w:rsidR="00BE2D22">
        <w:t>ACS</w:t>
      </w:r>
      <w:r w:rsidR="00120BCE">
        <w:t xml:space="preserve"> </w:t>
      </w:r>
      <w:r w:rsidRPr="006D72C6">
        <w:t>in preparation for metering becoming contestable.</w:t>
      </w:r>
      <w:r w:rsidR="00314749">
        <w:rPr>
          <w:rStyle w:val="FootnoteReference"/>
        </w:rPr>
        <w:footnoteReference w:id="17"/>
      </w:r>
      <w:r w:rsidRPr="006D72C6">
        <w:t xml:space="preserve"> </w:t>
      </w:r>
      <w:r w:rsidR="00FA4406">
        <w:t>B</w:t>
      </w:r>
      <w:r w:rsidR="00085BCD">
        <w:t>y unbundling metering services and setting cost reflective charges for metering services</w:t>
      </w:r>
      <w:r w:rsidR="00F0596A">
        <w:t xml:space="preserve"> that remove</w:t>
      </w:r>
      <w:r w:rsidR="00085BCD">
        <w:t xml:space="preserve"> </w:t>
      </w:r>
      <w:r w:rsidR="00F0596A">
        <w:t xml:space="preserve">cross subsidies, we assist </w:t>
      </w:r>
      <w:r w:rsidR="00085BCD">
        <w:t xml:space="preserve">the development of a contestable market for metering services. </w:t>
      </w:r>
      <w:r w:rsidRPr="006D72C6">
        <w:t xml:space="preserve">In </w:t>
      </w:r>
      <w:r w:rsidRPr="00177C9F">
        <w:t xml:space="preserve">jurisdictions where metering services are classified as ACS, no </w:t>
      </w:r>
      <w:r w:rsidR="00785987">
        <w:t>ring-fencing</w:t>
      </w:r>
      <w:r w:rsidRPr="00177C9F">
        <w:t xml:space="preserve"> obligations would apply as these are still being provided by NSPs on an exclusive basis. This is consistent with the AMEC’s observation that metering would not be subject to </w:t>
      </w:r>
      <w:r w:rsidR="00785987">
        <w:t>ring-fencing</w:t>
      </w:r>
      <w:r w:rsidRPr="00177C9F">
        <w:t xml:space="preserve"> while these services remained alternative control services.</w:t>
      </w:r>
      <w:r w:rsidRPr="00177C9F">
        <w:rPr>
          <w:rStyle w:val="FootnoteReference"/>
        </w:rPr>
        <w:footnoteReference w:id="18"/>
      </w:r>
    </w:p>
    <w:p w:rsidR="006F0556" w:rsidRDefault="00177C9F" w:rsidP="00177C9F">
      <w:r>
        <w:t xml:space="preserve">New metering related services (type 4 </w:t>
      </w:r>
      <w:r w:rsidR="00FE1C51">
        <w:t xml:space="preserve">"smart meters" </w:t>
      </w:r>
      <w:r>
        <w:t xml:space="preserve">or equivalent), including the Metering Coordinator, have not been classified </w:t>
      </w:r>
      <w:r w:rsidR="006F0556">
        <w:t>in any AER Determinations to date</w:t>
      </w:r>
      <w:r w:rsidR="00A0678A">
        <w:t xml:space="preserve"> and remain unregulated</w:t>
      </w:r>
      <w:r w:rsidR="006F0556">
        <w:t xml:space="preserve">. </w:t>
      </w:r>
      <w:r w:rsidR="00A0678A">
        <w:t xml:space="preserve">Significantly, such services will be opened up fully to competition from December 2017. </w:t>
      </w:r>
      <w:r w:rsidR="006F0556">
        <w:t xml:space="preserve">As </w:t>
      </w:r>
      <w:r w:rsidR="00FE1C51">
        <w:t xml:space="preserve">these services have not been </w:t>
      </w:r>
      <w:r w:rsidR="006F0556">
        <w:t>classified, if offered by an NSP</w:t>
      </w:r>
      <w:r w:rsidR="00FE1C51">
        <w:t xml:space="preserve"> they</w:t>
      </w:r>
      <w:r w:rsidR="006F0556">
        <w:t xml:space="preserve"> </w:t>
      </w:r>
      <w:r>
        <w:t xml:space="preserve">would be subject to </w:t>
      </w:r>
      <w:r w:rsidR="00785987">
        <w:t>ring-fencing</w:t>
      </w:r>
      <w:r>
        <w:t xml:space="preserve">. </w:t>
      </w:r>
    </w:p>
    <w:p w:rsidR="00177C9F" w:rsidRPr="00177C9F" w:rsidRDefault="006F0556" w:rsidP="00177C9F">
      <w:r>
        <w:t xml:space="preserve">In summary, </w:t>
      </w:r>
      <w:r w:rsidR="00785987">
        <w:t>ring-fencing</w:t>
      </w:r>
      <w:r w:rsidR="00177C9F" w:rsidRPr="00177C9F">
        <w:t xml:space="preserve"> would be imposed </w:t>
      </w:r>
      <w:r w:rsidR="00FE1C51">
        <w:t>on</w:t>
      </w:r>
      <w:r w:rsidR="00502970">
        <w:t xml:space="preserve"> </w:t>
      </w:r>
      <w:r>
        <w:t xml:space="preserve">services offered by </w:t>
      </w:r>
      <w:r w:rsidR="00177C9F" w:rsidRPr="00177C9F">
        <w:t xml:space="preserve">NSPs </w:t>
      </w:r>
      <w:r>
        <w:t>into</w:t>
      </w:r>
      <w:r w:rsidR="00177C9F" w:rsidRPr="00177C9F">
        <w:t xml:space="preserve"> the </w:t>
      </w:r>
      <w:r>
        <w:t xml:space="preserve">contestable </w:t>
      </w:r>
      <w:r w:rsidRPr="00177C9F">
        <w:t xml:space="preserve">market </w:t>
      </w:r>
      <w:r>
        <w:t xml:space="preserve">for </w:t>
      </w:r>
      <w:r w:rsidR="00177C9F" w:rsidRPr="00177C9F">
        <w:t>metering services.</w:t>
      </w:r>
      <w:r w:rsidR="008D23C1">
        <w:t xml:space="preserve"> However, regulated metering services (ACS) offered on an exclusive </w:t>
      </w:r>
      <w:r w:rsidR="00A0678A">
        <w:t xml:space="preserve">(or regulated) </w:t>
      </w:r>
      <w:r w:rsidR="008D23C1">
        <w:t xml:space="preserve">basis would not be subject to </w:t>
      </w:r>
      <w:r w:rsidR="00785987">
        <w:t>ring-fencing</w:t>
      </w:r>
      <w:r w:rsidR="008D23C1">
        <w:t>.</w:t>
      </w:r>
    </w:p>
    <w:p w:rsidR="00177C9F" w:rsidRPr="00177C9F" w:rsidRDefault="006A2FE1" w:rsidP="006A2FE1">
      <w:pPr>
        <w:pStyle w:val="Heading2"/>
      </w:pPr>
      <w:bookmarkStart w:id="16" w:name="_Toc448838447"/>
      <w:r>
        <w:t>Case study—NSP energy</w:t>
      </w:r>
      <w:r w:rsidR="00177C9F" w:rsidRPr="00177C9F">
        <w:t xml:space="preserve"> storage devices</w:t>
      </w:r>
      <w:bookmarkEnd w:id="16"/>
    </w:p>
    <w:p w:rsidR="00671CBB" w:rsidRDefault="00177C9F" w:rsidP="00177C9F">
      <w:r>
        <w:lastRenderedPageBreak/>
        <w:t xml:space="preserve">Distributed Energy Resources (DER) </w:t>
      </w:r>
      <w:r w:rsidRPr="00177C9F">
        <w:t xml:space="preserve">create some interesting issues for classification and </w:t>
      </w:r>
      <w:r w:rsidR="00785987">
        <w:t>ring-fencing</w:t>
      </w:r>
      <w:r w:rsidR="00067D79">
        <w:t xml:space="preserve"> given they can generate multiple value streams</w:t>
      </w:r>
      <w:r w:rsidR="00671CBB">
        <w:t xml:space="preserve">, which </w:t>
      </w:r>
      <w:r w:rsidR="004424FB">
        <w:t>stem from the different</w:t>
      </w:r>
      <w:r w:rsidR="00671CBB">
        <w:t xml:space="preserve"> use</w:t>
      </w:r>
      <w:r w:rsidR="004424FB">
        <w:t>s</w:t>
      </w:r>
      <w:r w:rsidR="00671CBB">
        <w:t xml:space="preserve"> </w:t>
      </w:r>
      <w:r w:rsidR="009F273B">
        <w:t>of</w:t>
      </w:r>
      <w:r w:rsidR="00671CBB">
        <w:t xml:space="preserve"> the</w:t>
      </w:r>
      <w:r w:rsidR="004424FB">
        <w:t>se</w:t>
      </w:r>
      <w:r w:rsidR="00671CBB">
        <w:t xml:space="preserve"> asset</w:t>
      </w:r>
      <w:r w:rsidR="009F273B">
        <w:t>s</w:t>
      </w:r>
      <w:r w:rsidRPr="00177C9F">
        <w:t xml:space="preserve">. </w:t>
      </w:r>
      <w:r w:rsidR="009F273B">
        <w:t>The uses include</w:t>
      </w:r>
      <w:r w:rsidR="00671CBB">
        <w:t xml:space="preserve">, for example, managing load congestion on networks or trading in electricity wholesale markets by storing and selling electricity as market prices vary. While </w:t>
      </w:r>
      <w:r w:rsidR="00067D79">
        <w:t xml:space="preserve">NSPs </w:t>
      </w:r>
      <w:r w:rsidR="00671CBB">
        <w:t>can use</w:t>
      </w:r>
      <w:r w:rsidR="000C65CF">
        <w:t xml:space="preserve"> these assets to help manage</w:t>
      </w:r>
      <w:r w:rsidR="00671CBB">
        <w:t xml:space="preserve"> their own networks, DER can be used </w:t>
      </w:r>
      <w:r w:rsidR="000C65CF">
        <w:t xml:space="preserve">by </w:t>
      </w:r>
      <w:r w:rsidR="00067D79">
        <w:t>third party service providers</w:t>
      </w:r>
      <w:r w:rsidR="000C65CF">
        <w:t xml:space="preserve"> to offer services </w:t>
      </w:r>
      <w:r w:rsidR="00671CBB">
        <w:t xml:space="preserve">to customers (which may include </w:t>
      </w:r>
      <w:r w:rsidR="009F273B">
        <w:t xml:space="preserve">offering services to </w:t>
      </w:r>
      <w:r w:rsidR="00671CBB">
        <w:t>NSPs)</w:t>
      </w:r>
      <w:r w:rsidR="00067D79">
        <w:t xml:space="preserve">. </w:t>
      </w:r>
    </w:p>
    <w:p w:rsidR="00401380" w:rsidRDefault="00951F6E" w:rsidP="00177C9F">
      <w:r>
        <w:t>Investment in</w:t>
      </w:r>
      <w:r w:rsidR="00671CBB">
        <w:t xml:space="preserve"> DER </w:t>
      </w:r>
      <w:r>
        <w:t xml:space="preserve">by NSPs </w:t>
      </w:r>
      <w:r w:rsidR="00671CBB">
        <w:t xml:space="preserve">has the potential to crowd out investment by competitive third party service providers. </w:t>
      </w:r>
      <w:r>
        <w:t xml:space="preserve">As a result there is potential for harm to the development of the market for DER related services. The </w:t>
      </w:r>
      <w:r w:rsidR="00785987">
        <w:t>ring-fencing</w:t>
      </w:r>
      <w:r>
        <w:t xml:space="preserve"> objectives aim to avoid this harm.</w:t>
      </w:r>
    </w:p>
    <w:p w:rsidR="00492E61" w:rsidRDefault="00177C9F" w:rsidP="00177C9F">
      <w:r w:rsidRPr="006D72C6">
        <w:t>I</w:t>
      </w:r>
      <w:r w:rsidRPr="00177C9F">
        <w:t xml:space="preserve">n the circumstance where </w:t>
      </w:r>
      <w:r w:rsidR="00FE1C51">
        <w:t xml:space="preserve">an NSP uses </w:t>
      </w:r>
      <w:r w:rsidRPr="00177C9F">
        <w:t xml:space="preserve">DER to </w:t>
      </w:r>
      <w:r w:rsidR="00067D79">
        <w:t>offer</w:t>
      </w:r>
      <w:r w:rsidR="00067D79" w:rsidRPr="00177C9F">
        <w:t xml:space="preserve"> </w:t>
      </w:r>
      <w:r w:rsidRPr="00177C9F">
        <w:t xml:space="preserve">a service into a </w:t>
      </w:r>
      <w:r w:rsidR="00951F6E">
        <w:t>competitive</w:t>
      </w:r>
      <w:r w:rsidR="00951F6E" w:rsidRPr="00177C9F">
        <w:t xml:space="preserve"> </w:t>
      </w:r>
      <w:r w:rsidRPr="00177C9F">
        <w:t xml:space="preserve">market, </w:t>
      </w:r>
      <w:r w:rsidR="006F1077">
        <w:t xml:space="preserve">such as </w:t>
      </w:r>
      <w:r w:rsidR="00FE1C51">
        <w:t xml:space="preserve">the </w:t>
      </w:r>
      <w:r w:rsidR="006F1077">
        <w:t xml:space="preserve">wholesale market </w:t>
      </w:r>
      <w:r w:rsidR="00FE1C51">
        <w:t>for electricity</w:t>
      </w:r>
      <w:r w:rsidR="006F1077">
        <w:t xml:space="preserve">, </w:t>
      </w:r>
      <w:r w:rsidR="00FE1C51">
        <w:t>the service</w:t>
      </w:r>
      <w:r w:rsidR="00FE1C51" w:rsidRPr="00177C9F">
        <w:t xml:space="preserve"> </w:t>
      </w:r>
      <w:r w:rsidRPr="00177C9F">
        <w:t xml:space="preserve">would </w:t>
      </w:r>
      <w:r w:rsidR="00FA4406" w:rsidRPr="00177C9F">
        <w:t xml:space="preserve">not </w:t>
      </w:r>
      <w:r w:rsidRPr="00177C9F">
        <w:t>be classified</w:t>
      </w:r>
      <w:r w:rsidR="00492E61">
        <w:t xml:space="preserve"> as a direct control service</w:t>
      </w:r>
      <w:r w:rsidRPr="00177C9F">
        <w:t xml:space="preserve"> and therefore </w:t>
      </w:r>
      <w:r w:rsidR="00AC38F1">
        <w:t xml:space="preserve">would be </w:t>
      </w:r>
      <w:r w:rsidR="00785987">
        <w:t>ring-fenced</w:t>
      </w:r>
      <w:r w:rsidRPr="00177C9F">
        <w:t xml:space="preserve"> under the approach</w:t>
      </w:r>
      <w:r w:rsidR="00AC38F1" w:rsidRPr="00AC38F1">
        <w:t xml:space="preserve"> </w:t>
      </w:r>
      <w:r w:rsidR="00AC38F1" w:rsidRPr="00177C9F">
        <w:t>proposed</w:t>
      </w:r>
      <w:r w:rsidR="00AC38F1">
        <w:t xml:space="preserve"> in this paper</w:t>
      </w:r>
      <w:r w:rsidRPr="00177C9F">
        <w:t xml:space="preserve">. </w:t>
      </w:r>
    </w:p>
    <w:p w:rsidR="00177C9F" w:rsidRPr="00177C9F" w:rsidRDefault="00FE1C51" w:rsidP="00177C9F">
      <w:r>
        <w:t>Alternatively</w:t>
      </w:r>
      <w:r w:rsidR="00177C9F" w:rsidRPr="00177C9F">
        <w:t xml:space="preserve">, if a DER device was used </w:t>
      </w:r>
      <w:r>
        <w:t xml:space="preserve">exclusively </w:t>
      </w:r>
      <w:r w:rsidR="00177C9F" w:rsidRPr="00177C9F">
        <w:t>as an input to providing standard control network services,</w:t>
      </w:r>
      <w:r w:rsidR="006F1077">
        <w:t xml:space="preserve"> </w:t>
      </w:r>
      <w:r>
        <w:t>for example, to</w:t>
      </w:r>
      <w:r w:rsidR="006F1077">
        <w:t xml:space="preserve"> </w:t>
      </w:r>
      <w:r>
        <w:t>smooth</w:t>
      </w:r>
      <w:r w:rsidR="006F1077">
        <w:t xml:space="preserve"> demand peaks </w:t>
      </w:r>
      <w:r>
        <w:t>thereby</w:t>
      </w:r>
      <w:r w:rsidR="006F1077">
        <w:t xml:space="preserve"> mitigating network augmentation,</w:t>
      </w:r>
      <w:r w:rsidR="00177C9F" w:rsidRPr="00177C9F">
        <w:t xml:space="preserve"> then no </w:t>
      </w:r>
      <w:r w:rsidR="00785987">
        <w:t>ring-fencing</w:t>
      </w:r>
      <w:r w:rsidR="00177C9F" w:rsidRPr="00177C9F">
        <w:t xml:space="preserve"> would apply</w:t>
      </w:r>
      <w:r w:rsidR="00A0678A">
        <w:t xml:space="preserve"> in relation to the </w:t>
      </w:r>
      <w:r w:rsidR="00492E61">
        <w:t xml:space="preserve">function provided by this </w:t>
      </w:r>
      <w:r w:rsidR="00A0678A">
        <w:t>device</w:t>
      </w:r>
      <w:r w:rsidR="00177C9F" w:rsidRPr="00177C9F">
        <w:t xml:space="preserve">. This is because </w:t>
      </w:r>
      <w:r>
        <w:t xml:space="preserve">the </w:t>
      </w:r>
      <w:r w:rsidR="00492E61">
        <w:t xml:space="preserve">device is </w:t>
      </w:r>
      <w:r>
        <w:t xml:space="preserve">being </w:t>
      </w:r>
      <w:r w:rsidR="00492E61">
        <w:t xml:space="preserve">used </w:t>
      </w:r>
      <w:r w:rsidR="00FA4406">
        <w:t>exclusively as</w:t>
      </w:r>
      <w:r w:rsidR="00492E61">
        <w:t xml:space="preserve"> an input </w:t>
      </w:r>
      <w:r w:rsidR="00FA4406">
        <w:t xml:space="preserve">to </w:t>
      </w:r>
      <w:r w:rsidR="00492E61">
        <w:t xml:space="preserve">the provision of </w:t>
      </w:r>
      <w:r w:rsidR="008B7967">
        <w:t xml:space="preserve">a regulated </w:t>
      </w:r>
      <w:r w:rsidR="00C40946">
        <w:t>standard control network service</w:t>
      </w:r>
      <w:r>
        <w:t>.</w:t>
      </w:r>
      <w:r w:rsidR="00177C9F" w:rsidRPr="00177C9F">
        <w:t xml:space="preserve"> </w:t>
      </w:r>
      <w:r>
        <w:t>However, s</w:t>
      </w:r>
      <w:r w:rsidR="00177C9F" w:rsidRPr="00177C9F">
        <w:t>hould an NSP use one of these non-</w:t>
      </w:r>
      <w:r w:rsidR="00785987">
        <w:t>ring-fenced</w:t>
      </w:r>
      <w:r w:rsidR="00177C9F" w:rsidRPr="00177C9F">
        <w:t xml:space="preserve"> assets to </w:t>
      </w:r>
      <w:r w:rsidR="00492E61">
        <w:t>offer a service into</w:t>
      </w:r>
      <w:r w:rsidR="00177C9F" w:rsidRPr="00177C9F">
        <w:t xml:space="preserve"> </w:t>
      </w:r>
      <w:r w:rsidR="00492E61">
        <w:t xml:space="preserve">a </w:t>
      </w:r>
      <w:r w:rsidR="00177C9F" w:rsidRPr="00177C9F">
        <w:t xml:space="preserve">contestable market, the NSP would be in breach of its </w:t>
      </w:r>
      <w:r w:rsidR="00785987">
        <w:t>ring-fencing</w:t>
      </w:r>
      <w:r w:rsidR="00177C9F" w:rsidRPr="00177C9F">
        <w:t xml:space="preserve"> obligations</w:t>
      </w:r>
      <w:r w:rsidR="00C40946">
        <w:t xml:space="preserve">, since such a service should be </w:t>
      </w:r>
      <w:r w:rsidR="00785987">
        <w:t>ring-fenced</w:t>
      </w:r>
      <w:r w:rsidR="00C40946">
        <w:t xml:space="preserve"> and only be provided through a </w:t>
      </w:r>
      <w:r w:rsidR="00785987">
        <w:t>ring-fenced</w:t>
      </w:r>
      <w:r w:rsidR="00C40946">
        <w:t xml:space="preserve"> </w:t>
      </w:r>
      <w:proofErr w:type="gramStart"/>
      <w:r w:rsidR="00C40946">
        <w:t>entity</w:t>
      </w:r>
      <w:r w:rsidR="00177C9F" w:rsidRPr="00177C9F">
        <w:t>.</w:t>
      </w:r>
      <w:proofErr w:type="gramEnd"/>
      <w:r w:rsidR="00492E61">
        <w:t xml:space="preserve"> To offer these services, the NSP would need to offer the service via a </w:t>
      </w:r>
      <w:r w:rsidR="00785987">
        <w:t>ring-fenced</w:t>
      </w:r>
      <w:r w:rsidR="00492E61">
        <w:t xml:space="preserve"> affiliate or could avoid </w:t>
      </w:r>
      <w:r w:rsidR="00785987">
        <w:t>ring-fencing</w:t>
      </w:r>
      <w:r w:rsidR="00492E61">
        <w:t xml:space="preserve"> entirely if the </w:t>
      </w:r>
      <w:r w:rsidR="00FA4406">
        <w:t>service</w:t>
      </w:r>
      <w:r w:rsidR="00492E61">
        <w:t xml:space="preserve"> is offered via a structurally (ownership) separated entity.</w:t>
      </w:r>
    </w:p>
    <w:p w:rsidR="00177C9F" w:rsidRPr="00177C9F" w:rsidRDefault="00F91049" w:rsidP="00177C9F">
      <w:r>
        <w:t>A</w:t>
      </w:r>
      <w:r w:rsidR="00FE1C51">
        <w:t xml:space="preserve">n NSP has options in the way that it could </w:t>
      </w:r>
      <w:r>
        <w:t>employ</w:t>
      </w:r>
      <w:r w:rsidR="00FE1C51">
        <w:t xml:space="preserve"> DER, </w:t>
      </w:r>
      <w:r>
        <w:t xml:space="preserve">and with </w:t>
      </w:r>
      <w:r w:rsidR="00FE1C51">
        <w:t xml:space="preserve">each </w:t>
      </w:r>
      <w:r>
        <w:t>option there are</w:t>
      </w:r>
      <w:r w:rsidR="00FE1C51">
        <w:t xml:space="preserve"> different </w:t>
      </w:r>
      <w:r w:rsidR="00785987">
        <w:t>ring-fencing</w:t>
      </w:r>
      <w:r w:rsidR="00FE1C51">
        <w:t xml:space="preserve"> implications. </w:t>
      </w:r>
      <w:r w:rsidR="00177C9F">
        <w:t>Consider</w:t>
      </w:r>
      <w:r w:rsidR="00177C9F" w:rsidRPr="00177C9F">
        <w:t xml:space="preserve"> an NSP choosing </w:t>
      </w:r>
      <w:r>
        <w:t>how</w:t>
      </w:r>
      <w:r w:rsidRPr="00177C9F">
        <w:t xml:space="preserve"> </w:t>
      </w:r>
      <w:r w:rsidR="00177C9F" w:rsidRPr="00177C9F">
        <w:t>it should invest in a DER device to manage a shared network issue. The NSP would have three options (at least) in which it could secure the use of the device. The NSP could</w:t>
      </w:r>
      <w:r w:rsidR="006B476F">
        <w:t xml:space="preserve"> choose to</w:t>
      </w:r>
      <w:r w:rsidR="00177C9F" w:rsidRPr="00177C9F">
        <w:t>:</w:t>
      </w:r>
    </w:p>
    <w:p w:rsidR="00177C9F" w:rsidRPr="00177C9F" w:rsidRDefault="006861E8" w:rsidP="006B476F">
      <w:pPr>
        <w:pStyle w:val="ListParagraph"/>
        <w:numPr>
          <w:ilvl w:val="0"/>
          <w:numId w:val="32"/>
        </w:numPr>
      </w:pPr>
      <w:r>
        <w:t xml:space="preserve">Acquire </w:t>
      </w:r>
      <w:r w:rsidR="00987A3C">
        <w:t>a DER device</w:t>
      </w:r>
      <w:r w:rsidR="006B476F">
        <w:t xml:space="preserve"> to provide </w:t>
      </w:r>
      <w:r w:rsidR="00492E61">
        <w:t xml:space="preserve">direct </w:t>
      </w:r>
      <w:r w:rsidR="006B476F">
        <w:t>control services only. I</w:t>
      </w:r>
      <w:r w:rsidR="006B476F" w:rsidRPr="006B476F">
        <w:t xml:space="preserve">f the asset is only used </w:t>
      </w:r>
      <w:r w:rsidR="00987A3C">
        <w:t xml:space="preserve">as an input </w:t>
      </w:r>
      <w:r w:rsidR="006B476F" w:rsidRPr="006B476F">
        <w:t xml:space="preserve">to provide a standard control network service, </w:t>
      </w:r>
      <w:r w:rsidR="00CD0EAC">
        <w:t xml:space="preserve">an NSP might argue that </w:t>
      </w:r>
      <w:r w:rsidR="00F91049">
        <w:t xml:space="preserve">no </w:t>
      </w:r>
      <w:r w:rsidR="00785987">
        <w:t>ring-fencing</w:t>
      </w:r>
      <w:r w:rsidR="00F91049">
        <w:t xml:space="preserve"> is required </w:t>
      </w:r>
      <w:r w:rsidR="00987A3C">
        <w:t xml:space="preserve">because </w:t>
      </w:r>
      <w:r w:rsidR="00F91049">
        <w:t>the DER device forms part of a</w:t>
      </w:r>
      <w:r w:rsidR="00987A3C">
        <w:t xml:space="preserve"> standard control service</w:t>
      </w:r>
      <w:r w:rsidR="006B476F" w:rsidRPr="006B476F">
        <w:t xml:space="preserve">. </w:t>
      </w:r>
      <w:r w:rsidR="00987A3C">
        <w:t>Consistent with all assets used to provide standard control services, t</w:t>
      </w:r>
      <w:r w:rsidR="006B476F">
        <w:t xml:space="preserve">he asset would be </w:t>
      </w:r>
      <w:r w:rsidR="00177C9F" w:rsidRPr="00177C9F">
        <w:t>add</w:t>
      </w:r>
      <w:r w:rsidR="006B476F">
        <w:t>ed</w:t>
      </w:r>
      <w:r w:rsidR="00177C9F" w:rsidRPr="00177C9F">
        <w:t xml:space="preserve"> to the RAB. </w:t>
      </w:r>
      <w:r w:rsidR="006B476F">
        <w:t>However, i</w:t>
      </w:r>
      <w:r w:rsidR="00987A3C">
        <w:t>f the asset wa</w:t>
      </w:r>
      <w:r w:rsidR="00177C9F" w:rsidRPr="00177C9F">
        <w:t xml:space="preserve">s used to provide a service that is offered in a contestable market, the NSP would be in breach of its </w:t>
      </w:r>
      <w:r w:rsidR="00785987">
        <w:t>ring-fencing</w:t>
      </w:r>
      <w:r w:rsidR="00177C9F" w:rsidRPr="00177C9F">
        <w:t xml:space="preserve"> obligation</w:t>
      </w:r>
      <w:r w:rsidR="00987A3C">
        <w:t>s</w:t>
      </w:r>
      <w:r w:rsidR="00177C9F" w:rsidRPr="00177C9F">
        <w:t xml:space="preserve">. </w:t>
      </w:r>
    </w:p>
    <w:p w:rsidR="00177C9F" w:rsidRPr="00177C9F" w:rsidRDefault="006861E8" w:rsidP="006B476F">
      <w:pPr>
        <w:pStyle w:val="ListParagraph"/>
        <w:numPr>
          <w:ilvl w:val="0"/>
          <w:numId w:val="32"/>
        </w:numPr>
      </w:pPr>
      <w:r>
        <w:t>Through</w:t>
      </w:r>
      <w:r w:rsidRPr="006D72C6">
        <w:t xml:space="preserve"> </w:t>
      </w:r>
      <w:r w:rsidR="00177C9F" w:rsidRPr="006D72C6">
        <w:t xml:space="preserve">a separate </w:t>
      </w:r>
      <w:r w:rsidR="00785987">
        <w:t>ring-fenced</w:t>
      </w:r>
      <w:r w:rsidR="00177C9F" w:rsidRPr="00177C9F">
        <w:t xml:space="preserve"> legal entity that it owns</w:t>
      </w:r>
      <w:r w:rsidR="00795869">
        <w:t>,</w:t>
      </w:r>
      <w:r w:rsidR="00177C9F" w:rsidRPr="00177C9F">
        <w:t xml:space="preserve"> </w:t>
      </w:r>
      <w:r>
        <w:t>purchase</w:t>
      </w:r>
      <w:r w:rsidR="00795869">
        <w:t xml:space="preserve"> </w:t>
      </w:r>
      <w:r w:rsidR="00177C9F" w:rsidRPr="00177C9F">
        <w:t xml:space="preserve">the </w:t>
      </w:r>
      <w:r>
        <w:t xml:space="preserve">DER </w:t>
      </w:r>
      <w:r w:rsidR="00177C9F" w:rsidRPr="00177C9F">
        <w:t xml:space="preserve">device. The </w:t>
      </w:r>
      <w:r w:rsidR="00785987">
        <w:t>ring-fenced</w:t>
      </w:r>
      <w:r w:rsidR="00177C9F" w:rsidRPr="00177C9F">
        <w:t xml:space="preserve"> entity </w:t>
      </w:r>
      <w:r w:rsidR="00987A3C">
        <w:t xml:space="preserve">utilises the asset to </w:t>
      </w:r>
      <w:r w:rsidR="00177C9F" w:rsidRPr="00177C9F">
        <w:t xml:space="preserve">offer services into a contestable market or to its parent NSP. </w:t>
      </w:r>
      <w:r w:rsidR="00987A3C">
        <w:t>In this circumstance, the contestable service on offer would not be classified (or regulated) by us and t</w:t>
      </w:r>
      <w:r w:rsidR="00177C9F" w:rsidRPr="00177C9F">
        <w:t xml:space="preserve">he asset </w:t>
      </w:r>
      <w:r w:rsidR="00177C9F" w:rsidRPr="00177C9F">
        <w:lastRenderedPageBreak/>
        <w:t>would not be added to the RAB. The regu</w:t>
      </w:r>
      <w:r w:rsidR="00987A3C">
        <w:t>lated NSP could buy the service</w:t>
      </w:r>
      <w:r w:rsidR="00177C9F" w:rsidRPr="00177C9F">
        <w:t xml:space="preserve"> </w:t>
      </w:r>
      <w:r w:rsidR="00987A3C">
        <w:t>for</w:t>
      </w:r>
      <w:r w:rsidR="00177C9F" w:rsidRPr="00177C9F">
        <w:t xml:space="preserve"> network purposes</w:t>
      </w:r>
      <w:r w:rsidR="00987A3C">
        <w:t xml:space="preserve"> (as needed)</w:t>
      </w:r>
      <w:r w:rsidR="00177C9F" w:rsidRPr="00177C9F">
        <w:t xml:space="preserve">, </w:t>
      </w:r>
      <w:r w:rsidR="00987A3C">
        <w:t>using</w:t>
      </w:r>
      <w:r w:rsidR="00177C9F" w:rsidRPr="00177C9F">
        <w:t xml:space="preserve"> </w:t>
      </w:r>
      <w:r w:rsidR="00FA4406">
        <w:t xml:space="preserve">part of </w:t>
      </w:r>
      <w:r w:rsidR="00177C9F" w:rsidRPr="00177C9F">
        <w:t xml:space="preserve">its opex </w:t>
      </w:r>
      <w:r w:rsidR="00797DF5">
        <w:t>allowance</w:t>
      </w:r>
      <w:r w:rsidR="00177C9F" w:rsidRPr="00177C9F">
        <w:t xml:space="preserve">. </w:t>
      </w:r>
    </w:p>
    <w:p w:rsidR="00177C9F" w:rsidRPr="00177C9F" w:rsidRDefault="00492E61" w:rsidP="006B476F">
      <w:pPr>
        <w:pStyle w:val="ListParagraph"/>
        <w:numPr>
          <w:ilvl w:val="0"/>
          <w:numId w:val="32"/>
        </w:numPr>
      </w:pPr>
      <w:r>
        <w:t xml:space="preserve">Purchase </w:t>
      </w:r>
      <w:r w:rsidR="00797DF5">
        <w:t>the services provided with</w:t>
      </w:r>
      <w:r w:rsidR="00177C9F">
        <w:t xml:space="preserve"> the </w:t>
      </w:r>
      <w:r w:rsidR="006861E8">
        <w:t xml:space="preserve">DER </w:t>
      </w:r>
      <w:r w:rsidR="00177C9F">
        <w:t>device</w:t>
      </w:r>
      <w:r w:rsidR="00797DF5">
        <w:t xml:space="preserve"> through a third party</w:t>
      </w:r>
      <w:r w:rsidR="00177C9F">
        <w:t xml:space="preserve">. In this case, the costs of using the services of the third party would </w:t>
      </w:r>
      <w:r w:rsidR="008B7967">
        <w:t xml:space="preserve">also </w:t>
      </w:r>
      <w:r w:rsidR="00177C9F">
        <w:t xml:space="preserve">be </w:t>
      </w:r>
      <w:r w:rsidR="00797DF5">
        <w:t xml:space="preserve">met using </w:t>
      </w:r>
      <w:r w:rsidR="006861E8">
        <w:t xml:space="preserve">the NSP's </w:t>
      </w:r>
      <w:r w:rsidR="00177C9F">
        <w:t xml:space="preserve">opex </w:t>
      </w:r>
      <w:r w:rsidR="00797DF5">
        <w:t>allowance</w:t>
      </w:r>
      <w:r w:rsidR="00177C9F" w:rsidRPr="00177C9F">
        <w:t xml:space="preserve">. </w:t>
      </w:r>
      <w:r w:rsidR="00E615D2">
        <w:t>[Note that i</w:t>
      </w:r>
      <w:r w:rsidR="00177C9F" w:rsidRPr="00177C9F">
        <w:t xml:space="preserve">f the third party was </w:t>
      </w:r>
      <w:r w:rsidR="000D754B">
        <w:t xml:space="preserve">structurally </w:t>
      </w:r>
      <w:r w:rsidR="00E615D2">
        <w:t xml:space="preserve">(ownership) </w:t>
      </w:r>
      <w:r w:rsidR="000D754B">
        <w:t>separated</w:t>
      </w:r>
      <w:r w:rsidR="00E829A8">
        <w:t xml:space="preserve"> from the NSP, </w:t>
      </w:r>
      <w:r w:rsidR="00785987">
        <w:t>ring-fencing</w:t>
      </w:r>
      <w:r w:rsidR="00E829A8" w:rsidRPr="00177C9F">
        <w:t xml:space="preserve"> obligations </w:t>
      </w:r>
      <w:r w:rsidR="00E829A8">
        <w:t>would</w:t>
      </w:r>
      <w:r w:rsidR="00E829A8" w:rsidRPr="00177C9F">
        <w:t xml:space="preserve"> not apply</w:t>
      </w:r>
      <w:r w:rsidR="00E829A8">
        <w:t>.</w:t>
      </w:r>
      <w:r w:rsidR="00E829A8" w:rsidRPr="00E829A8">
        <w:t xml:space="preserve"> </w:t>
      </w:r>
      <w:r w:rsidR="00E829A8">
        <w:t>However, the two business owners could still be related in some way</w:t>
      </w:r>
      <w:r w:rsidR="00E615D2">
        <w:t xml:space="preserve">. </w:t>
      </w:r>
      <w:r w:rsidR="00E829A8">
        <w:t>In these circumstances</w:t>
      </w:r>
      <w:r w:rsidR="00E615D2">
        <w:t>, we</w:t>
      </w:r>
      <w:r w:rsidR="00781F31">
        <w:t xml:space="preserve"> </w:t>
      </w:r>
      <w:r w:rsidR="00177C9F" w:rsidRPr="00177C9F">
        <w:t xml:space="preserve">would need to consider the </w:t>
      </w:r>
      <w:r w:rsidR="00E615D2">
        <w:t xml:space="preserve">arm's length arrangements </w:t>
      </w:r>
      <w:r w:rsidR="00E829A8">
        <w:t xml:space="preserve">between the entities </w:t>
      </w:r>
      <w:r w:rsidR="00E615D2">
        <w:t xml:space="preserve">and cost </w:t>
      </w:r>
      <w:r w:rsidR="00177C9F" w:rsidRPr="00177C9F">
        <w:t xml:space="preserve">efficiency of the services </w:t>
      </w:r>
      <w:r w:rsidR="00E829A8">
        <w:t>offered to the NSP</w:t>
      </w:r>
      <w:r w:rsidR="00E829A8" w:rsidRPr="00177C9F">
        <w:t xml:space="preserve"> </w:t>
      </w:r>
      <w:r w:rsidR="00177C9F" w:rsidRPr="00177C9F">
        <w:t>by the related party.</w:t>
      </w:r>
      <w:r w:rsidR="00E615D2">
        <w:t>]</w:t>
      </w:r>
      <w:r w:rsidR="00177C9F" w:rsidRPr="00177C9F">
        <w:t xml:space="preserve"> </w:t>
      </w:r>
    </w:p>
    <w:p w:rsidR="00177C9F" w:rsidRPr="00177C9F" w:rsidRDefault="00177C9F" w:rsidP="00177C9F">
      <w:r>
        <w:t>Ideally, an</w:t>
      </w:r>
      <w:r w:rsidRPr="00177C9F">
        <w:t xml:space="preserve"> NSP would consider all three options </w:t>
      </w:r>
      <w:r w:rsidR="006861E8">
        <w:t xml:space="preserve">(at least) </w:t>
      </w:r>
      <w:r w:rsidRPr="00177C9F">
        <w:t>and select the most cost effective</w:t>
      </w:r>
      <w:r w:rsidR="008B7967">
        <w:t xml:space="preserve"> and </w:t>
      </w:r>
      <w:r w:rsidR="009F273B">
        <w:t>efficient</w:t>
      </w:r>
      <w:r w:rsidRPr="00177C9F">
        <w:t xml:space="preserve">. </w:t>
      </w:r>
      <w:r w:rsidR="00BD6286">
        <w:t xml:space="preserve">The </w:t>
      </w:r>
      <w:r w:rsidR="00785987">
        <w:t>ring-fencing</w:t>
      </w:r>
      <w:r w:rsidR="00BD6286">
        <w:t xml:space="preserve"> </w:t>
      </w:r>
      <w:r w:rsidR="00785987">
        <w:t>guideline</w:t>
      </w:r>
      <w:r w:rsidR="00BD6286">
        <w:t xml:space="preserve"> and the incentive mechanisms built into the regulatory framework should work together to ensure that NSPs choose the most efficient option</w:t>
      </w:r>
      <w:r w:rsidRPr="00177C9F">
        <w:t>.</w:t>
      </w:r>
    </w:p>
    <w:p w:rsidR="00177C9F" w:rsidRPr="00177C9F" w:rsidRDefault="00177C9F" w:rsidP="00177C9F">
      <w:r>
        <w:t xml:space="preserve">We </w:t>
      </w:r>
      <w:r w:rsidRPr="00177C9F">
        <w:t xml:space="preserve">may prefer a certain approach for an NSP to adopt (such as option </w:t>
      </w:r>
      <w:r w:rsidR="00795869">
        <w:t>2</w:t>
      </w:r>
      <w:r w:rsidRPr="00177C9F">
        <w:t xml:space="preserve"> or </w:t>
      </w:r>
      <w:r w:rsidR="00027AA2">
        <w:t>perhaps</w:t>
      </w:r>
      <w:r w:rsidRPr="00177C9F">
        <w:t xml:space="preserve"> option </w:t>
      </w:r>
      <w:r w:rsidR="00795869">
        <w:t>3</w:t>
      </w:r>
      <w:r w:rsidR="00FD59B8">
        <w:t>)</w:t>
      </w:r>
      <w:r w:rsidRPr="00177C9F">
        <w:t xml:space="preserve">. However, we </w:t>
      </w:r>
      <w:r w:rsidR="00D02753">
        <w:t>cannot</w:t>
      </w:r>
      <w:r w:rsidRPr="00177C9F">
        <w:t xml:space="preserve"> impose one approach over another. The clear disadvantage of option </w:t>
      </w:r>
      <w:r w:rsidR="00795869">
        <w:t>1</w:t>
      </w:r>
      <w:r w:rsidRPr="00177C9F">
        <w:t xml:space="preserve"> is that the NSP would not be able to fully utilise the asset</w:t>
      </w:r>
      <w:r w:rsidR="00795869">
        <w:t>—</w:t>
      </w:r>
      <w:r w:rsidRPr="00177C9F">
        <w:t>the asset</w:t>
      </w:r>
      <w:r w:rsidR="00795869">
        <w:t xml:space="preserve"> could </w:t>
      </w:r>
      <w:r w:rsidR="00CD0EAC">
        <w:t xml:space="preserve">not </w:t>
      </w:r>
      <w:r w:rsidR="00795869">
        <w:t>be used</w:t>
      </w:r>
      <w:r w:rsidRPr="00177C9F">
        <w:t xml:space="preserve"> to engage in contestable activities</w:t>
      </w:r>
      <w:r w:rsidR="00795869">
        <w:t>. Option 1 is therefore</w:t>
      </w:r>
      <w:r w:rsidRPr="00177C9F">
        <w:t xml:space="preserve"> unlikely to </w:t>
      </w:r>
      <w:r w:rsidR="006861E8">
        <w:t xml:space="preserve">maximise the </w:t>
      </w:r>
      <w:r w:rsidR="000D754B">
        <w:t xml:space="preserve">efficient </w:t>
      </w:r>
      <w:r w:rsidR="006861E8">
        <w:t>use of DER</w:t>
      </w:r>
      <w:r w:rsidRPr="00177C9F">
        <w:t xml:space="preserve">. </w:t>
      </w:r>
      <w:r w:rsidR="006861E8">
        <w:t xml:space="preserve">Nevertheless, option 1 is a choice that NSPs may </w:t>
      </w:r>
      <w:r w:rsidR="000D754B">
        <w:t xml:space="preserve">still </w:t>
      </w:r>
      <w:r w:rsidR="000C65CF">
        <w:t>elect</w:t>
      </w:r>
      <w:r w:rsidR="006861E8">
        <w:t xml:space="preserve">. We consider that where an NSP selects option 1, </w:t>
      </w:r>
      <w:r w:rsidR="00D02753">
        <w:t xml:space="preserve">it needs to show this is the most efficient option and </w:t>
      </w:r>
      <w:r w:rsidR="006861E8">
        <w:t>the effect of using assets in this way should be monitored to examine</w:t>
      </w:r>
      <w:r w:rsidR="00CD0EAC">
        <w:t xml:space="preserve"> the</w:t>
      </w:r>
      <w:r w:rsidR="006861E8">
        <w:t xml:space="preserve"> effect on the development of competitive markets.</w:t>
      </w:r>
    </w:p>
    <w:p w:rsidR="00177C9F" w:rsidRDefault="00541C93" w:rsidP="00A53ED8">
      <w:pPr>
        <w:pStyle w:val="Caption"/>
      </w:pPr>
      <w:r>
        <w:t>Question 4</w:t>
      </w:r>
      <w:r w:rsidR="00A53ED8">
        <w:t xml:space="preserve">: Does the proposed approach to </w:t>
      </w:r>
      <w:r w:rsidR="00785987">
        <w:t>ring-fencing</w:t>
      </w:r>
      <w:r w:rsidR="00A53ED8">
        <w:t xml:space="preserve"> adequately deal with the prospects for development of the contestable market for DER?</w:t>
      </w:r>
    </w:p>
    <w:p w:rsidR="008D72C8" w:rsidRDefault="008D72C8" w:rsidP="00EA4777">
      <w:pPr>
        <w:pStyle w:val="Heading2"/>
      </w:pPr>
      <w:bookmarkStart w:id="17" w:name="_Toc448838448"/>
      <w:r>
        <w:t>Case study—connections</w:t>
      </w:r>
      <w:bookmarkEnd w:id="17"/>
    </w:p>
    <w:p w:rsidR="00993F40" w:rsidRDefault="00D64DA4" w:rsidP="00EA4777">
      <w:r w:rsidRPr="00D64DA4">
        <w:t>A</w:t>
      </w:r>
      <w:r w:rsidR="00993F40">
        <w:t>nother</w:t>
      </w:r>
      <w:r w:rsidRPr="00D64DA4">
        <w:t xml:space="preserve"> example of </w:t>
      </w:r>
      <w:r w:rsidR="00785987">
        <w:t>ring-fencing</w:t>
      </w:r>
      <w:r w:rsidR="00993F40">
        <w:t xml:space="preserve"> </w:t>
      </w:r>
      <w:r w:rsidRPr="00D64DA4">
        <w:t xml:space="preserve">is connections in NSW. </w:t>
      </w:r>
    </w:p>
    <w:p w:rsidR="00CD0EAC" w:rsidRDefault="00D64DA4" w:rsidP="00EA4777">
      <w:r w:rsidRPr="00D64DA4">
        <w:t>Connecti</w:t>
      </w:r>
      <w:r w:rsidR="00993F40">
        <w:t>on</w:t>
      </w:r>
      <w:r w:rsidR="00BD6286">
        <w:t xml:space="preserve"> </w:t>
      </w:r>
      <w:r w:rsidR="00993F40">
        <w:t>s</w:t>
      </w:r>
      <w:r w:rsidR="00BD6286">
        <w:t>ervices</w:t>
      </w:r>
      <w:r w:rsidR="00993F40">
        <w:t xml:space="preserve"> </w:t>
      </w:r>
      <w:r w:rsidR="00BD6286">
        <w:t xml:space="preserve">are contestable </w:t>
      </w:r>
      <w:r w:rsidR="00993F40">
        <w:t xml:space="preserve">in NSW </w:t>
      </w:r>
      <w:r w:rsidR="00DE1F3B">
        <w:t>and</w:t>
      </w:r>
      <w:r w:rsidR="00BD6286">
        <w:t>, as a result,</w:t>
      </w:r>
      <w:r w:rsidR="00DE1F3B">
        <w:t xml:space="preserve"> </w:t>
      </w:r>
      <w:r w:rsidR="00CD0EAC">
        <w:t>are</w:t>
      </w:r>
      <w:r w:rsidR="006861E8">
        <w:t xml:space="preserve"> not classified</w:t>
      </w:r>
      <w:r w:rsidR="00BD6286">
        <w:t xml:space="preserve"> as direct control services</w:t>
      </w:r>
      <w:r w:rsidR="00CD0EAC">
        <w:t xml:space="preserve">. </w:t>
      </w:r>
      <w:r w:rsidR="009E4A3A">
        <w:t>Therefore, i</w:t>
      </w:r>
      <w:r w:rsidR="00CD0EAC">
        <w:t>f any one of the NSW NSPs offers connection services</w:t>
      </w:r>
      <w:r w:rsidR="00DE1F3B">
        <w:t xml:space="preserve">, </w:t>
      </w:r>
      <w:r w:rsidR="00CD0EAC">
        <w:t xml:space="preserve">the services would be </w:t>
      </w:r>
      <w:r w:rsidR="00785987">
        <w:t>ring-fenced</w:t>
      </w:r>
      <w:r w:rsidR="006861E8">
        <w:t>. For</w:t>
      </w:r>
      <w:r w:rsidRPr="00D64DA4">
        <w:t xml:space="preserve"> Essential </w:t>
      </w:r>
      <w:r w:rsidR="00993F40">
        <w:t xml:space="preserve">Energy (servicing regional NSW) </w:t>
      </w:r>
      <w:r w:rsidRPr="00D64DA4">
        <w:t xml:space="preserve">the service </w:t>
      </w:r>
      <w:r w:rsidR="006861E8">
        <w:t>may only be</w:t>
      </w:r>
      <w:r w:rsidRPr="00D64DA4">
        <w:t xml:space="preserve"> potentially contestable</w:t>
      </w:r>
      <w:r w:rsidR="006861E8">
        <w:t xml:space="preserve"> due to a lack of third party service providers in rural NSW</w:t>
      </w:r>
      <w:r w:rsidRPr="00D64DA4">
        <w:t xml:space="preserve">. </w:t>
      </w:r>
    </w:p>
    <w:p w:rsidR="00CD0EAC" w:rsidRDefault="00BD6286" w:rsidP="00EA4777">
      <w:r>
        <w:t>As a hypothetical example</w:t>
      </w:r>
      <w:r w:rsidR="009F273B">
        <w:t>,</w:t>
      </w:r>
      <w:r>
        <w:t xml:space="preserve"> </w:t>
      </w:r>
      <w:r w:rsidR="00DE1F3B">
        <w:t xml:space="preserve">Essential </w:t>
      </w:r>
      <w:r>
        <w:t xml:space="preserve">Energy might </w:t>
      </w:r>
      <w:r w:rsidR="00DE1F3B">
        <w:t xml:space="preserve">seek a </w:t>
      </w:r>
      <w:r w:rsidR="00785987">
        <w:t>ring-fencing</w:t>
      </w:r>
      <w:r w:rsidR="00DE1F3B">
        <w:t xml:space="preserve"> waiver</w:t>
      </w:r>
      <w:r>
        <w:t xml:space="preserve"> for the provision of connection services</w:t>
      </w:r>
      <w:r w:rsidRPr="00BD6286">
        <w:t xml:space="preserve"> </w:t>
      </w:r>
      <w:r>
        <w:t>given an</w:t>
      </w:r>
      <w:r w:rsidRPr="00D64DA4">
        <w:t xml:space="preserve"> absence of alternative service providers</w:t>
      </w:r>
      <w:r>
        <w:t xml:space="preserve"> in regional NSW</w:t>
      </w:r>
      <w:r w:rsidR="00CD0EAC">
        <w:t>. W</w:t>
      </w:r>
      <w:r w:rsidR="00D64DA4" w:rsidRPr="00D64DA4">
        <w:t xml:space="preserve">e may look favourably at </w:t>
      </w:r>
      <w:r w:rsidR="00924FFC">
        <w:t xml:space="preserve">such </w:t>
      </w:r>
      <w:r w:rsidR="00D64DA4" w:rsidRPr="00D64DA4">
        <w:t>a waiver</w:t>
      </w:r>
      <w:r w:rsidR="00DE1F3B">
        <w:t xml:space="preserve"> </w:t>
      </w:r>
      <w:r w:rsidR="00CD0EAC">
        <w:t xml:space="preserve">if </w:t>
      </w:r>
      <w:r w:rsidR="00B44F90">
        <w:t xml:space="preserve">there </w:t>
      </w:r>
      <w:r w:rsidR="009E4A3A">
        <w:t xml:space="preserve">were no </w:t>
      </w:r>
      <w:r w:rsidR="00924FFC">
        <w:t xml:space="preserve">existing </w:t>
      </w:r>
      <w:r w:rsidR="00B44F90">
        <w:t>alternative service providers</w:t>
      </w:r>
      <w:r w:rsidR="00CD0EAC">
        <w:t xml:space="preserve">. </w:t>
      </w:r>
      <w:r w:rsidR="009F273B">
        <w:t>However</w:t>
      </w:r>
      <w:r w:rsidR="00CD0EAC">
        <w:t xml:space="preserve">, </w:t>
      </w:r>
      <w:r w:rsidR="00D64DA4" w:rsidRPr="00D64DA4">
        <w:t>there may be prospects for third party providers</w:t>
      </w:r>
      <w:r w:rsidR="00B44F90">
        <w:t xml:space="preserve"> to enter this contestable market</w:t>
      </w:r>
      <w:r w:rsidR="009F273B">
        <w:t xml:space="preserve"> and g</w:t>
      </w:r>
      <w:r w:rsidR="00B44F90">
        <w:t xml:space="preserve">ranting a waiver could discourage entry into the market. </w:t>
      </w:r>
      <w:r w:rsidR="00D64DA4" w:rsidRPr="00D64DA4">
        <w:t xml:space="preserve">Further, the costs to Essential </w:t>
      </w:r>
      <w:r w:rsidR="00993F40">
        <w:t xml:space="preserve">Energy </w:t>
      </w:r>
      <w:r w:rsidR="00D64DA4" w:rsidRPr="00D64DA4">
        <w:t xml:space="preserve">of setting up a </w:t>
      </w:r>
      <w:r w:rsidR="00785987">
        <w:t>ring-fenced</w:t>
      </w:r>
      <w:r w:rsidR="00D64DA4" w:rsidRPr="00D64DA4">
        <w:t xml:space="preserve"> entity to provide these services </w:t>
      </w:r>
      <w:r w:rsidR="00993F40">
        <w:t xml:space="preserve">may </w:t>
      </w:r>
      <w:r w:rsidR="00B44F90">
        <w:t xml:space="preserve">not </w:t>
      </w:r>
      <w:r w:rsidR="00993F40">
        <w:t xml:space="preserve">be </w:t>
      </w:r>
      <w:r w:rsidR="00924FFC">
        <w:t>prohibitive</w:t>
      </w:r>
      <w:r w:rsidR="00993F40">
        <w:t xml:space="preserve">. </w:t>
      </w:r>
    </w:p>
    <w:p w:rsidR="00D64DA4" w:rsidRDefault="00993F40" w:rsidP="00EA4777">
      <w:r>
        <w:lastRenderedPageBreak/>
        <w:t>In forming our decision on granting a waiver</w:t>
      </w:r>
      <w:r w:rsidR="009F273B">
        <w:t>,</w:t>
      </w:r>
      <w:r>
        <w:t xml:space="preserve"> we </w:t>
      </w:r>
      <w:r w:rsidR="00CD0EAC">
        <w:t xml:space="preserve">would consider </w:t>
      </w:r>
      <w:r w:rsidR="00924FFC">
        <w:t>stakeholder view</w:t>
      </w:r>
      <w:r w:rsidR="009F273B">
        <w:t>s</w:t>
      </w:r>
      <w:r w:rsidR="00924FFC">
        <w:t xml:space="preserve"> as well as </w:t>
      </w:r>
      <w:r w:rsidR="00CD0EAC">
        <w:t>the prospects for alternative service providers to emerge. We may also</w:t>
      </w:r>
      <w:r w:rsidR="00D64DA4" w:rsidRPr="00D64DA4">
        <w:t xml:space="preserve"> ask Essential </w:t>
      </w:r>
      <w:r>
        <w:t xml:space="preserve">Energy to </w:t>
      </w:r>
      <w:r w:rsidR="00CD0EAC">
        <w:t>demonstrate to us</w:t>
      </w:r>
      <w:r>
        <w:t xml:space="preserve"> </w:t>
      </w:r>
      <w:r w:rsidR="00CD0EAC">
        <w:t xml:space="preserve">whether </w:t>
      </w:r>
      <w:r>
        <w:t>the costs of</w:t>
      </w:r>
      <w:r w:rsidR="00D64DA4" w:rsidRPr="00D64DA4">
        <w:t xml:space="preserve"> </w:t>
      </w:r>
      <w:r w:rsidR="00B44F90">
        <w:t xml:space="preserve">providing the service through a </w:t>
      </w:r>
      <w:r w:rsidR="00785987">
        <w:t>ring-fencing</w:t>
      </w:r>
      <w:r w:rsidR="00B44F90">
        <w:t xml:space="preserve"> entity </w:t>
      </w:r>
      <w:r w:rsidR="00CD0EAC">
        <w:t>were prohibitive</w:t>
      </w:r>
      <w:r w:rsidR="00D64DA4" w:rsidRPr="00D64DA4">
        <w:t>.</w:t>
      </w:r>
      <w:r w:rsidR="000D754B">
        <w:t xml:space="preserve"> A waiver could also be offered on a restricted basis, such as through a sunset clause</w:t>
      </w:r>
      <w:r w:rsidR="00924FFC">
        <w:t xml:space="preserve"> attached to the</w:t>
      </w:r>
      <w:r w:rsidR="00396868">
        <w:t xml:space="preserve"> </w:t>
      </w:r>
      <w:r w:rsidR="00785987">
        <w:t>ring-fencing</w:t>
      </w:r>
      <w:r w:rsidR="00396868">
        <w:t xml:space="preserve"> </w:t>
      </w:r>
      <w:r w:rsidR="00924FFC">
        <w:t>waiver</w:t>
      </w:r>
      <w:r w:rsidR="000D754B">
        <w:t>.</w:t>
      </w:r>
    </w:p>
    <w:p w:rsidR="008D72C8" w:rsidRPr="009D2EB9" w:rsidRDefault="008D72C8" w:rsidP="00EA4777"/>
    <w:p w:rsidR="003D2F3E" w:rsidRPr="006D72C6" w:rsidRDefault="008A3CD4" w:rsidP="003D2F3E">
      <w:pPr>
        <w:pStyle w:val="Heading1"/>
      </w:pPr>
      <w:bookmarkStart w:id="18" w:name="_Toc448838449"/>
      <w:r>
        <w:lastRenderedPageBreak/>
        <w:t>Ring-fencing</w:t>
      </w:r>
      <w:r w:rsidR="003D2F3E" w:rsidRPr="006D72C6">
        <w:t xml:space="preserve"> obligations</w:t>
      </w:r>
      <w:bookmarkEnd w:id="18"/>
    </w:p>
    <w:p w:rsidR="003D2F3E" w:rsidRPr="003D2F3E" w:rsidRDefault="003D2F3E" w:rsidP="003D2F3E">
      <w:r>
        <w:t xml:space="preserve">The selection of </w:t>
      </w:r>
      <w:r w:rsidR="00785987">
        <w:t>ring-fencing</w:t>
      </w:r>
      <w:r>
        <w:t xml:space="preserve"> obligations depends on how much separation is to be achieved. It is probably reasonable to assume t</w:t>
      </w:r>
      <w:r w:rsidRPr="003D2F3E">
        <w:t xml:space="preserve">he more onerous </w:t>
      </w:r>
      <w:r w:rsidR="00785987">
        <w:t>ring-fencing</w:t>
      </w:r>
      <w:r w:rsidRPr="003D2F3E">
        <w:t xml:space="preserve"> obligations are also more costly in term of compliance (and regulatory oversight). Full ownership separation (also known as structural separation) for instance, is probably the most effective form (</w:t>
      </w:r>
      <w:r w:rsidR="00913857">
        <w:t xml:space="preserve">although </w:t>
      </w:r>
      <w:r w:rsidRPr="003D2F3E">
        <w:t xml:space="preserve">strictly, it is not </w:t>
      </w:r>
      <w:r w:rsidR="00785987">
        <w:t>ring-fencing</w:t>
      </w:r>
      <w:r w:rsidRPr="003D2F3E">
        <w:t xml:space="preserve">). However, loss of economies of scale and scope and increased transaction costs could impose prohibitive costs. </w:t>
      </w:r>
      <w:r w:rsidR="000C65CF">
        <w:t>As noted in section 2</w:t>
      </w:r>
      <w:r w:rsidR="00D02753">
        <w:t xml:space="preserve"> above, w</w:t>
      </w:r>
      <w:r w:rsidRPr="003D2F3E">
        <w:t xml:space="preserve">e may </w:t>
      </w:r>
      <w:r w:rsidR="00D02753">
        <w:t>not have</w:t>
      </w:r>
      <w:r w:rsidRPr="003D2F3E">
        <w:t xml:space="preserve"> the power to impose structural separation. </w:t>
      </w:r>
    </w:p>
    <w:p w:rsidR="003D2F3E" w:rsidRPr="003D2F3E" w:rsidRDefault="003D2F3E" w:rsidP="003D2F3E">
      <w:r w:rsidRPr="006D72C6">
        <w:t>The NER refer to</w:t>
      </w:r>
      <w:r w:rsidR="0063475C">
        <w:t xml:space="preserve"> a range of potential obligations: </w:t>
      </w:r>
      <w:r w:rsidRPr="006D72C6">
        <w:t>legal separation, accounting separation, cost allocation</w:t>
      </w:r>
      <w:r w:rsidR="0063475C">
        <w:t xml:space="preserve"> and</w:t>
      </w:r>
      <w:r w:rsidRPr="006D72C6">
        <w:t xml:space="preserve"> </w:t>
      </w:r>
      <w:proofErr w:type="gramStart"/>
      <w:r w:rsidRPr="006D72C6">
        <w:t>restrictions on information flows</w:t>
      </w:r>
      <w:proofErr w:type="gramEnd"/>
      <w:r w:rsidRPr="006D72C6">
        <w:t>.</w:t>
      </w:r>
      <w:r w:rsidR="00635538">
        <w:rPr>
          <w:rStyle w:val="FootnoteReference"/>
        </w:rPr>
        <w:footnoteReference w:id="19"/>
      </w:r>
      <w:r w:rsidRPr="003D2F3E">
        <w:t xml:space="preserve"> </w:t>
      </w:r>
      <w:r w:rsidR="00396868">
        <w:t xml:space="preserve">We also have discretion to consider other approaches to achieve the separation we consider is necessary. </w:t>
      </w:r>
      <w:r w:rsidRPr="003D2F3E">
        <w:t>These approaches may be applied in part or in combination to achieve the desired level of separation.</w:t>
      </w:r>
    </w:p>
    <w:p w:rsidR="003D2F3E" w:rsidRPr="003D2F3E" w:rsidRDefault="003D2F3E" w:rsidP="003D2F3E">
      <w:r w:rsidRPr="006D72C6">
        <w:t xml:space="preserve">Legal separation requires that the services are provided by different legal entities (the </w:t>
      </w:r>
      <w:r w:rsidR="00785987">
        <w:t>ring-fencing</w:t>
      </w:r>
      <w:r w:rsidRPr="006D72C6">
        <w:t xml:space="preserve"> entity may be a subsidiary </w:t>
      </w:r>
      <w:r w:rsidR="00913857">
        <w:t xml:space="preserve">or an affiliate </w:t>
      </w:r>
      <w:r w:rsidRPr="006D72C6">
        <w:t>of the regulated entity)</w:t>
      </w:r>
      <w:r w:rsidRPr="003D2F3E">
        <w:t>.</w:t>
      </w:r>
    </w:p>
    <w:p w:rsidR="003D2F3E" w:rsidRPr="003D2F3E" w:rsidRDefault="003D2F3E" w:rsidP="003D2F3E">
      <w:r w:rsidRPr="006D72C6">
        <w:t xml:space="preserve">Accounting separation refers to a </w:t>
      </w:r>
      <w:r w:rsidRPr="003D2F3E">
        <w:t>requirement to maintain separate accounts for each service so that transactions between the regulated entity and</w:t>
      </w:r>
      <w:r w:rsidR="00396868">
        <w:t xml:space="preserve"> unregulated</w:t>
      </w:r>
      <w:r w:rsidRPr="003D2F3E">
        <w:t xml:space="preserve"> entity are </w:t>
      </w:r>
      <w:r w:rsidR="00396868">
        <w:t xml:space="preserve">made </w:t>
      </w:r>
      <w:r w:rsidRPr="003D2F3E">
        <w:t>transparent.</w:t>
      </w:r>
    </w:p>
    <w:p w:rsidR="003D2F3E" w:rsidRDefault="003D2F3E" w:rsidP="003D2F3E">
      <w:r w:rsidRPr="006D72C6">
        <w:t xml:space="preserve">Functional </w:t>
      </w:r>
      <w:r w:rsidRPr="003D2F3E">
        <w:t xml:space="preserve">or operational separation imposes </w:t>
      </w:r>
      <w:r w:rsidR="009E4A3A">
        <w:t xml:space="preserve">a </w:t>
      </w:r>
      <w:r w:rsidRPr="003D2F3E">
        <w:t>requirement that the services are provided by different divisions (within the same business). This may or may not be accompanied by full accounting separation but may require some form of cost allocation requirements, such as separate cost centres</w:t>
      </w:r>
      <w:r w:rsidR="00B44F90">
        <w:t>.</w:t>
      </w:r>
    </w:p>
    <w:p w:rsidR="00B44F90" w:rsidRPr="003D2F3E" w:rsidRDefault="00B44F90" w:rsidP="003D2F3E">
      <w:r>
        <w:t>In this paper we have not attempt</w:t>
      </w:r>
      <w:r w:rsidR="00913857">
        <w:t>ed</w:t>
      </w:r>
      <w:r>
        <w:t xml:space="preserve"> to quantify the costs of setting </w:t>
      </w:r>
      <w:r w:rsidR="00A356AA">
        <w:t xml:space="preserve">up a </w:t>
      </w:r>
      <w:r w:rsidR="00785987">
        <w:t>ring-fenced</w:t>
      </w:r>
      <w:r>
        <w:t xml:space="preserve"> </w:t>
      </w:r>
      <w:r w:rsidR="00550236">
        <w:t>affiliate</w:t>
      </w:r>
      <w:r w:rsidR="00396868">
        <w:t xml:space="preserve"> </w:t>
      </w:r>
      <w:r>
        <w:t>or the cost</w:t>
      </w:r>
      <w:r w:rsidR="00A356AA">
        <w:t>s</w:t>
      </w:r>
      <w:r>
        <w:t xml:space="preserve"> of complying with </w:t>
      </w:r>
      <w:r w:rsidR="00A356AA">
        <w:t xml:space="preserve">the proposed </w:t>
      </w:r>
      <w:r w:rsidR="00785987">
        <w:t>ring-fencing</w:t>
      </w:r>
      <w:r>
        <w:t xml:space="preserve"> obligations. We welcome submissions that provide evidence on these costs.</w:t>
      </w:r>
    </w:p>
    <w:p w:rsidR="003D2F3E" w:rsidRPr="006D72C6" w:rsidRDefault="003D2F3E" w:rsidP="003D2F3E">
      <w:r>
        <w:t xml:space="preserve">An example of the </w:t>
      </w:r>
      <w:r w:rsidR="00785987">
        <w:t>ring-fencing</w:t>
      </w:r>
      <w:r>
        <w:t xml:space="preserve"> obligation</w:t>
      </w:r>
      <w:r w:rsidR="0063475C">
        <w:t>s</w:t>
      </w:r>
      <w:r>
        <w:t xml:space="preserve"> we could adopt </w:t>
      </w:r>
      <w:proofErr w:type="gramStart"/>
      <w:r>
        <w:t>are</w:t>
      </w:r>
      <w:proofErr w:type="gramEnd"/>
      <w:r>
        <w:t xml:space="preserve"> provided below</w:t>
      </w:r>
      <w:r w:rsidR="0063475C">
        <w:t>. These are</w:t>
      </w:r>
      <w:r>
        <w:t xml:space="preserve"> adapted from the QCA </w:t>
      </w:r>
      <w:r w:rsidR="00785987">
        <w:t>ring-fencing</w:t>
      </w:r>
      <w:r w:rsidR="00A356AA">
        <w:t xml:space="preserve"> </w:t>
      </w:r>
      <w:r>
        <w:t>guideline. We</w:t>
      </w:r>
      <w:r w:rsidRPr="003D2F3E">
        <w:t xml:space="preserve"> may also add to this list of </w:t>
      </w:r>
      <w:r w:rsidR="00785987">
        <w:t>ring-fencing</w:t>
      </w:r>
      <w:r w:rsidRPr="003D2F3E">
        <w:t xml:space="preserve"> obligations. However, as </w:t>
      </w:r>
      <w:r w:rsidR="00785987">
        <w:t>ring-fencing</w:t>
      </w:r>
      <w:r w:rsidRPr="003D2F3E">
        <w:t xml:space="preserve"> by its nature will impose costs on network businesses we need to be mindful that </w:t>
      </w:r>
      <w:r w:rsidR="00785987">
        <w:t>ring-fencing</w:t>
      </w:r>
      <w:r w:rsidRPr="003D2F3E">
        <w:t xml:space="preserve"> not create inefficiencies, </w:t>
      </w:r>
      <w:r w:rsidR="00A356AA">
        <w:t>unnecessary</w:t>
      </w:r>
      <w:r w:rsidR="00A356AA" w:rsidRPr="003D2F3E">
        <w:t xml:space="preserve"> </w:t>
      </w:r>
      <w:r w:rsidRPr="003D2F3E">
        <w:t xml:space="preserve">compliance costs </w:t>
      </w:r>
      <w:r w:rsidR="00A356AA">
        <w:t>or</w:t>
      </w:r>
      <w:r w:rsidR="00A356AA" w:rsidRPr="003D2F3E">
        <w:t xml:space="preserve"> </w:t>
      </w:r>
      <w:r w:rsidRPr="003D2F3E">
        <w:t xml:space="preserve">unintended consequences. </w:t>
      </w:r>
    </w:p>
    <w:p w:rsidR="003D2F3E" w:rsidRPr="003D2F3E" w:rsidRDefault="003D2F3E" w:rsidP="000C65CF">
      <w:pPr>
        <w:pStyle w:val="Heading4notnumbered"/>
      </w:pPr>
      <w:r w:rsidRPr="00EA4777">
        <w:rPr>
          <w:rStyle w:val="Strong"/>
        </w:rPr>
        <w:t xml:space="preserve">Proposed </w:t>
      </w:r>
      <w:r w:rsidR="00785987">
        <w:rPr>
          <w:rStyle w:val="Strong"/>
        </w:rPr>
        <w:t>ring-fencing</w:t>
      </w:r>
      <w:r w:rsidRPr="00EA4777">
        <w:rPr>
          <w:rStyle w:val="Strong"/>
        </w:rPr>
        <w:t xml:space="preserve"> obligations</w:t>
      </w:r>
    </w:p>
    <w:p w:rsidR="003D2F3E" w:rsidRPr="003D2F3E" w:rsidRDefault="00396868" w:rsidP="003D2F3E">
      <w:r>
        <w:t xml:space="preserve">The following obligations are designed to assist in </w:t>
      </w:r>
      <w:r w:rsidR="00550236">
        <w:t>achieving</w:t>
      </w:r>
      <w:r>
        <w:t xml:space="preserve"> the </w:t>
      </w:r>
      <w:r w:rsidR="00785987">
        <w:t>ring-fencing</w:t>
      </w:r>
      <w:r>
        <w:t xml:space="preserve"> </w:t>
      </w:r>
      <w:r w:rsidR="00550236">
        <w:t>objectives</w:t>
      </w:r>
      <w:r>
        <w:t xml:space="preserve">. </w:t>
      </w:r>
      <w:r w:rsidR="003D2F3E" w:rsidRPr="00D83D80">
        <w:t xml:space="preserve">A DNSP providing </w:t>
      </w:r>
      <w:r>
        <w:t>direct</w:t>
      </w:r>
      <w:r w:rsidRPr="00D83D80">
        <w:t xml:space="preserve"> </w:t>
      </w:r>
      <w:r w:rsidR="003D2F3E" w:rsidRPr="00D83D80">
        <w:t>control services must:</w:t>
      </w:r>
    </w:p>
    <w:p w:rsidR="00EC094E" w:rsidRPr="003F558B" w:rsidRDefault="003D2F3E" w:rsidP="003F558B">
      <w:pPr>
        <w:pStyle w:val="Listalphabet"/>
        <w:numPr>
          <w:ilvl w:val="0"/>
          <w:numId w:val="39"/>
        </w:numPr>
      </w:pPr>
      <w:r w:rsidRPr="003F558B">
        <w:lastRenderedPageBreak/>
        <w:t xml:space="preserve">not carry on a </w:t>
      </w:r>
      <w:r w:rsidR="00785987" w:rsidRPr="003F558B">
        <w:t>ring-fenced</w:t>
      </w:r>
      <w:r w:rsidRPr="003F558B">
        <w:t xml:space="preserve"> </w:t>
      </w:r>
      <w:r w:rsidR="00EC094E" w:rsidRPr="003F558B">
        <w:t>service</w:t>
      </w:r>
      <w:r w:rsidRPr="003F558B">
        <w:t xml:space="preserve"> </w:t>
      </w:r>
      <w:r w:rsidR="003C4811" w:rsidRPr="003F558B">
        <w:t xml:space="preserve">unless it is within a separate </w:t>
      </w:r>
      <w:r w:rsidRPr="003F558B">
        <w:t>legal entity</w:t>
      </w:r>
      <w:r w:rsidR="003C4811" w:rsidRPr="003F558B">
        <w:t xml:space="preserve"> to the DNSP</w:t>
      </w:r>
      <w:r w:rsidRPr="003F558B">
        <w:t xml:space="preserve">, </w:t>
      </w:r>
    </w:p>
    <w:p w:rsidR="00EC094E" w:rsidRPr="003F558B" w:rsidRDefault="003D2F3E" w:rsidP="003F558B">
      <w:pPr>
        <w:pStyle w:val="Listalphabet"/>
        <w:numPr>
          <w:ilvl w:val="0"/>
          <w:numId w:val="39"/>
        </w:numPr>
      </w:pPr>
      <w:r w:rsidRPr="003F558B">
        <w:t xml:space="preserve">not </w:t>
      </w:r>
      <w:r w:rsidR="00EC094E" w:rsidRPr="003F558B">
        <w:t xml:space="preserve">locate a </w:t>
      </w:r>
      <w:r w:rsidR="00785987" w:rsidRPr="003F558B">
        <w:t>ring-fenced</w:t>
      </w:r>
      <w:r w:rsidR="00EC094E" w:rsidRPr="003F558B">
        <w:t xml:space="preserve"> service at</w:t>
      </w:r>
      <w:r w:rsidRPr="003F558B">
        <w:t xml:space="preserve"> the same physical location </w:t>
      </w:r>
      <w:r w:rsidR="00EC094E" w:rsidRPr="003F558B">
        <w:t>as the DNSP</w:t>
      </w:r>
    </w:p>
    <w:p w:rsidR="003D2F3E" w:rsidRPr="003F558B" w:rsidRDefault="00EC094E" w:rsidP="003F558B">
      <w:pPr>
        <w:pStyle w:val="Listalphabet"/>
        <w:numPr>
          <w:ilvl w:val="0"/>
          <w:numId w:val="39"/>
        </w:numPr>
      </w:pPr>
      <w:r w:rsidRPr="003F558B">
        <w:t>not</w:t>
      </w:r>
      <w:r w:rsidR="00635538" w:rsidRPr="003F558B">
        <w:t xml:space="preserve"> share staff between </w:t>
      </w:r>
      <w:r w:rsidRPr="003F558B">
        <w:t xml:space="preserve">the </w:t>
      </w:r>
      <w:r w:rsidR="00785987" w:rsidRPr="003F558B">
        <w:t>ring-fenced</w:t>
      </w:r>
      <w:r w:rsidRPr="003F558B">
        <w:t xml:space="preserve"> entity and the DNSP</w:t>
      </w:r>
      <w:r w:rsidR="00635538" w:rsidRPr="003F558B">
        <w:t xml:space="preserve"> </w:t>
      </w:r>
    </w:p>
    <w:p w:rsidR="003D2F3E" w:rsidRPr="003F558B" w:rsidRDefault="003D2F3E" w:rsidP="003F558B">
      <w:pPr>
        <w:pStyle w:val="Listalphabet"/>
        <w:numPr>
          <w:ilvl w:val="0"/>
          <w:numId w:val="39"/>
        </w:numPr>
      </w:pPr>
      <w:r w:rsidRPr="003F558B">
        <w:t>establish and maintain</w:t>
      </w:r>
      <w:r w:rsidR="00E06B25" w:rsidRPr="003F558B">
        <w:t xml:space="preserve"> </w:t>
      </w:r>
      <w:r w:rsidRPr="003F558B">
        <w:t xml:space="preserve">separate accounts </w:t>
      </w:r>
      <w:r w:rsidR="00496122" w:rsidRPr="003F558B">
        <w:t xml:space="preserve">that clearly identify the extent and nature of transactions between the NSP and </w:t>
      </w:r>
      <w:r w:rsidR="00785987" w:rsidRPr="003F558B">
        <w:t>ring-fenced</w:t>
      </w:r>
      <w:r w:rsidR="00496122" w:rsidRPr="003F558B">
        <w:t xml:space="preserve"> entity(s)</w:t>
      </w:r>
    </w:p>
    <w:p w:rsidR="003D2F3E" w:rsidRPr="003F558B" w:rsidRDefault="0063475C" w:rsidP="003F558B">
      <w:pPr>
        <w:pStyle w:val="Listalphabet"/>
        <w:numPr>
          <w:ilvl w:val="0"/>
          <w:numId w:val="39"/>
        </w:numPr>
      </w:pPr>
      <w:r w:rsidRPr="003F558B">
        <w:t>ensure</w:t>
      </w:r>
      <w:r w:rsidR="003D2F3E" w:rsidRPr="003F558B">
        <w:t xml:space="preserve"> there is no cross subsidy</w:t>
      </w:r>
      <w:r w:rsidR="00EC094E" w:rsidRPr="003F558B">
        <w:t xml:space="preserve"> between the </w:t>
      </w:r>
      <w:r w:rsidR="00785987" w:rsidRPr="003F558B">
        <w:t>ring-fenced</w:t>
      </w:r>
      <w:r w:rsidR="00EC094E" w:rsidRPr="003F558B">
        <w:t xml:space="preserve"> entity and the DNSP</w:t>
      </w:r>
      <w:r w:rsidR="003D2F3E" w:rsidRPr="003F558B">
        <w:t xml:space="preserve"> </w:t>
      </w:r>
    </w:p>
    <w:p w:rsidR="003D2F3E" w:rsidRPr="003F558B" w:rsidRDefault="003D2F3E" w:rsidP="003F558B">
      <w:pPr>
        <w:pStyle w:val="Listalphabet"/>
        <w:numPr>
          <w:ilvl w:val="0"/>
          <w:numId w:val="39"/>
        </w:numPr>
      </w:pPr>
      <w:r w:rsidRPr="003F558B">
        <w:t>protect information provided by a customer or prospective customer and ensure its use is only for the purpose for which that information was provided</w:t>
      </w:r>
    </w:p>
    <w:p w:rsidR="00496122" w:rsidRPr="003F558B" w:rsidRDefault="00496122" w:rsidP="003F558B">
      <w:pPr>
        <w:pStyle w:val="Listalphabet"/>
        <w:numPr>
          <w:ilvl w:val="0"/>
          <w:numId w:val="39"/>
        </w:numPr>
      </w:pPr>
      <w:r w:rsidRPr="003F558B">
        <w:t xml:space="preserve">ensure that information provided to a </w:t>
      </w:r>
      <w:r w:rsidR="00785987" w:rsidRPr="003F558B">
        <w:t>ring-fenced</w:t>
      </w:r>
      <w:r w:rsidRPr="003F558B">
        <w:t xml:space="preserve"> entity is also available to third parties an equal basis</w:t>
      </w:r>
    </w:p>
    <w:p w:rsidR="003D2F3E" w:rsidRPr="003F558B" w:rsidRDefault="003D2F3E" w:rsidP="003F558B">
      <w:pPr>
        <w:pStyle w:val="Listalphabet"/>
        <w:numPr>
          <w:ilvl w:val="0"/>
          <w:numId w:val="39"/>
        </w:numPr>
      </w:pPr>
      <w:r w:rsidRPr="003F558B">
        <w:t xml:space="preserve">ensure information obtained by the DNSP is not disclosed </w:t>
      </w:r>
      <w:r w:rsidR="00496122" w:rsidRPr="003F558B">
        <w:t xml:space="preserve">to any party </w:t>
      </w:r>
      <w:r w:rsidRPr="003F558B">
        <w:t xml:space="preserve">without the </w:t>
      </w:r>
      <w:r w:rsidR="00496122" w:rsidRPr="003F558B">
        <w:t xml:space="preserve">informed </w:t>
      </w:r>
      <w:r w:rsidRPr="003F558B">
        <w:t xml:space="preserve">approval of the customer or prospective customer to whom </w:t>
      </w:r>
      <w:r w:rsidR="00E06B25" w:rsidRPr="003F558B">
        <w:t>it pertains</w:t>
      </w:r>
      <w:r w:rsidRPr="003F558B">
        <w:t xml:space="preserve"> </w:t>
      </w:r>
    </w:p>
    <w:p w:rsidR="003D2F3E" w:rsidRPr="003D2F3E" w:rsidRDefault="003D2F3E" w:rsidP="003D2F3E">
      <w:r>
        <w:t xml:space="preserve">Exemptions to these obligations could be offered in certain in circumstances. For example, </w:t>
      </w:r>
      <w:r w:rsidR="00E06B25">
        <w:t>if</w:t>
      </w:r>
      <w:r w:rsidRPr="003D2F3E">
        <w:t>:</w:t>
      </w:r>
    </w:p>
    <w:p w:rsidR="003D2F3E" w:rsidRPr="003D2F3E" w:rsidRDefault="003D2F3E" w:rsidP="00635538">
      <w:pPr>
        <w:pStyle w:val="Listalphabet"/>
        <w:numPr>
          <w:ilvl w:val="0"/>
          <w:numId w:val="28"/>
        </w:numPr>
      </w:pPr>
      <w:r w:rsidRPr="006D72C6">
        <w:t xml:space="preserve">the DNSP shares an employee, consultant, independent contractor or agent with an Associate that takes part in a related business; or </w:t>
      </w:r>
    </w:p>
    <w:p w:rsidR="003D2F3E" w:rsidRPr="003D2F3E" w:rsidRDefault="003D2F3E" w:rsidP="00635538">
      <w:pPr>
        <w:pStyle w:val="Listalphabet"/>
        <w:numPr>
          <w:ilvl w:val="0"/>
          <w:numId w:val="28"/>
        </w:numPr>
      </w:pPr>
      <w:r w:rsidRPr="006D72C6">
        <w:t xml:space="preserve">confidential or commercially-sensitive information obtained by the DNSP is disclosed to its employees, consultants, independent contractors or agents or to any employee, consultant, independent contractor or agent of an Associate; </w:t>
      </w:r>
    </w:p>
    <w:p w:rsidR="003D2F3E" w:rsidRPr="003D2F3E" w:rsidRDefault="003C4811" w:rsidP="003D2F3E">
      <w:proofErr w:type="gramStart"/>
      <w:r>
        <w:t>is</w:t>
      </w:r>
      <w:proofErr w:type="gramEnd"/>
      <w:r>
        <w:t xml:space="preserve"> consistent with protocols </w:t>
      </w:r>
      <w:r w:rsidR="003D2F3E" w:rsidRPr="006D72C6">
        <w:t>prepared by the DNSP and approved by the AER.</w:t>
      </w:r>
    </w:p>
    <w:p w:rsidR="00A53ED8" w:rsidRDefault="00541C93" w:rsidP="00A53ED8">
      <w:pPr>
        <w:pStyle w:val="Caption"/>
      </w:pPr>
      <w:r>
        <w:t>Question 5</w:t>
      </w:r>
      <w:r w:rsidR="00A53ED8">
        <w:t xml:space="preserve">: Are there other </w:t>
      </w:r>
      <w:r w:rsidR="00785987">
        <w:t>ring-fencing</w:t>
      </w:r>
      <w:r w:rsidR="00A53ED8">
        <w:t xml:space="preserve"> obligations we should impose on NSPs that provide services into contestable markets?</w:t>
      </w:r>
    </w:p>
    <w:p w:rsidR="00B44F90" w:rsidRPr="00B44F90" w:rsidRDefault="00541C93" w:rsidP="00B44F90">
      <w:pPr>
        <w:pStyle w:val="Caption"/>
      </w:pPr>
      <w:r>
        <w:t>Question 6</w:t>
      </w:r>
      <w:r w:rsidR="00B44F90">
        <w:t>: What costs would be incurred in meeting these obligations?</w:t>
      </w:r>
    </w:p>
    <w:p w:rsidR="003D2F3E" w:rsidRPr="003D2F3E" w:rsidRDefault="003C4811" w:rsidP="003D2F3E">
      <w:r>
        <w:t>It may be possible to develop protocols and procedures a</w:t>
      </w:r>
      <w:r w:rsidR="001402AA">
        <w:t>s</w:t>
      </w:r>
      <w:r>
        <w:t xml:space="preserve"> an alternative</w:t>
      </w:r>
      <w:r w:rsidR="001402AA">
        <w:t xml:space="preserve"> means</w:t>
      </w:r>
      <w:r>
        <w:t xml:space="preserve"> </w:t>
      </w:r>
      <w:r w:rsidR="001402AA">
        <w:t>of</w:t>
      </w:r>
      <w:r>
        <w:t xml:space="preserve"> satisfying the</w:t>
      </w:r>
      <w:r w:rsidR="003D2F3E">
        <w:t xml:space="preserve"> </w:t>
      </w:r>
      <w:r w:rsidR="00785987">
        <w:t>ring-fencing</w:t>
      </w:r>
      <w:r w:rsidR="003D2F3E">
        <w:t xml:space="preserve"> obligations. </w:t>
      </w:r>
      <w:r w:rsidR="001402AA">
        <w:t>For example, a</w:t>
      </w:r>
      <w:r w:rsidR="003D2F3E">
        <w:t xml:space="preserve">n NSP may be able to satisfy </w:t>
      </w:r>
      <w:r w:rsidR="001402AA">
        <w:t>us that</w:t>
      </w:r>
      <w:r w:rsidR="003D2F3E">
        <w:t xml:space="preserve"> the </w:t>
      </w:r>
      <w:r w:rsidR="00785987">
        <w:t>ring-fencing</w:t>
      </w:r>
      <w:r w:rsidR="003D2F3E">
        <w:t xml:space="preserve"> objective can be met through procedures and protocols that may be less costly </w:t>
      </w:r>
      <w:r>
        <w:t xml:space="preserve">than meeting one or more of the </w:t>
      </w:r>
      <w:r w:rsidR="00785987">
        <w:t>ring-fencing</w:t>
      </w:r>
      <w:r>
        <w:t xml:space="preserve"> obligations</w:t>
      </w:r>
      <w:r w:rsidR="003D2F3E">
        <w:t xml:space="preserve">. </w:t>
      </w:r>
      <w:r w:rsidR="00A356AA">
        <w:t xml:space="preserve">For example, restrictions on staff movement may be managed through staff training and operating management procedures than through a strict ban. </w:t>
      </w:r>
      <w:r w:rsidR="003D2F3E">
        <w:t xml:space="preserve">This demonstrates a more flexible approach to </w:t>
      </w:r>
      <w:r>
        <w:t xml:space="preserve">achieving </w:t>
      </w:r>
      <w:r w:rsidR="003D2F3E">
        <w:t xml:space="preserve">the </w:t>
      </w:r>
      <w:r w:rsidR="00785987">
        <w:t>ring-fencing</w:t>
      </w:r>
      <w:r w:rsidR="003D2F3E">
        <w:t xml:space="preserve"> </w:t>
      </w:r>
      <w:r>
        <w:t>objectives</w:t>
      </w:r>
      <w:r w:rsidR="00550236">
        <w:t>, if the costs of complying with the obligations exceed the benefits to consumers</w:t>
      </w:r>
      <w:r w:rsidR="003D2F3E">
        <w:t xml:space="preserve">. </w:t>
      </w:r>
    </w:p>
    <w:p w:rsidR="003D2F3E" w:rsidRDefault="009E4A3A" w:rsidP="003D2F3E">
      <w:r>
        <w:lastRenderedPageBreak/>
        <w:t xml:space="preserve">The </w:t>
      </w:r>
      <w:r w:rsidR="000650AF">
        <w:t xml:space="preserve">benefits, costs and </w:t>
      </w:r>
      <w:r>
        <w:t xml:space="preserve">implications of functional separation need to be </w:t>
      </w:r>
      <w:r w:rsidR="00D02753">
        <w:t>considered</w:t>
      </w:r>
      <w:r>
        <w:t xml:space="preserve">. </w:t>
      </w:r>
      <w:r w:rsidR="003D2F3E">
        <w:t xml:space="preserve">The obligations as written suggest assets could be </w:t>
      </w:r>
      <w:r w:rsidR="00C87C96">
        <w:t xml:space="preserve">shared </w:t>
      </w:r>
      <w:r w:rsidR="003D2F3E">
        <w:t xml:space="preserve">across regulated and contestable services in accordance with </w:t>
      </w:r>
      <w:r w:rsidR="00550236">
        <w:t>a cost allocation method</w:t>
      </w:r>
      <w:r>
        <w:t xml:space="preserve">. The </w:t>
      </w:r>
      <w:r w:rsidR="00550236">
        <w:t>AER's S</w:t>
      </w:r>
      <w:r w:rsidR="003D2F3E">
        <w:t xml:space="preserve">hared </w:t>
      </w:r>
      <w:r w:rsidR="00550236">
        <w:t>A</w:t>
      </w:r>
      <w:r w:rsidR="003D2F3E">
        <w:t xml:space="preserve">sset </w:t>
      </w:r>
      <w:r w:rsidR="00550236">
        <w:t>G</w:t>
      </w:r>
      <w:r w:rsidR="003D2F3E">
        <w:t>uideline</w:t>
      </w:r>
      <w:r w:rsidR="00C87C96">
        <w:t>, which applies when</w:t>
      </w:r>
      <w:r>
        <w:t xml:space="preserve"> unregulated revenues </w:t>
      </w:r>
      <w:r w:rsidR="00C87C96">
        <w:t xml:space="preserve">are </w:t>
      </w:r>
      <w:r>
        <w:t xml:space="preserve">earned </w:t>
      </w:r>
      <w:r w:rsidR="00C87C96">
        <w:t xml:space="preserve">from use of </w:t>
      </w:r>
      <w:r>
        <w:t>regulated assets</w:t>
      </w:r>
      <w:r w:rsidR="00C87C96">
        <w:t>, could also be restricted.</w:t>
      </w:r>
      <w:r>
        <w:t xml:space="preserve"> </w:t>
      </w:r>
      <w:r w:rsidR="00C87C96">
        <w:t xml:space="preserve">Functional separation could restrict this type of sharing. </w:t>
      </w:r>
      <w:r w:rsidR="00F10B24">
        <w:t>It might be desirable to contemplate</w:t>
      </w:r>
      <w:r w:rsidR="003D2F3E">
        <w:t xml:space="preserve"> more restrictive </w:t>
      </w:r>
      <w:r w:rsidR="00785987">
        <w:t>ring-fencing</w:t>
      </w:r>
      <w:r w:rsidR="00C87C96">
        <w:t xml:space="preserve"> </w:t>
      </w:r>
      <w:r w:rsidR="003D2F3E">
        <w:t>obligation</w:t>
      </w:r>
      <w:r>
        <w:t>s</w:t>
      </w:r>
      <w:r w:rsidR="003D2F3E">
        <w:t xml:space="preserve"> that would prevent asset sharing. This might appeal to stakeholders that are concerned about the enforceability</w:t>
      </w:r>
      <w:r w:rsidR="003D2F3E" w:rsidRPr="003D2F3E">
        <w:t xml:space="preserve"> and effectiveness of </w:t>
      </w:r>
      <w:r w:rsidR="00785987">
        <w:t>ring-fencing</w:t>
      </w:r>
      <w:r w:rsidR="003D2F3E" w:rsidRPr="003D2F3E">
        <w:t xml:space="preserve"> obligations. </w:t>
      </w:r>
      <w:r w:rsidR="005E3822">
        <w:t>C</w:t>
      </w:r>
      <w:r w:rsidR="003D2F3E" w:rsidRPr="003D2F3E">
        <w:t xml:space="preserve">learer </w:t>
      </w:r>
      <w:r w:rsidR="005E3822">
        <w:t xml:space="preserve">functional </w:t>
      </w:r>
      <w:r w:rsidR="003D2F3E" w:rsidRPr="003D2F3E">
        <w:t xml:space="preserve">separation </w:t>
      </w:r>
      <w:r w:rsidR="005E3822">
        <w:t>may also enable</w:t>
      </w:r>
      <w:r w:rsidR="003D2F3E" w:rsidRPr="003D2F3E">
        <w:t xml:space="preserve"> </w:t>
      </w:r>
      <w:r w:rsidR="00F10B24">
        <w:t xml:space="preserve">more effective </w:t>
      </w:r>
      <w:r w:rsidR="003D2F3E" w:rsidRPr="003D2F3E">
        <w:t>compliance</w:t>
      </w:r>
      <w:r w:rsidR="005E3822">
        <w:t xml:space="preserve"> checking</w:t>
      </w:r>
      <w:r w:rsidR="003D2F3E" w:rsidRPr="003D2F3E">
        <w:t xml:space="preserve">. The effectiveness of electricity </w:t>
      </w:r>
      <w:r w:rsidR="00785987">
        <w:t>ring-fencing</w:t>
      </w:r>
      <w:r w:rsidR="003D2F3E" w:rsidRPr="003D2F3E">
        <w:t xml:space="preserve"> to date and in other industry sectors is an aspect of the guideline development that needs to be further investigated. The findings may suggest whether more restrictive approaches to asset sharing may be warranted.</w:t>
      </w:r>
    </w:p>
    <w:p w:rsidR="00C87C96" w:rsidRPr="003D2F3E" w:rsidRDefault="00C87C96" w:rsidP="00D86DB2">
      <w:pPr>
        <w:pStyle w:val="Tabletitle"/>
      </w:pPr>
      <w:r>
        <w:t xml:space="preserve">Question 7: </w:t>
      </w:r>
      <w:r w:rsidR="00E854E6">
        <w:t>S</w:t>
      </w:r>
      <w:r w:rsidR="003F558B">
        <w:t>hould asset</w:t>
      </w:r>
      <w:r>
        <w:t xml:space="preserve"> sharing be </w:t>
      </w:r>
      <w:r w:rsidRPr="00C87C96">
        <w:t xml:space="preserve">restricted </w:t>
      </w:r>
      <w:r>
        <w:t>between regulated services and contestable service provision?</w:t>
      </w:r>
    </w:p>
    <w:p w:rsidR="00426D2A" w:rsidRPr="00426D2A" w:rsidRDefault="008A3CD4" w:rsidP="00426D2A">
      <w:pPr>
        <w:pStyle w:val="Heading1"/>
      </w:pPr>
      <w:bookmarkStart w:id="19" w:name="_Toc448838450"/>
      <w:r>
        <w:lastRenderedPageBreak/>
        <w:t>Ring-fencing</w:t>
      </w:r>
      <w:r w:rsidR="00426D2A" w:rsidRPr="00426D2A">
        <w:t xml:space="preserve"> waivers</w:t>
      </w:r>
      <w:bookmarkEnd w:id="19"/>
    </w:p>
    <w:p w:rsidR="00426D2A" w:rsidRPr="00426D2A" w:rsidRDefault="00426D2A" w:rsidP="00426D2A">
      <w:r w:rsidRPr="006D72C6">
        <w:t xml:space="preserve">Waivers </w:t>
      </w:r>
      <w:r w:rsidR="00F10B24">
        <w:t xml:space="preserve">provide flexibility to the AER around the </w:t>
      </w:r>
      <w:r w:rsidR="00785987">
        <w:t>ring-fencing</w:t>
      </w:r>
      <w:r w:rsidR="00F10B24">
        <w:t xml:space="preserve"> obligations. Waivers </w:t>
      </w:r>
      <w:r w:rsidRPr="006D72C6">
        <w:t xml:space="preserve">may be granted </w:t>
      </w:r>
      <w:r w:rsidR="00E208FE">
        <w:t>for</w:t>
      </w:r>
      <w:r w:rsidRPr="00426D2A">
        <w:t xml:space="preserve"> one or more or all of the obligations </w:t>
      </w:r>
      <w:r w:rsidR="00E208FE">
        <w:t>described</w:t>
      </w:r>
      <w:r w:rsidRPr="00426D2A">
        <w:t xml:space="preserve"> </w:t>
      </w:r>
      <w:r w:rsidR="003F558B">
        <w:t xml:space="preserve">in </w:t>
      </w:r>
      <w:r w:rsidR="00F10B24">
        <w:t>the previous section</w:t>
      </w:r>
      <w:r w:rsidRPr="00426D2A">
        <w:t xml:space="preserve">. In considering whether to grant a waiver, </w:t>
      </w:r>
      <w:r w:rsidR="00E208FE">
        <w:t>we</w:t>
      </w:r>
      <w:r w:rsidRPr="00426D2A">
        <w:t xml:space="preserve"> would consider whether the benefits of </w:t>
      </w:r>
      <w:r w:rsidR="00785987">
        <w:t>ring-fencing</w:t>
      </w:r>
      <w:r w:rsidRPr="00426D2A">
        <w:t xml:space="preserve">, which are articulated in the objectives, exceed the costs (measured against the NEO). In certain circumstances it may be more beneficial to the long term interests of consumers to grant a waiver. </w:t>
      </w:r>
    </w:p>
    <w:p w:rsidR="00426D2A" w:rsidRPr="00426D2A" w:rsidRDefault="00426D2A" w:rsidP="00426D2A">
      <w:r w:rsidRPr="006D72C6">
        <w:t>Typically, a service that is not contestable (</w:t>
      </w:r>
      <w:r w:rsidRPr="00426D2A">
        <w:t xml:space="preserve">nor potentially contestable), or where there are no adverse effects on a contestable market, could be granted a </w:t>
      </w:r>
      <w:r w:rsidR="00785987">
        <w:t>ring-fencing</w:t>
      </w:r>
      <w:r w:rsidRPr="00426D2A">
        <w:t xml:space="preserve"> waiver for particular periods (with sunset provisions). </w:t>
      </w:r>
      <w:r w:rsidR="00F10B24">
        <w:t>Obviously, d</w:t>
      </w:r>
      <w:r w:rsidRPr="00426D2A">
        <w:t xml:space="preserve">irect control services would automatically be excluded from having to meet any </w:t>
      </w:r>
      <w:r w:rsidR="00785987">
        <w:t>ring-fencing</w:t>
      </w:r>
      <w:r w:rsidRPr="00426D2A">
        <w:t xml:space="preserve"> obligations.</w:t>
      </w:r>
    </w:p>
    <w:p w:rsidR="00426D2A" w:rsidRPr="00426D2A" w:rsidRDefault="00426D2A" w:rsidP="00426D2A">
      <w:r w:rsidRPr="006D72C6">
        <w:t xml:space="preserve">The decision criteria </w:t>
      </w:r>
      <w:r w:rsidR="00E208FE">
        <w:t xml:space="preserve">for granting a waiver </w:t>
      </w:r>
      <w:r w:rsidRPr="006D72C6">
        <w:t xml:space="preserve">would </w:t>
      </w:r>
      <w:r w:rsidR="003629AC">
        <w:t xml:space="preserve">need to have regard to </w:t>
      </w:r>
      <w:r w:rsidRPr="006D72C6">
        <w:t xml:space="preserve">the </w:t>
      </w:r>
      <w:r w:rsidR="00785987">
        <w:t>ring-fencing</w:t>
      </w:r>
      <w:r w:rsidRPr="006D72C6">
        <w:t xml:space="preserve"> guideline objectives and the NEO. This approach would give </w:t>
      </w:r>
      <w:r w:rsidR="00E208FE">
        <w:t>us</w:t>
      </w:r>
      <w:r w:rsidRPr="00426D2A">
        <w:t xml:space="preserve"> discretion over waiver decisions. This level of discr</w:t>
      </w:r>
      <w:r w:rsidR="003629AC">
        <w:t>e</w:t>
      </w:r>
      <w:r w:rsidRPr="00426D2A">
        <w:t>tion is not unusual. In its guideline, the QCA states that:</w:t>
      </w:r>
    </w:p>
    <w:p w:rsidR="00426D2A" w:rsidRPr="003B3FF4" w:rsidRDefault="00426D2A" w:rsidP="00426D2A">
      <w:pPr>
        <w:rPr>
          <w:rStyle w:val="Emphasis"/>
        </w:rPr>
      </w:pPr>
      <w:r w:rsidRPr="003B3FF4">
        <w:rPr>
          <w:rStyle w:val="Emphasis"/>
        </w:rPr>
        <w:t>“The QCA may, by notice to a DNSP, waive any of a DNSP’s obligations under section 1 provided that the QCA is satisfied that the DNSP can demonstrate that the administrative cost to the DNSP and its Associates of complying with the obligation outweighs the benefit, or any likely benefit, to the public.”</w:t>
      </w:r>
      <w:r w:rsidR="003B3FF4">
        <w:rPr>
          <w:rStyle w:val="FootnoteReference"/>
          <w:i/>
          <w:iCs/>
        </w:rPr>
        <w:footnoteReference w:id="20"/>
      </w:r>
    </w:p>
    <w:p w:rsidR="003B3FF4" w:rsidRDefault="00426D2A" w:rsidP="00426D2A">
      <w:r w:rsidRPr="006D72C6">
        <w:t xml:space="preserve">When a service </w:t>
      </w:r>
      <w:r w:rsidRPr="00426D2A">
        <w:t xml:space="preserve">subject to </w:t>
      </w:r>
      <w:r w:rsidR="00785987">
        <w:t>ring-fencing</w:t>
      </w:r>
      <w:r w:rsidRPr="00426D2A">
        <w:t xml:space="preserve"> is provided by a regulated network business, a </w:t>
      </w:r>
      <w:r w:rsidR="00785987">
        <w:t>ring-fencing</w:t>
      </w:r>
      <w:r w:rsidRPr="00426D2A">
        <w:t xml:space="preserve"> waiver may be </w:t>
      </w:r>
      <w:r w:rsidR="00E208FE">
        <w:t>granted for</w:t>
      </w:r>
      <w:r w:rsidRPr="00426D2A">
        <w:t xml:space="preserve"> one of more </w:t>
      </w:r>
      <w:r w:rsidR="00785987">
        <w:t>ring-fencing</w:t>
      </w:r>
      <w:r w:rsidRPr="00426D2A">
        <w:t xml:space="preserve"> obligations</w:t>
      </w:r>
      <w:r w:rsidR="003B3FF4">
        <w:t xml:space="preserve">. In coming to </w:t>
      </w:r>
      <w:r w:rsidR="00E208FE">
        <w:t>our</w:t>
      </w:r>
      <w:r w:rsidR="003B3FF4">
        <w:t xml:space="preserve"> decision on whether to grant a waiver, </w:t>
      </w:r>
      <w:r w:rsidR="00E208FE">
        <w:t>we</w:t>
      </w:r>
      <w:r w:rsidR="003B3FF4">
        <w:t xml:space="preserve"> w</w:t>
      </w:r>
      <w:r w:rsidR="00E208FE">
        <w:t>ould</w:t>
      </w:r>
      <w:r w:rsidR="003B3FF4">
        <w:t xml:space="preserve"> consider the following factors:</w:t>
      </w:r>
    </w:p>
    <w:p w:rsidR="00E208FE" w:rsidRDefault="00E208FE" w:rsidP="00EA4777">
      <w:pPr>
        <w:pStyle w:val="Bulletpoint"/>
      </w:pPr>
      <w:r>
        <w:t>t</w:t>
      </w:r>
      <w:r w:rsidR="003B3FF4">
        <w:t xml:space="preserve">he potential harm </w:t>
      </w:r>
      <w:r>
        <w:t xml:space="preserve">to be avoided by </w:t>
      </w:r>
      <w:r w:rsidR="00785987">
        <w:t>ring-fencing</w:t>
      </w:r>
    </w:p>
    <w:p w:rsidR="00426D2A" w:rsidRPr="00426D2A" w:rsidRDefault="00E208FE" w:rsidP="00EA4777">
      <w:pPr>
        <w:pStyle w:val="Bulletpoint"/>
      </w:pPr>
      <w:r>
        <w:t>whether the c</w:t>
      </w:r>
      <w:r w:rsidR="00426D2A">
        <w:t xml:space="preserve">ost of complying with </w:t>
      </w:r>
      <w:r w:rsidR="00785987">
        <w:t>ring-fencing</w:t>
      </w:r>
      <w:r w:rsidR="00426D2A">
        <w:t xml:space="preserve"> obligations exceed</w:t>
      </w:r>
      <w:r>
        <w:t>s</w:t>
      </w:r>
      <w:r w:rsidR="00426D2A">
        <w:t xml:space="preserve"> the benefits defined by the </w:t>
      </w:r>
      <w:r w:rsidR="00785987">
        <w:t>ring-fencing</w:t>
      </w:r>
      <w:r w:rsidR="00426D2A">
        <w:t xml:space="preserve"> objectives </w:t>
      </w:r>
    </w:p>
    <w:p w:rsidR="00426D2A" w:rsidRPr="00426D2A" w:rsidRDefault="00E208FE" w:rsidP="00EA4777">
      <w:pPr>
        <w:pStyle w:val="Bulletpoint"/>
      </w:pPr>
      <w:r>
        <w:t>s</w:t>
      </w:r>
      <w:r w:rsidR="00426D2A" w:rsidRPr="006D72C6">
        <w:t>afety issues</w:t>
      </w:r>
      <w:r w:rsidR="00426D2A" w:rsidRPr="00426D2A">
        <w:t xml:space="preserve"> (established by a proper authority) that </w:t>
      </w:r>
      <w:r w:rsidR="00610F73">
        <w:t>result in</w:t>
      </w:r>
      <w:r w:rsidR="00426D2A" w:rsidRPr="00426D2A">
        <w:t xml:space="preserve"> service provision </w:t>
      </w:r>
      <w:r w:rsidR="00610F73">
        <w:t xml:space="preserve">being </w:t>
      </w:r>
      <w:r w:rsidR="00426D2A" w:rsidRPr="00426D2A">
        <w:t>restricted to an NSP</w:t>
      </w:r>
    </w:p>
    <w:p w:rsidR="00426D2A" w:rsidRPr="00426D2A" w:rsidRDefault="00E208FE" w:rsidP="00EA4777">
      <w:pPr>
        <w:pStyle w:val="Bulletpoint"/>
      </w:pPr>
      <w:r>
        <w:t>j</w:t>
      </w:r>
      <w:r w:rsidR="00426D2A" w:rsidRPr="006D72C6">
        <w:t xml:space="preserve">urisdictional </w:t>
      </w:r>
      <w:r w:rsidR="00426D2A" w:rsidRPr="00426D2A">
        <w:t xml:space="preserve">restrictions (such as a licence condition or </w:t>
      </w:r>
      <w:r>
        <w:t>other barrier to entry by third parties</w:t>
      </w:r>
      <w:r w:rsidR="00426D2A" w:rsidRPr="00426D2A">
        <w:t xml:space="preserve">) that </w:t>
      </w:r>
      <w:r>
        <w:t xml:space="preserve">mean a service </w:t>
      </w:r>
      <w:r w:rsidR="00426D2A" w:rsidRPr="00426D2A">
        <w:t>is not subject to competition</w:t>
      </w:r>
    </w:p>
    <w:p w:rsidR="00426D2A" w:rsidRPr="00426D2A" w:rsidRDefault="004D5BE5" w:rsidP="00EA4777">
      <w:pPr>
        <w:pStyle w:val="Bulletpoint"/>
      </w:pPr>
      <w:proofErr w:type="gramStart"/>
      <w:r>
        <w:t>w</w:t>
      </w:r>
      <w:r w:rsidR="00426D2A">
        <w:t>he</w:t>
      </w:r>
      <w:r>
        <w:t>ther</w:t>
      </w:r>
      <w:proofErr w:type="gramEnd"/>
      <w:r>
        <w:t xml:space="preserve"> a</w:t>
      </w:r>
      <w:r w:rsidR="00426D2A">
        <w:t xml:space="preserve"> service </w:t>
      </w:r>
      <w:r>
        <w:t xml:space="preserve">has been </w:t>
      </w:r>
      <w:r w:rsidR="00426D2A">
        <w:t>c</w:t>
      </w:r>
      <w:r w:rsidR="00426D2A" w:rsidRPr="00426D2A">
        <w:t>lassified for a reason other than the potential for development of competition (such a</w:t>
      </w:r>
      <w:r>
        <w:t>s a</w:t>
      </w:r>
      <w:r w:rsidR="00426D2A" w:rsidRPr="00426D2A">
        <w:t xml:space="preserve"> user specific network service).</w:t>
      </w:r>
    </w:p>
    <w:p w:rsidR="00426D2A" w:rsidRPr="00426D2A" w:rsidRDefault="00426D2A" w:rsidP="00426D2A">
      <w:r>
        <w:t>This is not intended to be an exhaustive list at this stage.</w:t>
      </w:r>
    </w:p>
    <w:p w:rsidR="00426D2A" w:rsidRDefault="00426D2A" w:rsidP="00426D2A">
      <w:r>
        <w:lastRenderedPageBreak/>
        <w:t xml:space="preserve">In </w:t>
      </w:r>
      <w:r w:rsidRPr="00426D2A">
        <w:t xml:space="preserve">its Integration of Storage paper, the AEMC made a number of recommendations </w:t>
      </w:r>
      <w:r w:rsidR="004D5BE5">
        <w:t>for us</w:t>
      </w:r>
      <w:r w:rsidR="00F10B24">
        <w:t xml:space="preserve"> to consider when developing the </w:t>
      </w:r>
      <w:r w:rsidR="00785987">
        <w:t>ring-fencing</w:t>
      </w:r>
      <w:r w:rsidR="00F10B24">
        <w:t xml:space="preserve"> </w:t>
      </w:r>
      <w:r w:rsidR="00785987">
        <w:t>guideline</w:t>
      </w:r>
      <w:r w:rsidR="00F10B24">
        <w:t>.</w:t>
      </w:r>
      <w:r w:rsidRPr="00426D2A">
        <w:rPr>
          <w:rStyle w:val="FootnoteReference"/>
        </w:rPr>
        <w:footnoteReference w:id="21"/>
      </w:r>
      <w:r w:rsidRPr="00426D2A">
        <w:t xml:space="preserve"> The</w:t>
      </w:r>
      <w:r w:rsidR="00F10B24">
        <w:t xml:space="preserve"> recommendations</w:t>
      </w:r>
      <w:r w:rsidRPr="00426D2A">
        <w:t xml:space="preserve"> could provide useful factors to </w:t>
      </w:r>
      <w:r w:rsidR="00610F73">
        <w:t>consider when assessing</w:t>
      </w:r>
      <w:r w:rsidRPr="00426D2A">
        <w:t xml:space="preserve"> a waiver application. In particular, </w:t>
      </w:r>
      <w:r w:rsidR="00E208FE">
        <w:t>we</w:t>
      </w:r>
      <w:r w:rsidR="00610F73">
        <w:t xml:space="preserve"> </w:t>
      </w:r>
      <w:r w:rsidR="004D5BE5">
        <w:t xml:space="preserve">could </w:t>
      </w:r>
      <w:r w:rsidR="00610F73">
        <w:t>consider</w:t>
      </w:r>
      <w:r w:rsidRPr="00426D2A">
        <w:t>:</w:t>
      </w:r>
    </w:p>
    <w:p w:rsidR="00924D79" w:rsidRPr="00924D79" w:rsidRDefault="00924D79" w:rsidP="00EA4777">
      <w:pPr>
        <w:pStyle w:val="Bulletpoint"/>
      </w:pPr>
      <w:r w:rsidRPr="00924D79">
        <w:t>The ability of an NSP to obtain access to the contestable services efficiently through alternative means, such as contracting the provision of services from third parties</w:t>
      </w:r>
      <w:r w:rsidR="000754AB">
        <w:t>.</w:t>
      </w:r>
    </w:p>
    <w:p w:rsidR="00924D79" w:rsidRPr="00924D79" w:rsidRDefault="00924D79" w:rsidP="00EA4777">
      <w:pPr>
        <w:pStyle w:val="Bulletpoint"/>
      </w:pPr>
      <w:r w:rsidRPr="00924D79">
        <w:t>The extent to which an activity might generally be expected to be used to provide regulated network services compared with its use to provide contestable services.</w:t>
      </w:r>
    </w:p>
    <w:p w:rsidR="00924D79" w:rsidRDefault="00924D79" w:rsidP="00EA4777">
      <w:pPr>
        <w:pStyle w:val="Bulletpoint"/>
      </w:pPr>
      <w:r w:rsidRPr="00924D79">
        <w:t xml:space="preserve">The degree to which it is expected that a network business would have the ability to impact competition in the contestable market through leveraging an advantage from its regulated activities. </w:t>
      </w:r>
    </w:p>
    <w:p w:rsidR="00924D79" w:rsidRDefault="00924D79" w:rsidP="00EA4777">
      <w:pPr>
        <w:pStyle w:val="Bulletpoint"/>
      </w:pPr>
      <w:r w:rsidRPr="00426D2A">
        <w:t>The extent and nature of the advantage that is expected to result from the network business also having a regulated business, and whether this is an artificial advantage arising from its regulated status</w:t>
      </w:r>
      <w:r>
        <w:t>.</w:t>
      </w:r>
    </w:p>
    <w:p w:rsidR="00924D79" w:rsidRDefault="00924D79" w:rsidP="00EA4777">
      <w:pPr>
        <w:pStyle w:val="Bulletpoint"/>
      </w:pPr>
      <w:r w:rsidRPr="00426D2A">
        <w:t>The nature of the other competitors in the contestable sector. Where other competitors are also regulated network businesses, it may be possible to adopt less extensive ring-fencing requirements, as all competitors would have similar advantages</w:t>
      </w:r>
      <w:r>
        <w:t>.</w:t>
      </w:r>
    </w:p>
    <w:p w:rsidR="00924D79" w:rsidRDefault="00924D79" w:rsidP="00EA4777">
      <w:pPr>
        <w:pStyle w:val="Bulletpoint"/>
      </w:pPr>
      <w:r w:rsidRPr="00426D2A">
        <w:t>The extent and nature of other benefits that the network business may have in operating in the contestable market, separate from those arising from its regulated status</w:t>
      </w:r>
      <w:r>
        <w:t>.</w:t>
      </w:r>
    </w:p>
    <w:p w:rsidR="00A53ED8" w:rsidRDefault="00541C93" w:rsidP="00A53ED8">
      <w:pPr>
        <w:pStyle w:val="Caption"/>
      </w:pPr>
      <w:r>
        <w:t xml:space="preserve">Question </w:t>
      </w:r>
      <w:r w:rsidR="00E16B1D">
        <w:t>8</w:t>
      </w:r>
      <w:r w:rsidR="00A53ED8">
        <w:t xml:space="preserve">: Do the factors </w:t>
      </w:r>
      <w:r w:rsidR="00194673">
        <w:t xml:space="preserve">set out above </w:t>
      </w:r>
      <w:r w:rsidR="00A53ED8">
        <w:t xml:space="preserve">reflect the issues </w:t>
      </w:r>
      <w:r w:rsidR="00194673">
        <w:t xml:space="preserve">we </w:t>
      </w:r>
      <w:r w:rsidR="00A53ED8">
        <w:t xml:space="preserve">should consider in deciding whether to </w:t>
      </w:r>
      <w:r w:rsidR="00B72E41">
        <w:t>g</w:t>
      </w:r>
      <w:r w:rsidR="00A53ED8">
        <w:t>rant a</w:t>
      </w:r>
      <w:r w:rsidR="00B72E41">
        <w:t xml:space="preserve"> </w:t>
      </w:r>
      <w:r w:rsidR="00785987">
        <w:t>ring-fencing</w:t>
      </w:r>
      <w:r w:rsidR="00A53ED8">
        <w:t xml:space="preserve"> waiver?</w:t>
      </w:r>
    </w:p>
    <w:p w:rsidR="00524A4A" w:rsidRDefault="00610F73" w:rsidP="00B668A6">
      <w:pPr>
        <w:pStyle w:val="Heading1"/>
      </w:pPr>
      <w:bookmarkStart w:id="20" w:name="_Toc447637301"/>
      <w:bookmarkStart w:id="21" w:name="_Toc448838451"/>
      <w:bookmarkEnd w:id="20"/>
      <w:r>
        <w:lastRenderedPageBreak/>
        <w:t>Reducing the a</w:t>
      </w:r>
      <w:r w:rsidR="00524A4A">
        <w:t xml:space="preserve">dministrative </w:t>
      </w:r>
      <w:r w:rsidR="00B668A6">
        <w:t>costs</w:t>
      </w:r>
      <w:r>
        <w:t xml:space="preserve"> of </w:t>
      </w:r>
      <w:r w:rsidR="00785987">
        <w:t>ring-fencing</w:t>
      </w:r>
      <w:bookmarkEnd w:id="21"/>
    </w:p>
    <w:p w:rsidR="00AF5225" w:rsidRDefault="00AF5225" w:rsidP="00AF5225">
      <w:r>
        <w:t>We acknowledge th</w:t>
      </w:r>
      <w:r w:rsidR="00243BF1">
        <w:t>at</w:t>
      </w:r>
      <w:r>
        <w:t xml:space="preserve"> </w:t>
      </w:r>
      <w:r w:rsidR="00785987">
        <w:t>ring-fencing</w:t>
      </w:r>
      <w:r>
        <w:t xml:space="preserve"> obligations will impose costs on the providers of </w:t>
      </w:r>
      <w:r w:rsidR="00785987">
        <w:t>ring-fenced</w:t>
      </w:r>
      <w:r>
        <w:t xml:space="preserve"> services. </w:t>
      </w:r>
      <w:r w:rsidRPr="006D72C6">
        <w:t xml:space="preserve">There may be </w:t>
      </w:r>
      <w:r w:rsidRPr="00177C9F">
        <w:t xml:space="preserve">concern from stakeholders, particularly from </w:t>
      </w:r>
      <w:r w:rsidR="0044374E">
        <w:t>NSPs</w:t>
      </w:r>
      <w:r w:rsidRPr="00177C9F">
        <w:t xml:space="preserve">, about the potential cost of complying with the </w:t>
      </w:r>
      <w:r w:rsidR="00785987">
        <w:t>ring-fencing</w:t>
      </w:r>
      <w:r w:rsidRPr="00177C9F">
        <w:t xml:space="preserve"> approach as proposed. In particular, that the approach would introduce new administrative </w:t>
      </w:r>
      <w:r w:rsidR="00E16B1D">
        <w:t>requirements</w:t>
      </w:r>
      <w:r w:rsidR="00E16B1D" w:rsidRPr="00177C9F">
        <w:t xml:space="preserve"> </w:t>
      </w:r>
      <w:r w:rsidRPr="00177C9F">
        <w:t>associated with ring-fencing compliance and consequent</w:t>
      </w:r>
      <w:r w:rsidR="00E16B1D">
        <w:t>ly</w:t>
      </w:r>
      <w:r w:rsidRPr="00177C9F">
        <w:t xml:space="preserve"> costs </w:t>
      </w:r>
      <w:r w:rsidR="00E16B1D">
        <w:t>that are ultimately borne by</w:t>
      </w:r>
      <w:r w:rsidR="00E16B1D" w:rsidRPr="00177C9F">
        <w:t xml:space="preserve"> </w:t>
      </w:r>
      <w:r w:rsidRPr="00177C9F">
        <w:t xml:space="preserve">consumers. </w:t>
      </w:r>
    </w:p>
    <w:p w:rsidR="006710C3" w:rsidRDefault="006710C3" w:rsidP="00AF5225">
      <w:r>
        <w:t xml:space="preserve">An NSP would be able to </w:t>
      </w:r>
      <w:r w:rsidR="003C16F4">
        <w:t>reduce</w:t>
      </w:r>
      <w:r>
        <w:t xml:space="preserve"> the costs it incurs for </w:t>
      </w:r>
      <w:r w:rsidR="00785987">
        <w:t>ring-fencing</w:t>
      </w:r>
      <w:r>
        <w:t xml:space="preserve"> compliance by not engaging in activities that are subject to </w:t>
      </w:r>
      <w:r w:rsidR="00785987">
        <w:t>ring-fencing</w:t>
      </w:r>
      <w:r>
        <w:t xml:space="preserve"> obligations</w:t>
      </w:r>
      <w:r w:rsidR="00E16B1D">
        <w:t>. That is, by leaving the provision of the service to other parties</w:t>
      </w:r>
      <w:r>
        <w:t xml:space="preserve">. </w:t>
      </w:r>
      <w:r w:rsidR="00E16B1D">
        <w:t>W</w:t>
      </w:r>
      <w:r>
        <w:t>e anticipate compliance cost</w:t>
      </w:r>
      <w:r w:rsidR="003629AC">
        <w:t>s</w:t>
      </w:r>
      <w:r>
        <w:t xml:space="preserve"> would </w:t>
      </w:r>
      <w:r w:rsidR="003C16F4">
        <w:t xml:space="preserve">not </w:t>
      </w:r>
      <w:r>
        <w:t xml:space="preserve">be significant unless an NSP was engaged in the provision of </w:t>
      </w:r>
      <w:r w:rsidR="00FA4406">
        <w:t>services</w:t>
      </w:r>
      <w:r>
        <w:t xml:space="preserve"> that are subject to </w:t>
      </w:r>
      <w:r w:rsidR="00785987">
        <w:t>ring-fencing</w:t>
      </w:r>
      <w:r>
        <w:t xml:space="preserve">. </w:t>
      </w:r>
      <w:r w:rsidR="003C16F4">
        <w:t xml:space="preserve">Where an NSP incurs costs due to its involvement in </w:t>
      </w:r>
      <w:r w:rsidR="00785987">
        <w:t>ring-fenced</w:t>
      </w:r>
      <w:r w:rsidR="003C16F4">
        <w:t xml:space="preserve"> activities</w:t>
      </w:r>
      <w:r>
        <w:t xml:space="preserve">, </w:t>
      </w:r>
      <w:r w:rsidR="003629AC">
        <w:t xml:space="preserve">in our view </w:t>
      </w:r>
      <w:r>
        <w:t>it is the customers of th</w:t>
      </w:r>
      <w:r w:rsidR="003C16F4">
        <w:t>os</w:t>
      </w:r>
      <w:r>
        <w:t xml:space="preserve">e </w:t>
      </w:r>
      <w:r w:rsidR="00785987">
        <w:t>ring-fenced</w:t>
      </w:r>
      <w:r>
        <w:t xml:space="preserve"> </w:t>
      </w:r>
      <w:r w:rsidR="003629AC">
        <w:t xml:space="preserve">(contestable) </w:t>
      </w:r>
      <w:r>
        <w:t>service</w:t>
      </w:r>
      <w:r w:rsidR="003C16F4">
        <w:t>s</w:t>
      </w:r>
      <w:r>
        <w:t xml:space="preserve"> that should bear </w:t>
      </w:r>
      <w:r w:rsidR="00FA4406">
        <w:t>the incremental costs of</w:t>
      </w:r>
      <w:r>
        <w:t xml:space="preserve"> </w:t>
      </w:r>
      <w:r w:rsidR="00785987">
        <w:t>ring-fencing</w:t>
      </w:r>
      <w:r w:rsidR="003C16F4">
        <w:t xml:space="preserve"> compliance</w:t>
      </w:r>
      <w:r>
        <w:t>.</w:t>
      </w:r>
    </w:p>
    <w:p w:rsidR="003C16F4" w:rsidRPr="00812E22" w:rsidRDefault="003C16F4" w:rsidP="00EA4777">
      <w:pPr>
        <w:pStyle w:val="Caption"/>
      </w:pPr>
      <w:r>
        <w:t xml:space="preserve">Question </w:t>
      </w:r>
      <w:r w:rsidR="00E16B1D">
        <w:t>9</w:t>
      </w:r>
      <w:r>
        <w:t xml:space="preserve">: </w:t>
      </w:r>
      <w:r w:rsidR="00E854E6" w:rsidRPr="00E854E6">
        <w:t xml:space="preserve">In which circumstances should the customers of </w:t>
      </w:r>
      <w:r w:rsidR="00785987">
        <w:t>ring-fenced</w:t>
      </w:r>
      <w:r w:rsidR="00E854E6" w:rsidRPr="00E854E6">
        <w:t xml:space="preserve"> services and not customers of the DNSP’s services in general pay the additional costs of complying with </w:t>
      </w:r>
      <w:r w:rsidR="00785987">
        <w:t>ring-fencing</w:t>
      </w:r>
      <w:r w:rsidR="00E854E6" w:rsidRPr="00E854E6">
        <w:t xml:space="preserve"> obligations?</w:t>
      </w:r>
    </w:p>
    <w:p w:rsidR="00AF5225" w:rsidRDefault="00481831" w:rsidP="00AF5225">
      <w:r>
        <w:t>Regardless</w:t>
      </w:r>
      <w:r w:rsidR="006710C3">
        <w:t xml:space="preserve"> of </w:t>
      </w:r>
      <w:r>
        <w:t>who should meet the costs of</w:t>
      </w:r>
      <w:r w:rsidR="006710C3">
        <w:t xml:space="preserve"> </w:t>
      </w:r>
      <w:r w:rsidR="00785987">
        <w:t>ring-fencing</w:t>
      </w:r>
      <w:r w:rsidR="006710C3">
        <w:t xml:space="preserve"> compliance</w:t>
      </w:r>
      <w:r>
        <w:t>,</w:t>
      </w:r>
      <w:r w:rsidR="006710C3">
        <w:t xml:space="preserve"> it is important to consider how </w:t>
      </w:r>
      <w:r w:rsidR="005230A2">
        <w:t xml:space="preserve">to minimise </w:t>
      </w:r>
      <w:r w:rsidR="006710C3">
        <w:t xml:space="preserve">the </w:t>
      </w:r>
      <w:r>
        <w:t>overall</w:t>
      </w:r>
      <w:r w:rsidR="006710C3">
        <w:t xml:space="preserve"> cost of </w:t>
      </w:r>
      <w:r>
        <w:t>compliance</w:t>
      </w:r>
      <w:r w:rsidR="006710C3">
        <w:t xml:space="preserve">. </w:t>
      </w:r>
      <w:r>
        <w:t>W</w:t>
      </w:r>
      <w:r w:rsidR="00AF5225" w:rsidRPr="006D72C6">
        <w:t xml:space="preserve">e propose to incorporate a number of features </w:t>
      </w:r>
      <w:r w:rsidR="00AF5225">
        <w:t>in</w:t>
      </w:r>
      <w:r w:rsidR="00AF5225" w:rsidRPr="006D72C6">
        <w:t xml:space="preserve">to the </w:t>
      </w:r>
      <w:r w:rsidR="00785987">
        <w:t>ring-fencing</w:t>
      </w:r>
      <w:r w:rsidR="00AF5225" w:rsidRPr="006D72C6">
        <w:t xml:space="preserve"> guideline that </w:t>
      </w:r>
      <w:r w:rsidR="00E35A12">
        <w:t xml:space="preserve">might </w:t>
      </w:r>
      <w:r w:rsidR="00AF5225" w:rsidRPr="006D72C6">
        <w:t xml:space="preserve">help reduce and possibly avoid additional compliance requirements. In brief, these features </w:t>
      </w:r>
      <w:r w:rsidR="00AF5225">
        <w:t xml:space="preserve">could </w:t>
      </w:r>
      <w:r w:rsidR="00AF5225" w:rsidRPr="006D72C6">
        <w:t>include</w:t>
      </w:r>
      <w:r w:rsidR="00AF5225">
        <w:t>:</w:t>
      </w:r>
    </w:p>
    <w:p w:rsidR="00AF5225" w:rsidRDefault="00AF5225" w:rsidP="00AF5225">
      <w:pPr>
        <w:pStyle w:val="Bulletpoint"/>
      </w:pPr>
      <w:r w:rsidRPr="006D72C6">
        <w:t xml:space="preserve">fast </w:t>
      </w:r>
      <w:r w:rsidRPr="00177C9F">
        <w:t>t</w:t>
      </w:r>
      <w:r>
        <w:t>rack waiver applications</w:t>
      </w:r>
      <w:r w:rsidR="003629AC">
        <w:t xml:space="preserve"> (for less contentious applications)</w:t>
      </w:r>
    </w:p>
    <w:p w:rsidR="00AF5225" w:rsidRDefault="00AF5225" w:rsidP="00AF5225">
      <w:pPr>
        <w:pStyle w:val="Bulletpoint"/>
      </w:pPr>
      <w:r w:rsidRPr="00177C9F">
        <w:t xml:space="preserve">a bulk waiver approval process as part of the </w:t>
      </w:r>
      <w:r w:rsidR="00785987">
        <w:t>ring-fencing</w:t>
      </w:r>
      <w:r w:rsidRPr="00177C9F">
        <w:t xml:space="preserve"> guideline</w:t>
      </w:r>
      <w:r>
        <w:t>,</w:t>
      </w:r>
      <w:r w:rsidRPr="00177C9F">
        <w:t xml:space="preserve"> and </w:t>
      </w:r>
    </w:p>
    <w:p w:rsidR="00AF5225" w:rsidRDefault="00AF5225" w:rsidP="00AF5225">
      <w:pPr>
        <w:pStyle w:val="Bulletpoint"/>
      </w:pPr>
      <w:proofErr w:type="gramStart"/>
      <w:r w:rsidRPr="00177C9F">
        <w:t>transitional</w:t>
      </w:r>
      <w:proofErr w:type="gramEnd"/>
      <w:r w:rsidRPr="00177C9F">
        <w:t xml:space="preserve"> arrangements to provide network business</w:t>
      </w:r>
      <w:r>
        <w:t>es with</w:t>
      </w:r>
      <w:r w:rsidRPr="00177C9F">
        <w:t xml:space="preserve"> a period to comply with the guideline. </w:t>
      </w:r>
    </w:p>
    <w:p w:rsidR="00585A9C" w:rsidRDefault="00585A9C" w:rsidP="00812E22">
      <w:r>
        <w:t xml:space="preserve">First, we propose a </w:t>
      </w:r>
      <w:r w:rsidR="00812E22" w:rsidRPr="00812E22">
        <w:t xml:space="preserve">flexible approach to waivers that includes a fast track </w:t>
      </w:r>
      <w:r w:rsidR="00992F10">
        <w:t>process</w:t>
      </w:r>
      <w:r w:rsidR="00812E22" w:rsidRPr="00812E22">
        <w:t xml:space="preserve"> </w:t>
      </w:r>
      <w:r w:rsidR="00992F10">
        <w:t>for</w:t>
      </w:r>
      <w:r w:rsidR="00812E22" w:rsidRPr="00812E22">
        <w:t xml:space="preserve"> approv</w:t>
      </w:r>
      <w:r>
        <w:t>al of</w:t>
      </w:r>
      <w:r w:rsidR="00812E22" w:rsidRPr="00812E22">
        <w:t xml:space="preserve"> waivers. Fast track waiver applications would be acceptable where </w:t>
      </w:r>
      <w:r>
        <w:t xml:space="preserve">use </w:t>
      </w:r>
      <w:r w:rsidR="005A1441">
        <w:t>of</w:t>
      </w:r>
      <w:r>
        <w:t xml:space="preserve"> a service was not material and/or the</w:t>
      </w:r>
      <w:r w:rsidR="00812E22" w:rsidRPr="00812E22">
        <w:t xml:space="preserve"> prospects for competition were minimal. </w:t>
      </w:r>
      <w:r>
        <w:t>In these cases, a waiver may be granted by the AER based on an exchange of letters</w:t>
      </w:r>
      <w:r w:rsidR="004563EF">
        <w:t xml:space="preserve"> that would be published</w:t>
      </w:r>
      <w:r>
        <w:t xml:space="preserve">. </w:t>
      </w:r>
      <w:r w:rsidR="002458DC">
        <w:t>For example, ownership of roof top solar PV to reduce an NSP</w:t>
      </w:r>
      <w:r w:rsidR="004563EF">
        <w:t>'s</w:t>
      </w:r>
      <w:r w:rsidR="002458DC">
        <w:t xml:space="preserve"> operating cost would be accepted (waiver </w:t>
      </w:r>
      <w:r w:rsidR="004563EF">
        <w:t>approv</w:t>
      </w:r>
      <w:r w:rsidR="002458DC">
        <w:t xml:space="preserve">ed) for </w:t>
      </w:r>
      <w:r w:rsidR="004563EF">
        <w:t xml:space="preserve">a </w:t>
      </w:r>
      <w:r w:rsidR="002458DC">
        <w:t xml:space="preserve">capacity below </w:t>
      </w:r>
      <w:r w:rsidR="00992F10">
        <w:t>a</w:t>
      </w:r>
      <w:r w:rsidR="002458DC">
        <w:t xml:space="preserve"> given level. The waiver would be conditional </w:t>
      </w:r>
      <w:r w:rsidR="00992F10">
        <w:t>on</w:t>
      </w:r>
      <w:r w:rsidR="002458DC">
        <w:t xml:space="preserve"> the </w:t>
      </w:r>
      <w:r w:rsidR="004563EF">
        <w:t>capacity</w:t>
      </w:r>
      <w:r w:rsidR="002458DC">
        <w:t xml:space="preserve"> </w:t>
      </w:r>
      <w:r w:rsidR="004563EF">
        <w:t>constraint</w:t>
      </w:r>
      <w:r w:rsidR="002458DC">
        <w:t xml:space="preserve"> not </w:t>
      </w:r>
      <w:r w:rsidR="004563EF">
        <w:t>being</w:t>
      </w:r>
      <w:r w:rsidR="002458DC">
        <w:t xml:space="preserve"> </w:t>
      </w:r>
      <w:r w:rsidR="004563EF">
        <w:t>exceeded</w:t>
      </w:r>
      <w:r w:rsidR="002458DC">
        <w:t>.</w:t>
      </w:r>
    </w:p>
    <w:p w:rsidR="00585A9C" w:rsidRDefault="00585A9C" w:rsidP="00812E22">
      <w:r>
        <w:t xml:space="preserve">Second, </w:t>
      </w:r>
      <w:r w:rsidR="00992F10">
        <w:t>we</w:t>
      </w:r>
      <w:r>
        <w:t xml:space="preserve"> would undertake a</w:t>
      </w:r>
      <w:r w:rsidRPr="00812E22">
        <w:t xml:space="preserve"> bulk waiver application and decision process </w:t>
      </w:r>
      <w:r>
        <w:t xml:space="preserve">as part of the guideline development process. </w:t>
      </w:r>
      <w:r w:rsidR="001C280A">
        <w:t>NSPs</w:t>
      </w:r>
      <w:r>
        <w:t xml:space="preserve"> would identify each non-standard control service they consider should be exempt from </w:t>
      </w:r>
      <w:r w:rsidR="00785987">
        <w:t>ring-fencing</w:t>
      </w:r>
      <w:r w:rsidRPr="00812E22">
        <w:t xml:space="preserve">. </w:t>
      </w:r>
      <w:r>
        <w:t>The AER would determine whe</w:t>
      </w:r>
      <w:r w:rsidR="009E19FD">
        <w:t>ther</w:t>
      </w:r>
      <w:r>
        <w:t xml:space="preserve"> or not to provide waivers for all NSPs simultaneously. </w:t>
      </w:r>
      <w:r w:rsidRPr="00812E22">
        <w:t xml:space="preserve">This process would run parallel </w:t>
      </w:r>
      <w:r w:rsidR="002458DC">
        <w:t xml:space="preserve">with </w:t>
      </w:r>
      <w:r w:rsidR="004563EF">
        <w:t>guideline</w:t>
      </w:r>
      <w:r w:rsidR="002458DC">
        <w:t xml:space="preserve"> </w:t>
      </w:r>
      <w:r w:rsidR="004563EF">
        <w:t>development</w:t>
      </w:r>
      <w:r w:rsidR="002458DC">
        <w:t xml:space="preserve">. </w:t>
      </w:r>
      <w:r w:rsidR="004563EF">
        <w:t>Alternatively</w:t>
      </w:r>
      <w:r w:rsidR="002458DC">
        <w:t xml:space="preserve">, it could </w:t>
      </w:r>
      <w:r w:rsidRPr="00812E22">
        <w:t xml:space="preserve">proceed immediately after </w:t>
      </w:r>
      <w:r w:rsidRPr="00812E22">
        <w:lastRenderedPageBreak/>
        <w:t xml:space="preserve">the guideline is finalised. </w:t>
      </w:r>
      <w:r>
        <w:t xml:space="preserve">We expect many </w:t>
      </w:r>
      <w:r w:rsidRPr="00812E22">
        <w:t xml:space="preserve">waiver requests would be common to </w:t>
      </w:r>
      <w:r w:rsidR="001C280A">
        <w:t>a number of NSPs if not all</w:t>
      </w:r>
      <w:r w:rsidRPr="00812E22">
        <w:t xml:space="preserve">. </w:t>
      </w:r>
    </w:p>
    <w:p w:rsidR="002458DC" w:rsidRDefault="002458DC" w:rsidP="002458DC">
      <w:r>
        <w:t>Third, we expect that a</w:t>
      </w:r>
      <w:r w:rsidRPr="00812E22">
        <w:t xml:space="preserve"> number of test cases </w:t>
      </w:r>
      <w:r>
        <w:t xml:space="preserve">for </w:t>
      </w:r>
      <w:r w:rsidR="00785987">
        <w:t>ring-fencing</w:t>
      </w:r>
      <w:r>
        <w:t xml:space="preserve"> waivers </w:t>
      </w:r>
      <w:r w:rsidRPr="00812E22">
        <w:t xml:space="preserve">would set precedents for how certain services would be treated under the guideline. </w:t>
      </w:r>
      <w:r>
        <w:t>Over</w:t>
      </w:r>
      <w:r w:rsidR="00420875">
        <w:t xml:space="preserve"> </w:t>
      </w:r>
      <w:r>
        <w:t xml:space="preserve">time we expect the administrative </w:t>
      </w:r>
      <w:r w:rsidR="00E35A12">
        <w:t xml:space="preserve">costs of complying with the </w:t>
      </w:r>
      <w:r w:rsidR="00785987">
        <w:t>ring-fencing</w:t>
      </w:r>
      <w:r>
        <w:t xml:space="preserve"> </w:t>
      </w:r>
      <w:r w:rsidR="00E35A12">
        <w:t xml:space="preserve">obligations </w:t>
      </w:r>
      <w:r>
        <w:t>will diminish.</w:t>
      </w:r>
    </w:p>
    <w:p w:rsidR="00812E22" w:rsidRDefault="00812E22" w:rsidP="00812E22">
      <w:r w:rsidRPr="00812E22">
        <w:t xml:space="preserve">Services </w:t>
      </w:r>
      <w:r w:rsidR="00E35A12">
        <w:t xml:space="preserve">NSPs propose to </w:t>
      </w:r>
      <w:r w:rsidRPr="00812E22">
        <w:t>offer on a commercial basis into competitive markets would face a more extensive consultation process</w:t>
      </w:r>
      <w:r w:rsidR="00592467">
        <w:t xml:space="preserve">. For example, a more complex/contentious waiver application could include </w:t>
      </w:r>
      <w:r w:rsidRPr="00812E22">
        <w:t xml:space="preserve">a draft decision (or consultation paper) and </w:t>
      </w:r>
      <w:r w:rsidR="00592467">
        <w:t xml:space="preserve">a </w:t>
      </w:r>
      <w:r w:rsidRPr="00812E22">
        <w:t xml:space="preserve">call for submissions </w:t>
      </w:r>
      <w:r w:rsidR="00592467">
        <w:t>prior to</w:t>
      </w:r>
      <w:r w:rsidRPr="00812E22">
        <w:t xml:space="preserve"> a final decision </w:t>
      </w:r>
      <w:r w:rsidR="00592467">
        <w:t>being</w:t>
      </w:r>
      <w:r w:rsidRPr="00812E22">
        <w:t xml:space="preserve"> made.</w:t>
      </w:r>
    </w:p>
    <w:p w:rsidR="00012291" w:rsidRPr="00812E22" w:rsidRDefault="00541C93" w:rsidP="00A53ED8">
      <w:pPr>
        <w:pStyle w:val="Caption"/>
      </w:pPr>
      <w:r>
        <w:t xml:space="preserve">Question </w:t>
      </w:r>
      <w:r w:rsidR="00E16B1D">
        <w:t>10</w:t>
      </w:r>
      <w:r w:rsidR="00A53ED8">
        <w:t xml:space="preserve">: How else could the AER </w:t>
      </w:r>
      <w:r w:rsidR="008C717D">
        <w:t>minimise</w:t>
      </w:r>
      <w:r w:rsidR="00A53ED8">
        <w:t xml:space="preserve"> the administrative cost of </w:t>
      </w:r>
      <w:r w:rsidR="00785987">
        <w:t>ring-fencing</w:t>
      </w:r>
      <w:r w:rsidR="00A53ED8">
        <w:t xml:space="preserve"> whil</w:t>
      </w:r>
      <w:r w:rsidR="009A3BA1">
        <w:t>e</w:t>
      </w:r>
      <w:r w:rsidR="00A53ED8">
        <w:t xml:space="preserve"> maintaining the integrity of its approach?</w:t>
      </w:r>
    </w:p>
    <w:p w:rsidR="00F07251" w:rsidRDefault="00F07251" w:rsidP="00F07251">
      <w:pPr>
        <w:pStyle w:val="Heading2"/>
      </w:pPr>
      <w:bookmarkStart w:id="22" w:name="_Toc448838452"/>
      <w:r>
        <w:t>Transitional arrangements</w:t>
      </w:r>
      <w:bookmarkEnd w:id="22"/>
    </w:p>
    <w:p w:rsidR="00F07251" w:rsidRDefault="00BA2026" w:rsidP="00FB6DA1">
      <w:r>
        <w:t xml:space="preserve">We recognise that NSPs will not be able to comply with the guideline from </w:t>
      </w:r>
      <w:r w:rsidR="00E35A12">
        <w:t>the first day it is published</w:t>
      </w:r>
      <w:r>
        <w:t xml:space="preserve">. At this stage we consider </w:t>
      </w:r>
      <w:r w:rsidR="00973054">
        <w:t>it reasonable to allow</w:t>
      </w:r>
      <w:r>
        <w:t xml:space="preserve"> </w:t>
      </w:r>
      <w:r w:rsidR="00E35A12">
        <w:t>a period</w:t>
      </w:r>
      <w:r>
        <w:t xml:space="preserve"> f</w:t>
      </w:r>
      <w:r w:rsidR="00012291">
        <w:t>o</w:t>
      </w:r>
      <w:r>
        <w:t>r NSPs to</w:t>
      </w:r>
      <w:r w:rsidR="00012291">
        <w:t xml:space="preserve"> comply with </w:t>
      </w:r>
      <w:r>
        <w:t xml:space="preserve">the </w:t>
      </w:r>
      <w:r w:rsidR="00012291">
        <w:t>guideline</w:t>
      </w:r>
      <w:r w:rsidR="003F558B">
        <w:t>— a year perhaps</w:t>
      </w:r>
      <w:r w:rsidR="00E35A12">
        <w:t>.</w:t>
      </w:r>
    </w:p>
    <w:p w:rsidR="009225CF" w:rsidRPr="00812E22" w:rsidRDefault="003F558B" w:rsidP="009225CF">
      <w:r>
        <w:t>We may decide that e</w:t>
      </w:r>
      <w:r w:rsidR="009225CF" w:rsidRPr="00812E22">
        <w:t>xi</w:t>
      </w:r>
      <w:r>
        <w:t>sting jurisdictional waivers sh</w:t>
      </w:r>
      <w:r w:rsidR="009225CF" w:rsidRPr="00812E22">
        <w:t xml:space="preserve">ould </w:t>
      </w:r>
      <w:r w:rsidR="00E35A12">
        <w:t>remain in effect</w:t>
      </w:r>
      <w:r w:rsidR="00E35A12" w:rsidRPr="00812E22">
        <w:t xml:space="preserve"> </w:t>
      </w:r>
      <w:r w:rsidR="009225CF" w:rsidRPr="00812E22">
        <w:t>but a sunset</w:t>
      </w:r>
      <w:r w:rsidR="00524A4A">
        <w:t xml:space="preserve"> </w:t>
      </w:r>
      <w:r>
        <w:t xml:space="preserve">clause </w:t>
      </w:r>
      <w:r w:rsidR="00524A4A">
        <w:t>(</w:t>
      </w:r>
      <w:r>
        <w:t>a year or more perhaps</w:t>
      </w:r>
      <w:r w:rsidR="00524A4A">
        <w:t>)</w:t>
      </w:r>
      <w:r w:rsidR="009225CF" w:rsidRPr="00812E22">
        <w:t xml:space="preserve"> be imposed. Additional time may be granted where current </w:t>
      </w:r>
      <w:r w:rsidR="00785987">
        <w:t>ring-fencing</w:t>
      </w:r>
      <w:r w:rsidR="009225CF" w:rsidRPr="00812E22">
        <w:t xml:space="preserve"> provisions are very different.</w:t>
      </w:r>
    </w:p>
    <w:p w:rsidR="005244EF" w:rsidRPr="005244EF" w:rsidRDefault="00973054" w:rsidP="005244EF">
      <w:r>
        <w:t xml:space="preserve">We </w:t>
      </w:r>
      <w:r w:rsidR="00673475">
        <w:t>consider</w:t>
      </w:r>
      <w:r>
        <w:t xml:space="preserve"> t</w:t>
      </w:r>
      <w:r w:rsidR="005244EF">
        <w:t xml:space="preserve">here are several reasons why NSPs should be given time to comply with </w:t>
      </w:r>
      <w:r w:rsidR="00673475">
        <w:t xml:space="preserve">the </w:t>
      </w:r>
      <w:r w:rsidR="005244EF">
        <w:t xml:space="preserve">new </w:t>
      </w:r>
      <w:r w:rsidR="00785987">
        <w:t>ring-fencing</w:t>
      </w:r>
      <w:r w:rsidR="005244EF">
        <w:t xml:space="preserve"> </w:t>
      </w:r>
      <w:r w:rsidR="00785987">
        <w:t>guideline</w:t>
      </w:r>
      <w:r w:rsidR="005244EF">
        <w:t>. These reasons include:</w:t>
      </w:r>
    </w:p>
    <w:p w:rsidR="005244EF" w:rsidRPr="005244EF" w:rsidRDefault="005244EF" w:rsidP="00EA4777">
      <w:pPr>
        <w:pStyle w:val="Bulletpoint"/>
      </w:pPr>
      <w:r>
        <w:t xml:space="preserve">In a practical sense, NSPs </w:t>
      </w:r>
      <w:r w:rsidR="00673475">
        <w:t>will not</w:t>
      </w:r>
      <w:r>
        <w:t xml:space="preserve"> be able to have </w:t>
      </w:r>
      <w:r w:rsidR="00785987">
        <w:t>ring-fencing</w:t>
      </w:r>
      <w:r>
        <w:t xml:space="preserve"> compliance arrangements in place until sometime after the guideline has been finalised. </w:t>
      </w:r>
    </w:p>
    <w:p w:rsidR="005244EF" w:rsidRPr="005244EF" w:rsidRDefault="005244EF" w:rsidP="00EA4777">
      <w:pPr>
        <w:pStyle w:val="Bulletpoint"/>
      </w:pPr>
      <w:r>
        <w:t xml:space="preserve">When the new guideline comes into effect, the new arrangements will be more difficult for some NSPs </w:t>
      </w:r>
      <w:r w:rsidR="00673475">
        <w:t xml:space="preserve">to meet </w:t>
      </w:r>
      <w:r>
        <w:t xml:space="preserve">compared to others –due largely to the differences between current and new </w:t>
      </w:r>
      <w:r w:rsidR="00785987">
        <w:t>ring-fencing</w:t>
      </w:r>
      <w:r>
        <w:t xml:space="preserve"> obligations. </w:t>
      </w:r>
    </w:p>
    <w:p w:rsidR="005244EF" w:rsidRPr="005244EF" w:rsidRDefault="005244EF" w:rsidP="00EA4777">
      <w:pPr>
        <w:pStyle w:val="Bulletpoint"/>
      </w:pPr>
      <w:r>
        <w:t xml:space="preserve">NSPs with existing waivers will need time to seek new waivers. We could either grandfather </w:t>
      </w:r>
      <w:r w:rsidRPr="005244EF">
        <w:t>existing waivers or provide a period of time before new waivers must be obtained.</w:t>
      </w:r>
    </w:p>
    <w:p w:rsidR="005244EF" w:rsidRDefault="005244EF" w:rsidP="00EA4777">
      <w:pPr>
        <w:pStyle w:val="Bulletpoint"/>
      </w:pPr>
      <w:r>
        <w:t xml:space="preserve">We can expect many of the services currently offered without waivers will need to be relocated under a separate legal entity. This is because the AER guideline will likely impose a more stringent </w:t>
      </w:r>
      <w:r w:rsidR="00785987">
        <w:t>ring-fencing</w:t>
      </w:r>
      <w:r>
        <w:t xml:space="preserve"> regime than applies in most jurisdictions. Alternatively, the NSPs could seek a waiver. </w:t>
      </w:r>
    </w:p>
    <w:p w:rsidR="00A53ED8" w:rsidRDefault="00A53ED8" w:rsidP="00A53ED8">
      <w:pPr>
        <w:pStyle w:val="Caption"/>
      </w:pPr>
      <w:r>
        <w:t>Question</w:t>
      </w:r>
      <w:r w:rsidR="00541C93">
        <w:t xml:space="preserve"> 1</w:t>
      </w:r>
      <w:r w:rsidR="00E16B1D">
        <w:t>1</w:t>
      </w:r>
      <w:r>
        <w:t xml:space="preserve">: Is it reasonable for the AER to </w:t>
      </w:r>
      <w:r w:rsidR="005E0557">
        <w:t xml:space="preserve">consider these </w:t>
      </w:r>
      <w:r>
        <w:t>transition</w:t>
      </w:r>
      <w:r w:rsidR="005E0557">
        <w:t>al</w:t>
      </w:r>
      <w:r>
        <w:t xml:space="preserve"> </w:t>
      </w:r>
      <w:r w:rsidR="005E0557">
        <w:t xml:space="preserve">arrangements </w:t>
      </w:r>
      <w:r>
        <w:t xml:space="preserve">to the new </w:t>
      </w:r>
      <w:r w:rsidR="00785987">
        <w:t>ring-fencing</w:t>
      </w:r>
      <w:r>
        <w:t xml:space="preserve"> guideline?</w:t>
      </w:r>
    </w:p>
    <w:p w:rsidR="003137A8" w:rsidRPr="003137A8" w:rsidRDefault="003137A8" w:rsidP="00673475"/>
    <w:p w:rsidR="00F07251" w:rsidRDefault="008506E1" w:rsidP="00F07251">
      <w:pPr>
        <w:pStyle w:val="Heading2"/>
      </w:pPr>
      <w:bookmarkStart w:id="23" w:name="_Toc448838453"/>
      <w:r>
        <w:lastRenderedPageBreak/>
        <w:t>Other issues</w:t>
      </w:r>
      <w:bookmarkEnd w:id="23"/>
    </w:p>
    <w:p w:rsidR="00FF6E58" w:rsidRPr="00EA4777" w:rsidRDefault="00FF6E58" w:rsidP="00673475">
      <w:pPr>
        <w:pStyle w:val="Heading4notnumbered"/>
        <w:rPr>
          <w:rStyle w:val="Strong"/>
        </w:rPr>
      </w:pPr>
      <w:r w:rsidRPr="00EA4777">
        <w:rPr>
          <w:rStyle w:val="Strong"/>
        </w:rPr>
        <w:t>Research and development</w:t>
      </w:r>
    </w:p>
    <w:p w:rsidR="00E96BFC" w:rsidRDefault="00A74469" w:rsidP="008506E1">
      <w:r>
        <w:t xml:space="preserve">From time to time </w:t>
      </w:r>
      <w:r w:rsidR="008506E1">
        <w:t>NSP</w:t>
      </w:r>
      <w:r w:rsidR="00524A4A">
        <w:t>s</w:t>
      </w:r>
      <w:r w:rsidR="008506E1">
        <w:t xml:space="preserve"> </w:t>
      </w:r>
      <w:r w:rsidR="00673475">
        <w:t xml:space="preserve">undertake trials and invest in research and development (R&amp;D) </w:t>
      </w:r>
      <w:r>
        <w:t>that has a commercial focus</w:t>
      </w:r>
      <w:r w:rsidR="00F7328A">
        <w:t xml:space="preserve"> but may seek a waiver to avoid the cost of </w:t>
      </w:r>
      <w:r w:rsidR="00785987">
        <w:t>ring-fencing</w:t>
      </w:r>
      <w:r w:rsidR="008506E1">
        <w:t xml:space="preserve">. </w:t>
      </w:r>
      <w:r w:rsidR="00F7328A">
        <w:t xml:space="preserve">Should a waiver be granted or should these activities be </w:t>
      </w:r>
      <w:r w:rsidR="00785987">
        <w:t>ring-fenced</w:t>
      </w:r>
      <w:r w:rsidR="00F7328A">
        <w:t>? The answer may</w:t>
      </w:r>
      <w:r w:rsidR="008506E1">
        <w:t xml:space="preserve"> depend on the NSP be</w:t>
      </w:r>
      <w:r w:rsidR="00524A4A">
        <w:t>ing able to substantiate</w:t>
      </w:r>
      <w:r w:rsidR="00E96BFC">
        <w:t xml:space="preserve"> that</w:t>
      </w:r>
      <w:r w:rsidR="00524A4A">
        <w:t xml:space="preserve"> the R&amp;D</w:t>
      </w:r>
      <w:r w:rsidR="008506E1">
        <w:t xml:space="preserve"> directly relates to the operation of the shared network. </w:t>
      </w:r>
      <w:r w:rsidR="00F7328A">
        <w:t xml:space="preserve">Arguably, only </w:t>
      </w:r>
      <w:r w:rsidR="008506E1">
        <w:t xml:space="preserve">in </w:t>
      </w:r>
      <w:r w:rsidR="00524A4A">
        <w:t>such</w:t>
      </w:r>
      <w:r w:rsidR="008506E1">
        <w:t xml:space="preserve"> circumstances would a waiver be granted for these trials</w:t>
      </w:r>
      <w:r w:rsidR="00524A4A">
        <w:t xml:space="preserve"> or other R&amp;D activities</w:t>
      </w:r>
      <w:r w:rsidR="008506E1">
        <w:t xml:space="preserve">. </w:t>
      </w:r>
    </w:p>
    <w:p w:rsidR="00874DF5" w:rsidRPr="0019007B" w:rsidRDefault="00B5659E" w:rsidP="00673475">
      <w:pPr>
        <w:pStyle w:val="Heading4notnumbered"/>
        <w:rPr>
          <w:rStyle w:val="Strong"/>
        </w:rPr>
      </w:pPr>
      <w:r w:rsidRPr="0019007B">
        <w:rPr>
          <w:rStyle w:val="Strong"/>
        </w:rPr>
        <w:t>Information sharing</w:t>
      </w:r>
    </w:p>
    <w:p w:rsidR="00874DF5" w:rsidRDefault="00B5659E" w:rsidP="008506E1">
      <w:r>
        <w:t>A</w:t>
      </w:r>
      <w:r w:rsidR="00874DF5">
        <w:t xml:space="preserve">n NSP has </w:t>
      </w:r>
      <w:r>
        <w:t>access</w:t>
      </w:r>
      <w:r w:rsidR="00874DF5">
        <w:t xml:space="preserve"> to </w:t>
      </w:r>
      <w:r>
        <w:t>information</w:t>
      </w:r>
      <w:r w:rsidR="00874DF5">
        <w:t xml:space="preserve"> </w:t>
      </w:r>
      <w:r>
        <w:t xml:space="preserve">due to its positions as a monopoly service provider. Subject to privacy concerns, there may be opportunities for NSPs to make information available to the market that would </w:t>
      </w:r>
      <w:r w:rsidR="00E16B1D">
        <w:t>facilitate</w:t>
      </w:r>
      <w:r>
        <w:t xml:space="preserve"> the development of competitive markets. </w:t>
      </w:r>
      <w:proofErr w:type="gramStart"/>
      <w:r>
        <w:t xml:space="preserve">For example, </w:t>
      </w:r>
      <w:r w:rsidR="00E35A12">
        <w:t xml:space="preserve">a requirement for NSPs or affiliates to share </w:t>
      </w:r>
      <w:r>
        <w:t xml:space="preserve">information </w:t>
      </w:r>
      <w:r w:rsidR="00E16B1D">
        <w:t>concerning</w:t>
      </w:r>
      <w:r>
        <w:t xml:space="preserve"> mid-scale solar investments that could offer network support benefits.</w:t>
      </w:r>
      <w:proofErr w:type="gramEnd"/>
      <w:r>
        <w:t xml:space="preserve"> </w:t>
      </w:r>
    </w:p>
    <w:p w:rsidR="005244EF" w:rsidRPr="00EA4777" w:rsidRDefault="005244EF" w:rsidP="00673475">
      <w:pPr>
        <w:pStyle w:val="Heading4notnumbered"/>
        <w:rPr>
          <w:rStyle w:val="Strong"/>
        </w:rPr>
      </w:pPr>
      <w:r w:rsidRPr="00EA4777">
        <w:rPr>
          <w:rStyle w:val="Strong"/>
        </w:rPr>
        <w:t>Triggers and openers</w:t>
      </w:r>
    </w:p>
    <w:p w:rsidR="005244EF" w:rsidRPr="005244EF" w:rsidRDefault="005244EF" w:rsidP="005244EF">
      <w:r>
        <w:t xml:space="preserve">If classification is used to determine which services are subject to </w:t>
      </w:r>
      <w:r w:rsidR="00785987">
        <w:t>ring-fencing</w:t>
      </w:r>
      <w:r>
        <w:t xml:space="preserve">, a review would take place automatically occur every 5 years at the time the </w:t>
      </w:r>
      <w:r w:rsidR="00673475">
        <w:t>F&amp;A</w:t>
      </w:r>
      <w:r w:rsidR="00F7328A">
        <w:t xml:space="preserve"> </w:t>
      </w:r>
      <w:r>
        <w:t>is reviewed</w:t>
      </w:r>
      <w:r w:rsidR="00F7328A">
        <w:t xml:space="preserve"> and new service classifications are established</w:t>
      </w:r>
      <w:r>
        <w:t xml:space="preserve">. However, how would we accommodate changes to circumstances within </w:t>
      </w:r>
      <w:r w:rsidR="00F7328A">
        <w:t xml:space="preserve">the regulatory control </w:t>
      </w:r>
      <w:r>
        <w:t>period? For example, say a jurisdiction opens connection service</w:t>
      </w:r>
      <w:r w:rsidR="00673475">
        <w:t>s</w:t>
      </w:r>
      <w:r>
        <w:t xml:space="preserve"> to contestability. We </w:t>
      </w:r>
      <w:r w:rsidR="00F7328A">
        <w:t xml:space="preserve">may </w:t>
      </w:r>
      <w:r>
        <w:t xml:space="preserve">need to consider if a trigger or re-opener provision can deal with this. </w:t>
      </w:r>
    </w:p>
    <w:p w:rsidR="00AF5225" w:rsidRPr="00AF5225" w:rsidRDefault="00AF5225" w:rsidP="00AF5225">
      <w:pPr>
        <w:pStyle w:val="Heading1"/>
      </w:pPr>
      <w:bookmarkStart w:id="24" w:name="_Toc448838454"/>
      <w:r w:rsidRPr="00AF5225">
        <w:lastRenderedPageBreak/>
        <w:t>Reporting, compliance and enforcement</w:t>
      </w:r>
      <w:bookmarkEnd w:id="24"/>
    </w:p>
    <w:p w:rsidR="00AF5225" w:rsidRDefault="00F7328A" w:rsidP="00AF5225">
      <w:r>
        <w:t xml:space="preserve">A robust </w:t>
      </w:r>
      <w:r w:rsidR="00785987">
        <w:t>ring-fencing</w:t>
      </w:r>
      <w:r>
        <w:t xml:space="preserve"> regime requires r</w:t>
      </w:r>
      <w:r w:rsidR="00AF5225" w:rsidRPr="00812E22">
        <w:t xml:space="preserve">igorous </w:t>
      </w:r>
      <w:r>
        <w:t>monitoring and reporting arrangements</w:t>
      </w:r>
      <w:r w:rsidR="00AF5225" w:rsidRPr="00812E22">
        <w:t xml:space="preserve">. </w:t>
      </w:r>
      <w:r>
        <w:t xml:space="preserve">In the absence of these measures, the development of </w:t>
      </w:r>
      <w:r w:rsidR="00F8581C">
        <w:t>contestable</w:t>
      </w:r>
      <w:r>
        <w:t xml:space="preserve"> markets </w:t>
      </w:r>
      <w:r w:rsidR="00B366C5">
        <w:t xml:space="preserve">may </w:t>
      </w:r>
      <w:r>
        <w:t>be undermined by lack of confidence and predictability.</w:t>
      </w:r>
    </w:p>
    <w:p w:rsidR="002C4571" w:rsidRPr="002C4571" w:rsidRDefault="002C4571" w:rsidP="002C4571">
      <w:r>
        <w:t>In general, the</w:t>
      </w:r>
      <w:r w:rsidRPr="002C4571">
        <w:t xml:space="preserve"> onus will be on NSPs to satisfy us they have complied with the ring-fencing guideline. </w:t>
      </w:r>
    </w:p>
    <w:p w:rsidR="00F7328A" w:rsidRDefault="00F7328A" w:rsidP="00AF5225">
      <w:r>
        <w:t xml:space="preserve">We </w:t>
      </w:r>
      <w:r w:rsidR="00E35A12">
        <w:t xml:space="preserve">propose </w:t>
      </w:r>
      <w:r>
        <w:t xml:space="preserve">each NSP will be required </w:t>
      </w:r>
      <w:r w:rsidR="009C49E7">
        <w:t xml:space="preserve">to report </w:t>
      </w:r>
      <w:r>
        <w:t>annually:</w:t>
      </w:r>
    </w:p>
    <w:p w:rsidR="00F7328A" w:rsidRDefault="00FA4406" w:rsidP="00EA4777">
      <w:pPr>
        <w:pStyle w:val="ListNumber"/>
      </w:pPr>
      <w:r>
        <w:t>f</w:t>
      </w:r>
      <w:r w:rsidR="00F8581C">
        <w:t xml:space="preserve">or each </w:t>
      </w:r>
      <w:r w:rsidR="00785987">
        <w:t>ring-fenced</w:t>
      </w:r>
      <w:r w:rsidR="00F8581C">
        <w:t xml:space="preserve"> service, s</w:t>
      </w:r>
      <w:r w:rsidR="00F7328A">
        <w:t xml:space="preserve">ummarise its compliance with respect to each </w:t>
      </w:r>
      <w:r w:rsidR="00785987">
        <w:t>ring-fencing</w:t>
      </w:r>
      <w:r w:rsidR="00F7328A">
        <w:t xml:space="preserve"> obligation</w:t>
      </w:r>
    </w:p>
    <w:p w:rsidR="00F7328A" w:rsidRDefault="00F7328A" w:rsidP="00EA4777">
      <w:pPr>
        <w:pStyle w:val="ListNumber"/>
      </w:pPr>
      <w:r>
        <w:t xml:space="preserve">on </w:t>
      </w:r>
      <w:r w:rsidR="009C49E7">
        <w:t>compliance</w:t>
      </w:r>
      <w:r>
        <w:t xml:space="preserve"> breaches</w:t>
      </w:r>
      <w:r w:rsidR="00F8581C">
        <w:t xml:space="preserve"> and remedies</w:t>
      </w:r>
    </w:p>
    <w:p w:rsidR="00F7328A" w:rsidRDefault="00FA4406" w:rsidP="00EA4777">
      <w:pPr>
        <w:pStyle w:val="ListNumber"/>
      </w:pPr>
      <w:r>
        <w:t xml:space="preserve">undertake </w:t>
      </w:r>
      <w:r w:rsidR="00F8581C">
        <w:t xml:space="preserve">an audit of its compliance using an independent third party </w:t>
      </w:r>
    </w:p>
    <w:p w:rsidR="008C29A1" w:rsidRDefault="00FA4406" w:rsidP="00EA4777">
      <w:pPr>
        <w:pStyle w:val="ListNumber"/>
      </w:pPr>
      <w:proofErr w:type="gramStart"/>
      <w:r>
        <w:t>s</w:t>
      </w:r>
      <w:r w:rsidR="00F8581C">
        <w:t>ubmit</w:t>
      </w:r>
      <w:proofErr w:type="gramEnd"/>
      <w:r w:rsidR="00F8581C">
        <w:t xml:space="preserve"> summary financial accounts for each </w:t>
      </w:r>
      <w:r w:rsidR="00785987">
        <w:t>ring-fenced</w:t>
      </w:r>
      <w:r w:rsidR="00F8581C">
        <w:t xml:space="preserve"> entity, indicati</w:t>
      </w:r>
      <w:r w:rsidR="00B366C5">
        <w:t>ng</w:t>
      </w:r>
      <w:r w:rsidR="00F8581C">
        <w:t xml:space="preserve"> </w:t>
      </w:r>
      <w:r w:rsidR="00130EE5">
        <w:t xml:space="preserve">the size and nature of </w:t>
      </w:r>
      <w:r w:rsidR="00F8581C">
        <w:t>transactions with the NSP</w:t>
      </w:r>
      <w:r w:rsidR="00B366C5">
        <w:t xml:space="preserve">. </w:t>
      </w:r>
    </w:p>
    <w:p w:rsidR="00F7328A" w:rsidRDefault="00B366C5" w:rsidP="0019007B">
      <w:r>
        <w:t xml:space="preserve">To aid transparency, we propose these </w:t>
      </w:r>
      <w:r w:rsidR="008C29A1">
        <w:t xml:space="preserve">annual </w:t>
      </w:r>
      <w:r>
        <w:t>report</w:t>
      </w:r>
      <w:r w:rsidR="008C29A1">
        <w:t>ing requirements</w:t>
      </w:r>
      <w:r>
        <w:t xml:space="preserve"> </w:t>
      </w:r>
      <w:r w:rsidR="008C29A1">
        <w:t>should</w:t>
      </w:r>
      <w:r>
        <w:t xml:space="preserve"> be published</w:t>
      </w:r>
      <w:r w:rsidR="008C29A1">
        <w:t xml:space="preserve"> on NSP and AER websites</w:t>
      </w:r>
      <w:r>
        <w:t>.</w:t>
      </w:r>
    </w:p>
    <w:p w:rsidR="00075B60" w:rsidRDefault="00075B60" w:rsidP="00AF5225">
      <w:r>
        <w:t xml:space="preserve">In response to our 2012 paper on </w:t>
      </w:r>
      <w:r w:rsidR="00785987">
        <w:t>ring-fencing</w:t>
      </w:r>
      <w:r>
        <w:t>, we received submission</w:t>
      </w:r>
      <w:r w:rsidR="008C29A1">
        <w:t>s</w:t>
      </w:r>
      <w:r>
        <w:t xml:space="preserve"> suggesting that penalties be applied for br</w:t>
      </w:r>
      <w:r w:rsidR="00BA5742">
        <w:t>e</w:t>
      </w:r>
      <w:r>
        <w:t xml:space="preserve">aches of the </w:t>
      </w:r>
      <w:r w:rsidR="00785987">
        <w:t>ring-fencing</w:t>
      </w:r>
      <w:r>
        <w:t xml:space="preserve"> guideline.</w:t>
      </w:r>
      <w:r>
        <w:rPr>
          <w:rStyle w:val="FootnoteReference"/>
        </w:rPr>
        <w:footnoteReference w:id="22"/>
      </w:r>
      <w:r>
        <w:t xml:space="preserve"> </w:t>
      </w:r>
      <w:r w:rsidR="002C4571">
        <w:t xml:space="preserve">Where there are breaches of the guideline, the AER could seek court enforceable compliance </w:t>
      </w:r>
      <w:r w:rsidR="003137A8">
        <w:t>with</w:t>
      </w:r>
      <w:r w:rsidR="002C4571" w:rsidRPr="002C4571">
        <w:t xml:space="preserve"> the </w:t>
      </w:r>
      <w:r w:rsidR="002C4571">
        <w:t>guideline. Whether</w:t>
      </w:r>
      <w:r>
        <w:t xml:space="preserve"> </w:t>
      </w:r>
      <w:r w:rsidR="003137A8">
        <w:t xml:space="preserve">pecuniary </w:t>
      </w:r>
      <w:r>
        <w:t xml:space="preserve">penalties </w:t>
      </w:r>
      <w:r w:rsidR="003137A8">
        <w:t xml:space="preserve">should be available </w:t>
      </w:r>
      <w:r w:rsidR="002C4571">
        <w:t>for non-compliance is an issue about which interested parties may wish to comment.</w:t>
      </w:r>
    </w:p>
    <w:p w:rsidR="00BB2AB1" w:rsidRDefault="00151219" w:rsidP="00151219">
      <w:pPr>
        <w:pStyle w:val="Caption"/>
      </w:pPr>
      <w:r>
        <w:t>Question</w:t>
      </w:r>
      <w:r w:rsidR="00541C93">
        <w:t xml:space="preserve"> 1</w:t>
      </w:r>
      <w:r w:rsidR="00E16B1D">
        <w:t>2</w:t>
      </w:r>
      <w:r>
        <w:t xml:space="preserve">: How can we ensure </w:t>
      </w:r>
      <w:r w:rsidR="00785987">
        <w:t>ring-fencing</w:t>
      </w:r>
      <w:r>
        <w:t xml:space="preserve"> compliance is robust </w:t>
      </w:r>
      <w:r w:rsidR="008C29A1">
        <w:t xml:space="preserve">and effective </w:t>
      </w:r>
      <w:r>
        <w:t xml:space="preserve">without imposing </w:t>
      </w:r>
      <w:r w:rsidR="008C29A1">
        <w:t xml:space="preserve">excessive </w:t>
      </w:r>
      <w:r>
        <w:t xml:space="preserve">costs that </w:t>
      </w:r>
      <w:r w:rsidR="00BA5742">
        <w:t xml:space="preserve">may </w:t>
      </w:r>
      <w:r>
        <w:t>ultimately be borne by consumers?</w:t>
      </w:r>
    </w:p>
    <w:p w:rsidR="00E753C4" w:rsidRPr="008506E1" w:rsidRDefault="00E753C4" w:rsidP="00E753C4">
      <w:pPr>
        <w:pStyle w:val="Heading1"/>
      </w:pPr>
      <w:bookmarkStart w:id="25" w:name="_Toc448838455"/>
      <w:r>
        <w:lastRenderedPageBreak/>
        <w:t>Next steps</w:t>
      </w:r>
      <w:bookmarkEnd w:id="25"/>
    </w:p>
    <w:p w:rsidR="00094B22" w:rsidRDefault="00094B22" w:rsidP="00EF4CC5">
      <w:r>
        <w:t xml:space="preserve">The next key milestone is the preparation of a draft </w:t>
      </w:r>
      <w:r w:rsidR="00785987">
        <w:t>ring-fencing</w:t>
      </w:r>
      <w:r>
        <w:t xml:space="preserve"> guideline. We will commence preparing this guideline once we have received and considered your submissions, due to us by the close of business on 30 May 2016.</w:t>
      </w:r>
      <w:r w:rsidR="00B366C5">
        <w:t xml:space="preserve"> We intend to meet with interested parties during this phase of the guideline development process.</w:t>
      </w:r>
    </w:p>
    <w:p w:rsidR="00DA1135" w:rsidRDefault="00B366C5" w:rsidP="00DA1135">
      <w:r>
        <w:t xml:space="preserve">We look forward to receiving and value your submissions. Issues raised in submissions will be considered and responded to in preparing our draft guideline. </w:t>
      </w:r>
      <w:r w:rsidR="00DA1135">
        <w:t>Table</w:t>
      </w:r>
      <w:r w:rsidR="00673475">
        <w:t xml:space="preserve"> 4</w:t>
      </w:r>
      <w:r w:rsidR="00DA1135">
        <w:t xml:space="preserve"> summari</w:t>
      </w:r>
      <w:r>
        <w:t>s</w:t>
      </w:r>
      <w:r w:rsidR="00DA1135">
        <w:t>es</w:t>
      </w:r>
      <w:r w:rsidR="000E556D">
        <w:t xml:space="preserve"> future dates</w:t>
      </w:r>
      <w:r w:rsidR="00DA1135">
        <w:t xml:space="preserve"> for the Ring-fencing guideline development</w:t>
      </w:r>
      <w:r>
        <w:t xml:space="preserve"> process</w:t>
      </w:r>
      <w:r w:rsidR="00DA1135">
        <w:t xml:space="preserve">. </w:t>
      </w:r>
    </w:p>
    <w:p w:rsidR="00DA1135" w:rsidRDefault="00673475" w:rsidP="00DA1135">
      <w:pPr>
        <w:pStyle w:val="Caption"/>
      </w:pPr>
      <w:r>
        <w:t>Table 4</w:t>
      </w:r>
      <w:r w:rsidR="00DA1135">
        <w:t xml:space="preserve"> </w:t>
      </w:r>
      <w:r w:rsidR="008A3CD4">
        <w:t>Ring-fencing</w:t>
      </w:r>
      <w:r w:rsidR="000F6CF3">
        <w:t xml:space="preserve"> guideline timeline</w:t>
      </w:r>
    </w:p>
    <w:tbl>
      <w:tblPr>
        <w:tblStyle w:val="AERTable-Text"/>
        <w:tblW w:w="0" w:type="auto"/>
        <w:tblLook w:val="04A0" w:firstRow="1" w:lastRow="0" w:firstColumn="1" w:lastColumn="0" w:noHBand="0" w:noVBand="1"/>
      </w:tblPr>
      <w:tblGrid>
        <w:gridCol w:w="6204"/>
        <w:gridCol w:w="2489"/>
      </w:tblGrid>
      <w:tr w:rsidR="00DA1135" w:rsidTr="000B16D8">
        <w:trPr>
          <w:cnfStyle w:val="100000000000" w:firstRow="1" w:lastRow="0" w:firstColumn="0" w:lastColumn="0" w:oddVBand="0" w:evenVBand="0" w:oddHBand="0" w:evenHBand="0" w:firstRowFirstColumn="0" w:firstRowLastColumn="0" w:lastRowFirstColumn="0" w:lastRowLastColumn="0"/>
        </w:trPr>
        <w:tc>
          <w:tcPr>
            <w:tcW w:w="6204" w:type="dxa"/>
          </w:tcPr>
          <w:p w:rsidR="00DA1135" w:rsidRDefault="00DA1135" w:rsidP="00DA1135">
            <w:pPr>
              <w:pStyle w:val="Tabletext"/>
            </w:pPr>
            <w:r>
              <w:t>Step</w:t>
            </w:r>
          </w:p>
        </w:tc>
        <w:tc>
          <w:tcPr>
            <w:tcW w:w="2489" w:type="dxa"/>
          </w:tcPr>
          <w:p w:rsidR="00DA1135" w:rsidRDefault="00DA1135" w:rsidP="00DA1135">
            <w:pPr>
              <w:pStyle w:val="Tabletext"/>
            </w:pPr>
            <w:r>
              <w:t>Date</w:t>
            </w:r>
          </w:p>
        </w:tc>
      </w:tr>
      <w:tr w:rsidR="00DA1135" w:rsidTr="000B16D8">
        <w:tc>
          <w:tcPr>
            <w:tcW w:w="6204" w:type="dxa"/>
          </w:tcPr>
          <w:p w:rsidR="00DA1135" w:rsidRPr="00DA1135" w:rsidRDefault="00DA1135" w:rsidP="00DA1135">
            <w:pPr>
              <w:pStyle w:val="Tabletext"/>
            </w:pPr>
            <w:r>
              <w:t xml:space="preserve">AER to </w:t>
            </w:r>
            <w:r w:rsidRPr="00DA1135">
              <w:t>publish preliminary position</w:t>
            </w:r>
          </w:p>
        </w:tc>
        <w:tc>
          <w:tcPr>
            <w:tcW w:w="2489" w:type="dxa"/>
          </w:tcPr>
          <w:p w:rsidR="00DA1135" w:rsidRPr="00DA1135" w:rsidRDefault="00DA1135" w:rsidP="00DA1135">
            <w:pPr>
              <w:pStyle w:val="Tabletext"/>
            </w:pPr>
            <w:r>
              <w:t>April</w:t>
            </w:r>
            <w:r w:rsidRPr="00DA1135">
              <w:t xml:space="preserve"> 2016</w:t>
            </w:r>
          </w:p>
        </w:tc>
      </w:tr>
      <w:tr w:rsidR="00DA1135" w:rsidTr="000B16D8">
        <w:trPr>
          <w:cnfStyle w:val="000000010000" w:firstRow="0" w:lastRow="0" w:firstColumn="0" w:lastColumn="0" w:oddVBand="0" w:evenVBand="0" w:oddHBand="0" w:evenHBand="1" w:firstRowFirstColumn="0" w:firstRowLastColumn="0" w:lastRowFirstColumn="0" w:lastRowLastColumn="0"/>
        </w:trPr>
        <w:tc>
          <w:tcPr>
            <w:tcW w:w="6204" w:type="dxa"/>
          </w:tcPr>
          <w:p w:rsidR="00DA1135" w:rsidRPr="00DA1135" w:rsidRDefault="00DA1135" w:rsidP="00DA1135">
            <w:pPr>
              <w:pStyle w:val="Tabletext"/>
            </w:pPr>
            <w:r>
              <w:t>Submissions due</w:t>
            </w:r>
          </w:p>
        </w:tc>
        <w:tc>
          <w:tcPr>
            <w:tcW w:w="2489" w:type="dxa"/>
          </w:tcPr>
          <w:p w:rsidR="00DA1135" w:rsidRPr="00DA1135" w:rsidRDefault="001C4AE5" w:rsidP="00DA1135">
            <w:pPr>
              <w:pStyle w:val="Tabletext"/>
            </w:pPr>
            <w:r>
              <w:t>30</w:t>
            </w:r>
            <w:r w:rsidR="00DA1135">
              <w:t xml:space="preserve"> May</w:t>
            </w:r>
            <w:r w:rsidR="00DA1135" w:rsidRPr="00DA1135">
              <w:t xml:space="preserve"> 2016</w:t>
            </w:r>
          </w:p>
        </w:tc>
      </w:tr>
      <w:tr w:rsidR="00DA1135" w:rsidTr="000B16D8">
        <w:tc>
          <w:tcPr>
            <w:tcW w:w="6204" w:type="dxa"/>
          </w:tcPr>
          <w:p w:rsidR="00DA1135" w:rsidRPr="00DA1135" w:rsidRDefault="00DA1135" w:rsidP="00DA1135">
            <w:pPr>
              <w:pStyle w:val="Tabletext"/>
            </w:pPr>
            <w:r>
              <w:t xml:space="preserve">AER to </w:t>
            </w:r>
            <w:r w:rsidRPr="00DA1135">
              <w:t>hold workshops with key stakeholders</w:t>
            </w:r>
          </w:p>
        </w:tc>
        <w:tc>
          <w:tcPr>
            <w:tcW w:w="2489" w:type="dxa"/>
          </w:tcPr>
          <w:p w:rsidR="00DA1135" w:rsidRPr="00DA1135" w:rsidRDefault="00DA1135" w:rsidP="00DA1135">
            <w:pPr>
              <w:pStyle w:val="Tabletext"/>
            </w:pPr>
            <w:r>
              <w:t>Through mid-year</w:t>
            </w:r>
            <w:r w:rsidRPr="00DA1135">
              <w:t xml:space="preserve"> 2016</w:t>
            </w:r>
          </w:p>
        </w:tc>
      </w:tr>
      <w:tr w:rsidR="00DA1135" w:rsidTr="000B16D8">
        <w:trPr>
          <w:cnfStyle w:val="000000010000" w:firstRow="0" w:lastRow="0" w:firstColumn="0" w:lastColumn="0" w:oddVBand="0" w:evenVBand="0" w:oddHBand="0" w:evenHBand="1" w:firstRowFirstColumn="0" w:firstRowLastColumn="0" w:lastRowFirstColumn="0" w:lastRowLastColumn="0"/>
        </w:trPr>
        <w:tc>
          <w:tcPr>
            <w:tcW w:w="6204" w:type="dxa"/>
          </w:tcPr>
          <w:p w:rsidR="00DA1135" w:rsidRPr="00DA1135" w:rsidRDefault="00DA1135" w:rsidP="00DA1135">
            <w:pPr>
              <w:pStyle w:val="Tabletext"/>
            </w:pPr>
            <w:r>
              <w:t xml:space="preserve">AER to </w:t>
            </w:r>
            <w:r w:rsidRPr="00DA1135">
              <w:t>issue draft Guideline</w:t>
            </w:r>
          </w:p>
        </w:tc>
        <w:tc>
          <w:tcPr>
            <w:tcW w:w="2489" w:type="dxa"/>
          </w:tcPr>
          <w:p w:rsidR="00DA1135" w:rsidRPr="00DA1135" w:rsidRDefault="00DA1135" w:rsidP="00DA1135">
            <w:pPr>
              <w:pStyle w:val="Tabletext"/>
            </w:pPr>
            <w:r>
              <w:t>July</w:t>
            </w:r>
            <w:r w:rsidRPr="00DA1135">
              <w:t xml:space="preserve"> 2016</w:t>
            </w:r>
          </w:p>
        </w:tc>
      </w:tr>
      <w:tr w:rsidR="00DA1135" w:rsidTr="000B16D8">
        <w:tc>
          <w:tcPr>
            <w:tcW w:w="6204" w:type="dxa"/>
          </w:tcPr>
          <w:p w:rsidR="00DA1135" w:rsidRPr="00DA1135" w:rsidRDefault="00DA1135" w:rsidP="00DA1135">
            <w:pPr>
              <w:pStyle w:val="Tabletext"/>
            </w:pPr>
            <w:r>
              <w:t xml:space="preserve">Submissions on </w:t>
            </w:r>
            <w:r w:rsidRPr="00DA1135">
              <w:t>Guideline</w:t>
            </w:r>
          </w:p>
        </w:tc>
        <w:tc>
          <w:tcPr>
            <w:tcW w:w="2489" w:type="dxa"/>
          </w:tcPr>
          <w:p w:rsidR="00DA1135" w:rsidRPr="00DA1135" w:rsidRDefault="00DA1135" w:rsidP="00DA1135">
            <w:pPr>
              <w:pStyle w:val="Tabletext"/>
            </w:pPr>
            <w:r>
              <w:t>Early August</w:t>
            </w:r>
          </w:p>
        </w:tc>
      </w:tr>
      <w:tr w:rsidR="00DA1135" w:rsidTr="000B16D8">
        <w:trPr>
          <w:cnfStyle w:val="000000010000" w:firstRow="0" w:lastRow="0" w:firstColumn="0" w:lastColumn="0" w:oddVBand="0" w:evenVBand="0" w:oddHBand="0" w:evenHBand="1" w:firstRowFirstColumn="0" w:firstRowLastColumn="0" w:lastRowFirstColumn="0" w:lastRowLastColumn="0"/>
        </w:trPr>
        <w:tc>
          <w:tcPr>
            <w:tcW w:w="6204" w:type="dxa"/>
          </w:tcPr>
          <w:p w:rsidR="00DA1135" w:rsidRPr="00DA1135" w:rsidRDefault="00DA1135" w:rsidP="00DA1135">
            <w:pPr>
              <w:pStyle w:val="Tabletext"/>
            </w:pPr>
            <w:r>
              <w:t xml:space="preserve">AER to </w:t>
            </w:r>
            <w:r w:rsidRPr="00DA1135">
              <w:t>hold work shops</w:t>
            </w:r>
          </w:p>
        </w:tc>
        <w:tc>
          <w:tcPr>
            <w:tcW w:w="2489" w:type="dxa"/>
          </w:tcPr>
          <w:p w:rsidR="00DA1135" w:rsidRPr="00DA1135" w:rsidRDefault="00DA1135" w:rsidP="00DA1135">
            <w:pPr>
              <w:pStyle w:val="Tabletext"/>
            </w:pPr>
            <w:r>
              <w:t>August September</w:t>
            </w:r>
            <w:r w:rsidRPr="00DA1135">
              <w:t xml:space="preserve"> 2016*</w:t>
            </w:r>
          </w:p>
        </w:tc>
      </w:tr>
      <w:tr w:rsidR="00DA1135" w:rsidTr="000B16D8">
        <w:tc>
          <w:tcPr>
            <w:tcW w:w="6204" w:type="dxa"/>
          </w:tcPr>
          <w:p w:rsidR="00DA1135" w:rsidRPr="00DA1135" w:rsidRDefault="00DA1135" w:rsidP="00DA1135">
            <w:pPr>
              <w:pStyle w:val="Tabletext"/>
            </w:pPr>
            <w:r>
              <w:t xml:space="preserve">AER to </w:t>
            </w:r>
            <w:r w:rsidRPr="00DA1135">
              <w:t xml:space="preserve">publish additional papers (if required) </w:t>
            </w:r>
          </w:p>
        </w:tc>
        <w:tc>
          <w:tcPr>
            <w:tcW w:w="2489" w:type="dxa"/>
          </w:tcPr>
          <w:p w:rsidR="00DA1135" w:rsidRPr="00DA1135" w:rsidRDefault="00DA1135" w:rsidP="00DA1135">
            <w:pPr>
              <w:pStyle w:val="Tabletext"/>
            </w:pPr>
            <w:r>
              <w:t xml:space="preserve">August/September </w:t>
            </w:r>
            <w:r w:rsidRPr="00DA1135">
              <w:t>2016</w:t>
            </w:r>
          </w:p>
        </w:tc>
      </w:tr>
      <w:tr w:rsidR="00DA1135" w:rsidTr="000B16D8">
        <w:trPr>
          <w:cnfStyle w:val="000000010000" w:firstRow="0" w:lastRow="0" w:firstColumn="0" w:lastColumn="0" w:oddVBand="0" w:evenVBand="0" w:oddHBand="0" w:evenHBand="1" w:firstRowFirstColumn="0" w:firstRowLastColumn="0" w:lastRowFirstColumn="0" w:lastRowLastColumn="0"/>
        </w:trPr>
        <w:tc>
          <w:tcPr>
            <w:tcW w:w="6204" w:type="dxa"/>
          </w:tcPr>
          <w:p w:rsidR="00DA1135" w:rsidRPr="00DA1135" w:rsidRDefault="00DA1135" w:rsidP="00DA1135">
            <w:pPr>
              <w:pStyle w:val="Tabletext"/>
            </w:pPr>
            <w:r>
              <w:t>Last</w:t>
            </w:r>
            <w:r w:rsidRPr="00DA1135">
              <w:t xml:space="preserve"> submissions due</w:t>
            </w:r>
          </w:p>
        </w:tc>
        <w:tc>
          <w:tcPr>
            <w:tcW w:w="2489" w:type="dxa"/>
          </w:tcPr>
          <w:p w:rsidR="00DA1135" w:rsidRPr="00DA1135" w:rsidRDefault="00DA1135" w:rsidP="00DA1135">
            <w:pPr>
              <w:pStyle w:val="Tabletext"/>
            </w:pPr>
            <w:r>
              <w:t>mid</w:t>
            </w:r>
            <w:r w:rsidRPr="00DA1135">
              <w:t xml:space="preserve"> October 2016</w:t>
            </w:r>
          </w:p>
        </w:tc>
      </w:tr>
      <w:tr w:rsidR="00DA1135" w:rsidTr="000B16D8">
        <w:tc>
          <w:tcPr>
            <w:tcW w:w="6204" w:type="dxa"/>
          </w:tcPr>
          <w:p w:rsidR="00DA1135" w:rsidRPr="00DA1135" w:rsidRDefault="00DA1135" w:rsidP="00DA1135">
            <w:pPr>
              <w:pStyle w:val="Tabletext"/>
            </w:pPr>
            <w:r>
              <w:t>F</w:t>
            </w:r>
            <w:r w:rsidRPr="00DA1135">
              <w:t xml:space="preserve">inal Guideline (must be within 80 business days draft guideline*) </w:t>
            </w:r>
          </w:p>
        </w:tc>
        <w:tc>
          <w:tcPr>
            <w:tcW w:w="2489" w:type="dxa"/>
          </w:tcPr>
          <w:p w:rsidR="00DA1135" w:rsidRPr="00DA1135" w:rsidRDefault="00DA1135" w:rsidP="00DA1135">
            <w:pPr>
              <w:pStyle w:val="Tabletext"/>
            </w:pPr>
            <w:r>
              <w:t xml:space="preserve">On or before </w:t>
            </w:r>
            <w:r w:rsidRPr="00DA1135">
              <w:t>30 November 2016*</w:t>
            </w:r>
          </w:p>
        </w:tc>
      </w:tr>
    </w:tbl>
    <w:p w:rsidR="00DA1135" w:rsidRDefault="00DA1135" w:rsidP="00DA1135">
      <w:pPr>
        <w:pStyle w:val="Source"/>
      </w:pPr>
      <w:r>
        <w:t>* NER requirement</w:t>
      </w:r>
    </w:p>
    <w:p w:rsidR="008713F6" w:rsidRDefault="008713F6">
      <w:pPr>
        <w:spacing w:line="240" w:lineRule="auto"/>
      </w:pPr>
    </w:p>
    <w:p w:rsidR="008713F6" w:rsidRDefault="008713F6">
      <w:pPr>
        <w:spacing w:line="240" w:lineRule="auto"/>
      </w:pPr>
    </w:p>
    <w:p w:rsidR="008713F6" w:rsidRDefault="008713F6" w:rsidP="00D86DB2">
      <w:pPr>
        <w:pStyle w:val="Heading1"/>
      </w:pPr>
      <w:bookmarkStart w:id="26" w:name="_Toc448838456"/>
      <w:r>
        <w:lastRenderedPageBreak/>
        <w:t>Summary of questions</w:t>
      </w:r>
      <w:bookmarkEnd w:id="26"/>
    </w:p>
    <w:p w:rsidR="008713F6" w:rsidRPr="006D72C6" w:rsidRDefault="008713F6" w:rsidP="008713F6">
      <w:pPr>
        <w:pStyle w:val="Caption"/>
      </w:pPr>
      <w:r>
        <w:t xml:space="preserve">Question 1: What aspects of current jurisdictional </w:t>
      </w:r>
      <w:r w:rsidR="00785987">
        <w:t>ring-fencing</w:t>
      </w:r>
      <w:r>
        <w:t xml:space="preserve"> arrangements have or have not worked well?</w:t>
      </w:r>
    </w:p>
    <w:p w:rsidR="008713F6" w:rsidRDefault="008713F6" w:rsidP="008713F6">
      <w:pPr>
        <w:pStyle w:val="Tabletitle"/>
      </w:pPr>
      <w:r>
        <w:t xml:space="preserve">Question 2: Do you consider these objectives </w:t>
      </w:r>
      <w:r w:rsidR="00E854E6">
        <w:t xml:space="preserve">discussed in section 2.1 </w:t>
      </w:r>
      <w:r>
        <w:t xml:space="preserve">adequately reflect the harm </w:t>
      </w:r>
      <w:r w:rsidR="00785987">
        <w:t>ring-fencing</w:t>
      </w:r>
      <w:r>
        <w:t xml:space="preserve"> is seeking to avoid</w:t>
      </w:r>
      <w:r w:rsidR="00C154C2" w:rsidRPr="00C154C2">
        <w:t xml:space="preserve"> </w:t>
      </w:r>
      <w:r w:rsidR="00C154C2">
        <w:t>and the benefits of an even playing field</w:t>
      </w:r>
      <w:r>
        <w:t>?</w:t>
      </w:r>
    </w:p>
    <w:p w:rsidR="008713F6" w:rsidRDefault="008713F6" w:rsidP="008713F6">
      <w:pPr>
        <w:pStyle w:val="Tabletitle"/>
      </w:pPr>
      <w:r>
        <w:t xml:space="preserve">Question 3: </w:t>
      </w:r>
      <w:r w:rsidR="00E854E6" w:rsidRPr="00E854E6">
        <w:t xml:space="preserve">Do you agree with the service classification approach to </w:t>
      </w:r>
      <w:r w:rsidR="00785987">
        <w:t>ring-fencing</w:t>
      </w:r>
      <w:r w:rsidR="00E854E6" w:rsidRPr="00E854E6">
        <w:t xml:space="preserve"> which is discussed in section 3.3? Is there a better alternative?</w:t>
      </w:r>
    </w:p>
    <w:p w:rsidR="008713F6" w:rsidRDefault="008713F6" w:rsidP="008713F6">
      <w:pPr>
        <w:pStyle w:val="Caption"/>
      </w:pPr>
      <w:r>
        <w:t xml:space="preserve">Question 4: Does the proposed approach to </w:t>
      </w:r>
      <w:r w:rsidR="00785987">
        <w:t>ring-fencing</w:t>
      </w:r>
      <w:r>
        <w:t xml:space="preserve"> adequately deal with the prospects for development of the contestable market for DER?</w:t>
      </w:r>
    </w:p>
    <w:p w:rsidR="008713F6" w:rsidRDefault="008713F6" w:rsidP="008713F6">
      <w:pPr>
        <w:pStyle w:val="Caption"/>
      </w:pPr>
      <w:r>
        <w:t xml:space="preserve">Question 5: Are there other </w:t>
      </w:r>
      <w:r w:rsidR="00785987">
        <w:t>ring-fencing</w:t>
      </w:r>
      <w:r>
        <w:t xml:space="preserve"> obligations we should impose on NSPs that provide services into contestable markets?</w:t>
      </w:r>
    </w:p>
    <w:p w:rsidR="008713F6" w:rsidRPr="00B44F90" w:rsidRDefault="008713F6" w:rsidP="008713F6">
      <w:pPr>
        <w:pStyle w:val="Caption"/>
      </w:pPr>
      <w:r>
        <w:t>Question 6: What costs would be incurred in meeting these obligations?</w:t>
      </w:r>
    </w:p>
    <w:p w:rsidR="008713F6" w:rsidRPr="003D2F3E" w:rsidRDefault="00E854E6" w:rsidP="008713F6">
      <w:pPr>
        <w:pStyle w:val="Tabletitle"/>
      </w:pPr>
      <w:r>
        <w:t>Question 7: S</w:t>
      </w:r>
      <w:r w:rsidR="008713F6">
        <w:t xml:space="preserve">hould assets sharing be </w:t>
      </w:r>
      <w:r w:rsidR="008713F6" w:rsidRPr="00C87C96">
        <w:t xml:space="preserve">restricted </w:t>
      </w:r>
      <w:r w:rsidR="008713F6">
        <w:t>between regulated services and contestable service provision?</w:t>
      </w:r>
    </w:p>
    <w:p w:rsidR="008713F6" w:rsidRDefault="008713F6" w:rsidP="008713F6">
      <w:pPr>
        <w:pStyle w:val="Caption"/>
      </w:pPr>
      <w:r>
        <w:t xml:space="preserve">Question 8: Do the factors set out above reflect the issues we should consider in deciding whether to grant a </w:t>
      </w:r>
      <w:r w:rsidR="00785987">
        <w:t>ring-fencing</w:t>
      </w:r>
      <w:r>
        <w:t xml:space="preserve"> waiver?</w:t>
      </w:r>
    </w:p>
    <w:p w:rsidR="008713F6" w:rsidRPr="00812E22" w:rsidRDefault="008713F6" w:rsidP="008713F6">
      <w:pPr>
        <w:pStyle w:val="Caption"/>
      </w:pPr>
      <w:r>
        <w:t xml:space="preserve">Question 9: </w:t>
      </w:r>
      <w:r w:rsidR="00E854E6" w:rsidRPr="00E854E6">
        <w:t xml:space="preserve">In which circumstances should the customers of </w:t>
      </w:r>
      <w:r w:rsidR="00785987">
        <w:t>ring-fenced</w:t>
      </w:r>
      <w:r w:rsidR="00E854E6" w:rsidRPr="00E854E6">
        <w:t xml:space="preserve"> services and not customers of </w:t>
      </w:r>
      <w:r w:rsidR="00E854E6">
        <w:t xml:space="preserve">the DNSP’s services in general </w:t>
      </w:r>
      <w:r w:rsidR="00E854E6" w:rsidRPr="00E854E6">
        <w:t xml:space="preserve">pay the additional costs of complying with </w:t>
      </w:r>
      <w:r w:rsidR="00785987">
        <w:t>ring-fencing</w:t>
      </w:r>
      <w:r w:rsidR="00E854E6" w:rsidRPr="00E854E6">
        <w:t xml:space="preserve"> obligations</w:t>
      </w:r>
      <w:r w:rsidR="00E854E6">
        <w:t>?</w:t>
      </w:r>
    </w:p>
    <w:p w:rsidR="008713F6" w:rsidRPr="00812E22" w:rsidRDefault="008713F6" w:rsidP="008713F6">
      <w:pPr>
        <w:pStyle w:val="Caption"/>
      </w:pPr>
      <w:r>
        <w:t xml:space="preserve">Question 10: How else could the AER minimise the administrative cost of </w:t>
      </w:r>
      <w:r w:rsidR="00785987">
        <w:t>ring-fencing</w:t>
      </w:r>
      <w:r>
        <w:t xml:space="preserve"> while maintaining the integrity of its approach?</w:t>
      </w:r>
    </w:p>
    <w:p w:rsidR="008713F6" w:rsidRPr="005244EF" w:rsidRDefault="008713F6" w:rsidP="008713F6">
      <w:pPr>
        <w:pStyle w:val="Caption"/>
      </w:pPr>
      <w:r>
        <w:t xml:space="preserve">Question 11: Is it reasonable for the AER to consider these transitional arrangements to the new </w:t>
      </w:r>
      <w:r w:rsidR="00785987">
        <w:t>ring-fencing</w:t>
      </w:r>
      <w:r>
        <w:t xml:space="preserve"> guideline?</w:t>
      </w:r>
    </w:p>
    <w:p w:rsidR="008713F6" w:rsidRDefault="008713F6" w:rsidP="008713F6">
      <w:pPr>
        <w:pStyle w:val="Caption"/>
      </w:pPr>
      <w:r>
        <w:t xml:space="preserve">Question 12: How can we ensure </w:t>
      </w:r>
      <w:r w:rsidR="00785987">
        <w:t>ring-fencing</w:t>
      </w:r>
      <w:r>
        <w:t xml:space="preserve"> compliance is robust and effective without imposing excessive costs that may ultimately be borne by consumers?</w:t>
      </w:r>
    </w:p>
    <w:p w:rsidR="008713F6" w:rsidRDefault="008713F6">
      <w:pPr>
        <w:spacing w:line="240" w:lineRule="auto"/>
      </w:pPr>
    </w:p>
    <w:p w:rsidR="00B366C5" w:rsidRDefault="00B366C5">
      <w:pPr>
        <w:spacing w:line="240" w:lineRule="auto"/>
      </w:pPr>
      <w:r>
        <w:br w:type="page"/>
      </w:r>
    </w:p>
    <w:p w:rsidR="00B366C5" w:rsidRDefault="00B366C5" w:rsidP="00673475">
      <w:pPr>
        <w:pStyle w:val="Heading1notnumber"/>
      </w:pPr>
      <w:bookmarkStart w:id="27" w:name="_Toc448838457"/>
      <w:r w:rsidRPr="00B366C5">
        <w:lastRenderedPageBreak/>
        <w:t xml:space="preserve">Appendix </w:t>
      </w:r>
      <w:r w:rsidR="003D5FBA">
        <w:t>A</w:t>
      </w:r>
      <w:r w:rsidR="00343BAD">
        <w:t>: Relevant NER</w:t>
      </w:r>
      <w:bookmarkEnd w:id="27"/>
    </w:p>
    <w:p w:rsidR="00B366C5" w:rsidRPr="006C2EA5" w:rsidRDefault="00B366C5" w:rsidP="00B366C5">
      <w:r w:rsidRPr="00B366C5">
        <w:t xml:space="preserve">6.17 Distribution Ring-Fencing Guidelines </w:t>
      </w:r>
    </w:p>
    <w:p w:rsidR="00B366C5" w:rsidRPr="006C2EA5" w:rsidRDefault="00B366C5" w:rsidP="00B366C5">
      <w:r w:rsidRPr="00B366C5">
        <w:t xml:space="preserve">6.17.1 Compliance with Distribution Ring-Fencing Guidelines </w:t>
      </w:r>
    </w:p>
    <w:p w:rsidR="00B366C5" w:rsidRPr="006C2EA5" w:rsidRDefault="00B366C5" w:rsidP="00B366C5">
      <w:r w:rsidRPr="006C2EA5">
        <w:t xml:space="preserve">All </w:t>
      </w:r>
      <w:r w:rsidRPr="00B366C5">
        <w:t xml:space="preserve">Distribution Network Service Providers </w:t>
      </w:r>
      <w:r w:rsidRPr="006C2EA5">
        <w:t xml:space="preserve">must comply with the </w:t>
      </w:r>
      <w:r w:rsidRPr="00B366C5">
        <w:t xml:space="preserve">Distribution Ring-Fencing Guidelines </w:t>
      </w:r>
      <w:r w:rsidRPr="006C2EA5">
        <w:t xml:space="preserve">prepared in accordance with clause 6.17.2. </w:t>
      </w:r>
    </w:p>
    <w:p w:rsidR="00B366C5" w:rsidRPr="006C2EA5" w:rsidRDefault="00B366C5" w:rsidP="00B366C5">
      <w:r w:rsidRPr="00B366C5">
        <w:t xml:space="preserve">6.17.2 Development of Distribution Ring-Fencing Guidelines </w:t>
      </w:r>
    </w:p>
    <w:p w:rsidR="00B366C5" w:rsidRPr="006C2EA5" w:rsidRDefault="00B366C5" w:rsidP="00B366C5">
      <w:r w:rsidRPr="006C2EA5">
        <w:t xml:space="preserve">(a) Guidelines must be developed by the </w:t>
      </w:r>
      <w:r w:rsidRPr="00B366C5">
        <w:t xml:space="preserve">AER </w:t>
      </w:r>
      <w:r w:rsidRPr="006C2EA5">
        <w:t xml:space="preserve">for the accounting and functional separation of the provision of </w:t>
      </w:r>
      <w:r w:rsidRPr="00B366C5">
        <w:t xml:space="preserve">direct control services </w:t>
      </w:r>
      <w:r w:rsidRPr="006C2EA5">
        <w:t xml:space="preserve">by </w:t>
      </w:r>
      <w:r w:rsidRPr="00B366C5">
        <w:t xml:space="preserve">Distribution Network Service Providers </w:t>
      </w:r>
      <w:r w:rsidRPr="006C2EA5">
        <w:t xml:space="preserve">from the provision of other services by </w:t>
      </w:r>
      <w:r w:rsidRPr="00B366C5">
        <w:t xml:space="preserve">Distribution Network Service Providers </w:t>
      </w:r>
      <w:r w:rsidRPr="006C2EA5">
        <w:t xml:space="preserve">(the </w:t>
      </w:r>
      <w:r w:rsidRPr="00B366C5">
        <w:t>Distribution Ring-Fencing Guidelines</w:t>
      </w:r>
      <w:r w:rsidRPr="006C2EA5">
        <w:t xml:space="preserve">). The guidelines may vary in application as between different </w:t>
      </w:r>
      <w:r w:rsidRPr="00B366C5">
        <w:t>participating jurisdictions</w:t>
      </w:r>
      <w:r w:rsidRPr="006C2EA5">
        <w:t xml:space="preserve">. </w:t>
      </w:r>
    </w:p>
    <w:p w:rsidR="00B366C5" w:rsidRPr="006C2EA5" w:rsidRDefault="00B366C5" w:rsidP="00B366C5">
      <w:r w:rsidRPr="00B366C5">
        <w:t xml:space="preserve">Note: </w:t>
      </w:r>
    </w:p>
    <w:p w:rsidR="00B366C5" w:rsidRPr="006C2EA5" w:rsidRDefault="00B366C5" w:rsidP="00B366C5">
      <w:r w:rsidRPr="006C2EA5">
        <w:t xml:space="preserve">Clause 11.14.5 will have a bearing on the application of these guidelines in certain cases. </w:t>
      </w:r>
    </w:p>
    <w:p w:rsidR="00B366C5" w:rsidRPr="006C2EA5" w:rsidRDefault="00B366C5" w:rsidP="00B366C5">
      <w:r w:rsidRPr="006C2EA5">
        <w:t xml:space="preserve">(b) The </w:t>
      </w:r>
      <w:r w:rsidRPr="00B366C5">
        <w:t xml:space="preserve">Distribution Ring-Fencing Guidelines </w:t>
      </w:r>
      <w:r w:rsidRPr="006C2EA5">
        <w:t xml:space="preserve">may include, but are not limited to: </w:t>
      </w:r>
    </w:p>
    <w:p w:rsidR="00B366C5" w:rsidRPr="006C2EA5" w:rsidRDefault="00B366C5" w:rsidP="00B366C5">
      <w:r w:rsidRPr="006C2EA5">
        <w:t xml:space="preserve">(1) provisions defining the need for and extent of: </w:t>
      </w:r>
    </w:p>
    <w:p w:rsidR="00B366C5" w:rsidRPr="00B366C5" w:rsidRDefault="00B366C5" w:rsidP="00B366C5">
      <w:r w:rsidRPr="006C2EA5">
        <w:t xml:space="preserve">(i) legal separation of the entity through which a </w:t>
      </w:r>
      <w:r w:rsidRPr="00B366C5">
        <w:t xml:space="preserve">Distribution Network Service Provider provides network services from any other entity through which it conducts business; and </w:t>
      </w:r>
    </w:p>
    <w:p w:rsidR="00B366C5" w:rsidRPr="00B366C5" w:rsidRDefault="00B366C5" w:rsidP="00B366C5">
      <w:r w:rsidRPr="006C2EA5">
        <w:t xml:space="preserve">(ii) the establishment and maintenance of consolidated and separate accounts for </w:t>
      </w:r>
      <w:r w:rsidRPr="00B366C5">
        <w:t xml:space="preserve">standard control services, alternative control services and other services provided by the Distribution Network Service Provider; and </w:t>
      </w:r>
    </w:p>
    <w:p w:rsidR="00B366C5" w:rsidRPr="00B366C5" w:rsidRDefault="00B366C5" w:rsidP="00B366C5">
      <w:r w:rsidRPr="006C2EA5">
        <w:t xml:space="preserve">(iii) allocation of costs between </w:t>
      </w:r>
      <w:r w:rsidRPr="00B366C5">
        <w:t xml:space="preserve">standard control services, alternative control services and other services provided by the Distribution Network Service Provider; and </w:t>
      </w:r>
    </w:p>
    <w:p w:rsidR="00B366C5" w:rsidRPr="00B366C5" w:rsidRDefault="00B366C5" w:rsidP="00B366C5">
      <w:r w:rsidRPr="006C2EA5">
        <w:t xml:space="preserve">(iv) </w:t>
      </w:r>
      <w:proofErr w:type="gramStart"/>
      <w:r w:rsidRPr="006C2EA5">
        <w:t>limitations</w:t>
      </w:r>
      <w:proofErr w:type="gramEnd"/>
      <w:r w:rsidRPr="006C2EA5">
        <w:t xml:space="preserve"> on the flow of information between the </w:t>
      </w:r>
      <w:r w:rsidRPr="00B366C5">
        <w:t xml:space="preserve">Distribution Network Service Provider and any other person; and </w:t>
      </w:r>
    </w:p>
    <w:p w:rsidR="00B366C5" w:rsidRPr="00B366C5" w:rsidRDefault="00B366C5" w:rsidP="00B366C5">
      <w:r w:rsidRPr="006C2EA5">
        <w:t xml:space="preserve">(v) limitations on the flow of information where there is the potential for a competitive disadvantage between those parts of the </w:t>
      </w:r>
      <w:r w:rsidRPr="00B366C5">
        <w:t xml:space="preserve">Distribution Network Service Provider's business which provide direct control services and parts of the provider’s business which provide any other services; and </w:t>
      </w:r>
    </w:p>
    <w:p w:rsidR="00B366C5" w:rsidRPr="006C2EA5" w:rsidRDefault="00B366C5" w:rsidP="00B366C5">
      <w:r w:rsidRPr="006C2EA5">
        <w:t xml:space="preserve">(2) </w:t>
      </w:r>
      <w:proofErr w:type="gramStart"/>
      <w:r w:rsidRPr="006C2EA5">
        <w:t>provisions</w:t>
      </w:r>
      <w:proofErr w:type="gramEnd"/>
      <w:r w:rsidRPr="006C2EA5">
        <w:t xml:space="preserve"> allowing the AER to add to or to waive a Distribution Network Service Provider's obligations under the Distribution Ring-Fencing Guidelines. </w:t>
      </w:r>
    </w:p>
    <w:p w:rsidR="00B366C5" w:rsidRPr="00B366C5" w:rsidRDefault="00B366C5" w:rsidP="00B366C5">
      <w:r w:rsidRPr="006C2EA5">
        <w:lastRenderedPageBreak/>
        <w:t>(</w:t>
      </w:r>
      <w:r w:rsidRPr="00B366C5">
        <w:t xml:space="preserve">a) In developing or amending the Distribution Ring-Fencing Guidelines the AER must consider, without limitation, the need, so far as practicable, for consistency between the Distribution Ring-Fencing Guidelines and the Transmission Ring-Fencing Guidelines. </w:t>
      </w:r>
    </w:p>
    <w:p w:rsidR="00B366C5" w:rsidRPr="00B366C5" w:rsidRDefault="00B366C5" w:rsidP="00B366C5">
      <w:r w:rsidRPr="00B366C5">
        <w:t>(b) In developing or amending the Distribution Ring-Fencing Guidelines, the AER must consult with participating jurisdictions, Registered Participants, AEMO and other interested parties, and such consultation must be otherwise in accordance with the distribution consultation procedures.</w:t>
      </w:r>
    </w:p>
    <w:p w:rsidR="00B366C5" w:rsidRPr="006C2EA5" w:rsidRDefault="00B366C5" w:rsidP="00B366C5">
      <w:r w:rsidRPr="00B366C5">
        <w:t xml:space="preserve">11.86.8 Distribution </w:t>
      </w:r>
      <w:r w:rsidR="008A3CD4">
        <w:t>Ring-fencing</w:t>
      </w:r>
      <w:r w:rsidRPr="00B366C5">
        <w:t xml:space="preserve"> Guidelines </w:t>
      </w:r>
    </w:p>
    <w:p w:rsidR="00B366C5" w:rsidRDefault="00B366C5" w:rsidP="00B366C5">
      <w:r w:rsidRPr="00B366C5">
        <w:t>(a) AER must by 1 December 2016 publish Distribution Ring-Fencing Guidelines.</w:t>
      </w:r>
    </w:p>
    <w:p w:rsidR="00B366C5" w:rsidRDefault="00B366C5" w:rsidP="00B366C5"/>
    <w:p w:rsidR="0006745C" w:rsidRDefault="0006745C">
      <w:pPr>
        <w:spacing w:line="240" w:lineRule="auto"/>
      </w:pPr>
      <w:r>
        <w:br w:type="page"/>
      </w:r>
    </w:p>
    <w:p w:rsidR="005101DC" w:rsidRDefault="005101DC">
      <w:pPr>
        <w:spacing w:line="240" w:lineRule="auto"/>
        <w:sectPr w:rsidR="005101DC" w:rsidSect="005347F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1009" w:gutter="0"/>
          <w:cols w:space="720"/>
          <w:docGrid w:linePitch="326"/>
        </w:sectPr>
      </w:pPr>
    </w:p>
    <w:p w:rsidR="0006745C" w:rsidRDefault="00343BAD" w:rsidP="00673475">
      <w:pPr>
        <w:pStyle w:val="Heading1notnumber"/>
      </w:pPr>
      <w:bookmarkStart w:id="28" w:name="_Toc448838458"/>
      <w:r>
        <w:lastRenderedPageBreak/>
        <w:t xml:space="preserve">Appendix B: </w:t>
      </w:r>
      <w:r w:rsidR="00673475">
        <w:t>C</w:t>
      </w:r>
      <w:r w:rsidR="004677FF">
        <w:t xml:space="preserve">urrent electricity </w:t>
      </w:r>
      <w:r w:rsidR="00785987">
        <w:t>ring-fencing</w:t>
      </w:r>
      <w:r w:rsidR="004677FF">
        <w:t xml:space="preserve"> arrangement</w:t>
      </w:r>
      <w:r w:rsidR="00673475">
        <w:t>s</w:t>
      </w:r>
      <w:r w:rsidR="004677FF">
        <w:t xml:space="preserve"> by jurisdiction</w:t>
      </w:r>
      <w:bookmarkEnd w:id="28"/>
    </w:p>
    <w:tbl>
      <w:tblPr>
        <w:tblW w:w="14428" w:type="dxa"/>
        <w:tblInd w:w="794" w:type="dxa"/>
        <w:tblLayout w:type="fixed"/>
        <w:tblCellMar>
          <w:left w:w="0" w:type="dxa"/>
          <w:right w:w="0" w:type="dxa"/>
        </w:tblCellMar>
        <w:tblLook w:val="01E0" w:firstRow="1" w:lastRow="1" w:firstColumn="1" w:lastColumn="1" w:noHBand="0" w:noVBand="0"/>
      </w:tblPr>
      <w:tblGrid>
        <w:gridCol w:w="1385"/>
        <w:gridCol w:w="1702"/>
        <w:gridCol w:w="1702"/>
        <w:gridCol w:w="1886"/>
        <w:gridCol w:w="1908"/>
        <w:gridCol w:w="1913"/>
        <w:gridCol w:w="1916"/>
        <w:gridCol w:w="2016"/>
      </w:tblGrid>
      <w:tr w:rsidR="0006745C" w:rsidRPr="00F649BD" w:rsidTr="00040267">
        <w:trPr>
          <w:trHeight w:hRule="exact" w:val="994"/>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IPART (NSW)</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ICRC (ACT)</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QCA (Queensland)</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ESCOSA (SA)</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OTTER (Tasmania)</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 (Victoria)</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AER Transmission guidelines</w:t>
            </w:r>
          </w:p>
        </w:tc>
      </w:tr>
      <w:tr w:rsidR="0006745C" w:rsidRPr="00F649BD" w:rsidTr="00040267">
        <w:trPr>
          <w:trHeight w:hRule="exact" w:val="2277"/>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Legal separation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not carry on a related business.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not carry on a related business within that legal entity.</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not hold a retail licence or a generation licence (except when generation is carried out for network support</w:t>
            </w:r>
            <w:r w:rsidR="00F649BD">
              <w:rPr>
                <w:rStyle w:val="AERtextsize8"/>
              </w:rPr>
              <w:t xml:space="preserve"> </w:t>
            </w:r>
            <w:r w:rsidRPr="00F649BD">
              <w:rPr>
                <w:rStyle w:val="AERtextsize8"/>
              </w:rPr>
              <w:t>purposes and where no revenue is earned from</w:t>
            </w:r>
            <w:r w:rsidR="00F649BD">
              <w:rPr>
                <w:rStyle w:val="AERtextsize8"/>
              </w:rPr>
              <w:t xml:space="preserve"> </w:t>
            </w:r>
            <w:r w:rsidRPr="00F649BD">
              <w:rPr>
                <w:rStyle w:val="AERtextsize8"/>
              </w:rPr>
              <w:t>such generation).</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TNSP that supplies ring-fenced services must be a legal entity and must not carry on a related business, unless related business does not attract total revenue of less than or equal to</w:t>
            </w:r>
            <w:r w:rsidR="00F649BD">
              <w:rPr>
                <w:rStyle w:val="AERtextsize8"/>
              </w:rPr>
              <w:t xml:space="preserve"> </w:t>
            </w:r>
            <w:r w:rsidRPr="00F649BD">
              <w:rPr>
                <w:rStyle w:val="AERtextsize8"/>
              </w:rPr>
              <w:t>5% of the TNSP’s total</w:t>
            </w:r>
            <w:r w:rsidR="00F649BD">
              <w:rPr>
                <w:rStyle w:val="AERtextsize8"/>
              </w:rPr>
              <w:t xml:space="preserve"> </w:t>
            </w:r>
            <w:r w:rsidRPr="00F649BD">
              <w:rPr>
                <w:rStyle w:val="AERtextsize8"/>
              </w:rPr>
              <w:t>annual revenue.</w:t>
            </w:r>
          </w:p>
        </w:tc>
      </w:tr>
      <w:tr w:rsidR="0006745C" w:rsidRPr="00F649BD" w:rsidTr="00040267">
        <w:trPr>
          <w:trHeight w:hRule="exact" w:val="2334"/>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Accounting separation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establish and maintain consolidated and separate accounts for the provision of distribution services and its other businesses.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establish and maintain consolidated and separate accounts for the provision of prescribed distribution services and excluded services.</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Separate accounting ring-fencing guidelines covering how DNSP should present accounting reports and disaggregation statements where they provide contestable services.</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TNSP must establish and maintain separate set of accounts for provision of ring-fenced services and separate amalgamated accounts for entire business.</w:t>
            </w:r>
          </w:p>
        </w:tc>
      </w:tr>
    </w:tbl>
    <w:p w:rsidR="00F649BD" w:rsidRPr="00F649BD" w:rsidRDefault="00F649BD">
      <w:pPr>
        <w:rPr>
          <w:rStyle w:val="AERtextsize8"/>
        </w:rPr>
      </w:pPr>
      <w:r w:rsidRPr="00F649BD">
        <w:rPr>
          <w:rStyle w:val="AERtextsize8"/>
        </w:rPr>
        <w:br w:type="page"/>
      </w:r>
    </w:p>
    <w:tbl>
      <w:tblPr>
        <w:tblW w:w="14428" w:type="dxa"/>
        <w:tblInd w:w="794" w:type="dxa"/>
        <w:tblLayout w:type="fixed"/>
        <w:tblCellMar>
          <w:left w:w="0" w:type="dxa"/>
          <w:right w:w="0" w:type="dxa"/>
        </w:tblCellMar>
        <w:tblLook w:val="01E0" w:firstRow="1" w:lastRow="1" w:firstColumn="1" w:lastColumn="1" w:noHBand="0" w:noVBand="0"/>
      </w:tblPr>
      <w:tblGrid>
        <w:gridCol w:w="1385"/>
        <w:gridCol w:w="1702"/>
        <w:gridCol w:w="1702"/>
        <w:gridCol w:w="1886"/>
        <w:gridCol w:w="1908"/>
        <w:gridCol w:w="1913"/>
        <w:gridCol w:w="1916"/>
        <w:gridCol w:w="2016"/>
      </w:tblGrid>
      <w:tr w:rsidR="00F649BD" w:rsidRPr="00F649BD" w:rsidTr="00F649BD">
        <w:trPr>
          <w:trHeight w:hRule="exact" w:val="811"/>
        </w:trPr>
        <w:tc>
          <w:tcPr>
            <w:tcW w:w="1385"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p>
        </w:tc>
        <w:tc>
          <w:tcPr>
            <w:tcW w:w="1702"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IPART (NSW)</w:t>
            </w:r>
          </w:p>
        </w:tc>
        <w:tc>
          <w:tcPr>
            <w:tcW w:w="1702"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ICRC (ACT)</w:t>
            </w:r>
          </w:p>
        </w:tc>
        <w:tc>
          <w:tcPr>
            <w:tcW w:w="1886"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QCA (Queensland)</w:t>
            </w:r>
          </w:p>
        </w:tc>
        <w:tc>
          <w:tcPr>
            <w:tcW w:w="1908"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ESCOSA (SA)</w:t>
            </w:r>
          </w:p>
        </w:tc>
        <w:tc>
          <w:tcPr>
            <w:tcW w:w="1913"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OTTER (Tasmania)</w:t>
            </w:r>
          </w:p>
        </w:tc>
        <w:tc>
          <w:tcPr>
            <w:tcW w:w="1916"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ESC (Victoria)</w:t>
            </w:r>
          </w:p>
        </w:tc>
        <w:tc>
          <w:tcPr>
            <w:tcW w:w="2016" w:type="dxa"/>
            <w:tcBorders>
              <w:top w:val="single" w:sz="4" w:space="0" w:color="000000"/>
              <w:left w:val="single" w:sz="4" w:space="0" w:color="000000"/>
              <w:bottom w:val="single" w:sz="4" w:space="0" w:color="000000"/>
              <w:right w:val="single" w:sz="4" w:space="0" w:color="000000"/>
            </w:tcBorders>
          </w:tcPr>
          <w:p w:rsidR="00F649BD" w:rsidRPr="00F649BD" w:rsidRDefault="00F649BD" w:rsidP="00F649BD">
            <w:pPr>
              <w:pStyle w:val="Tabletitle"/>
              <w:rPr>
                <w:rStyle w:val="AERtextsize8"/>
              </w:rPr>
            </w:pPr>
            <w:r w:rsidRPr="00F649BD">
              <w:rPr>
                <w:rStyle w:val="AERtextsize8"/>
              </w:rPr>
              <w:t>AER Transmission guidelines</w:t>
            </w:r>
          </w:p>
        </w:tc>
      </w:tr>
      <w:tr w:rsidR="0006745C" w:rsidRPr="00F649BD" w:rsidTr="0006745C">
        <w:trPr>
          <w:trHeight w:hRule="exact" w:val="2425"/>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Allocation of costs</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ensure costs relating to a distribution service are fully allocated to either prescribed distribution services or excluded distribution services on a causation basis.</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not cross-subsidise a related business.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allocate any costs that are shared between prescribed distribution services, excluded services and other activities in a manner that ensures there is no cross subsidy and according to a methodology approved by the QCA.</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Separate accounting ring-fencing guidelines covering how DNSP should present accounting reports and disaggregation statements where they provide contestable services.</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TNSP that provides</w:t>
            </w:r>
            <w:r w:rsidR="00F649BD">
              <w:rPr>
                <w:rStyle w:val="AERtextsize8"/>
              </w:rPr>
              <w:t xml:space="preserve"> </w:t>
            </w:r>
            <w:r w:rsidRPr="00F649BD">
              <w:rPr>
                <w:rStyle w:val="AERtextsize8"/>
              </w:rPr>
              <w:t>ring-fenced service must allocate costs that are shared between any</w:t>
            </w:r>
            <w:r w:rsidR="00F649BD">
              <w:rPr>
                <w:rStyle w:val="AERtextsize8"/>
              </w:rPr>
              <w:t xml:space="preserve"> </w:t>
            </w:r>
            <w:r w:rsidRPr="00F649BD">
              <w:rPr>
                <w:rStyle w:val="AERtextsize8"/>
              </w:rPr>
              <w:t>ring-fenced services and any other activity.</w:t>
            </w:r>
          </w:p>
        </w:tc>
      </w:tr>
      <w:tr w:rsidR="0006745C" w:rsidRPr="00F649BD" w:rsidTr="00F649BD">
        <w:trPr>
          <w:trHeight w:hRule="exact" w:val="3622"/>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p>
          <w:p w:rsidR="0006745C" w:rsidRPr="00F649BD" w:rsidRDefault="0006745C" w:rsidP="00F649BD">
            <w:pPr>
              <w:pStyle w:val="Tabletitle"/>
              <w:rPr>
                <w:rStyle w:val="AERtextsize8"/>
              </w:rPr>
            </w:pPr>
            <w:r w:rsidRPr="00F649BD">
              <w:rPr>
                <w:rStyle w:val="AERtextsize8"/>
              </w:rPr>
              <w:t>Access to information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provide information relating to the provision of prescribed distribution services to an independent accredited service provider on terms that are no less favourable than the terms on which that information is made available to that part of the DNSP’s business that provides contestable services.</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ensure that, where commercially valuable information is made available to a related business it is also made available to similarly situated entities.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not provide distribution network access to a related business on more favourable terms than those it provides to any other customer or</w:t>
            </w:r>
            <w:r w:rsidR="00F649BD">
              <w:rPr>
                <w:rStyle w:val="AERtextsize8"/>
              </w:rPr>
              <w:t xml:space="preserve"> </w:t>
            </w:r>
            <w:r w:rsidRPr="00F649BD">
              <w:rPr>
                <w:rStyle w:val="AERtextsize8"/>
              </w:rPr>
              <w:t>Code participant.</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ensure that any information obtained in the course of conducting a</w:t>
            </w:r>
            <w:r w:rsidR="00F649BD">
              <w:rPr>
                <w:rStyle w:val="AERtextsize8"/>
              </w:rPr>
              <w:t xml:space="preserve"> </w:t>
            </w:r>
            <w:r w:rsidRPr="00F649BD">
              <w:rPr>
                <w:rStyle w:val="AERtextsize8"/>
              </w:rPr>
              <w:t>licensed business</w:t>
            </w:r>
            <w:r w:rsidR="00F649BD">
              <w:rPr>
                <w:rStyle w:val="AERtextsize8"/>
              </w:rPr>
              <w:t xml:space="preserve"> </w:t>
            </w:r>
            <w:r w:rsidRPr="00F649BD">
              <w:rPr>
                <w:rStyle w:val="AERtextsize8"/>
              </w:rPr>
              <w:t>which might reasonably be expected to affect</w:t>
            </w:r>
            <w:r w:rsidR="00F649BD">
              <w:rPr>
                <w:rStyle w:val="AERtextsize8"/>
              </w:rPr>
              <w:t xml:space="preserve"> </w:t>
            </w:r>
            <w:r w:rsidRPr="00F649BD">
              <w:rPr>
                <w:rStyle w:val="AERtextsize8"/>
              </w:rPr>
              <w:t>materially the commercial interests of</w:t>
            </w:r>
            <w:r w:rsidR="00F649BD">
              <w:rPr>
                <w:rStyle w:val="AERtextsize8"/>
              </w:rPr>
              <w:t xml:space="preserve"> </w:t>
            </w:r>
            <w:r w:rsidRPr="00F649BD">
              <w:rPr>
                <w:rStyle w:val="AERtextsize8"/>
              </w:rPr>
              <w:t>a related business or provide a related</w:t>
            </w:r>
            <w:r w:rsidR="00F649BD">
              <w:rPr>
                <w:rStyle w:val="AERtextsize8"/>
              </w:rPr>
              <w:t xml:space="preserve"> </w:t>
            </w:r>
            <w:r w:rsidRPr="00F649BD">
              <w:rPr>
                <w:rStyle w:val="AERtextsize8"/>
              </w:rPr>
              <w:t>business an advantage over its competitors is</w:t>
            </w:r>
            <w:r w:rsidR="00F649BD">
              <w:rPr>
                <w:rStyle w:val="AERtextsize8"/>
              </w:rPr>
              <w:t xml:space="preserve"> </w:t>
            </w:r>
            <w:r w:rsidRPr="00F649BD">
              <w:rPr>
                <w:rStyle w:val="AERtextsize8"/>
              </w:rPr>
              <w:t>disclosed the related business and its</w:t>
            </w:r>
            <w:r w:rsidR="00F649BD">
              <w:rPr>
                <w:rStyle w:val="AERtextsize8"/>
              </w:rPr>
              <w:t xml:space="preserve"> </w:t>
            </w:r>
            <w:r w:rsidRPr="00F649BD">
              <w:rPr>
                <w:rStyle w:val="AERtextsize8"/>
              </w:rPr>
              <w:t>competitors in a non- discriminatory manner.</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establish access controls so that users of DNSP’s information systems do not have access to information concerning the distribution service</w:t>
            </w:r>
            <w:r w:rsidR="00F649BD">
              <w:rPr>
                <w:rStyle w:val="AERtextsize8"/>
              </w:rPr>
              <w:t xml:space="preserve"> </w:t>
            </w:r>
            <w:r w:rsidRPr="00F649BD">
              <w:rPr>
                <w:rStyle w:val="AERtextsize8"/>
              </w:rPr>
              <w:t>if the user is providing a contestable service.</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ensure that distribution information</w:t>
            </w:r>
            <w:r w:rsidR="00F649BD">
              <w:rPr>
                <w:rStyle w:val="AERtextsize8"/>
              </w:rPr>
              <w:t xml:space="preserve"> </w:t>
            </w:r>
            <w:r w:rsidRPr="00F649BD">
              <w:rPr>
                <w:rStyle w:val="AERtextsize8"/>
              </w:rPr>
              <w:t>it provides to any retail business is available to</w:t>
            </w:r>
            <w:r w:rsidR="00F649BD">
              <w:rPr>
                <w:rStyle w:val="AERtextsize8"/>
              </w:rPr>
              <w:t xml:space="preserve"> </w:t>
            </w:r>
            <w:r w:rsidRPr="00F649BD">
              <w:rPr>
                <w:rStyle w:val="AERtextsize8"/>
              </w:rPr>
              <w:t>all retail businesses.</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TNSP that provides ring-fenced services must ensure that information it provides to any associate that takes</w:t>
            </w:r>
            <w:r w:rsidR="00F649BD">
              <w:rPr>
                <w:rStyle w:val="AERtextsize8"/>
              </w:rPr>
              <w:t xml:space="preserve"> </w:t>
            </w:r>
            <w:r w:rsidRPr="00F649BD">
              <w:rPr>
                <w:rStyle w:val="AERtextsize8"/>
              </w:rPr>
              <w:t>part in a related business is available to any other</w:t>
            </w:r>
            <w:r w:rsidR="00F649BD">
              <w:rPr>
                <w:rStyle w:val="AERtextsize8"/>
              </w:rPr>
              <w:t xml:space="preserve"> </w:t>
            </w:r>
            <w:r w:rsidRPr="00F649BD">
              <w:rPr>
                <w:rStyle w:val="AERtextsize8"/>
              </w:rPr>
              <w:t>party, and that preferential treatment is</w:t>
            </w:r>
            <w:r w:rsidR="00F649BD">
              <w:rPr>
                <w:rStyle w:val="AERtextsize8"/>
              </w:rPr>
              <w:t xml:space="preserve"> </w:t>
            </w:r>
            <w:r w:rsidRPr="00F649BD">
              <w:rPr>
                <w:rStyle w:val="AERtextsize8"/>
              </w:rPr>
              <w:t>not given to an associate that takes part in a</w:t>
            </w:r>
            <w:r w:rsidR="00F649BD">
              <w:rPr>
                <w:rStyle w:val="AERtextsize8"/>
              </w:rPr>
              <w:t xml:space="preserve"> </w:t>
            </w:r>
            <w:r w:rsidRPr="00F649BD">
              <w:rPr>
                <w:rStyle w:val="AERtextsize8"/>
              </w:rPr>
              <w:t>related business.</w:t>
            </w:r>
          </w:p>
        </w:tc>
      </w:tr>
    </w:tbl>
    <w:p w:rsidR="00F649BD" w:rsidRPr="00F649BD" w:rsidRDefault="00F649BD">
      <w:pPr>
        <w:rPr>
          <w:rStyle w:val="AERtextsize8"/>
        </w:rPr>
      </w:pPr>
      <w:r w:rsidRPr="00F649BD">
        <w:rPr>
          <w:rStyle w:val="AERtextsize8"/>
        </w:rPr>
        <w:br w:type="page"/>
      </w:r>
    </w:p>
    <w:tbl>
      <w:tblPr>
        <w:tblW w:w="14428" w:type="dxa"/>
        <w:tblInd w:w="794" w:type="dxa"/>
        <w:tblLayout w:type="fixed"/>
        <w:tblCellMar>
          <w:left w:w="0" w:type="dxa"/>
          <w:right w:w="0" w:type="dxa"/>
        </w:tblCellMar>
        <w:tblLook w:val="01E0" w:firstRow="1" w:lastRow="1" w:firstColumn="1" w:lastColumn="1" w:noHBand="0" w:noVBand="0"/>
      </w:tblPr>
      <w:tblGrid>
        <w:gridCol w:w="1385"/>
        <w:gridCol w:w="1702"/>
        <w:gridCol w:w="1702"/>
        <w:gridCol w:w="1886"/>
        <w:gridCol w:w="1908"/>
        <w:gridCol w:w="1913"/>
        <w:gridCol w:w="1916"/>
        <w:gridCol w:w="2016"/>
      </w:tblGrid>
      <w:tr w:rsidR="0006745C" w:rsidRPr="00F649BD" w:rsidTr="0006745C">
        <w:trPr>
          <w:trHeight w:hRule="exact" w:val="811"/>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IPART (NSW)</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ICRC (ACT)</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QCA (Queensland)</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ESCOSA (SA)</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OTTER (Tasmania)</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 (Victoria)</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AER Transmission guidelines</w:t>
            </w:r>
          </w:p>
        </w:tc>
      </w:tr>
      <w:tr w:rsidR="0006745C" w:rsidRPr="00F649BD" w:rsidTr="0006745C">
        <w:trPr>
          <w:trHeight w:hRule="exact" w:val="4235"/>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Customer information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ensure that information obtained by conducting its business and which might reasonably be expected to affect materially the interests of an existing or prospective customer is not disclosed to any other person without the approval of the existing or prospective customer to whom that information</w:t>
            </w:r>
            <w:r w:rsidR="00F649BD">
              <w:rPr>
                <w:rStyle w:val="AERtextsize8"/>
              </w:rPr>
              <w:t xml:space="preserve"> </w:t>
            </w:r>
            <w:r w:rsidRPr="00F649BD">
              <w:rPr>
                <w:rStyle w:val="AERtextsize8"/>
              </w:rPr>
              <w:t>pertains. Exceptional circumstances given</w:t>
            </w:r>
            <w:r w:rsidR="00F649BD">
              <w:rPr>
                <w:rStyle w:val="AERtextsize8"/>
              </w:rPr>
              <w:t xml:space="preserve"> </w:t>
            </w:r>
            <w:r w:rsidRPr="00F649BD">
              <w:rPr>
                <w:rStyle w:val="AERtextsize8"/>
              </w:rPr>
              <w:t>in guidelines.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ensure that all confidential information provided by a customer or prospective customer</w:t>
            </w:r>
            <w:r w:rsidR="00F649BD">
              <w:rPr>
                <w:rStyle w:val="AERtextsize8"/>
              </w:rPr>
              <w:t xml:space="preserve"> </w:t>
            </w:r>
            <w:r w:rsidRPr="00F649BD">
              <w:rPr>
                <w:rStyle w:val="AERtextsize8"/>
              </w:rPr>
              <w:t>is used only for the purpose for which that</w:t>
            </w:r>
            <w:r w:rsidR="00F649BD">
              <w:rPr>
                <w:rStyle w:val="AERtextsize8"/>
              </w:rPr>
              <w:t xml:space="preserve"> </w:t>
            </w:r>
            <w:r w:rsidRPr="00F649BD">
              <w:rPr>
                <w:rStyle w:val="AERtextsize8"/>
              </w:rPr>
              <w:t>information was provided and not</w:t>
            </w:r>
            <w:r w:rsidR="00F649BD">
              <w:rPr>
                <w:rStyle w:val="AERtextsize8"/>
              </w:rPr>
              <w:t xml:space="preserve"> </w:t>
            </w:r>
            <w:r w:rsidRPr="00F649BD">
              <w:rPr>
                <w:rStyle w:val="AERtextsize8"/>
              </w:rPr>
              <w:t>disclosed without the approval of the</w:t>
            </w:r>
            <w:r w:rsidR="00F649BD">
              <w:rPr>
                <w:rStyle w:val="AERtextsize8"/>
              </w:rPr>
              <w:t xml:space="preserve"> </w:t>
            </w:r>
            <w:r w:rsidRPr="00F649BD">
              <w:rPr>
                <w:rStyle w:val="AERtextsize8"/>
              </w:rPr>
              <w:t>customer or prospective customer.</w:t>
            </w:r>
            <w:r w:rsidR="00F649BD">
              <w:rPr>
                <w:rStyle w:val="AERtextsize8"/>
              </w:rPr>
              <w:t xml:space="preserve"> </w:t>
            </w:r>
            <w:r w:rsidRPr="00F649BD">
              <w:rPr>
                <w:rStyle w:val="AERtextsize8"/>
              </w:rPr>
              <w:t>Exceptional circumstances given in</w:t>
            </w:r>
            <w:r w:rsidR="00F649BD">
              <w:rPr>
                <w:rStyle w:val="AERtextsize8"/>
              </w:rPr>
              <w:t xml:space="preserve"> </w:t>
            </w:r>
            <w:r w:rsidRPr="00F649BD">
              <w:rPr>
                <w:rStyle w:val="AERtextsize8"/>
              </w:rPr>
              <w:t>guidelines.</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ensure any information obtained in conducting a licensed business is used only for the purpose for which that information was provided or obtained.</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Not addressed. However, guidelines</w:t>
            </w:r>
            <w:r w:rsidR="00F649BD">
              <w:rPr>
                <w:rStyle w:val="AERtextsize8"/>
              </w:rPr>
              <w:t xml:space="preserve"> </w:t>
            </w:r>
            <w:r w:rsidRPr="00F649BD">
              <w:rPr>
                <w:rStyle w:val="AERtextsize8"/>
              </w:rPr>
              <w:t>provide that when</w:t>
            </w:r>
            <w:r w:rsidR="00F649BD">
              <w:rPr>
                <w:rStyle w:val="AERtextsize8"/>
              </w:rPr>
              <w:t xml:space="preserve"> </w:t>
            </w:r>
            <w:r w:rsidRPr="00F649BD">
              <w:rPr>
                <w:rStyle w:val="AERtextsize8"/>
              </w:rPr>
              <w:t>communicating with a customer, DNSP must</w:t>
            </w:r>
            <w:r w:rsidR="00F649BD">
              <w:rPr>
                <w:rStyle w:val="AERtextsize8"/>
              </w:rPr>
              <w:t xml:space="preserve"> </w:t>
            </w:r>
            <w:r w:rsidRPr="00F649BD">
              <w:rPr>
                <w:rStyle w:val="AERtextsize8"/>
              </w:rPr>
              <w:t>not communicate in a</w:t>
            </w:r>
            <w:r w:rsidR="00F649BD">
              <w:rPr>
                <w:rStyle w:val="AERtextsize8"/>
              </w:rPr>
              <w:t xml:space="preserve"> </w:t>
            </w:r>
            <w:r w:rsidRPr="00F649BD">
              <w:rPr>
                <w:rStyle w:val="AERtextsize8"/>
              </w:rPr>
              <w:t>way that would favour the distribution or</w:t>
            </w:r>
            <w:r w:rsidR="00F649BD">
              <w:rPr>
                <w:rStyle w:val="AERtextsize8"/>
              </w:rPr>
              <w:t xml:space="preserve"> </w:t>
            </w:r>
            <w:r w:rsidRPr="00F649BD">
              <w:rPr>
                <w:rStyle w:val="AERtextsize8"/>
              </w:rPr>
              <w:t>related business over</w:t>
            </w:r>
            <w:r w:rsidR="00F649BD">
              <w:rPr>
                <w:rStyle w:val="AERtextsize8"/>
              </w:rPr>
              <w:t xml:space="preserve"> </w:t>
            </w:r>
            <w:r w:rsidRPr="00F649BD">
              <w:rPr>
                <w:rStyle w:val="AERtextsize8"/>
              </w:rPr>
              <w:t>another service provider in provision of contestable services, and where appropriate, DNSP must communicate to customer that contestable services may also be obtained from independent service provider.</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Not addressed. However, guidelines</w:t>
            </w:r>
            <w:r w:rsidR="00F649BD">
              <w:rPr>
                <w:rStyle w:val="AERtextsize8"/>
              </w:rPr>
              <w:t xml:space="preserve"> </w:t>
            </w:r>
            <w:r w:rsidRPr="00F649BD">
              <w:rPr>
                <w:rStyle w:val="AERtextsize8"/>
              </w:rPr>
              <w:t>provide that when</w:t>
            </w:r>
            <w:r w:rsidR="00F649BD">
              <w:rPr>
                <w:rStyle w:val="AERtextsize8"/>
              </w:rPr>
              <w:t xml:space="preserve"> </w:t>
            </w:r>
            <w:r w:rsidRPr="00F649BD">
              <w:rPr>
                <w:rStyle w:val="AERtextsize8"/>
              </w:rPr>
              <w:t>DNSP is communicating with a</w:t>
            </w:r>
            <w:r w:rsidR="00F649BD">
              <w:rPr>
                <w:rStyle w:val="AERtextsize8"/>
              </w:rPr>
              <w:t xml:space="preserve"> </w:t>
            </w:r>
            <w:r w:rsidRPr="00F649BD">
              <w:rPr>
                <w:rStyle w:val="AERtextsize8"/>
              </w:rPr>
              <w:t>customer, it must make</w:t>
            </w:r>
            <w:r w:rsidR="00F649BD">
              <w:rPr>
                <w:rStyle w:val="AERtextsize8"/>
              </w:rPr>
              <w:t xml:space="preserve"> </w:t>
            </w:r>
            <w:r w:rsidRPr="00F649BD">
              <w:rPr>
                <w:rStyle w:val="AERtextsize8"/>
              </w:rPr>
              <w:t>clear that it is a distributor carrying on</w:t>
            </w:r>
            <w:r w:rsidR="00F649BD">
              <w:rPr>
                <w:rStyle w:val="AERtextsize8"/>
              </w:rPr>
              <w:t xml:space="preserve"> </w:t>
            </w:r>
            <w:r w:rsidRPr="00F649BD">
              <w:rPr>
                <w:rStyle w:val="AERtextsize8"/>
              </w:rPr>
              <w:t>distribution business,</w:t>
            </w:r>
            <w:r w:rsidR="00F649BD">
              <w:rPr>
                <w:rStyle w:val="AERtextsize8"/>
              </w:rPr>
              <w:t xml:space="preserve"> </w:t>
            </w:r>
            <w:r w:rsidRPr="00F649BD">
              <w:rPr>
                <w:rStyle w:val="AERtextsize8"/>
              </w:rPr>
              <w:t>and when retail business communicating with customer, it must make clear that it is a retailer carrying on retail business.</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r>
    </w:tbl>
    <w:p w:rsidR="00F649BD" w:rsidRPr="00F649BD" w:rsidRDefault="00F649BD">
      <w:pPr>
        <w:rPr>
          <w:rStyle w:val="AERtextsize8"/>
        </w:rPr>
      </w:pPr>
      <w:r w:rsidRPr="00F649BD">
        <w:rPr>
          <w:rStyle w:val="AERtextsize8"/>
        </w:rPr>
        <w:br w:type="page"/>
      </w:r>
    </w:p>
    <w:tbl>
      <w:tblPr>
        <w:tblW w:w="14428" w:type="dxa"/>
        <w:tblInd w:w="794" w:type="dxa"/>
        <w:tblLayout w:type="fixed"/>
        <w:tblCellMar>
          <w:left w:w="0" w:type="dxa"/>
          <w:right w:w="0" w:type="dxa"/>
        </w:tblCellMar>
        <w:tblLook w:val="01E0" w:firstRow="1" w:lastRow="1" w:firstColumn="1" w:lastColumn="1" w:noHBand="0" w:noVBand="0"/>
      </w:tblPr>
      <w:tblGrid>
        <w:gridCol w:w="1385"/>
        <w:gridCol w:w="1702"/>
        <w:gridCol w:w="1702"/>
        <w:gridCol w:w="1886"/>
        <w:gridCol w:w="1908"/>
        <w:gridCol w:w="1913"/>
        <w:gridCol w:w="1916"/>
        <w:gridCol w:w="2016"/>
      </w:tblGrid>
      <w:tr w:rsidR="0006745C" w:rsidRPr="00F649BD" w:rsidTr="0006745C">
        <w:trPr>
          <w:trHeight w:hRule="exact" w:val="811"/>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IPART (NSW)</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ICRC (ACT)</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QCA (Queensland)</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ESCOSA (SA)</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OTTER (Tasmania)</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 (Victoria)</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AER Transmission guidelines</w:t>
            </w:r>
          </w:p>
        </w:tc>
      </w:tr>
      <w:tr w:rsidR="0006745C" w:rsidRPr="00F649BD" w:rsidTr="0006745C">
        <w:trPr>
          <w:trHeight w:hRule="exact" w:val="3147"/>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Waivers</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Tribunal may grant DNSP waiver from provision of guidelines upon request and after considering factors including costs of compliance, DNSP’s ability to achieve economies of scale, the effect of the waiver on competition, and after public consultation (if relevant).</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QCA may waive DNSP’s ring-fencing obligations if satisfied that cost of complying outweighs benefit or likely benefit to public. QCA to ask for and consider any submissions it receives.</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Commission may grant waiver from ring- fencing obligations if</w:t>
            </w:r>
            <w:r w:rsidR="00F649BD">
              <w:rPr>
                <w:rStyle w:val="AERtextsize8"/>
              </w:rPr>
              <w:t xml:space="preserve"> </w:t>
            </w:r>
            <w:r w:rsidRPr="00F649BD">
              <w:rPr>
                <w:rStyle w:val="AERtextsize8"/>
              </w:rPr>
              <w:t>satisfied that the benefit or likely benefit of</w:t>
            </w:r>
            <w:r w:rsidR="00F649BD">
              <w:rPr>
                <w:rStyle w:val="AERtextsize8"/>
              </w:rPr>
              <w:t xml:space="preserve"> </w:t>
            </w:r>
            <w:r w:rsidRPr="00F649BD">
              <w:rPr>
                <w:rStyle w:val="AERtextsize8"/>
              </w:rPr>
              <w:t>compliance will be</w:t>
            </w:r>
            <w:r w:rsidR="00F649BD">
              <w:rPr>
                <w:rStyle w:val="AERtextsize8"/>
              </w:rPr>
              <w:t xml:space="preserve"> </w:t>
            </w:r>
            <w:r w:rsidRPr="00F649BD">
              <w:rPr>
                <w:rStyle w:val="AERtextsize8"/>
              </w:rPr>
              <w:t>outweighed by administrative cost to</w:t>
            </w:r>
            <w:r w:rsidR="00F649BD">
              <w:rPr>
                <w:rStyle w:val="AERtextsize8"/>
              </w:rPr>
              <w:t xml:space="preserve"> </w:t>
            </w:r>
            <w:r w:rsidRPr="00F649BD">
              <w:rPr>
                <w:rStyle w:val="AERtextsize8"/>
              </w:rPr>
              <w:t>Distribution Licensee.</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Regulator may grant waiver at request of distributor of any obligation under guidelines after undertaking consultation process and if satisfied that costs of compliance outweigh benefits.</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Not addressed.</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ACCC may waive TNSP’s ring-fencing obligations if satisfied that the benefit to the public is outweighed by</w:t>
            </w:r>
            <w:r w:rsidR="00F649BD">
              <w:rPr>
                <w:rStyle w:val="AERtextsize8"/>
              </w:rPr>
              <w:t xml:space="preserve"> </w:t>
            </w:r>
            <w:r w:rsidRPr="00F649BD">
              <w:rPr>
                <w:rStyle w:val="AERtextsize8"/>
              </w:rPr>
              <w:t>the administrative cost to the TNSP of compliance.</w:t>
            </w:r>
          </w:p>
        </w:tc>
      </w:tr>
      <w:tr w:rsidR="0006745C" w:rsidRPr="00F649BD" w:rsidTr="008516B2">
        <w:trPr>
          <w:trHeight w:hRule="exact" w:val="3475"/>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Physical and functional separation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ensure that the offices from which DNSP staff provide specified services are separate from the offices from which DNSP staff provide contestable services.</w:t>
            </w:r>
          </w:p>
        </w:tc>
        <w:tc>
          <w:tcPr>
            <w:tcW w:w="1702" w:type="dxa"/>
            <w:tcBorders>
              <w:top w:val="single" w:sz="4" w:space="0" w:color="000000"/>
              <w:left w:val="single" w:sz="4" w:space="0" w:color="000000"/>
              <w:bottom w:val="single" w:sz="4" w:space="0" w:color="000000"/>
              <w:right w:val="single" w:sz="4" w:space="0" w:color="000000"/>
            </w:tcBorders>
          </w:tcPr>
          <w:p w:rsidR="00040267" w:rsidRDefault="0006745C" w:rsidP="00040267">
            <w:pPr>
              <w:rPr>
                <w:rStyle w:val="AERtextsize8"/>
              </w:rPr>
            </w:pPr>
            <w:r w:rsidRPr="00F649BD">
              <w:rPr>
                <w:rStyle w:val="AERtextsize8"/>
              </w:rPr>
              <w:t>DNSP must ensure office space is physically separate from that of related businesses.</w:t>
            </w:r>
            <w:r w:rsidR="00F649BD">
              <w:rPr>
                <w:rStyle w:val="AERtextsize8"/>
              </w:rPr>
              <w:t xml:space="preserve"> </w:t>
            </w:r>
          </w:p>
          <w:p w:rsidR="0006745C" w:rsidRPr="00F649BD" w:rsidRDefault="0006745C" w:rsidP="00040267">
            <w:pPr>
              <w:rPr>
                <w:rStyle w:val="AERtextsize8"/>
              </w:rPr>
            </w:pPr>
            <w:r w:rsidRPr="00F649BD">
              <w:rPr>
                <w:rStyle w:val="AERtextsize8"/>
              </w:rPr>
              <w:t>DNSP must ensure that operational staff involved in providing commercially sensitive services (such as customer connection and meter reading) are not also staff of a related business.</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 xml:space="preserve">DNSP must ensure that </w:t>
            </w:r>
            <w:proofErr w:type="gramStart"/>
            <w:r w:rsidRPr="00F649BD">
              <w:rPr>
                <w:rStyle w:val="AERtextsize8"/>
              </w:rPr>
              <w:t>its marketing staff are</w:t>
            </w:r>
            <w:proofErr w:type="gramEnd"/>
            <w:r w:rsidRPr="00F649BD">
              <w:rPr>
                <w:rStyle w:val="AERtextsize8"/>
              </w:rPr>
              <w:t xml:space="preserve"> not also staff of a related business.</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 xml:space="preserve">DNSP must ensure that any marketing </w:t>
            </w:r>
            <w:proofErr w:type="gramStart"/>
            <w:r w:rsidRPr="00F649BD">
              <w:rPr>
                <w:rStyle w:val="AERtextsize8"/>
              </w:rPr>
              <w:t>staff involved in the DNSP’s licensed business are</w:t>
            </w:r>
            <w:proofErr w:type="gramEnd"/>
            <w:r w:rsidRPr="00F649BD">
              <w:rPr>
                <w:rStyle w:val="AERtextsize8"/>
              </w:rPr>
              <w:t xml:space="preserve"> not also involved in a related business; and any operations staff involved in both the DNSP’s licensed business and a related business are shared between the two businesses on a non- discriminatory arm’s length commercial basis.</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ensure that parts of business providing or marketing regulated distribution services operate independently and have separate work areas from parts of business providing contestable services. Also, DNSP must ensure that its employees are not staff of related business providing contestable services.</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DNSP must ensure that units marketing or providing distribution services and units</w:t>
            </w:r>
            <w:r w:rsidR="00F649BD">
              <w:rPr>
                <w:rStyle w:val="AERtextsize8"/>
              </w:rPr>
              <w:t xml:space="preserve"> </w:t>
            </w:r>
            <w:r w:rsidRPr="00F649BD">
              <w:rPr>
                <w:rStyle w:val="AERtextsize8"/>
              </w:rPr>
              <w:t>within retail business operate independently</w:t>
            </w:r>
            <w:r w:rsidR="00F649BD">
              <w:rPr>
                <w:rStyle w:val="AERtextsize8"/>
              </w:rPr>
              <w:t xml:space="preserve"> </w:t>
            </w:r>
            <w:r w:rsidRPr="00F649BD">
              <w:rPr>
                <w:rStyle w:val="AERtextsize8"/>
              </w:rPr>
              <w:t>and have separate</w:t>
            </w:r>
            <w:r w:rsidR="00F649BD">
              <w:rPr>
                <w:rStyle w:val="AERtextsize8"/>
              </w:rPr>
              <w:t xml:space="preserve"> </w:t>
            </w:r>
            <w:r w:rsidRPr="00F649BD">
              <w:rPr>
                <w:rStyle w:val="AERtextsize8"/>
              </w:rPr>
              <w:t>work areas with access controls that prevent</w:t>
            </w:r>
            <w:r w:rsidR="00F649BD">
              <w:rPr>
                <w:rStyle w:val="AERtextsize8"/>
              </w:rPr>
              <w:t xml:space="preserve"> </w:t>
            </w:r>
            <w:r w:rsidRPr="00F649BD">
              <w:rPr>
                <w:rStyle w:val="AERtextsize8"/>
              </w:rPr>
              <w:t>staff of either unit</w:t>
            </w:r>
            <w:r w:rsidR="00F649BD">
              <w:rPr>
                <w:rStyle w:val="AERtextsize8"/>
              </w:rPr>
              <w:t xml:space="preserve"> </w:t>
            </w:r>
            <w:r w:rsidRPr="00F649BD">
              <w:rPr>
                <w:rStyle w:val="AERtextsize8"/>
              </w:rPr>
              <w:t>entering into work area of other unit. Also, DNSP staff must not also be staff of retail business.</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TNSP must ensure that</w:t>
            </w:r>
            <w:r w:rsidR="00F649BD">
              <w:rPr>
                <w:rStyle w:val="AERtextsize8"/>
              </w:rPr>
              <w:t xml:space="preserve"> </w:t>
            </w:r>
            <w:proofErr w:type="gramStart"/>
            <w:r w:rsidRPr="00F649BD">
              <w:rPr>
                <w:rStyle w:val="AERtextsize8"/>
              </w:rPr>
              <w:t>its marketing staff are</w:t>
            </w:r>
            <w:proofErr w:type="gramEnd"/>
            <w:r w:rsidRPr="00F649BD">
              <w:rPr>
                <w:rStyle w:val="AERtextsize8"/>
              </w:rPr>
              <w:t xml:space="preserve"> not also servants/consultants of an associate that</w:t>
            </w:r>
            <w:r w:rsidR="00F649BD">
              <w:rPr>
                <w:rStyle w:val="AERtextsize8"/>
              </w:rPr>
              <w:t xml:space="preserve"> </w:t>
            </w:r>
            <w:r w:rsidRPr="00F649BD">
              <w:rPr>
                <w:rStyle w:val="AERtextsize8"/>
              </w:rPr>
              <w:t>takes part in a related business, or that its</w:t>
            </w:r>
            <w:r w:rsidR="00F649BD">
              <w:rPr>
                <w:rStyle w:val="AERtextsize8"/>
              </w:rPr>
              <w:t xml:space="preserve"> </w:t>
            </w:r>
            <w:r w:rsidRPr="00F649BD">
              <w:rPr>
                <w:rStyle w:val="AERtextsize8"/>
              </w:rPr>
              <w:t>servants/consultants are marketing staff of an</w:t>
            </w:r>
            <w:r w:rsidR="00F649BD">
              <w:rPr>
                <w:rStyle w:val="AERtextsize8"/>
              </w:rPr>
              <w:t xml:space="preserve"> </w:t>
            </w:r>
            <w:r w:rsidRPr="00F649BD">
              <w:rPr>
                <w:rStyle w:val="AERtextsize8"/>
              </w:rPr>
              <w:t>associate that takes part in a related business.</w:t>
            </w:r>
          </w:p>
        </w:tc>
      </w:tr>
    </w:tbl>
    <w:p w:rsidR="00F649BD" w:rsidRPr="00F649BD" w:rsidRDefault="00F649BD">
      <w:pPr>
        <w:rPr>
          <w:rStyle w:val="AERtextsize8"/>
        </w:rPr>
      </w:pPr>
      <w:r w:rsidRPr="00F649BD">
        <w:rPr>
          <w:rStyle w:val="AERtextsize8"/>
        </w:rPr>
        <w:br w:type="page"/>
      </w:r>
    </w:p>
    <w:tbl>
      <w:tblPr>
        <w:tblW w:w="14428" w:type="dxa"/>
        <w:tblInd w:w="794" w:type="dxa"/>
        <w:tblLayout w:type="fixed"/>
        <w:tblCellMar>
          <w:left w:w="0" w:type="dxa"/>
          <w:right w:w="0" w:type="dxa"/>
        </w:tblCellMar>
        <w:tblLook w:val="01E0" w:firstRow="1" w:lastRow="1" w:firstColumn="1" w:lastColumn="1" w:noHBand="0" w:noVBand="0"/>
      </w:tblPr>
      <w:tblGrid>
        <w:gridCol w:w="1385"/>
        <w:gridCol w:w="1702"/>
        <w:gridCol w:w="1702"/>
        <w:gridCol w:w="1886"/>
        <w:gridCol w:w="1908"/>
        <w:gridCol w:w="1913"/>
        <w:gridCol w:w="1916"/>
        <w:gridCol w:w="2016"/>
      </w:tblGrid>
      <w:tr w:rsidR="0006745C" w:rsidRPr="00F649BD" w:rsidTr="0006745C">
        <w:trPr>
          <w:trHeight w:hRule="exact" w:val="811"/>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IPART (NSW)</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ICRC (ACT)</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QCA (Queensland)</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ESCOSA (SA)</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OTTER (Tasmania)</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ESC (Victoria)</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AER Transmission guidelines</w:t>
            </w:r>
          </w:p>
        </w:tc>
      </w:tr>
      <w:tr w:rsidR="0006745C" w:rsidRPr="00F649BD" w:rsidTr="008516B2">
        <w:trPr>
          <w:trHeight w:hRule="exact" w:val="6337"/>
        </w:trPr>
        <w:tc>
          <w:tcPr>
            <w:tcW w:w="1385"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pStyle w:val="Tabletitle"/>
              <w:rPr>
                <w:rStyle w:val="AERtextsize8"/>
              </w:rPr>
            </w:pPr>
            <w:r w:rsidRPr="00F649BD">
              <w:rPr>
                <w:rStyle w:val="AERtextsize8"/>
              </w:rPr>
              <w:t>Non- discrimination</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A DNSP must provide a prescribed distribution service</w:t>
            </w:r>
          </w:p>
          <w:p w:rsidR="0006745C" w:rsidRPr="00F649BD" w:rsidRDefault="0006745C" w:rsidP="00F649BD">
            <w:pPr>
              <w:rPr>
                <w:rStyle w:val="AERtextsize8"/>
              </w:rPr>
            </w:pPr>
            <w:proofErr w:type="gramStart"/>
            <w:r w:rsidRPr="00F649BD">
              <w:rPr>
                <w:rStyle w:val="AERtextsize8"/>
              </w:rPr>
              <w:t>to</w:t>
            </w:r>
            <w:proofErr w:type="gramEnd"/>
            <w:r w:rsidRPr="00F649BD">
              <w:rPr>
                <w:rStyle w:val="AERtextsize8"/>
              </w:rPr>
              <w:t xml:space="preserve"> an independent accredited service</w:t>
            </w:r>
            <w:r w:rsidR="00F649BD">
              <w:rPr>
                <w:rStyle w:val="AERtextsize8"/>
              </w:rPr>
              <w:t xml:space="preserve"> </w:t>
            </w:r>
            <w:r w:rsidRPr="00F649BD">
              <w:rPr>
                <w:rStyle w:val="AERtextsize8"/>
              </w:rPr>
              <w:t>provider on terms</w:t>
            </w:r>
            <w:r w:rsidR="00F649BD">
              <w:rPr>
                <w:rStyle w:val="AERtextsize8"/>
              </w:rPr>
              <w:t xml:space="preserve"> </w:t>
            </w:r>
            <w:r w:rsidRPr="00F649BD">
              <w:rPr>
                <w:rStyle w:val="AERtextsize8"/>
              </w:rPr>
              <w:t>that are no less favourable than the</w:t>
            </w:r>
            <w:r w:rsidR="00F649BD">
              <w:rPr>
                <w:rStyle w:val="AERtextsize8"/>
              </w:rPr>
              <w:t xml:space="preserve"> </w:t>
            </w:r>
            <w:r w:rsidRPr="00F649BD">
              <w:rPr>
                <w:rStyle w:val="AERtextsize8"/>
              </w:rPr>
              <w:t>terms on which it</w:t>
            </w:r>
            <w:r w:rsidR="00F649BD">
              <w:rPr>
                <w:rStyle w:val="AERtextsize8"/>
              </w:rPr>
              <w:t xml:space="preserve"> </w:t>
            </w:r>
            <w:r w:rsidRPr="00F649BD">
              <w:rPr>
                <w:rStyle w:val="AERtextsize8"/>
              </w:rPr>
              <w:t>provides that prescribed distribution service to that part of the DNSP’s business which provides contestable services.</w:t>
            </w:r>
          </w:p>
        </w:tc>
        <w:tc>
          <w:tcPr>
            <w:tcW w:w="1702" w:type="dxa"/>
            <w:tcBorders>
              <w:top w:val="single" w:sz="4" w:space="0" w:color="000000"/>
              <w:left w:val="single" w:sz="4" w:space="0" w:color="000000"/>
              <w:bottom w:val="single" w:sz="4" w:space="0" w:color="000000"/>
              <w:right w:val="single" w:sz="4" w:space="0" w:color="000000"/>
            </w:tcBorders>
          </w:tcPr>
          <w:p w:rsidR="0006745C" w:rsidRPr="00F649BD" w:rsidRDefault="0006745C" w:rsidP="0006745C">
            <w:pPr>
              <w:rPr>
                <w:rStyle w:val="AERtextsize8"/>
              </w:rPr>
            </w:pPr>
            <w:r w:rsidRPr="00F649BD">
              <w:rPr>
                <w:rStyle w:val="AERtextsize8"/>
              </w:rPr>
              <w:t>DNSP must conduct business with Related Business at arm’s length and in a competitively neutral manner. In</w:t>
            </w:r>
            <w:r w:rsidR="00F649BD">
              <w:rPr>
                <w:rStyle w:val="AERtextsize8"/>
              </w:rPr>
              <w:t xml:space="preserve"> </w:t>
            </w:r>
            <w:r w:rsidRPr="00F649BD">
              <w:rPr>
                <w:rStyle w:val="AERtextsize8"/>
              </w:rPr>
              <w:t>particular, where utilities have network</w:t>
            </w:r>
            <w:r w:rsidR="00F649BD">
              <w:rPr>
                <w:rStyle w:val="AERtextsize8"/>
              </w:rPr>
              <w:t xml:space="preserve"> </w:t>
            </w:r>
            <w:r w:rsidRPr="00F649BD">
              <w:rPr>
                <w:rStyle w:val="AERtextsize8"/>
              </w:rPr>
              <w:t>use of systems</w:t>
            </w:r>
            <w:r w:rsidR="00F649BD">
              <w:rPr>
                <w:rStyle w:val="AERtextsize8"/>
              </w:rPr>
              <w:t xml:space="preserve"> </w:t>
            </w:r>
            <w:r w:rsidRPr="00F649BD">
              <w:rPr>
                <w:rStyle w:val="AERtextsize8"/>
              </w:rPr>
              <w:t>agreements with a Related Business the arrangements:</w:t>
            </w:r>
          </w:p>
          <w:p w:rsidR="0006745C" w:rsidRPr="00F649BD" w:rsidRDefault="0006745C" w:rsidP="0006745C">
            <w:pPr>
              <w:rPr>
                <w:rStyle w:val="AERtextsize8"/>
              </w:rPr>
            </w:pPr>
            <w:r w:rsidRPr="00F649BD">
              <w:rPr>
                <w:rStyle w:val="AERtextsize8"/>
              </w:rPr>
              <w:t>- should be on a contract basis with terms and costs clearly defined</w:t>
            </w:r>
          </w:p>
          <w:p w:rsidR="0006745C" w:rsidRPr="00F649BD" w:rsidRDefault="0006745C" w:rsidP="0006745C">
            <w:pPr>
              <w:rPr>
                <w:rStyle w:val="AERtextsize8"/>
              </w:rPr>
            </w:pPr>
            <w:r w:rsidRPr="00F649BD">
              <w:rPr>
                <w:rStyle w:val="AERtextsize8"/>
              </w:rPr>
              <w:t>- should be transparent</w:t>
            </w:r>
          </w:p>
          <w:p w:rsidR="0006745C" w:rsidRPr="00F649BD" w:rsidRDefault="0006745C" w:rsidP="0006745C">
            <w:pPr>
              <w:rPr>
                <w:rStyle w:val="AERtextsize8"/>
              </w:rPr>
            </w:pPr>
            <w:r w:rsidRPr="00F649BD">
              <w:rPr>
                <w:rStyle w:val="AERtextsize8"/>
              </w:rPr>
              <w:t>- should be on terms no more favourable than would be offered to a third party in the same commercial circumstances; and</w:t>
            </w:r>
          </w:p>
          <w:p w:rsidR="0006745C" w:rsidRPr="00F649BD" w:rsidRDefault="0006745C" w:rsidP="00F649BD">
            <w:pPr>
              <w:rPr>
                <w:rStyle w:val="AERtextsize8"/>
              </w:rPr>
            </w:pPr>
            <w:r w:rsidRPr="00F649BD">
              <w:rPr>
                <w:rStyle w:val="AERtextsize8"/>
              </w:rPr>
              <w:t>- must be to the</w:t>
            </w:r>
            <w:r w:rsidR="00F649BD">
              <w:rPr>
                <w:rStyle w:val="AERtextsize8"/>
              </w:rPr>
              <w:t xml:space="preserve"> </w:t>
            </w:r>
            <w:r w:rsidRPr="00F649BD">
              <w:rPr>
                <w:rStyle w:val="AERtextsize8"/>
              </w:rPr>
              <w:t>ICRC’s satisfaction.</w:t>
            </w:r>
          </w:p>
        </w:tc>
        <w:tc>
          <w:tcPr>
            <w:tcW w:w="188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A DNSP that provides prescribed distribution services in Queensland must not provide distribution network access to a related business on more favourable terms than those it provides to any other customer or</w:t>
            </w:r>
            <w:r w:rsidR="00F649BD">
              <w:rPr>
                <w:rStyle w:val="AERtextsize8"/>
              </w:rPr>
              <w:t xml:space="preserve"> </w:t>
            </w:r>
            <w:r w:rsidRPr="00F649BD">
              <w:rPr>
                <w:rStyle w:val="AERtextsize8"/>
              </w:rPr>
              <w:t>Code participant.</w:t>
            </w:r>
          </w:p>
        </w:tc>
        <w:tc>
          <w:tcPr>
            <w:tcW w:w="1908"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The Distribution Licensee must ensure that, in providing goods or services for which the Licensed Business is the monopoly</w:t>
            </w:r>
            <w:r w:rsidR="00F649BD">
              <w:rPr>
                <w:rStyle w:val="AERtextsize8"/>
              </w:rPr>
              <w:t xml:space="preserve"> </w:t>
            </w:r>
            <w:r w:rsidRPr="00F649BD">
              <w:rPr>
                <w:rStyle w:val="AERtextsize8"/>
              </w:rPr>
              <w:t>supplier to a Related</w:t>
            </w:r>
            <w:r w:rsidR="00F649BD">
              <w:rPr>
                <w:rStyle w:val="AERtextsize8"/>
              </w:rPr>
              <w:t xml:space="preserve"> </w:t>
            </w:r>
            <w:r w:rsidRPr="00F649BD">
              <w:rPr>
                <w:rStyle w:val="AERtextsize8"/>
              </w:rPr>
              <w:t>Business or a competitor of the Related Business, those goods and services are provided on a non- discriminatory, commercial basis.</w:t>
            </w:r>
          </w:p>
        </w:tc>
        <w:tc>
          <w:tcPr>
            <w:tcW w:w="1913"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A distributor must not, in conducting its regulated distribution services business, make decisions or act in a manner that unreasonably discriminates either against or in favour of any business providing contestable electrical</w:t>
            </w:r>
            <w:r w:rsidR="00F649BD">
              <w:rPr>
                <w:rStyle w:val="AERtextsize8"/>
              </w:rPr>
              <w:t xml:space="preserve"> </w:t>
            </w:r>
            <w:r w:rsidRPr="00F649BD">
              <w:rPr>
                <w:rStyle w:val="AERtextsize8"/>
              </w:rPr>
              <w:t>services or against or in favour of the customers of any business providing contestable electrical services.</w:t>
            </w:r>
          </w:p>
        </w:tc>
        <w:tc>
          <w:tcPr>
            <w:tcW w:w="19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In conducting its distribution business, a distributor must not make decisions or act in a manner that unreasonably discriminates in favour of any electricity</w:t>
            </w:r>
            <w:r w:rsidR="00F649BD">
              <w:rPr>
                <w:rStyle w:val="AERtextsize8"/>
              </w:rPr>
              <w:t xml:space="preserve"> </w:t>
            </w:r>
            <w:r w:rsidRPr="00F649BD">
              <w:rPr>
                <w:rStyle w:val="AERtextsize8"/>
              </w:rPr>
              <w:t>business or in favour of the customers of any</w:t>
            </w:r>
            <w:r w:rsidR="00F649BD">
              <w:rPr>
                <w:rStyle w:val="AERtextsize8"/>
              </w:rPr>
              <w:t xml:space="preserve"> </w:t>
            </w:r>
            <w:r w:rsidRPr="00F649BD">
              <w:rPr>
                <w:rStyle w:val="AERtextsize8"/>
              </w:rPr>
              <w:t>electricity business.</w:t>
            </w:r>
          </w:p>
        </w:tc>
        <w:tc>
          <w:tcPr>
            <w:tcW w:w="2016" w:type="dxa"/>
            <w:tcBorders>
              <w:top w:val="single" w:sz="4" w:space="0" w:color="000000"/>
              <w:left w:val="single" w:sz="4" w:space="0" w:color="000000"/>
              <w:bottom w:val="single" w:sz="4" w:space="0" w:color="000000"/>
              <w:right w:val="single" w:sz="4" w:space="0" w:color="000000"/>
            </w:tcBorders>
          </w:tcPr>
          <w:p w:rsidR="0006745C" w:rsidRPr="00F649BD" w:rsidRDefault="0006745C" w:rsidP="00F649BD">
            <w:pPr>
              <w:rPr>
                <w:rStyle w:val="AERtextsize8"/>
              </w:rPr>
            </w:pPr>
            <w:r w:rsidRPr="00F649BD">
              <w:rPr>
                <w:rStyle w:val="AERtextsize8"/>
              </w:rPr>
              <w:t>A TNSP that provides ring-fenced services</w:t>
            </w:r>
            <w:r w:rsidR="00F649BD">
              <w:rPr>
                <w:rStyle w:val="AERtextsize8"/>
              </w:rPr>
              <w:t xml:space="preserve"> </w:t>
            </w:r>
            <w:r w:rsidRPr="00F649BD">
              <w:rPr>
                <w:rStyle w:val="AERtextsize8"/>
              </w:rPr>
              <w:t>must not make decisions or act in a manner that</w:t>
            </w:r>
            <w:r w:rsidR="00F649BD">
              <w:rPr>
                <w:rStyle w:val="AERtextsize8"/>
              </w:rPr>
              <w:t xml:space="preserve"> </w:t>
            </w:r>
            <w:r w:rsidRPr="00F649BD">
              <w:rPr>
                <w:rStyle w:val="AERtextsize8"/>
              </w:rPr>
              <w:t>discriminates in favour of an associate in relation</w:t>
            </w:r>
            <w:r w:rsidR="00F649BD">
              <w:rPr>
                <w:rStyle w:val="AERtextsize8"/>
              </w:rPr>
              <w:t xml:space="preserve"> </w:t>
            </w:r>
            <w:r w:rsidRPr="00F649BD">
              <w:rPr>
                <w:rStyle w:val="AERtextsize8"/>
              </w:rPr>
              <w:t>to the terms or conditions</w:t>
            </w:r>
            <w:r w:rsidR="00F649BD">
              <w:rPr>
                <w:rStyle w:val="AERtextsize8"/>
              </w:rPr>
              <w:t xml:space="preserve"> </w:t>
            </w:r>
            <w:r w:rsidRPr="00F649BD">
              <w:rPr>
                <w:rStyle w:val="AERtextsize8"/>
              </w:rPr>
              <w:t>on which those services are provided. To avoid doubt, a TNSP providing ring-fenced services</w:t>
            </w:r>
            <w:r w:rsidR="00F649BD">
              <w:rPr>
                <w:rStyle w:val="AERtextsize8"/>
              </w:rPr>
              <w:t xml:space="preserve"> </w:t>
            </w:r>
            <w:r w:rsidRPr="00F649BD">
              <w:rPr>
                <w:rStyle w:val="AERtextsize8"/>
              </w:rPr>
              <w:t>must offer those services to its customers on terms and conditions no less favourable than it provides to itself or its associates.</w:t>
            </w:r>
          </w:p>
        </w:tc>
      </w:tr>
    </w:tbl>
    <w:p w:rsidR="00B366C5" w:rsidRPr="00EF4CC5" w:rsidRDefault="0006745C" w:rsidP="00D86DB2">
      <w:pPr>
        <w:pStyle w:val="FootnoteText"/>
      </w:pPr>
      <w:r>
        <w:t xml:space="preserve">Source: </w:t>
      </w:r>
      <w:r w:rsidR="004677FF">
        <w:t xml:space="preserve">attributed to </w:t>
      </w:r>
      <w:r>
        <w:t>ESAA</w:t>
      </w:r>
      <w:r w:rsidR="004677FF">
        <w:t xml:space="preserve"> in Oakley Greenwood, </w:t>
      </w:r>
      <w:r w:rsidR="004677FF" w:rsidRPr="008516B2">
        <w:rPr>
          <w:rStyle w:val="Emphasis"/>
        </w:rPr>
        <w:t>Assessment of edge of grid distributed generation alternative</w:t>
      </w:r>
      <w:r w:rsidR="004677FF">
        <w:t>, January 2015.</w:t>
      </w:r>
    </w:p>
    <w:sectPr w:rsidR="00B366C5" w:rsidRPr="00EF4CC5" w:rsidSect="005101DC">
      <w:pgSz w:w="16838" w:h="11906" w:orient="landscape" w:code="9"/>
      <w:pgMar w:top="567" w:right="1440" w:bottom="1701" w:left="567" w:header="720" w:footer="10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CD4" w:rsidRDefault="008A3CD4" w:rsidP="004B4412">
      <w:pPr>
        <w:spacing w:before="0"/>
      </w:pPr>
      <w:r>
        <w:separator/>
      </w:r>
    </w:p>
    <w:p w:rsidR="008A3CD4" w:rsidRDefault="008A3CD4"/>
    <w:p w:rsidR="008A3CD4" w:rsidRDefault="008A3CD4"/>
  </w:endnote>
  <w:endnote w:type="continuationSeparator" w:id="0">
    <w:p w:rsidR="008A3CD4" w:rsidRDefault="008A3CD4" w:rsidP="004B4412">
      <w:pPr>
        <w:spacing w:before="0"/>
      </w:pPr>
      <w:r>
        <w:continuationSeparator/>
      </w:r>
    </w:p>
    <w:p w:rsidR="008A3CD4" w:rsidRDefault="008A3CD4"/>
    <w:p w:rsidR="008A3CD4" w:rsidRDefault="008A3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D4" w:rsidRPr="00A91A9E" w:rsidRDefault="008A3CD4" w:rsidP="00B5165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A3CD4" w:rsidRDefault="008A3CD4"/>
  <w:p w:rsidR="008A3CD4" w:rsidRDefault="008A3CD4"/>
  <w:p w:rsidR="008A3CD4" w:rsidRDefault="008A3CD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D4" w:rsidRDefault="008A3CD4" w:rsidP="00D87C07">
    <w:pPr>
      <w:pStyle w:val="Footer"/>
    </w:pPr>
    <w:r>
      <w:tab/>
      <w:t>Electricity ring-fencing guideline</w:t>
    </w:r>
    <w:r w:rsidRPr="00694890">
      <w:t xml:space="preserve"> </w:t>
    </w:r>
    <w:r>
      <w:t xml:space="preserve">– Preliminary positions </w:t>
    </w:r>
    <w:r>
      <w:tab/>
    </w:r>
    <w:r w:rsidRPr="008D02E1">
      <w:fldChar w:fldCharType="begin"/>
    </w:r>
    <w:r w:rsidRPr="008D02E1">
      <w:instrText xml:space="preserve"> PAGE   \* MERGEFORMAT </w:instrText>
    </w:r>
    <w:r w:rsidRPr="008D02E1">
      <w:fldChar w:fldCharType="separate"/>
    </w:r>
    <w:r w:rsidR="002B7CD8">
      <w:rPr>
        <w:noProof/>
      </w:rPr>
      <w:t>1</w:t>
    </w:r>
    <w:r w:rsidRPr="008D02E1">
      <w:fldChar w:fldCharType="end"/>
    </w:r>
  </w:p>
  <w:p w:rsidR="008A3CD4" w:rsidRDefault="008A3C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D4" w:rsidRDefault="00B950B5" w:rsidP="00CC7F1D">
    <w:pPr>
      <w:pStyle w:val="Footer"/>
      <w:tabs>
        <w:tab w:val="clear" w:pos="9026"/>
        <w:tab w:val="right" w:pos="8505"/>
      </w:tabs>
    </w:pPr>
    <w:fldSimple w:instr=" STYLEREF  &quot;Report Title&quot;  \* MERGEFORMAT ">
      <w:r w:rsidR="002B7CD8">
        <w:rPr>
          <w:noProof/>
        </w:rPr>
        <w:t>Electricity Ring-Fencing Guideline</w:t>
      </w:r>
    </w:fldSimple>
    <w:r w:rsidR="008A3CD4">
      <w:tab/>
    </w:r>
    <w:r w:rsidR="008A3CD4">
      <w:tab/>
    </w:r>
    <w:r w:rsidR="008A3CD4">
      <w:fldChar w:fldCharType="begin"/>
    </w:r>
    <w:r w:rsidR="008A3CD4">
      <w:instrText xml:space="preserve"> PAGE   \* MERGEFORMAT </w:instrText>
    </w:r>
    <w:r w:rsidR="008A3CD4">
      <w:fldChar w:fldCharType="separate"/>
    </w:r>
    <w:r w:rsidR="008A3CD4">
      <w:rPr>
        <w:noProof/>
      </w:rPr>
      <w:t>1</w:t>
    </w:r>
    <w:r w:rsidR="008A3CD4">
      <w:fldChar w:fldCharType="end"/>
    </w:r>
  </w:p>
  <w:p w:rsidR="008A3CD4" w:rsidRDefault="008A3CD4">
    <w:pPr>
      <w:pStyle w:val="Footer"/>
    </w:pPr>
  </w:p>
  <w:p w:rsidR="008A3CD4" w:rsidRDefault="008A3CD4"/>
  <w:p w:rsidR="008A3CD4" w:rsidRDefault="008A3CD4"/>
  <w:p w:rsidR="008A3CD4" w:rsidRDefault="008A3C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CD4" w:rsidRDefault="008A3CD4" w:rsidP="00182906">
      <w:pPr>
        <w:spacing w:before="0"/>
      </w:pPr>
      <w:r>
        <w:separator/>
      </w:r>
    </w:p>
  </w:footnote>
  <w:footnote w:type="continuationSeparator" w:id="0">
    <w:p w:rsidR="008A3CD4" w:rsidRDefault="008A3CD4" w:rsidP="00182906">
      <w:pPr>
        <w:spacing w:before="0"/>
      </w:pPr>
      <w:r>
        <w:continuationSeparator/>
      </w:r>
    </w:p>
  </w:footnote>
  <w:footnote w:type="continuationNotice" w:id="1">
    <w:p w:rsidR="008A3CD4" w:rsidRDefault="008A3CD4">
      <w:pPr>
        <w:spacing w:before="0" w:line="240" w:lineRule="auto"/>
      </w:pPr>
    </w:p>
  </w:footnote>
  <w:footnote w:id="2">
    <w:p w:rsidR="008A3CD4" w:rsidRDefault="008A3CD4">
      <w:pPr>
        <w:pStyle w:val="FootnoteText"/>
      </w:pPr>
      <w:r>
        <w:rPr>
          <w:rStyle w:val="FootnoteReference"/>
        </w:rPr>
        <w:footnoteRef/>
      </w:r>
      <w:r>
        <w:t xml:space="preserve"> </w:t>
      </w:r>
      <w:r>
        <w:tab/>
        <w:t xml:space="preserve">AEMC, </w:t>
      </w:r>
      <w:r w:rsidRPr="00DE1FC5">
        <w:rPr>
          <w:rStyle w:val="Emphasis"/>
        </w:rPr>
        <w:t>National Electricity Amendment (Expanding competition in metering and related services) Rule 2015</w:t>
      </w:r>
      <w:r>
        <w:t>, p. 78</w:t>
      </w:r>
    </w:p>
  </w:footnote>
  <w:footnote w:id="3">
    <w:p w:rsidR="008A3CD4" w:rsidRDefault="008A3CD4">
      <w:pPr>
        <w:pStyle w:val="FootnoteText"/>
      </w:pPr>
      <w:r>
        <w:rPr>
          <w:rStyle w:val="FootnoteReference"/>
        </w:rPr>
        <w:footnoteRef/>
      </w:r>
      <w:r>
        <w:t xml:space="preserve"> </w:t>
      </w:r>
      <w:r>
        <w:tab/>
        <w:t xml:space="preserve">COAG Energy Council, </w:t>
      </w:r>
      <w:r w:rsidRPr="008A3CD4">
        <w:rPr>
          <w:rStyle w:val="Emphasis"/>
        </w:rPr>
        <w:t>Meeting Communique</w:t>
      </w:r>
      <w:r>
        <w:t>, 4 December 2015.</w:t>
      </w:r>
    </w:p>
  </w:footnote>
  <w:footnote w:id="4">
    <w:p w:rsidR="008A3CD4" w:rsidRDefault="008A3CD4">
      <w:pPr>
        <w:pStyle w:val="FootnoteText"/>
      </w:pPr>
      <w:r>
        <w:rPr>
          <w:rStyle w:val="FootnoteReference"/>
        </w:rPr>
        <w:footnoteRef/>
      </w:r>
      <w:r>
        <w:t xml:space="preserve"> </w:t>
      </w:r>
      <w:r>
        <w:tab/>
        <w:t xml:space="preserve">AEMC, </w:t>
      </w:r>
      <w:r w:rsidRPr="00DE1FC5">
        <w:rPr>
          <w:rStyle w:val="Emphasis"/>
        </w:rPr>
        <w:t>National Electricity Amendment (Expanding competition in metering and related services) Rule 2015</w:t>
      </w:r>
      <w:r>
        <w:rPr>
          <w:rStyle w:val="Emphasis"/>
        </w:rPr>
        <w:t xml:space="preserve"> </w:t>
      </w:r>
      <w:r w:rsidRPr="00D86DB2">
        <w:rPr>
          <w:rStyle w:val="AERtextsize8"/>
        </w:rPr>
        <w:t>and</w:t>
      </w:r>
      <w:r>
        <w:rPr>
          <w:rStyle w:val="Emphasis"/>
        </w:rPr>
        <w:t xml:space="preserve"> </w:t>
      </w:r>
      <w:r>
        <w:t xml:space="preserve">AEMC, </w:t>
      </w:r>
      <w:r w:rsidRPr="00795869">
        <w:rPr>
          <w:rStyle w:val="Emphasis"/>
        </w:rPr>
        <w:t>Integration of Energy Storage—regulatory implications, final report</w:t>
      </w:r>
      <w:r>
        <w:t>, December 2015</w:t>
      </w:r>
    </w:p>
  </w:footnote>
  <w:footnote w:id="5">
    <w:p w:rsidR="008A3CD4" w:rsidRDefault="008A3CD4">
      <w:pPr>
        <w:pStyle w:val="FootnoteText"/>
      </w:pPr>
      <w:r>
        <w:rPr>
          <w:rStyle w:val="FootnoteReference"/>
        </w:rPr>
        <w:footnoteRef/>
      </w:r>
      <w:r>
        <w:t xml:space="preserve"> AEMC, </w:t>
      </w:r>
      <w:r w:rsidRPr="00DE1FC5">
        <w:rPr>
          <w:rStyle w:val="Emphasis"/>
        </w:rPr>
        <w:t>National Electricity Amendment (Expanding competition in metering and related services) Rule 2015</w:t>
      </w:r>
      <w:r>
        <w:t>, p. 399</w:t>
      </w:r>
    </w:p>
  </w:footnote>
  <w:footnote w:id="6">
    <w:p w:rsidR="008A3CD4" w:rsidRDefault="008A3CD4">
      <w:pPr>
        <w:pStyle w:val="FootnoteText"/>
      </w:pPr>
      <w:r>
        <w:rPr>
          <w:rStyle w:val="FootnoteReference"/>
        </w:rPr>
        <w:footnoteRef/>
      </w:r>
      <w:r>
        <w:t xml:space="preserve"> </w:t>
      </w:r>
      <w:r>
        <w:tab/>
        <w:t>Links to the current jurisdictional ring-fencing guidelines can be found on the AER website.</w:t>
      </w:r>
    </w:p>
  </w:footnote>
  <w:footnote w:id="7">
    <w:p w:rsidR="008A3CD4" w:rsidRDefault="008A3CD4">
      <w:pPr>
        <w:pStyle w:val="FootnoteText"/>
      </w:pPr>
      <w:r>
        <w:rPr>
          <w:rStyle w:val="FootnoteReference"/>
        </w:rPr>
        <w:footnoteRef/>
      </w:r>
      <w:r>
        <w:t xml:space="preserve"> </w:t>
      </w:r>
      <w:r>
        <w:tab/>
        <w:t xml:space="preserve">See for example Origin Energy, </w:t>
      </w:r>
      <w:r w:rsidRPr="0019007B">
        <w:rPr>
          <w:rStyle w:val="Emphasis"/>
        </w:rPr>
        <w:t>AER Position Paper Electricity Distribution Ring-fencing Guidelines</w:t>
      </w:r>
      <w:r>
        <w:t>, September 2012</w:t>
      </w:r>
    </w:p>
  </w:footnote>
  <w:footnote w:id="8">
    <w:p w:rsidR="008A3CD4" w:rsidRDefault="008A3CD4">
      <w:pPr>
        <w:pStyle w:val="FootnoteText"/>
      </w:pPr>
      <w:r>
        <w:rPr>
          <w:rStyle w:val="FootnoteReference"/>
        </w:rPr>
        <w:footnoteRef/>
      </w:r>
      <w:r>
        <w:t xml:space="preserve"> </w:t>
      </w:r>
      <w:r>
        <w:tab/>
        <w:t xml:space="preserve">AEMC, </w:t>
      </w:r>
      <w:r w:rsidRPr="00795869">
        <w:rPr>
          <w:rStyle w:val="Emphasis"/>
        </w:rPr>
        <w:t>Integration of Energy Storage—regulatory implications, final report</w:t>
      </w:r>
      <w:r w:rsidR="00E73991">
        <w:t>, December 2015, pp 9-11</w:t>
      </w:r>
    </w:p>
  </w:footnote>
  <w:footnote w:id="9">
    <w:p w:rsidR="008A3CD4" w:rsidRDefault="008A3CD4">
      <w:pPr>
        <w:pStyle w:val="FootnoteText"/>
      </w:pPr>
      <w:r>
        <w:rPr>
          <w:rStyle w:val="FootnoteReference"/>
        </w:rPr>
        <w:footnoteRef/>
      </w:r>
      <w:r>
        <w:t xml:space="preserve"> </w:t>
      </w:r>
      <w:r>
        <w:tab/>
        <w:t>A waiver excuses an NSP from meeting more of more ring-fencing obligations where the cost of ring-fencing exceeds the benefit to consumers. See section 5 of this paper.</w:t>
      </w:r>
    </w:p>
  </w:footnote>
  <w:footnote w:id="10">
    <w:p w:rsidR="008A3CD4" w:rsidRDefault="008A3CD4">
      <w:pPr>
        <w:pStyle w:val="FootnoteText"/>
      </w:pPr>
      <w:r>
        <w:rPr>
          <w:rStyle w:val="FootnoteReference"/>
        </w:rPr>
        <w:footnoteRef/>
      </w:r>
      <w:r>
        <w:t xml:space="preserve"> ESCV, </w:t>
      </w:r>
      <w:r w:rsidRPr="00E73991">
        <w:rPr>
          <w:rStyle w:val="Emphasis"/>
        </w:rPr>
        <w:t>Electricity Industry Guideline No. 17: Electricity Ring-fencing Guideline</w:t>
      </w:r>
      <w:r w:rsidRPr="00AD1DAA">
        <w:t>,</w:t>
      </w:r>
      <w:r>
        <w:t xml:space="preserve"> October 2004</w:t>
      </w:r>
    </w:p>
  </w:footnote>
  <w:footnote w:id="11">
    <w:p w:rsidR="008A3CD4" w:rsidRDefault="008A3CD4" w:rsidP="00AD1DAA">
      <w:pPr>
        <w:pStyle w:val="FootnoteText"/>
      </w:pPr>
      <w:r>
        <w:rPr>
          <w:rStyle w:val="FootnoteReference"/>
        </w:rPr>
        <w:footnoteRef/>
      </w:r>
      <w:r>
        <w:t xml:space="preserve"> OTTER, </w:t>
      </w:r>
      <w:r w:rsidRPr="00E73991">
        <w:rPr>
          <w:rStyle w:val="Emphasis"/>
        </w:rPr>
        <w:t>Guideline for Ring-fencing in the Tasmanian Electricity Supply Industry</w:t>
      </w:r>
      <w:r>
        <w:t>,</w:t>
      </w:r>
    </w:p>
    <w:p w:rsidR="008A3CD4" w:rsidRDefault="008A3CD4" w:rsidP="00AD1DAA">
      <w:pPr>
        <w:pStyle w:val="FootnoteText"/>
      </w:pPr>
      <w:r>
        <w:t>October 2004</w:t>
      </w:r>
    </w:p>
  </w:footnote>
  <w:footnote w:id="12">
    <w:p w:rsidR="008A3CD4" w:rsidRDefault="008A3CD4">
      <w:pPr>
        <w:pStyle w:val="FootnoteText"/>
      </w:pPr>
      <w:r>
        <w:rPr>
          <w:rStyle w:val="FootnoteReference"/>
        </w:rPr>
        <w:footnoteRef/>
      </w:r>
      <w:r>
        <w:t xml:space="preserve"> </w:t>
      </w:r>
      <w:proofErr w:type="gramStart"/>
      <w:r>
        <w:t xml:space="preserve">ESCOSA, </w:t>
      </w:r>
      <w:r w:rsidRPr="00E73991">
        <w:rPr>
          <w:rStyle w:val="Emphasis"/>
        </w:rPr>
        <w:t>Electricity Industry Guideline No. 9 Operational Ring-fencing Requirements for the SA Electricity Supply Industry</w:t>
      </w:r>
      <w:r>
        <w:t>, June 2003.</w:t>
      </w:r>
      <w:proofErr w:type="gramEnd"/>
    </w:p>
  </w:footnote>
  <w:footnote w:id="13">
    <w:p w:rsidR="008A3CD4" w:rsidRDefault="008A3CD4">
      <w:pPr>
        <w:pStyle w:val="FootnoteText"/>
      </w:pPr>
      <w:r>
        <w:rPr>
          <w:rStyle w:val="FootnoteReference"/>
        </w:rPr>
        <w:footnoteRef/>
      </w:r>
      <w:r>
        <w:t xml:space="preserve"> QCA, </w:t>
      </w:r>
      <w:r w:rsidRPr="00E73991">
        <w:rPr>
          <w:rStyle w:val="Emphasis"/>
        </w:rPr>
        <w:t>Electricity Distribution Ring-Fencing Guidelines</w:t>
      </w:r>
      <w:r>
        <w:t>, September 2000</w:t>
      </w:r>
    </w:p>
  </w:footnote>
  <w:footnote w:id="14">
    <w:p w:rsidR="008A3CD4" w:rsidRDefault="008A3CD4" w:rsidP="001D3C78">
      <w:pPr>
        <w:pStyle w:val="FootnoteText"/>
        <w:tabs>
          <w:tab w:val="left" w:pos="5484"/>
        </w:tabs>
      </w:pPr>
      <w:r>
        <w:rPr>
          <w:rStyle w:val="FootnoteReference"/>
        </w:rPr>
        <w:footnoteRef/>
      </w:r>
      <w:r>
        <w:t xml:space="preserve"> </w:t>
      </w:r>
      <w:r w:rsidR="00E73991">
        <w:tab/>
      </w:r>
      <w:proofErr w:type="gramStart"/>
      <w:r>
        <w:t>NER</w:t>
      </w:r>
      <w:r w:rsidR="00E73991">
        <w:t>, cl.</w:t>
      </w:r>
      <w:r>
        <w:t xml:space="preserve"> 6.17.2(a)</w:t>
      </w:r>
      <w:r w:rsidR="00E73991">
        <w:t>.</w:t>
      </w:r>
      <w:proofErr w:type="gramEnd"/>
      <w:r>
        <w:tab/>
      </w:r>
    </w:p>
  </w:footnote>
  <w:footnote w:id="15">
    <w:p w:rsidR="008A3CD4" w:rsidRDefault="008A3CD4" w:rsidP="00177C9F">
      <w:pPr>
        <w:pStyle w:val="FootnoteText"/>
      </w:pPr>
      <w:r>
        <w:rPr>
          <w:rStyle w:val="FootnoteReference"/>
        </w:rPr>
        <w:footnoteRef/>
      </w:r>
      <w:r>
        <w:t xml:space="preserve"> </w:t>
      </w:r>
      <w:r w:rsidR="000C65CF">
        <w:tab/>
      </w:r>
      <w:r>
        <w:t xml:space="preserve">AEMC, </w:t>
      </w:r>
      <w:r w:rsidRPr="00DE1FC5">
        <w:rPr>
          <w:rStyle w:val="Emphasis"/>
        </w:rPr>
        <w:t>National Electricity Amendment (Expanding competition in metering and related services) Rule 2015</w:t>
      </w:r>
      <w:r>
        <w:t>, p. 399</w:t>
      </w:r>
    </w:p>
  </w:footnote>
  <w:footnote w:id="16">
    <w:p w:rsidR="008A3CD4" w:rsidRDefault="008A3CD4" w:rsidP="00177C9F">
      <w:pPr>
        <w:pStyle w:val="FootnoteText"/>
      </w:pPr>
      <w:r>
        <w:rPr>
          <w:rStyle w:val="FootnoteReference"/>
        </w:rPr>
        <w:footnoteRef/>
      </w:r>
      <w:r>
        <w:t xml:space="preserve">  </w:t>
      </w:r>
      <w:r>
        <w:tab/>
      </w:r>
      <w:proofErr w:type="gramStart"/>
      <w:r>
        <w:t>NEL</w:t>
      </w:r>
      <w:r w:rsidR="000C65CF">
        <w:t>, s.</w:t>
      </w:r>
      <w:r>
        <w:t xml:space="preserve"> 2F</w:t>
      </w:r>
      <w:r w:rsidR="000C65CF">
        <w:t>.</w:t>
      </w:r>
      <w:proofErr w:type="gramEnd"/>
    </w:p>
  </w:footnote>
  <w:footnote w:id="17">
    <w:p w:rsidR="008A3CD4" w:rsidRDefault="008A3CD4">
      <w:pPr>
        <w:pStyle w:val="FootnoteText"/>
      </w:pPr>
      <w:r>
        <w:rPr>
          <w:rStyle w:val="FootnoteReference"/>
        </w:rPr>
        <w:footnoteRef/>
      </w:r>
      <w:r>
        <w:t xml:space="preserve"> </w:t>
      </w:r>
      <w:r>
        <w:tab/>
        <w:t xml:space="preserve">We regulate both standard control services and alternative control services but there are important differences between these two groups of services, including how the value of assets used to provide these services are treated. Asset values for standard control services are reflected in an NSP's regulatory asset base (RAB). Asset values for alternative control services are kept separate from an NSP's RAB. </w:t>
      </w:r>
    </w:p>
  </w:footnote>
  <w:footnote w:id="18">
    <w:p w:rsidR="008A3CD4" w:rsidRDefault="008A3CD4" w:rsidP="00177C9F">
      <w:pPr>
        <w:pStyle w:val="FootnoteText"/>
      </w:pPr>
      <w:r>
        <w:rPr>
          <w:rStyle w:val="FootnoteReference"/>
        </w:rPr>
        <w:footnoteRef/>
      </w:r>
      <w:r>
        <w:t xml:space="preserve"> </w:t>
      </w:r>
      <w:r w:rsidR="000C65CF">
        <w:tab/>
      </w:r>
      <w:proofErr w:type="gramStart"/>
      <w:r>
        <w:t xml:space="preserve">AEMC, </w:t>
      </w:r>
      <w:r w:rsidRPr="00DE1FC5">
        <w:rPr>
          <w:rStyle w:val="Emphasis"/>
        </w:rPr>
        <w:t>National Electricity Amendment (Expanding competition in metering and related services) Rule 2015</w:t>
      </w:r>
      <w:r>
        <w:t>, p. 410</w:t>
      </w:r>
      <w:r w:rsidR="000C65CF">
        <w:t>.</w:t>
      </w:r>
      <w:proofErr w:type="gramEnd"/>
    </w:p>
  </w:footnote>
  <w:footnote w:id="19">
    <w:p w:rsidR="008A3CD4" w:rsidRDefault="008A3CD4">
      <w:pPr>
        <w:pStyle w:val="FootnoteText"/>
      </w:pPr>
      <w:r>
        <w:rPr>
          <w:rStyle w:val="FootnoteReference"/>
        </w:rPr>
        <w:footnoteRef/>
      </w:r>
      <w:r>
        <w:t xml:space="preserve"> </w:t>
      </w:r>
      <w:r w:rsidR="000C65CF">
        <w:tab/>
      </w:r>
      <w:proofErr w:type="gramStart"/>
      <w:r>
        <w:t xml:space="preserve">NER </w:t>
      </w:r>
      <w:r w:rsidR="000C65CF">
        <w:t xml:space="preserve">cl. </w:t>
      </w:r>
      <w:r>
        <w:t>6.17.2(b)</w:t>
      </w:r>
      <w:r w:rsidR="000C65CF">
        <w:t>.</w:t>
      </w:r>
      <w:proofErr w:type="gramEnd"/>
    </w:p>
  </w:footnote>
  <w:footnote w:id="20">
    <w:p w:rsidR="008A3CD4" w:rsidRDefault="008A3CD4">
      <w:pPr>
        <w:pStyle w:val="FootnoteText"/>
      </w:pPr>
      <w:r>
        <w:rPr>
          <w:rStyle w:val="FootnoteReference"/>
        </w:rPr>
        <w:footnoteRef/>
      </w:r>
      <w:r w:rsidR="003F558B">
        <w:t xml:space="preserve"> </w:t>
      </w:r>
      <w:r w:rsidR="003F558B">
        <w:tab/>
      </w:r>
      <w:proofErr w:type="gramStart"/>
      <w:r>
        <w:t xml:space="preserve">QCA, </w:t>
      </w:r>
      <w:r w:rsidRPr="003F558B">
        <w:rPr>
          <w:rStyle w:val="Emphasis"/>
        </w:rPr>
        <w:t xml:space="preserve">Electricity Distribution </w:t>
      </w:r>
      <w:r w:rsidR="003F558B" w:rsidRPr="003F558B">
        <w:rPr>
          <w:rStyle w:val="Emphasis"/>
        </w:rPr>
        <w:t>Ring-F</w:t>
      </w:r>
      <w:r w:rsidRPr="003F558B">
        <w:rPr>
          <w:rStyle w:val="Emphasis"/>
        </w:rPr>
        <w:t xml:space="preserve">encing </w:t>
      </w:r>
      <w:r w:rsidR="003F558B" w:rsidRPr="003F558B">
        <w:rPr>
          <w:rStyle w:val="Emphasis"/>
        </w:rPr>
        <w:t>G</w:t>
      </w:r>
      <w:r w:rsidRPr="003F558B">
        <w:rPr>
          <w:rStyle w:val="Emphasis"/>
        </w:rPr>
        <w:t>uideline</w:t>
      </w:r>
      <w:r>
        <w:t>, p 24.</w:t>
      </w:r>
      <w:proofErr w:type="gramEnd"/>
    </w:p>
  </w:footnote>
  <w:footnote w:id="21">
    <w:p w:rsidR="008A3CD4" w:rsidRDefault="008A3CD4" w:rsidP="00426D2A">
      <w:pPr>
        <w:pStyle w:val="FootnoteText"/>
      </w:pPr>
      <w:r>
        <w:rPr>
          <w:rStyle w:val="FootnoteReference"/>
        </w:rPr>
        <w:footnoteRef/>
      </w:r>
      <w:r>
        <w:t xml:space="preserve">  </w:t>
      </w:r>
      <w:r>
        <w:tab/>
        <w:t xml:space="preserve">AEMC, </w:t>
      </w:r>
      <w:r w:rsidRPr="0019223B">
        <w:rPr>
          <w:i/>
        </w:rPr>
        <w:t>Integration of Storage: Regulatory Implications</w:t>
      </w:r>
      <w:r>
        <w:t>, 2015, pp17-18.</w:t>
      </w:r>
    </w:p>
  </w:footnote>
  <w:footnote w:id="22">
    <w:p w:rsidR="008A3CD4" w:rsidRDefault="008A3CD4">
      <w:pPr>
        <w:pStyle w:val="FootnoteText"/>
      </w:pPr>
      <w:r>
        <w:rPr>
          <w:rStyle w:val="FootnoteReference"/>
        </w:rPr>
        <w:footnoteRef/>
      </w:r>
      <w:r>
        <w:t xml:space="preserve"> </w:t>
      </w:r>
      <w:r>
        <w:tab/>
        <w:t xml:space="preserve">See submissions from AGL and SA Power Networks at </w:t>
      </w:r>
      <w:r w:rsidRPr="00075B60">
        <w:t>https://www.aer.gov.au/</w:t>
      </w:r>
      <w:r>
        <w:t>node/12493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B5" w:rsidRDefault="00B950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CD4" w:rsidRDefault="008A3CD4">
    <w:pPr>
      <w:pStyle w:val="Header"/>
    </w:pPr>
    <w:r>
      <w:tab/>
    </w:r>
  </w:p>
  <w:p w:rsidR="008A3CD4" w:rsidRDefault="008A3C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B5" w:rsidRDefault="00B950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E0C9E6C"/>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AA55CE6"/>
    <w:multiLevelType w:val="hybridMultilevel"/>
    <w:tmpl w:val="3B4C3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11A62C9"/>
    <w:multiLevelType w:val="hybridMultilevel"/>
    <w:tmpl w:val="47E232B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D17FC1"/>
    <w:multiLevelType w:val="hybridMultilevel"/>
    <w:tmpl w:val="6E261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2"/>
  </w:num>
  <w:num w:numId="15">
    <w:abstractNumId w:val="16"/>
  </w:num>
  <w:num w:numId="16">
    <w:abstractNumId w:val="20"/>
  </w:num>
  <w:num w:numId="17">
    <w:abstractNumId w:val="11"/>
  </w:num>
  <w:num w:numId="18">
    <w:abstractNumId w:val="17"/>
  </w:num>
  <w:num w:numId="19">
    <w:abstractNumId w:val="21"/>
  </w:num>
  <w:num w:numId="20">
    <w:abstractNumId w:val="25"/>
  </w:num>
  <w:num w:numId="21">
    <w:abstractNumId w:val="23"/>
  </w:num>
  <w:num w:numId="22">
    <w:abstractNumId w:val="9"/>
  </w:num>
  <w:num w:numId="23">
    <w:abstractNumId w:val="14"/>
  </w:num>
  <w:num w:numId="24">
    <w:abstractNumId w:val="10"/>
  </w:num>
  <w:num w:numId="25">
    <w:abstractNumId w:val="12"/>
    <w:lvlOverride w:ilvl="0">
      <w:startOverride w:val="1"/>
    </w:lvlOverride>
  </w:num>
  <w:num w:numId="26">
    <w:abstractNumId w:val="12"/>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8"/>
  </w:num>
  <w:num w:numId="30">
    <w:abstractNumId w:val="15"/>
  </w:num>
  <w:num w:numId="31">
    <w:abstractNumId w:val="22"/>
  </w:num>
  <w:num w:numId="32">
    <w:abstractNumId w:val="12"/>
    <w:lvlOverride w:ilvl="0">
      <w:startOverride w:val="1"/>
    </w:lvlOverride>
  </w:num>
  <w:num w:numId="33">
    <w:abstractNumId w:val="12"/>
    <w:lvlOverride w:ilvl="0">
      <w:startOverride w:val="1"/>
    </w:lvlOverride>
  </w:num>
  <w:num w:numId="34">
    <w:abstractNumId w:val="11"/>
    <w:lvlOverride w:ilvl="0">
      <w:startOverride w:val="1"/>
    </w:lvlOverride>
  </w:num>
  <w:num w:numId="35">
    <w:abstractNumId w:val="11"/>
    <w:lvlOverride w:ilvl="0">
      <w:startOverride w:val="1"/>
    </w:lvlOverride>
  </w:num>
  <w:num w:numId="36">
    <w:abstractNumId w:val="11"/>
    <w:lvlOverride w:ilvl="0">
      <w:startOverride w:val="1"/>
    </w:lvlOverride>
  </w:num>
  <w:num w:numId="37">
    <w:abstractNumId w:val="11"/>
    <w:lvlOverride w:ilvl="0">
      <w:startOverride w:val="1"/>
    </w:lvlOverride>
  </w:num>
  <w:num w:numId="38">
    <w:abstractNumId w:val="12"/>
    <w:lvlOverride w:ilvl="0">
      <w:startOverride w:val="1"/>
    </w:lvlOverride>
  </w:num>
  <w:num w:numId="39">
    <w:abstractNumId w:val="11"/>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tyleLockTheme/>
  <w:defaultTabStop w:val="340"/>
  <w:characterSpacingControl w:val="doNotCompress"/>
  <w:hdrShapeDefaults>
    <o:shapedefaults v:ext="edit" spidmax="942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ring fencing guideline - preliminary positions paper - April 2016.DOCX"/>
  </w:docVars>
  <w:rsids>
    <w:rsidRoot w:val="006301A0"/>
    <w:rsid w:val="00001050"/>
    <w:rsid w:val="00005599"/>
    <w:rsid w:val="00012291"/>
    <w:rsid w:val="00021202"/>
    <w:rsid w:val="00021E2B"/>
    <w:rsid w:val="00022326"/>
    <w:rsid w:val="0002517F"/>
    <w:rsid w:val="00027AA2"/>
    <w:rsid w:val="00030368"/>
    <w:rsid w:val="000317AD"/>
    <w:rsid w:val="0003578C"/>
    <w:rsid w:val="00035D22"/>
    <w:rsid w:val="00040267"/>
    <w:rsid w:val="00052516"/>
    <w:rsid w:val="00053493"/>
    <w:rsid w:val="00056D3E"/>
    <w:rsid w:val="000579CA"/>
    <w:rsid w:val="00062332"/>
    <w:rsid w:val="00063247"/>
    <w:rsid w:val="000650AF"/>
    <w:rsid w:val="0006745C"/>
    <w:rsid w:val="00067D79"/>
    <w:rsid w:val="00070F9F"/>
    <w:rsid w:val="0007137B"/>
    <w:rsid w:val="00074341"/>
    <w:rsid w:val="000754AB"/>
    <w:rsid w:val="00075B60"/>
    <w:rsid w:val="000803C1"/>
    <w:rsid w:val="00085663"/>
    <w:rsid w:val="00085BCD"/>
    <w:rsid w:val="00085EBF"/>
    <w:rsid w:val="00093F96"/>
    <w:rsid w:val="00094B22"/>
    <w:rsid w:val="000A6485"/>
    <w:rsid w:val="000A69E6"/>
    <w:rsid w:val="000A6C7B"/>
    <w:rsid w:val="000B16D8"/>
    <w:rsid w:val="000C4F8B"/>
    <w:rsid w:val="000C65CF"/>
    <w:rsid w:val="000C7226"/>
    <w:rsid w:val="000C763D"/>
    <w:rsid w:val="000D122C"/>
    <w:rsid w:val="000D3D23"/>
    <w:rsid w:val="000D754B"/>
    <w:rsid w:val="000E0078"/>
    <w:rsid w:val="000E1819"/>
    <w:rsid w:val="000E535D"/>
    <w:rsid w:val="000E54D8"/>
    <w:rsid w:val="000E556D"/>
    <w:rsid w:val="000E5A4D"/>
    <w:rsid w:val="000E5DD7"/>
    <w:rsid w:val="000E6C72"/>
    <w:rsid w:val="000E6DB9"/>
    <w:rsid w:val="000F3AD4"/>
    <w:rsid w:val="000F6CF3"/>
    <w:rsid w:val="000F7D0B"/>
    <w:rsid w:val="00102315"/>
    <w:rsid w:val="001024F0"/>
    <w:rsid w:val="001035AC"/>
    <w:rsid w:val="00107CC7"/>
    <w:rsid w:val="00116EB2"/>
    <w:rsid w:val="00120B80"/>
    <w:rsid w:val="00120BCE"/>
    <w:rsid w:val="00124609"/>
    <w:rsid w:val="00127B7B"/>
    <w:rsid w:val="00130C3C"/>
    <w:rsid w:val="00130EE5"/>
    <w:rsid w:val="001335B3"/>
    <w:rsid w:val="00136FEC"/>
    <w:rsid w:val="00140224"/>
    <w:rsid w:val="001402AA"/>
    <w:rsid w:val="0014573B"/>
    <w:rsid w:val="00151219"/>
    <w:rsid w:val="00152A9F"/>
    <w:rsid w:val="001573E4"/>
    <w:rsid w:val="00157AEC"/>
    <w:rsid w:val="00160756"/>
    <w:rsid w:val="00163CD7"/>
    <w:rsid w:val="00170114"/>
    <w:rsid w:val="0017232E"/>
    <w:rsid w:val="00174102"/>
    <w:rsid w:val="00177C9F"/>
    <w:rsid w:val="00180157"/>
    <w:rsid w:val="00182906"/>
    <w:rsid w:val="00185CB9"/>
    <w:rsid w:val="00186F77"/>
    <w:rsid w:val="0019007B"/>
    <w:rsid w:val="001926A4"/>
    <w:rsid w:val="00192AD5"/>
    <w:rsid w:val="00192CEB"/>
    <w:rsid w:val="00194673"/>
    <w:rsid w:val="001A0983"/>
    <w:rsid w:val="001A2579"/>
    <w:rsid w:val="001A5920"/>
    <w:rsid w:val="001A6D70"/>
    <w:rsid w:val="001B1917"/>
    <w:rsid w:val="001B45A0"/>
    <w:rsid w:val="001C280A"/>
    <w:rsid w:val="001C4AE5"/>
    <w:rsid w:val="001C4B6D"/>
    <w:rsid w:val="001D055E"/>
    <w:rsid w:val="001D3C78"/>
    <w:rsid w:val="001D566C"/>
    <w:rsid w:val="001F116D"/>
    <w:rsid w:val="001F2990"/>
    <w:rsid w:val="001F492E"/>
    <w:rsid w:val="001F63EC"/>
    <w:rsid w:val="001F6DA3"/>
    <w:rsid w:val="00200B8D"/>
    <w:rsid w:val="002010BC"/>
    <w:rsid w:val="00202E03"/>
    <w:rsid w:val="0020492C"/>
    <w:rsid w:val="00207FDC"/>
    <w:rsid w:val="0021586C"/>
    <w:rsid w:val="00215A32"/>
    <w:rsid w:val="00216E02"/>
    <w:rsid w:val="00220B0E"/>
    <w:rsid w:val="002223A8"/>
    <w:rsid w:val="00222466"/>
    <w:rsid w:val="00223D8E"/>
    <w:rsid w:val="00224DB9"/>
    <w:rsid w:val="002270DC"/>
    <w:rsid w:val="0022770A"/>
    <w:rsid w:val="00233611"/>
    <w:rsid w:val="00233775"/>
    <w:rsid w:val="0024174E"/>
    <w:rsid w:val="00243BF1"/>
    <w:rsid w:val="002458DC"/>
    <w:rsid w:val="00251745"/>
    <w:rsid w:val="00260B8E"/>
    <w:rsid w:val="00261F1C"/>
    <w:rsid w:val="00263AC0"/>
    <w:rsid w:val="0026772D"/>
    <w:rsid w:val="0027026D"/>
    <w:rsid w:val="002741CB"/>
    <w:rsid w:val="0027498B"/>
    <w:rsid w:val="00274ECD"/>
    <w:rsid w:val="00275A8F"/>
    <w:rsid w:val="00282512"/>
    <w:rsid w:val="002852C5"/>
    <w:rsid w:val="00286874"/>
    <w:rsid w:val="00286D3B"/>
    <w:rsid w:val="00296B65"/>
    <w:rsid w:val="002A7DEF"/>
    <w:rsid w:val="002B7CD8"/>
    <w:rsid w:val="002C2670"/>
    <w:rsid w:val="002C4571"/>
    <w:rsid w:val="002D3A52"/>
    <w:rsid w:val="002E114D"/>
    <w:rsid w:val="002E1BE5"/>
    <w:rsid w:val="002E2BFC"/>
    <w:rsid w:val="002E35EF"/>
    <w:rsid w:val="002E6D50"/>
    <w:rsid w:val="002F64B3"/>
    <w:rsid w:val="002F7986"/>
    <w:rsid w:val="00301B40"/>
    <w:rsid w:val="00305CC8"/>
    <w:rsid w:val="00307F6D"/>
    <w:rsid w:val="003137A8"/>
    <w:rsid w:val="00314102"/>
    <w:rsid w:val="00314749"/>
    <w:rsid w:val="003177A2"/>
    <w:rsid w:val="00320091"/>
    <w:rsid w:val="003241E9"/>
    <w:rsid w:val="0032502C"/>
    <w:rsid w:val="003271B5"/>
    <w:rsid w:val="00327A1E"/>
    <w:rsid w:val="00330DD4"/>
    <w:rsid w:val="00331264"/>
    <w:rsid w:val="0033205B"/>
    <w:rsid w:val="00333340"/>
    <w:rsid w:val="00333E99"/>
    <w:rsid w:val="00334C8D"/>
    <w:rsid w:val="00343BAD"/>
    <w:rsid w:val="00346311"/>
    <w:rsid w:val="003518B3"/>
    <w:rsid w:val="003608EF"/>
    <w:rsid w:val="003629AC"/>
    <w:rsid w:val="00364751"/>
    <w:rsid w:val="00373040"/>
    <w:rsid w:val="00373BA0"/>
    <w:rsid w:val="003740BF"/>
    <w:rsid w:val="003755CB"/>
    <w:rsid w:val="003846F1"/>
    <w:rsid w:val="00386C2B"/>
    <w:rsid w:val="003924EC"/>
    <w:rsid w:val="00394E42"/>
    <w:rsid w:val="003955E8"/>
    <w:rsid w:val="00396868"/>
    <w:rsid w:val="003A6918"/>
    <w:rsid w:val="003A6929"/>
    <w:rsid w:val="003B3203"/>
    <w:rsid w:val="003B3FF4"/>
    <w:rsid w:val="003B5CB6"/>
    <w:rsid w:val="003C16F4"/>
    <w:rsid w:val="003C377E"/>
    <w:rsid w:val="003C4811"/>
    <w:rsid w:val="003D2F3E"/>
    <w:rsid w:val="003D3B3D"/>
    <w:rsid w:val="003D5FBA"/>
    <w:rsid w:val="003E38A5"/>
    <w:rsid w:val="003E6EAE"/>
    <w:rsid w:val="003F07DB"/>
    <w:rsid w:val="003F558B"/>
    <w:rsid w:val="00401380"/>
    <w:rsid w:val="00404780"/>
    <w:rsid w:val="00404A14"/>
    <w:rsid w:val="00404C24"/>
    <w:rsid w:val="00405A7A"/>
    <w:rsid w:val="004066AA"/>
    <w:rsid w:val="004134CE"/>
    <w:rsid w:val="004168B0"/>
    <w:rsid w:val="00416E28"/>
    <w:rsid w:val="00420875"/>
    <w:rsid w:val="00425C06"/>
    <w:rsid w:val="00426D2A"/>
    <w:rsid w:val="00431356"/>
    <w:rsid w:val="00433196"/>
    <w:rsid w:val="00441955"/>
    <w:rsid w:val="004424FB"/>
    <w:rsid w:val="0044281A"/>
    <w:rsid w:val="0044374E"/>
    <w:rsid w:val="00447CE3"/>
    <w:rsid w:val="00452005"/>
    <w:rsid w:val="004563EF"/>
    <w:rsid w:val="004677FF"/>
    <w:rsid w:val="0047613C"/>
    <w:rsid w:val="00480B4B"/>
    <w:rsid w:val="00481831"/>
    <w:rsid w:val="004848C0"/>
    <w:rsid w:val="00485DC4"/>
    <w:rsid w:val="00492E61"/>
    <w:rsid w:val="00495F03"/>
    <w:rsid w:val="00496122"/>
    <w:rsid w:val="00497740"/>
    <w:rsid w:val="004A3D65"/>
    <w:rsid w:val="004A43D1"/>
    <w:rsid w:val="004A50F5"/>
    <w:rsid w:val="004A6439"/>
    <w:rsid w:val="004B1400"/>
    <w:rsid w:val="004B4412"/>
    <w:rsid w:val="004B717F"/>
    <w:rsid w:val="004C348C"/>
    <w:rsid w:val="004C61C0"/>
    <w:rsid w:val="004D3630"/>
    <w:rsid w:val="004D55BA"/>
    <w:rsid w:val="004D5BE5"/>
    <w:rsid w:val="004D7FF9"/>
    <w:rsid w:val="004E22EC"/>
    <w:rsid w:val="004E57B6"/>
    <w:rsid w:val="004F3C33"/>
    <w:rsid w:val="004F5CC1"/>
    <w:rsid w:val="00502970"/>
    <w:rsid w:val="00506AC2"/>
    <w:rsid w:val="00507E21"/>
    <w:rsid w:val="005101DC"/>
    <w:rsid w:val="005112E3"/>
    <w:rsid w:val="005230A2"/>
    <w:rsid w:val="005244EF"/>
    <w:rsid w:val="00524A4A"/>
    <w:rsid w:val="00530128"/>
    <w:rsid w:val="00532467"/>
    <w:rsid w:val="005347F2"/>
    <w:rsid w:val="00541C93"/>
    <w:rsid w:val="00541E5D"/>
    <w:rsid w:val="00550236"/>
    <w:rsid w:val="00560474"/>
    <w:rsid w:val="0056080A"/>
    <w:rsid w:val="00562632"/>
    <w:rsid w:val="00564A4D"/>
    <w:rsid w:val="00566CF2"/>
    <w:rsid w:val="00567346"/>
    <w:rsid w:val="00567BA5"/>
    <w:rsid w:val="00570DA3"/>
    <w:rsid w:val="00571B35"/>
    <w:rsid w:val="00571D57"/>
    <w:rsid w:val="00572CDB"/>
    <w:rsid w:val="005769D9"/>
    <w:rsid w:val="00577A09"/>
    <w:rsid w:val="005829C2"/>
    <w:rsid w:val="005848B6"/>
    <w:rsid w:val="00584D8F"/>
    <w:rsid w:val="00585A9C"/>
    <w:rsid w:val="00592467"/>
    <w:rsid w:val="005961D7"/>
    <w:rsid w:val="00596993"/>
    <w:rsid w:val="005A00AA"/>
    <w:rsid w:val="005A1441"/>
    <w:rsid w:val="005A1BB4"/>
    <w:rsid w:val="005A404D"/>
    <w:rsid w:val="005B1519"/>
    <w:rsid w:val="005B1E3C"/>
    <w:rsid w:val="005B22A2"/>
    <w:rsid w:val="005C26CC"/>
    <w:rsid w:val="005C4261"/>
    <w:rsid w:val="005C733E"/>
    <w:rsid w:val="005D2EB9"/>
    <w:rsid w:val="005E038E"/>
    <w:rsid w:val="005E0557"/>
    <w:rsid w:val="005E2A56"/>
    <w:rsid w:val="005E3822"/>
    <w:rsid w:val="005E4D25"/>
    <w:rsid w:val="005F01C3"/>
    <w:rsid w:val="005F45A4"/>
    <w:rsid w:val="006057CF"/>
    <w:rsid w:val="00610F73"/>
    <w:rsid w:val="00612C2E"/>
    <w:rsid w:val="00614860"/>
    <w:rsid w:val="00615C6B"/>
    <w:rsid w:val="006217E1"/>
    <w:rsid w:val="00622731"/>
    <w:rsid w:val="006301A0"/>
    <w:rsid w:val="00632145"/>
    <w:rsid w:val="00632D6D"/>
    <w:rsid w:val="0063475C"/>
    <w:rsid w:val="00635538"/>
    <w:rsid w:val="0064117C"/>
    <w:rsid w:val="00642B28"/>
    <w:rsid w:val="00642C3E"/>
    <w:rsid w:val="00652E14"/>
    <w:rsid w:val="0065334B"/>
    <w:rsid w:val="006615E7"/>
    <w:rsid w:val="00663DAD"/>
    <w:rsid w:val="00670306"/>
    <w:rsid w:val="00670957"/>
    <w:rsid w:val="006710C3"/>
    <w:rsid w:val="00671CBB"/>
    <w:rsid w:val="00673475"/>
    <w:rsid w:val="00676679"/>
    <w:rsid w:val="00681946"/>
    <w:rsid w:val="00681F87"/>
    <w:rsid w:val="00682F17"/>
    <w:rsid w:val="006861E8"/>
    <w:rsid w:val="006918C0"/>
    <w:rsid w:val="00694890"/>
    <w:rsid w:val="006978CD"/>
    <w:rsid w:val="006A2FE1"/>
    <w:rsid w:val="006A4F31"/>
    <w:rsid w:val="006A5103"/>
    <w:rsid w:val="006B17F7"/>
    <w:rsid w:val="006B476F"/>
    <w:rsid w:val="006B4CF9"/>
    <w:rsid w:val="006B7AC8"/>
    <w:rsid w:val="006C1D34"/>
    <w:rsid w:val="006C1FEB"/>
    <w:rsid w:val="006D0776"/>
    <w:rsid w:val="006D550F"/>
    <w:rsid w:val="006D6762"/>
    <w:rsid w:val="006F0556"/>
    <w:rsid w:val="006F1077"/>
    <w:rsid w:val="006F3280"/>
    <w:rsid w:val="006F36C7"/>
    <w:rsid w:val="006F5565"/>
    <w:rsid w:val="00701CAB"/>
    <w:rsid w:val="0070699E"/>
    <w:rsid w:val="00707563"/>
    <w:rsid w:val="00707A73"/>
    <w:rsid w:val="007220B7"/>
    <w:rsid w:val="0072333D"/>
    <w:rsid w:val="0072348C"/>
    <w:rsid w:val="00724A37"/>
    <w:rsid w:val="00726B94"/>
    <w:rsid w:val="007303C3"/>
    <w:rsid w:val="00730507"/>
    <w:rsid w:val="00743223"/>
    <w:rsid w:val="00743F1E"/>
    <w:rsid w:val="00744E7F"/>
    <w:rsid w:val="00746E01"/>
    <w:rsid w:val="00751629"/>
    <w:rsid w:val="00752584"/>
    <w:rsid w:val="00753EE9"/>
    <w:rsid w:val="007546E0"/>
    <w:rsid w:val="00757BDF"/>
    <w:rsid w:val="00763E5D"/>
    <w:rsid w:val="00767740"/>
    <w:rsid w:val="00772DFC"/>
    <w:rsid w:val="00776599"/>
    <w:rsid w:val="00777EE6"/>
    <w:rsid w:val="00781F31"/>
    <w:rsid w:val="00782EEA"/>
    <w:rsid w:val="00785987"/>
    <w:rsid w:val="007901BA"/>
    <w:rsid w:val="00791BF1"/>
    <w:rsid w:val="00795869"/>
    <w:rsid w:val="00797DF5"/>
    <w:rsid w:val="007A050A"/>
    <w:rsid w:val="007A0BC2"/>
    <w:rsid w:val="007A3921"/>
    <w:rsid w:val="007A4D1F"/>
    <w:rsid w:val="007A6419"/>
    <w:rsid w:val="007A7DEA"/>
    <w:rsid w:val="007B1936"/>
    <w:rsid w:val="007B274F"/>
    <w:rsid w:val="007B2C72"/>
    <w:rsid w:val="007C1C53"/>
    <w:rsid w:val="007C74BB"/>
    <w:rsid w:val="007E4904"/>
    <w:rsid w:val="007E4CB5"/>
    <w:rsid w:val="007F066B"/>
    <w:rsid w:val="007F463D"/>
    <w:rsid w:val="007F74DA"/>
    <w:rsid w:val="007F7BF0"/>
    <w:rsid w:val="008001C9"/>
    <w:rsid w:val="008033C4"/>
    <w:rsid w:val="008034CF"/>
    <w:rsid w:val="008053FC"/>
    <w:rsid w:val="00806C88"/>
    <w:rsid w:val="0081034E"/>
    <w:rsid w:val="00812E22"/>
    <w:rsid w:val="0081692C"/>
    <w:rsid w:val="00820A06"/>
    <w:rsid w:val="0083350C"/>
    <w:rsid w:val="008344F6"/>
    <w:rsid w:val="00834CF3"/>
    <w:rsid w:val="0083510F"/>
    <w:rsid w:val="00835EA2"/>
    <w:rsid w:val="00843704"/>
    <w:rsid w:val="00843DB6"/>
    <w:rsid w:val="008502D4"/>
    <w:rsid w:val="008506E1"/>
    <w:rsid w:val="00851209"/>
    <w:rsid w:val="008516B2"/>
    <w:rsid w:val="00851BAD"/>
    <w:rsid w:val="00853CF6"/>
    <w:rsid w:val="00862DB1"/>
    <w:rsid w:val="0087098B"/>
    <w:rsid w:val="008713F6"/>
    <w:rsid w:val="00874DF5"/>
    <w:rsid w:val="00875116"/>
    <w:rsid w:val="008803F0"/>
    <w:rsid w:val="008837AC"/>
    <w:rsid w:val="0089531A"/>
    <w:rsid w:val="00895454"/>
    <w:rsid w:val="008A3CD4"/>
    <w:rsid w:val="008A3E3C"/>
    <w:rsid w:val="008A587D"/>
    <w:rsid w:val="008A5F7A"/>
    <w:rsid w:val="008B0125"/>
    <w:rsid w:val="008B7967"/>
    <w:rsid w:val="008C29A1"/>
    <w:rsid w:val="008C3F98"/>
    <w:rsid w:val="008C5486"/>
    <w:rsid w:val="008C717D"/>
    <w:rsid w:val="008D02E1"/>
    <w:rsid w:val="008D1661"/>
    <w:rsid w:val="008D23C1"/>
    <w:rsid w:val="008D3FDC"/>
    <w:rsid w:val="008D3FF6"/>
    <w:rsid w:val="008D72C8"/>
    <w:rsid w:val="008E1DAA"/>
    <w:rsid w:val="008E3988"/>
    <w:rsid w:val="008E7031"/>
    <w:rsid w:val="008F2354"/>
    <w:rsid w:val="008F5C97"/>
    <w:rsid w:val="008F6790"/>
    <w:rsid w:val="00900EB0"/>
    <w:rsid w:val="00901386"/>
    <w:rsid w:val="00907894"/>
    <w:rsid w:val="00913692"/>
    <w:rsid w:val="00913857"/>
    <w:rsid w:val="009225CF"/>
    <w:rsid w:val="009233EE"/>
    <w:rsid w:val="00924892"/>
    <w:rsid w:val="00924D79"/>
    <w:rsid w:val="00924FFC"/>
    <w:rsid w:val="009460AA"/>
    <w:rsid w:val="00947CF1"/>
    <w:rsid w:val="00951978"/>
    <w:rsid w:val="00951F6E"/>
    <w:rsid w:val="00960FC8"/>
    <w:rsid w:val="00964B56"/>
    <w:rsid w:val="009661DE"/>
    <w:rsid w:val="00973054"/>
    <w:rsid w:val="009837C0"/>
    <w:rsid w:val="009856B7"/>
    <w:rsid w:val="00987A3C"/>
    <w:rsid w:val="00987D39"/>
    <w:rsid w:val="00992F10"/>
    <w:rsid w:val="00993F40"/>
    <w:rsid w:val="00995FE9"/>
    <w:rsid w:val="009A0713"/>
    <w:rsid w:val="009A0A7E"/>
    <w:rsid w:val="009A3BA1"/>
    <w:rsid w:val="009A5FC3"/>
    <w:rsid w:val="009B74B0"/>
    <w:rsid w:val="009C256C"/>
    <w:rsid w:val="009C49E7"/>
    <w:rsid w:val="009D2EB9"/>
    <w:rsid w:val="009D6B46"/>
    <w:rsid w:val="009E19FD"/>
    <w:rsid w:val="009E4A3A"/>
    <w:rsid w:val="009F1627"/>
    <w:rsid w:val="009F273B"/>
    <w:rsid w:val="009F4940"/>
    <w:rsid w:val="009F4A80"/>
    <w:rsid w:val="009F5BA1"/>
    <w:rsid w:val="00A02A88"/>
    <w:rsid w:val="00A0562E"/>
    <w:rsid w:val="00A0678A"/>
    <w:rsid w:val="00A0726D"/>
    <w:rsid w:val="00A07273"/>
    <w:rsid w:val="00A11E41"/>
    <w:rsid w:val="00A14FD5"/>
    <w:rsid w:val="00A22495"/>
    <w:rsid w:val="00A24494"/>
    <w:rsid w:val="00A30A87"/>
    <w:rsid w:val="00A32FBB"/>
    <w:rsid w:val="00A356AA"/>
    <w:rsid w:val="00A424B7"/>
    <w:rsid w:val="00A42718"/>
    <w:rsid w:val="00A4478A"/>
    <w:rsid w:val="00A44852"/>
    <w:rsid w:val="00A53ED8"/>
    <w:rsid w:val="00A57D04"/>
    <w:rsid w:val="00A60023"/>
    <w:rsid w:val="00A60A26"/>
    <w:rsid w:val="00A61598"/>
    <w:rsid w:val="00A618E5"/>
    <w:rsid w:val="00A67204"/>
    <w:rsid w:val="00A74469"/>
    <w:rsid w:val="00A75077"/>
    <w:rsid w:val="00A834AE"/>
    <w:rsid w:val="00A84F46"/>
    <w:rsid w:val="00A871F4"/>
    <w:rsid w:val="00A94E5E"/>
    <w:rsid w:val="00AB687E"/>
    <w:rsid w:val="00AC1B2C"/>
    <w:rsid w:val="00AC3264"/>
    <w:rsid w:val="00AC38F1"/>
    <w:rsid w:val="00AD1DAA"/>
    <w:rsid w:val="00AE1BF1"/>
    <w:rsid w:val="00AE3E9A"/>
    <w:rsid w:val="00AF0857"/>
    <w:rsid w:val="00AF0DD2"/>
    <w:rsid w:val="00AF1ED6"/>
    <w:rsid w:val="00AF27EC"/>
    <w:rsid w:val="00AF3F61"/>
    <w:rsid w:val="00AF5225"/>
    <w:rsid w:val="00B03F2F"/>
    <w:rsid w:val="00B104DB"/>
    <w:rsid w:val="00B13048"/>
    <w:rsid w:val="00B15B5F"/>
    <w:rsid w:val="00B15BAA"/>
    <w:rsid w:val="00B1716D"/>
    <w:rsid w:val="00B17A1D"/>
    <w:rsid w:val="00B207A0"/>
    <w:rsid w:val="00B23A96"/>
    <w:rsid w:val="00B25CFE"/>
    <w:rsid w:val="00B27F18"/>
    <w:rsid w:val="00B366C5"/>
    <w:rsid w:val="00B37E38"/>
    <w:rsid w:val="00B40474"/>
    <w:rsid w:val="00B44F90"/>
    <w:rsid w:val="00B507CB"/>
    <w:rsid w:val="00B514DD"/>
    <w:rsid w:val="00B51652"/>
    <w:rsid w:val="00B518EA"/>
    <w:rsid w:val="00B51AE3"/>
    <w:rsid w:val="00B52AF0"/>
    <w:rsid w:val="00B5581F"/>
    <w:rsid w:val="00B5659E"/>
    <w:rsid w:val="00B56E03"/>
    <w:rsid w:val="00B62BD1"/>
    <w:rsid w:val="00B668A6"/>
    <w:rsid w:val="00B71E2E"/>
    <w:rsid w:val="00B72A3D"/>
    <w:rsid w:val="00B72E41"/>
    <w:rsid w:val="00B77588"/>
    <w:rsid w:val="00B8080B"/>
    <w:rsid w:val="00B86BEE"/>
    <w:rsid w:val="00B86F4F"/>
    <w:rsid w:val="00B87C39"/>
    <w:rsid w:val="00B927D8"/>
    <w:rsid w:val="00B950B5"/>
    <w:rsid w:val="00B95B35"/>
    <w:rsid w:val="00B96B46"/>
    <w:rsid w:val="00BA2026"/>
    <w:rsid w:val="00BA3C98"/>
    <w:rsid w:val="00BA4665"/>
    <w:rsid w:val="00BA5742"/>
    <w:rsid w:val="00BB11FF"/>
    <w:rsid w:val="00BB2AB1"/>
    <w:rsid w:val="00BB2FB2"/>
    <w:rsid w:val="00BB3304"/>
    <w:rsid w:val="00BC5F3A"/>
    <w:rsid w:val="00BD3446"/>
    <w:rsid w:val="00BD420B"/>
    <w:rsid w:val="00BD58F9"/>
    <w:rsid w:val="00BD6286"/>
    <w:rsid w:val="00BE1F1B"/>
    <w:rsid w:val="00BE2D22"/>
    <w:rsid w:val="00BE47B5"/>
    <w:rsid w:val="00C10186"/>
    <w:rsid w:val="00C14C2B"/>
    <w:rsid w:val="00C154C2"/>
    <w:rsid w:val="00C178E4"/>
    <w:rsid w:val="00C22063"/>
    <w:rsid w:val="00C24462"/>
    <w:rsid w:val="00C25FA6"/>
    <w:rsid w:val="00C40946"/>
    <w:rsid w:val="00C43398"/>
    <w:rsid w:val="00C44EE2"/>
    <w:rsid w:val="00C45347"/>
    <w:rsid w:val="00C511C0"/>
    <w:rsid w:val="00C538A9"/>
    <w:rsid w:val="00C53B5A"/>
    <w:rsid w:val="00C54F5A"/>
    <w:rsid w:val="00C569B4"/>
    <w:rsid w:val="00C63530"/>
    <w:rsid w:val="00C67A92"/>
    <w:rsid w:val="00C71450"/>
    <w:rsid w:val="00C86679"/>
    <w:rsid w:val="00C87C96"/>
    <w:rsid w:val="00CA489E"/>
    <w:rsid w:val="00CB666B"/>
    <w:rsid w:val="00CC213C"/>
    <w:rsid w:val="00CC3448"/>
    <w:rsid w:val="00CC44E9"/>
    <w:rsid w:val="00CC7F1D"/>
    <w:rsid w:val="00CD0EAC"/>
    <w:rsid w:val="00CD4481"/>
    <w:rsid w:val="00CE7913"/>
    <w:rsid w:val="00D01CF0"/>
    <w:rsid w:val="00D02753"/>
    <w:rsid w:val="00D03D0C"/>
    <w:rsid w:val="00D0442A"/>
    <w:rsid w:val="00D05E2D"/>
    <w:rsid w:val="00D10873"/>
    <w:rsid w:val="00D11269"/>
    <w:rsid w:val="00D1611F"/>
    <w:rsid w:val="00D400E2"/>
    <w:rsid w:val="00D41D81"/>
    <w:rsid w:val="00D43F01"/>
    <w:rsid w:val="00D5276C"/>
    <w:rsid w:val="00D543E1"/>
    <w:rsid w:val="00D61388"/>
    <w:rsid w:val="00D61A54"/>
    <w:rsid w:val="00D64DA4"/>
    <w:rsid w:val="00D64DEA"/>
    <w:rsid w:val="00D66A98"/>
    <w:rsid w:val="00D7168E"/>
    <w:rsid w:val="00D71E57"/>
    <w:rsid w:val="00D7465C"/>
    <w:rsid w:val="00D80893"/>
    <w:rsid w:val="00D81EF4"/>
    <w:rsid w:val="00D86DB2"/>
    <w:rsid w:val="00D87C07"/>
    <w:rsid w:val="00D92CF1"/>
    <w:rsid w:val="00D92D38"/>
    <w:rsid w:val="00D950F5"/>
    <w:rsid w:val="00DA1135"/>
    <w:rsid w:val="00DB0F93"/>
    <w:rsid w:val="00DB1914"/>
    <w:rsid w:val="00DB1A67"/>
    <w:rsid w:val="00DB1C30"/>
    <w:rsid w:val="00DB5074"/>
    <w:rsid w:val="00DB723B"/>
    <w:rsid w:val="00DC5C14"/>
    <w:rsid w:val="00DC78B6"/>
    <w:rsid w:val="00DC7981"/>
    <w:rsid w:val="00DD2420"/>
    <w:rsid w:val="00DD2D5C"/>
    <w:rsid w:val="00DE1A7B"/>
    <w:rsid w:val="00DE1BC2"/>
    <w:rsid w:val="00DE1F3B"/>
    <w:rsid w:val="00DE1FC5"/>
    <w:rsid w:val="00DE4EFA"/>
    <w:rsid w:val="00DE5520"/>
    <w:rsid w:val="00E04818"/>
    <w:rsid w:val="00E06442"/>
    <w:rsid w:val="00E06AE8"/>
    <w:rsid w:val="00E06B25"/>
    <w:rsid w:val="00E137FB"/>
    <w:rsid w:val="00E15C3A"/>
    <w:rsid w:val="00E16751"/>
    <w:rsid w:val="00E16B1D"/>
    <w:rsid w:val="00E1772E"/>
    <w:rsid w:val="00E208FE"/>
    <w:rsid w:val="00E215BE"/>
    <w:rsid w:val="00E22820"/>
    <w:rsid w:val="00E23993"/>
    <w:rsid w:val="00E25B8C"/>
    <w:rsid w:val="00E26F67"/>
    <w:rsid w:val="00E35A12"/>
    <w:rsid w:val="00E35AD0"/>
    <w:rsid w:val="00E43C33"/>
    <w:rsid w:val="00E615D2"/>
    <w:rsid w:val="00E62AEA"/>
    <w:rsid w:val="00E65C85"/>
    <w:rsid w:val="00E66199"/>
    <w:rsid w:val="00E6664B"/>
    <w:rsid w:val="00E709B9"/>
    <w:rsid w:val="00E73991"/>
    <w:rsid w:val="00E753C4"/>
    <w:rsid w:val="00E755EC"/>
    <w:rsid w:val="00E7624D"/>
    <w:rsid w:val="00E829A8"/>
    <w:rsid w:val="00E854E6"/>
    <w:rsid w:val="00E96BFC"/>
    <w:rsid w:val="00EA3D42"/>
    <w:rsid w:val="00EA4777"/>
    <w:rsid w:val="00EA5DAC"/>
    <w:rsid w:val="00EA6B1B"/>
    <w:rsid w:val="00EB505D"/>
    <w:rsid w:val="00EC049C"/>
    <w:rsid w:val="00EC094E"/>
    <w:rsid w:val="00EC489D"/>
    <w:rsid w:val="00ED7DC3"/>
    <w:rsid w:val="00EE1D5F"/>
    <w:rsid w:val="00EE22E6"/>
    <w:rsid w:val="00EE28F3"/>
    <w:rsid w:val="00EE2FC7"/>
    <w:rsid w:val="00EF4CC5"/>
    <w:rsid w:val="00EF5110"/>
    <w:rsid w:val="00EF655C"/>
    <w:rsid w:val="00F0062A"/>
    <w:rsid w:val="00F03449"/>
    <w:rsid w:val="00F0596A"/>
    <w:rsid w:val="00F07251"/>
    <w:rsid w:val="00F10B24"/>
    <w:rsid w:val="00F136AC"/>
    <w:rsid w:val="00F15882"/>
    <w:rsid w:val="00F171E0"/>
    <w:rsid w:val="00F177A7"/>
    <w:rsid w:val="00F20BD3"/>
    <w:rsid w:val="00F2473F"/>
    <w:rsid w:val="00F3614F"/>
    <w:rsid w:val="00F373A5"/>
    <w:rsid w:val="00F42FA2"/>
    <w:rsid w:val="00F45E74"/>
    <w:rsid w:val="00F47559"/>
    <w:rsid w:val="00F649BD"/>
    <w:rsid w:val="00F64C7B"/>
    <w:rsid w:val="00F666C0"/>
    <w:rsid w:val="00F676DD"/>
    <w:rsid w:val="00F677D6"/>
    <w:rsid w:val="00F71778"/>
    <w:rsid w:val="00F7328A"/>
    <w:rsid w:val="00F75A26"/>
    <w:rsid w:val="00F801BE"/>
    <w:rsid w:val="00F835C9"/>
    <w:rsid w:val="00F83FAD"/>
    <w:rsid w:val="00F8581C"/>
    <w:rsid w:val="00F9031F"/>
    <w:rsid w:val="00F91049"/>
    <w:rsid w:val="00F952A0"/>
    <w:rsid w:val="00FA3C7F"/>
    <w:rsid w:val="00FA3FA3"/>
    <w:rsid w:val="00FA4406"/>
    <w:rsid w:val="00FA48A1"/>
    <w:rsid w:val="00FA7289"/>
    <w:rsid w:val="00FA7D11"/>
    <w:rsid w:val="00FB02B5"/>
    <w:rsid w:val="00FB0DA1"/>
    <w:rsid w:val="00FB3F71"/>
    <w:rsid w:val="00FB65BE"/>
    <w:rsid w:val="00FB6DA1"/>
    <w:rsid w:val="00FB74E2"/>
    <w:rsid w:val="00FD1A3A"/>
    <w:rsid w:val="00FD302D"/>
    <w:rsid w:val="00FD5614"/>
    <w:rsid w:val="00FD59B8"/>
    <w:rsid w:val="00FE0BE1"/>
    <w:rsid w:val="00FE1C51"/>
    <w:rsid w:val="00FE1DE9"/>
    <w:rsid w:val="00FE39C2"/>
    <w:rsid w:val="00FE3C32"/>
    <w:rsid w:val="00FE64AE"/>
    <w:rsid w:val="00FF6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7A0BC2"/>
    <w:pPr>
      <w:spacing w:line="240" w:lineRule="auto"/>
    </w:pPr>
    <w:rPr>
      <w:sz w:val="20"/>
      <w:szCs w:val="20"/>
    </w:rPr>
  </w:style>
  <w:style w:type="character" w:customStyle="1" w:styleId="CommentTextChar">
    <w:name w:val="Comment Text Char"/>
    <w:basedOn w:val="DefaultParagraphFont"/>
    <w:link w:val="CommentText"/>
    <w:uiPriority w:val="99"/>
    <w:semiHidden/>
    <w:rsid w:val="007A0B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BC2"/>
    <w:rPr>
      <w:b/>
      <w:bCs/>
    </w:rPr>
  </w:style>
  <w:style w:type="character" w:customStyle="1" w:styleId="CommentSubjectChar">
    <w:name w:val="Comment Subject Char"/>
    <w:basedOn w:val="CommentTextChar"/>
    <w:link w:val="CommentSubject"/>
    <w:uiPriority w:val="99"/>
    <w:semiHidden/>
    <w:rsid w:val="007A0BC2"/>
    <w:rPr>
      <w:rFonts w:ascii="Arial" w:hAnsi="Arial"/>
      <w:b/>
      <w:bCs/>
      <w:sz w:val="20"/>
      <w:szCs w:val="20"/>
    </w:rPr>
  </w:style>
  <w:style w:type="paragraph" w:styleId="NoteHeading">
    <w:name w:val="Note Heading"/>
    <w:basedOn w:val="Normal"/>
    <w:next w:val="Normal"/>
    <w:link w:val="NoteHeadingChar"/>
    <w:uiPriority w:val="99"/>
    <w:unhideWhenUsed/>
    <w:rsid w:val="007A0BC2"/>
    <w:pPr>
      <w:spacing w:before="0" w:line="240" w:lineRule="auto"/>
    </w:pPr>
  </w:style>
  <w:style w:type="character" w:customStyle="1" w:styleId="NoteHeadingChar">
    <w:name w:val="Note Heading Char"/>
    <w:basedOn w:val="DefaultParagraphFont"/>
    <w:link w:val="NoteHeading"/>
    <w:uiPriority w:val="99"/>
    <w:rsid w:val="007A0BC2"/>
    <w:rPr>
      <w:rFonts w:ascii="Arial" w:hAnsi="Arial"/>
    </w:rPr>
  </w:style>
  <w:style w:type="paragraph" w:styleId="BodyText">
    <w:name w:val="Body Text"/>
    <w:basedOn w:val="Normal"/>
    <w:link w:val="BodyTextChar"/>
    <w:uiPriority w:val="99"/>
    <w:unhideWhenUsed/>
    <w:rsid w:val="007A0BC2"/>
    <w:pPr>
      <w:spacing w:after="120"/>
    </w:pPr>
  </w:style>
  <w:style w:type="character" w:customStyle="1" w:styleId="BodyTextChar">
    <w:name w:val="Body Text Char"/>
    <w:basedOn w:val="DefaultParagraphFont"/>
    <w:link w:val="BodyText"/>
    <w:uiPriority w:val="99"/>
    <w:rsid w:val="007A0BC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0"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7A0BC2"/>
    <w:pPr>
      <w:spacing w:line="240" w:lineRule="auto"/>
    </w:pPr>
    <w:rPr>
      <w:sz w:val="20"/>
      <w:szCs w:val="20"/>
    </w:rPr>
  </w:style>
  <w:style w:type="character" w:customStyle="1" w:styleId="CommentTextChar">
    <w:name w:val="Comment Text Char"/>
    <w:basedOn w:val="DefaultParagraphFont"/>
    <w:link w:val="CommentText"/>
    <w:uiPriority w:val="99"/>
    <w:semiHidden/>
    <w:rsid w:val="007A0BC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BC2"/>
    <w:rPr>
      <w:b/>
      <w:bCs/>
    </w:rPr>
  </w:style>
  <w:style w:type="character" w:customStyle="1" w:styleId="CommentSubjectChar">
    <w:name w:val="Comment Subject Char"/>
    <w:basedOn w:val="CommentTextChar"/>
    <w:link w:val="CommentSubject"/>
    <w:uiPriority w:val="99"/>
    <w:semiHidden/>
    <w:rsid w:val="007A0BC2"/>
    <w:rPr>
      <w:rFonts w:ascii="Arial" w:hAnsi="Arial"/>
      <w:b/>
      <w:bCs/>
      <w:sz w:val="20"/>
      <w:szCs w:val="20"/>
    </w:rPr>
  </w:style>
  <w:style w:type="paragraph" w:styleId="NoteHeading">
    <w:name w:val="Note Heading"/>
    <w:basedOn w:val="Normal"/>
    <w:next w:val="Normal"/>
    <w:link w:val="NoteHeadingChar"/>
    <w:uiPriority w:val="99"/>
    <w:unhideWhenUsed/>
    <w:rsid w:val="007A0BC2"/>
    <w:pPr>
      <w:spacing w:before="0" w:line="240" w:lineRule="auto"/>
    </w:pPr>
  </w:style>
  <w:style w:type="character" w:customStyle="1" w:styleId="NoteHeadingChar">
    <w:name w:val="Note Heading Char"/>
    <w:basedOn w:val="DefaultParagraphFont"/>
    <w:link w:val="NoteHeading"/>
    <w:uiPriority w:val="99"/>
    <w:rsid w:val="007A0BC2"/>
    <w:rPr>
      <w:rFonts w:ascii="Arial" w:hAnsi="Arial"/>
    </w:rPr>
  </w:style>
  <w:style w:type="paragraph" w:styleId="BodyText">
    <w:name w:val="Body Text"/>
    <w:basedOn w:val="Normal"/>
    <w:link w:val="BodyTextChar"/>
    <w:uiPriority w:val="99"/>
    <w:unhideWhenUsed/>
    <w:rsid w:val="007A0BC2"/>
    <w:pPr>
      <w:spacing w:after="120"/>
    </w:pPr>
  </w:style>
  <w:style w:type="character" w:customStyle="1" w:styleId="BodyTextChar">
    <w:name w:val="Body Text Char"/>
    <w:basedOn w:val="DefaultParagraphFont"/>
    <w:link w:val="BodyText"/>
    <w:uiPriority w:val="99"/>
    <w:rsid w:val="007A0B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060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er.gov.au/newsletter/subscrib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96E9DE26</Template>
  <TotalTime>0</TotalTime>
  <Pages>43</Pages>
  <Words>12521</Words>
  <Characters>71370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2016-04-19T04:40:00Z</dcterms:created>
  <dcterms:modified xsi:type="dcterms:W3CDTF">2016-04-19T04:48:00Z</dcterms:modified>
</cp:coreProperties>
</file>