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082" w:rsidRDefault="005F6082" w:rsidP="00E42630">
      <w:pPr>
        <w:pStyle w:val="AERbodytextnospace"/>
        <w:numPr>
          <w:ilvl w:val="0"/>
          <w:numId w:val="0"/>
        </w:numPr>
      </w:pPr>
      <w:bookmarkStart w:id="0" w:name="_GoBack"/>
      <w:bookmarkEnd w:id="0"/>
      <w:r w:rsidRPr="00824CC8">
        <w:rPr>
          <w:noProof/>
          <w:lang w:eastAsia="en-AU"/>
        </w:rPr>
        <w:drawing>
          <wp:anchor distT="0" distB="0" distL="114300" distR="114300" simplePos="0" relativeHeight="251663360" behindDoc="1" locked="0" layoutInCell="1" allowOverlap="1" wp14:anchorId="170FCAF1" wp14:editId="53E94D2D">
            <wp:simplePos x="0" y="0"/>
            <wp:positionH relativeFrom="column">
              <wp:posOffset>-1153985</wp:posOffset>
            </wp:positionH>
            <wp:positionV relativeFrom="paragraph">
              <wp:posOffset>-924560</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 w:rsidR="005F6082" w:rsidRDefault="005F6082" w:rsidP="005F6082">
      <w:pPr>
        <w:pStyle w:val="AERtitle1"/>
      </w:pPr>
      <w:r>
        <w:t>Better Regulation</w:t>
      </w:r>
    </w:p>
    <w:p w:rsidR="005F6082" w:rsidRDefault="005F6082" w:rsidP="005F6082">
      <w:pPr>
        <w:pStyle w:val="AERtitle1"/>
      </w:pPr>
    </w:p>
    <w:p w:rsidR="005F6082" w:rsidRDefault="00486606" w:rsidP="005F6082">
      <w:pPr>
        <w:pStyle w:val="AERtitle1"/>
      </w:pPr>
      <w:r>
        <w:t xml:space="preserve"> </w:t>
      </w:r>
      <w:r w:rsidR="00444B94">
        <w:t>Shared Asset</w:t>
      </w:r>
      <w:r w:rsidR="005F6082">
        <w:t xml:space="preserve"> Guideline</w:t>
      </w:r>
    </w:p>
    <w:p w:rsidR="00486606" w:rsidRDefault="00486606" w:rsidP="005F6082">
      <w:pPr>
        <w:pStyle w:val="AERtitle1"/>
      </w:pPr>
    </w:p>
    <w:p w:rsidR="005F6082" w:rsidRDefault="005F6082" w:rsidP="005F6082"/>
    <w:p w:rsidR="005F6082" w:rsidRDefault="005F6082" w:rsidP="005F6082"/>
    <w:p w:rsidR="005F6082" w:rsidRPr="00F6235D" w:rsidRDefault="005F6082" w:rsidP="005F6082"/>
    <w:p w:rsidR="005F6082" w:rsidRDefault="005F6082" w:rsidP="005F6082">
      <w:pPr>
        <w:pStyle w:val="AERtitle2"/>
      </w:pPr>
      <w:r>
        <w:t>November 2013</w:t>
      </w:r>
    </w:p>
    <w:p w:rsidR="005F6082" w:rsidRPr="00824CC8" w:rsidRDefault="005F6082" w:rsidP="005F6082">
      <w:pPr>
        <w:rPr>
          <w:rStyle w:val="AERtextbold"/>
        </w:rPr>
      </w:pPr>
      <w:r>
        <w:rPr>
          <w:rStyle w:val="AERtextbold"/>
        </w:rPr>
        <w:br w:type="page"/>
      </w:r>
    </w:p>
    <w:p w:rsidR="005F6082" w:rsidRPr="008F1A4A" w:rsidRDefault="005F6082" w:rsidP="004C050B">
      <w:pPr>
        <w:pStyle w:val="AERbodytextnospace"/>
        <w:rPr>
          <w:rStyle w:val="AERtextbold"/>
        </w:rPr>
      </w:pPr>
      <w:r w:rsidRPr="008F1A4A">
        <w:rPr>
          <w:rStyle w:val="AERtextbold"/>
        </w:rPr>
        <w:lastRenderedPageBreak/>
        <w:t>©</w:t>
      </w:r>
      <w:r>
        <w:rPr>
          <w:rStyle w:val="AERtextbold"/>
        </w:rPr>
        <w:t xml:space="preserve"> Commonwealth of Australia 2013</w:t>
      </w:r>
    </w:p>
    <w:p w:rsidR="005F6082" w:rsidRPr="00F6235D" w:rsidRDefault="005F6082" w:rsidP="005F6082">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5F6082" w:rsidRDefault="005F6082" w:rsidP="005F6082">
      <w:r>
        <w:t>Inquiries about this document should be addressed to:</w:t>
      </w:r>
    </w:p>
    <w:p w:rsidR="005F6082" w:rsidRDefault="005F6082" w:rsidP="004C050B">
      <w:pPr>
        <w:pStyle w:val="AERbodytextnospace"/>
      </w:pPr>
      <w:r>
        <w:t>Australian Energy Regulator</w:t>
      </w:r>
    </w:p>
    <w:p w:rsidR="005F6082" w:rsidRDefault="005F6082" w:rsidP="004C050B">
      <w:pPr>
        <w:pStyle w:val="AERbodytextnospace"/>
      </w:pPr>
      <w:r>
        <w:t>GPO Box 520</w:t>
      </w:r>
    </w:p>
    <w:p w:rsidR="005F6082" w:rsidRDefault="005F6082" w:rsidP="004C050B">
      <w:pPr>
        <w:pStyle w:val="AERbodytextnospace"/>
      </w:pPr>
      <w:r>
        <w:t>Melbourne  Vic  3001</w:t>
      </w:r>
    </w:p>
    <w:p w:rsidR="005F6082" w:rsidRDefault="005F6082" w:rsidP="004C050B">
      <w:pPr>
        <w:pStyle w:val="AERbodytextnospace"/>
      </w:pPr>
      <w:r>
        <w:t>Tel: (03) 9290 1444</w:t>
      </w:r>
    </w:p>
    <w:p w:rsidR="005F6082" w:rsidRDefault="005F6082" w:rsidP="004C050B">
      <w:pPr>
        <w:pStyle w:val="AERbodytextnospace"/>
      </w:pPr>
      <w:r>
        <w:t>Fax: (03) 9290 1457</w:t>
      </w:r>
    </w:p>
    <w:p w:rsidR="005F6082" w:rsidRDefault="005F6082" w:rsidP="004C050B">
      <w:pPr>
        <w:pStyle w:val="AERbodytextnospace"/>
      </w:pPr>
      <w:r>
        <w:t xml:space="preserve">Email: </w:t>
      </w:r>
      <w:hyperlink r:id="rId10" w:history="1">
        <w:r w:rsidRPr="003E184A">
          <w:rPr>
            <w:rStyle w:val="Hyperlink"/>
          </w:rPr>
          <w:t>AERInquiry@aer.gov.au</w:t>
        </w:r>
      </w:hyperlink>
    </w:p>
    <w:p w:rsidR="00486606" w:rsidRDefault="00486606" w:rsidP="004C050B">
      <w:pPr>
        <w:pStyle w:val="AERbodytext"/>
      </w:pPr>
    </w:p>
    <w:p w:rsidR="00486606" w:rsidRPr="00F66980" w:rsidRDefault="00486606" w:rsidP="00F11D70">
      <w:pPr>
        <w:pStyle w:val="AERbodytext"/>
        <w:rPr>
          <w:rStyle w:val="AERtexthighlight"/>
        </w:rPr>
      </w:pPr>
      <w:r w:rsidRPr="00020884">
        <w:t xml:space="preserve">AER reference:   </w:t>
      </w:r>
      <w:r w:rsidR="00F11D70" w:rsidRPr="00F11D70">
        <w:rPr>
          <w:rStyle w:val="AERbody"/>
        </w:rPr>
        <w:t>D13/164077</w:t>
      </w:r>
    </w:p>
    <w:p w:rsidR="00486606" w:rsidRPr="008F1A4A" w:rsidRDefault="00486606" w:rsidP="004C050B">
      <w:pPr>
        <w:pStyle w:val="AERbodytextnospace"/>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4264"/>
        <w:gridCol w:w="4264"/>
      </w:tblGrid>
      <w:tr w:rsidR="00486606" w:rsidTr="00486606">
        <w:trPr>
          <w:cnfStyle w:val="100000000000" w:firstRow="1" w:lastRow="0" w:firstColumn="0" w:lastColumn="0" w:oddVBand="0" w:evenVBand="0" w:oddHBand="0" w:evenHBand="0" w:firstRowFirstColumn="0" w:firstRowLastColumn="0" w:lastRowFirstColumn="0" w:lastRowLastColumn="0"/>
        </w:trPr>
        <w:tc>
          <w:tcPr>
            <w:tcW w:w="2500" w:type="pct"/>
          </w:tcPr>
          <w:p w:rsidR="00486606" w:rsidRPr="00486606" w:rsidRDefault="00486606" w:rsidP="00486606">
            <w:pPr>
              <w:pStyle w:val="AERtabletextleft"/>
            </w:pPr>
            <w:r w:rsidRPr="008F1A4A">
              <w:t>Version</w:t>
            </w:r>
          </w:p>
        </w:tc>
        <w:tc>
          <w:tcPr>
            <w:tcW w:w="2500" w:type="pct"/>
          </w:tcPr>
          <w:p w:rsidR="00486606" w:rsidRPr="00486606" w:rsidRDefault="00486606" w:rsidP="00486606">
            <w:pPr>
              <w:pStyle w:val="AERtabletextleft"/>
            </w:pPr>
            <w:r w:rsidRPr="008F1A4A">
              <w:t>Date</w:t>
            </w:r>
          </w:p>
        </w:tc>
      </w:tr>
      <w:tr w:rsidR="00486606" w:rsidTr="00486606">
        <w:tc>
          <w:tcPr>
            <w:tcW w:w="2500" w:type="pct"/>
          </w:tcPr>
          <w:p w:rsidR="00486606" w:rsidRPr="00486606" w:rsidRDefault="00486606" w:rsidP="00486606">
            <w:pPr>
              <w:pStyle w:val="AERtabletextleft"/>
            </w:pPr>
            <w:r w:rsidRPr="001B1E7F">
              <w:t>01</w:t>
            </w:r>
          </w:p>
        </w:tc>
        <w:tc>
          <w:tcPr>
            <w:tcW w:w="2500" w:type="pct"/>
          </w:tcPr>
          <w:p w:rsidR="00486606" w:rsidRPr="00F11D70" w:rsidRDefault="00F11D70" w:rsidP="00486606">
            <w:pPr>
              <w:pStyle w:val="AERtabletextleft"/>
              <w:rPr>
                <w:rStyle w:val="AERbody"/>
              </w:rPr>
            </w:pPr>
            <w:r w:rsidRPr="00F11D70">
              <w:rPr>
                <w:rStyle w:val="AERbody"/>
              </w:rPr>
              <w:t>November 2013</w:t>
            </w:r>
          </w:p>
        </w:tc>
      </w:tr>
    </w:tbl>
    <w:p w:rsidR="00486606" w:rsidRPr="003324F7" w:rsidRDefault="00486606" w:rsidP="004C050B">
      <w:pPr>
        <w:pStyle w:val="AERbodytext"/>
      </w:pPr>
    </w:p>
    <w:p w:rsidR="005F6082" w:rsidRPr="003324F7" w:rsidRDefault="005F6082" w:rsidP="004C050B">
      <w:pPr>
        <w:pStyle w:val="AERbodytext"/>
      </w:pPr>
    </w:p>
    <w:p w:rsidR="00E55422" w:rsidRDefault="00E55422" w:rsidP="005F6082">
      <w:pPr>
        <w:pStyle w:val="AERbodytext"/>
        <w:numPr>
          <w:ilvl w:val="0"/>
          <w:numId w:val="0"/>
        </w:numPr>
        <w:sectPr w:rsidR="00E55422" w:rsidSect="00E55422">
          <w:footerReference w:type="default" r:id="rId11"/>
          <w:pgSz w:w="11906" w:h="16838" w:code="9"/>
          <w:pgMar w:top="1440" w:right="1797" w:bottom="1440" w:left="1797" w:header="709" w:footer="709" w:gutter="0"/>
          <w:cols w:space="708"/>
          <w:docGrid w:linePitch="360"/>
        </w:sectPr>
      </w:pPr>
    </w:p>
    <w:p w:rsidR="00AF3E95" w:rsidRDefault="00AF3E95" w:rsidP="004C050B">
      <w:pPr>
        <w:pStyle w:val="UnnumberedHeading"/>
        <w:numPr>
          <w:ilvl w:val="0"/>
          <w:numId w:val="1"/>
        </w:numPr>
      </w:pPr>
      <w:bookmarkStart w:id="1" w:name="_Toc360023682"/>
      <w:bookmarkStart w:id="2" w:name="_Toc360024843"/>
      <w:bookmarkStart w:id="3" w:name="_Toc373393811"/>
      <w:r>
        <w:lastRenderedPageBreak/>
        <w:t>Contents</w:t>
      </w:r>
      <w:bookmarkEnd w:id="1"/>
      <w:bookmarkEnd w:id="2"/>
      <w:bookmarkEnd w:id="3"/>
    </w:p>
    <w:p w:rsidR="00D5540A"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73393811" w:history="1">
        <w:r w:rsidR="00D5540A" w:rsidRPr="004B4533">
          <w:rPr>
            <w:rStyle w:val="Hyperlink"/>
            <w:noProof/>
          </w:rPr>
          <w:t>Contents</w:t>
        </w:r>
        <w:r w:rsidR="00D5540A">
          <w:rPr>
            <w:noProof/>
            <w:webHidden/>
          </w:rPr>
          <w:tab/>
        </w:r>
        <w:r w:rsidR="00D5540A">
          <w:rPr>
            <w:noProof/>
            <w:webHidden/>
          </w:rPr>
          <w:fldChar w:fldCharType="begin"/>
        </w:r>
        <w:r w:rsidR="00D5540A">
          <w:rPr>
            <w:noProof/>
            <w:webHidden/>
          </w:rPr>
          <w:instrText xml:space="preserve"> PAGEREF _Toc373393811 \h </w:instrText>
        </w:r>
        <w:r w:rsidR="00D5540A">
          <w:rPr>
            <w:noProof/>
            <w:webHidden/>
          </w:rPr>
        </w:r>
        <w:r w:rsidR="00D5540A">
          <w:rPr>
            <w:noProof/>
            <w:webHidden/>
          </w:rPr>
          <w:fldChar w:fldCharType="separate"/>
        </w:r>
        <w:r w:rsidR="00D5540A">
          <w:rPr>
            <w:noProof/>
            <w:webHidden/>
          </w:rPr>
          <w:t>3</w:t>
        </w:r>
        <w:r w:rsidR="00D5540A">
          <w:rPr>
            <w:noProof/>
            <w:webHidden/>
          </w:rPr>
          <w:fldChar w:fldCharType="end"/>
        </w:r>
      </w:hyperlink>
    </w:p>
    <w:p w:rsidR="00D5540A" w:rsidRDefault="007B349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3812" w:history="1">
        <w:r w:rsidR="00D5540A" w:rsidRPr="004B4533">
          <w:rPr>
            <w:rStyle w:val="Hyperlink"/>
            <w:noProof/>
          </w:rPr>
          <w:t>1</w:t>
        </w:r>
        <w:r w:rsidR="00D5540A">
          <w:rPr>
            <w:rFonts w:asciiTheme="minorHAnsi" w:eastAsiaTheme="minorEastAsia" w:hAnsiTheme="minorHAnsi" w:cstheme="minorBidi"/>
            <w:b w:val="0"/>
            <w:bCs w:val="0"/>
            <w:noProof/>
            <w:sz w:val="22"/>
            <w:szCs w:val="22"/>
            <w:lang w:eastAsia="en-AU"/>
          </w:rPr>
          <w:tab/>
        </w:r>
        <w:r w:rsidR="00D5540A" w:rsidRPr="004B4533">
          <w:rPr>
            <w:rStyle w:val="Hyperlink"/>
            <w:noProof/>
          </w:rPr>
          <w:t>Overview of the guideline</w:t>
        </w:r>
        <w:r w:rsidR="00D5540A">
          <w:rPr>
            <w:noProof/>
            <w:webHidden/>
          </w:rPr>
          <w:tab/>
        </w:r>
        <w:r w:rsidR="00D5540A">
          <w:rPr>
            <w:noProof/>
            <w:webHidden/>
          </w:rPr>
          <w:fldChar w:fldCharType="begin"/>
        </w:r>
        <w:r w:rsidR="00D5540A">
          <w:rPr>
            <w:noProof/>
            <w:webHidden/>
          </w:rPr>
          <w:instrText xml:space="preserve"> PAGEREF _Toc373393812 \h </w:instrText>
        </w:r>
        <w:r w:rsidR="00D5540A">
          <w:rPr>
            <w:noProof/>
            <w:webHidden/>
          </w:rPr>
        </w:r>
        <w:r w:rsidR="00D5540A">
          <w:rPr>
            <w:noProof/>
            <w:webHidden/>
          </w:rPr>
          <w:fldChar w:fldCharType="separate"/>
        </w:r>
        <w:r w:rsidR="00D5540A">
          <w:rPr>
            <w:noProof/>
            <w:webHidden/>
          </w:rPr>
          <w:t>4</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13" w:history="1">
        <w:r w:rsidR="00D5540A" w:rsidRPr="004B4533">
          <w:rPr>
            <w:rStyle w:val="Hyperlink"/>
            <w:noProof/>
          </w:rPr>
          <w:t>1.1</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Introduction</w:t>
        </w:r>
        <w:r w:rsidR="00D5540A">
          <w:rPr>
            <w:noProof/>
            <w:webHidden/>
          </w:rPr>
          <w:tab/>
        </w:r>
        <w:r w:rsidR="00D5540A">
          <w:rPr>
            <w:noProof/>
            <w:webHidden/>
          </w:rPr>
          <w:fldChar w:fldCharType="begin"/>
        </w:r>
        <w:r w:rsidR="00D5540A">
          <w:rPr>
            <w:noProof/>
            <w:webHidden/>
          </w:rPr>
          <w:instrText xml:space="preserve"> PAGEREF _Toc373393813 \h </w:instrText>
        </w:r>
        <w:r w:rsidR="00D5540A">
          <w:rPr>
            <w:noProof/>
            <w:webHidden/>
          </w:rPr>
        </w:r>
        <w:r w:rsidR="00D5540A">
          <w:rPr>
            <w:noProof/>
            <w:webHidden/>
          </w:rPr>
          <w:fldChar w:fldCharType="separate"/>
        </w:r>
        <w:r w:rsidR="00D5540A">
          <w:rPr>
            <w:noProof/>
            <w:webHidden/>
          </w:rPr>
          <w:t>4</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14" w:history="1">
        <w:r w:rsidR="00D5540A" w:rsidRPr="004B4533">
          <w:rPr>
            <w:rStyle w:val="Hyperlink"/>
            <w:noProof/>
          </w:rPr>
          <w:t>1.2</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Key issues this guideline addresses</w:t>
        </w:r>
        <w:r w:rsidR="00D5540A">
          <w:rPr>
            <w:noProof/>
            <w:webHidden/>
          </w:rPr>
          <w:tab/>
        </w:r>
        <w:r w:rsidR="00D5540A">
          <w:rPr>
            <w:noProof/>
            <w:webHidden/>
          </w:rPr>
          <w:fldChar w:fldCharType="begin"/>
        </w:r>
        <w:r w:rsidR="00D5540A">
          <w:rPr>
            <w:noProof/>
            <w:webHidden/>
          </w:rPr>
          <w:instrText xml:space="preserve"> PAGEREF _Toc373393814 \h </w:instrText>
        </w:r>
        <w:r w:rsidR="00D5540A">
          <w:rPr>
            <w:noProof/>
            <w:webHidden/>
          </w:rPr>
        </w:r>
        <w:r w:rsidR="00D5540A">
          <w:rPr>
            <w:noProof/>
            <w:webHidden/>
          </w:rPr>
          <w:fldChar w:fldCharType="separate"/>
        </w:r>
        <w:r w:rsidR="00D5540A">
          <w:rPr>
            <w:noProof/>
            <w:webHidden/>
          </w:rPr>
          <w:t>5</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15" w:history="1">
        <w:r w:rsidR="00D5540A" w:rsidRPr="004B4533">
          <w:rPr>
            <w:rStyle w:val="Hyperlink"/>
            <w:noProof/>
          </w:rPr>
          <w:t>1.3</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Shared assets and cost allocation</w:t>
        </w:r>
        <w:r w:rsidR="00D5540A">
          <w:rPr>
            <w:noProof/>
            <w:webHidden/>
          </w:rPr>
          <w:tab/>
        </w:r>
        <w:r w:rsidR="00D5540A">
          <w:rPr>
            <w:noProof/>
            <w:webHidden/>
          </w:rPr>
          <w:fldChar w:fldCharType="begin"/>
        </w:r>
        <w:r w:rsidR="00D5540A">
          <w:rPr>
            <w:noProof/>
            <w:webHidden/>
          </w:rPr>
          <w:instrText xml:space="preserve"> PAGEREF _Toc373393815 \h </w:instrText>
        </w:r>
        <w:r w:rsidR="00D5540A">
          <w:rPr>
            <w:noProof/>
            <w:webHidden/>
          </w:rPr>
        </w:r>
        <w:r w:rsidR="00D5540A">
          <w:rPr>
            <w:noProof/>
            <w:webHidden/>
          </w:rPr>
          <w:fldChar w:fldCharType="separate"/>
        </w:r>
        <w:r w:rsidR="00D5540A">
          <w:rPr>
            <w:noProof/>
            <w:webHidden/>
          </w:rPr>
          <w:t>5</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16" w:history="1">
        <w:r w:rsidR="00D5540A" w:rsidRPr="004B4533">
          <w:rPr>
            <w:rStyle w:val="Hyperlink"/>
            <w:noProof/>
          </w:rPr>
          <w:t>1.4</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Structure of this guideline</w:t>
        </w:r>
        <w:r w:rsidR="00D5540A">
          <w:rPr>
            <w:noProof/>
            <w:webHidden/>
          </w:rPr>
          <w:tab/>
        </w:r>
        <w:r w:rsidR="00D5540A">
          <w:rPr>
            <w:noProof/>
            <w:webHidden/>
          </w:rPr>
          <w:fldChar w:fldCharType="begin"/>
        </w:r>
        <w:r w:rsidR="00D5540A">
          <w:rPr>
            <w:noProof/>
            <w:webHidden/>
          </w:rPr>
          <w:instrText xml:space="preserve"> PAGEREF _Toc373393816 \h </w:instrText>
        </w:r>
        <w:r w:rsidR="00D5540A">
          <w:rPr>
            <w:noProof/>
            <w:webHidden/>
          </w:rPr>
        </w:r>
        <w:r w:rsidR="00D5540A">
          <w:rPr>
            <w:noProof/>
            <w:webHidden/>
          </w:rPr>
          <w:fldChar w:fldCharType="separate"/>
        </w:r>
        <w:r w:rsidR="00D5540A">
          <w:rPr>
            <w:noProof/>
            <w:webHidden/>
          </w:rPr>
          <w:t>5</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17" w:history="1">
        <w:r w:rsidR="00D5540A" w:rsidRPr="004B4533">
          <w:rPr>
            <w:rStyle w:val="Hyperlink"/>
            <w:noProof/>
          </w:rPr>
          <w:t>1.5</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Summary of our proposed cost reduction approach</w:t>
        </w:r>
        <w:r w:rsidR="00D5540A">
          <w:rPr>
            <w:noProof/>
            <w:webHidden/>
          </w:rPr>
          <w:tab/>
        </w:r>
        <w:r w:rsidR="00D5540A">
          <w:rPr>
            <w:noProof/>
            <w:webHidden/>
          </w:rPr>
          <w:fldChar w:fldCharType="begin"/>
        </w:r>
        <w:r w:rsidR="00D5540A">
          <w:rPr>
            <w:noProof/>
            <w:webHidden/>
          </w:rPr>
          <w:instrText xml:space="preserve"> PAGEREF _Toc373393817 \h </w:instrText>
        </w:r>
        <w:r w:rsidR="00D5540A">
          <w:rPr>
            <w:noProof/>
            <w:webHidden/>
          </w:rPr>
        </w:r>
        <w:r w:rsidR="00D5540A">
          <w:rPr>
            <w:noProof/>
            <w:webHidden/>
          </w:rPr>
          <w:fldChar w:fldCharType="separate"/>
        </w:r>
        <w:r w:rsidR="00D5540A">
          <w:rPr>
            <w:noProof/>
            <w:webHidden/>
          </w:rPr>
          <w:t>6</w:t>
        </w:r>
        <w:r w:rsidR="00D5540A">
          <w:rPr>
            <w:noProof/>
            <w:webHidden/>
          </w:rPr>
          <w:fldChar w:fldCharType="end"/>
        </w:r>
      </w:hyperlink>
    </w:p>
    <w:p w:rsidR="00D5540A" w:rsidRDefault="007B349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3818" w:history="1">
        <w:r w:rsidR="00D5540A" w:rsidRPr="004B4533">
          <w:rPr>
            <w:rStyle w:val="Hyperlink"/>
            <w:noProof/>
          </w:rPr>
          <w:t>2</w:t>
        </w:r>
        <w:r w:rsidR="00D5540A">
          <w:rPr>
            <w:rFonts w:asciiTheme="minorHAnsi" w:eastAsiaTheme="minorEastAsia" w:hAnsiTheme="minorHAnsi" w:cstheme="minorBidi"/>
            <w:b w:val="0"/>
            <w:bCs w:val="0"/>
            <w:noProof/>
            <w:sz w:val="22"/>
            <w:szCs w:val="22"/>
            <w:lang w:eastAsia="en-AU"/>
          </w:rPr>
          <w:tab/>
        </w:r>
        <w:r w:rsidR="00D5540A" w:rsidRPr="004B4533">
          <w:rPr>
            <w:rStyle w:val="Hyperlink"/>
            <w:noProof/>
          </w:rPr>
          <w:t>Our approach</w:t>
        </w:r>
        <w:r w:rsidR="00D5540A">
          <w:rPr>
            <w:noProof/>
            <w:webHidden/>
          </w:rPr>
          <w:tab/>
        </w:r>
        <w:r w:rsidR="00D5540A">
          <w:rPr>
            <w:noProof/>
            <w:webHidden/>
          </w:rPr>
          <w:fldChar w:fldCharType="begin"/>
        </w:r>
        <w:r w:rsidR="00D5540A">
          <w:rPr>
            <w:noProof/>
            <w:webHidden/>
          </w:rPr>
          <w:instrText xml:space="preserve"> PAGEREF _Toc373393818 \h </w:instrText>
        </w:r>
        <w:r w:rsidR="00D5540A">
          <w:rPr>
            <w:noProof/>
            <w:webHidden/>
          </w:rPr>
        </w:r>
        <w:r w:rsidR="00D5540A">
          <w:rPr>
            <w:noProof/>
            <w:webHidden/>
          </w:rPr>
          <w:fldChar w:fldCharType="separate"/>
        </w:r>
        <w:r w:rsidR="00D5540A">
          <w:rPr>
            <w:noProof/>
            <w:webHidden/>
          </w:rPr>
          <w:t>8</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19" w:history="1">
        <w:r w:rsidR="00D5540A" w:rsidRPr="004B4533">
          <w:rPr>
            <w:rStyle w:val="Hyperlink"/>
            <w:noProof/>
          </w:rPr>
          <w:t>2.1</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Cost reductions will be forward looking</w:t>
        </w:r>
        <w:r w:rsidR="00D5540A">
          <w:rPr>
            <w:noProof/>
            <w:webHidden/>
          </w:rPr>
          <w:tab/>
        </w:r>
        <w:r w:rsidR="00D5540A">
          <w:rPr>
            <w:noProof/>
            <w:webHidden/>
          </w:rPr>
          <w:fldChar w:fldCharType="begin"/>
        </w:r>
        <w:r w:rsidR="00D5540A">
          <w:rPr>
            <w:noProof/>
            <w:webHidden/>
          </w:rPr>
          <w:instrText xml:space="preserve"> PAGEREF _Toc373393819 \h </w:instrText>
        </w:r>
        <w:r w:rsidR="00D5540A">
          <w:rPr>
            <w:noProof/>
            <w:webHidden/>
          </w:rPr>
        </w:r>
        <w:r w:rsidR="00D5540A">
          <w:rPr>
            <w:noProof/>
            <w:webHidden/>
          </w:rPr>
          <w:fldChar w:fldCharType="separate"/>
        </w:r>
        <w:r w:rsidR="00D5540A">
          <w:rPr>
            <w:noProof/>
            <w:webHidden/>
          </w:rPr>
          <w:t>8</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0" w:history="1">
        <w:r w:rsidR="00D5540A" w:rsidRPr="004B4533">
          <w:rPr>
            <w:rStyle w:val="Hyperlink"/>
            <w:noProof/>
          </w:rPr>
          <w:t>2.2</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Cost allocation and shared assets</w:t>
        </w:r>
        <w:r w:rsidR="00D5540A">
          <w:rPr>
            <w:noProof/>
            <w:webHidden/>
          </w:rPr>
          <w:tab/>
        </w:r>
        <w:r w:rsidR="00D5540A">
          <w:rPr>
            <w:noProof/>
            <w:webHidden/>
          </w:rPr>
          <w:fldChar w:fldCharType="begin"/>
        </w:r>
        <w:r w:rsidR="00D5540A">
          <w:rPr>
            <w:noProof/>
            <w:webHidden/>
          </w:rPr>
          <w:instrText xml:space="preserve"> PAGEREF _Toc373393820 \h </w:instrText>
        </w:r>
        <w:r w:rsidR="00D5540A">
          <w:rPr>
            <w:noProof/>
            <w:webHidden/>
          </w:rPr>
        </w:r>
        <w:r w:rsidR="00D5540A">
          <w:rPr>
            <w:noProof/>
            <w:webHidden/>
          </w:rPr>
          <w:fldChar w:fldCharType="separate"/>
        </w:r>
        <w:r w:rsidR="00D5540A">
          <w:rPr>
            <w:noProof/>
            <w:webHidden/>
          </w:rPr>
          <w:t>8</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1" w:history="1">
        <w:r w:rsidR="00D5540A" w:rsidRPr="004B4533">
          <w:rPr>
            <w:rStyle w:val="Hyperlink"/>
            <w:noProof/>
          </w:rPr>
          <w:t>2.3</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Materiality</w:t>
        </w:r>
        <w:r w:rsidR="00D5540A">
          <w:rPr>
            <w:noProof/>
            <w:webHidden/>
          </w:rPr>
          <w:tab/>
        </w:r>
        <w:r w:rsidR="00D5540A">
          <w:rPr>
            <w:noProof/>
            <w:webHidden/>
          </w:rPr>
          <w:fldChar w:fldCharType="begin"/>
        </w:r>
        <w:r w:rsidR="00D5540A">
          <w:rPr>
            <w:noProof/>
            <w:webHidden/>
          </w:rPr>
          <w:instrText xml:space="preserve"> PAGEREF _Toc373393821 \h </w:instrText>
        </w:r>
        <w:r w:rsidR="00D5540A">
          <w:rPr>
            <w:noProof/>
            <w:webHidden/>
          </w:rPr>
        </w:r>
        <w:r w:rsidR="00D5540A">
          <w:rPr>
            <w:noProof/>
            <w:webHidden/>
          </w:rPr>
          <w:fldChar w:fldCharType="separate"/>
        </w:r>
        <w:r w:rsidR="00D5540A">
          <w:rPr>
            <w:noProof/>
            <w:webHidden/>
          </w:rPr>
          <w:t>8</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2" w:history="1">
        <w:r w:rsidR="00D5540A" w:rsidRPr="004B4533">
          <w:rPr>
            <w:rStyle w:val="Hyperlink"/>
            <w:noProof/>
          </w:rPr>
          <w:t>2.4</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Service providers may propose cost reductions</w:t>
        </w:r>
        <w:r w:rsidR="00D5540A">
          <w:rPr>
            <w:noProof/>
            <w:webHidden/>
          </w:rPr>
          <w:tab/>
        </w:r>
        <w:r w:rsidR="00D5540A">
          <w:rPr>
            <w:noProof/>
            <w:webHidden/>
          </w:rPr>
          <w:fldChar w:fldCharType="begin"/>
        </w:r>
        <w:r w:rsidR="00D5540A">
          <w:rPr>
            <w:noProof/>
            <w:webHidden/>
          </w:rPr>
          <w:instrText xml:space="preserve"> PAGEREF _Toc373393822 \h </w:instrText>
        </w:r>
        <w:r w:rsidR="00D5540A">
          <w:rPr>
            <w:noProof/>
            <w:webHidden/>
          </w:rPr>
        </w:r>
        <w:r w:rsidR="00D5540A">
          <w:rPr>
            <w:noProof/>
            <w:webHidden/>
          </w:rPr>
          <w:fldChar w:fldCharType="separate"/>
        </w:r>
        <w:r w:rsidR="00D5540A">
          <w:rPr>
            <w:noProof/>
            <w:webHidden/>
          </w:rPr>
          <w:t>9</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3" w:history="1">
        <w:r w:rsidR="00D5540A" w:rsidRPr="004B4533">
          <w:rPr>
            <w:rStyle w:val="Hyperlink"/>
            <w:noProof/>
          </w:rPr>
          <w:t>2.5</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Shared asset cost reductions apply to regulated revenues</w:t>
        </w:r>
        <w:r w:rsidR="00D5540A">
          <w:rPr>
            <w:noProof/>
            <w:webHidden/>
          </w:rPr>
          <w:tab/>
        </w:r>
        <w:r w:rsidR="00D5540A">
          <w:rPr>
            <w:noProof/>
            <w:webHidden/>
          </w:rPr>
          <w:fldChar w:fldCharType="begin"/>
        </w:r>
        <w:r w:rsidR="00D5540A">
          <w:rPr>
            <w:noProof/>
            <w:webHidden/>
          </w:rPr>
          <w:instrText xml:space="preserve"> PAGEREF _Toc373393823 \h </w:instrText>
        </w:r>
        <w:r w:rsidR="00D5540A">
          <w:rPr>
            <w:noProof/>
            <w:webHidden/>
          </w:rPr>
        </w:r>
        <w:r w:rsidR="00D5540A">
          <w:rPr>
            <w:noProof/>
            <w:webHidden/>
          </w:rPr>
          <w:fldChar w:fldCharType="separate"/>
        </w:r>
        <w:r w:rsidR="00D5540A">
          <w:rPr>
            <w:noProof/>
            <w:webHidden/>
          </w:rPr>
          <w:t>9</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4" w:history="1">
        <w:r w:rsidR="00D5540A" w:rsidRPr="004B4533">
          <w:rPr>
            <w:rStyle w:val="Hyperlink"/>
            <w:noProof/>
          </w:rPr>
          <w:t>2.6</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Apportioning unregulated revenues earned from shared assets</w:t>
        </w:r>
        <w:r w:rsidR="00D5540A">
          <w:rPr>
            <w:noProof/>
            <w:webHidden/>
          </w:rPr>
          <w:tab/>
        </w:r>
        <w:r w:rsidR="00D5540A">
          <w:rPr>
            <w:noProof/>
            <w:webHidden/>
          </w:rPr>
          <w:fldChar w:fldCharType="begin"/>
        </w:r>
        <w:r w:rsidR="00D5540A">
          <w:rPr>
            <w:noProof/>
            <w:webHidden/>
          </w:rPr>
          <w:instrText xml:space="preserve"> PAGEREF _Toc373393824 \h </w:instrText>
        </w:r>
        <w:r w:rsidR="00D5540A">
          <w:rPr>
            <w:noProof/>
            <w:webHidden/>
          </w:rPr>
        </w:r>
        <w:r w:rsidR="00D5540A">
          <w:rPr>
            <w:noProof/>
            <w:webHidden/>
          </w:rPr>
          <w:fldChar w:fldCharType="separate"/>
        </w:r>
        <w:r w:rsidR="00D5540A">
          <w:rPr>
            <w:noProof/>
            <w:webHidden/>
          </w:rPr>
          <w:t>9</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5" w:history="1">
        <w:r w:rsidR="00D5540A" w:rsidRPr="004B4533">
          <w:rPr>
            <w:rStyle w:val="Hyperlink"/>
            <w:noProof/>
          </w:rPr>
          <w:t>2.7</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Making cost reductions</w:t>
        </w:r>
        <w:r w:rsidR="00D5540A">
          <w:rPr>
            <w:noProof/>
            <w:webHidden/>
          </w:rPr>
          <w:tab/>
        </w:r>
        <w:r w:rsidR="00D5540A">
          <w:rPr>
            <w:noProof/>
            <w:webHidden/>
          </w:rPr>
          <w:fldChar w:fldCharType="begin"/>
        </w:r>
        <w:r w:rsidR="00D5540A">
          <w:rPr>
            <w:noProof/>
            <w:webHidden/>
          </w:rPr>
          <w:instrText xml:space="preserve"> PAGEREF _Toc373393825 \h </w:instrText>
        </w:r>
        <w:r w:rsidR="00D5540A">
          <w:rPr>
            <w:noProof/>
            <w:webHidden/>
          </w:rPr>
        </w:r>
        <w:r w:rsidR="00D5540A">
          <w:rPr>
            <w:noProof/>
            <w:webHidden/>
          </w:rPr>
          <w:fldChar w:fldCharType="separate"/>
        </w:r>
        <w:r w:rsidR="00D5540A">
          <w:rPr>
            <w:noProof/>
            <w:webHidden/>
          </w:rPr>
          <w:t>10</w:t>
        </w:r>
        <w:r w:rsidR="00D5540A">
          <w:rPr>
            <w:noProof/>
            <w:webHidden/>
          </w:rPr>
          <w:fldChar w:fldCharType="end"/>
        </w:r>
      </w:hyperlink>
    </w:p>
    <w:p w:rsidR="00D5540A" w:rsidRDefault="007B349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3826" w:history="1">
        <w:r w:rsidR="00D5540A" w:rsidRPr="004B4533">
          <w:rPr>
            <w:rStyle w:val="Hyperlink"/>
            <w:noProof/>
          </w:rPr>
          <w:t>3</w:t>
        </w:r>
        <w:r w:rsidR="00D5540A">
          <w:rPr>
            <w:rFonts w:asciiTheme="minorHAnsi" w:eastAsiaTheme="minorEastAsia" w:hAnsiTheme="minorHAnsi" w:cstheme="minorBidi"/>
            <w:b w:val="0"/>
            <w:bCs w:val="0"/>
            <w:noProof/>
            <w:sz w:val="22"/>
            <w:szCs w:val="22"/>
            <w:lang w:eastAsia="en-AU"/>
          </w:rPr>
          <w:tab/>
        </w:r>
        <w:r w:rsidR="00D5540A" w:rsidRPr="004B4533">
          <w:rPr>
            <w:rStyle w:val="Hyperlink"/>
            <w:noProof/>
          </w:rPr>
          <w:t>Shared asset cost reduction method</w:t>
        </w:r>
        <w:r w:rsidR="00D5540A">
          <w:rPr>
            <w:noProof/>
            <w:webHidden/>
          </w:rPr>
          <w:tab/>
        </w:r>
        <w:r w:rsidR="00D5540A">
          <w:rPr>
            <w:noProof/>
            <w:webHidden/>
          </w:rPr>
          <w:fldChar w:fldCharType="begin"/>
        </w:r>
        <w:r w:rsidR="00D5540A">
          <w:rPr>
            <w:noProof/>
            <w:webHidden/>
          </w:rPr>
          <w:instrText xml:space="preserve"> PAGEREF _Toc373393826 \h </w:instrText>
        </w:r>
        <w:r w:rsidR="00D5540A">
          <w:rPr>
            <w:noProof/>
            <w:webHidden/>
          </w:rPr>
        </w:r>
        <w:r w:rsidR="00D5540A">
          <w:rPr>
            <w:noProof/>
            <w:webHidden/>
          </w:rPr>
          <w:fldChar w:fldCharType="separate"/>
        </w:r>
        <w:r w:rsidR="00D5540A">
          <w:rPr>
            <w:noProof/>
            <w:webHidden/>
          </w:rPr>
          <w:t>11</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7" w:history="1">
        <w:r w:rsidR="00D5540A" w:rsidRPr="004B4533">
          <w:rPr>
            <w:rStyle w:val="Hyperlink"/>
            <w:noProof/>
          </w:rPr>
          <w:t>3.1</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Cost reduction method</w:t>
        </w:r>
        <w:r w:rsidR="00D5540A">
          <w:rPr>
            <w:noProof/>
            <w:webHidden/>
          </w:rPr>
          <w:tab/>
        </w:r>
        <w:r w:rsidR="00D5540A">
          <w:rPr>
            <w:noProof/>
            <w:webHidden/>
          </w:rPr>
          <w:fldChar w:fldCharType="begin"/>
        </w:r>
        <w:r w:rsidR="00D5540A">
          <w:rPr>
            <w:noProof/>
            <w:webHidden/>
          </w:rPr>
          <w:instrText xml:space="preserve"> PAGEREF _Toc373393827 \h </w:instrText>
        </w:r>
        <w:r w:rsidR="00D5540A">
          <w:rPr>
            <w:noProof/>
            <w:webHidden/>
          </w:rPr>
        </w:r>
        <w:r w:rsidR="00D5540A">
          <w:rPr>
            <w:noProof/>
            <w:webHidden/>
          </w:rPr>
          <w:fldChar w:fldCharType="separate"/>
        </w:r>
        <w:r w:rsidR="00D5540A">
          <w:rPr>
            <w:noProof/>
            <w:webHidden/>
          </w:rPr>
          <w:t>11</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8" w:history="1">
        <w:r w:rsidR="00D5540A" w:rsidRPr="004B4533">
          <w:rPr>
            <w:rStyle w:val="Hyperlink"/>
            <w:noProof/>
          </w:rPr>
          <w:t>3.2</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Control</w:t>
        </w:r>
        <w:r w:rsidR="00D5540A">
          <w:rPr>
            <w:noProof/>
            <w:webHidden/>
          </w:rPr>
          <w:tab/>
        </w:r>
        <w:r w:rsidR="00D5540A">
          <w:rPr>
            <w:noProof/>
            <w:webHidden/>
          </w:rPr>
          <w:fldChar w:fldCharType="begin"/>
        </w:r>
        <w:r w:rsidR="00D5540A">
          <w:rPr>
            <w:noProof/>
            <w:webHidden/>
          </w:rPr>
          <w:instrText xml:space="preserve"> PAGEREF _Toc373393828 \h </w:instrText>
        </w:r>
        <w:r w:rsidR="00D5540A">
          <w:rPr>
            <w:noProof/>
            <w:webHidden/>
          </w:rPr>
        </w:r>
        <w:r w:rsidR="00D5540A">
          <w:rPr>
            <w:noProof/>
            <w:webHidden/>
          </w:rPr>
          <w:fldChar w:fldCharType="separate"/>
        </w:r>
        <w:r w:rsidR="00D5540A">
          <w:rPr>
            <w:noProof/>
            <w:webHidden/>
          </w:rPr>
          <w:t>11</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29" w:history="1">
        <w:r w:rsidR="00D5540A" w:rsidRPr="004B4533">
          <w:rPr>
            <w:rStyle w:val="Hyperlink"/>
            <w:noProof/>
          </w:rPr>
          <w:t>3.3</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Applying the control</w:t>
        </w:r>
        <w:r w:rsidR="00D5540A">
          <w:rPr>
            <w:noProof/>
            <w:webHidden/>
          </w:rPr>
          <w:tab/>
        </w:r>
        <w:r w:rsidR="00D5540A">
          <w:rPr>
            <w:noProof/>
            <w:webHidden/>
          </w:rPr>
          <w:fldChar w:fldCharType="begin"/>
        </w:r>
        <w:r w:rsidR="00D5540A">
          <w:rPr>
            <w:noProof/>
            <w:webHidden/>
          </w:rPr>
          <w:instrText xml:space="preserve"> PAGEREF _Toc373393829 \h </w:instrText>
        </w:r>
        <w:r w:rsidR="00D5540A">
          <w:rPr>
            <w:noProof/>
            <w:webHidden/>
          </w:rPr>
        </w:r>
        <w:r w:rsidR="00D5540A">
          <w:rPr>
            <w:noProof/>
            <w:webHidden/>
          </w:rPr>
          <w:fldChar w:fldCharType="separate"/>
        </w:r>
        <w:r w:rsidR="00D5540A">
          <w:rPr>
            <w:noProof/>
            <w:webHidden/>
          </w:rPr>
          <w:t>11</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30" w:history="1">
        <w:r w:rsidR="00D5540A" w:rsidRPr="004B4533">
          <w:rPr>
            <w:rStyle w:val="Hyperlink"/>
            <w:noProof/>
          </w:rPr>
          <w:t>3.4</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Contributed assets</w:t>
        </w:r>
        <w:r w:rsidR="00D5540A">
          <w:rPr>
            <w:noProof/>
            <w:webHidden/>
          </w:rPr>
          <w:tab/>
        </w:r>
        <w:r w:rsidR="00D5540A">
          <w:rPr>
            <w:noProof/>
            <w:webHidden/>
          </w:rPr>
          <w:fldChar w:fldCharType="begin"/>
        </w:r>
        <w:r w:rsidR="00D5540A">
          <w:rPr>
            <w:noProof/>
            <w:webHidden/>
          </w:rPr>
          <w:instrText xml:space="preserve"> PAGEREF _Toc373393830 \h </w:instrText>
        </w:r>
        <w:r w:rsidR="00D5540A">
          <w:rPr>
            <w:noProof/>
            <w:webHidden/>
          </w:rPr>
        </w:r>
        <w:r w:rsidR="00D5540A">
          <w:rPr>
            <w:noProof/>
            <w:webHidden/>
          </w:rPr>
          <w:fldChar w:fldCharType="separate"/>
        </w:r>
        <w:r w:rsidR="00D5540A">
          <w:rPr>
            <w:noProof/>
            <w:webHidden/>
          </w:rPr>
          <w:t>12</w:t>
        </w:r>
        <w:r w:rsidR="00D5540A">
          <w:rPr>
            <w:noProof/>
            <w:webHidden/>
          </w:rPr>
          <w:fldChar w:fldCharType="end"/>
        </w:r>
      </w:hyperlink>
    </w:p>
    <w:p w:rsidR="00D5540A" w:rsidRDefault="007B3499">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3831" w:history="1">
        <w:r w:rsidR="00D5540A" w:rsidRPr="004B4533">
          <w:rPr>
            <w:rStyle w:val="Hyperlink"/>
            <w:noProof/>
          </w:rPr>
          <w:t>4</w:t>
        </w:r>
        <w:r w:rsidR="00D5540A">
          <w:rPr>
            <w:rFonts w:asciiTheme="minorHAnsi" w:eastAsiaTheme="minorEastAsia" w:hAnsiTheme="minorHAnsi" w:cstheme="minorBidi"/>
            <w:b w:val="0"/>
            <w:bCs w:val="0"/>
            <w:noProof/>
            <w:sz w:val="22"/>
            <w:szCs w:val="22"/>
            <w:lang w:eastAsia="en-AU"/>
          </w:rPr>
          <w:tab/>
        </w:r>
        <w:r w:rsidR="00D5540A" w:rsidRPr="004B4533">
          <w:rPr>
            <w:rStyle w:val="Hyperlink"/>
            <w:noProof/>
          </w:rPr>
          <w:t>Information reporting</w:t>
        </w:r>
        <w:r w:rsidR="00D5540A">
          <w:rPr>
            <w:noProof/>
            <w:webHidden/>
          </w:rPr>
          <w:tab/>
        </w:r>
        <w:r w:rsidR="00D5540A">
          <w:rPr>
            <w:noProof/>
            <w:webHidden/>
          </w:rPr>
          <w:fldChar w:fldCharType="begin"/>
        </w:r>
        <w:r w:rsidR="00D5540A">
          <w:rPr>
            <w:noProof/>
            <w:webHidden/>
          </w:rPr>
          <w:instrText xml:space="preserve"> PAGEREF _Toc373393831 \h </w:instrText>
        </w:r>
        <w:r w:rsidR="00D5540A">
          <w:rPr>
            <w:noProof/>
            <w:webHidden/>
          </w:rPr>
        </w:r>
        <w:r w:rsidR="00D5540A">
          <w:rPr>
            <w:noProof/>
            <w:webHidden/>
          </w:rPr>
          <w:fldChar w:fldCharType="separate"/>
        </w:r>
        <w:r w:rsidR="00D5540A">
          <w:rPr>
            <w:noProof/>
            <w:webHidden/>
          </w:rPr>
          <w:t>13</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32" w:history="1">
        <w:r w:rsidR="00D5540A" w:rsidRPr="004B4533">
          <w:rPr>
            <w:rStyle w:val="Hyperlink"/>
            <w:noProof/>
          </w:rPr>
          <w:t>4.1</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Annual reporting</w:t>
        </w:r>
        <w:r w:rsidR="00D5540A">
          <w:rPr>
            <w:noProof/>
            <w:webHidden/>
          </w:rPr>
          <w:tab/>
        </w:r>
        <w:r w:rsidR="00D5540A">
          <w:rPr>
            <w:noProof/>
            <w:webHidden/>
          </w:rPr>
          <w:fldChar w:fldCharType="begin"/>
        </w:r>
        <w:r w:rsidR="00D5540A">
          <w:rPr>
            <w:noProof/>
            <w:webHidden/>
          </w:rPr>
          <w:instrText xml:space="preserve"> PAGEREF _Toc373393832 \h </w:instrText>
        </w:r>
        <w:r w:rsidR="00D5540A">
          <w:rPr>
            <w:noProof/>
            <w:webHidden/>
          </w:rPr>
        </w:r>
        <w:r w:rsidR="00D5540A">
          <w:rPr>
            <w:noProof/>
            <w:webHidden/>
          </w:rPr>
          <w:fldChar w:fldCharType="separate"/>
        </w:r>
        <w:r w:rsidR="00D5540A">
          <w:rPr>
            <w:noProof/>
            <w:webHidden/>
          </w:rPr>
          <w:t>13</w:t>
        </w:r>
        <w:r w:rsidR="00D5540A">
          <w:rPr>
            <w:noProof/>
            <w:webHidden/>
          </w:rPr>
          <w:fldChar w:fldCharType="end"/>
        </w:r>
      </w:hyperlink>
    </w:p>
    <w:p w:rsidR="00D5540A" w:rsidRDefault="007B3499">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3833" w:history="1">
        <w:r w:rsidR="00D5540A" w:rsidRPr="004B4533">
          <w:rPr>
            <w:rStyle w:val="Hyperlink"/>
            <w:noProof/>
          </w:rPr>
          <w:t>4.2</w:t>
        </w:r>
        <w:r w:rsidR="00D5540A">
          <w:rPr>
            <w:rFonts w:asciiTheme="minorHAnsi" w:eastAsiaTheme="minorEastAsia" w:hAnsiTheme="minorHAnsi" w:cstheme="minorBidi"/>
            <w:iCs w:val="0"/>
            <w:noProof/>
            <w:sz w:val="22"/>
            <w:szCs w:val="22"/>
            <w:lang w:eastAsia="en-AU"/>
          </w:rPr>
          <w:tab/>
        </w:r>
        <w:r w:rsidR="00D5540A" w:rsidRPr="004B4533">
          <w:rPr>
            <w:rStyle w:val="Hyperlink"/>
            <w:noProof/>
          </w:rPr>
          <w:t>Regulatory proposal reporting</w:t>
        </w:r>
        <w:r w:rsidR="00D5540A">
          <w:rPr>
            <w:noProof/>
            <w:webHidden/>
          </w:rPr>
          <w:tab/>
        </w:r>
        <w:r w:rsidR="00D5540A">
          <w:rPr>
            <w:noProof/>
            <w:webHidden/>
          </w:rPr>
          <w:fldChar w:fldCharType="begin"/>
        </w:r>
        <w:r w:rsidR="00D5540A">
          <w:rPr>
            <w:noProof/>
            <w:webHidden/>
          </w:rPr>
          <w:instrText xml:space="preserve"> PAGEREF _Toc373393833 \h </w:instrText>
        </w:r>
        <w:r w:rsidR="00D5540A">
          <w:rPr>
            <w:noProof/>
            <w:webHidden/>
          </w:rPr>
        </w:r>
        <w:r w:rsidR="00D5540A">
          <w:rPr>
            <w:noProof/>
            <w:webHidden/>
          </w:rPr>
          <w:fldChar w:fldCharType="separate"/>
        </w:r>
        <w:r w:rsidR="00D5540A">
          <w:rPr>
            <w:noProof/>
            <w:webHidden/>
          </w:rPr>
          <w:t>13</w:t>
        </w:r>
        <w:r w:rsidR="00D5540A">
          <w:rPr>
            <w:noProof/>
            <w:webHidden/>
          </w:rPr>
          <w:fldChar w:fldCharType="end"/>
        </w:r>
      </w:hyperlink>
    </w:p>
    <w:p w:rsidR="00D5540A" w:rsidRDefault="007B3499">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3834" w:history="1">
        <w:r w:rsidR="00D5540A" w:rsidRPr="004B4533">
          <w:rPr>
            <w:rStyle w:val="Hyperlink"/>
            <w:noProof/>
          </w:rPr>
          <w:t>Glossary</w:t>
        </w:r>
        <w:r w:rsidR="00D5540A">
          <w:rPr>
            <w:noProof/>
            <w:webHidden/>
          </w:rPr>
          <w:tab/>
        </w:r>
        <w:r w:rsidR="00D5540A">
          <w:rPr>
            <w:noProof/>
            <w:webHidden/>
          </w:rPr>
          <w:fldChar w:fldCharType="begin"/>
        </w:r>
        <w:r w:rsidR="00D5540A">
          <w:rPr>
            <w:noProof/>
            <w:webHidden/>
          </w:rPr>
          <w:instrText xml:space="preserve"> PAGEREF _Toc373393834 \h </w:instrText>
        </w:r>
        <w:r w:rsidR="00D5540A">
          <w:rPr>
            <w:noProof/>
            <w:webHidden/>
          </w:rPr>
        </w:r>
        <w:r w:rsidR="00D5540A">
          <w:rPr>
            <w:noProof/>
            <w:webHidden/>
          </w:rPr>
          <w:fldChar w:fldCharType="separate"/>
        </w:r>
        <w:r w:rsidR="00D5540A">
          <w:rPr>
            <w:noProof/>
            <w:webHidden/>
          </w:rPr>
          <w:t>14</w:t>
        </w:r>
        <w:r w:rsidR="00D5540A">
          <w:rPr>
            <w:noProof/>
            <w:webHidden/>
          </w:rPr>
          <w:fldChar w:fldCharType="end"/>
        </w:r>
      </w:hyperlink>
    </w:p>
    <w:p w:rsidR="00D5540A" w:rsidRDefault="007B3499">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3835" w:history="1">
        <w:r w:rsidR="00D5540A" w:rsidRPr="004B4533">
          <w:rPr>
            <w:rStyle w:val="Hyperlink"/>
            <w:noProof/>
          </w:rPr>
          <w:t xml:space="preserve">Appendix A: Cost reduction method </w:t>
        </w:r>
        <w:r w:rsidR="00D5540A" w:rsidRPr="004B4533">
          <w:rPr>
            <w:rStyle w:val="Hyperlink"/>
            <w:rFonts w:cs="Gautami"/>
            <w:noProof/>
          </w:rPr>
          <w:t>—</w:t>
        </w:r>
        <w:r w:rsidR="00D5540A" w:rsidRPr="004B4533">
          <w:rPr>
            <w:rStyle w:val="Hyperlink"/>
            <w:noProof/>
          </w:rPr>
          <w:t xml:space="preserve"> worked example</w:t>
        </w:r>
        <w:r w:rsidR="00D5540A">
          <w:rPr>
            <w:noProof/>
            <w:webHidden/>
          </w:rPr>
          <w:tab/>
        </w:r>
        <w:r w:rsidR="00D5540A">
          <w:rPr>
            <w:noProof/>
            <w:webHidden/>
          </w:rPr>
          <w:fldChar w:fldCharType="begin"/>
        </w:r>
        <w:r w:rsidR="00D5540A">
          <w:rPr>
            <w:noProof/>
            <w:webHidden/>
          </w:rPr>
          <w:instrText xml:space="preserve"> PAGEREF _Toc373393835 \h </w:instrText>
        </w:r>
        <w:r w:rsidR="00D5540A">
          <w:rPr>
            <w:noProof/>
            <w:webHidden/>
          </w:rPr>
        </w:r>
        <w:r w:rsidR="00D5540A">
          <w:rPr>
            <w:noProof/>
            <w:webHidden/>
          </w:rPr>
          <w:fldChar w:fldCharType="separate"/>
        </w:r>
        <w:r w:rsidR="00D5540A">
          <w:rPr>
            <w:noProof/>
            <w:webHidden/>
          </w:rPr>
          <w:t>15</w:t>
        </w:r>
        <w:r w:rsidR="00D5540A">
          <w:rPr>
            <w:noProof/>
            <w:webHidden/>
          </w:rPr>
          <w:fldChar w:fldCharType="end"/>
        </w:r>
      </w:hyperlink>
    </w:p>
    <w:p w:rsidR="00486606" w:rsidRPr="00486606" w:rsidRDefault="00824CC8" w:rsidP="00486606">
      <w:pPr>
        <w:pStyle w:val="Heading1"/>
        <w:rPr>
          <w:rStyle w:val="AERtexthighlight"/>
          <w:shd w:val="clear" w:color="auto" w:fill="auto"/>
        </w:rPr>
      </w:pPr>
      <w:r w:rsidRPr="00AC1B94">
        <w:lastRenderedPageBreak/>
        <w:fldChar w:fldCharType="end"/>
      </w:r>
      <w:bookmarkStart w:id="4" w:name="_Toc356398578"/>
      <w:bookmarkStart w:id="5" w:name="_Toc373393812"/>
      <w:r w:rsidR="00486606" w:rsidRPr="00486606">
        <w:t xml:space="preserve">Overview of </w:t>
      </w:r>
      <w:r w:rsidR="00486606">
        <w:t xml:space="preserve">the </w:t>
      </w:r>
      <w:bookmarkEnd w:id="4"/>
      <w:r w:rsidR="00486606" w:rsidRPr="00486606">
        <w:rPr>
          <w:rStyle w:val="AERtexthighlight"/>
          <w:shd w:val="clear" w:color="auto" w:fill="auto"/>
        </w:rPr>
        <w:t>guideline</w:t>
      </w:r>
      <w:bookmarkEnd w:id="5"/>
    </w:p>
    <w:p w:rsidR="00B4552F" w:rsidRPr="00B4552F" w:rsidRDefault="00B4552F" w:rsidP="00960FE1">
      <w:pPr>
        <w:pStyle w:val="Heading2"/>
      </w:pPr>
      <w:bookmarkStart w:id="6" w:name="_Toc373393813"/>
      <w:r>
        <w:t>Introduction</w:t>
      </w:r>
      <w:bookmarkEnd w:id="6"/>
    </w:p>
    <w:p w:rsidR="003749ED" w:rsidRPr="003749ED" w:rsidRDefault="003749ED" w:rsidP="003749ED">
      <w:pPr>
        <w:pStyle w:val="AERbodytext"/>
      </w:pPr>
      <w:r>
        <w:t>Service providers may use assets to provide both electricity supply services we regulate and other services we do not regulate. These assets are called 'shared assets'</w:t>
      </w:r>
      <w:r w:rsidRPr="003749ED">
        <w:t>.</w:t>
      </w:r>
      <w:r w:rsidRPr="003749ED">
        <w:rPr>
          <w:rStyle w:val="FootnoteReference"/>
        </w:rPr>
        <w:footnoteReference w:id="1"/>
      </w:r>
      <w:r w:rsidRPr="003749ED">
        <w:t xml:space="preserve"> An example is a power pole, paid for by electricity consumers, which also supports a fibre optic cable for communications services. We regulate electricity supply but not communications services. So the power pole is a shared asset.</w:t>
      </w:r>
    </w:p>
    <w:p w:rsidR="003749ED" w:rsidRPr="003749ED" w:rsidRDefault="003749ED" w:rsidP="003749ED">
      <w:pPr>
        <w:pStyle w:val="AERbodytext"/>
      </w:pPr>
      <w:r>
        <w:t>Service providers recover the</w:t>
      </w:r>
      <w:r w:rsidRPr="003749ED">
        <w:t xml:space="preserve"> cost of shared assets from consumers of their regulated services. By also charging for unregulated services provided through shared assets, service providers may recover shared assets costs more than once.</w:t>
      </w:r>
      <w:r w:rsidRPr="003749ED">
        <w:rPr>
          <w:rStyle w:val="FootnoteReference"/>
        </w:rPr>
        <w:footnoteReference w:id="2"/>
      </w:r>
      <w:r w:rsidRPr="003749ED">
        <w:t xml:space="preserve"> Because of this, electricity </w:t>
      </w:r>
      <w:r w:rsidR="00A0190F">
        <w:t>consumer</w:t>
      </w:r>
      <w:r w:rsidR="00361DDA">
        <w:t>s</w:t>
      </w:r>
      <w:r w:rsidRPr="003749ED">
        <w:t xml:space="preserve"> may be paying more than their fair share for shared assets. To address this problem, the </w:t>
      </w:r>
      <w:r w:rsidR="00C224E4">
        <w:t>Australian Energy Market Commission (</w:t>
      </w:r>
      <w:r w:rsidRPr="003749ED">
        <w:t>AEMC</w:t>
      </w:r>
      <w:r w:rsidR="00C224E4">
        <w:t>)</w:t>
      </w:r>
      <w:r w:rsidRPr="003749ED">
        <w:t xml:space="preserve"> introduced new rules for shared assets. The </w:t>
      </w:r>
      <w:r w:rsidR="00C224E4">
        <w:t>National Electricity Rules (</w:t>
      </w:r>
      <w:r w:rsidRPr="003749ED">
        <w:t>NER</w:t>
      </w:r>
      <w:r w:rsidR="00C224E4">
        <w:t>)</w:t>
      </w:r>
      <w:r w:rsidRPr="003749ED">
        <w:t xml:space="preserve"> now allow us</w:t>
      </w:r>
      <w:r w:rsidR="00DC4EE0">
        <w:t>, the Australian Energy Regulator (AER),</w:t>
      </w:r>
      <w:r w:rsidRPr="003749ED">
        <w:t xml:space="preserve"> to reduce the annual revenue requirement for service providers to reflect the costs attributable to services generating unregulated revenues. </w:t>
      </w:r>
    </w:p>
    <w:p w:rsidR="003749ED" w:rsidRPr="003749ED" w:rsidRDefault="003749ED" w:rsidP="003749ED">
      <w:pPr>
        <w:pStyle w:val="AERbodytext"/>
        <w:rPr>
          <w:rStyle w:val="AERbody"/>
        </w:rPr>
      </w:pPr>
      <w:r>
        <w:t xml:space="preserve">The </w:t>
      </w:r>
      <w:r w:rsidRPr="003749ED">
        <w:t>NER only set out a high level framework for us to determine cost reductions. The detailed mechanism for</w:t>
      </w:r>
      <w:r w:rsidR="00361DDA">
        <w:t xml:space="preserve"> </w:t>
      </w:r>
      <w:r w:rsidRPr="003749ED">
        <w:t>shared asset cost reduction</w:t>
      </w:r>
      <w:r w:rsidR="00361DDA">
        <w:t>s</w:t>
      </w:r>
      <w:r w:rsidRPr="003749ED">
        <w:t xml:space="preserve"> has been the left to </w:t>
      </w:r>
      <w:r w:rsidR="000B6726">
        <w:t>us</w:t>
      </w:r>
      <w:r w:rsidRPr="003749ED">
        <w:t xml:space="preserve">. The NER requires us to publish </w:t>
      </w:r>
      <w:r w:rsidR="009D7150">
        <w:t xml:space="preserve">a </w:t>
      </w:r>
      <w:r w:rsidRPr="003749ED">
        <w:t>shared asset guideline setting out the approach we propose to take. We may vary our approach from th</w:t>
      </w:r>
      <w:r w:rsidR="009D7150">
        <w:t>is</w:t>
      </w:r>
      <w:r w:rsidRPr="003749ED">
        <w:t xml:space="preserve"> guideline only if we explain our reasons for doing so. Together, the NER shared asset provisions and th</w:t>
      </w:r>
      <w:r w:rsidR="009D7150">
        <w:t>is</w:t>
      </w:r>
      <w:r w:rsidRPr="003749ED">
        <w:t xml:space="preserve"> guideline establish </w:t>
      </w:r>
      <w:r w:rsidRPr="003749ED">
        <w:rPr>
          <w:rStyle w:val="AERbody"/>
        </w:rPr>
        <w:t>the shared asset mechanism.</w:t>
      </w:r>
    </w:p>
    <w:p w:rsidR="003749ED" w:rsidRPr="003749ED" w:rsidRDefault="003749ED" w:rsidP="003749ED">
      <w:pPr>
        <w:pStyle w:val="AERbodytext"/>
      </w:pPr>
      <w:r>
        <w:t xml:space="preserve">The </w:t>
      </w:r>
      <w:r w:rsidRPr="003749ED">
        <w:t xml:space="preserve">NER defines shared assets as providing unregulated services and specific types of regulated services. For the electricity distribution sector, shared </w:t>
      </w:r>
      <w:r w:rsidRPr="003749ED">
        <w:rPr>
          <w:rStyle w:val="AERbody"/>
        </w:rPr>
        <w:t>assets provide standard control services. For the transmission sector, shared assets provide prescribed transmission services. The majority of services provided by service providers are standard control or prescribed transmission, for the distribution and transmission sectors respectively. Because of this, almost</w:t>
      </w:r>
      <w:r w:rsidRPr="003749ED">
        <w:t xml:space="preserve"> all electricity </w:t>
      </w:r>
      <w:r w:rsidR="00A0190F">
        <w:t>consumer</w:t>
      </w:r>
      <w:r w:rsidR="00361DDA">
        <w:t>s</w:t>
      </w:r>
      <w:r w:rsidR="00361DDA" w:rsidRPr="003749ED">
        <w:t xml:space="preserve"> </w:t>
      </w:r>
      <w:r w:rsidRPr="003749ED">
        <w:t xml:space="preserve">of networks we regulate </w:t>
      </w:r>
      <w:r w:rsidR="00361DDA">
        <w:t>stand to</w:t>
      </w:r>
      <w:r w:rsidRPr="003749ED">
        <w:t xml:space="preserve"> benefit from the shared asset mechanism.</w:t>
      </w:r>
    </w:p>
    <w:p w:rsidR="003749ED" w:rsidRPr="003749ED" w:rsidRDefault="003749ED" w:rsidP="003749ED">
      <w:pPr>
        <w:pStyle w:val="AERbodytext"/>
      </w:pPr>
      <w:r>
        <w:t xml:space="preserve">Our approach </w:t>
      </w:r>
      <w:r w:rsidRPr="003749ED">
        <w:t>to determining cost reductions, as described in th</w:t>
      </w:r>
      <w:r w:rsidR="00677EFB">
        <w:t>is</w:t>
      </w:r>
      <w:r w:rsidRPr="003749ED">
        <w:t xml:space="preserve"> guideline, is constrained in a number of ways. Under the NER, </w:t>
      </w:r>
      <w:r w:rsidR="00DF4048">
        <w:t xml:space="preserve">we may make </w:t>
      </w:r>
      <w:r w:rsidRPr="003749ED">
        <w:t xml:space="preserve">cost reductions: </w:t>
      </w:r>
    </w:p>
    <w:p w:rsidR="003749ED" w:rsidRDefault="00DF4048" w:rsidP="003749ED">
      <w:pPr>
        <w:pStyle w:val="AERbulletlistfirststyle"/>
      </w:pPr>
      <w:r>
        <w:t xml:space="preserve">of an amount that we consider reasonable to </w:t>
      </w:r>
      <w:r w:rsidR="003749ED">
        <w:t xml:space="preserve">reflect asset costs recovered </w:t>
      </w:r>
      <w:r>
        <w:t xml:space="preserve">through </w:t>
      </w:r>
      <w:r w:rsidR="003749ED">
        <w:t>charging for unregulated services</w:t>
      </w:r>
    </w:p>
    <w:p w:rsidR="003749ED" w:rsidRDefault="00DF4048" w:rsidP="003749ED">
      <w:pPr>
        <w:pStyle w:val="AERbulletlistfirststyle"/>
      </w:pPr>
      <w:r>
        <w:t>based on</w:t>
      </w:r>
      <w:r w:rsidR="003749ED">
        <w:t xml:space="preserve"> </w:t>
      </w:r>
      <w:r>
        <w:t>the</w:t>
      </w:r>
      <w:r w:rsidR="003749ED">
        <w:t xml:space="preserve"> use of the shared assets</w:t>
      </w:r>
    </w:p>
    <w:p w:rsidR="003749ED" w:rsidRDefault="00DF4048" w:rsidP="003749ED">
      <w:pPr>
        <w:pStyle w:val="AERbulletlistfirststyle"/>
      </w:pPr>
      <w:r>
        <w:t>that are no</w:t>
      </w:r>
      <w:r w:rsidR="003749ED">
        <w:t xml:space="preserve"> greater than the </w:t>
      </w:r>
      <w:r w:rsidR="003749ED" w:rsidRPr="00DB2296">
        <w:t>depreciated</w:t>
      </w:r>
      <w:r w:rsidR="003749ED">
        <w:t xml:space="preserve"> regulatory value of the shared assets </w:t>
      </w:r>
    </w:p>
    <w:p w:rsidR="003749ED" w:rsidRDefault="003749ED" w:rsidP="003749ED">
      <w:pPr>
        <w:pStyle w:val="AERbulletlistfirststyle"/>
      </w:pPr>
      <w:r>
        <w:t>as part of our distribution and transmission regulatory determinations, usually every five years</w:t>
      </w:r>
    </w:p>
    <w:p w:rsidR="003749ED" w:rsidRDefault="00DF4048" w:rsidP="003749ED">
      <w:pPr>
        <w:pStyle w:val="AERbulletlistfirststyle"/>
      </w:pPr>
      <w:proofErr w:type="gramStart"/>
      <w:r>
        <w:t>that</w:t>
      </w:r>
      <w:proofErr w:type="gramEnd"/>
      <w:r>
        <w:t xml:space="preserve"> are</w:t>
      </w:r>
      <w:r w:rsidR="003749ED">
        <w:t xml:space="preserve"> forward looking and therefore based on forecasts.</w:t>
      </w:r>
    </w:p>
    <w:p w:rsidR="00486606" w:rsidRDefault="00486606" w:rsidP="00486606">
      <w:pPr>
        <w:rPr>
          <w:rStyle w:val="AERtexthighlight"/>
        </w:rPr>
      </w:pPr>
    </w:p>
    <w:p w:rsidR="00785F74" w:rsidRPr="00C26C2C" w:rsidRDefault="00785F74" w:rsidP="00486606">
      <w:pPr>
        <w:rPr>
          <w:rStyle w:val="AERtexthighlight"/>
        </w:rPr>
      </w:pPr>
    </w:p>
    <w:p w:rsidR="00A20846" w:rsidRPr="00B4552F" w:rsidRDefault="00A20846" w:rsidP="00B4552F">
      <w:pPr>
        <w:pStyle w:val="Heading2"/>
      </w:pPr>
      <w:bookmarkStart w:id="7" w:name="_Toc361391645"/>
      <w:bookmarkStart w:id="8" w:name="_Toc362944426"/>
      <w:bookmarkStart w:id="9" w:name="_Toc373393814"/>
      <w:r w:rsidRPr="00B4552F">
        <w:lastRenderedPageBreak/>
        <w:t>Key issues th</w:t>
      </w:r>
      <w:r w:rsidR="002F2BB7" w:rsidRPr="00B4552F">
        <w:t>is</w:t>
      </w:r>
      <w:r w:rsidRPr="00B4552F">
        <w:t xml:space="preserve"> guideline address</w:t>
      </w:r>
      <w:bookmarkEnd w:id="7"/>
      <w:bookmarkEnd w:id="8"/>
      <w:r w:rsidR="002F2BB7" w:rsidRPr="00B4552F">
        <w:t>es</w:t>
      </w:r>
      <w:bookmarkEnd w:id="9"/>
    </w:p>
    <w:p w:rsidR="00A20846" w:rsidRPr="00EE0FF6" w:rsidRDefault="00642A3B" w:rsidP="00A20846">
      <w:pPr>
        <w:pStyle w:val="AERbodytext"/>
      </w:pPr>
      <w:r>
        <w:t xml:space="preserve">Within </w:t>
      </w:r>
      <w:r w:rsidR="00A20846" w:rsidRPr="00EE0FF6">
        <w:t xml:space="preserve">our proposed </w:t>
      </w:r>
      <w:r>
        <w:t>approach to making cost reductions</w:t>
      </w:r>
      <w:r w:rsidR="00A20846" w:rsidRPr="00EE0FF6">
        <w:t>, some issues are significant.</w:t>
      </w:r>
    </w:p>
    <w:p w:rsidR="00A20846" w:rsidRDefault="00A20846" w:rsidP="00A20846">
      <w:pPr>
        <w:pStyle w:val="AERbulletlistfirststyle"/>
      </w:pPr>
      <w:r>
        <w:t>Materiality</w:t>
      </w:r>
    </w:p>
    <w:p w:rsidR="00A20846" w:rsidRPr="006F41F2" w:rsidRDefault="00A20846" w:rsidP="00A20846">
      <w:pPr>
        <w:pStyle w:val="AERbodytextindent1"/>
      </w:pPr>
      <w:r>
        <w:t xml:space="preserve">The </w:t>
      </w:r>
      <w:r w:rsidR="009B4BB2">
        <w:t xml:space="preserve">shared asset </w:t>
      </w:r>
      <w:r>
        <w:t xml:space="preserve">principles establish that use of shared assets should be material before cost reductions are applied, but the </w:t>
      </w:r>
      <w:r w:rsidRPr="006F41F2">
        <w:t>NER do not define materiality in this context. Th</w:t>
      </w:r>
      <w:r w:rsidR="000054F4">
        <w:t>is</w:t>
      </w:r>
      <w:r w:rsidRPr="006F41F2">
        <w:t xml:space="preserve"> guideline set</w:t>
      </w:r>
      <w:r w:rsidR="000054F4">
        <w:t>s</w:t>
      </w:r>
      <w:r w:rsidRPr="006F41F2">
        <w:t xml:space="preserve"> out </w:t>
      </w:r>
      <w:r w:rsidR="00DF4048">
        <w:t>our approach to what constitutes a</w:t>
      </w:r>
      <w:r w:rsidRPr="006F41F2">
        <w:t xml:space="preserve"> material use of shared assets.</w:t>
      </w:r>
    </w:p>
    <w:p w:rsidR="00A20846" w:rsidRDefault="00A20846" w:rsidP="00A20846">
      <w:pPr>
        <w:pStyle w:val="AERbulletlistfirststyle"/>
      </w:pPr>
      <w:r>
        <w:t>Cost reduction method</w:t>
      </w:r>
    </w:p>
    <w:p w:rsidR="00A20846" w:rsidRDefault="00A20846" w:rsidP="00A20846">
      <w:pPr>
        <w:pStyle w:val="AERbodytextindent1"/>
      </w:pPr>
      <w:r>
        <w:t>The NER indicate that our proposed approach to applying the shared asset principles may include a methodology to determine cost reductions. Th</w:t>
      </w:r>
      <w:r w:rsidR="000054F4">
        <w:t>is</w:t>
      </w:r>
      <w:r>
        <w:t xml:space="preserve"> guideline set</w:t>
      </w:r>
      <w:r w:rsidR="000054F4">
        <w:t>s</w:t>
      </w:r>
      <w:r>
        <w:t xml:space="preserve"> out a methodology. </w:t>
      </w:r>
    </w:p>
    <w:p w:rsidR="00A20846" w:rsidRDefault="00A20846" w:rsidP="00A20846">
      <w:pPr>
        <w:pStyle w:val="AERbulletlistfirststyle"/>
      </w:pPr>
      <w:r>
        <w:t xml:space="preserve">Cost reductions may be proposed by </w:t>
      </w:r>
      <w:r w:rsidR="004B1686">
        <w:t>service providers</w:t>
      </w:r>
    </w:p>
    <w:p w:rsidR="00A20846" w:rsidRDefault="00A20846" w:rsidP="00A20846">
      <w:pPr>
        <w:pStyle w:val="AERbodytextindent1"/>
      </w:pPr>
      <w:r>
        <w:t>The NER allow us to determine cost reductions. However, consistent with the propose-response model of the NER generally, we will allow service providers to propose cost reductions to us.</w:t>
      </w:r>
      <w:r>
        <w:rPr>
          <w:rStyle w:val="FootnoteReference"/>
        </w:rPr>
        <w:footnoteReference w:id="3"/>
      </w:r>
      <w:r>
        <w:t xml:space="preserve"> </w:t>
      </w:r>
    </w:p>
    <w:p w:rsidR="00A20846" w:rsidRDefault="00A20846" w:rsidP="00A20846">
      <w:pPr>
        <w:pStyle w:val="AERbulletlistfirststyle"/>
      </w:pPr>
      <w:r>
        <w:t>Information reporting</w:t>
      </w:r>
    </w:p>
    <w:p w:rsidR="00A20846" w:rsidRDefault="00A20846" w:rsidP="00A20846">
      <w:pPr>
        <w:pStyle w:val="AERbodytextindent1"/>
      </w:pPr>
      <w:r>
        <w:t xml:space="preserve">The NER do not </w:t>
      </w:r>
      <w:r w:rsidRPr="00970CAA">
        <w:t xml:space="preserve">set out what information </w:t>
      </w:r>
      <w:r>
        <w:t>service providers</w:t>
      </w:r>
      <w:r w:rsidRPr="00970CAA">
        <w:t xml:space="preserve"> </w:t>
      </w:r>
      <w:r>
        <w:t xml:space="preserve">should report </w:t>
      </w:r>
      <w:r w:rsidRPr="00970CAA">
        <w:t>to allow us to determine cost reductions. Th</w:t>
      </w:r>
      <w:r w:rsidR="00DF2E4C">
        <w:t>is</w:t>
      </w:r>
      <w:r w:rsidRPr="00970CAA">
        <w:t xml:space="preserve"> guideline set</w:t>
      </w:r>
      <w:r w:rsidR="00DF2E4C">
        <w:t>s</w:t>
      </w:r>
      <w:r w:rsidRPr="00970CAA">
        <w:t xml:space="preserve"> out information reporting requirements</w:t>
      </w:r>
      <w:r>
        <w:t>. We will seek this information through our regulatory information notices or other appropriate mechanisms.</w:t>
      </w:r>
    </w:p>
    <w:p w:rsidR="00B4552F" w:rsidRDefault="00B4552F" w:rsidP="00960FE1">
      <w:pPr>
        <w:pStyle w:val="Heading2"/>
      </w:pPr>
      <w:bookmarkStart w:id="10" w:name="_Toc373393815"/>
      <w:r>
        <w:t>Shared assets and cost allocation</w:t>
      </w:r>
      <w:bookmarkEnd w:id="10"/>
    </w:p>
    <w:p w:rsidR="00A20846" w:rsidRPr="00A20846" w:rsidRDefault="00A20846" w:rsidP="00A20846">
      <w:pPr>
        <w:pStyle w:val="AERbodytext"/>
      </w:pPr>
      <w:r w:rsidRPr="009909B7">
        <w:t xml:space="preserve">Cost allocation is the process of </w:t>
      </w:r>
      <w:r w:rsidRPr="00A20846">
        <w:t>apportioning costs incurred by a service provider to the different services it provides.</w:t>
      </w:r>
      <w:r w:rsidRPr="00A20846">
        <w:rPr>
          <w:rStyle w:val="FootnoteReference"/>
        </w:rPr>
        <w:footnoteReference w:id="4"/>
      </w:r>
      <w:r w:rsidRPr="00A20846">
        <w:t xml:space="preserve"> By allocating costs to services, the service provider recovers them from consumers who benefit from those services—cost reflective pricing. Service providers allocate costs usually only when the assets are first established.</w:t>
      </w:r>
      <w:r w:rsidRPr="00A20846">
        <w:rPr>
          <w:rStyle w:val="FootnoteReference"/>
        </w:rPr>
        <w:footnoteReference w:id="5"/>
      </w:r>
      <w:r w:rsidRPr="00A20846">
        <w:t xml:space="preserve"> Importantly, service providers allocate costs based on the assets' expected future use. Where asset use changes unexpectedly, the initial cost allocation may no longer be accurate. </w:t>
      </w:r>
    </w:p>
    <w:p w:rsidR="00A20846" w:rsidRPr="00A20846" w:rsidRDefault="00A20846" w:rsidP="00A20846">
      <w:pPr>
        <w:pStyle w:val="AERbodytext"/>
      </w:pPr>
      <w:r>
        <w:t>The shared asset mechanism relates to</w:t>
      </w:r>
      <w:r w:rsidRPr="00A20846">
        <w:t xml:space="preserve"> assets whose costs were initially allocated to regulated services but come to be used to provide unregulated services as well. This change from expected use means the assets are earning both regulated and unregulated revenues. The assets have therefore become shared assets. </w:t>
      </w:r>
    </w:p>
    <w:p w:rsidR="00B4552F" w:rsidRDefault="00B4552F" w:rsidP="00960FE1">
      <w:pPr>
        <w:pStyle w:val="Heading2"/>
      </w:pPr>
      <w:bookmarkStart w:id="11" w:name="_Toc373393816"/>
      <w:r>
        <w:t>Structure of this guideline</w:t>
      </w:r>
      <w:bookmarkEnd w:id="11"/>
    </w:p>
    <w:p w:rsidR="00A20846" w:rsidRPr="00A20846" w:rsidRDefault="00A20846" w:rsidP="002D7D24">
      <w:pPr>
        <w:pStyle w:val="AERbodytext"/>
      </w:pPr>
      <w:r>
        <w:t xml:space="preserve">Section </w:t>
      </w:r>
      <w:r w:rsidR="002D7D24">
        <w:t>2</w:t>
      </w:r>
      <w:r>
        <w:t xml:space="preserve"> </w:t>
      </w:r>
      <w:r w:rsidR="002D7D24" w:rsidRPr="002D7D24">
        <w:t>sets out our proposed approach to making shared asset cost reductions.</w:t>
      </w:r>
    </w:p>
    <w:p w:rsidR="00A20846" w:rsidRPr="00A20846" w:rsidRDefault="00A20846" w:rsidP="00A20846">
      <w:pPr>
        <w:pStyle w:val="AERbodytext"/>
      </w:pPr>
      <w:r>
        <w:t xml:space="preserve">Section </w:t>
      </w:r>
      <w:r w:rsidR="002D7D24">
        <w:t>3</w:t>
      </w:r>
      <w:r w:rsidRPr="00A20846">
        <w:t xml:space="preserve"> sets out our proposed method for shared asset cost reductions.</w:t>
      </w:r>
    </w:p>
    <w:p w:rsidR="00A20846" w:rsidRDefault="00A20846" w:rsidP="00A20846">
      <w:r>
        <w:t xml:space="preserve">Section </w:t>
      </w:r>
      <w:r w:rsidR="002D7D24">
        <w:t>4</w:t>
      </w:r>
      <w:r w:rsidRPr="006F41F2">
        <w:t xml:space="preserve"> sets out infor</w:t>
      </w:r>
      <w:r>
        <w:t xml:space="preserve">mation reporting requirements. </w:t>
      </w:r>
    </w:p>
    <w:p w:rsidR="00B4552F" w:rsidRPr="00B4552F" w:rsidRDefault="00B4552F" w:rsidP="00960FE1">
      <w:pPr>
        <w:pStyle w:val="Heading2"/>
      </w:pPr>
      <w:bookmarkStart w:id="12" w:name="_Toc373393817"/>
      <w:r w:rsidRPr="00B4552F">
        <w:lastRenderedPageBreak/>
        <w:t>Summary of our proposed cost reduction approach</w:t>
      </w:r>
      <w:bookmarkEnd w:id="12"/>
    </w:p>
    <w:p w:rsidR="00A20846" w:rsidRPr="00DF73C0" w:rsidRDefault="00A20846" w:rsidP="00A20846">
      <w:pPr>
        <w:numPr>
          <w:ilvl w:val="0"/>
          <w:numId w:val="6"/>
        </w:numPr>
      </w:pPr>
      <w:r w:rsidRPr="00DF73C0">
        <w:t>Th</w:t>
      </w:r>
      <w:r w:rsidR="008E3509">
        <w:t>is</w:t>
      </w:r>
      <w:r w:rsidRPr="00DF73C0">
        <w:t xml:space="preserve"> guideline set</w:t>
      </w:r>
      <w:r w:rsidR="008E3509">
        <w:t>s</w:t>
      </w:r>
      <w:r w:rsidRPr="00DF73C0">
        <w:t xml:space="preserve"> out that, for each service provider we regulate, we </w:t>
      </w:r>
      <w:r w:rsidR="00962757">
        <w:t>may</w:t>
      </w:r>
      <w:r w:rsidRPr="00DF73C0">
        <w:t>:</w:t>
      </w:r>
    </w:p>
    <w:p w:rsidR="00A20846" w:rsidRPr="00DF73C0" w:rsidRDefault="00A20846" w:rsidP="00A20846">
      <w:pPr>
        <w:pStyle w:val="AERbulletlistfirststyle"/>
      </w:pPr>
      <w:r w:rsidRPr="00DF73C0">
        <w:t>make cost reductions in advance for each year unregulated revenues earned from shared assets are expected to exceed 1 per cent of regulated revenues from standard control (or prescribed transmission) services</w:t>
      </w:r>
    </w:p>
    <w:p w:rsidR="00A20846" w:rsidRPr="00DF73C0" w:rsidRDefault="00A20846" w:rsidP="00A20846">
      <w:pPr>
        <w:pStyle w:val="AERbulletlistfirststyle"/>
      </w:pPr>
      <w:r w:rsidRPr="00DF73C0">
        <w:t>determine cost reductions using the method set out in th</w:t>
      </w:r>
      <w:r w:rsidR="00EE12CE">
        <w:t>is</w:t>
      </w:r>
      <w:r w:rsidRPr="00DF73C0">
        <w:t xml:space="preserve"> guideline  </w:t>
      </w:r>
    </w:p>
    <w:p w:rsidR="00A20846" w:rsidRPr="00DF73C0" w:rsidRDefault="00A20846" w:rsidP="00A20846">
      <w:pPr>
        <w:pStyle w:val="AERbulletlistfirststyle"/>
      </w:pPr>
      <w:r w:rsidRPr="00DF73C0">
        <w:t>reduce standard control (or prescribed transmission) service revenues by an amount equal to the cost reductions we determine</w:t>
      </w:r>
      <w:r>
        <w:rPr>
          <w:rStyle w:val="FootnoteReference"/>
        </w:rPr>
        <w:footnoteReference w:id="6"/>
      </w:r>
    </w:p>
    <w:p w:rsidR="00A20846" w:rsidRPr="00DF73C0" w:rsidRDefault="00A20846" w:rsidP="00A20846">
      <w:pPr>
        <w:pStyle w:val="AERbulletlistfirststyle"/>
      </w:pPr>
      <w:r w:rsidRPr="00DF73C0">
        <w:t xml:space="preserve">encourage service providers to submit proposed cost reductions calculated in accordance with the </w:t>
      </w:r>
      <w:r>
        <w:t>method set out in th</w:t>
      </w:r>
      <w:r w:rsidR="004B1686">
        <w:t>e</w:t>
      </w:r>
      <w:r>
        <w:t xml:space="preserve"> </w:t>
      </w:r>
      <w:r w:rsidRPr="00DF73C0">
        <w:t>guideline</w:t>
      </w:r>
    </w:p>
    <w:p w:rsidR="00A20846" w:rsidRPr="00DF73C0" w:rsidRDefault="00A20846" w:rsidP="00A20846">
      <w:pPr>
        <w:pStyle w:val="AERbulletlistfirststyle"/>
      </w:pPr>
      <w:r w:rsidRPr="00DF73C0">
        <w:t xml:space="preserve">consider proposed cost reductions calculated using alternative methods if the result leaves </w:t>
      </w:r>
      <w:r>
        <w:t>consumer</w:t>
      </w:r>
      <w:r w:rsidRPr="00DF73C0">
        <w:t>s no worse off than under the method set out in the guideline</w:t>
      </w:r>
    </w:p>
    <w:p w:rsidR="00A20846" w:rsidRPr="00DF73C0" w:rsidRDefault="00A20846" w:rsidP="00A20846">
      <w:pPr>
        <w:pStyle w:val="AERbulletlistfirststyle"/>
      </w:pPr>
      <w:proofErr w:type="gramStart"/>
      <w:r w:rsidRPr="00DF73C0">
        <w:t>require</w:t>
      </w:r>
      <w:proofErr w:type="gramEnd"/>
      <w:r w:rsidRPr="00DF73C0">
        <w:t xml:space="preserve"> minimum annual reporting and more comprehensive reporting with regulatory proposals.</w:t>
      </w:r>
    </w:p>
    <w:p w:rsidR="00A20846" w:rsidRPr="00DF73C0" w:rsidRDefault="00A20846" w:rsidP="00A20846">
      <w:r w:rsidRPr="00DF73C0">
        <w:t xml:space="preserve">In determining cost reductions, we take into account evidence of </w:t>
      </w:r>
      <w:r w:rsidR="00B77768">
        <w:t>consumers</w:t>
      </w:r>
      <w:r w:rsidR="00B77768" w:rsidRPr="00DF73C0">
        <w:t xml:space="preserve"> </w:t>
      </w:r>
      <w:r w:rsidRPr="00DF73C0">
        <w:t xml:space="preserve">benefitting from assets upgraded or replaced by third parties. We will accept as the upper limit on potential cost reductions a service provider's reasonable estimate of the regulated returns it earns from its shared assets. </w:t>
      </w:r>
    </w:p>
    <w:p w:rsidR="00A20846" w:rsidRPr="00E75828" w:rsidRDefault="00A20846" w:rsidP="00A20846">
      <w:r w:rsidRPr="00E75828">
        <w:t>Figure 1 illustrates the steps to making a cost reduction, as set o</w:t>
      </w:r>
      <w:r>
        <w:t>ut in th</w:t>
      </w:r>
      <w:r w:rsidR="008E3509">
        <w:t>is</w:t>
      </w:r>
      <w:r w:rsidRPr="00E75828">
        <w:t xml:space="preserve"> guideline.</w:t>
      </w:r>
    </w:p>
    <w:p w:rsidR="00A20846" w:rsidRDefault="00A20846" w:rsidP="00A20846">
      <w:pPr>
        <w:pStyle w:val="Caption"/>
      </w:pPr>
      <w:r>
        <w:t xml:space="preserve">Figure </w:t>
      </w:r>
      <w:r w:rsidRPr="006F41F2">
        <w:fldChar w:fldCharType="begin"/>
      </w:r>
      <w:r>
        <w:instrText xml:space="preserve"> SEQ Figure \* ARABIC </w:instrText>
      </w:r>
      <w:r w:rsidRPr="006F41F2">
        <w:fldChar w:fldCharType="separate"/>
      </w:r>
      <w:r w:rsidRPr="006F41F2">
        <w:t>1</w:t>
      </w:r>
      <w:r w:rsidRPr="006F41F2">
        <w:fldChar w:fldCharType="end"/>
      </w:r>
      <w:r>
        <w:t xml:space="preserve">  Cost reduction process</w:t>
      </w:r>
    </w:p>
    <w:p w:rsidR="00A20846" w:rsidRPr="00E75828" w:rsidRDefault="00A20846" w:rsidP="00A20846">
      <w:r w:rsidRPr="00A20846">
        <w:rPr>
          <w:noProof/>
          <w:lang w:eastAsia="en-AU"/>
        </w:rPr>
        <w:drawing>
          <wp:inline distT="0" distB="0" distL="0" distR="0" wp14:anchorId="6203523E" wp14:editId="3477073D">
            <wp:extent cx="5728335" cy="1162050"/>
            <wp:effectExtent l="19050" t="38100" r="5715" b="3810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86606" w:rsidRDefault="00A20846" w:rsidP="00A20846">
      <w:pPr>
        <w:pStyle w:val="AERbodytext"/>
        <w:rPr>
          <w:rStyle w:val="AERtexthighlight"/>
        </w:rPr>
      </w:pPr>
      <w:r w:rsidRPr="00A20846">
        <w:rPr>
          <w:noProof/>
          <w:lang w:eastAsia="en-AU"/>
        </w:rPr>
        <w:drawing>
          <wp:inline distT="0" distB="0" distL="0" distR="0" wp14:anchorId="555D8C85" wp14:editId="00E4B099">
            <wp:extent cx="5728335" cy="1162050"/>
            <wp:effectExtent l="19050" t="38100" r="5715" b="3810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4654E" w:rsidRPr="0034654E" w:rsidRDefault="0034654E" w:rsidP="0034654E">
      <w:pPr>
        <w:pStyle w:val="AERbodytext"/>
      </w:pPr>
      <w:r w:rsidRPr="0034654E">
        <w:t>If a service provider earns, from its shared assets, unregulated revenues equal to or less than one per cent of its annual revenue requirement, no further action is required.</w:t>
      </w:r>
      <w:r w:rsidRPr="0034654E">
        <w:rPr>
          <w:rStyle w:val="AERsuperscript"/>
        </w:rPr>
        <w:footnoteReference w:id="7"/>
      </w:r>
      <w:r w:rsidRPr="0034654E">
        <w:t xml:space="preserve"> In this scenario, there will be no cost reduction for this service provider for the relevant regulatory year. </w:t>
      </w:r>
    </w:p>
    <w:p w:rsidR="0034654E" w:rsidRPr="0034654E" w:rsidRDefault="0034654E" w:rsidP="0034654E">
      <w:pPr>
        <w:pStyle w:val="AERbodytext"/>
      </w:pPr>
      <w:r w:rsidRPr="0034654E">
        <w:lastRenderedPageBreak/>
        <w:t xml:space="preserve">By reducing a service provider's annual revenue requirement, tariffs paid by consumers for standard control (or prescribed transmission) services will be lower than otherwise. Because standard control (or prescribed transmission) services are consumed by most electricity consumers, lower tariffs for these services mean lower electricity prices for most consumers. </w:t>
      </w:r>
    </w:p>
    <w:p w:rsidR="00486606" w:rsidRPr="001012F5" w:rsidRDefault="00486606" w:rsidP="001012F5">
      <w:pPr>
        <w:pStyle w:val="AERbodytext"/>
        <w:rPr>
          <w:shd w:val="clear" w:color="auto" w:fill="FFFF00"/>
        </w:rPr>
      </w:pPr>
    </w:p>
    <w:p w:rsidR="001012F5" w:rsidRPr="00DC7C16" w:rsidRDefault="001012F5" w:rsidP="00DC7C16">
      <w:pPr>
        <w:pStyle w:val="Heading1"/>
      </w:pPr>
      <w:bookmarkStart w:id="13" w:name="_Toc361391649"/>
      <w:bookmarkStart w:id="14" w:name="_Toc362944430"/>
      <w:bookmarkStart w:id="15" w:name="_Toc373393818"/>
      <w:bookmarkStart w:id="16" w:name="_Toc356398583"/>
      <w:r w:rsidRPr="00DC7C16">
        <w:lastRenderedPageBreak/>
        <w:t>Our approach</w:t>
      </w:r>
      <w:bookmarkEnd w:id="13"/>
      <w:bookmarkEnd w:id="14"/>
      <w:bookmarkEnd w:id="15"/>
    </w:p>
    <w:p w:rsidR="001012F5" w:rsidRPr="001012F5" w:rsidRDefault="001012F5" w:rsidP="001012F5">
      <w:pPr>
        <w:pStyle w:val="AERbodytext"/>
        <w:rPr>
          <w:rStyle w:val="AERbody"/>
        </w:rPr>
      </w:pPr>
      <w:r w:rsidRPr="00644189">
        <w:rPr>
          <w:rStyle w:val="AERbody"/>
        </w:rPr>
        <w:t xml:space="preserve">This section </w:t>
      </w:r>
      <w:r w:rsidRPr="001012F5">
        <w:rPr>
          <w:rStyle w:val="AERbody"/>
        </w:rPr>
        <w:t>describes shared assets and sets out our proposed approach, or high level steps, to making cost reductions.</w:t>
      </w:r>
    </w:p>
    <w:p w:rsidR="00ED4E3D" w:rsidRDefault="00ED4E3D" w:rsidP="00DC7C16">
      <w:pPr>
        <w:pStyle w:val="Heading2"/>
      </w:pPr>
      <w:bookmarkStart w:id="17" w:name="_Toc373393819"/>
      <w:bookmarkStart w:id="18" w:name="_Toc361391650"/>
      <w:bookmarkStart w:id="19" w:name="_Toc362944431"/>
      <w:r>
        <w:t>Cost reductions will be forward looking</w:t>
      </w:r>
      <w:bookmarkEnd w:id="17"/>
    </w:p>
    <w:p w:rsidR="00ED4E3D" w:rsidRPr="00ED4E3D" w:rsidRDefault="009905AF" w:rsidP="000C75A1">
      <w:pPr>
        <w:pStyle w:val="AERbodytext"/>
      </w:pPr>
      <w:r>
        <w:t xml:space="preserve">Consistent with </w:t>
      </w:r>
      <w:r w:rsidR="004B1686">
        <w:t xml:space="preserve">NER </w:t>
      </w:r>
      <w:r>
        <w:t>requirements, w</w:t>
      </w:r>
      <w:r w:rsidR="00ED4E3D">
        <w:t xml:space="preserve">e will determine and make cost reductions </w:t>
      </w:r>
      <w:r w:rsidR="004952FC">
        <w:t>for</w:t>
      </w:r>
      <w:r w:rsidR="00ED4E3D">
        <w:t xml:space="preserve"> relevant regulatory period</w:t>
      </w:r>
      <w:r w:rsidR="004952FC">
        <w:t>s</w:t>
      </w:r>
      <w:r w:rsidR="00ED4E3D">
        <w:t xml:space="preserve"> within our distribution and transmission regulatory determinations, usually every five years. Necessarily, cost reductions will be determined on the basis of forecast revenues from services expected to be provided. </w:t>
      </w:r>
    </w:p>
    <w:p w:rsidR="001012F5" w:rsidRPr="00DC7C16" w:rsidRDefault="001012F5" w:rsidP="00DC7C16">
      <w:pPr>
        <w:pStyle w:val="Heading2"/>
      </w:pPr>
      <w:bookmarkStart w:id="20" w:name="_Toc373393820"/>
      <w:r w:rsidRPr="00DC7C16">
        <w:t>Cost allocation and shared assets</w:t>
      </w:r>
      <w:bookmarkEnd w:id="18"/>
      <w:bookmarkEnd w:id="19"/>
      <w:bookmarkEnd w:id="20"/>
    </w:p>
    <w:p w:rsidR="001012F5" w:rsidRPr="00DB2296" w:rsidRDefault="001012F5" w:rsidP="001012F5">
      <w:pPr>
        <w:pStyle w:val="AERnumberedlistsecondstyle"/>
      </w:pPr>
      <w:r w:rsidRPr="00DB2296">
        <w:t xml:space="preserve">For the avoidance of doubt, the shared asset mechanism relates to assets: </w:t>
      </w:r>
    </w:p>
    <w:p w:rsidR="001012F5" w:rsidRPr="00DB2296" w:rsidRDefault="001012F5" w:rsidP="001012F5">
      <w:pPr>
        <w:pStyle w:val="AERnumberedlistthirdstyle"/>
      </w:pPr>
      <w:r w:rsidRPr="00DB2296">
        <w:t xml:space="preserve">which are </w:t>
      </w:r>
      <w:r w:rsidR="002B4BC4">
        <w:t xml:space="preserve">already established, so </w:t>
      </w:r>
      <w:r w:rsidR="00732B3B">
        <w:t>have had</w:t>
      </w:r>
      <w:r w:rsidR="00A22755">
        <w:t xml:space="preserve"> their costs allocated using a</w:t>
      </w:r>
      <w:r w:rsidR="00732B3B">
        <w:t xml:space="preserve"> service provider's approved cost allocation method (CAM)</w:t>
      </w:r>
    </w:p>
    <w:p w:rsidR="001012F5" w:rsidRPr="001012F5" w:rsidRDefault="001012F5" w:rsidP="001012F5">
      <w:pPr>
        <w:pStyle w:val="AERnumberedlistthirdstyle"/>
      </w:pPr>
      <w:r w:rsidRPr="00DB2296">
        <w:t>used to provide both unregulated services and either standard control or prescribed transmission services, but whose costs are allocated only to standard control or prescribed transmission services</w:t>
      </w:r>
      <w:r w:rsidRPr="001012F5">
        <w:rPr>
          <w:rStyle w:val="FootnoteReference"/>
        </w:rPr>
        <w:footnoteReference w:id="8"/>
      </w:r>
      <w:r w:rsidRPr="001012F5">
        <w:t xml:space="preserve"> </w:t>
      </w:r>
    </w:p>
    <w:p w:rsidR="001012F5" w:rsidRPr="00DB2296" w:rsidRDefault="001012F5" w:rsidP="001012F5">
      <w:pPr>
        <w:pStyle w:val="AERnumberedlistthirdstyle"/>
      </w:pPr>
      <w:proofErr w:type="gramStart"/>
      <w:r w:rsidRPr="00DB2296">
        <w:t>defined</w:t>
      </w:r>
      <w:proofErr w:type="gramEnd"/>
      <w:r w:rsidRPr="00DB2296">
        <w:t xml:space="preserve"> in regulatory terms, rather than physical terms.</w:t>
      </w:r>
    </w:p>
    <w:p w:rsidR="001012F5" w:rsidRPr="00DB2296" w:rsidRDefault="001012F5" w:rsidP="001012F5">
      <w:pPr>
        <w:pStyle w:val="AERnumberedlistsecondstyle"/>
      </w:pPr>
      <w:r w:rsidRPr="00DB2296">
        <w:t xml:space="preserve">The shared asset mechanism does not relate to assets: </w:t>
      </w:r>
    </w:p>
    <w:p w:rsidR="001012F5" w:rsidRPr="00DB2296" w:rsidRDefault="001012F5" w:rsidP="001012F5">
      <w:pPr>
        <w:pStyle w:val="AERnumberedlistthirdstyle"/>
      </w:pPr>
      <w:r w:rsidRPr="00DB2296">
        <w:t>which are new</w:t>
      </w:r>
      <w:r w:rsidR="003C7532">
        <w:t>, so have not yet had their costs allocated using a service provider's approved CAM</w:t>
      </w:r>
    </w:p>
    <w:p w:rsidR="001012F5" w:rsidRPr="00DB2296" w:rsidRDefault="001012F5" w:rsidP="001012F5">
      <w:pPr>
        <w:pStyle w:val="AERnumberedlistthirdstyle"/>
      </w:pPr>
      <w:proofErr w:type="gramStart"/>
      <w:r w:rsidRPr="00DB2296">
        <w:t>used</w:t>
      </w:r>
      <w:proofErr w:type="gramEnd"/>
      <w:r w:rsidRPr="00DB2296">
        <w:t xml:space="preserve"> to provide standard control or prescribed transmission services and unregulated services, consistent with their cost allocation.</w:t>
      </w:r>
    </w:p>
    <w:p w:rsidR="001012F5" w:rsidRPr="00DB2296" w:rsidRDefault="001012F5" w:rsidP="001012F5">
      <w:pPr>
        <w:pStyle w:val="AERnumberedlistsecondstyle"/>
      </w:pPr>
      <w:r w:rsidRPr="00DB2296">
        <w:t>The shared asset mechanism does not supersede or substitute the operation of a service provider's approved CAM. Rather, because a service provider allocates assets only once, the shared assets mechanism relates to assets for which the initial allocation is no longer accurate.</w:t>
      </w:r>
    </w:p>
    <w:p w:rsidR="001012F5" w:rsidRPr="00DB2296" w:rsidRDefault="001012F5" w:rsidP="001012F5">
      <w:pPr>
        <w:pStyle w:val="AERnumberedlistsecondstyle"/>
      </w:pPr>
      <w:r w:rsidRPr="00DB2296">
        <w:t>The shared asset mechanism specifically relates to assets for which the initial cost allocation under an approved CAM comes to understate its use to provide unregulated services.</w:t>
      </w:r>
    </w:p>
    <w:p w:rsidR="001012F5" w:rsidRPr="00DC7C16" w:rsidRDefault="001012F5" w:rsidP="00DC7C16">
      <w:pPr>
        <w:pStyle w:val="Heading2"/>
      </w:pPr>
      <w:bookmarkStart w:id="21" w:name="_Toc361391651"/>
      <w:bookmarkStart w:id="22" w:name="_Toc362944432"/>
      <w:bookmarkStart w:id="23" w:name="_Toc373393821"/>
      <w:r w:rsidRPr="00DC7C16">
        <w:t>Materiality</w:t>
      </w:r>
      <w:bookmarkEnd w:id="21"/>
      <w:bookmarkEnd w:id="22"/>
      <w:bookmarkEnd w:id="23"/>
    </w:p>
    <w:p w:rsidR="001012F5" w:rsidRPr="00DB2296" w:rsidRDefault="001012F5" w:rsidP="00DC7C16">
      <w:pPr>
        <w:pStyle w:val="AERnumberedlistsecondstyle"/>
        <w:numPr>
          <w:ilvl w:val="2"/>
          <w:numId w:val="13"/>
        </w:numPr>
      </w:pPr>
      <w:r w:rsidRPr="00DB2296">
        <w:t xml:space="preserve">We </w:t>
      </w:r>
      <w:r w:rsidR="00962757">
        <w:t>may</w:t>
      </w:r>
      <w:r w:rsidR="00962757" w:rsidRPr="00DB2296">
        <w:t xml:space="preserve"> </w:t>
      </w:r>
      <w:r w:rsidRPr="00DB2296">
        <w:t xml:space="preserve">make a cost reduction </w:t>
      </w:r>
      <w:r w:rsidR="007541D1">
        <w:t xml:space="preserve">for a specific regulatory year </w:t>
      </w:r>
      <w:r w:rsidRPr="00DB2296">
        <w:t xml:space="preserve">if the unregulated use of the shared asset is </w:t>
      </w:r>
      <w:r w:rsidR="007541D1">
        <w:t xml:space="preserve">expected to be </w:t>
      </w:r>
      <w:r w:rsidRPr="00DB2296">
        <w:t>material</w:t>
      </w:r>
      <w:r w:rsidR="007541D1">
        <w:t xml:space="preserve"> in that regulatory year</w:t>
      </w:r>
      <w:r w:rsidRPr="00DB2296">
        <w:t>.</w:t>
      </w:r>
    </w:p>
    <w:p w:rsidR="001012F5" w:rsidRPr="001012F5" w:rsidRDefault="001012F5" w:rsidP="00DC7C16">
      <w:pPr>
        <w:pStyle w:val="AERnumberedlistsecondstyle"/>
      </w:pPr>
      <w:r w:rsidRPr="00DB2296">
        <w:t xml:space="preserve">Unregulated use of </w:t>
      </w:r>
      <w:r w:rsidRPr="001012F5">
        <w:rPr>
          <w:rStyle w:val="AERbody"/>
        </w:rPr>
        <w:t xml:space="preserve">shared assets is material when a service provider's annual unregulated revenues from shared assets are expected to be greater than 1 per cent of its total </w:t>
      </w:r>
      <w:r w:rsidR="00644D55">
        <w:rPr>
          <w:rStyle w:val="AERbody"/>
        </w:rPr>
        <w:t xml:space="preserve">smoothed </w:t>
      </w:r>
      <w:r w:rsidRPr="001012F5">
        <w:rPr>
          <w:rStyle w:val="AERbody"/>
        </w:rPr>
        <w:t>annual revenue requirement for that regulatory year</w:t>
      </w:r>
      <w:r w:rsidRPr="001012F5">
        <w:t xml:space="preserve">. </w:t>
      </w:r>
    </w:p>
    <w:p w:rsidR="001012F5" w:rsidRPr="001012F5" w:rsidRDefault="001012F5" w:rsidP="00DC7C16">
      <w:pPr>
        <w:pStyle w:val="AERnumberedlistsecondstyle"/>
        <w:rPr>
          <w:rStyle w:val="AERbody"/>
        </w:rPr>
      </w:pPr>
      <w:r w:rsidRPr="00DB2296">
        <w:lastRenderedPageBreak/>
        <w:t>For clarity, unregulated revenues earned from use of assets which are not shared assets</w:t>
      </w:r>
      <w:r w:rsidR="00F30057">
        <w:t>,</w:t>
      </w:r>
      <w:r w:rsidRPr="00DB2296">
        <w:t xml:space="preserve"> as defined by the NER and above (section </w:t>
      </w:r>
      <w:r w:rsidR="00D51295">
        <w:t>2.2</w:t>
      </w:r>
      <w:r w:rsidR="00D842F6">
        <w:t>)</w:t>
      </w:r>
      <w:r w:rsidR="00F30057">
        <w:t>,</w:t>
      </w:r>
      <w:r w:rsidRPr="00DB2296">
        <w:t xml:space="preserve"> are not relevant to th</w:t>
      </w:r>
      <w:r w:rsidR="00321796">
        <w:t>is</w:t>
      </w:r>
      <w:r w:rsidRPr="00DB2296">
        <w:t xml:space="preserve"> </w:t>
      </w:r>
      <w:r w:rsidRPr="001012F5">
        <w:rPr>
          <w:rStyle w:val="AERbody"/>
        </w:rPr>
        <w:t xml:space="preserve">guideline. </w:t>
      </w:r>
    </w:p>
    <w:p w:rsidR="001012F5" w:rsidRPr="001012F5" w:rsidRDefault="001012F5" w:rsidP="00DC7C16">
      <w:pPr>
        <w:pStyle w:val="AERnumberedlistsecondstyle"/>
      </w:pPr>
      <w:r w:rsidRPr="00DB2296">
        <w:rPr>
          <w:rStyle w:val="AERbody"/>
        </w:rPr>
        <w:t>Materiality is determined by averaging expected shared asset unregulated revenues</w:t>
      </w:r>
      <w:r w:rsidRPr="001012F5">
        <w:t xml:space="preserve"> across each regulatory year to which those revenues relate. </w:t>
      </w:r>
    </w:p>
    <w:p w:rsidR="001012F5" w:rsidRPr="00DC7C16" w:rsidRDefault="001012F5" w:rsidP="00DC7C16">
      <w:pPr>
        <w:pStyle w:val="Heading2"/>
      </w:pPr>
      <w:bookmarkStart w:id="24" w:name="_Toc361391652"/>
      <w:bookmarkStart w:id="25" w:name="_Toc362944433"/>
      <w:bookmarkStart w:id="26" w:name="_Toc373393822"/>
      <w:r w:rsidRPr="00DC7C16">
        <w:t>Service providers may propose cost reductions</w:t>
      </w:r>
      <w:bookmarkEnd w:id="24"/>
      <w:bookmarkEnd w:id="25"/>
      <w:bookmarkEnd w:id="26"/>
    </w:p>
    <w:p w:rsidR="001012F5" w:rsidRPr="00DB2296" w:rsidRDefault="001012F5" w:rsidP="00D51295">
      <w:pPr>
        <w:pStyle w:val="AERnumberedlistsecondstyle"/>
        <w:numPr>
          <w:ilvl w:val="2"/>
          <w:numId w:val="14"/>
        </w:numPr>
      </w:pPr>
      <w:r w:rsidRPr="00DB2296">
        <w:t xml:space="preserve">Service providers may include in a regulatory proposal for a regulatory period proposed cost reductions for our approval. That is, where a regulatory period includes some regulatory years where the materiality threshold is not expected to be met, cost reductions are not required for those years. </w:t>
      </w:r>
    </w:p>
    <w:p w:rsidR="001012F5" w:rsidRPr="00DB2296" w:rsidRDefault="001012F5" w:rsidP="001012F5">
      <w:pPr>
        <w:pStyle w:val="AERnumberedlistsecondstyle"/>
      </w:pPr>
      <w:r w:rsidRPr="00DB2296">
        <w:t xml:space="preserve">We will substitute a proposed cost reduction with our own if we consider a proposed cost reduction included in a service provider's regulatory proposal is not reasonable. </w:t>
      </w:r>
    </w:p>
    <w:p w:rsidR="001012F5" w:rsidRPr="00DB2296" w:rsidRDefault="001012F5" w:rsidP="001012F5">
      <w:pPr>
        <w:pStyle w:val="AERnumberedlistsecondstyle"/>
      </w:pPr>
      <w:r w:rsidRPr="00DB2296">
        <w:t xml:space="preserve">We will determine a cost reduction where we consider a regulatory year is a relevant regulatory year but the service provider has not proposed a shared asset cost reduction for it. </w:t>
      </w:r>
    </w:p>
    <w:p w:rsidR="001012F5" w:rsidRPr="001012F5" w:rsidRDefault="001012F5" w:rsidP="001012F5">
      <w:pPr>
        <w:pStyle w:val="AERnumberedlistsecondstyle"/>
      </w:pPr>
      <w:r w:rsidRPr="00DB2296">
        <w:t xml:space="preserve">Service providers should calculate their proposed cost reductions using the method set out in section </w:t>
      </w:r>
      <w:r w:rsidR="00165A6C">
        <w:t>3</w:t>
      </w:r>
      <w:r w:rsidRPr="00DB2296">
        <w:t xml:space="preserve"> of th</w:t>
      </w:r>
      <w:r w:rsidR="0056241A">
        <w:t>is</w:t>
      </w:r>
      <w:r w:rsidRPr="00DB2296">
        <w:t xml:space="preserve"> guideline. If a service provider uses an alternative method to calculate a cost reduction, it </w:t>
      </w:r>
      <w:r w:rsidR="009F6C2C">
        <w:t>should</w:t>
      </w:r>
      <w:r w:rsidR="009F6C2C" w:rsidRPr="00DB2296">
        <w:t xml:space="preserve"> </w:t>
      </w:r>
      <w:r w:rsidRPr="00DB2296">
        <w:t xml:space="preserve">demonstrate that </w:t>
      </w:r>
      <w:r w:rsidR="00A0190F">
        <w:t>consumer</w:t>
      </w:r>
      <w:r w:rsidR="00A86D13">
        <w:t>s</w:t>
      </w:r>
      <w:r w:rsidRPr="001012F5">
        <w:t xml:space="preserve"> </w:t>
      </w:r>
      <w:r w:rsidR="00165A6C">
        <w:t xml:space="preserve">it supplies with electricity </w:t>
      </w:r>
      <w:r w:rsidRPr="001012F5">
        <w:t xml:space="preserve">would be no worse off than if </w:t>
      </w:r>
      <w:r w:rsidR="00D125B7">
        <w:t>the section 3</w:t>
      </w:r>
      <w:r w:rsidRPr="001012F5">
        <w:t xml:space="preserve"> </w:t>
      </w:r>
      <w:proofErr w:type="gramStart"/>
      <w:r w:rsidRPr="001012F5">
        <w:t>method</w:t>
      </w:r>
      <w:proofErr w:type="gramEnd"/>
      <w:r w:rsidRPr="001012F5">
        <w:t xml:space="preserve"> had been used. </w:t>
      </w:r>
    </w:p>
    <w:p w:rsidR="001012F5" w:rsidRPr="00DC7C16" w:rsidRDefault="001012F5" w:rsidP="00DC7C16">
      <w:pPr>
        <w:pStyle w:val="Heading2"/>
      </w:pPr>
      <w:bookmarkStart w:id="27" w:name="_Toc361391653"/>
      <w:bookmarkStart w:id="28" w:name="_Toc362944434"/>
      <w:bookmarkStart w:id="29" w:name="_Toc373393823"/>
      <w:r w:rsidRPr="00DC7C16">
        <w:t xml:space="preserve">Shared asset cost reductions apply to </w:t>
      </w:r>
      <w:r w:rsidR="00F5694B">
        <w:t>regulated</w:t>
      </w:r>
      <w:r w:rsidRPr="00DC7C16">
        <w:t xml:space="preserve"> revenues</w:t>
      </w:r>
      <w:bookmarkEnd w:id="27"/>
      <w:bookmarkEnd w:id="28"/>
      <w:bookmarkEnd w:id="29"/>
    </w:p>
    <w:p w:rsidR="001012F5" w:rsidRDefault="001012F5" w:rsidP="00433A06">
      <w:pPr>
        <w:pStyle w:val="AERnumberedlistsecondstyle"/>
        <w:numPr>
          <w:ilvl w:val="2"/>
          <w:numId w:val="15"/>
        </w:numPr>
      </w:pPr>
      <w:r w:rsidRPr="00AA13B9">
        <w:rPr>
          <w:rStyle w:val="AERbody"/>
        </w:rPr>
        <w:t>Cost reductions</w:t>
      </w:r>
      <w:r>
        <w:t xml:space="preserve"> apply to a service provider's annual revenue requirement</w:t>
      </w:r>
      <w:r w:rsidR="004B1686">
        <w:t>,</w:t>
      </w:r>
      <w:r w:rsidR="00F5694B">
        <w:rPr>
          <w:rStyle w:val="FootnoteReference"/>
        </w:rPr>
        <w:footnoteReference w:id="9"/>
      </w:r>
      <w:r>
        <w:t xml:space="preserve"> not to regulatory asset base (RAB) values. </w:t>
      </w:r>
    </w:p>
    <w:p w:rsidR="001012F5" w:rsidRPr="001A79AD" w:rsidRDefault="001012F5" w:rsidP="001012F5">
      <w:pPr>
        <w:pStyle w:val="AERnumberedlistsecondstyle"/>
      </w:pPr>
      <w:r w:rsidRPr="001A79AD">
        <w:t xml:space="preserve">In approving or determining cost reductions, we will </w:t>
      </w:r>
      <w:r>
        <w:t xml:space="preserve">consider </w:t>
      </w:r>
      <w:r w:rsidR="00962757">
        <w:t xml:space="preserve">all </w:t>
      </w:r>
      <w:r>
        <w:t>relevant matters including</w:t>
      </w:r>
      <w:r w:rsidRPr="001A79AD">
        <w:t xml:space="preserve">: </w:t>
      </w:r>
    </w:p>
    <w:p w:rsidR="001012F5" w:rsidRPr="001A79AD" w:rsidRDefault="001012F5" w:rsidP="001012F5">
      <w:pPr>
        <w:pStyle w:val="AERnumberedlistthirdstyle"/>
      </w:pPr>
      <w:r w:rsidRPr="001A79AD">
        <w:t>the shared asset principles</w:t>
      </w:r>
      <w:r>
        <w:t xml:space="preserve"> and th</w:t>
      </w:r>
      <w:r w:rsidR="009A09FE">
        <w:t>is</w:t>
      </w:r>
      <w:r>
        <w:t xml:space="preserve"> guideline</w:t>
      </w:r>
    </w:p>
    <w:p w:rsidR="001012F5" w:rsidRPr="001A79AD" w:rsidRDefault="001012F5" w:rsidP="001012F5">
      <w:pPr>
        <w:pStyle w:val="AERnumberedlistthirdstyle"/>
      </w:pPr>
      <w:r>
        <w:t xml:space="preserve">the </w:t>
      </w:r>
      <w:r w:rsidRPr="001A79AD">
        <w:t xml:space="preserve">cost allocation principles </w:t>
      </w:r>
    </w:p>
    <w:p w:rsidR="001012F5" w:rsidRPr="00EF13A0" w:rsidRDefault="001012F5" w:rsidP="001012F5">
      <w:pPr>
        <w:pStyle w:val="AERnumberedlistthirdstyle"/>
        <w:rPr>
          <w:rStyle w:val="AERtextitalic"/>
          <w:i w:val="0"/>
        </w:rPr>
      </w:pPr>
      <w:proofErr w:type="gramStart"/>
      <w:r w:rsidRPr="001A79AD">
        <w:t>the</w:t>
      </w:r>
      <w:proofErr w:type="gramEnd"/>
      <w:r w:rsidRPr="001A79AD">
        <w:t xml:space="preserve"> </w:t>
      </w:r>
      <w:r>
        <w:t>service provider's</w:t>
      </w:r>
      <w:r w:rsidRPr="001A79AD">
        <w:t xml:space="preserve"> </w:t>
      </w:r>
      <w:r w:rsidRPr="001A79AD">
        <w:rPr>
          <w:rStyle w:val="AERbody"/>
        </w:rPr>
        <w:t>approved CAM.</w:t>
      </w:r>
      <w:r w:rsidRPr="001A79AD">
        <w:rPr>
          <w:rStyle w:val="AERtextsize10"/>
        </w:rPr>
        <w:t xml:space="preserve"> </w:t>
      </w:r>
      <w:r w:rsidRPr="001A79AD">
        <w:rPr>
          <w:rStyle w:val="AERtextitalic"/>
        </w:rPr>
        <w:t xml:space="preserve"> </w:t>
      </w:r>
    </w:p>
    <w:p w:rsidR="00EF13A0" w:rsidRPr="00EF13A0" w:rsidRDefault="00EF13A0" w:rsidP="00EB535A">
      <w:pPr>
        <w:pStyle w:val="Heading2"/>
      </w:pPr>
      <w:bookmarkStart w:id="30" w:name="_Toc373393824"/>
      <w:r w:rsidRPr="00EF13A0">
        <w:t>Apportioning unregulated revenues earned from shared assets</w:t>
      </w:r>
      <w:bookmarkEnd w:id="30"/>
    </w:p>
    <w:p w:rsidR="006B73A6" w:rsidRDefault="006B73A6" w:rsidP="006B73A6">
      <w:pPr>
        <w:pStyle w:val="AERnumberedlistsecondstyle"/>
        <w:numPr>
          <w:ilvl w:val="2"/>
          <w:numId w:val="21"/>
        </w:numPr>
      </w:pPr>
      <w:r w:rsidRPr="006B73A6">
        <w:t xml:space="preserve">Unregulated services may be provided using both shared assets and other assets that are not used to provide standard control services. If the extent to which shared assets are used is minimal (relative to all the assets used by that service), the AER may accept revenue apportionment.  </w:t>
      </w:r>
    </w:p>
    <w:p w:rsidR="005C3371" w:rsidRDefault="00EF13A0" w:rsidP="00EB535A">
      <w:pPr>
        <w:pStyle w:val="AERnumberedlistsecondstyle"/>
        <w:numPr>
          <w:ilvl w:val="0"/>
          <w:numId w:val="0"/>
        </w:numPr>
        <w:ind w:left="720"/>
      </w:pPr>
      <w:r w:rsidRPr="00EF13A0">
        <w:t xml:space="preserve">Revenue apportionment means </w:t>
      </w:r>
      <w:r w:rsidR="006B73A6">
        <w:t>proportionately reducing</w:t>
      </w:r>
      <w:r w:rsidR="009F464C">
        <w:t xml:space="preserve"> the total unregulated revenue earned</w:t>
      </w:r>
      <w:r w:rsidRPr="00EF13A0">
        <w:t xml:space="preserve"> from a specific unregulated service to reflect the extent of shared asset use by that service</w:t>
      </w:r>
      <w:r w:rsidR="00DB10C0">
        <w:t xml:space="preserve">. </w:t>
      </w:r>
    </w:p>
    <w:p w:rsidR="00852831" w:rsidRPr="00852831" w:rsidRDefault="00852831" w:rsidP="00852831">
      <w:pPr>
        <w:pStyle w:val="AERnumberedlistsecondstyle"/>
      </w:pPr>
      <w:r w:rsidRPr="00852831">
        <w:t xml:space="preserve">We </w:t>
      </w:r>
      <w:r w:rsidR="008021D2">
        <w:t>may</w:t>
      </w:r>
      <w:r w:rsidRPr="00852831">
        <w:t xml:space="preserve"> approve revenue apportionment if there is </w:t>
      </w:r>
      <w:r w:rsidR="007A7D0E">
        <w:t xml:space="preserve">minimal </w:t>
      </w:r>
      <w:r w:rsidRPr="00852831">
        <w:t xml:space="preserve">shared asset use to provide the service. </w:t>
      </w:r>
      <w:r w:rsidR="007A7D0E">
        <w:t xml:space="preserve">We will </w:t>
      </w:r>
      <w:r w:rsidR="008021D2">
        <w:t xml:space="preserve">generally </w:t>
      </w:r>
      <w:r w:rsidR="007A7D0E">
        <w:t xml:space="preserve">not approve apportionment in other circumstances. </w:t>
      </w:r>
    </w:p>
    <w:p w:rsidR="00852831" w:rsidRPr="00EF13A0" w:rsidRDefault="00852831" w:rsidP="00852831">
      <w:pPr>
        <w:numPr>
          <w:ilvl w:val="2"/>
          <w:numId w:val="6"/>
        </w:numPr>
      </w:pPr>
      <w:r w:rsidRPr="00EF13A0">
        <w:lastRenderedPageBreak/>
        <w:t>Apportionment is applicable only to individual unregulated serv</w:t>
      </w:r>
      <w:r>
        <w:t>ices which use shared assets. Apportionment</w:t>
      </w:r>
      <w:r w:rsidRPr="00EF13A0">
        <w:t xml:space="preserve"> is not applicable in aggregate across multiple unregulated services, </w:t>
      </w:r>
      <w:proofErr w:type="gramStart"/>
      <w:r w:rsidRPr="00EF13A0">
        <w:t>nor</w:t>
      </w:r>
      <w:proofErr w:type="gramEnd"/>
      <w:r w:rsidRPr="00EF13A0">
        <w:t xml:space="preserve"> across multiple </w:t>
      </w:r>
      <w:r w:rsidR="009C14A1">
        <w:t xml:space="preserve">regulatory </w:t>
      </w:r>
      <w:r w:rsidRPr="00EF13A0">
        <w:t xml:space="preserve">years. </w:t>
      </w:r>
    </w:p>
    <w:p w:rsidR="00684440" w:rsidRDefault="00EF13A0" w:rsidP="00FF000A">
      <w:pPr>
        <w:pStyle w:val="AERnumberedlistsecondstyle"/>
      </w:pPr>
      <w:r w:rsidRPr="00EF13A0">
        <w:t xml:space="preserve">Service providers proposing revenue </w:t>
      </w:r>
      <w:r w:rsidR="00227E94">
        <w:t xml:space="preserve">apportionment </w:t>
      </w:r>
      <w:r w:rsidR="008021D2">
        <w:t>should</w:t>
      </w:r>
      <w:r w:rsidRPr="00EF13A0">
        <w:t xml:space="preserve"> submit to us</w:t>
      </w:r>
      <w:r w:rsidR="00684440">
        <w:t>:</w:t>
      </w:r>
      <w:r w:rsidRPr="00EF13A0">
        <w:t xml:space="preserve"> </w:t>
      </w:r>
    </w:p>
    <w:p w:rsidR="00F55821" w:rsidRDefault="00F55821" w:rsidP="00FF000A">
      <w:pPr>
        <w:pStyle w:val="AERnumberedlistthirdstyle"/>
      </w:pPr>
      <w:r>
        <w:t>their rationale for proposing apportionment</w:t>
      </w:r>
    </w:p>
    <w:p w:rsidR="00684440" w:rsidRDefault="00EF13A0" w:rsidP="00FF000A">
      <w:pPr>
        <w:pStyle w:val="AERnumberedlistthirdstyle"/>
      </w:pPr>
      <w:r w:rsidRPr="00EF13A0">
        <w:t>t</w:t>
      </w:r>
      <w:r w:rsidR="00684440">
        <w:t>heir proposed apportionment</w:t>
      </w:r>
    </w:p>
    <w:p w:rsidR="00684440" w:rsidRDefault="00684440" w:rsidP="00FF000A">
      <w:pPr>
        <w:pStyle w:val="AERnumberedlistthirdstyle"/>
      </w:pPr>
      <w:proofErr w:type="gramStart"/>
      <w:r>
        <w:t>their</w:t>
      </w:r>
      <w:proofErr w:type="gramEnd"/>
      <w:r>
        <w:t xml:space="preserve"> </w:t>
      </w:r>
      <w:r w:rsidR="00E64404">
        <w:t>method used to determine that</w:t>
      </w:r>
      <w:r w:rsidR="00EF13A0" w:rsidRPr="00EF13A0">
        <w:t xml:space="preserve"> apportionment</w:t>
      </w:r>
      <w:r w:rsidR="007529DC">
        <w:t>.</w:t>
      </w:r>
    </w:p>
    <w:p w:rsidR="00EF13A0" w:rsidRPr="00EF13A0" w:rsidRDefault="00C104AB" w:rsidP="00FF000A">
      <w:pPr>
        <w:pStyle w:val="AERnumberedlistthirdstyle"/>
        <w:numPr>
          <w:ilvl w:val="0"/>
          <w:numId w:val="0"/>
        </w:numPr>
        <w:ind w:left="720"/>
      </w:pPr>
      <w:r>
        <w:t xml:space="preserve">The service provider </w:t>
      </w:r>
      <w:r w:rsidR="008021D2">
        <w:t>should</w:t>
      </w:r>
      <w:r>
        <w:t xml:space="preserve"> submit sufficient information for us to replicate the proposed apportionment using the service provider's method.</w:t>
      </w:r>
    </w:p>
    <w:p w:rsidR="002E73F0" w:rsidRDefault="002E73F0" w:rsidP="00EF13A0">
      <w:pPr>
        <w:numPr>
          <w:ilvl w:val="2"/>
          <w:numId w:val="6"/>
        </w:numPr>
      </w:pPr>
      <w:r>
        <w:t>Apportioned revenue is relevant to both the assessment of materiality (section 2.3) and the cost reduction method (section 3).</w:t>
      </w:r>
    </w:p>
    <w:p w:rsidR="00E42735" w:rsidRDefault="00EF13A0" w:rsidP="00EF13A0">
      <w:pPr>
        <w:numPr>
          <w:ilvl w:val="2"/>
          <w:numId w:val="6"/>
        </w:numPr>
      </w:pPr>
      <w:r w:rsidRPr="00EF13A0">
        <w:t xml:space="preserve">If we consider a service provider's proposed apportionment </w:t>
      </w:r>
      <w:r w:rsidR="00F14F58">
        <w:t>and/</w:t>
      </w:r>
      <w:r w:rsidRPr="00EF13A0">
        <w:t>or method is not reasonable, w</w:t>
      </w:r>
      <w:r>
        <w:t>e may</w:t>
      </w:r>
      <w:r w:rsidR="00E42735">
        <w:t>:</w:t>
      </w:r>
      <w:r>
        <w:t xml:space="preserve"> </w:t>
      </w:r>
    </w:p>
    <w:p w:rsidR="00E42735" w:rsidRDefault="00E42735" w:rsidP="00FF000A">
      <w:pPr>
        <w:pStyle w:val="AERnumberedlistthirdstyle"/>
      </w:pPr>
      <w:r>
        <w:t>not approve these and substitute them</w:t>
      </w:r>
      <w:r w:rsidR="00EF13A0" w:rsidRPr="00EF13A0">
        <w:t xml:space="preserve"> with ou</w:t>
      </w:r>
      <w:r>
        <w:t>r own method and</w:t>
      </w:r>
      <w:r w:rsidR="00F14F58">
        <w:t>/or</w:t>
      </w:r>
      <w:r>
        <w:t xml:space="preserve"> apportionment, or</w:t>
      </w:r>
      <w:r w:rsidR="00EF13A0" w:rsidRPr="00EF13A0">
        <w:t xml:space="preserve"> </w:t>
      </w:r>
    </w:p>
    <w:p w:rsidR="00EF13A0" w:rsidRPr="00EF13A0" w:rsidRDefault="00E42735" w:rsidP="00FF000A">
      <w:pPr>
        <w:pStyle w:val="AERnumberedlistthirdstyle"/>
      </w:pPr>
      <w:proofErr w:type="gramStart"/>
      <w:r>
        <w:t>not</w:t>
      </w:r>
      <w:proofErr w:type="gramEnd"/>
      <w:r>
        <w:t xml:space="preserve"> approve the</w:t>
      </w:r>
      <w:r w:rsidR="00EF13A0" w:rsidRPr="00EF13A0">
        <w:t xml:space="preserve"> proposed apportionment and not substitute it with our own—</w:t>
      </w:r>
      <w:r w:rsidR="004B1686">
        <w:t xml:space="preserve">in this instance, </w:t>
      </w:r>
      <w:r w:rsidR="00EF13A0" w:rsidRPr="00EF13A0">
        <w:t xml:space="preserve">no apportionment </w:t>
      </w:r>
      <w:r w:rsidR="008021D2">
        <w:t xml:space="preserve">would </w:t>
      </w:r>
      <w:r w:rsidR="00EF13A0" w:rsidRPr="00EF13A0">
        <w:t xml:space="preserve">apply to the unregulated service in the specific regulatory year. </w:t>
      </w:r>
    </w:p>
    <w:p w:rsidR="00EF13A0" w:rsidRDefault="000807F7" w:rsidP="00FF000A">
      <w:pPr>
        <w:pStyle w:val="Heading2"/>
      </w:pPr>
      <w:bookmarkStart w:id="31" w:name="_Toc373393825"/>
      <w:r>
        <w:t>Making cost reductions</w:t>
      </w:r>
      <w:bookmarkEnd w:id="31"/>
    </w:p>
    <w:p w:rsidR="00A82DEC" w:rsidRDefault="00A82DEC" w:rsidP="00FF000A">
      <w:pPr>
        <w:pStyle w:val="AERbodytext"/>
        <w:numPr>
          <w:ilvl w:val="0"/>
          <w:numId w:val="0"/>
        </w:numPr>
      </w:pPr>
      <w:r>
        <w:t xml:space="preserve">We will reduce a service provider's annual revenue requirement by </w:t>
      </w:r>
      <w:r w:rsidR="008021D2">
        <w:t xml:space="preserve">the </w:t>
      </w:r>
      <w:r>
        <w:t>value of the cost reduction determined under section 3 of this guideline.</w:t>
      </w:r>
    </w:p>
    <w:p w:rsidR="00A82DEC" w:rsidRPr="00A82DEC" w:rsidRDefault="00A82DEC" w:rsidP="00FF000A">
      <w:pPr>
        <w:pStyle w:val="AERbodytext"/>
        <w:numPr>
          <w:ilvl w:val="0"/>
          <w:numId w:val="0"/>
        </w:numPr>
      </w:pPr>
    </w:p>
    <w:p w:rsidR="00DC7C16" w:rsidRPr="00DC7C16" w:rsidRDefault="00DC7C16" w:rsidP="00DC7C16">
      <w:pPr>
        <w:pStyle w:val="Heading1"/>
        <w:rPr>
          <w:rStyle w:val="AERtextsize10"/>
          <w:sz w:val="36"/>
        </w:rPr>
      </w:pPr>
      <w:bookmarkStart w:id="32" w:name="_Toc361391654"/>
      <w:bookmarkStart w:id="33" w:name="_Toc362944435"/>
      <w:bookmarkStart w:id="34" w:name="_Toc373393826"/>
      <w:r w:rsidRPr="00DC7C16">
        <w:rPr>
          <w:rStyle w:val="AERtextsize10"/>
          <w:sz w:val="36"/>
        </w:rPr>
        <w:lastRenderedPageBreak/>
        <w:t>Shared asset cost reduction method</w:t>
      </w:r>
      <w:bookmarkEnd w:id="32"/>
      <w:bookmarkEnd w:id="33"/>
      <w:bookmarkEnd w:id="34"/>
    </w:p>
    <w:p w:rsidR="00DC7C16" w:rsidRPr="00DC7C16" w:rsidRDefault="00DC7C16" w:rsidP="00DC7C16">
      <w:pPr>
        <w:pStyle w:val="AERbodytext"/>
        <w:rPr>
          <w:rStyle w:val="AERbody"/>
        </w:rPr>
      </w:pPr>
      <w:r>
        <w:t>This section sets out our proposed method</w:t>
      </w:r>
      <w:r w:rsidRPr="00DC7C16">
        <w:t xml:space="preserve"> for determining shared asset cost reductions. </w:t>
      </w:r>
      <w:r w:rsidRPr="00DC7C16">
        <w:rPr>
          <w:rStyle w:val="AERbody"/>
        </w:rPr>
        <w:t>Our proposed method incorporates a primary</w:t>
      </w:r>
      <w:r w:rsidR="000E4D4B">
        <w:rPr>
          <w:rStyle w:val="AERbody"/>
        </w:rPr>
        <w:t xml:space="preserve"> </w:t>
      </w:r>
      <w:r w:rsidRPr="00DC7C16">
        <w:rPr>
          <w:rStyle w:val="AERbody"/>
        </w:rPr>
        <w:t xml:space="preserve">calculation and a secondary control step. The control step is to estimate the regulated returns to a service provider from its shared assets. Under the NER, cost reductions may not exceed this value. </w:t>
      </w:r>
    </w:p>
    <w:p w:rsidR="00DC7C16" w:rsidRDefault="00DC7C16" w:rsidP="00DC7C16">
      <w:pPr>
        <w:pStyle w:val="AERbodytext"/>
        <w:rPr>
          <w:rStyle w:val="AERbody"/>
        </w:rPr>
      </w:pPr>
      <w:r>
        <w:rPr>
          <w:rStyle w:val="AERbody"/>
        </w:rPr>
        <w:t xml:space="preserve">In addition, </w:t>
      </w:r>
      <w:r w:rsidRPr="00DC7C16">
        <w:rPr>
          <w:rStyle w:val="AERbody"/>
        </w:rPr>
        <w:t>consumers may benefit from asset upgrades, or contributed assets, funded by third party providers of unregulated services.</w:t>
      </w:r>
      <w:r w:rsidRPr="00DC7C16">
        <w:rPr>
          <w:rStyle w:val="FootnoteReference"/>
        </w:rPr>
        <w:footnoteReference w:id="10"/>
      </w:r>
      <w:r w:rsidRPr="00DC7C16">
        <w:rPr>
          <w:rStyle w:val="AERbody"/>
        </w:rPr>
        <w:t xml:space="preserve"> Service providers may provide to us evidence of consumer benefits </w:t>
      </w:r>
      <w:proofErr w:type="gramStart"/>
      <w:r w:rsidRPr="00DC7C16">
        <w:rPr>
          <w:rStyle w:val="AERbody"/>
        </w:rPr>
        <w:t>from  contributed</w:t>
      </w:r>
      <w:proofErr w:type="gramEnd"/>
      <w:r w:rsidRPr="00DC7C16">
        <w:rPr>
          <w:rStyle w:val="AERbody"/>
        </w:rPr>
        <w:t xml:space="preserve"> assets. We may take such evidence into account by reducing the value of a cost reduction to reflect </w:t>
      </w:r>
      <w:r w:rsidR="009C14A1">
        <w:rPr>
          <w:rStyle w:val="AERbody"/>
        </w:rPr>
        <w:t xml:space="preserve">any </w:t>
      </w:r>
      <w:r w:rsidRPr="00DC7C16">
        <w:rPr>
          <w:rStyle w:val="AERbody"/>
        </w:rPr>
        <w:t xml:space="preserve">consumer benefits. </w:t>
      </w:r>
    </w:p>
    <w:p w:rsidR="00DC7C16" w:rsidRPr="00DC64D9" w:rsidRDefault="00DC7C16" w:rsidP="00DC64D9">
      <w:pPr>
        <w:pStyle w:val="Heading2"/>
      </w:pPr>
      <w:bookmarkStart w:id="35" w:name="_Toc361391655"/>
      <w:bookmarkStart w:id="36" w:name="_Toc362944436"/>
      <w:bookmarkStart w:id="37" w:name="_Toc373393827"/>
      <w:r w:rsidRPr="00DC64D9">
        <w:rPr>
          <w:rStyle w:val="AERtextsize10"/>
          <w:sz w:val="28"/>
        </w:rPr>
        <w:t>Cost reduction method</w:t>
      </w:r>
      <w:r w:rsidRPr="00DC64D9">
        <w:rPr>
          <w:rStyle w:val="AERsuperscript"/>
        </w:rPr>
        <w:footnoteReference w:id="11"/>
      </w:r>
      <w:bookmarkEnd w:id="35"/>
      <w:bookmarkEnd w:id="36"/>
      <w:bookmarkEnd w:id="37"/>
    </w:p>
    <w:p w:rsidR="00DC7C16" w:rsidRDefault="00DC7C16" w:rsidP="00DC7C16">
      <w:pPr>
        <w:pStyle w:val="AERnumberedlistsecondstyle"/>
      </w:pPr>
      <w:r w:rsidRPr="007F77C8">
        <w:t xml:space="preserve">Service providers </w:t>
      </w:r>
      <w:r w:rsidR="00077A75">
        <w:t>may</w:t>
      </w:r>
      <w:r w:rsidR="00077A75" w:rsidRPr="007F77C8">
        <w:t xml:space="preserve"> </w:t>
      </w:r>
      <w:r w:rsidRPr="007F77C8">
        <w:t xml:space="preserve">propose cost reductions, and we </w:t>
      </w:r>
      <w:r w:rsidR="00225B11">
        <w:t>propose to</w:t>
      </w:r>
      <w:r w:rsidR="00225B11" w:rsidRPr="007F77C8">
        <w:t xml:space="preserve"> </w:t>
      </w:r>
      <w:r w:rsidRPr="007F77C8">
        <w:t xml:space="preserve">determine them, in accordance with the method set out in this section. </w:t>
      </w:r>
    </w:p>
    <w:p w:rsidR="00C632A5" w:rsidRDefault="00C632A5" w:rsidP="00DC7C16">
      <w:pPr>
        <w:pStyle w:val="AERnumberedlistsecondstyle"/>
      </w:pPr>
      <w:r>
        <w:t>Consistent with clause 2.</w:t>
      </w:r>
      <w:r w:rsidR="009C14A1">
        <w:t>3</w:t>
      </w:r>
      <w:r>
        <w:t xml:space="preserve">.d of this guideline (materiality), unregulated revenue relevant to cost reductions </w:t>
      </w:r>
      <w:r w:rsidRPr="00DB2296">
        <w:rPr>
          <w:rStyle w:val="AERbody"/>
        </w:rPr>
        <w:t>is determined by averaging expected shared asset unregulated revenues</w:t>
      </w:r>
      <w:r w:rsidRPr="001012F5">
        <w:t xml:space="preserve"> across each regulatory year to which those revenues relate</w:t>
      </w:r>
      <w:r>
        <w:t>.</w:t>
      </w:r>
    </w:p>
    <w:p w:rsidR="00F74A4F" w:rsidRDefault="00F74A4F" w:rsidP="00DC7C16">
      <w:pPr>
        <w:pStyle w:val="AERnumberedlistsecondstyle"/>
      </w:pPr>
      <w:r>
        <w:t>Consistent with section 2.</w:t>
      </w:r>
      <w:r w:rsidR="0031619F">
        <w:t>6</w:t>
      </w:r>
      <w:r>
        <w:t xml:space="preserve"> of this guideline (apportioning unregulated revenue</w:t>
      </w:r>
      <w:r w:rsidR="004049C0">
        <w:t>s earned from shared assets</w:t>
      </w:r>
      <w:r>
        <w:t xml:space="preserve">), unregulated revenue relevant to cost reductions may include apportionment. </w:t>
      </w:r>
    </w:p>
    <w:p w:rsidR="00C632A5" w:rsidRDefault="00AF3549" w:rsidP="00DC7C16">
      <w:pPr>
        <w:pStyle w:val="AERnumberedlistsecondstyle"/>
      </w:pPr>
      <w:r>
        <w:t xml:space="preserve">A cost reduction will </w:t>
      </w:r>
      <w:r w:rsidR="007541D1">
        <w:t xml:space="preserve">reduce a service provider's standard control (or prescribed transmission) revenues by 10 per cent of the value of </w:t>
      </w:r>
      <w:r w:rsidR="00B161FD">
        <w:t xml:space="preserve">the service provider's </w:t>
      </w:r>
      <w:r w:rsidR="00B53E6F">
        <w:t xml:space="preserve">expected </w:t>
      </w:r>
      <w:r>
        <w:t xml:space="preserve">total </w:t>
      </w:r>
      <w:r w:rsidR="007541D1">
        <w:t xml:space="preserve">unregulated revenues </w:t>
      </w:r>
      <w:r w:rsidR="00B161FD">
        <w:t>from shared assets in that year.</w:t>
      </w:r>
    </w:p>
    <w:p w:rsidR="00DC7C16" w:rsidRPr="006844F0" w:rsidRDefault="00DC7C16" w:rsidP="00613B22">
      <w:pPr>
        <w:pStyle w:val="AERnumberedlistsecondstyle"/>
      </w:pPr>
      <w:r w:rsidRPr="006844F0">
        <w:t xml:space="preserve">The cost reduction is now complete, subject to the control step and, potentially, accounting for contributed assets. </w:t>
      </w:r>
    </w:p>
    <w:p w:rsidR="00DC7C16" w:rsidRPr="00DC64D9" w:rsidRDefault="00DC7C16" w:rsidP="00DC64D9">
      <w:pPr>
        <w:pStyle w:val="Heading2"/>
        <w:rPr>
          <w:rStyle w:val="AERtextsize10"/>
          <w:sz w:val="28"/>
        </w:rPr>
      </w:pPr>
      <w:bookmarkStart w:id="38" w:name="_Toc361391656"/>
      <w:bookmarkStart w:id="39" w:name="_Toc362944437"/>
      <w:bookmarkStart w:id="40" w:name="_Toc373393828"/>
      <w:r w:rsidRPr="00DC64D9">
        <w:rPr>
          <w:rStyle w:val="AERtextsize10"/>
          <w:sz w:val="28"/>
        </w:rPr>
        <w:t>Control</w:t>
      </w:r>
      <w:bookmarkEnd w:id="38"/>
      <w:bookmarkEnd w:id="39"/>
      <w:bookmarkEnd w:id="40"/>
    </w:p>
    <w:p w:rsidR="00DC7C16" w:rsidRPr="0016277E" w:rsidRDefault="00DC7C16" w:rsidP="00613B22">
      <w:pPr>
        <w:pStyle w:val="AERnumberedlistsecondstyle"/>
        <w:numPr>
          <w:ilvl w:val="2"/>
          <w:numId w:val="18"/>
        </w:numPr>
      </w:pPr>
      <w:r w:rsidRPr="0016277E">
        <w:t xml:space="preserve">Service providers may report to us their estimate of the sum of return on and return of capital for their shared assets. </w:t>
      </w:r>
    </w:p>
    <w:p w:rsidR="00DC7C16" w:rsidRPr="0016277E" w:rsidRDefault="00DC7C16" w:rsidP="00DC7C16">
      <w:pPr>
        <w:pStyle w:val="AERnumberedlistsecondstyle"/>
      </w:pPr>
      <w:r w:rsidRPr="0016277E">
        <w:t xml:space="preserve">Service providers </w:t>
      </w:r>
      <w:r w:rsidR="00225B11">
        <w:t>should</w:t>
      </w:r>
      <w:r w:rsidR="00225B11" w:rsidRPr="0016277E">
        <w:t xml:space="preserve"> </w:t>
      </w:r>
      <w:r w:rsidRPr="0016277E">
        <w:t>provide the method used to calculate an estimate reported to us under s</w:t>
      </w:r>
      <w:r w:rsidR="00832627">
        <w:t>ection 4</w:t>
      </w:r>
      <w:r w:rsidRPr="0016277E">
        <w:t xml:space="preserve">. </w:t>
      </w:r>
    </w:p>
    <w:p w:rsidR="00DC7C16" w:rsidRPr="00DC7C16" w:rsidRDefault="00DC7C16" w:rsidP="00DC7C16">
      <w:pPr>
        <w:pStyle w:val="AERnumberedlistsecondstyle"/>
      </w:pPr>
      <w:r w:rsidRPr="0016277E">
        <w:t xml:space="preserve">We will </w:t>
      </w:r>
      <w:r w:rsidR="00225B11">
        <w:t>consider whether</w:t>
      </w:r>
      <w:r w:rsidR="00225B11" w:rsidRPr="0016277E">
        <w:t xml:space="preserve"> </w:t>
      </w:r>
      <w:r w:rsidRPr="0016277E">
        <w:t xml:space="preserve">the </w:t>
      </w:r>
      <w:r w:rsidR="00225B11">
        <w:t xml:space="preserve">service provider's </w:t>
      </w:r>
      <w:r w:rsidRPr="0016277E">
        <w:t>estimate and method are reasonable.</w:t>
      </w:r>
      <w:r w:rsidRPr="00DC7C16" w:rsidDel="005540A9">
        <w:t xml:space="preserve"> </w:t>
      </w:r>
      <w:r w:rsidRPr="00DC7C16">
        <w:t xml:space="preserve">We </w:t>
      </w:r>
      <w:r w:rsidR="00225B11">
        <w:t>may</w:t>
      </w:r>
      <w:r w:rsidR="00225B11" w:rsidRPr="00DC7C16">
        <w:t xml:space="preserve"> </w:t>
      </w:r>
      <w:r w:rsidRPr="00DC7C16">
        <w:t xml:space="preserve">estimate the cap value ourselves if we consider a service provider's proposed estimate </w:t>
      </w:r>
      <w:r w:rsidR="00225B11">
        <w:t>or</w:t>
      </w:r>
      <w:r w:rsidR="00225B11" w:rsidRPr="00DC7C16">
        <w:t xml:space="preserve"> </w:t>
      </w:r>
      <w:r w:rsidRPr="00DC7C16">
        <w:t xml:space="preserve">method </w:t>
      </w:r>
      <w:r w:rsidR="00225B11">
        <w:t>is</w:t>
      </w:r>
      <w:r w:rsidR="00225B11" w:rsidRPr="00DC7C16">
        <w:t xml:space="preserve"> </w:t>
      </w:r>
      <w:r w:rsidRPr="00DC7C16">
        <w:t xml:space="preserve">not reasonable, or </w:t>
      </w:r>
      <w:r w:rsidR="00225B11">
        <w:t>if no estimate or method is</w:t>
      </w:r>
      <w:r w:rsidRPr="00DC7C16">
        <w:t xml:space="preserve"> provided to us. </w:t>
      </w:r>
    </w:p>
    <w:p w:rsidR="00DC7C16" w:rsidRPr="00B84CA2" w:rsidRDefault="00DC7C16" w:rsidP="00B84CA2">
      <w:pPr>
        <w:pStyle w:val="Heading2"/>
        <w:rPr>
          <w:rStyle w:val="AERtextsize10"/>
          <w:sz w:val="28"/>
        </w:rPr>
      </w:pPr>
      <w:bookmarkStart w:id="41" w:name="_Toc361391657"/>
      <w:bookmarkStart w:id="42" w:name="_Toc362944438"/>
      <w:bookmarkStart w:id="43" w:name="_Toc373393829"/>
      <w:r w:rsidRPr="00B84CA2">
        <w:rPr>
          <w:rStyle w:val="AERtextsize10"/>
          <w:sz w:val="28"/>
        </w:rPr>
        <w:t>Applying the control</w:t>
      </w:r>
      <w:bookmarkEnd w:id="41"/>
      <w:bookmarkEnd w:id="42"/>
      <w:bookmarkEnd w:id="43"/>
    </w:p>
    <w:p w:rsidR="00DC7C16" w:rsidRPr="00DC7C16" w:rsidRDefault="00DC7C16" w:rsidP="002E42F5">
      <w:pPr>
        <w:pStyle w:val="AERnumberedlistsecondstyle"/>
        <w:numPr>
          <w:ilvl w:val="2"/>
          <w:numId w:val="16"/>
        </w:numPr>
        <w:rPr>
          <w:rStyle w:val="AERtextsize10"/>
        </w:rPr>
      </w:pPr>
      <w:r w:rsidRPr="00FB4471">
        <w:rPr>
          <w:rStyle w:val="AERtextsize10"/>
        </w:rPr>
        <w:t xml:space="preserve">Subject to the cap </w:t>
      </w:r>
      <w:r w:rsidRPr="00DC7C16">
        <w:rPr>
          <w:rStyle w:val="AERtextsize10"/>
        </w:rPr>
        <w:t xml:space="preserve">calculated </w:t>
      </w:r>
      <w:r w:rsidRPr="00DC7C16">
        <w:t>under</w:t>
      </w:r>
      <w:r w:rsidRPr="00DC7C16">
        <w:rPr>
          <w:rStyle w:val="AERtextsize10"/>
        </w:rPr>
        <w:t xml:space="preserve"> section </w:t>
      </w:r>
      <w:r w:rsidR="002D7D24">
        <w:rPr>
          <w:rStyle w:val="AERtextsize10"/>
        </w:rPr>
        <w:t>3</w:t>
      </w:r>
      <w:r w:rsidRPr="00DC7C16">
        <w:rPr>
          <w:rStyle w:val="AERtextsize10"/>
        </w:rPr>
        <w:t xml:space="preserve">.2: </w:t>
      </w:r>
    </w:p>
    <w:p w:rsidR="00DC7C16" w:rsidRPr="0016277E" w:rsidRDefault="00DC7C16" w:rsidP="00DC7C16">
      <w:pPr>
        <w:pStyle w:val="AERnumberedlistthirdstyle"/>
      </w:pPr>
      <w:r w:rsidRPr="0016277E">
        <w:t>where the cost reduction amount is greater than the cap value</w:t>
      </w:r>
    </w:p>
    <w:p w:rsidR="00DC7C16" w:rsidRPr="0016277E" w:rsidRDefault="00DC7C16" w:rsidP="00DC7C16">
      <w:pPr>
        <w:pStyle w:val="AERnumberedlistthirdstyle"/>
      </w:pPr>
      <w:proofErr w:type="gramStart"/>
      <w:r w:rsidRPr="0016277E">
        <w:t>the</w:t>
      </w:r>
      <w:proofErr w:type="gramEnd"/>
      <w:r w:rsidRPr="0016277E">
        <w:t xml:space="preserve"> cost reduction amount </w:t>
      </w:r>
      <w:r w:rsidR="00225B11">
        <w:t>may</w:t>
      </w:r>
      <w:r w:rsidR="00225B11" w:rsidRPr="0016277E">
        <w:t xml:space="preserve"> </w:t>
      </w:r>
      <w:r w:rsidRPr="0016277E">
        <w:t>be reduced to equal the cap value.</w:t>
      </w:r>
    </w:p>
    <w:p w:rsidR="00DC7C16" w:rsidRPr="00B84CA2" w:rsidRDefault="00DC7C16" w:rsidP="00B84CA2">
      <w:pPr>
        <w:pStyle w:val="Heading2"/>
        <w:rPr>
          <w:rStyle w:val="AERtextsize10"/>
          <w:sz w:val="28"/>
        </w:rPr>
      </w:pPr>
      <w:bookmarkStart w:id="44" w:name="_Toc361391658"/>
      <w:bookmarkStart w:id="45" w:name="_Toc362944439"/>
      <w:bookmarkStart w:id="46" w:name="_Toc373393830"/>
      <w:r w:rsidRPr="00B84CA2">
        <w:rPr>
          <w:rStyle w:val="AERtextsize10"/>
          <w:sz w:val="28"/>
        </w:rPr>
        <w:lastRenderedPageBreak/>
        <w:t>Contributed assets</w:t>
      </w:r>
      <w:bookmarkEnd w:id="44"/>
      <w:bookmarkEnd w:id="45"/>
      <w:bookmarkEnd w:id="46"/>
    </w:p>
    <w:p w:rsidR="00DC7C16" w:rsidRPr="00DC7C16" w:rsidRDefault="00DC7C16" w:rsidP="002E42F5">
      <w:pPr>
        <w:pStyle w:val="AERnumberedlistsecondstyle"/>
        <w:numPr>
          <w:ilvl w:val="2"/>
          <w:numId w:val="17"/>
        </w:numPr>
        <w:rPr>
          <w:rStyle w:val="AERtextsize10"/>
        </w:rPr>
      </w:pPr>
      <w:r w:rsidRPr="0016277E">
        <w:t>Service</w:t>
      </w:r>
      <w:r w:rsidRPr="00DC7C16">
        <w:rPr>
          <w:rStyle w:val="AERtextsize10"/>
        </w:rPr>
        <w:t xml:space="preserve"> providers may provide evidence to us of electricity consumer benefits accruing from third parties by:</w:t>
      </w:r>
    </w:p>
    <w:p w:rsidR="00DC7C16" w:rsidRPr="0016277E" w:rsidRDefault="00DC7C16" w:rsidP="00DC7C16">
      <w:pPr>
        <w:pStyle w:val="AERnumberedlistthirdstyle"/>
      </w:pPr>
      <w:r w:rsidRPr="0016277E">
        <w:t>asset replacements</w:t>
      </w:r>
    </w:p>
    <w:p w:rsidR="00DC7C16" w:rsidRPr="0016277E" w:rsidRDefault="00DC7C16" w:rsidP="00DC7C16">
      <w:pPr>
        <w:pStyle w:val="AERnumberedlistthirdstyle"/>
      </w:pPr>
      <w:r w:rsidRPr="0016277E">
        <w:t>asset enhancements or upgrades</w:t>
      </w:r>
    </w:p>
    <w:p w:rsidR="00DC7C16" w:rsidRPr="0016277E" w:rsidRDefault="00DC7C16" w:rsidP="00DC7C16">
      <w:pPr>
        <w:pStyle w:val="AERnumberedlistthirdstyle"/>
      </w:pPr>
      <w:proofErr w:type="gramStart"/>
      <w:r w:rsidRPr="0016277E">
        <w:t>other</w:t>
      </w:r>
      <w:proofErr w:type="gramEnd"/>
      <w:r w:rsidRPr="0016277E">
        <w:t xml:space="preserve"> network improvements.</w:t>
      </w:r>
    </w:p>
    <w:p w:rsidR="00DC7C16" w:rsidRDefault="00DC7C16" w:rsidP="00DC7C16">
      <w:pPr>
        <w:pStyle w:val="AERnumberedlistsecondstyle"/>
        <w:rPr>
          <w:rStyle w:val="AERtextsize10"/>
        </w:rPr>
      </w:pPr>
      <w:r>
        <w:rPr>
          <w:rStyle w:val="AERtextsize10"/>
        </w:rPr>
        <w:t>S</w:t>
      </w:r>
      <w:r w:rsidRPr="00DC7C16">
        <w:rPr>
          <w:rStyle w:val="AERtextsize10"/>
        </w:rPr>
        <w:t xml:space="preserve">uch evidence may be grounds for reducing cost reduction values. We </w:t>
      </w:r>
      <w:r w:rsidR="00225B11">
        <w:rPr>
          <w:rStyle w:val="AERtextsize10"/>
        </w:rPr>
        <w:t>may</w:t>
      </w:r>
      <w:r w:rsidR="00225B11" w:rsidRPr="00DC7C16">
        <w:rPr>
          <w:rStyle w:val="AERtextsize10"/>
        </w:rPr>
        <w:t xml:space="preserve"> </w:t>
      </w:r>
      <w:r w:rsidRPr="00DC7C16">
        <w:rPr>
          <w:rStyle w:val="AERtextsize10"/>
        </w:rPr>
        <w:t xml:space="preserve">take </w:t>
      </w:r>
      <w:r w:rsidR="001F276F">
        <w:rPr>
          <w:rStyle w:val="AERtextsize10"/>
        </w:rPr>
        <w:t>this</w:t>
      </w:r>
      <w:r w:rsidR="001F276F" w:rsidRPr="00DC7C16">
        <w:rPr>
          <w:rStyle w:val="AERtextsize10"/>
        </w:rPr>
        <w:t xml:space="preserve"> </w:t>
      </w:r>
      <w:r w:rsidRPr="00DC7C16">
        <w:rPr>
          <w:rStyle w:val="AERtextsize10"/>
        </w:rPr>
        <w:t>evidence into account when approving or determining cost reductions.</w:t>
      </w:r>
    </w:p>
    <w:p w:rsidR="00E801B8" w:rsidRDefault="00E801B8">
      <w:pPr>
        <w:spacing w:after="0" w:line="240" w:lineRule="auto"/>
        <w:jc w:val="left"/>
        <w:rPr>
          <w:rStyle w:val="AERtextsize10"/>
          <w:rFonts w:eastAsia="Times New Roman"/>
          <w:szCs w:val="24"/>
        </w:rPr>
      </w:pPr>
    </w:p>
    <w:p w:rsidR="00A66D9E" w:rsidRPr="00D35896" w:rsidRDefault="00A66D9E" w:rsidP="00E42630">
      <w:pPr>
        <w:pStyle w:val="Heading1"/>
      </w:pPr>
      <w:bookmarkStart w:id="47" w:name="_Toc361391659"/>
      <w:bookmarkStart w:id="48" w:name="_Toc362944440"/>
      <w:bookmarkStart w:id="49" w:name="_Toc373393831"/>
      <w:r w:rsidRPr="000916E6">
        <w:lastRenderedPageBreak/>
        <w:t>Information</w:t>
      </w:r>
      <w:r w:rsidRPr="00D35896">
        <w:t xml:space="preserve"> reporting</w:t>
      </w:r>
      <w:bookmarkEnd w:id="47"/>
      <w:bookmarkEnd w:id="48"/>
      <w:bookmarkEnd w:id="49"/>
    </w:p>
    <w:p w:rsidR="00A66D9E" w:rsidRPr="00A66D9E" w:rsidRDefault="00A66D9E" w:rsidP="00A66D9E">
      <w:pPr>
        <w:pStyle w:val="AERbodytext"/>
      </w:pPr>
      <w:r>
        <w:t xml:space="preserve">This section sets out </w:t>
      </w:r>
      <w:r w:rsidRPr="00A66D9E">
        <w:t>our information reporting requirements relevant to the shared asset mechanism.</w:t>
      </w:r>
    </w:p>
    <w:p w:rsidR="00A66D9E" w:rsidRPr="00571FD3" w:rsidRDefault="00A66D9E" w:rsidP="00E42630">
      <w:pPr>
        <w:pStyle w:val="Heading2"/>
      </w:pPr>
      <w:bookmarkStart w:id="50" w:name="_Toc361391660"/>
      <w:bookmarkStart w:id="51" w:name="_Toc362944441"/>
      <w:bookmarkStart w:id="52" w:name="_Toc373393832"/>
      <w:r w:rsidRPr="00571FD3">
        <w:t>Annual reporting</w:t>
      </w:r>
      <w:bookmarkEnd w:id="50"/>
      <w:bookmarkEnd w:id="51"/>
      <w:bookmarkEnd w:id="52"/>
    </w:p>
    <w:p w:rsidR="00A66D9E" w:rsidRPr="00A66D9E" w:rsidRDefault="00A66D9E" w:rsidP="00A66D9E">
      <w:pPr>
        <w:pStyle w:val="AERnumberedlistsecondstyle"/>
        <w:rPr>
          <w:rStyle w:val="AERbody"/>
        </w:rPr>
      </w:pPr>
      <w:r>
        <w:t xml:space="preserve">Through annual regulatory information notices (RINs) or other appropriate mechanisms we </w:t>
      </w:r>
      <w:r w:rsidR="00225B11">
        <w:t xml:space="preserve">may </w:t>
      </w:r>
      <w:r>
        <w:t xml:space="preserve">require service providers to report for each </w:t>
      </w:r>
      <w:r w:rsidRPr="00A66D9E">
        <w:rPr>
          <w:rStyle w:val="AERbody"/>
        </w:rPr>
        <w:t>regulatory year:</w:t>
      </w:r>
    </w:p>
    <w:p w:rsidR="00A66D9E" w:rsidRPr="00A66D9E" w:rsidRDefault="00A66D9E" w:rsidP="00A66D9E">
      <w:pPr>
        <w:pStyle w:val="AERnumberedlistthirdstyle"/>
      </w:pPr>
      <w:r>
        <w:t>a list of</w:t>
      </w:r>
      <w:r w:rsidRPr="00A66D9E">
        <w:t xml:space="preserve"> unregulated services provided with shared assets</w:t>
      </w:r>
    </w:p>
    <w:p w:rsidR="00A66D9E" w:rsidRPr="00A66D9E" w:rsidRDefault="00A66D9E" w:rsidP="00A66D9E">
      <w:pPr>
        <w:pStyle w:val="AERnumberedlistthirdstyle"/>
      </w:pPr>
      <w:proofErr w:type="gramStart"/>
      <w:r w:rsidRPr="000916E6">
        <w:t>total</w:t>
      </w:r>
      <w:proofErr w:type="gramEnd"/>
      <w:r w:rsidRPr="00A66D9E">
        <w:t xml:space="preserve"> </w:t>
      </w:r>
      <w:r w:rsidRPr="00A66D9E">
        <w:rPr>
          <w:rStyle w:val="AERbody"/>
        </w:rPr>
        <w:t>shared assets</w:t>
      </w:r>
      <w:r w:rsidRPr="00A66D9E">
        <w:t xml:space="preserve"> unregulated revenue.</w:t>
      </w:r>
    </w:p>
    <w:p w:rsidR="00A66D9E" w:rsidRPr="00600F86" w:rsidRDefault="00A66D9E" w:rsidP="00E42630">
      <w:pPr>
        <w:pStyle w:val="Heading2"/>
      </w:pPr>
      <w:bookmarkStart w:id="53" w:name="_Toc361391661"/>
      <w:bookmarkStart w:id="54" w:name="_Toc362944442"/>
      <w:bookmarkStart w:id="55" w:name="_Toc373393833"/>
      <w:r w:rsidRPr="00571FD3">
        <w:t>Regulatory proposal reporting</w:t>
      </w:r>
      <w:bookmarkEnd w:id="53"/>
      <w:bookmarkEnd w:id="54"/>
      <w:bookmarkEnd w:id="55"/>
    </w:p>
    <w:p w:rsidR="00A66D9E" w:rsidRPr="00D87ADF" w:rsidRDefault="00A66D9E" w:rsidP="00E42630">
      <w:pPr>
        <w:pStyle w:val="AERnumberedlistsecondstyle"/>
        <w:numPr>
          <w:ilvl w:val="2"/>
          <w:numId w:val="22"/>
        </w:numPr>
      </w:pPr>
      <w:r w:rsidRPr="00D87ADF">
        <w:t xml:space="preserve">Through RINs </w:t>
      </w:r>
      <w:r w:rsidR="00F8361A">
        <w:t xml:space="preserve">submitted with regulatory proposals </w:t>
      </w:r>
      <w:r w:rsidRPr="00D87ADF">
        <w:t xml:space="preserve">or other appropriate mechanisms we </w:t>
      </w:r>
      <w:r w:rsidR="00E41F36" w:rsidRPr="00D87ADF">
        <w:t xml:space="preserve">may </w:t>
      </w:r>
      <w:r w:rsidRPr="00D87ADF">
        <w:t xml:space="preserve">require service providers to report for an upcoming </w:t>
      </w:r>
      <w:r w:rsidRPr="00D87ADF">
        <w:rPr>
          <w:rStyle w:val="AERbody"/>
        </w:rPr>
        <w:t>regulatory period</w:t>
      </w:r>
      <w:r w:rsidRPr="00D87ADF">
        <w:t xml:space="preserve"> a list of unregulated services using shared assets.</w:t>
      </w:r>
    </w:p>
    <w:p w:rsidR="00A66D9E" w:rsidRPr="00A66D9E" w:rsidRDefault="00A66D9E" w:rsidP="00A66D9E">
      <w:pPr>
        <w:pStyle w:val="AERnumberedlistsecondstyle"/>
      </w:pPr>
      <w:r>
        <w:t xml:space="preserve">If an upcoming </w:t>
      </w:r>
      <w:r w:rsidRPr="00A66D9E">
        <w:rPr>
          <w:rStyle w:val="AERbody"/>
        </w:rPr>
        <w:t>regulatory period is expected to be a relevant regulatory period,</w:t>
      </w:r>
      <w:r w:rsidRPr="00A66D9E">
        <w:t xml:space="preserve"> our regulatory proposal RINs </w:t>
      </w:r>
      <w:r w:rsidR="00E41F36">
        <w:t>may</w:t>
      </w:r>
      <w:r w:rsidR="00E41F36" w:rsidRPr="00A66D9E">
        <w:t xml:space="preserve"> </w:t>
      </w:r>
      <w:r w:rsidRPr="00A66D9E">
        <w:t xml:space="preserve">require: </w:t>
      </w:r>
    </w:p>
    <w:p w:rsidR="00A66D9E" w:rsidRPr="00A66D9E" w:rsidRDefault="00A66D9E" w:rsidP="00A66D9E">
      <w:pPr>
        <w:pStyle w:val="AERnumberedlistthirdstyle"/>
        <w:rPr>
          <w:rStyle w:val="AERbody"/>
        </w:rPr>
      </w:pPr>
      <w:r>
        <w:t>d</w:t>
      </w:r>
      <w:r w:rsidRPr="00A66D9E">
        <w:t xml:space="preserve">escriptions of each shared asset unregulated service to be provided during the </w:t>
      </w:r>
      <w:r w:rsidRPr="00A66D9E">
        <w:rPr>
          <w:rStyle w:val="AERbody"/>
        </w:rPr>
        <w:t>relevant regulatory period</w:t>
      </w:r>
    </w:p>
    <w:p w:rsidR="00A66D9E" w:rsidRPr="00A66D9E" w:rsidRDefault="00A66D9E" w:rsidP="00A66D9E">
      <w:pPr>
        <w:pStyle w:val="AERnumberedlistthirdstyle"/>
      </w:pPr>
      <w:proofErr w:type="gramStart"/>
      <w:r w:rsidRPr="000916E6">
        <w:t>descriptions</w:t>
      </w:r>
      <w:proofErr w:type="gramEnd"/>
      <w:r w:rsidRPr="00A66D9E">
        <w:t xml:space="preserve"> of </w:t>
      </w:r>
      <w:r w:rsidRPr="00A66D9E">
        <w:rPr>
          <w:rStyle w:val="AERbody"/>
        </w:rPr>
        <w:t>the shared assets used to provide unregulated services</w:t>
      </w:r>
      <w:r w:rsidR="008D752B">
        <w:rPr>
          <w:rStyle w:val="AERbody"/>
        </w:rPr>
        <w:t>.</w:t>
      </w:r>
    </w:p>
    <w:p w:rsidR="00A66D9E" w:rsidRDefault="00E41F36" w:rsidP="00A66D9E">
      <w:pPr>
        <w:pStyle w:val="AERnumberedlistsecondstyle"/>
      </w:pPr>
      <w:r>
        <w:t xml:space="preserve">We may also seek an </w:t>
      </w:r>
      <w:r w:rsidR="00A66D9E">
        <w:t>overview of contracts under which the service provider earns shared asset unregulated revenues, including:</w:t>
      </w:r>
    </w:p>
    <w:p w:rsidR="00A66D9E" w:rsidRPr="003738BB" w:rsidRDefault="00A66D9E" w:rsidP="00A66D9E">
      <w:pPr>
        <w:pStyle w:val="AERnumberedlistthirdstyle"/>
      </w:pPr>
      <w:r>
        <w:t>revenues related to each contract</w:t>
      </w:r>
    </w:p>
    <w:p w:rsidR="00A66D9E" w:rsidRPr="003738BB" w:rsidRDefault="00A66D9E" w:rsidP="00A66D9E">
      <w:pPr>
        <w:pStyle w:val="AERnumberedlistthirdstyle"/>
      </w:pPr>
      <w:r>
        <w:t xml:space="preserve">the </w:t>
      </w:r>
      <w:r w:rsidRPr="003738BB">
        <w:t>contract period and renewal arrangements</w:t>
      </w:r>
    </w:p>
    <w:p w:rsidR="00A66D9E" w:rsidRPr="003738BB" w:rsidRDefault="00A66D9E" w:rsidP="00A66D9E">
      <w:pPr>
        <w:pStyle w:val="AERnumberedlistthirdstyle"/>
      </w:pPr>
      <w:proofErr w:type="gramStart"/>
      <w:r>
        <w:t>a</w:t>
      </w:r>
      <w:proofErr w:type="gramEnd"/>
      <w:r>
        <w:t xml:space="preserve"> description of </w:t>
      </w:r>
      <w:r w:rsidRPr="003738BB">
        <w:t>termination options and other contract provisions</w:t>
      </w:r>
      <w:r>
        <w:t xml:space="preserve"> which may alter </w:t>
      </w:r>
      <w:r w:rsidRPr="003738BB">
        <w:t xml:space="preserve">unregulated revenues accruing to the </w:t>
      </w:r>
      <w:r w:rsidR="001F276F">
        <w:t>service provider</w:t>
      </w:r>
      <w:r w:rsidRPr="003738BB">
        <w:t>.</w:t>
      </w:r>
    </w:p>
    <w:p w:rsidR="00A66D9E" w:rsidRDefault="00A66D9E" w:rsidP="00A66D9E">
      <w:pPr>
        <w:pStyle w:val="UnnumberedHeading"/>
        <w:numPr>
          <w:ilvl w:val="0"/>
          <w:numId w:val="1"/>
        </w:numPr>
      </w:pPr>
      <w:bookmarkStart w:id="56" w:name="_Toc361391662"/>
      <w:bookmarkStart w:id="57" w:name="_Toc362944443"/>
      <w:bookmarkStart w:id="58" w:name="_Toc373393834"/>
      <w:r>
        <w:lastRenderedPageBreak/>
        <w:t>Glossary</w:t>
      </w:r>
      <w:bookmarkEnd w:id="56"/>
      <w:bookmarkEnd w:id="57"/>
      <w:bookmarkEnd w:id="58"/>
    </w:p>
    <w:p w:rsidR="00A66D9E" w:rsidRDefault="00A66D9E" w:rsidP="00A66D9E">
      <w:pPr>
        <w:pStyle w:val="AERbodytext"/>
      </w:pPr>
      <w:r>
        <w:t>Th</w:t>
      </w:r>
      <w:r w:rsidR="008D752B">
        <w:t>is</w:t>
      </w:r>
      <w:r>
        <w:t xml:space="preserve"> </w:t>
      </w:r>
      <w:r w:rsidRPr="00AA13B9">
        <w:rPr>
          <w:rStyle w:val="AERbody"/>
        </w:rPr>
        <w:t xml:space="preserve">guideline </w:t>
      </w:r>
      <w:r>
        <w:t>use</w:t>
      </w:r>
      <w:r w:rsidR="008D752B">
        <w:t>s</w:t>
      </w:r>
      <w:r>
        <w:t xml:space="preserve"> the following definitions:</w:t>
      </w:r>
    </w:p>
    <w:tbl>
      <w:tblPr>
        <w:tblStyle w:val="AERtable-text"/>
        <w:tblW w:w="0" w:type="auto"/>
        <w:tblLook w:val="04A0" w:firstRow="1" w:lastRow="0" w:firstColumn="1" w:lastColumn="0" w:noHBand="0" w:noVBand="1"/>
      </w:tblPr>
      <w:tblGrid>
        <w:gridCol w:w="3510"/>
        <w:gridCol w:w="5732"/>
      </w:tblGrid>
      <w:tr w:rsidR="00A66D9E" w:rsidTr="00812EE0">
        <w:trPr>
          <w:cnfStyle w:val="100000000000" w:firstRow="1" w:lastRow="0" w:firstColumn="0" w:lastColumn="0" w:oddVBand="0" w:evenVBand="0" w:oddHBand="0" w:evenHBand="0" w:firstRowFirstColumn="0" w:firstRowLastColumn="0" w:lastRowFirstColumn="0" w:lastRowLastColumn="0"/>
        </w:trPr>
        <w:tc>
          <w:tcPr>
            <w:tcW w:w="3510" w:type="dxa"/>
          </w:tcPr>
          <w:p w:rsidR="00A66D9E" w:rsidRPr="00A66D9E" w:rsidRDefault="00A66D9E" w:rsidP="00F14F58">
            <w:pPr>
              <w:pStyle w:val="AERtabletextleft"/>
            </w:pPr>
            <w:r w:rsidRPr="00A66D9E">
              <w:t>Term</w:t>
            </w:r>
          </w:p>
        </w:tc>
        <w:tc>
          <w:tcPr>
            <w:tcW w:w="5732" w:type="dxa"/>
          </w:tcPr>
          <w:p w:rsidR="00A66D9E" w:rsidRPr="0080678F" w:rsidRDefault="00A66D9E" w:rsidP="0080678F">
            <w:pPr>
              <w:pStyle w:val="AERtabletextleft"/>
            </w:pPr>
            <w:r w:rsidRPr="0080678F">
              <w:t>Definition</w:t>
            </w:r>
          </w:p>
        </w:tc>
      </w:tr>
      <w:tr w:rsidR="00A66D9E" w:rsidTr="00812EE0">
        <w:tc>
          <w:tcPr>
            <w:tcW w:w="3510" w:type="dxa"/>
          </w:tcPr>
          <w:p w:rsidR="00A66D9E" w:rsidRPr="006F41F2" w:rsidRDefault="00A66D9E" w:rsidP="00F14F58">
            <w:pPr>
              <w:pStyle w:val="AERtabletextleft"/>
            </w:pPr>
            <w:r>
              <w:t>annual revenue requirement</w:t>
            </w:r>
          </w:p>
        </w:tc>
        <w:tc>
          <w:tcPr>
            <w:tcW w:w="5732" w:type="dxa"/>
          </w:tcPr>
          <w:p w:rsidR="00BB0407" w:rsidRDefault="00BB0407" w:rsidP="003D0A6C">
            <w:pPr>
              <w:pStyle w:val="AERtabletextleft"/>
            </w:pPr>
            <w:r>
              <w:t>a</w:t>
            </w:r>
            <w:r w:rsidR="00A66D9E" w:rsidRPr="00A66D9E">
              <w:t xml:space="preserve">n amount representing revenue for a distributor, for each regulatory year of a regulatory control period, calculated in accordance with </w:t>
            </w:r>
            <w:r>
              <w:t>Part C of Chapter 6 of the NER</w:t>
            </w:r>
          </w:p>
          <w:p w:rsidR="00A66D9E" w:rsidRPr="00A66D9E" w:rsidRDefault="00BB0407" w:rsidP="003D0A6C">
            <w:pPr>
              <w:pStyle w:val="AERtabletextleft"/>
            </w:pPr>
            <w:r>
              <w:t>f</w:t>
            </w:r>
            <w:r w:rsidR="00A66D9E" w:rsidRPr="00A66D9E">
              <w:t>or a transmission network service provider, the equivalent is the maximum allowed revenue calculated for a regulatory year of a regulatory control period in accordance with rule 6A.3</w:t>
            </w:r>
          </w:p>
        </w:tc>
      </w:tr>
      <w:tr w:rsidR="003255B3" w:rsidTr="00812EE0">
        <w:trPr>
          <w:cnfStyle w:val="000000010000" w:firstRow="0" w:lastRow="0" w:firstColumn="0" w:lastColumn="0" w:oddVBand="0" w:evenVBand="0" w:oddHBand="0" w:evenHBand="1" w:firstRowFirstColumn="0" w:firstRowLastColumn="0" w:lastRowFirstColumn="0" w:lastRowLastColumn="0"/>
        </w:trPr>
        <w:tc>
          <w:tcPr>
            <w:tcW w:w="3510" w:type="dxa"/>
          </w:tcPr>
          <w:p w:rsidR="003255B3" w:rsidRDefault="003255B3" w:rsidP="00F14F58">
            <w:pPr>
              <w:pStyle w:val="AERtabletextleft"/>
            </w:pPr>
            <w:r>
              <w:t>consumer</w:t>
            </w:r>
          </w:p>
        </w:tc>
        <w:tc>
          <w:tcPr>
            <w:tcW w:w="5732" w:type="dxa"/>
          </w:tcPr>
          <w:p w:rsidR="003255B3" w:rsidRPr="00A66D9E" w:rsidRDefault="003255B3" w:rsidP="003255B3">
            <w:pPr>
              <w:pStyle w:val="AERtabletextleft"/>
            </w:pPr>
            <w:r w:rsidRPr="003255B3">
              <w:t xml:space="preserve">For this guideline we use the term 'consumer'. This term is consistent with the National Electricity and National Gas Objectives. It is also reflected in the National Electricity Rules, which refer to 'electricity consumers'. We acknowledge </w:t>
            </w:r>
            <w:r>
              <w:t>'consumer' and 'customer</w:t>
            </w:r>
            <w:r w:rsidRPr="003255B3">
              <w:t xml:space="preserve">' have distinct meanings and it is valid to make the distinction in some cases. We also acknowledge these terms are used </w:t>
            </w:r>
            <w:r w:rsidR="00847A66" w:rsidRPr="003255B3">
              <w:t>interchangeably.</w:t>
            </w:r>
          </w:p>
        </w:tc>
      </w:tr>
      <w:tr w:rsidR="00A66D9E" w:rsidTr="00812EE0">
        <w:tc>
          <w:tcPr>
            <w:tcW w:w="3510" w:type="dxa"/>
          </w:tcPr>
          <w:p w:rsidR="00A66D9E" w:rsidRPr="006F41F2" w:rsidRDefault="00A66D9E" w:rsidP="00F14F58">
            <w:pPr>
              <w:pStyle w:val="AERtabletextleft"/>
            </w:pPr>
            <w:r>
              <w:t>cost reduction</w:t>
            </w:r>
          </w:p>
        </w:tc>
        <w:tc>
          <w:tcPr>
            <w:tcW w:w="5732" w:type="dxa"/>
          </w:tcPr>
          <w:p w:rsidR="00A66D9E" w:rsidRPr="00A66D9E" w:rsidRDefault="00A66D9E" w:rsidP="003D0A6C">
            <w:pPr>
              <w:pStyle w:val="AERtabletextleft"/>
            </w:pPr>
            <w:r w:rsidRPr="00A66D9E">
              <w:t>shared asset cost reduction</w:t>
            </w:r>
          </w:p>
          <w:p w:rsidR="00A66D9E" w:rsidRPr="00A66D9E" w:rsidRDefault="00A66D9E" w:rsidP="003D0A6C">
            <w:pPr>
              <w:pStyle w:val="AERtabletextleft"/>
            </w:pPr>
            <w:r w:rsidRPr="00A66D9E">
              <w:t>a reduction in the regulated annual revenue, see clauses 6.4.4 and 6A.5.5 of the NER</w:t>
            </w:r>
          </w:p>
        </w:tc>
      </w:tr>
      <w:tr w:rsidR="00A66D9E" w:rsidTr="00812EE0">
        <w:trPr>
          <w:cnfStyle w:val="000000010000" w:firstRow="0" w:lastRow="0" w:firstColumn="0" w:lastColumn="0" w:oddVBand="0" w:evenVBand="0" w:oddHBand="0" w:evenHBand="1" w:firstRowFirstColumn="0" w:firstRowLastColumn="0" w:lastRowFirstColumn="0" w:lastRowLastColumn="0"/>
        </w:trPr>
        <w:tc>
          <w:tcPr>
            <w:tcW w:w="3510" w:type="dxa"/>
          </w:tcPr>
          <w:p w:rsidR="00A66D9E" w:rsidRPr="006F41F2" w:rsidRDefault="00A66D9E" w:rsidP="00F14F58">
            <w:pPr>
              <w:pStyle w:val="AERtabletextleft"/>
            </w:pPr>
            <w:r>
              <w:t>cost reduction method</w:t>
            </w:r>
          </w:p>
        </w:tc>
        <w:tc>
          <w:tcPr>
            <w:tcW w:w="5732" w:type="dxa"/>
          </w:tcPr>
          <w:p w:rsidR="00A66D9E" w:rsidRPr="00A66D9E" w:rsidRDefault="00A66D9E" w:rsidP="00240CC8">
            <w:pPr>
              <w:pStyle w:val="AERtabletextleft"/>
            </w:pPr>
            <w:r w:rsidRPr="00A66D9E">
              <w:t>as set out in th</w:t>
            </w:r>
            <w:r w:rsidR="008D752B">
              <w:t>is</w:t>
            </w:r>
            <w:r w:rsidRPr="00A66D9E">
              <w:t xml:space="preserve"> guideline</w:t>
            </w:r>
          </w:p>
        </w:tc>
      </w:tr>
      <w:tr w:rsidR="00A66D9E" w:rsidTr="00812EE0">
        <w:tc>
          <w:tcPr>
            <w:tcW w:w="3510" w:type="dxa"/>
          </w:tcPr>
          <w:p w:rsidR="00A66D9E" w:rsidRPr="006F41F2" w:rsidRDefault="00A66D9E" w:rsidP="00F14F58">
            <w:pPr>
              <w:pStyle w:val="AERtabletextleft"/>
            </w:pPr>
            <w:r>
              <w:t>guideline</w:t>
            </w:r>
          </w:p>
        </w:tc>
        <w:tc>
          <w:tcPr>
            <w:tcW w:w="5732" w:type="dxa"/>
          </w:tcPr>
          <w:p w:rsidR="00A66D9E" w:rsidRPr="006F41F2" w:rsidRDefault="008D752B" w:rsidP="003D0A6C">
            <w:pPr>
              <w:pStyle w:val="AERtabletextleft"/>
            </w:pPr>
            <w:r>
              <w:t>T</w:t>
            </w:r>
            <w:r w:rsidR="001C1FA1">
              <w:t>h</w:t>
            </w:r>
            <w:r>
              <w:t xml:space="preserve">is </w:t>
            </w:r>
            <w:r w:rsidR="00A66D9E">
              <w:t>shared asset guideline</w:t>
            </w:r>
          </w:p>
        </w:tc>
      </w:tr>
      <w:tr w:rsidR="00A66D9E" w:rsidTr="00812EE0">
        <w:trPr>
          <w:cnfStyle w:val="000000010000" w:firstRow="0" w:lastRow="0" w:firstColumn="0" w:lastColumn="0" w:oddVBand="0" w:evenVBand="0" w:oddHBand="0" w:evenHBand="1" w:firstRowFirstColumn="0" w:firstRowLastColumn="0" w:lastRowFirstColumn="0" w:lastRowLastColumn="0"/>
        </w:trPr>
        <w:tc>
          <w:tcPr>
            <w:tcW w:w="3510" w:type="dxa"/>
          </w:tcPr>
          <w:p w:rsidR="00A66D9E" w:rsidRPr="006F41F2" w:rsidRDefault="00A66D9E" w:rsidP="00F14F58">
            <w:pPr>
              <w:pStyle w:val="AERtabletextleft"/>
            </w:pPr>
            <w:r w:rsidRPr="00062BB0">
              <w:t>material</w:t>
            </w:r>
          </w:p>
        </w:tc>
        <w:tc>
          <w:tcPr>
            <w:tcW w:w="5732" w:type="dxa"/>
          </w:tcPr>
          <w:p w:rsidR="00A66D9E" w:rsidRPr="006F41F2" w:rsidRDefault="00A66D9E" w:rsidP="00240CC8">
            <w:pPr>
              <w:pStyle w:val="AERtabletextleft"/>
            </w:pPr>
            <w:r w:rsidRPr="00062BB0">
              <w:t>for the purposes of the application of th</w:t>
            </w:r>
            <w:r w:rsidR="00A21C35">
              <w:t>is</w:t>
            </w:r>
            <w:r w:rsidRPr="00062BB0">
              <w:t xml:space="preserve"> guideline, 'material' is as set out </w:t>
            </w:r>
            <w:r w:rsidR="00240CC8">
              <w:t>in</w:t>
            </w:r>
            <w:r w:rsidRPr="00062BB0">
              <w:t xml:space="preserve"> th</w:t>
            </w:r>
            <w:r w:rsidR="00A21C35">
              <w:t>is</w:t>
            </w:r>
            <w:r w:rsidRPr="00062BB0">
              <w:t xml:space="preserve"> guideline</w:t>
            </w:r>
          </w:p>
        </w:tc>
      </w:tr>
      <w:tr w:rsidR="00A66D9E" w:rsidTr="00812EE0">
        <w:tc>
          <w:tcPr>
            <w:tcW w:w="3510" w:type="dxa"/>
          </w:tcPr>
          <w:p w:rsidR="00A66D9E" w:rsidRPr="006F41F2" w:rsidRDefault="00A66D9E" w:rsidP="00F14F58">
            <w:pPr>
              <w:pStyle w:val="AERtabletextleft"/>
            </w:pPr>
            <w:r w:rsidRPr="00C00101">
              <w:t>NER</w:t>
            </w:r>
          </w:p>
        </w:tc>
        <w:tc>
          <w:tcPr>
            <w:tcW w:w="5732" w:type="dxa"/>
          </w:tcPr>
          <w:p w:rsidR="00A66D9E" w:rsidRPr="00A66D9E" w:rsidRDefault="00A66D9E" w:rsidP="003D0A6C">
            <w:pPr>
              <w:pStyle w:val="AERtabletextleft"/>
            </w:pPr>
            <w:r w:rsidRPr="00A66D9E">
              <w:t xml:space="preserve">National Electricity Rules as defined </w:t>
            </w:r>
            <w:r w:rsidR="00714688">
              <w:t>in the National Electricity Law</w:t>
            </w:r>
          </w:p>
        </w:tc>
      </w:tr>
      <w:tr w:rsidR="00A66D9E" w:rsidTr="00812EE0">
        <w:trPr>
          <w:cnfStyle w:val="000000010000" w:firstRow="0" w:lastRow="0" w:firstColumn="0" w:lastColumn="0" w:oddVBand="0" w:evenVBand="0" w:oddHBand="0" w:evenHBand="1" w:firstRowFirstColumn="0" w:firstRowLastColumn="0" w:lastRowFirstColumn="0" w:lastRowLastColumn="0"/>
        </w:trPr>
        <w:tc>
          <w:tcPr>
            <w:tcW w:w="3510" w:type="dxa"/>
          </w:tcPr>
          <w:p w:rsidR="00A66D9E" w:rsidRPr="006F41F2" w:rsidRDefault="00A66D9E" w:rsidP="00F14F58">
            <w:pPr>
              <w:pStyle w:val="AERtabletextleft"/>
            </w:pPr>
            <w:r>
              <w:t>RAB</w:t>
            </w:r>
          </w:p>
        </w:tc>
        <w:tc>
          <w:tcPr>
            <w:tcW w:w="5732" w:type="dxa"/>
          </w:tcPr>
          <w:p w:rsidR="00A66D9E" w:rsidRPr="006F41F2" w:rsidRDefault="00A66D9E" w:rsidP="003D0A6C">
            <w:pPr>
              <w:pStyle w:val="AERtabletextleft"/>
            </w:pPr>
            <w:r>
              <w:t>regulatory asset base</w:t>
            </w:r>
          </w:p>
        </w:tc>
      </w:tr>
      <w:tr w:rsidR="00A66D9E" w:rsidTr="00812EE0">
        <w:tc>
          <w:tcPr>
            <w:tcW w:w="3510" w:type="dxa"/>
          </w:tcPr>
          <w:p w:rsidR="00A66D9E" w:rsidRPr="006F41F2" w:rsidRDefault="00A66D9E" w:rsidP="00F14F58">
            <w:pPr>
              <w:pStyle w:val="AERtabletextleft"/>
            </w:pPr>
            <w:r>
              <w:t>relevant regulatory period</w:t>
            </w:r>
          </w:p>
        </w:tc>
        <w:tc>
          <w:tcPr>
            <w:tcW w:w="5732" w:type="dxa"/>
          </w:tcPr>
          <w:p w:rsidR="00A66D9E" w:rsidRPr="006F41F2" w:rsidRDefault="00A66D9E" w:rsidP="003D0A6C">
            <w:pPr>
              <w:pStyle w:val="AERtabletextleft"/>
            </w:pPr>
            <w:r>
              <w:t>a</w:t>
            </w:r>
            <w:r w:rsidRPr="006F41F2">
              <w:t>n upcoming regulatory control period comprising one or more relevant regulatory years</w:t>
            </w:r>
          </w:p>
        </w:tc>
      </w:tr>
      <w:tr w:rsidR="00A66D9E" w:rsidTr="00812EE0">
        <w:trPr>
          <w:cnfStyle w:val="000000010000" w:firstRow="0" w:lastRow="0" w:firstColumn="0" w:lastColumn="0" w:oddVBand="0" w:evenVBand="0" w:oddHBand="0" w:evenHBand="1" w:firstRowFirstColumn="0" w:firstRowLastColumn="0" w:lastRowFirstColumn="0" w:lastRowLastColumn="0"/>
        </w:trPr>
        <w:tc>
          <w:tcPr>
            <w:tcW w:w="3510" w:type="dxa"/>
          </w:tcPr>
          <w:p w:rsidR="00A66D9E" w:rsidRPr="006F41F2" w:rsidRDefault="00A66D9E" w:rsidP="00F14F58">
            <w:pPr>
              <w:pStyle w:val="AERtabletextleft"/>
            </w:pPr>
            <w:r>
              <w:t>relevant regulatory year</w:t>
            </w:r>
          </w:p>
        </w:tc>
        <w:tc>
          <w:tcPr>
            <w:tcW w:w="5732" w:type="dxa"/>
          </w:tcPr>
          <w:p w:rsidR="00A66D9E" w:rsidRPr="006F41F2" w:rsidRDefault="00A66D9E" w:rsidP="003D0A6C">
            <w:pPr>
              <w:pStyle w:val="AERtabletextleft"/>
            </w:pPr>
            <w:r>
              <w:t xml:space="preserve">a regulatory year of </w:t>
            </w:r>
            <w:r w:rsidRPr="006F41F2">
              <w:t>an upcoming regulatory control period in which total shared asset unregulated revenues are material</w:t>
            </w:r>
          </w:p>
        </w:tc>
      </w:tr>
      <w:tr w:rsidR="00A66D9E" w:rsidTr="00812EE0">
        <w:tc>
          <w:tcPr>
            <w:tcW w:w="3510" w:type="dxa"/>
          </w:tcPr>
          <w:p w:rsidR="00A66D9E" w:rsidRPr="006F41F2" w:rsidRDefault="00A66D9E" w:rsidP="00F14F58">
            <w:pPr>
              <w:pStyle w:val="AERtabletextleft"/>
            </w:pPr>
            <w:r>
              <w:t>return of capital</w:t>
            </w:r>
          </w:p>
        </w:tc>
        <w:tc>
          <w:tcPr>
            <w:tcW w:w="5732" w:type="dxa"/>
          </w:tcPr>
          <w:p w:rsidR="00A66D9E" w:rsidRPr="006F41F2" w:rsidRDefault="00A66D9E" w:rsidP="003D0A6C">
            <w:pPr>
              <w:pStyle w:val="AERtabletextleft"/>
            </w:pPr>
            <w:r>
              <w:t xml:space="preserve">depreciation calculated in accordance with </w:t>
            </w:r>
            <w:r w:rsidRPr="006F41F2">
              <w:t>the relevant distribution or transmission determination</w:t>
            </w:r>
          </w:p>
        </w:tc>
      </w:tr>
      <w:tr w:rsidR="00A66D9E" w:rsidTr="00812EE0">
        <w:trPr>
          <w:cnfStyle w:val="000000010000" w:firstRow="0" w:lastRow="0" w:firstColumn="0" w:lastColumn="0" w:oddVBand="0" w:evenVBand="0" w:oddHBand="0" w:evenHBand="1" w:firstRowFirstColumn="0" w:firstRowLastColumn="0" w:lastRowFirstColumn="0" w:lastRowLastColumn="0"/>
        </w:trPr>
        <w:tc>
          <w:tcPr>
            <w:tcW w:w="3510" w:type="dxa"/>
          </w:tcPr>
          <w:p w:rsidR="00A66D9E" w:rsidRPr="006F41F2" w:rsidRDefault="00A66D9E" w:rsidP="00F14F58">
            <w:pPr>
              <w:pStyle w:val="AERtabletextleft"/>
            </w:pPr>
            <w:r>
              <w:t>return on capital</w:t>
            </w:r>
          </w:p>
        </w:tc>
        <w:tc>
          <w:tcPr>
            <w:tcW w:w="5732" w:type="dxa"/>
          </w:tcPr>
          <w:p w:rsidR="00A66D9E" w:rsidRPr="006F41F2" w:rsidRDefault="00A66D9E" w:rsidP="003D0A6C">
            <w:pPr>
              <w:pStyle w:val="AERtabletextleft"/>
            </w:pPr>
            <w:r>
              <w:t xml:space="preserve">the </w:t>
            </w:r>
            <w:r w:rsidRPr="006F41F2">
              <w:t>return on capital calculated in accordance with the relevant distribution or transmission determination</w:t>
            </w:r>
          </w:p>
        </w:tc>
      </w:tr>
      <w:tr w:rsidR="00A66D9E" w:rsidTr="00812EE0">
        <w:tc>
          <w:tcPr>
            <w:tcW w:w="3510" w:type="dxa"/>
          </w:tcPr>
          <w:p w:rsidR="00A66D9E" w:rsidRPr="006F41F2" w:rsidRDefault="00A66D9E" w:rsidP="00F14F58">
            <w:pPr>
              <w:pStyle w:val="AERtabletextleft"/>
            </w:pPr>
            <w:r>
              <w:t>RIN</w:t>
            </w:r>
          </w:p>
        </w:tc>
        <w:tc>
          <w:tcPr>
            <w:tcW w:w="5732" w:type="dxa"/>
          </w:tcPr>
          <w:p w:rsidR="00A66D9E" w:rsidRPr="006F41F2" w:rsidRDefault="00A66D9E" w:rsidP="003D0A6C">
            <w:pPr>
              <w:pStyle w:val="AERtabletextleft"/>
            </w:pPr>
            <w:r>
              <w:t>regulatory information notice</w:t>
            </w:r>
          </w:p>
        </w:tc>
      </w:tr>
      <w:tr w:rsidR="00A66D9E" w:rsidTr="00812EE0">
        <w:trPr>
          <w:cnfStyle w:val="000000010000" w:firstRow="0" w:lastRow="0" w:firstColumn="0" w:lastColumn="0" w:oddVBand="0" w:evenVBand="0" w:oddHBand="0" w:evenHBand="1" w:firstRowFirstColumn="0" w:firstRowLastColumn="0" w:lastRowFirstColumn="0" w:lastRowLastColumn="0"/>
        </w:trPr>
        <w:tc>
          <w:tcPr>
            <w:tcW w:w="3510" w:type="dxa"/>
          </w:tcPr>
          <w:p w:rsidR="00A66D9E" w:rsidRPr="006F41F2" w:rsidRDefault="00A66D9E" w:rsidP="00F14F58">
            <w:pPr>
              <w:pStyle w:val="AERtabletextleft"/>
            </w:pPr>
            <w:r>
              <w:t>service provider</w:t>
            </w:r>
          </w:p>
        </w:tc>
        <w:tc>
          <w:tcPr>
            <w:tcW w:w="5732" w:type="dxa"/>
          </w:tcPr>
          <w:p w:rsidR="00A66D9E" w:rsidRPr="006F41F2" w:rsidRDefault="00A66D9E" w:rsidP="003D0A6C">
            <w:pPr>
              <w:pStyle w:val="AERtabletextleft"/>
            </w:pPr>
            <w:r>
              <w:t xml:space="preserve">distribution network service </w:t>
            </w:r>
            <w:r w:rsidRPr="006F41F2">
              <w:t>provider and/or transmission network service provider as defined by the NER</w:t>
            </w:r>
          </w:p>
        </w:tc>
      </w:tr>
      <w:tr w:rsidR="00A66D9E" w:rsidTr="00812EE0">
        <w:tc>
          <w:tcPr>
            <w:tcW w:w="3510" w:type="dxa"/>
          </w:tcPr>
          <w:p w:rsidR="00A66D9E" w:rsidRPr="006F41F2" w:rsidRDefault="00A66D9E" w:rsidP="00F14F58">
            <w:pPr>
              <w:pStyle w:val="AERtabletextleft"/>
            </w:pPr>
            <w:r>
              <w:t xml:space="preserve">shared asset standard control </w:t>
            </w:r>
            <w:r w:rsidRPr="006F41F2">
              <w:t>revenues</w:t>
            </w:r>
          </w:p>
        </w:tc>
        <w:tc>
          <w:tcPr>
            <w:tcW w:w="5732" w:type="dxa"/>
          </w:tcPr>
          <w:p w:rsidR="00A66D9E" w:rsidRPr="006F41F2" w:rsidRDefault="00A66D9E" w:rsidP="003D0A6C">
            <w:pPr>
              <w:pStyle w:val="AERtabletextleft"/>
            </w:pPr>
            <w:r>
              <w:t>return on and return of capital</w:t>
            </w:r>
            <w:r w:rsidRPr="006F41F2">
              <w:t>, as determined under chapter 6 of the NER</w:t>
            </w:r>
          </w:p>
        </w:tc>
      </w:tr>
      <w:tr w:rsidR="00A66D9E" w:rsidTr="00812EE0">
        <w:trPr>
          <w:cnfStyle w:val="000000010000" w:firstRow="0" w:lastRow="0" w:firstColumn="0" w:lastColumn="0" w:oddVBand="0" w:evenVBand="0" w:oddHBand="0" w:evenHBand="1" w:firstRowFirstColumn="0" w:firstRowLastColumn="0" w:lastRowFirstColumn="0" w:lastRowLastColumn="0"/>
        </w:trPr>
        <w:tc>
          <w:tcPr>
            <w:tcW w:w="3510" w:type="dxa"/>
          </w:tcPr>
          <w:p w:rsidR="00A66D9E" w:rsidRPr="006F41F2" w:rsidRDefault="00A66D9E" w:rsidP="00F14F58">
            <w:pPr>
              <w:pStyle w:val="AERtabletextleft"/>
            </w:pPr>
            <w:r>
              <w:t xml:space="preserve">shared asset </w:t>
            </w:r>
            <w:r w:rsidRPr="006F41F2">
              <w:t>unregulated revenues</w:t>
            </w:r>
          </w:p>
        </w:tc>
        <w:tc>
          <w:tcPr>
            <w:tcW w:w="5732" w:type="dxa"/>
          </w:tcPr>
          <w:p w:rsidR="00A66D9E" w:rsidRPr="006F41F2" w:rsidRDefault="00A66D9E" w:rsidP="003D0A6C">
            <w:pPr>
              <w:pStyle w:val="AERtabletextleft"/>
            </w:pPr>
            <w:r>
              <w:t>revenues</w:t>
            </w:r>
            <w:r w:rsidRPr="006F41F2">
              <w:t xml:space="preserve"> paid to a distributor for unregulated services provided using the distributor's shared assets</w:t>
            </w:r>
          </w:p>
        </w:tc>
      </w:tr>
      <w:bookmarkEnd w:id="16"/>
    </w:tbl>
    <w:p w:rsidR="00B4552F" w:rsidRPr="00B4552F" w:rsidRDefault="00B4552F" w:rsidP="00B4552F"/>
    <w:p w:rsidR="004D7727" w:rsidRDefault="004D7727" w:rsidP="00A66D9E">
      <w:pPr>
        <w:pStyle w:val="AERbodytext"/>
      </w:pPr>
    </w:p>
    <w:p w:rsidR="004D7727" w:rsidRDefault="004D7727" w:rsidP="004D7727">
      <w:pPr>
        <w:pStyle w:val="UnnumberedHeading"/>
      </w:pPr>
      <w:bookmarkStart w:id="59" w:name="_Toc373393835"/>
      <w:r>
        <w:lastRenderedPageBreak/>
        <w:t xml:space="preserve">Appendix A: Cost reduction method </w:t>
      </w:r>
      <w:r>
        <w:rPr>
          <w:rFonts w:cs="Gautami"/>
        </w:rPr>
        <w:t>—</w:t>
      </w:r>
      <w:r>
        <w:t xml:space="preserve"> worked example</w:t>
      </w:r>
      <w:bookmarkEnd w:id="59"/>
    </w:p>
    <w:p w:rsidR="00A66D9E" w:rsidRDefault="00A66D9E" w:rsidP="00A66D9E">
      <w:pPr>
        <w:pStyle w:val="AERbodytext"/>
      </w:pPr>
      <w:r>
        <w:t xml:space="preserve">Table </w:t>
      </w:r>
      <w:r w:rsidRPr="00A66D9E">
        <w:t xml:space="preserve">A1 sets out a worked example of a cost reduction for a service provider. We have taken the annual revenue requirement </w:t>
      </w:r>
      <w:r w:rsidR="00733B03">
        <w:t xml:space="preserve">value </w:t>
      </w:r>
      <w:r w:rsidRPr="00A66D9E">
        <w:t xml:space="preserve">from our draft decision on Energy Australia's (now Ausgrid) 2009–10 regulatory </w:t>
      </w:r>
      <w:proofErr w:type="gramStart"/>
      <w:r w:rsidRPr="00A66D9E">
        <w:t>year</w:t>
      </w:r>
      <w:proofErr w:type="gramEnd"/>
      <w:r w:rsidRPr="00A66D9E">
        <w:t xml:space="preserve">. The value for shared asset unregulated revenues is an example only. </w:t>
      </w:r>
      <w:r w:rsidR="0012386B">
        <w:t>The discussion of</w:t>
      </w:r>
      <w:r w:rsidR="009324BA">
        <w:t xml:space="preserve"> unregulated</w:t>
      </w:r>
      <w:r w:rsidR="0012386B">
        <w:t xml:space="preserve"> revenue apportionment is also an example only.</w:t>
      </w:r>
    </w:p>
    <w:p w:rsidR="00A66D9E" w:rsidRDefault="00A66D9E" w:rsidP="00A66D9E">
      <w:pPr>
        <w:pStyle w:val="Caption"/>
      </w:pPr>
      <w:r>
        <w:t>Table A</w:t>
      </w:r>
      <w:r w:rsidRPr="006F41F2">
        <w:fldChar w:fldCharType="begin"/>
      </w:r>
      <w:r>
        <w:instrText xml:space="preserve"> SEQ Table \* ARABIC </w:instrText>
      </w:r>
      <w:r w:rsidRPr="006F41F2">
        <w:fldChar w:fldCharType="separate"/>
      </w:r>
      <w:r w:rsidRPr="006F41F2">
        <w:t>1</w:t>
      </w:r>
      <w:r w:rsidRPr="006F41F2">
        <w:fldChar w:fldCharType="end"/>
      </w:r>
      <w:r>
        <w:t xml:space="preserve">  Cost reduction method </w:t>
      </w:r>
      <w:r w:rsidRPr="006F41F2">
        <w:t>–</w:t>
      </w:r>
      <w:r>
        <w:t xml:space="preserve"> worked example ($million)</w:t>
      </w:r>
    </w:p>
    <w:tbl>
      <w:tblPr>
        <w:tblStyle w:val="AERtable-numbers"/>
        <w:tblW w:w="0" w:type="auto"/>
        <w:tblLook w:val="04A0" w:firstRow="1" w:lastRow="0" w:firstColumn="1" w:lastColumn="0" w:noHBand="0" w:noVBand="1"/>
      </w:tblPr>
      <w:tblGrid>
        <w:gridCol w:w="6487"/>
        <w:gridCol w:w="992"/>
      </w:tblGrid>
      <w:tr w:rsidR="00A66D9E" w:rsidTr="00C16D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gridSpan w:val="2"/>
          </w:tcPr>
          <w:p w:rsidR="00A66D9E" w:rsidRPr="00A66D9E" w:rsidRDefault="00A66D9E" w:rsidP="00A66D9E">
            <w:pPr>
              <w:pStyle w:val="AERbodytext"/>
              <w:rPr>
                <w:rStyle w:val="AERtextbold"/>
              </w:rPr>
            </w:pPr>
            <w:r w:rsidRPr="00A66D9E">
              <w:rPr>
                <w:rStyle w:val="AERtextbold"/>
              </w:rPr>
              <w:t>Inputs</w:t>
            </w:r>
          </w:p>
        </w:tc>
      </w:tr>
      <w:tr w:rsidR="00A66D9E" w:rsidTr="00C16D4D">
        <w:tc>
          <w:tcPr>
            <w:cnfStyle w:val="001000000000" w:firstRow="0" w:lastRow="0" w:firstColumn="1" w:lastColumn="0" w:oddVBand="0" w:evenVBand="0" w:oddHBand="0" w:evenHBand="0" w:firstRowFirstColumn="0" w:firstRowLastColumn="0" w:lastRowFirstColumn="0" w:lastRowLastColumn="0"/>
            <w:tcW w:w="6487" w:type="dxa"/>
          </w:tcPr>
          <w:p w:rsidR="00A66D9E" w:rsidRPr="00A66D9E" w:rsidRDefault="00A66D9E" w:rsidP="00A66D9E">
            <w:pPr>
              <w:pStyle w:val="AERbodytext"/>
            </w:pPr>
            <w:r w:rsidRPr="00A66D9E">
              <w:t>Annual revenue requirement (ARR)</w:t>
            </w:r>
            <w:r w:rsidRPr="00A66D9E">
              <w:rPr>
                <w:rStyle w:val="FootnoteReference"/>
              </w:rPr>
              <w:footnoteReference w:id="12"/>
            </w:r>
          </w:p>
        </w:tc>
        <w:tc>
          <w:tcPr>
            <w:tcW w:w="992" w:type="dxa"/>
          </w:tcPr>
          <w:p w:rsidR="00A66D9E" w:rsidRPr="006F41F2" w:rsidRDefault="00A66D9E" w:rsidP="00F14F58">
            <w:pPr>
              <w:pStyle w:val="AERtabletextright"/>
              <w:cnfStyle w:val="000000000000" w:firstRow="0" w:lastRow="0" w:firstColumn="0" w:lastColumn="0" w:oddVBand="0" w:evenVBand="0" w:oddHBand="0" w:evenHBand="0" w:firstRowFirstColumn="0" w:firstRowLastColumn="0" w:lastRowFirstColumn="0" w:lastRowLastColumn="0"/>
            </w:pPr>
            <w:r>
              <w:t>$1,284.8</w:t>
            </w:r>
          </w:p>
        </w:tc>
      </w:tr>
      <w:tr w:rsidR="00C834DA" w:rsidTr="00C83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vAlign w:val="top"/>
          </w:tcPr>
          <w:p w:rsidR="00C834DA" w:rsidRPr="00C834DA" w:rsidDel="00C834DA" w:rsidRDefault="00C834DA" w:rsidP="00C834DA">
            <w:pPr>
              <w:pStyle w:val="AERbodytext"/>
            </w:pPr>
            <w:r w:rsidRPr="00C834DA">
              <w:t>Shared asset unregulated revenues (for example)</w:t>
            </w:r>
          </w:p>
        </w:tc>
        <w:tc>
          <w:tcPr>
            <w:tcW w:w="992" w:type="dxa"/>
            <w:vAlign w:val="top"/>
          </w:tcPr>
          <w:p w:rsidR="00C834DA" w:rsidRPr="00C834DA" w:rsidDel="00C834DA" w:rsidRDefault="00C834DA" w:rsidP="00C834DA">
            <w:pPr>
              <w:pStyle w:val="AERtabletextright"/>
              <w:cnfStyle w:val="000000010000" w:firstRow="0" w:lastRow="0" w:firstColumn="0" w:lastColumn="0" w:oddVBand="0" w:evenVBand="0" w:oddHBand="0" w:evenHBand="1" w:firstRowFirstColumn="0" w:firstRowLastColumn="0" w:lastRowFirstColumn="0" w:lastRowLastColumn="0"/>
            </w:pPr>
            <w:r w:rsidRPr="00C834DA">
              <w:t>$30.0</w:t>
            </w:r>
          </w:p>
        </w:tc>
      </w:tr>
      <w:tr w:rsidR="00C834DA" w:rsidTr="00C834DA">
        <w:tc>
          <w:tcPr>
            <w:cnfStyle w:val="001000000000" w:firstRow="0" w:lastRow="0" w:firstColumn="1" w:lastColumn="0" w:oddVBand="0" w:evenVBand="0" w:oddHBand="0" w:evenHBand="0" w:firstRowFirstColumn="0" w:firstRowLastColumn="0" w:lastRowFirstColumn="0" w:lastRowLastColumn="0"/>
            <w:tcW w:w="6487" w:type="dxa"/>
            <w:vAlign w:val="top"/>
          </w:tcPr>
          <w:p w:rsidR="00C834DA" w:rsidRPr="00C834DA" w:rsidRDefault="00C834DA" w:rsidP="00C834DA">
            <w:pPr>
              <w:pStyle w:val="AERbodytext"/>
              <w:rPr>
                <w:rStyle w:val="AERtextbold"/>
              </w:rPr>
            </w:pPr>
            <w:r w:rsidRPr="00C834DA">
              <w:rPr>
                <w:rStyle w:val="AERtextbold"/>
              </w:rPr>
              <w:t>Assess materiality</w:t>
            </w:r>
          </w:p>
        </w:tc>
        <w:tc>
          <w:tcPr>
            <w:tcW w:w="992" w:type="dxa"/>
            <w:vAlign w:val="top"/>
          </w:tcPr>
          <w:p w:rsidR="00C834DA" w:rsidRPr="00C834DA" w:rsidRDefault="00C834DA" w:rsidP="00C834DA">
            <w:pPr>
              <w:pStyle w:val="AERtabletextright"/>
              <w:cnfStyle w:val="000000000000" w:firstRow="0" w:lastRow="0" w:firstColumn="0" w:lastColumn="0" w:oddVBand="0" w:evenVBand="0" w:oddHBand="0" w:evenHBand="0" w:firstRowFirstColumn="0" w:firstRowLastColumn="0" w:lastRowFirstColumn="0" w:lastRowLastColumn="0"/>
            </w:pPr>
          </w:p>
        </w:tc>
      </w:tr>
      <w:tr w:rsidR="00C834DA" w:rsidTr="00C83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vAlign w:val="top"/>
          </w:tcPr>
          <w:p w:rsidR="00C834DA" w:rsidRPr="00C834DA" w:rsidRDefault="00C834DA" w:rsidP="00C834DA">
            <w:pPr>
              <w:pStyle w:val="AERbodytext"/>
            </w:pPr>
            <w:r w:rsidRPr="00C834DA">
              <w:t>Shared asset unregulated revenues are 1% of ARR?</w:t>
            </w:r>
          </w:p>
        </w:tc>
        <w:tc>
          <w:tcPr>
            <w:tcW w:w="992" w:type="dxa"/>
            <w:vAlign w:val="top"/>
          </w:tcPr>
          <w:p w:rsidR="00C834DA" w:rsidRPr="00C834DA" w:rsidRDefault="00C834DA" w:rsidP="00C834DA">
            <w:pPr>
              <w:pStyle w:val="AERtabletextright"/>
              <w:cnfStyle w:val="000000010000" w:firstRow="0" w:lastRow="0" w:firstColumn="0" w:lastColumn="0" w:oddVBand="0" w:evenVBand="0" w:oddHBand="0" w:evenHBand="1" w:firstRowFirstColumn="0" w:firstRowLastColumn="0" w:lastRowFirstColumn="0" w:lastRowLastColumn="0"/>
            </w:pPr>
            <w:r w:rsidRPr="00C834DA">
              <w:t>Yes</w:t>
            </w:r>
          </w:p>
        </w:tc>
      </w:tr>
      <w:tr w:rsidR="00C834DA" w:rsidTr="00C834DA">
        <w:tc>
          <w:tcPr>
            <w:cnfStyle w:val="001000000000" w:firstRow="0" w:lastRow="0" w:firstColumn="1" w:lastColumn="0" w:oddVBand="0" w:evenVBand="0" w:oddHBand="0" w:evenHBand="0" w:firstRowFirstColumn="0" w:firstRowLastColumn="0" w:lastRowFirstColumn="0" w:lastRowLastColumn="0"/>
            <w:tcW w:w="6487" w:type="dxa"/>
            <w:vAlign w:val="top"/>
          </w:tcPr>
          <w:p w:rsidR="00C834DA" w:rsidRPr="00C834DA" w:rsidRDefault="00C834DA" w:rsidP="00C834DA">
            <w:pPr>
              <w:pStyle w:val="AERbodytext"/>
              <w:rPr>
                <w:rStyle w:val="AERtextbold"/>
              </w:rPr>
            </w:pPr>
            <w:r w:rsidRPr="00C834DA">
              <w:rPr>
                <w:rStyle w:val="AERtextbold"/>
              </w:rPr>
              <w:t>Cost reduction method</w:t>
            </w:r>
          </w:p>
        </w:tc>
        <w:tc>
          <w:tcPr>
            <w:tcW w:w="992" w:type="dxa"/>
            <w:vAlign w:val="top"/>
          </w:tcPr>
          <w:p w:rsidR="00C834DA" w:rsidRPr="00C834DA" w:rsidRDefault="00C834DA" w:rsidP="00C834DA">
            <w:pPr>
              <w:pStyle w:val="AERtabletextright"/>
              <w:cnfStyle w:val="000000000000" w:firstRow="0" w:lastRow="0" w:firstColumn="0" w:lastColumn="0" w:oddVBand="0" w:evenVBand="0" w:oddHBand="0" w:evenHBand="0" w:firstRowFirstColumn="0" w:firstRowLastColumn="0" w:lastRowFirstColumn="0" w:lastRowLastColumn="0"/>
            </w:pPr>
          </w:p>
        </w:tc>
      </w:tr>
      <w:tr w:rsidR="00C834DA" w:rsidTr="00C83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vAlign w:val="top"/>
          </w:tcPr>
          <w:p w:rsidR="00C834DA" w:rsidRPr="00C834DA" w:rsidRDefault="00C834DA" w:rsidP="00C834DA">
            <w:pPr>
              <w:pStyle w:val="AERbodytext"/>
            </w:pPr>
            <w:r w:rsidRPr="00C834DA">
              <w:t>Calculate 10% of shared asset unregulated revenues</w:t>
            </w:r>
          </w:p>
        </w:tc>
        <w:tc>
          <w:tcPr>
            <w:tcW w:w="992" w:type="dxa"/>
            <w:vAlign w:val="top"/>
          </w:tcPr>
          <w:p w:rsidR="00C834DA" w:rsidRPr="00C834DA" w:rsidRDefault="00C834DA" w:rsidP="00C834DA">
            <w:pPr>
              <w:pStyle w:val="AERtabletextright"/>
              <w:cnfStyle w:val="000000010000" w:firstRow="0" w:lastRow="0" w:firstColumn="0" w:lastColumn="0" w:oddVBand="0" w:evenVBand="0" w:oddHBand="0" w:evenHBand="1" w:firstRowFirstColumn="0" w:firstRowLastColumn="0" w:lastRowFirstColumn="0" w:lastRowLastColumn="0"/>
            </w:pPr>
            <w:r w:rsidRPr="00C834DA">
              <w:t>$3.0</w:t>
            </w:r>
          </w:p>
        </w:tc>
      </w:tr>
      <w:tr w:rsidR="00C834DA" w:rsidTr="003A1B01">
        <w:tc>
          <w:tcPr>
            <w:cnfStyle w:val="001000000000" w:firstRow="0" w:lastRow="0" w:firstColumn="1" w:lastColumn="0" w:oddVBand="0" w:evenVBand="0" w:oddHBand="0" w:evenHBand="0" w:firstRowFirstColumn="0" w:firstRowLastColumn="0" w:lastRowFirstColumn="0" w:lastRowLastColumn="0"/>
            <w:tcW w:w="7479" w:type="dxa"/>
            <w:gridSpan w:val="2"/>
            <w:vAlign w:val="top"/>
          </w:tcPr>
          <w:p w:rsidR="00C834DA" w:rsidRPr="00C834DA" w:rsidRDefault="00C834DA" w:rsidP="00C834DA">
            <w:pPr>
              <w:pStyle w:val="AERtabletextright"/>
            </w:pPr>
            <w:r w:rsidRPr="00C834DA">
              <w:t xml:space="preserve">Subtract $3.0 from </w:t>
            </w:r>
            <w:r>
              <w:t>ARR</w:t>
            </w:r>
          </w:p>
        </w:tc>
      </w:tr>
      <w:tr w:rsidR="00C834DA" w:rsidTr="00C16D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C834DA" w:rsidRPr="00A66D9E" w:rsidDel="00C834DA" w:rsidRDefault="00C834DA" w:rsidP="005C7EBC">
            <w:pPr>
              <w:pStyle w:val="AERbodytext"/>
            </w:pPr>
            <w:r>
              <w:t>Reduced ARR</w:t>
            </w:r>
          </w:p>
        </w:tc>
        <w:tc>
          <w:tcPr>
            <w:tcW w:w="992" w:type="dxa"/>
          </w:tcPr>
          <w:p w:rsidR="00C834DA" w:rsidDel="00C834DA" w:rsidRDefault="00C834DA" w:rsidP="00F14F58">
            <w:pPr>
              <w:pStyle w:val="AERtabletextright"/>
              <w:cnfStyle w:val="000000010000" w:firstRow="0" w:lastRow="0" w:firstColumn="0" w:lastColumn="0" w:oddVBand="0" w:evenVBand="0" w:oddHBand="0" w:evenHBand="1" w:firstRowFirstColumn="0" w:firstRowLastColumn="0" w:lastRowFirstColumn="0" w:lastRowLastColumn="0"/>
            </w:pPr>
            <w:r w:rsidRPr="00C834DA">
              <w:t>$1,281.8</w:t>
            </w:r>
          </w:p>
        </w:tc>
      </w:tr>
    </w:tbl>
    <w:p w:rsidR="001F276F" w:rsidRDefault="001F276F" w:rsidP="00A66D9E">
      <w:pPr>
        <w:pStyle w:val="AERbodytext"/>
        <w:rPr>
          <w:rStyle w:val="AERtextbold"/>
        </w:rPr>
      </w:pPr>
    </w:p>
    <w:p w:rsidR="00A66D9E" w:rsidRPr="00A66D9E" w:rsidRDefault="00A66D9E" w:rsidP="00A66D9E">
      <w:pPr>
        <w:pStyle w:val="AERbodytext"/>
        <w:rPr>
          <w:rStyle w:val="AERtextbold"/>
        </w:rPr>
      </w:pPr>
      <w:r w:rsidRPr="002C332D">
        <w:rPr>
          <w:rStyle w:val="AERtextbold"/>
        </w:rPr>
        <w:t xml:space="preserve">Estimating the upper limit of a cost </w:t>
      </w:r>
      <w:r w:rsidRPr="00A66D9E">
        <w:rPr>
          <w:rStyle w:val="AERtextbold"/>
        </w:rPr>
        <w:t>reduction</w:t>
      </w:r>
    </w:p>
    <w:p w:rsidR="00A66D9E" w:rsidRDefault="00A66D9E" w:rsidP="00A66D9E">
      <w:pPr>
        <w:pStyle w:val="AERbodytext"/>
      </w:pPr>
      <w:r>
        <w:t>T</w:t>
      </w:r>
      <w:r w:rsidRPr="00A66D9E">
        <w:t>he total return on/</w:t>
      </w:r>
      <w:proofErr w:type="spellStart"/>
      <w:r w:rsidRPr="00A66D9E">
        <w:t>of</w:t>
      </w:r>
      <w:proofErr w:type="spellEnd"/>
      <w:r w:rsidRPr="00A66D9E">
        <w:t xml:space="preserve"> capital</w:t>
      </w:r>
      <w:r w:rsidR="00810088">
        <w:rPr>
          <w:rStyle w:val="FootnoteReference"/>
        </w:rPr>
        <w:footnoteReference w:id="13"/>
      </w:r>
      <w:r w:rsidRPr="00A66D9E">
        <w:t xml:space="preserve"> of a service provider's shared assets forms a cap for cost reductions calculated under any method. </w:t>
      </w:r>
      <w:r w:rsidR="00A00FD0">
        <w:t xml:space="preserve">Service providers should estimate this value and submit it to us with a proposed cost reduction. </w:t>
      </w:r>
      <w:r w:rsidR="00BF560C">
        <w:t>If a service provider does not submit an estimate of the cap value, or if we consider a submitted estimate is not reasonable, we may make our own estimate.</w:t>
      </w:r>
    </w:p>
    <w:p w:rsidR="00260F6B" w:rsidRPr="004B4AFA" w:rsidRDefault="00260F6B" w:rsidP="00260F6B">
      <w:pPr>
        <w:pStyle w:val="AERbodytext"/>
        <w:rPr>
          <w:rStyle w:val="AERtextbold"/>
        </w:rPr>
      </w:pPr>
      <w:r w:rsidRPr="004B4AFA">
        <w:rPr>
          <w:rStyle w:val="AERtextbold"/>
        </w:rPr>
        <w:t>Unregulated revenue apportionment</w:t>
      </w:r>
    </w:p>
    <w:p w:rsidR="00260F6B" w:rsidRPr="00260F6B" w:rsidRDefault="00260F6B" w:rsidP="00260F6B">
      <w:pPr>
        <w:pStyle w:val="AERbodytext"/>
      </w:pPr>
      <w:r w:rsidRPr="00260F6B">
        <w:t xml:space="preserve">Assume the service provider earns unregulated revenues from </w:t>
      </w:r>
      <w:r w:rsidR="001F276F">
        <w:t>several</w:t>
      </w:r>
      <w:r w:rsidRPr="00260F6B">
        <w:t xml:space="preserve"> unregulated services</w:t>
      </w:r>
      <w:r>
        <w:t xml:space="preserve"> provided using shared assets. </w:t>
      </w:r>
      <w:r w:rsidRPr="00260F6B">
        <w:t>Further assume one such unregulated service makes only minimal use of shared assets. That</w:t>
      </w:r>
      <w:r w:rsidR="005C2D5E">
        <w:t xml:space="preserve"> is, that particular service</w:t>
      </w:r>
      <w:r>
        <w:t xml:space="preserve"> </w:t>
      </w:r>
      <w:r w:rsidR="001F276F">
        <w:t>is</w:t>
      </w:r>
      <w:r w:rsidRPr="00260F6B">
        <w:t xml:space="preserve"> provided predominantly with assets that are not standard control assets. </w:t>
      </w:r>
      <w:r>
        <w:t>W</w:t>
      </w:r>
      <w:r w:rsidRPr="00260F6B">
        <w:t xml:space="preserve">hen submitting </w:t>
      </w:r>
      <w:r w:rsidR="00CF0BDC">
        <w:t>their proposed cost reduction to us</w:t>
      </w:r>
      <w:r w:rsidRPr="00260F6B">
        <w:t xml:space="preserve">, the service provider may propose a revenue apportionment in relation to this particular service. </w:t>
      </w:r>
    </w:p>
    <w:p w:rsidR="00260F6B" w:rsidRPr="00260F6B" w:rsidRDefault="00260F6B" w:rsidP="00260F6B">
      <w:pPr>
        <w:pStyle w:val="AERbodytext"/>
      </w:pPr>
      <w:r w:rsidRPr="00260F6B">
        <w:t xml:space="preserve">The service provider should identify a method on which to base its revenue apportionment. </w:t>
      </w:r>
      <w:r>
        <w:t xml:space="preserve">Let's say it chooses the amount of time that shared assets are used to provide the service compared to the time </w:t>
      </w:r>
      <w:r>
        <w:lastRenderedPageBreak/>
        <w:t xml:space="preserve">that unregulated assets are used. </w:t>
      </w:r>
      <w:r w:rsidR="00C63FEF">
        <w:t>For example,</w:t>
      </w:r>
      <w:r>
        <w:t xml:space="preserve"> the service pr</w:t>
      </w:r>
      <w:r w:rsidR="00C63FEF">
        <w:t xml:space="preserve">ovider may estimate that of </w:t>
      </w:r>
      <w:r>
        <w:t xml:space="preserve">total asset use to provide the unregulated service, </w:t>
      </w:r>
      <w:r w:rsidR="00C63FEF">
        <w:t>shared assets are used 5 per cent of the time. That is, 95 per cent of the time the unregulated service is provided using unregulated assets.</w:t>
      </w:r>
    </w:p>
    <w:p w:rsidR="00260F6B" w:rsidRDefault="00C63FEF" w:rsidP="00260F6B">
      <w:pPr>
        <w:pStyle w:val="AERbodytext"/>
      </w:pPr>
      <w:r>
        <w:t>Next, assume</w:t>
      </w:r>
      <w:r w:rsidR="00260F6B" w:rsidRPr="00260F6B">
        <w:t xml:space="preserve"> the service provider </w:t>
      </w:r>
      <w:r>
        <w:t>earns from our example service unregulated revenue of $10 million per annum. Using its proposed m</w:t>
      </w:r>
      <w:r w:rsidR="00A54842">
        <w:t>ethod, the service provider may</w:t>
      </w:r>
      <w:r>
        <w:t xml:space="preserve"> apportion 5 per cent of the $10 million revenue stream to shared assets. Because 5 per cent of $10 million is equal to $500,000, the service provider may remove $9.5 million from its calculations in respect of the shared asset materiality threshold and cost reduction method.</w:t>
      </w:r>
    </w:p>
    <w:p w:rsidR="002850B6" w:rsidRDefault="002850B6" w:rsidP="00260F6B">
      <w:pPr>
        <w:pStyle w:val="AERbodytext"/>
      </w:pPr>
      <w:r>
        <w:t xml:space="preserve">In reporting or proposing a cost reduction to us, our example service provider should provide details of its method, its rationale for making a revenue apportionment and evidence in support of its method. </w:t>
      </w:r>
      <w:r w:rsidR="00CF0BDC">
        <w:t xml:space="preserve">We </w:t>
      </w:r>
      <w:r w:rsidR="00574C4B">
        <w:t>will</w:t>
      </w:r>
      <w:r w:rsidR="00CF0BDC">
        <w:t xml:space="preserve"> assess </w:t>
      </w:r>
      <w:r w:rsidR="00574C4B">
        <w:t>whether these</w:t>
      </w:r>
      <w:r w:rsidR="00CF0BDC">
        <w:t xml:space="preserve"> elements </w:t>
      </w:r>
      <w:r w:rsidR="00574C4B">
        <w:t>are</w:t>
      </w:r>
      <w:r w:rsidR="00CF0BDC">
        <w:t xml:space="preserve"> reasonable. </w:t>
      </w:r>
      <w:r>
        <w:t xml:space="preserve">If we consider a proposed revenue apportionment is not reasonable, we may not accept it or substitute our own apportionment. </w:t>
      </w:r>
    </w:p>
    <w:p w:rsidR="008C02FD" w:rsidRPr="00260F6B" w:rsidRDefault="008C02FD" w:rsidP="00260F6B">
      <w:pPr>
        <w:pStyle w:val="AERbodytext"/>
      </w:pPr>
      <w:r>
        <w:t>A method used to calculate a proposed revenue apportionment may be better suited to some services than others. For instance, our example method, time of asset use, i</w:t>
      </w:r>
      <w:r w:rsidR="00B34E07">
        <w:t xml:space="preserve">s suited to vehicles </w:t>
      </w:r>
      <w:r w:rsidR="00292F1C">
        <w:t>used for maintenance, though there may be other suitable methods too.</w:t>
      </w:r>
    </w:p>
    <w:p w:rsidR="00260F6B" w:rsidRPr="00A66D9E" w:rsidRDefault="00260F6B" w:rsidP="00A66D9E">
      <w:pPr>
        <w:pStyle w:val="AERbodytext"/>
      </w:pPr>
    </w:p>
    <w:p w:rsidR="00486606" w:rsidRPr="003324F7" w:rsidRDefault="00486606" w:rsidP="00486606">
      <w:pPr>
        <w:pStyle w:val="AERbodytext"/>
      </w:pPr>
    </w:p>
    <w:sectPr w:rsidR="00486606" w:rsidRPr="003324F7" w:rsidSect="0045608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57D" w:rsidRPr="00AB4345" w:rsidRDefault="0091457D" w:rsidP="00AB4345">
      <w:r>
        <w:separator/>
      </w:r>
    </w:p>
  </w:endnote>
  <w:endnote w:type="continuationSeparator" w:id="0">
    <w:p w:rsidR="0091457D" w:rsidRPr="00AB4345" w:rsidRDefault="0091457D"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7D" w:rsidRDefault="0091457D" w:rsidP="00E55422">
    <w:r>
      <w:t>AER Determination Heading |</w:t>
    </w:r>
    <w:r w:rsidRPr="001A7245">
      <w:t xml:space="preserve"> Chapter Heading</w:t>
    </w:r>
    <w:r>
      <w:tab/>
    </w:r>
    <w:r>
      <w:rPr>
        <w:rStyle w:val="PageNumber"/>
      </w:rPr>
      <w:fldChar w:fldCharType="begin"/>
    </w:r>
    <w:r>
      <w:rPr>
        <w:rStyle w:val="PageNumber"/>
      </w:rPr>
      <w:instrText xml:space="preserve"> PAGE </w:instrText>
    </w:r>
    <w:r>
      <w:rPr>
        <w:rStyle w:val="PageNumber"/>
      </w:rPr>
      <w:fldChar w:fldCharType="separate"/>
    </w:r>
    <w:r w:rsidR="007B3499">
      <w:rPr>
        <w:rStyle w:val="PageNumber"/>
        <w:noProof/>
      </w:rPr>
      <w:t>1</w:t>
    </w:r>
    <w:r>
      <w:rPr>
        <w:rStyle w:val="PageNumber"/>
      </w:rPr>
      <w:fldChar w:fldCharType="end"/>
    </w:r>
  </w:p>
  <w:p w:rsidR="0091457D" w:rsidRDefault="0091457D"/>
  <w:p w:rsidR="0091457D" w:rsidRDefault="009145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91457D" w:rsidRPr="00824CC8" w:rsidRDefault="0091457D" w:rsidP="00824CC8">
        <w:pPr>
          <w:pStyle w:val="Footer"/>
        </w:pPr>
        <w:r w:rsidRPr="00824CC8">
          <w:fldChar w:fldCharType="begin"/>
        </w:r>
        <w:r w:rsidRPr="00824CC8">
          <w:instrText xml:space="preserve"> PAGE   \* MERGEFORMAT </w:instrText>
        </w:r>
        <w:r w:rsidRPr="00824CC8">
          <w:fldChar w:fldCharType="separate"/>
        </w:r>
        <w:r w:rsidR="007B3499">
          <w:rPr>
            <w:noProof/>
          </w:rPr>
          <w:t>16</w:t>
        </w:r>
        <w:r w:rsidRPr="00824CC8">
          <w:fldChar w:fldCharType="end"/>
        </w:r>
        <w:r w:rsidRPr="00210880">
          <w:rPr>
            <w:rStyle w:val="AERbody"/>
          </w:rPr>
          <w:tab/>
        </w:r>
        <w:r>
          <w:rPr>
            <w:rStyle w:val="AERbody"/>
          </w:rPr>
          <w:tab/>
          <w:t>Better Regulation | Shared Asset Guideline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57D" w:rsidRPr="00824CC8" w:rsidRDefault="0091457D" w:rsidP="00824CC8">
    <w:pPr>
      <w:pStyle w:val="Footer"/>
      <w:rPr>
        <w:rStyle w:val="AERbody"/>
      </w:rPr>
    </w:pPr>
    <w:r>
      <w:rPr>
        <w:rStyle w:val="AERbody"/>
      </w:rPr>
      <w:t>Better Regulation</w:t>
    </w:r>
    <w:r w:rsidRPr="00210880">
      <w:rPr>
        <w:rStyle w:val="AERbody"/>
      </w:rPr>
      <w:t xml:space="preserve"> | </w:t>
    </w:r>
    <w:r w:rsidRPr="00B91D03">
      <w:rPr>
        <w:rStyle w:val="AERbody"/>
      </w:rPr>
      <w:t xml:space="preserve">Shared Asset </w:t>
    </w:r>
    <w:r w:rsidRPr="008E6A1F">
      <w:rPr>
        <w:rStyle w:val="AERbody"/>
      </w:rPr>
      <w:t>Guideline</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7B3499">
      <w:rPr>
        <w:rStyle w:val="AERbody"/>
        <w:noProof/>
      </w:rPr>
      <w:t>15</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57D" w:rsidRPr="00AB4345" w:rsidRDefault="0091457D" w:rsidP="00AB4345">
      <w:r>
        <w:separator/>
      </w:r>
    </w:p>
  </w:footnote>
  <w:footnote w:type="continuationSeparator" w:id="0">
    <w:p w:rsidR="0091457D" w:rsidRPr="00AB4345" w:rsidRDefault="0091457D" w:rsidP="00AB4345">
      <w:r>
        <w:continuationSeparator/>
      </w:r>
    </w:p>
  </w:footnote>
  <w:footnote w:id="1">
    <w:p w:rsidR="0091457D" w:rsidRDefault="0091457D" w:rsidP="003749ED">
      <w:pPr>
        <w:pStyle w:val="FootnoteText"/>
      </w:pPr>
      <w:r>
        <w:rPr>
          <w:rStyle w:val="FootnoteReference"/>
        </w:rPr>
        <w:footnoteRef/>
      </w:r>
      <w:r>
        <w:t xml:space="preserve"> </w:t>
      </w:r>
      <w:r>
        <w:tab/>
        <w:t>The NER permit use of electricity supply assets to provide other services so long as electricity supply is not prejudiced.</w:t>
      </w:r>
    </w:p>
  </w:footnote>
  <w:footnote w:id="2">
    <w:p w:rsidR="0091457D" w:rsidRDefault="0091457D" w:rsidP="003749ED">
      <w:pPr>
        <w:pStyle w:val="FootnoteText"/>
      </w:pPr>
      <w:r>
        <w:rPr>
          <w:rStyle w:val="FootnoteReference"/>
        </w:rPr>
        <w:footnoteRef/>
      </w:r>
      <w:r>
        <w:t xml:space="preserve"> </w:t>
      </w:r>
      <w:r>
        <w:tab/>
        <w:t>Unregulated services may be either electricity supply services we determined not to regulate, or non-electricity supply related—unregulated by us by definition.</w:t>
      </w:r>
    </w:p>
  </w:footnote>
  <w:footnote w:id="3">
    <w:p w:rsidR="0091457D" w:rsidRDefault="0091457D" w:rsidP="00A20846">
      <w:pPr>
        <w:pStyle w:val="FootnoteText"/>
      </w:pPr>
      <w:r>
        <w:rPr>
          <w:rStyle w:val="FootnoteReference"/>
        </w:rPr>
        <w:footnoteRef/>
      </w:r>
      <w:r>
        <w:t xml:space="preserve"> </w:t>
      </w:r>
      <w:r>
        <w:tab/>
        <w:t>Service providers submit to us their proposed regulatory arrangements for upcoming regulatory control periods, usually every five years. Our regulatory determinations respond to submitted regulatory proposals by accepting or not accepting numerous elements which comprise the full proposal.</w:t>
      </w:r>
    </w:p>
  </w:footnote>
  <w:footnote w:id="4">
    <w:p w:rsidR="0091457D" w:rsidRDefault="0091457D" w:rsidP="00A20846">
      <w:pPr>
        <w:pStyle w:val="FootnoteText"/>
      </w:pPr>
      <w:r>
        <w:rPr>
          <w:rStyle w:val="FootnoteReference"/>
        </w:rPr>
        <w:footnoteRef/>
      </w:r>
      <w:r>
        <w:t xml:space="preserve"> </w:t>
      </w:r>
      <w:r>
        <w:tab/>
        <w:t>Cost allocation must be done by service providers in accordance with a cost allocation method (CAM), or set of cost allocation rules, which we have approved.</w:t>
      </w:r>
    </w:p>
  </w:footnote>
  <w:footnote w:id="5">
    <w:p w:rsidR="0091457D" w:rsidRDefault="0091457D" w:rsidP="00A20846">
      <w:pPr>
        <w:pStyle w:val="FootnoteText"/>
      </w:pPr>
      <w:r>
        <w:rPr>
          <w:rStyle w:val="FootnoteReference"/>
        </w:rPr>
        <w:footnoteRef/>
      </w:r>
      <w:r>
        <w:t xml:space="preserve"> </w:t>
      </w:r>
      <w:r>
        <w:tab/>
        <w:t xml:space="preserve">Assets may be established by service providers constructing or purchasing them. </w:t>
      </w:r>
    </w:p>
  </w:footnote>
  <w:footnote w:id="6">
    <w:p w:rsidR="0091457D" w:rsidRDefault="0091457D" w:rsidP="00A20846">
      <w:pPr>
        <w:pStyle w:val="FootnoteText"/>
      </w:pPr>
      <w:r>
        <w:rPr>
          <w:rStyle w:val="FootnoteReference"/>
        </w:rPr>
        <w:footnoteRef/>
      </w:r>
      <w:r>
        <w:t xml:space="preserve"> </w:t>
      </w:r>
      <w:r>
        <w:tab/>
        <w:t>Standard control (or prescribed transmission) revenues are referred to in aggregate as a service provider's annual revenue requirement (ARR).</w:t>
      </w:r>
    </w:p>
  </w:footnote>
  <w:footnote w:id="7">
    <w:p w:rsidR="0091457D" w:rsidRDefault="0091457D" w:rsidP="0034654E">
      <w:pPr>
        <w:pStyle w:val="FootnoteText"/>
      </w:pPr>
      <w:r>
        <w:rPr>
          <w:rStyle w:val="FootnoteReference"/>
        </w:rPr>
        <w:footnoteRef/>
      </w:r>
      <w:r>
        <w:t xml:space="preserve"> </w:t>
      </w:r>
      <w:r>
        <w:tab/>
        <w:t>A service provider's annual revenue requirement is the revenue it earns from standard control or prescribed transmission services in a given year. This generally equates to around 80 per cent of a service provider's total annual revenue.</w:t>
      </w:r>
    </w:p>
  </w:footnote>
  <w:footnote w:id="8">
    <w:p w:rsidR="0091457D" w:rsidRDefault="0091457D" w:rsidP="001012F5">
      <w:pPr>
        <w:pStyle w:val="FootnoteText"/>
      </w:pPr>
      <w:r>
        <w:rPr>
          <w:rStyle w:val="FootnoteReference"/>
        </w:rPr>
        <w:footnoteRef/>
      </w:r>
      <w:r>
        <w:t xml:space="preserve"> </w:t>
      </w:r>
      <w:r>
        <w:tab/>
        <w:t>Cost allocation in accordance with a service provider's approved CAM.</w:t>
      </w:r>
    </w:p>
  </w:footnote>
  <w:footnote w:id="9">
    <w:p w:rsidR="0091457D" w:rsidRDefault="0091457D">
      <w:pPr>
        <w:pStyle w:val="FootnoteText"/>
      </w:pPr>
      <w:r>
        <w:rPr>
          <w:rStyle w:val="FootnoteReference"/>
        </w:rPr>
        <w:footnoteRef/>
      </w:r>
      <w:r>
        <w:t xml:space="preserve"> </w:t>
      </w:r>
      <w:r>
        <w:tab/>
        <w:t>Annual revenues a service provider earns from its standard control or prescribed transmission services.</w:t>
      </w:r>
    </w:p>
  </w:footnote>
  <w:footnote w:id="10">
    <w:p w:rsidR="0091457D" w:rsidRDefault="0091457D" w:rsidP="00DC7C16">
      <w:pPr>
        <w:pStyle w:val="FootnoteText"/>
      </w:pPr>
      <w:r>
        <w:rPr>
          <w:rStyle w:val="FootnoteReference"/>
        </w:rPr>
        <w:footnoteRef/>
      </w:r>
      <w:r>
        <w:t xml:space="preserve"> </w:t>
      </w:r>
      <w:r>
        <w:tab/>
      </w:r>
      <w:r w:rsidRPr="007051DA">
        <w:rPr>
          <w:rStyle w:val="AERbody"/>
          <w:sz w:val="16"/>
        </w:rPr>
        <w:t>For example, a telecommunications company may replace power poles it uses to support fibre optic cable.</w:t>
      </w:r>
    </w:p>
  </w:footnote>
  <w:footnote w:id="11">
    <w:p w:rsidR="0091457D" w:rsidRDefault="0091457D" w:rsidP="00DC7C16">
      <w:pPr>
        <w:pStyle w:val="FootnoteText"/>
      </w:pPr>
      <w:r>
        <w:rPr>
          <w:rStyle w:val="FootnoteReference"/>
        </w:rPr>
        <w:footnoteRef/>
      </w:r>
      <w:r>
        <w:t xml:space="preserve"> </w:t>
      </w:r>
      <w:r>
        <w:tab/>
      </w:r>
      <w:proofErr w:type="gramStart"/>
      <w:r>
        <w:t>Appendix A sets out a worked example of these calculations.</w:t>
      </w:r>
      <w:proofErr w:type="gramEnd"/>
    </w:p>
  </w:footnote>
  <w:footnote w:id="12">
    <w:p w:rsidR="0091457D" w:rsidRDefault="0091457D" w:rsidP="00A66D9E">
      <w:pPr>
        <w:pStyle w:val="FootnoteText"/>
      </w:pPr>
      <w:r>
        <w:rPr>
          <w:rStyle w:val="FootnoteReference"/>
        </w:rPr>
        <w:footnoteRef/>
      </w:r>
      <w:r>
        <w:t xml:space="preserve"> </w:t>
      </w:r>
      <w:r>
        <w:tab/>
        <w:t>Example input value from our draft decision for EnergyAustralia (Ausgrid) for 2009</w:t>
      </w:r>
      <w:r>
        <w:rPr>
          <w:rFonts w:cs="Gautami"/>
        </w:rPr>
        <w:t>–</w:t>
      </w:r>
      <w:r>
        <w:t xml:space="preserve">10 regulatory </w:t>
      </w:r>
      <w:proofErr w:type="gramStart"/>
      <w:r>
        <w:t>year</w:t>
      </w:r>
      <w:proofErr w:type="gramEnd"/>
      <w:r>
        <w:t xml:space="preserve">. </w:t>
      </w:r>
    </w:p>
  </w:footnote>
  <w:footnote w:id="13">
    <w:p w:rsidR="00810088" w:rsidRDefault="00810088">
      <w:pPr>
        <w:pStyle w:val="FootnoteText"/>
      </w:pPr>
      <w:r>
        <w:rPr>
          <w:rStyle w:val="FootnoteReference"/>
        </w:rPr>
        <w:footnoteRef/>
      </w:r>
      <w:r>
        <w:t xml:space="preserve"> </w:t>
      </w:r>
      <w:r>
        <w:tab/>
        <w:t>Return on and of capital are defined in the glossary.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AAC6DD7"/>
    <w:multiLevelType w:val="multilevel"/>
    <w:tmpl w:val="950A1C52"/>
    <w:numStyleLink w:val="AERHeadings"/>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0"/>
  </w:num>
  <w:num w:numId="6">
    <w:abstractNumId w:val="6"/>
  </w:num>
  <w:num w:numId="7">
    <w:abstractNumId w:val="4"/>
  </w:num>
  <w:num w:numId="8">
    <w:abstractNumId w:val="7"/>
  </w:num>
  <w:num w:numId="9">
    <w:abstractNumId w:val="6"/>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ZnZP0KmgONo1Eu+dc9MwUEbK9Bc=" w:salt="4aanauQz9R113DN14UQsAg=="/>
  <w:defaultTabStop w:val="720"/>
  <w:evenAndOddHeaders/>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4600\D13 164077  Shared asset guideline.DOCX"/>
  </w:docVars>
  <w:rsids>
    <w:rsidRoot w:val="000C052F"/>
    <w:rsid w:val="000009DE"/>
    <w:rsid w:val="000054F4"/>
    <w:rsid w:val="00011129"/>
    <w:rsid w:val="00012F58"/>
    <w:rsid w:val="00016C65"/>
    <w:rsid w:val="0002004C"/>
    <w:rsid w:val="00022606"/>
    <w:rsid w:val="00040599"/>
    <w:rsid w:val="00040749"/>
    <w:rsid w:val="00052F01"/>
    <w:rsid w:val="00067A5A"/>
    <w:rsid w:val="00077A75"/>
    <w:rsid w:val="00080660"/>
    <w:rsid w:val="000807F7"/>
    <w:rsid w:val="000842E4"/>
    <w:rsid w:val="00095038"/>
    <w:rsid w:val="000A1A80"/>
    <w:rsid w:val="000A1CC2"/>
    <w:rsid w:val="000A4B9F"/>
    <w:rsid w:val="000A5342"/>
    <w:rsid w:val="000A7718"/>
    <w:rsid w:val="000B15CA"/>
    <w:rsid w:val="000B1AD4"/>
    <w:rsid w:val="000B6726"/>
    <w:rsid w:val="000C052F"/>
    <w:rsid w:val="000C3430"/>
    <w:rsid w:val="000C5D66"/>
    <w:rsid w:val="000C75A1"/>
    <w:rsid w:val="000D03C2"/>
    <w:rsid w:val="000D04B1"/>
    <w:rsid w:val="000D401F"/>
    <w:rsid w:val="000E0E69"/>
    <w:rsid w:val="000E1A25"/>
    <w:rsid w:val="000E4D4B"/>
    <w:rsid w:val="000F0B4C"/>
    <w:rsid w:val="000F3A6A"/>
    <w:rsid w:val="001012F5"/>
    <w:rsid w:val="001033B3"/>
    <w:rsid w:val="00105636"/>
    <w:rsid w:val="00105D8B"/>
    <w:rsid w:val="001119CA"/>
    <w:rsid w:val="0011750B"/>
    <w:rsid w:val="0012386B"/>
    <w:rsid w:val="00140E44"/>
    <w:rsid w:val="001543D2"/>
    <w:rsid w:val="00165A6C"/>
    <w:rsid w:val="00166E75"/>
    <w:rsid w:val="00174026"/>
    <w:rsid w:val="001750AA"/>
    <w:rsid w:val="00184A4E"/>
    <w:rsid w:val="001856EE"/>
    <w:rsid w:val="00185983"/>
    <w:rsid w:val="0019188D"/>
    <w:rsid w:val="00192830"/>
    <w:rsid w:val="00194C3C"/>
    <w:rsid w:val="00197A6B"/>
    <w:rsid w:val="001A0FF9"/>
    <w:rsid w:val="001A3E9A"/>
    <w:rsid w:val="001B5684"/>
    <w:rsid w:val="001C12E5"/>
    <w:rsid w:val="001C1FA1"/>
    <w:rsid w:val="001C21BE"/>
    <w:rsid w:val="001D088D"/>
    <w:rsid w:val="001D7643"/>
    <w:rsid w:val="001F276F"/>
    <w:rsid w:val="001F32B3"/>
    <w:rsid w:val="00200241"/>
    <w:rsid w:val="0020711E"/>
    <w:rsid w:val="00210880"/>
    <w:rsid w:val="00222F89"/>
    <w:rsid w:val="002257B9"/>
    <w:rsid w:val="00225B11"/>
    <w:rsid w:val="00227E94"/>
    <w:rsid w:val="0023137D"/>
    <w:rsid w:val="0023321E"/>
    <w:rsid w:val="0024025C"/>
    <w:rsid w:val="00240CC8"/>
    <w:rsid w:val="002472AF"/>
    <w:rsid w:val="00250A15"/>
    <w:rsid w:val="00260F6B"/>
    <w:rsid w:val="00266710"/>
    <w:rsid w:val="00270DC2"/>
    <w:rsid w:val="00273820"/>
    <w:rsid w:val="00273B5D"/>
    <w:rsid w:val="002805B8"/>
    <w:rsid w:val="002806E9"/>
    <w:rsid w:val="0028258B"/>
    <w:rsid w:val="002850B6"/>
    <w:rsid w:val="002914BD"/>
    <w:rsid w:val="00292F1C"/>
    <w:rsid w:val="00293889"/>
    <w:rsid w:val="002938CE"/>
    <w:rsid w:val="002A3D2F"/>
    <w:rsid w:val="002A6538"/>
    <w:rsid w:val="002B4BC4"/>
    <w:rsid w:val="002B6640"/>
    <w:rsid w:val="002C0327"/>
    <w:rsid w:val="002D2EFB"/>
    <w:rsid w:val="002D61AC"/>
    <w:rsid w:val="002D7D24"/>
    <w:rsid w:val="002E42F5"/>
    <w:rsid w:val="002E4720"/>
    <w:rsid w:val="002E73F0"/>
    <w:rsid w:val="002F2BB7"/>
    <w:rsid w:val="002F6F76"/>
    <w:rsid w:val="00303452"/>
    <w:rsid w:val="00311006"/>
    <w:rsid w:val="003137F8"/>
    <w:rsid w:val="0031619F"/>
    <w:rsid w:val="003172C9"/>
    <w:rsid w:val="00321796"/>
    <w:rsid w:val="003255B3"/>
    <w:rsid w:val="003324F7"/>
    <w:rsid w:val="00334504"/>
    <w:rsid w:val="00334F88"/>
    <w:rsid w:val="0034654E"/>
    <w:rsid w:val="00361DDA"/>
    <w:rsid w:val="003707DB"/>
    <w:rsid w:val="003749ED"/>
    <w:rsid w:val="00375740"/>
    <w:rsid w:val="00375AEC"/>
    <w:rsid w:val="00376236"/>
    <w:rsid w:val="0037652C"/>
    <w:rsid w:val="003800E4"/>
    <w:rsid w:val="00380FF5"/>
    <w:rsid w:val="0038527D"/>
    <w:rsid w:val="003926D4"/>
    <w:rsid w:val="003A4081"/>
    <w:rsid w:val="003A6174"/>
    <w:rsid w:val="003C18EC"/>
    <w:rsid w:val="003C7532"/>
    <w:rsid w:val="003C7974"/>
    <w:rsid w:val="003D0A6C"/>
    <w:rsid w:val="003D7BA8"/>
    <w:rsid w:val="003E7336"/>
    <w:rsid w:val="004030AB"/>
    <w:rsid w:val="0040437E"/>
    <w:rsid w:val="004049C0"/>
    <w:rsid w:val="00412282"/>
    <w:rsid w:val="00416E26"/>
    <w:rsid w:val="004256BA"/>
    <w:rsid w:val="00431999"/>
    <w:rsid w:val="00433A06"/>
    <w:rsid w:val="00435682"/>
    <w:rsid w:val="00444B94"/>
    <w:rsid w:val="00446873"/>
    <w:rsid w:val="00450390"/>
    <w:rsid w:val="00454D70"/>
    <w:rsid w:val="00456081"/>
    <w:rsid w:val="00462DD2"/>
    <w:rsid w:val="00464F5D"/>
    <w:rsid w:val="00472437"/>
    <w:rsid w:val="00474FBD"/>
    <w:rsid w:val="00486606"/>
    <w:rsid w:val="00491D7D"/>
    <w:rsid w:val="00494F42"/>
    <w:rsid w:val="004952FC"/>
    <w:rsid w:val="00497F1D"/>
    <w:rsid w:val="004B1686"/>
    <w:rsid w:val="004B4AFA"/>
    <w:rsid w:val="004B64E5"/>
    <w:rsid w:val="004C050B"/>
    <w:rsid w:val="004C3F45"/>
    <w:rsid w:val="004D7727"/>
    <w:rsid w:val="004E40EF"/>
    <w:rsid w:val="004E73F7"/>
    <w:rsid w:val="004F4144"/>
    <w:rsid w:val="004F4961"/>
    <w:rsid w:val="004F76A0"/>
    <w:rsid w:val="00500E7F"/>
    <w:rsid w:val="00501E41"/>
    <w:rsid w:val="00505C51"/>
    <w:rsid w:val="00507AD2"/>
    <w:rsid w:val="00510758"/>
    <w:rsid w:val="005123CD"/>
    <w:rsid w:val="00515351"/>
    <w:rsid w:val="00517AA7"/>
    <w:rsid w:val="0052179D"/>
    <w:rsid w:val="00523FAE"/>
    <w:rsid w:val="005456A9"/>
    <w:rsid w:val="00555D52"/>
    <w:rsid w:val="005566D7"/>
    <w:rsid w:val="00561F7F"/>
    <w:rsid w:val="0056241A"/>
    <w:rsid w:val="00566B35"/>
    <w:rsid w:val="00570315"/>
    <w:rsid w:val="00571FD3"/>
    <w:rsid w:val="005732CC"/>
    <w:rsid w:val="00574C4B"/>
    <w:rsid w:val="00575422"/>
    <w:rsid w:val="005938C6"/>
    <w:rsid w:val="00596F7D"/>
    <w:rsid w:val="005A0431"/>
    <w:rsid w:val="005B3752"/>
    <w:rsid w:val="005B5FCB"/>
    <w:rsid w:val="005B61C2"/>
    <w:rsid w:val="005C2D5E"/>
    <w:rsid w:val="005C3371"/>
    <w:rsid w:val="005C4161"/>
    <w:rsid w:val="005C7EBC"/>
    <w:rsid w:val="005D26B7"/>
    <w:rsid w:val="005D4AA1"/>
    <w:rsid w:val="005E1C87"/>
    <w:rsid w:val="005F10BC"/>
    <w:rsid w:val="005F1DD5"/>
    <w:rsid w:val="005F3BB4"/>
    <w:rsid w:val="005F6082"/>
    <w:rsid w:val="00600F86"/>
    <w:rsid w:val="0060146C"/>
    <w:rsid w:val="0060207D"/>
    <w:rsid w:val="006039F2"/>
    <w:rsid w:val="006061B0"/>
    <w:rsid w:val="0060732E"/>
    <w:rsid w:val="006076A9"/>
    <w:rsid w:val="00613B22"/>
    <w:rsid w:val="00625F43"/>
    <w:rsid w:val="00642A3B"/>
    <w:rsid w:val="00643DB2"/>
    <w:rsid w:val="00644D55"/>
    <w:rsid w:val="006544EA"/>
    <w:rsid w:val="00662A76"/>
    <w:rsid w:val="00663C11"/>
    <w:rsid w:val="0066569F"/>
    <w:rsid w:val="00667232"/>
    <w:rsid w:val="0067459B"/>
    <w:rsid w:val="00677EFB"/>
    <w:rsid w:val="00684440"/>
    <w:rsid w:val="0069004B"/>
    <w:rsid w:val="00690675"/>
    <w:rsid w:val="006B08EB"/>
    <w:rsid w:val="006B481F"/>
    <w:rsid w:val="006B73A6"/>
    <w:rsid w:val="006C6332"/>
    <w:rsid w:val="006D1269"/>
    <w:rsid w:val="006D202B"/>
    <w:rsid w:val="006D5245"/>
    <w:rsid w:val="006F638E"/>
    <w:rsid w:val="006F63A7"/>
    <w:rsid w:val="00703E42"/>
    <w:rsid w:val="00714688"/>
    <w:rsid w:val="00716F75"/>
    <w:rsid w:val="007208CB"/>
    <w:rsid w:val="00732B3B"/>
    <w:rsid w:val="00733B03"/>
    <w:rsid w:val="007368AD"/>
    <w:rsid w:val="00746BA1"/>
    <w:rsid w:val="0074713D"/>
    <w:rsid w:val="00751D2A"/>
    <w:rsid w:val="007529DC"/>
    <w:rsid w:val="007541D1"/>
    <w:rsid w:val="00755095"/>
    <w:rsid w:val="007662A5"/>
    <w:rsid w:val="00775681"/>
    <w:rsid w:val="00784E25"/>
    <w:rsid w:val="00785F74"/>
    <w:rsid w:val="00796A07"/>
    <w:rsid w:val="007A7D0E"/>
    <w:rsid w:val="007B3499"/>
    <w:rsid w:val="007C0469"/>
    <w:rsid w:val="007C6A16"/>
    <w:rsid w:val="007D0A9B"/>
    <w:rsid w:val="007E3D80"/>
    <w:rsid w:val="007F10E3"/>
    <w:rsid w:val="007F2C0E"/>
    <w:rsid w:val="00800F20"/>
    <w:rsid w:val="008021D2"/>
    <w:rsid w:val="00804AEB"/>
    <w:rsid w:val="0080678F"/>
    <w:rsid w:val="00807235"/>
    <w:rsid w:val="00810088"/>
    <w:rsid w:val="00812CC5"/>
    <w:rsid w:val="00812EE0"/>
    <w:rsid w:val="008204F0"/>
    <w:rsid w:val="0082282B"/>
    <w:rsid w:val="00824CC8"/>
    <w:rsid w:val="00832627"/>
    <w:rsid w:val="00836D17"/>
    <w:rsid w:val="00840A55"/>
    <w:rsid w:val="008411F6"/>
    <w:rsid w:val="00841E25"/>
    <w:rsid w:val="008464CD"/>
    <w:rsid w:val="00847A66"/>
    <w:rsid w:val="008515EE"/>
    <w:rsid w:val="0085273A"/>
    <w:rsid w:val="00852831"/>
    <w:rsid w:val="00857552"/>
    <w:rsid w:val="00861C4E"/>
    <w:rsid w:val="00866D21"/>
    <w:rsid w:val="00872D85"/>
    <w:rsid w:val="008731A9"/>
    <w:rsid w:val="00876D26"/>
    <w:rsid w:val="008825AB"/>
    <w:rsid w:val="00883DDA"/>
    <w:rsid w:val="00891FF9"/>
    <w:rsid w:val="00893367"/>
    <w:rsid w:val="008B7956"/>
    <w:rsid w:val="008C02FD"/>
    <w:rsid w:val="008C3B67"/>
    <w:rsid w:val="008C3F48"/>
    <w:rsid w:val="008D1812"/>
    <w:rsid w:val="008D479B"/>
    <w:rsid w:val="008D49B4"/>
    <w:rsid w:val="008D73FF"/>
    <w:rsid w:val="008D7498"/>
    <w:rsid w:val="008D752B"/>
    <w:rsid w:val="008E19E0"/>
    <w:rsid w:val="008E3509"/>
    <w:rsid w:val="008E6A1F"/>
    <w:rsid w:val="00913AAF"/>
    <w:rsid w:val="0091457D"/>
    <w:rsid w:val="009252B0"/>
    <w:rsid w:val="00930927"/>
    <w:rsid w:val="009324BA"/>
    <w:rsid w:val="00932E96"/>
    <w:rsid w:val="009418E6"/>
    <w:rsid w:val="0094235F"/>
    <w:rsid w:val="0094279F"/>
    <w:rsid w:val="009439C3"/>
    <w:rsid w:val="00946B98"/>
    <w:rsid w:val="00947C45"/>
    <w:rsid w:val="0095052A"/>
    <w:rsid w:val="00953E7F"/>
    <w:rsid w:val="00960FE1"/>
    <w:rsid w:val="00961B9A"/>
    <w:rsid w:val="00962757"/>
    <w:rsid w:val="009658F0"/>
    <w:rsid w:val="00971655"/>
    <w:rsid w:val="00971C63"/>
    <w:rsid w:val="009905AF"/>
    <w:rsid w:val="009A09FE"/>
    <w:rsid w:val="009A1EB6"/>
    <w:rsid w:val="009A4AE9"/>
    <w:rsid w:val="009A5311"/>
    <w:rsid w:val="009B4BB2"/>
    <w:rsid w:val="009C14A1"/>
    <w:rsid w:val="009C2FE7"/>
    <w:rsid w:val="009C71D5"/>
    <w:rsid w:val="009D2FBC"/>
    <w:rsid w:val="009D7150"/>
    <w:rsid w:val="009E6857"/>
    <w:rsid w:val="009F464C"/>
    <w:rsid w:val="009F6C2C"/>
    <w:rsid w:val="009F7CE4"/>
    <w:rsid w:val="00A00FD0"/>
    <w:rsid w:val="00A0190F"/>
    <w:rsid w:val="00A11162"/>
    <w:rsid w:val="00A125E9"/>
    <w:rsid w:val="00A15DB5"/>
    <w:rsid w:val="00A20846"/>
    <w:rsid w:val="00A21C35"/>
    <w:rsid w:val="00A2223F"/>
    <w:rsid w:val="00A22755"/>
    <w:rsid w:val="00A25426"/>
    <w:rsid w:val="00A402FA"/>
    <w:rsid w:val="00A43227"/>
    <w:rsid w:val="00A46CCD"/>
    <w:rsid w:val="00A54842"/>
    <w:rsid w:val="00A55C1F"/>
    <w:rsid w:val="00A5720E"/>
    <w:rsid w:val="00A609F0"/>
    <w:rsid w:val="00A65133"/>
    <w:rsid w:val="00A652C5"/>
    <w:rsid w:val="00A66053"/>
    <w:rsid w:val="00A66D9E"/>
    <w:rsid w:val="00A734C9"/>
    <w:rsid w:val="00A736D1"/>
    <w:rsid w:val="00A82B54"/>
    <w:rsid w:val="00A82DEC"/>
    <w:rsid w:val="00A85C5A"/>
    <w:rsid w:val="00A86078"/>
    <w:rsid w:val="00A86D13"/>
    <w:rsid w:val="00A96A08"/>
    <w:rsid w:val="00AA0161"/>
    <w:rsid w:val="00AA4CC1"/>
    <w:rsid w:val="00AA5450"/>
    <w:rsid w:val="00AB1D08"/>
    <w:rsid w:val="00AB2D39"/>
    <w:rsid w:val="00AB41D0"/>
    <w:rsid w:val="00AB4345"/>
    <w:rsid w:val="00AB5BD7"/>
    <w:rsid w:val="00AC0135"/>
    <w:rsid w:val="00AC070D"/>
    <w:rsid w:val="00AC1B94"/>
    <w:rsid w:val="00AC4E43"/>
    <w:rsid w:val="00AC6328"/>
    <w:rsid w:val="00AD0616"/>
    <w:rsid w:val="00AD34FF"/>
    <w:rsid w:val="00AD4DE6"/>
    <w:rsid w:val="00AE6DBC"/>
    <w:rsid w:val="00AE7535"/>
    <w:rsid w:val="00AF0490"/>
    <w:rsid w:val="00AF3549"/>
    <w:rsid w:val="00AF3B6B"/>
    <w:rsid w:val="00AF3E95"/>
    <w:rsid w:val="00AF7C67"/>
    <w:rsid w:val="00B07C9F"/>
    <w:rsid w:val="00B15FE9"/>
    <w:rsid w:val="00B161FD"/>
    <w:rsid w:val="00B250D4"/>
    <w:rsid w:val="00B31397"/>
    <w:rsid w:val="00B32DC0"/>
    <w:rsid w:val="00B32DDF"/>
    <w:rsid w:val="00B34E07"/>
    <w:rsid w:val="00B4073D"/>
    <w:rsid w:val="00B4552F"/>
    <w:rsid w:val="00B51883"/>
    <w:rsid w:val="00B53E6F"/>
    <w:rsid w:val="00B61FD4"/>
    <w:rsid w:val="00B658E2"/>
    <w:rsid w:val="00B65A36"/>
    <w:rsid w:val="00B674DB"/>
    <w:rsid w:val="00B77768"/>
    <w:rsid w:val="00B82E8D"/>
    <w:rsid w:val="00B84CA2"/>
    <w:rsid w:val="00B91D03"/>
    <w:rsid w:val="00B9264D"/>
    <w:rsid w:val="00B94D99"/>
    <w:rsid w:val="00BA0D2A"/>
    <w:rsid w:val="00BA2A31"/>
    <w:rsid w:val="00BA2DF0"/>
    <w:rsid w:val="00BB0407"/>
    <w:rsid w:val="00BB3FA1"/>
    <w:rsid w:val="00BB4A90"/>
    <w:rsid w:val="00BB62BB"/>
    <w:rsid w:val="00BB7CE4"/>
    <w:rsid w:val="00BC05C5"/>
    <w:rsid w:val="00BD04BE"/>
    <w:rsid w:val="00BD1BC1"/>
    <w:rsid w:val="00BD3D54"/>
    <w:rsid w:val="00BE1F77"/>
    <w:rsid w:val="00BE6F28"/>
    <w:rsid w:val="00BF29FA"/>
    <w:rsid w:val="00BF4C3F"/>
    <w:rsid w:val="00BF560C"/>
    <w:rsid w:val="00C01F3E"/>
    <w:rsid w:val="00C04D2B"/>
    <w:rsid w:val="00C104AB"/>
    <w:rsid w:val="00C16D4D"/>
    <w:rsid w:val="00C224E4"/>
    <w:rsid w:val="00C25016"/>
    <w:rsid w:val="00C42857"/>
    <w:rsid w:val="00C47C7E"/>
    <w:rsid w:val="00C632A5"/>
    <w:rsid w:val="00C63FEF"/>
    <w:rsid w:val="00C66195"/>
    <w:rsid w:val="00C71664"/>
    <w:rsid w:val="00C737C5"/>
    <w:rsid w:val="00C76965"/>
    <w:rsid w:val="00C834DA"/>
    <w:rsid w:val="00CA3540"/>
    <w:rsid w:val="00CA6DED"/>
    <w:rsid w:val="00CB7CDC"/>
    <w:rsid w:val="00CC014C"/>
    <w:rsid w:val="00CC1E8F"/>
    <w:rsid w:val="00CC49D4"/>
    <w:rsid w:val="00CD2363"/>
    <w:rsid w:val="00CD760F"/>
    <w:rsid w:val="00CE4F16"/>
    <w:rsid w:val="00CE6A5C"/>
    <w:rsid w:val="00CE6F5A"/>
    <w:rsid w:val="00CF06DF"/>
    <w:rsid w:val="00CF0BDC"/>
    <w:rsid w:val="00CF42CF"/>
    <w:rsid w:val="00CF5DD7"/>
    <w:rsid w:val="00D102E9"/>
    <w:rsid w:val="00D125B7"/>
    <w:rsid w:val="00D1688F"/>
    <w:rsid w:val="00D16DA6"/>
    <w:rsid w:val="00D2117F"/>
    <w:rsid w:val="00D22A65"/>
    <w:rsid w:val="00D25317"/>
    <w:rsid w:val="00D428C3"/>
    <w:rsid w:val="00D4632D"/>
    <w:rsid w:val="00D51295"/>
    <w:rsid w:val="00D532C4"/>
    <w:rsid w:val="00D53A5D"/>
    <w:rsid w:val="00D5540A"/>
    <w:rsid w:val="00D60B29"/>
    <w:rsid w:val="00D6484B"/>
    <w:rsid w:val="00D66C5A"/>
    <w:rsid w:val="00D66E8B"/>
    <w:rsid w:val="00D6724A"/>
    <w:rsid w:val="00D83021"/>
    <w:rsid w:val="00D842F6"/>
    <w:rsid w:val="00D85715"/>
    <w:rsid w:val="00D8706C"/>
    <w:rsid w:val="00D87ADF"/>
    <w:rsid w:val="00D90BD1"/>
    <w:rsid w:val="00D95449"/>
    <w:rsid w:val="00DA4C62"/>
    <w:rsid w:val="00DB10C0"/>
    <w:rsid w:val="00DB6A17"/>
    <w:rsid w:val="00DC4EE0"/>
    <w:rsid w:val="00DC64D9"/>
    <w:rsid w:val="00DC6FD2"/>
    <w:rsid w:val="00DC794F"/>
    <w:rsid w:val="00DC7C16"/>
    <w:rsid w:val="00DD5520"/>
    <w:rsid w:val="00DE6D53"/>
    <w:rsid w:val="00DE7D68"/>
    <w:rsid w:val="00DF16C2"/>
    <w:rsid w:val="00DF2E4C"/>
    <w:rsid w:val="00DF3540"/>
    <w:rsid w:val="00DF4048"/>
    <w:rsid w:val="00DF649E"/>
    <w:rsid w:val="00E00F76"/>
    <w:rsid w:val="00E02397"/>
    <w:rsid w:val="00E114BD"/>
    <w:rsid w:val="00E12D7C"/>
    <w:rsid w:val="00E21E75"/>
    <w:rsid w:val="00E327C3"/>
    <w:rsid w:val="00E36F01"/>
    <w:rsid w:val="00E41F36"/>
    <w:rsid w:val="00E42630"/>
    <w:rsid w:val="00E42735"/>
    <w:rsid w:val="00E47F0D"/>
    <w:rsid w:val="00E519DC"/>
    <w:rsid w:val="00E52F5D"/>
    <w:rsid w:val="00E55422"/>
    <w:rsid w:val="00E57429"/>
    <w:rsid w:val="00E6174E"/>
    <w:rsid w:val="00E64404"/>
    <w:rsid w:val="00E67CA9"/>
    <w:rsid w:val="00E801B8"/>
    <w:rsid w:val="00E807DA"/>
    <w:rsid w:val="00E84E3A"/>
    <w:rsid w:val="00EA05AF"/>
    <w:rsid w:val="00EA18E2"/>
    <w:rsid w:val="00EA2AC4"/>
    <w:rsid w:val="00EA588E"/>
    <w:rsid w:val="00EB535A"/>
    <w:rsid w:val="00EB65C6"/>
    <w:rsid w:val="00EC1D76"/>
    <w:rsid w:val="00EC43B9"/>
    <w:rsid w:val="00ED0DF1"/>
    <w:rsid w:val="00ED1C3B"/>
    <w:rsid w:val="00ED40BA"/>
    <w:rsid w:val="00ED4D69"/>
    <w:rsid w:val="00ED4E3D"/>
    <w:rsid w:val="00ED72E0"/>
    <w:rsid w:val="00ED7D24"/>
    <w:rsid w:val="00EE12CE"/>
    <w:rsid w:val="00EE1C09"/>
    <w:rsid w:val="00EE362F"/>
    <w:rsid w:val="00EE794B"/>
    <w:rsid w:val="00EF0E19"/>
    <w:rsid w:val="00EF13A0"/>
    <w:rsid w:val="00EF1C72"/>
    <w:rsid w:val="00F02D31"/>
    <w:rsid w:val="00F10499"/>
    <w:rsid w:val="00F114AE"/>
    <w:rsid w:val="00F11D70"/>
    <w:rsid w:val="00F14F58"/>
    <w:rsid w:val="00F24075"/>
    <w:rsid w:val="00F27D61"/>
    <w:rsid w:val="00F30057"/>
    <w:rsid w:val="00F318EF"/>
    <w:rsid w:val="00F43CA0"/>
    <w:rsid w:val="00F52157"/>
    <w:rsid w:val="00F55030"/>
    <w:rsid w:val="00F55821"/>
    <w:rsid w:val="00F5694B"/>
    <w:rsid w:val="00F74030"/>
    <w:rsid w:val="00F74A4F"/>
    <w:rsid w:val="00F7696F"/>
    <w:rsid w:val="00F77317"/>
    <w:rsid w:val="00F8209B"/>
    <w:rsid w:val="00F8361A"/>
    <w:rsid w:val="00F843EE"/>
    <w:rsid w:val="00F97CD9"/>
    <w:rsid w:val="00FA0576"/>
    <w:rsid w:val="00FB4DD8"/>
    <w:rsid w:val="00FB4F07"/>
    <w:rsid w:val="00FB50B4"/>
    <w:rsid w:val="00FC3481"/>
    <w:rsid w:val="00FD4B97"/>
    <w:rsid w:val="00FD6B8E"/>
    <w:rsid w:val="00FE55EB"/>
    <w:rsid w:val="00FF000A"/>
    <w:rsid w:val="00FF26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F97CD9"/>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8"/>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4C050B"/>
    <w:pPr>
      <w:numPr>
        <w:ilvl w:val="4"/>
      </w:numPr>
    </w:pPr>
  </w:style>
  <w:style w:type="paragraph" w:customStyle="1" w:styleId="AERnumberedlist2second">
    <w:name w:val="AER numbered list 2 second"/>
    <w:basedOn w:val="AERnumberedlist2first"/>
    <w:qFormat/>
    <w:rsid w:val="004C050B"/>
    <w:pPr>
      <w:numPr>
        <w:ilvl w:val="5"/>
      </w:numPr>
    </w:pPr>
  </w:style>
  <w:style w:type="paragraph" w:customStyle="1" w:styleId="AERnumberedlist2third">
    <w:name w:val="AER numbered list 2 third"/>
    <w:basedOn w:val="AERnumberedlist2second"/>
    <w:qFormat/>
    <w:rsid w:val="004C050B"/>
    <w:pPr>
      <w:numPr>
        <w:ilvl w:val="6"/>
      </w:numPr>
    </w:pPr>
  </w:style>
  <w:style w:type="paragraph" w:customStyle="1" w:styleId="HeadingBoldBlue">
    <w:name w:val="Heading Bold Blue"/>
    <w:basedOn w:val="AERbodytext"/>
    <w:next w:val="AERbodytext"/>
    <w:link w:val="HeadingBoldBlueChar"/>
    <w:qFormat/>
    <w:rsid w:val="004C050B"/>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4C050B"/>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4C050B"/>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4C050B"/>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centre">
    <w:name w:val="AER body text centre"/>
    <w:basedOn w:val="AERbodytext"/>
    <w:qFormat/>
    <w:rsid w:val="004C050B"/>
    <w:pPr>
      <w:numPr>
        <w:numId w:val="0"/>
      </w:numPr>
      <w:jc w:val="center"/>
    </w:pPr>
  </w:style>
  <w:style w:type="paragraph" w:customStyle="1" w:styleId="AERbodytextleftalign">
    <w:name w:val="AER body text left align"/>
    <w:basedOn w:val="AERbodytext"/>
    <w:qFormat/>
    <w:rsid w:val="004C050B"/>
    <w:pPr>
      <w:numPr>
        <w:numId w:val="0"/>
      </w:numPr>
      <w:jc w:val="left"/>
    </w:pPr>
  </w:style>
  <w:style w:type="paragraph" w:customStyle="1" w:styleId="AERbodytextnospacecentre">
    <w:name w:val="AER body text no space centre"/>
    <w:basedOn w:val="AERbodytextnospace"/>
    <w:qFormat/>
    <w:rsid w:val="004C050B"/>
    <w:pPr>
      <w:numPr>
        <w:numId w:val="0"/>
      </w:numPr>
      <w:jc w:val="center"/>
    </w:pPr>
  </w:style>
  <w:style w:type="paragraph" w:customStyle="1" w:styleId="AERbodytextnospaceleftalign">
    <w:name w:val="AER body text no space left align"/>
    <w:basedOn w:val="AERbodytextnospace"/>
    <w:qFormat/>
    <w:rsid w:val="004C050B"/>
    <w:pPr>
      <w:numPr>
        <w:numId w:val="0"/>
      </w:numPr>
      <w:tabs>
        <w:tab w:val="num" w:pos="0"/>
      </w:tabs>
      <w:jc w:val="left"/>
    </w:pPr>
  </w:style>
  <w:style w:type="paragraph" w:customStyle="1" w:styleId="HeadingOrange">
    <w:name w:val="Heading Orange"/>
    <w:basedOn w:val="HeadingBoldItalic"/>
    <w:qFormat/>
    <w:rsid w:val="004C050B"/>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oter" Target="footer3.xml"/><Relationship Id="rId10" Type="http://schemas.openxmlformats.org/officeDocument/2006/relationships/hyperlink" Target="mailto:AERInquiry@aer.gov.au" TargetMode="Externa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AE4CC2-74EB-4633-86FB-EDA529C21A4B}" type="doc">
      <dgm:prSet loTypeId="urn:microsoft.com/office/officeart/2005/8/layout/chevron1" loCatId="process" qsTypeId="urn:microsoft.com/office/officeart/2005/8/quickstyle/simple1" qsCatId="simple" csTypeId="urn:microsoft.com/office/officeart/2005/8/colors/accent1_2" csCatId="accent1" phldr="1"/>
      <dgm:spPr/>
    </dgm:pt>
    <dgm:pt modelId="{0562E846-A152-4126-A410-F47A184E9527}">
      <dgm:prSet phldrT="[Text]" custT="1"/>
      <dgm:spPr>
        <a:xfrm>
          <a:off x="3718777"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If yes, next step</a:t>
          </a:r>
        </a:p>
      </dgm:t>
    </dgm:pt>
    <dgm:pt modelId="{D4FFBE89-ECF8-4984-AD09-D05CA4D50CB0}" type="sibTrans" cxnId="{CF4D2AAF-8C96-4A4F-B4FA-E7DBB6C7DB1B}">
      <dgm:prSet/>
      <dgm:spPr/>
      <dgm:t>
        <a:bodyPr/>
        <a:lstStyle/>
        <a:p>
          <a:endParaRPr lang="en-AU"/>
        </a:p>
      </dgm:t>
    </dgm:pt>
    <dgm:pt modelId="{68D227CF-79AA-4702-8EA5-BFF64810056C}" type="parTrans" cxnId="{CF4D2AAF-8C96-4A4F-B4FA-E7DBB6C7DB1B}">
      <dgm:prSet/>
      <dgm:spPr/>
      <dgm:t>
        <a:bodyPr/>
        <a:lstStyle/>
        <a:p>
          <a:endParaRPr lang="en-AU"/>
        </a:p>
      </dgm:t>
    </dgm:pt>
    <dgm:pt modelId="{C98E6762-3C14-42B4-800F-DC5D1331BE47}">
      <dgm:prSet phldrT="[Text]" custT="1"/>
      <dgm:spPr>
        <a:xfrm>
          <a:off x="4999" y="0"/>
          <a:ext cx="2007732" cy="11639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What are shared asset unregulated revenues?</a:t>
          </a:r>
        </a:p>
      </dgm:t>
    </dgm:pt>
    <dgm:pt modelId="{EF683665-C0C7-4468-BA40-B805D1C122C1}" type="parTrans" cxnId="{59086417-4017-45E5-96BA-B46DE43DF403}">
      <dgm:prSet/>
      <dgm:spPr/>
      <dgm:t>
        <a:bodyPr/>
        <a:lstStyle/>
        <a:p>
          <a:endParaRPr lang="en-AU"/>
        </a:p>
      </dgm:t>
    </dgm:pt>
    <dgm:pt modelId="{FC01C137-9CD5-4F53-88C1-B6F10631F245}" type="sibTrans" cxnId="{59086417-4017-45E5-96BA-B46DE43DF403}">
      <dgm:prSet/>
      <dgm:spPr/>
      <dgm:t>
        <a:bodyPr/>
        <a:lstStyle/>
        <a:p>
          <a:endParaRPr lang="en-AU"/>
        </a:p>
      </dgm:t>
    </dgm:pt>
    <dgm:pt modelId="{383F40A9-F1D8-4FCF-A85A-6B9ACEA413A9}">
      <dgm:prSet phldrT="[Text]" custT="1"/>
      <dgm:spPr>
        <a:xfrm>
          <a:off x="1861888"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Are they greater than 1% of the NSP's annual revenue requirement</a:t>
          </a:r>
          <a:r>
            <a:rPr lang="en-AU" sz="1000">
              <a:solidFill>
                <a:sysClr val="window" lastClr="FFFFFF"/>
              </a:solidFill>
              <a:latin typeface="Times New Roman"/>
              <a:ea typeface="+mn-ea"/>
              <a:cs typeface="Times New Roman"/>
            </a:rPr>
            <a:t>?</a:t>
          </a:r>
          <a:endParaRPr lang="en-AU" sz="1000">
            <a:solidFill>
              <a:sysClr val="window" lastClr="FFFFFF"/>
            </a:solidFill>
            <a:latin typeface="Calibri"/>
            <a:ea typeface="+mn-ea"/>
            <a:cs typeface="+mn-cs"/>
          </a:endParaRPr>
        </a:p>
      </dgm:t>
    </dgm:pt>
    <dgm:pt modelId="{EAF06BF6-70A0-4712-B288-FCA034D2525E}" type="sibTrans" cxnId="{9D9174C7-03D8-4EBE-A10D-6CA792F81516}">
      <dgm:prSet/>
      <dgm:spPr/>
      <dgm:t>
        <a:bodyPr/>
        <a:lstStyle/>
        <a:p>
          <a:endParaRPr lang="en-AU"/>
        </a:p>
      </dgm:t>
    </dgm:pt>
    <dgm:pt modelId="{6CA4A2A7-C726-4A54-BE05-FF7293006ABD}" type="parTrans" cxnId="{9D9174C7-03D8-4EBE-A10D-6CA792F81516}">
      <dgm:prSet/>
      <dgm:spPr/>
      <dgm:t>
        <a:bodyPr/>
        <a:lstStyle/>
        <a:p>
          <a:endParaRPr lang="en-AU"/>
        </a:p>
      </dgm:t>
    </dgm:pt>
    <dgm:pt modelId="{0F01D238-A1BF-48E4-9ACF-9633DF3E65AE}" type="pres">
      <dgm:prSet presAssocID="{CFAE4CC2-74EB-4633-86FB-EDA529C21A4B}" presName="Name0" presStyleCnt="0">
        <dgm:presLayoutVars>
          <dgm:dir/>
          <dgm:animLvl val="lvl"/>
          <dgm:resizeHandles val="exact"/>
        </dgm:presLayoutVars>
      </dgm:prSet>
      <dgm:spPr/>
    </dgm:pt>
    <dgm:pt modelId="{0BCD3806-7912-435A-B5D1-A5DB74569D3C}" type="pres">
      <dgm:prSet presAssocID="{C98E6762-3C14-42B4-800F-DC5D1331BE47}" presName="parTxOnly" presStyleLbl="node1" presStyleIdx="0" presStyleCnt="3" custScaleX="133100" custScaleY="244448">
        <dgm:presLayoutVars>
          <dgm:chMax val="0"/>
          <dgm:chPref val="0"/>
          <dgm:bulletEnabled val="1"/>
        </dgm:presLayoutVars>
      </dgm:prSet>
      <dgm:spPr>
        <a:prstGeom prst="chevron">
          <a:avLst/>
        </a:prstGeom>
      </dgm:spPr>
      <dgm:t>
        <a:bodyPr/>
        <a:lstStyle/>
        <a:p>
          <a:endParaRPr lang="en-AU"/>
        </a:p>
      </dgm:t>
    </dgm:pt>
    <dgm:pt modelId="{BCA3599C-DBDA-4188-947B-12DA22F659A4}" type="pres">
      <dgm:prSet presAssocID="{FC01C137-9CD5-4F53-88C1-B6F10631F245}" presName="parTxOnlySpace" presStyleCnt="0"/>
      <dgm:spPr/>
    </dgm:pt>
    <dgm:pt modelId="{43A400B4-2A3D-4CDC-87FB-357A1CE24E72}" type="pres">
      <dgm:prSet presAssocID="{383F40A9-F1D8-4FCF-A85A-6B9ACEA413A9}" presName="parTxOnly" presStyleLbl="node1" presStyleIdx="1" presStyleCnt="3" custScaleX="133100" custScaleY="258046">
        <dgm:presLayoutVars>
          <dgm:chMax val="0"/>
          <dgm:chPref val="0"/>
          <dgm:bulletEnabled val="1"/>
        </dgm:presLayoutVars>
      </dgm:prSet>
      <dgm:spPr>
        <a:prstGeom prst="chevron">
          <a:avLst/>
        </a:prstGeom>
      </dgm:spPr>
      <dgm:t>
        <a:bodyPr/>
        <a:lstStyle/>
        <a:p>
          <a:endParaRPr lang="en-AU"/>
        </a:p>
      </dgm:t>
    </dgm:pt>
    <dgm:pt modelId="{87A5F12E-7941-46AF-B639-A9F675A4F13D}" type="pres">
      <dgm:prSet presAssocID="{EAF06BF6-70A0-4712-B288-FCA034D2525E}" presName="parTxOnlySpace" presStyleCnt="0"/>
      <dgm:spPr/>
    </dgm:pt>
    <dgm:pt modelId="{1920D2C6-5469-43DD-8EDE-48103226190D}" type="pres">
      <dgm:prSet presAssocID="{0562E846-A152-4126-A410-F47A184E9527}" presName="parTxOnly" presStyleLbl="node1" presStyleIdx="2" presStyleCnt="3" custScaleX="133100" custScaleY="258046">
        <dgm:presLayoutVars>
          <dgm:chMax val="0"/>
          <dgm:chPref val="0"/>
          <dgm:bulletEnabled val="1"/>
        </dgm:presLayoutVars>
      </dgm:prSet>
      <dgm:spPr>
        <a:prstGeom prst="chevron">
          <a:avLst/>
        </a:prstGeom>
      </dgm:spPr>
      <dgm:t>
        <a:bodyPr/>
        <a:lstStyle/>
        <a:p>
          <a:endParaRPr lang="en-AU"/>
        </a:p>
      </dgm:t>
    </dgm:pt>
  </dgm:ptLst>
  <dgm:cxnLst>
    <dgm:cxn modelId="{17E03971-DAFE-4F18-9A40-ADA42F5AF5B9}" type="presOf" srcId="{CFAE4CC2-74EB-4633-86FB-EDA529C21A4B}" destId="{0F01D238-A1BF-48E4-9ACF-9633DF3E65AE}" srcOrd="0" destOrd="0" presId="urn:microsoft.com/office/officeart/2005/8/layout/chevron1"/>
    <dgm:cxn modelId="{9D9174C7-03D8-4EBE-A10D-6CA792F81516}" srcId="{CFAE4CC2-74EB-4633-86FB-EDA529C21A4B}" destId="{383F40A9-F1D8-4FCF-A85A-6B9ACEA413A9}" srcOrd="1" destOrd="0" parTransId="{6CA4A2A7-C726-4A54-BE05-FF7293006ABD}" sibTransId="{EAF06BF6-70A0-4712-B288-FCA034D2525E}"/>
    <dgm:cxn modelId="{CB357FD8-FCB8-4973-AD05-8E71BE3758A4}" type="presOf" srcId="{0562E846-A152-4126-A410-F47A184E9527}" destId="{1920D2C6-5469-43DD-8EDE-48103226190D}" srcOrd="0" destOrd="0" presId="urn:microsoft.com/office/officeart/2005/8/layout/chevron1"/>
    <dgm:cxn modelId="{43230DD5-D158-40B4-886D-27A7857053F8}" type="presOf" srcId="{C98E6762-3C14-42B4-800F-DC5D1331BE47}" destId="{0BCD3806-7912-435A-B5D1-A5DB74569D3C}" srcOrd="0" destOrd="0" presId="urn:microsoft.com/office/officeart/2005/8/layout/chevron1"/>
    <dgm:cxn modelId="{59086417-4017-45E5-96BA-B46DE43DF403}" srcId="{CFAE4CC2-74EB-4633-86FB-EDA529C21A4B}" destId="{C98E6762-3C14-42B4-800F-DC5D1331BE47}" srcOrd="0" destOrd="0" parTransId="{EF683665-C0C7-4468-BA40-B805D1C122C1}" sibTransId="{FC01C137-9CD5-4F53-88C1-B6F10631F245}"/>
    <dgm:cxn modelId="{CF4D2AAF-8C96-4A4F-B4FA-E7DBB6C7DB1B}" srcId="{CFAE4CC2-74EB-4633-86FB-EDA529C21A4B}" destId="{0562E846-A152-4126-A410-F47A184E9527}" srcOrd="2" destOrd="0" parTransId="{68D227CF-79AA-4702-8EA5-BFF64810056C}" sibTransId="{D4FFBE89-ECF8-4984-AD09-D05CA4D50CB0}"/>
    <dgm:cxn modelId="{2A89B811-BD7B-447D-B4D9-C1CE7D38327F}" type="presOf" srcId="{383F40A9-F1D8-4FCF-A85A-6B9ACEA413A9}" destId="{43A400B4-2A3D-4CDC-87FB-357A1CE24E72}" srcOrd="0" destOrd="0" presId="urn:microsoft.com/office/officeart/2005/8/layout/chevron1"/>
    <dgm:cxn modelId="{CBFE9A7E-F243-4865-9084-9119E2639A63}" type="presParOf" srcId="{0F01D238-A1BF-48E4-9ACF-9633DF3E65AE}" destId="{0BCD3806-7912-435A-B5D1-A5DB74569D3C}" srcOrd="0" destOrd="0" presId="urn:microsoft.com/office/officeart/2005/8/layout/chevron1"/>
    <dgm:cxn modelId="{5866BA25-8485-41D1-B227-BD506503A9CD}" type="presParOf" srcId="{0F01D238-A1BF-48E4-9ACF-9633DF3E65AE}" destId="{BCA3599C-DBDA-4188-947B-12DA22F659A4}" srcOrd="1" destOrd="0" presId="urn:microsoft.com/office/officeart/2005/8/layout/chevron1"/>
    <dgm:cxn modelId="{37B5A6F2-2838-45DD-B0E4-F7CB4CF1C70C}" type="presParOf" srcId="{0F01D238-A1BF-48E4-9ACF-9633DF3E65AE}" destId="{43A400B4-2A3D-4CDC-87FB-357A1CE24E72}" srcOrd="2" destOrd="0" presId="urn:microsoft.com/office/officeart/2005/8/layout/chevron1"/>
    <dgm:cxn modelId="{81458FE4-B511-4525-B26E-E44E2F2F5684}" type="presParOf" srcId="{0F01D238-A1BF-48E4-9ACF-9633DF3E65AE}" destId="{87A5F12E-7941-46AF-B639-A9F675A4F13D}" srcOrd="3" destOrd="0" presId="urn:microsoft.com/office/officeart/2005/8/layout/chevron1"/>
    <dgm:cxn modelId="{429549EC-78E3-429C-A139-B3D029ECB7D0}" type="presParOf" srcId="{0F01D238-A1BF-48E4-9ACF-9633DF3E65AE}" destId="{1920D2C6-5469-43DD-8EDE-48103226190D}"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AE4CC2-74EB-4633-86FB-EDA529C21A4B}" type="doc">
      <dgm:prSet loTypeId="urn:microsoft.com/office/officeart/2005/8/layout/chevron1" loCatId="process" qsTypeId="urn:microsoft.com/office/officeart/2005/8/quickstyle/simple1" qsCatId="simple" csTypeId="urn:microsoft.com/office/officeart/2005/8/colors/accent1_2" csCatId="accent1" phldr="1"/>
      <dgm:spPr/>
    </dgm:pt>
    <dgm:pt modelId="{0562E846-A152-4126-A410-F47A184E9527}">
      <dgm:prSet phldrT="[Text]" custT="1"/>
      <dgm:spPr>
        <a:xfrm>
          <a:off x="3718777"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Reduce  annual revenue requirement by adjusted value </a:t>
          </a:r>
        </a:p>
      </dgm:t>
    </dgm:pt>
    <dgm:pt modelId="{D4FFBE89-ECF8-4984-AD09-D05CA4D50CB0}" type="sibTrans" cxnId="{CF4D2AAF-8C96-4A4F-B4FA-E7DBB6C7DB1B}">
      <dgm:prSet/>
      <dgm:spPr/>
      <dgm:t>
        <a:bodyPr/>
        <a:lstStyle/>
        <a:p>
          <a:endParaRPr lang="en-AU"/>
        </a:p>
      </dgm:t>
    </dgm:pt>
    <dgm:pt modelId="{68D227CF-79AA-4702-8EA5-BFF64810056C}" type="parTrans" cxnId="{CF4D2AAF-8C96-4A4F-B4FA-E7DBB6C7DB1B}">
      <dgm:prSet/>
      <dgm:spPr/>
      <dgm:t>
        <a:bodyPr/>
        <a:lstStyle/>
        <a:p>
          <a:endParaRPr lang="en-AU"/>
        </a:p>
      </dgm:t>
    </dgm:pt>
    <dgm:pt modelId="{C98E6762-3C14-42B4-800F-DC5D1331BE47}">
      <dgm:prSet phldrT="[Text]" custT="1"/>
      <dgm:spPr>
        <a:xfrm>
          <a:off x="4999" y="0"/>
          <a:ext cx="2007732" cy="11639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Calculate cost reduction using the guideline's method</a:t>
          </a:r>
        </a:p>
      </dgm:t>
    </dgm:pt>
    <dgm:pt modelId="{EF683665-C0C7-4468-BA40-B805D1C122C1}" type="parTrans" cxnId="{59086417-4017-45E5-96BA-B46DE43DF403}">
      <dgm:prSet/>
      <dgm:spPr/>
      <dgm:t>
        <a:bodyPr/>
        <a:lstStyle/>
        <a:p>
          <a:endParaRPr lang="en-AU"/>
        </a:p>
      </dgm:t>
    </dgm:pt>
    <dgm:pt modelId="{FC01C137-9CD5-4F53-88C1-B6F10631F245}" type="sibTrans" cxnId="{59086417-4017-45E5-96BA-B46DE43DF403}">
      <dgm:prSet/>
      <dgm:spPr/>
      <dgm:t>
        <a:bodyPr/>
        <a:lstStyle/>
        <a:p>
          <a:endParaRPr lang="en-AU"/>
        </a:p>
      </dgm:t>
    </dgm:pt>
    <dgm:pt modelId="{383F40A9-F1D8-4FCF-A85A-6B9ACEA413A9}">
      <dgm:prSet phldrT="[Text]" custT="1"/>
      <dgm:spPr>
        <a:xfrm>
          <a:off x="1861888" y="-32373"/>
          <a:ext cx="2007732" cy="1228702"/>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000">
              <a:solidFill>
                <a:sysClr val="window" lastClr="FFFFFF"/>
              </a:solidFill>
              <a:latin typeface="Calibri"/>
              <a:ea typeface="+mn-ea"/>
              <a:cs typeface="+mn-cs"/>
            </a:rPr>
            <a:t>Adjust (potentially) for contributed assets</a:t>
          </a:r>
        </a:p>
      </dgm:t>
    </dgm:pt>
    <dgm:pt modelId="{EAF06BF6-70A0-4712-B288-FCA034D2525E}" type="sibTrans" cxnId="{9D9174C7-03D8-4EBE-A10D-6CA792F81516}">
      <dgm:prSet/>
      <dgm:spPr/>
      <dgm:t>
        <a:bodyPr/>
        <a:lstStyle/>
        <a:p>
          <a:endParaRPr lang="en-AU"/>
        </a:p>
      </dgm:t>
    </dgm:pt>
    <dgm:pt modelId="{6CA4A2A7-C726-4A54-BE05-FF7293006ABD}" type="parTrans" cxnId="{9D9174C7-03D8-4EBE-A10D-6CA792F81516}">
      <dgm:prSet/>
      <dgm:spPr/>
      <dgm:t>
        <a:bodyPr/>
        <a:lstStyle/>
        <a:p>
          <a:endParaRPr lang="en-AU"/>
        </a:p>
      </dgm:t>
    </dgm:pt>
    <dgm:pt modelId="{0F01D238-A1BF-48E4-9ACF-9633DF3E65AE}" type="pres">
      <dgm:prSet presAssocID="{CFAE4CC2-74EB-4633-86FB-EDA529C21A4B}" presName="Name0" presStyleCnt="0">
        <dgm:presLayoutVars>
          <dgm:dir/>
          <dgm:animLvl val="lvl"/>
          <dgm:resizeHandles val="exact"/>
        </dgm:presLayoutVars>
      </dgm:prSet>
      <dgm:spPr/>
    </dgm:pt>
    <dgm:pt modelId="{0BCD3806-7912-435A-B5D1-A5DB74569D3C}" type="pres">
      <dgm:prSet presAssocID="{C98E6762-3C14-42B4-800F-DC5D1331BE47}" presName="parTxOnly" presStyleLbl="node1" presStyleIdx="0" presStyleCnt="3" custScaleX="133100" custScaleY="244448">
        <dgm:presLayoutVars>
          <dgm:chMax val="0"/>
          <dgm:chPref val="0"/>
          <dgm:bulletEnabled val="1"/>
        </dgm:presLayoutVars>
      </dgm:prSet>
      <dgm:spPr>
        <a:prstGeom prst="chevron">
          <a:avLst/>
        </a:prstGeom>
      </dgm:spPr>
      <dgm:t>
        <a:bodyPr/>
        <a:lstStyle/>
        <a:p>
          <a:endParaRPr lang="en-AU"/>
        </a:p>
      </dgm:t>
    </dgm:pt>
    <dgm:pt modelId="{BCA3599C-DBDA-4188-947B-12DA22F659A4}" type="pres">
      <dgm:prSet presAssocID="{FC01C137-9CD5-4F53-88C1-B6F10631F245}" presName="parTxOnlySpace" presStyleCnt="0"/>
      <dgm:spPr/>
    </dgm:pt>
    <dgm:pt modelId="{43A400B4-2A3D-4CDC-87FB-357A1CE24E72}" type="pres">
      <dgm:prSet presAssocID="{383F40A9-F1D8-4FCF-A85A-6B9ACEA413A9}" presName="parTxOnly" presStyleLbl="node1" presStyleIdx="1" presStyleCnt="3" custScaleX="133100" custScaleY="258046">
        <dgm:presLayoutVars>
          <dgm:chMax val="0"/>
          <dgm:chPref val="0"/>
          <dgm:bulletEnabled val="1"/>
        </dgm:presLayoutVars>
      </dgm:prSet>
      <dgm:spPr>
        <a:prstGeom prst="chevron">
          <a:avLst/>
        </a:prstGeom>
      </dgm:spPr>
      <dgm:t>
        <a:bodyPr/>
        <a:lstStyle/>
        <a:p>
          <a:endParaRPr lang="en-AU"/>
        </a:p>
      </dgm:t>
    </dgm:pt>
    <dgm:pt modelId="{87A5F12E-7941-46AF-B639-A9F675A4F13D}" type="pres">
      <dgm:prSet presAssocID="{EAF06BF6-70A0-4712-B288-FCA034D2525E}" presName="parTxOnlySpace" presStyleCnt="0"/>
      <dgm:spPr/>
    </dgm:pt>
    <dgm:pt modelId="{1920D2C6-5469-43DD-8EDE-48103226190D}" type="pres">
      <dgm:prSet presAssocID="{0562E846-A152-4126-A410-F47A184E9527}" presName="parTxOnly" presStyleLbl="node1" presStyleIdx="2" presStyleCnt="3" custScaleX="133100" custScaleY="258046">
        <dgm:presLayoutVars>
          <dgm:chMax val="0"/>
          <dgm:chPref val="0"/>
          <dgm:bulletEnabled val="1"/>
        </dgm:presLayoutVars>
      </dgm:prSet>
      <dgm:spPr>
        <a:prstGeom prst="chevron">
          <a:avLst/>
        </a:prstGeom>
      </dgm:spPr>
      <dgm:t>
        <a:bodyPr/>
        <a:lstStyle/>
        <a:p>
          <a:endParaRPr lang="en-AU"/>
        </a:p>
      </dgm:t>
    </dgm:pt>
  </dgm:ptLst>
  <dgm:cxnLst>
    <dgm:cxn modelId="{0CCBF4E6-26BA-4E83-8B28-EC497E84BFBC}" type="presOf" srcId="{0562E846-A152-4126-A410-F47A184E9527}" destId="{1920D2C6-5469-43DD-8EDE-48103226190D}" srcOrd="0" destOrd="0" presId="urn:microsoft.com/office/officeart/2005/8/layout/chevron1"/>
    <dgm:cxn modelId="{59086417-4017-45E5-96BA-B46DE43DF403}" srcId="{CFAE4CC2-74EB-4633-86FB-EDA529C21A4B}" destId="{C98E6762-3C14-42B4-800F-DC5D1331BE47}" srcOrd="0" destOrd="0" parTransId="{EF683665-C0C7-4468-BA40-B805D1C122C1}" sibTransId="{FC01C137-9CD5-4F53-88C1-B6F10631F245}"/>
    <dgm:cxn modelId="{9D9174C7-03D8-4EBE-A10D-6CA792F81516}" srcId="{CFAE4CC2-74EB-4633-86FB-EDA529C21A4B}" destId="{383F40A9-F1D8-4FCF-A85A-6B9ACEA413A9}" srcOrd="1" destOrd="0" parTransId="{6CA4A2A7-C726-4A54-BE05-FF7293006ABD}" sibTransId="{EAF06BF6-70A0-4712-B288-FCA034D2525E}"/>
    <dgm:cxn modelId="{032E4781-B620-4CCF-B38B-46B8EFD3A7E7}" type="presOf" srcId="{CFAE4CC2-74EB-4633-86FB-EDA529C21A4B}" destId="{0F01D238-A1BF-48E4-9ACF-9633DF3E65AE}" srcOrd="0" destOrd="0" presId="urn:microsoft.com/office/officeart/2005/8/layout/chevron1"/>
    <dgm:cxn modelId="{CF4D2AAF-8C96-4A4F-B4FA-E7DBB6C7DB1B}" srcId="{CFAE4CC2-74EB-4633-86FB-EDA529C21A4B}" destId="{0562E846-A152-4126-A410-F47A184E9527}" srcOrd="2" destOrd="0" parTransId="{68D227CF-79AA-4702-8EA5-BFF64810056C}" sibTransId="{D4FFBE89-ECF8-4984-AD09-D05CA4D50CB0}"/>
    <dgm:cxn modelId="{596DADBD-1D62-4320-9A39-416CCE4D4E11}" type="presOf" srcId="{383F40A9-F1D8-4FCF-A85A-6B9ACEA413A9}" destId="{43A400B4-2A3D-4CDC-87FB-357A1CE24E72}" srcOrd="0" destOrd="0" presId="urn:microsoft.com/office/officeart/2005/8/layout/chevron1"/>
    <dgm:cxn modelId="{18457F55-E4C0-46CB-A614-B8516C7891F6}" type="presOf" srcId="{C98E6762-3C14-42B4-800F-DC5D1331BE47}" destId="{0BCD3806-7912-435A-B5D1-A5DB74569D3C}" srcOrd="0" destOrd="0" presId="urn:microsoft.com/office/officeart/2005/8/layout/chevron1"/>
    <dgm:cxn modelId="{24284FE1-3FDE-4368-A425-73864E5ECD85}" type="presParOf" srcId="{0F01D238-A1BF-48E4-9ACF-9633DF3E65AE}" destId="{0BCD3806-7912-435A-B5D1-A5DB74569D3C}" srcOrd="0" destOrd="0" presId="urn:microsoft.com/office/officeart/2005/8/layout/chevron1"/>
    <dgm:cxn modelId="{7D691E4C-0A95-425F-963D-426D0F3FA25A}" type="presParOf" srcId="{0F01D238-A1BF-48E4-9ACF-9633DF3E65AE}" destId="{BCA3599C-DBDA-4188-947B-12DA22F659A4}" srcOrd="1" destOrd="0" presId="urn:microsoft.com/office/officeart/2005/8/layout/chevron1"/>
    <dgm:cxn modelId="{776626DB-EAE9-4395-AEC4-D077E58C617B}" type="presParOf" srcId="{0F01D238-A1BF-48E4-9ACF-9633DF3E65AE}" destId="{43A400B4-2A3D-4CDC-87FB-357A1CE24E72}" srcOrd="2" destOrd="0" presId="urn:microsoft.com/office/officeart/2005/8/layout/chevron1"/>
    <dgm:cxn modelId="{54E1C25C-4C36-405D-9B5D-57021C3BE228}" type="presParOf" srcId="{0F01D238-A1BF-48E4-9ACF-9633DF3E65AE}" destId="{87A5F12E-7941-46AF-B639-A9F675A4F13D}" srcOrd="3" destOrd="0" presId="urn:microsoft.com/office/officeart/2005/8/layout/chevron1"/>
    <dgm:cxn modelId="{38C86027-313B-4E38-A467-B88307AAFFA1}" type="presParOf" srcId="{0F01D238-A1BF-48E4-9ACF-9633DF3E65AE}" destId="{1920D2C6-5469-43DD-8EDE-48103226190D}" srcOrd="4"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D3806-7912-435A-B5D1-A5DB74569D3C}">
      <dsp:nvSpPr>
        <dsp:cNvPr id="0" name=""/>
        <dsp:cNvSpPr/>
      </dsp:nvSpPr>
      <dsp:spPr>
        <a:xfrm>
          <a:off x="4996" y="0"/>
          <a:ext cx="2006620" cy="116204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What are shared asset unregulated revenues?</a:t>
          </a:r>
        </a:p>
      </dsp:txBody>
      <dsp:txXfrm>
        <a:off x="586021" y="0"/>
        <a:ext cx="844571" cy="1162049"/>
      </dsp:txXfrm>
    </dsp:sp>
    <dsp:sp modelId="{43A400B4-2A3D-4CDC-87FB-357A1CE24E72}">
      <dsp:nvSpPr>
        <dsp:cNvPr id="0" name=""/>
        <dsp:cNvSpPr/>
      </dsp:nvSpPr>
      <dsp:spPr>
        <a:xfrm>
          <a:off x="1860857" y="-32320"/>
          <a:ext cx="2006620" cy="12266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Are they greater than 1% of the NSP's annual revenue requirement</a:t>
          </a:r>
          <a:r>
            <a:rPr lang="en-AU" sz="1000" kern="1200">
              <a:solidFill>
                <a:sysClr val="window" lastClr="FFFFFF"/>
              </a:solidFill>
              <a:latin typeface="Times New Roman"/>
              <a:ea typeface="+mn-ea"/>
              <a:cs typeface="Times New Roman"/>
            </a:rPr>
            <a:t>?</a:t>
          </a:r>
          <a:endParaRPr lang="en-AU" sz="1000" kern="1200">
            <a:solidFill>
              <a:sysClr val="window" lastClr="FFFFFF"/>
            </a:solidFill>
            <a:latin typeface="Calibri"/>
            <a:ea typeface="+mn-ea"/>
            <a:cs typeface="+mn-cs"/>
          </a:endParaRPr>
        </a:p>
      </dsp:txBody>
      <dsp:txXfrm>
        <a:off x="2474203" y="-32320"/>
        <a:ext cx="779929" cy="1226691"/>
      </dsp:txXfrm>
    </dsp:sp>
    <dsp:sp modelId="{1920D2C6-5469-43DD-8EDE-48103226190D}">
      <dsp:nvSpPr>
        <dsp:cNvPr id="0" name=""/>
        <dsp:cNvSpPr/>
      </dsp:nvSpPr>
      <dsp:spPr>
        <a:xfrm>
          <a:off x="3716717" y="-32320"/>
          <a:ext cx="2006620" cy="12266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If yes, next step</a:t>
          </a:r>
        </a:p>
      </dsp:txBody>
      <dsp:txXfrm>
        <a:off x="4330063" y="-32320"/>
        <a:ext cx="779929" cy="12266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CD3806-7912-435A-B5D1-A5DB74569D3C}">
      <dsp:nvSpPr>
        <dsp:cNvPr id="0" name=""/>
        <dsp:cNvSpPr/>
      </dsp:nvSpPr>
      <dsp:spPr>
        <a:xfrm>
          <a:off x="4996" y="0"/>
          <a:ext cx="2006620" cy="1162049"/>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Calculate cost reduction using the guideline's method</a:t>
          </a:r>
        </a:p>
      </dsp:txBody>
      <dsp:txXfrm>
        <a:off x="586021" y="0"/>
        <a:ext cx="844571" cy="1162049"/>
      </dsp:txXfrm>
    </dsp:sp>
    <dsp:sp modelId="{43A400B4-2A3D-4CDC-87FB-357A1CE24E72}">
      <dsp:nvSpPr>
        <dsp:cNvPr id="0" name=""/>
        <dsp:cNvSpPr/>
      </dsp:nvSpPr>
      <dsp:spPr>
        <a:xfrm>
          <a:off x="1860857" y="-32320"/>
          <a:ext cx="2006620" cy="12266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Adjust (potentially) for contributed assets</a:t>
          </a:r>
        </a:p>
      </dsp:txBody>
      <dsp:txXfrm>
        <a:off x="2474203" y="-32320"/>
        <a:ext cx="779929" cy="1226691"/>
      </dsp:txXfrm>
    </dsp:sp>
    <dsp:sp modelId="{1920D2C6-5469-43DD-8EDE-48103226190D}">
      <dsp:nvSpPr>
        <dsp:cNvPr id="0" name=""/>
        <dsp:cNvSpPr/>
      </dsp:nvSpPr>
      <dsp:spPr>
        <a:xfrm>
          <a:off x="3716717" y="-32320"/>
          <a:ext cx="2006620" cy="1226691"/>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AU" sz="1000" kern="1200">
              <a:solidFill>
                <a:sysClr val="window" lastClr="FFFFFF"/>
              </a:solidFill>
              <a:latin typeface="Calibri"/>
              <a:ea typeface="+mn-ea"/>
              <a:cs typeface="+mn-cs"/>
            </a:rPr>
            <a:t>Reduce  annual revenue requirement by adjusted value </a:t>
          </a:r>
        </a:p>
      </dsp:txBody>
      <dsp:txXfrm>
        <a:off x="4330063" y="-32320"/>
        <a:ext cx="779929" cy="12266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9ED6-4B4D-4380-9A87-2E878E468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3807</Words>
  <Characters>21701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25458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shared asset guideline</dc:title>
  <dc:subject/>
  <dc:creator>AER</dc:creator>
  <cp:keywords/>
  <cp:lastModifiedBy>mleco</cp:lastModifiedBy>
  <cp:revision>2</cp:revision>
  <cp:lastPrinted>2012-05-03T01:13:00Z</cp:lastPrinted>
  <dcterms:created xsi:type="dcterms:W3CDTF">2013-11-28T04:59:00Z</dcterms:created>
  <dcterms:modified xsi:type="dcterms:W3CDTF">2013-11-28T04:59:00Z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H:\TRIMDATA\TRIM\TEMP\HPTRIM.4600\D13 164077  Shared asset guideline.DOCX</vt:lpwstr>
  </property>
</Properties>
</file>