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63E" w:rsidRPr="0023163E" w:rsidRDefault="0023163E" w:rsidP="0023163E">
      <w:pPr>
        <w:pStyle w:val="AERReference"/>
        <w:rPr>
          <w:color w:val="003591" w:themeColor="text2"/>
        </w:rPr>
      </w:pPr>
      <w:r w:rsidRPr="0023163E">
        <w:rPr>
          <w:noProof/>
          <w:color w:val="003591" w:themeColor="text2"/>
          <w:lang w:val="en-AU"/>
        </w:rPr>
        <w:drawing>
          <wp:anchor distT="0" distB="0" distL="114300" distR="114300" simplePos="0" relativeHeight="251659264" behindDoc="0" locked="0" layoutInCell="1" allowOverlap="1" wp14:anchorId="01F662BC" wp14:editId="64366E3B">
            <wp:simplePos x="0" y="0"/>
            <wp:positionH relativeFrom="column">
              <wp:posOffset>3311525</wp:posOffset>
            </wp:positionH>
            <wp:positionV relativeFrom="paragraph">
              <wp:posOffset>-287655</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23163E" w:rsidRPr="0023163E" w:rsidRDefault="0023163E" w:rsidP="0023163E">
      <w:pPr>
        <w:pStyle w:val="AERReference"/>
        <w:rPr>
          <w:color w:val="003591" w:themeColor="text2"/>
        </w:rPr>
      </w:pPr>
    </w:p>
    <w:p w:rsidR="0023163E" w:rsidRPr="0023163E" w:rsidRDefault="0023163E" w:rsidP="0023163E">
      <w:pPr>
        <w:pStyle w:val="AERReference"/>
        <w:rPr>
          <w:color w:val="003591" w:themeColor="text2"/>
        </w:rPr>
      </w:pPr>
    </w:p>
    <w:p w:rsidR="0023163E" w:rsidRPr="0023163E" w:rsidRDefault="0023163E" w:rsidP="0023163E">
      <w:pPr>
        <w:pStyle w:val="AERReference"/>
        <w:rPr>
          <w:color w:val="003591" w:themeColor="text2"/>
        </w:rPr>
      </w:pPr>
    </w:p>
    <w:p w:rsidR="0023163E" w:rsidRPr="0023163E" w:rsidRDefault="0023163E" w:rsidP="0023163E">
      <w:pPr>
        <w:pStyle w:val="AERReference"/>
        <w:rPr>
          <w:color w:val="003591" w:themeColor="text2"/>
        </w:rPr>
      </w:pPr>
    </w:p>
    <w:p w:rsidR="0023163E" w:rsidRPr="0023163E" w:rsidRDefault="0023163E" w:rsidP="0023163E">
      <w:pPr>
        <w:pStyle w:val="AERReference"/>
        <w:rPr>
          <w:color w:val="003591" w:themeColor="text2"/>
        </w:rPr>
      </w:pPr>
    </w:p>
    <w:p w:rsidR="0023163E" w:rsidRPr="0023163E" w:rsidRDefault="0023163E" w:rsidP="0023163E">
      <w:pPr>
        <w:pStyle w:val="AERReference"/>
        <w:rPr>
          <w:color w:val="003591" w:themeColor="text2"/>
        </w:rPr>
      </w:pPr>
    </w:p>
    <w:p w:rsidR="0023163E" w:rsidRPr="0023163E" w:rsidRDefault="0023163E" w:rsidP="0023163E">
      <w:pPr>
        <w:pStyle w:val="AERReference"/>
        <w:rPr>
          <w:color w:val="003591" w:themeColor="text2"/>
        </w:rPr>
      </w:pPr>
    </w:p>
    <w:p w:rsidR="0023163E" w:rsidRPr="0023163E" w:rsidRDefault="0023163E" w:rsidP="0023163E">
      <w:pPr>
        <w:pStyle w:val="AERReference"/>
        <w:rPr>
          <w:color w:val="003591" w:themeColor="text2"/>
        </w:rPr>
      </w:pPr>
    </w:p>
    <w:p w:rsidR="0023163E" w:rsidRPr="0023163E" w:rsidRDefault="0023163E" w:rsidP="0023163E">
      <w:pPr>
        <w:pStyle w:val="AERReference"/>
        <w:rPr>
          <w:color w:val="003591" w:themeColor="text2"/>
        </w:rPr>
      </w:pPr>
      <w:r w:rsidRPr="00757B31">
        <w:t>Our Ref:</w:t>
      </w:r>
      <w:r w:rsidRPr="0023163E">
        <w:rPr>
          <w:color w:val="003591" w:themeColor="text2"/>
        </w:rPr>
        <w:tab/>
      </w:r>
      <w:bookmarkStart w:id="0" w:name="OurRef"/>
      <w:bookmarkEnd w:id="0"/>
      <w:r w:rsidR="00CA1898">
        <w:t>D15/126616</w:t>
      </w:r>
    </w:p>
    <w:p w:rsidR="0023163E" w:rsidRPr="0023163E" w:rsidRDefault="0023163E" w:rsidP="0023163E">
      <w:pPr>
        <w:pStyle w:val="AERReference"/>
        <w:rPr>
          <w:color w:val="003591" w:themeColor="text2"/>
        </w:rPr>
      </w:pPr>
      <w:r w:rsidRPr="00757B31">
        <w:t>Your Ref:</w:t>
      </w:r>
      <w:r w:rsidRPr="0023163E">
        <w:rPr>
          <w:color w:val="003591" w:themeColor="text2"/>
        </w:rPr>
        <w:tab/>
      </w:r>
      <w:bookmarkStart w:id="1" w:name="YourRef"/>
      <w:bookmarkEnd w:id="1"/>
    </w:p>
    <w:p w:rsidR="0023163E" w:rsidRPr="0023163E" w:rsidRDefault="0023163E" w:rsidP="0023163E">
      <w:pPr>
        <w:pStyle w:val="AERReference"/>
      </w:pPr>
      <w:r w:rsidRPr="0023163E">
        <w:t>Contact Officer:</w:t>
      </w:r>
      <w:bookmarkStart w:id="2" w:name="ContactOfficer"/>
      <w:bookmarkEnd w:id="2"/>
      <w:r w:rsidR="009E7FA1">
        <w:tab/>
        <w:t>Bruno Coelho</w:t>
      </w:r>
    </w:p>
    <w:p w:rsidR="0023163E" w:rsidRPr="0023163E" w:rsidRDefault="0023163E" w:rsidP="0023163E">
      <w:pPr>
        <w:pStyle w:val="AERReference"/>
      </w:pPr>
      <w:r w:rsidRPr="0023163E">
        <w:t>Contact Phone:</w:t>
      </w:r>
      <w:r w:rsidRPr="0023163E">
        <w:tab/>
      </w:r>
      <w:bookmarkStart w:id="3" w:name="ContactPhone"/>
      <w:bookmarkEnd w:id="3"/>
      <w:r w:rsidR="009E7FA1">
        <w:t>08 8213 3435</w:t>
      </w:r>
    </w:p>
    <w:p w:rsidR="0023163E" w:rsidRPr="0023163E" w:rsidRDefault="0023163E" w:rsidP="0023163E">
      <w:pPr>
        <w:pStyle w:val="AERReference"/>
        <w:rPr>
          <w:rFonts w:ascii="Times New Roman" w:hAnsi="Times New Roman"/>
        </w:rPr>
      </w:pPr>
    </w:p>
    <w:p w:rsidR="0023163E" w:rsidRPr="0023163E" w:rsidRDefault="002634D1" w:rsidP="0023163E">
      <w:pPr>
        <w:pStyle w:val="AERReference"/>
      </w:pPr>
      <w:r>
        <w:t>24 August 2015</w:t>
      </w:r>
      <w:bookmarkStart w:id="4" w:name="_GoBack"/>
      <w:bookmarkEnd w:id="4"/>
    </w:p>
    <w:p w:rsidR="0023163E" w:rsidRPr="0023163E" w:rsidRDefault="0023163E" w:rsidP="0023163E">
      <w:pPr>
        <w:pStyle w:val="AERReference"/>
      </w:pPr>
    </w:p>
    <w:p w:rsidR="0023163E" w:rsidRPr="0023163E" w:rsidRDefault="0023163E" w:rsidP="0023163E">
      <w:pPr>
        <w:pStyle w:val="AERReference"/>
      </w:pPr>
      <w:bookmarkStart w:id="5" w:name="Recipient"/>
      <w:bookmarkEnd w:id="5"/>
      <w:r w:rsidRPr="0023163E">
        <w:t>John Pierce</w:t>
      </w:r>
    </w:p>
    <w:p w:rsidR="0023163E" w:rsidRPr="0023163E" w:rsidRDefault="0023163E" w:rsidP="0023163E">
      <w:pPr>
        <w:pStyle w:val="AERReference"/>
      </w:pPr>
      <w:r w:rsidRPr="0023163E">
        <w:t>Chairman</w:t>
      </w:r>
    </w:p>
    <w:p w:rsidR="0023163E" w:rsidRPr="0023163E" w:rsidRDefault="0023163E" w:rsidP="0023163E">
      <w:pPr>
        <w:pStyle w:val="AERReference"/>
      </w:pPr>
      <w:r w:rsidRPr="0023163E">
        <w:t>Australian Energy Markets Commission</w:t>
      </w:r>
    </w:p>
    <w:p w:rsidR="0023163E" w:rsidRPr="0023163E" w:rsidRDefault="0023163E" w:rsidP="0023163E">
      <w:pPr>
        <w:pStyle w:val="AERReference"/>
      </w:pPr>
      <w:r w:rsidRPr="0023163E">
        <w:t>PO BOX A2449</w:t>
      </w:r>
    </w:p>
    <w:p w:rsidR="0023163E" w:rsidRPr="0023163E" w:rsidRDefault="0023163E" w:rsidP="0023163E">
      <w:pPr>
        <w:pStyle w:val="AERReference"/>
      </w:pPr>
      <w:r w:rsidRPr="0023163E">
        <w:t>SYDNEY SOUTH, NSW 1235</w:t>
      </w:r>
    </w:p>
    <w:p w:rsidR="0023163E" w:rsidRPr="0023163E" w:rsidRDefault="0023163E" w:rsidP="0023163E">
      <w:pPr>
        <w:pStyle w:val="AERReference"/>
        <w:rPr>
          <w:color w:val="003591" w:themeColor="text2"/>
        </w:rPr>
      </w:pPr>
    </w:p>
    <w:p w:rsidR="0023163E" w:rsidRPr="0023163E" w:rsidRDefault="0023163E" w:rsidP="0023163E">
      <w:pPr>
        <w:pStyle w:val="AERReference"/>
        <w:rPr>
          <w:color w:val="003591" w:themeColor="text2"/>
        </w:rPr>
      </w:pPr>
    </w:p>
    <w:p w:rsidR="0023163E" w:rsidRPr="0023163E" w:rsidRDefault="0023163E" w:rsidP="0023163E">
      <w:pPr>
        <w:pStyle w:val="AERReference"/>
        <w:rPr>
          <w:color w:val="003591" w:themeColor="text2"/>
        </w:rPr>
      </w:pPr>
    </w:p>
    <w:p w:rsidR="0023163E" w:rsidRPr="0023163E" w:rsidRDefault="0023163E" w:rsidP="0023163E">
      <w:pPr>
        <w:pStyle w:val="AERReference"/>
        <w:rPr>
          <w:color w:val="003591" w:themeColor="text2"/>
        </w:rPr>
      </w:pPr>
    </w:p>
    <w:p w:rsidR="0023163E" w:rsidRPr="0023163E" w:rsidRDefault="0023163E" w:rsidP="0023163E">
      <w:r w:rsidRPr="0023163E">
        <w:t xml:space="preserve">Dear </w:t>
      </w:r>
      <w:bookmarkStart w:id="6" w:name="Salutation"/>
      <w:bookmarkEnd w:id="6"/>
      <w:r w:rsidRPr="0023163E">
        <w:t>Mr Pierce</w:t>
      </w:r>
    </w:p>
    <w:p w:rsidR="0023163E" w:rsidRPr="0023163E" w:rsidRDefault="0023163E" w:rsidP="0023163E">
      <w:pPr>
        <w:pStyle w:val="AERtopic"/>
      </w:pPr>
    </w:p>
    <w:p w:rsidR="0023163E" w:rsidRPr="0023163E" w:rsidRDefault="0023163E" w:rsidP="0023163E">
      <w:pPr>
        <w:pStyle w:val="AERtopic"/>
      </w:pPr>
      <w:r w:rsidRPr="0023163E">
        <w:t xml:space="preserve">Re: </w:t>
      </w:r>
      <w:bookmarkStart w:id="7" w:name="Subject"/>
      <w:bookmarkEnd w:id="7"/>
      <w:r w:rsidRPr="0023163E">
        <w:t xml:space="preserve">Submission on tariff alignment draft rule </w:t>
      </w:r>
      <w:r w:rsidR="00CD02CC" w:rsidRPr="0023163E">
        <w:t>determination</w:t>
      </w:r>
    </w:p>
    <w:p w:rsidR="0023163E" w:rsidRPr="0023163E" w:rsidRDefault="0023163E" w:rsidP="0023163E">
      <w:pPr>
        <w:pStyle w:val="AERReference"/>
        <w:rPr>
          <w:color w:val="003591" w:themeColor="text2"/>
        </w:rPr>
      </w:pPr>
    </w:p>
    <w:p w:rsidR="00975E92" w:rsidRDefault="0023163E" w:rsidP="0023163E">
      <w:pPr>
        <w:pStyle w:val="AERReference"/>
      </w:pPr>
      <w:r w:rsidRPr="0023163E">
        <w:t xml:space="preserve">The AER welcomes the opportunity to </w:t>
      </w:r>
      <w:r w:rsidR="007C443A">
        <w:t>comment on the AEMC's draft</w:t>
      </w:r>
      <w:r w:rsidRPr="0023163E">
        <w:t xml:space="preserve"> determination </w:t>
      </w:r>
      <w:r w:rsidR="00975E92">
        <w:t>on changes proposed to the National Electricity Rules in relation to aligning network and retail tariff structures for small customers.</w:t>
      </w:r>
    </w:p>
    <w:p w:rsidR="00975E92" w:rsidRDefault="00975E92" w:rsidP="0023163E">
      <w:pPr>
        <w:pStyle w:val="AERReference"/>
      </w:pPr>
    </w:p>
    <w:p w:rsidR="0020062E" w:rsidRDefault="00975E92" w:rsidP="0023163E">
      <w:pPr>
        <w:pStyle w:val="AERReference"/>
      </w:pPr>
      <w:r>
        <w:t xml:space="preserve">We support the AEMC’s determination that a draft rule should not be </w:t>
      </w:r>
      <w:r w:rsidR="00B10EE4">
        <w:t>made</w:t>
      </w:r>
      <w:r w:rsidR="0020062E">
        <w:t xml:space="preserve">. We maintain the views expressed in our submission </w:t>
      </w:r>
      <w:r w:rsidR="00B10EE4">
        <w:t>to the AEMC’s initial consultation paper</w:t>
      </w:r>
      <w:r w:rsidR="0020062E">
        <w:t xml:space="preserve"> in</w:t>
      </w:r>
      <w:r w:rsidR="00B10EE4">
        <w:t xml:space="preserve"> agree</w:t>
      </w:r>
      <w:r w:rsidR="0020062E">
        <w:t xml:space="preserve">ing </w:t>
      </w:r>
      <w:r w:rsidR="00B10EE4">
        <w:t xml:space="preserve">that the rule change is not required and could create administrative </w:t>
      </w:r>
      <w:r w:rsidR="0020062E">
        <w:t xml:space="preserve">and </w:t>
      </w:r>
      <w:r w:rsidR="00B10EE4">
        <w:t>other</w:t>
      </w:r>
      <w:r w:rsidR="0020062E">
        <w:t xml:space="preserve"> inefficiencies that would </w:t>
      </w:r>
      <w:r w:rsidR="00B10EE4">
        <w:t>be passed onto all electricity consumers.</w:t>
      </w:r>
      <w:r w:rsidR="0020062E">
        <w:rPr>
          <w:rStyle w:val="FootnoteReference"/>
        </w:rPr>
        <w:footnoteReference w:id="1"/>
      </w:r>
      <w:r w:rsidR="00B10EE4">
        <w:t xml:space="preserve"> </w:t>
      </w:r>
    </w:p>
    <w:p w:rsidR="0020062E" w:rsidRDefault="0020062E" w:rsidP="0023163E">
      <w:pPr>
        <w:pStyle w:val="AERReference"/>
      </w:pPr>
    </w:p>
    <w:p w:rsidR="00B10EE4" w:rsidRDefault="00E065C3" w:rsidP="0023163E">
      <w:pPr>
        <w:pStyle w:val="AERReference"/>
      </w:pPr>
      <w:r>
        <w:t xml:space="preserve">The new distribution pricing rules </w:t>
      </w:r>
      <w:r w:rsidR="00E907C2">
        <w:t xml:space="preserve">aim to </w:t>
      </w:r>
      <w:r>
        <w:t>provide a nationally consistent and effective framework for managing customer impacts and providing owners</w:t>
      </w:r>
      <w:r w:rsidR="003A7ACC">
        <w:t>hip of tariff design to network businesses</w:t>
      </w:r>
      <w:r>
        <w:t xml:space="preserve"> in dialogue </w:t>
      </w:r>
      <w:r w:rsidR="007C443A">
        <w:t>with their</w:t>
      </w:r>
      <w:r>
        <w:t xml:space="preserve"> stakeholders. This framework provides an effective alternative to needing to mandate tariff offerings in an effort to manage the transition to greater cost reflectivity</w:t>
      </w:r>
      <w:r w:rsidR="002B1D31">
        <w:t xml:space="preserve"> in the prices that consumers </w:t>
      </w:r>
      <w:r w:rsidR="0020062E">
        <w:t>pay</w:t>
      </w:r>
      <w:r>
        <w:t xml:space="preserve">. </w:t>
      </w:r>
    </w:p>
    <w:p w:rsidR="00E065C3" w:rsidRDefault="00E065C3" w:rsidP="0023163E">
      <w:pPr>
        <w:pStyle w:val="AERReference"/>
      </w:pPr>
    </w:p>
    <w:p w:rsidR="003A7ACC" w:rsidRDefault="0020062E" w:rsidP="0023163E">
      <w:pPr>
        <w:pStyle w:val="AERReference"/>
      </w:pPr>
      <w:r>
        <w:t xml:space="preserve">Should a government </w:t>
      </w:r>
      <w:r w:rsidR="003A7ACC">
        <w:t xml:space="preserve">decide to </w:t>
      </w:r>
      <w:r>
        <w:t>mandate the tariff structure to be offered by a retailer</w:t>
      </w:r>
      <w:r w:rsidR="00E065C3">
        <w:t xml:space="preserve">, there </w:t>
      </w:r>
      <w:r w:rsidR="003A7ACC">
        <w:t>is a risk that this structure will divert from that</w:t>
      </w:r>
      <w:r w:rsidR="00CA1898">
        <w:t xml:space="preserve"> of the</w:t>
      </w:r>
      <w:r>
        <w:t xml:space="preserve"> network tariff</w:t>
      </w:r>
      <w:r w:rsidR="00CA1898">
        <w:t xml:space="preserve"> offered to the retailer</w:t>
      </w:r>
      <w:r w:rsidR="00BD3810">
        <w:t xml:space="preserve">. Under the new pricing rules, distribution network tariffs should be moving toward greater reflection of costs. </w:t>
      </w:r>
      <w:r>
        <w:t>W</w:t>
      </w:r>
      <w:r w:rsidR="00567B40">
        <w:t xml:space="preserve">e maintain the view </w:t>
      </w:r>
      <w:r w:rsidR="003A7ACC">
        <w:t>from</w:t>
      </w:r>
      <w:r w:rsidR="00567B40">
        <w:t xml:space="preserve"> our earlier submission that it is difficult to comment precisely on the na</w:t>
      </w:r>
      <w:r w:rsidR="003A7ACC">
        <w:t>ture of the divergence that could</w:t>
      </w:r>
      <w:r w:rsidR="00567B40">
        <w:t xml:space="preserve"> occur between</w:t>
      </w:r>
      <w:r w:rsidR="003C3311">
        <w:t xml:space="preserve"> network</w:t>
      </w:r>
      <w:r w:rsidR="003A7ACC">
        <w:t xml:space="preserve"> and retail tariffs and</w:t>
      </w:r>
      <w:r w:rsidR="003C3311">
        <w:t xml:space="preserve"> the exact risk that is created</w:t>
      </w:r>
      <w:r w:rsidR="007C443A">
        <w:t>. This risk</w:t>
      </w:r>
      <w:r w:rsidR="003A7ACC">
        <w:t xml:space="preserve"> </w:t>
      </w:r>
      <w:r w:rsidR="00567B40">
        <w:t xml:space="preserve">could depend </w:t>
      </w:r>
      <w:r w:rsidR="003A7ACC">
        <w:t xml:space="preserve">on the particular tariff </w:t>
      </w:r>
      <w:r w:rsidR="00567B40">
        <w:t xml:space="preserve">chosen by a jurisdictional government. </w:t>
      </w:r>
      <w:r w:rsidR="003C3311">
        <w:t>Despite these uncertainties,</w:t>
      </w:r>
      <w:r w:rsidR="004062F5">
        <w:t xml:space="preserve"> there is a </w:t>
      </w:r>
      <w:r w:rsidR="003C3311">
        <w:t>risk that a</w:t>
      </w:r>
      <w:r w:rsidR="004062F5">
        <w:t xml:space="preserve"> mandated tariff will neither be what the </w:t>
      </w:r>
      <w:r w:rsidR="00BD3810">
        <w:t>customer</w:t>
      </w:r>
      <w:r w:rsidR="004062F5">
        <w:t xml:space="preserve"> might prefer or what the retailer might </w:t>
      </w:r>
      <w:r w:rsidR="00037C3A">
        <w:t xml:space="preserve">consider </w:t>
      </w:r>
      <w:r w:rsidR="004062F5">
        <w:t xml:space="preserve">it needs to provide the customer or manage on their behalf in response to </w:t>
      </w:r>
      <w:r w:rsidR="003A7ACC">
        <w:t xml:space="preserve">receiving </w:t>
      </w:r>
      <w:r w:rsidR="004062F5">
        <w:t xml:space="preserve">efficient signals </w:t>
      </w:r>
      <w:r w:rsidR="003A7ACC">
        <w:t>from</w:t>
      </w:r>
      <w:r w:rsidR="004062F5">
        <w:t xml:space="preserve"> the distri</w:t>
      </w:r>
      <w:r w:rsidR="003A7ACC">
        <w:t>butor</w:t>
      </w:r>
      <w:r w:rsidR="004062F5">
        <w:t>.</w:t>
      </w:r>
      <w:r w:rsidR="003C3311">
        <w:t xml:space="preserve"> </w:t>
      </w:r>
    </w:p>
    <w:p w:rsidR="003A7ACC" w:rsidRDefault="003A7ACC" w:rsidP="0023163E">
      <w:pPr>
        <w:pStyle w:val="AERReference"/>
      </w:pPr>
    </w:p>
    <w:p w:rsidR="003C3311" w:rsidRDefault="002363AD" w:rsidP="0023163E">
      <w:pPr>
        <w:pStyle w:val="AERReference"/>
      </w:pPr>
      <w:r>
        <w:lastRenderedPageBreak/>
        <w:t xml:space="preserve">Requiring </w:t>
      </w:r>
      <w:r w:rsidR="007C443A">
        <w:t>d</w:t>
      </w:r>
      <w:r w:rsidR="004062F5">
        <w:t>istributor</w:t>
      </w:r>
      <w:r w:rsidR="007C443A">
        <w:t>s</w:t>
      </w:r>
      <w:r>
        <w:t xml:space="preserve"> to</w:t>
      </w:r>
      <w:r w:rsidR="004062F5">
        <w:t xml:space="preserve"> offer a tariff that might depart from their </w:t>
      </w:r>
      <w:r>
        <w:t xml:space="preserve">own </w:t>
      </w:r>
      <w:r w:rsidR="004062F5">
        <w:t>cost reflectiv</w:t>
      </w:r>
      <w:r>
        <w:t>ity</w:t>
      </w:r>
      <w:r w:rsidR="007C443A">
        <w:t xml:space="preserve"> objectives would then </w:t>
      </w:r>
      <w:r>
        <w:t xml:space="preserve">merely pass on the risk of </w:t>
      </w:r>
      <w:r w:rsidR="003A7ACC">
        <w:t xml:space="preserve">these departures </w:t>
      </w:r>
      <w:r>
        <w:t>to all consumers. As set out in our earlier submission, distributors would need to reallocate their intended cost recovery across all consumers. This would also work counter to the objectives of the new pricing rules in improving predictabili</w:t>
      </w:r>
      <w:r w:rsidR="003A7ACC">
        <w:t>ty in tariff structures</w:t>
      </w:r>
      <w:r w:rsidR="007C443A">
        <w:t xml:space="preserve">. For example, distributors </w:t>
      </w:r>
      <w:r w:rsidR="003A7ACC">
        <w:t xml:space="preserve">might face more under / </w:t>
      </w:r>
      <w:r>
        <w:t xml:space="preserve">over recovery of revenues if unable to forecast customer uptake of mandated tariffs, </w:t>
      </w:r>
      <w:r w:rsidR="003A7ACC">
        <w:t>and</w:t>
      </w:r>
      <w:r w:rsidR="007C443A">
        <w:t xml:space="preserve"> might</w:t>
      </w:r>
      <w:r>
        <w:t xml:space="preserve"> need to more frequently alter their Tariff Structure Statements. </w:t>
      </w:r>
      <w:r w:rsidR="003C3311">
        <w:t>We agree with the AEMC that it would be inappropriate for these ineffici</w:t>
      </w:r>
      <w:r w:rsidR="007C443A">
        <w:t>encies resulting from a mandate that is</w:t>
      </w:r>
      <w:r w:rsidR="0074453B">
        <w:t xml:space="preserve"> perhaps designed to shield certain customers from the impacts of facing more cost reflective prices, </w:t>
      </w:r>
      <w:r w:rsidR="003C3311">
        <w:t xml:space="preserve">to </w:t>
      </w:r>
      <w:r w:rsidR="0074453B">
        <w:t xml:space="preserve">then </w:t>
      </w:r>
      <w:r w:rsidR="003C3311">
        <w:t xml:space="preserve">be spread across all electricity consumers. </w:t>
      </w:r>
    </w:p>
    <w:p w:rsidR="0023163E" w:rsidRDefault="0023163E" w:rsidP="0023163E">
      <w:pPr>
        <w:pStyle w:val="AERReference"/>
      </w:pPr>
    </w:p>
    <w:p w:rsidR="00EA1074" w:rsidRDefault="00586B43" w:rsidP="0023163E">
      <w:pPr>
        <w:pStyle w:val="AERReference"/>
      </w:pPr>
      <w:r>
        <w:t xml:space="preserve">We acknowledge </w:t>
      </w:r>
      <w:r w:rsidR="007C443A">
        <w:t>that without</w:t>
      </w:r>
      <w:r>
        <w:t xml:space="preserve"> </w:t>
      </w:r>
      <w:r w:rsidR="007C443A">
        <w:t xml:space="preserve">this rule change, </w:t>
      </w:r>
      <w:r>
        <w:t xml:space="preserve">retailers will need to manage the risk of network tariffs diverting </w:t>
      </w:r>
      <w:r w:rsidR="002B1D31">
        <w:t>from the retail tariff they could</w:t>
      </w:r>
      <w:r>
        <w:t xml:space="preserve"> be required to offer in standing contracts. </w:t>
      </w:r>
      <w:r w:rsidR="00473A62">
        <w:t>A</w:t>
      </w:r>
      <w:r w:rsidR="00597026">
        <w:t>s noted by the AEMC,</w:t>
      </w:r>
      <w:r>
        <w:t xml:space="preserve"> </w:t>
      </w:r>
      <w:r w:rsidR="00BD3810">
        <w:t xml:space="preserve">one </w:t>
      </w:r>
      <w:r>
        <w:t>respon</w:t>
      </w:r>
      <w:r w:rsidR="00597026">
        <w:t>se</w:t>
      </w:r>
      <w:r>
        <w:t xml:space="preserve"> could </w:t>
      </w:r>
      <w:r w:rsidR="00597026">
        <w:t>be for</w:t>
      </w:r>
      <w:r>
        <w:t xml:space="preserve"> retailers </w:t>
      </w:r>
      <w:r w:rsidR="00597026">
        <w:t>to add</w:t>
      </w:r>
      <w:r>
        <w:t xml:space="preserve"> a risk management premium onto the mandated tar</w:t>
      </w:r>
      <w:r w:rsidR="00597026">
        <w:t xml:space="preserve">iff. We also note that retailers will not be limited to </w:t>
      </w:r>
      <w:r w:rsidR="00AF750E">
        <w:t>the mandated offering, but will</w:t>
      </w:r>
      <w:r w:rsidR="00597026">
        <w:t xml:space="preserve"> have the option of enticing </w:t>
      </w:r>
      <w:r w:rsidR="007C443A">
        <w:t>consumers</w:t>
      </w:r>
      <w:r w:rsidR="00597026">
        <w:t xml:space="preserve"> onto one o</w:t>
      </w:r>
      <w:r w:rsidR="00AF750E">
        <w:t>f their market retail contracts. These contracts</w:t>
      </w:r>
      <w:r w:rsidR="00597026">
        <w:t xml:space="preserve"> might not include such a premium, and might signal cost drivers in different ways allowing customers to make informed decisions and potentially save costs. </w:t>
      </w:r>
      <w:r w:rsidR="00AF750E">
        <w:t>Without suggesting which option should be adopted, it appears that either of these would avoid transferring to all customers the costs that would be created by select</w:t>
      </w:r>
      <w:r w:rsidR="007C443A">
        <w:t>ed</w:t>
      </w:r>
      <w:r w:rsidR="00AF750E">
        <w:t xml:space="preserve"> customers being shielded from prices that reflect how they use their electricity. </w:t>
      </w:r>
    </w:p>
    <w:p w:rsidR="00BD3810" w:rsidRPr="0023163E" w:rsidRDefault="00BD3810" w:rsidP="0023163E">
      <w:pPr>
        <w:pStyle w:val="AERReference"/>
        <w:rPr>
          <w:color w:val="003591" w:themeColor="text2"/>
        </w:rPr>
      </w:pPr>
    </w:p>
    <w:p w:rsidR="0023163E" w:rsidRPr="00757B31" w:rsidRDefault="0023163E" w:rsidP="0023163E">
      <w:pPr>
        <w:pStyle w:val="AERReference"/>
      </w:pPr>
      <w:r w:rsidRPr="00757B31">
        <w:t xml:space="preserve">If you would like to discuss any aspect of our submission please contact </w:t>
      </w:r>
      <w:r w:rsidR="009E7FA1">
        <w:t>Bruno Coelho</w:t>
      </w:r>
      <w:r w:rsidRPr="00757B31">
        <w:t xml:space="preserve"> on </w:t>
      </w:r>
      <w:r w:rsidR="00473A62">
        <w:t xml:space="preserve">      </w:t>
      </w:r>
      <w:r w:rsidRPr="00757B31">
        <w:t>08 8213 34</w:t>
      </w:r>
      <w:r w:rsidR="009E7FA1">
        <w:t>35.</w:t>
      </w:r>
    </w:p>
    <w:p w:rsidR="0023163E" w:rsidRPr="00757B31" w:rsidRDefault="0023163E" w:rsidP="0023163E">
      <w:pPr>
        <w:pStyle w:val="AERReference"/>
      </w:pPr>
    </w:p>
    <w:p w:rsidR="0023163E" w:rsidRPr="00757B31" w:rsidRDefault="0023163E" w:rsidP="0023163E">
      <w:pPr>
        <w:pStyle w:val="AERReference"/>
      </w:pPr>
    </w:p>
    <w:p w:rsidR="0023163E" w:rsidRPr="007856A2" w:rsidRDefault="0023163E" w:rsidP="0023163E">
      <w:pPr>
        <w:rPr>
          <w:sz w:val="20"/>
          <w:szCs w:val="20"/>
        </w:rPr>
      </w:pPr>
      <w:r w:rsidRPr="007856A2">
        <w:rPr>
          <w:sz w:val="20"/>
          <w:szCs w:val="20"/>
        </w:rPr>
        <w:t>Yours sincerely</w:t>
      </w:r>
    </w:p>
    <w:p w:rsidR="0023163E" w:rsidRPr="007856A2" w:rsidRDefault="0023163E" w:rsidP="0023163E">
      <w:pPr>
        <w:pStyle w:val="AERReference"/>
      </w:pPr>
    </w:p>
    <w:p w:rsidR="0023163E" w:rsidRPr="007856A2" w:rsidRDefault="0023163E" w:rsidP="0023163E">
      <w:pPr>
        <w:pStyle w:val="AERReference"/>
      </w:pPr>
    </w:p>
    <w:p w:rsidR="0023163E" w:rsidRPr="007856A2" w:rsidRDefault="0023163E" w:rsidP="0023163E">
      <w:pPr>
        <w:pStyle w:val="AERReference"/>
      </w:pPr>
    </w:p>
    <w:p w:rsidR="0023163E" w:rsidRPr="007856A2" w:rsidRDefault="0023163E" w:rsidP="0023163E">
      <w:pPr>
        <w:pStyle w:val="AERReference"/>
      </w:pPr>
    </w:p>
    <w:p w:rsidR="0023163E" w:rsidRPr="007856A2" w:rsidRDefault="0023163E" w:rsidP="0023163E">
      <w:pPr>
        <w:pStyle w:val="AERReference"/>
      </w:pPr>
      <w:bookmarkStart w:id="8" w:name="Signature"/>
      <w:bookmarkEnd w:id="8"/>
      <w:r w:rsidRPr="007856A2">
        <w:t>Chris Pattas</w:t>
      </w:r>
    </w:p>
    <w:p w:rsidR="0023163E" w:rsidRPr="007856A2" w:rsidRDefault="0023163E" w:rsidP="0023163E">
      <w:pPr>
        <w:pStyle w:val="AERReference"/>
      </w:pPr>
      <w:r w:rsidRPr="007856A2">
        <w:t>General Manager</w:t>
      </w:r>
    </w:p>
    <w:p w:rsidR="0023163E" w:rsidRPr="007856A2" w:rsidRDefault="0023163E" w:rsidP="0023163E">
      <w:pPr>
        <w:pStyle w:val="AERReference"/>
      </w:pPr>
      <w:r w:rsidRPr="007856A2">
        <w:t>Networks</w:t>
      </w:r>
    </w:p>
    <w:p w:rsidR="0023163E" w:rsidRPr="007856A2" w:rsidRDefault="0023163E" w:rsidP="0023163E">
      <w:pPr>
        <w:pStyle w:val="AERReference"/>
      </w:pPr>
    </w:p>
    <w:p w:rsidR="0023163E" w:rsidRPr="007856A2" w:rsidRDefault="00782826" w:rsidP="0023163E">
      <w:pPr>
        <w:pStyle w:val="AERReference"/>
      </w:pPr>
      <w:r>
        <w:t>Uploaded</w:t>
      </w:r>
      <w:r w:rsidR="0023163E" w:rsidRPr="007856A2">
        <w:t xml:space="preserve"> on: </w:t>
      </w:r>
      <w:sdt>
        <w:sdtPr>
          <w:id w:val="1398481593"/>
          <w:placeholder>
            <w:docPart w:val="941457891B04422AAB80E0CA2F92D87D"/>
          </w:placeholder>
          <w:date w:fullDate="2015-08-24T00:00:00Z">
            <w:dateFormat w:val="dd.MM.yyyy"/>
            <w:lid w:val="en-AU"/>
            <w:storeMappedDataAs w:val="dateTime"/>
            <w:calendar w:val="gregorian"/>
          </w:date>
        </w:sdtPr>
        <w:sdtEndPr/>
        <w:sdtContent>
          <w:r w:rsidR="00CA1898" w:rsidRPr="00CA1898">
            <w:rPr>
              <w:lang w:val="en-AU"/>
            </w:rPr>
            <w:t>24.08.2015</w:t>
          </w:r>
        </w:sdtContent>
      </w:sdt>
    </w:p>
    <w:p w:rsidR="0023163E" w:rsidRPr="0023163E" w:rsidRDefault="0023163E" w:rsidP="0023163E">
      <w:pPr>
        <w:pStyle w:val="AERReference"/>
        <w:rPr>
          <w:color w:val="003591" w:themeColor="text2"/>
          <w:sz w:val="22"/>
          <w:szCs w:val="22"/>
        </w:rPr>
      </w:pPr>
    </w:p>
    <w:p w:rsidR="0023163E" w:rsidRPr="0023163E" w:rsidRDefault="0023163E" w:rsidP="0023163E">
      <w:pPr>
        <w:pStyle w:val="AERReference"/>
        <w:rPr>
          <w:color w:val="003591" w:themeColor="text2"/>
        </w:rPr>
      </w:pPr>
    </w:p>
    <w:p w:rsidR="00303C4A" w:rsidRPr="0023163E" w:rsidRDefault="00303C4A">
      <w:pPr>
        <w:rPr>
          <w:color w:val="003591" w:themeColor="text2"/>
        </w:rPr>
      </w:pPr>
    </w:p>
    <w:sectPr w:rsidR="00303C4A" w:rsidRPr="0023163E" w:rsidSect="00691616">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63E" w:rsidRDefault="0023163E" w:rsidP="004B4412">
      <w:r>
        <w:separator/>
      </w:r>
    </w:p>
  </w:endnote>
  <w:endnote w:type="continuationSeparator" w:id="0">
    <w:p w:rsidR="0023163E" w:rsidRDefault="0023163E"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30" w:rsidRDefault="008619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30" w:rsidRDefault="008619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63E" w:rsidRDefault="0023163E" w:rsidP="004B4412">
      <w:r>
        <w:separator/>
      </w:r>
    </w:p>
  </w:footnote>
  <w:footnote w:type="continuationSeparator" w:id="0">
    <w:p w:rsidR="0023163E" w:rsidRDefault="0023163E" w:rsidP="004B4412">
      <w:r>
        <w:continuationSeparator/>
      </w:r>
    </w:p>
  </w:footnote>
  <w:footnote w:id="1">
    <w:p w:rsidR="0020062E" w:rsidRDefault="0020062E" w:rsidP="0020062E">
      <w:pPr>
        <w:pStyle w:val="FootnoteText"/>
      </w:pPr>
      <w:r>
        <w:rPr>
          <w:rStyle w:val="FootnoteReference"/>
        </w:rPr>
        <w:footnoteRef/>
      </w:r>
      <w:r>
        <w:t xml:space="preserve"> </w:t>
      </w:r>
      <w:r>
        <w:tab/>
        <w:t xml:space="preserve">AER, </w:t>
      </w:r>
      <w:r w:rsidRPr="00E065C3">
        <w:rPr>
          <w:i/>
        </w:rPr>
        <w:t>Submission to AEMC initial consultation paper – tariff alignment rule change</w:t>
      </w:r>
      <w:r>
        <w:t>, 8 May 2015. Accessible on AEMC website [http://www.aemc.gov.au].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30" w:rsidRDefault="008619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30" w:rsidRDefault="008619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30" w:rsidRDefault="008619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88C0D6F"/>
    <w:multiLevelType w:val="hybridMultilevel"/>
    <w:tmpl w:val="26A87A6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87C711B"/>
    <w:multiLevelType w:val="hybridMultilevel"/>
    <w:tmpl w:val="BBA8C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8851FF"/>
    <w:multiLevelType w:val="multilevel"/>
    <w:tmpl w:val="63B0CF80"/>
    <w:numStyleLink w:val="BulletedList"/>
  </w:abstractNum>
  <w:abstractNum w:abstractNumId="21">
    <w:nsid w:val="57BD2E56"/>
    <w:multiLevelType w:val="hybridMultilevel"/>
    <w:tmpl w:val="C88A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577568A"/>
    <w:multiLevelType w:val="hybridMultilevel"/>
    <w:tmpl w:val="656A1AE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5">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69AA79DB"/>
    <w:multiLevelType w:val="multilevel"/>
    <w:tmpl w:val="63B0CF80"/>
    <w:numStyleLink w:val="BulletedList"/>
  </w:abstractNum>
  <w:abstractNum w:abstractNumId="28">
    <w:nsid w:val="6E7A7B56"/>
    <w:multiLevelType w:val="multilevel"/>
    <w:tmpl w:val="63B0CF80"/>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abstractNum w:abstractNumId="29">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1">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2">
    <w:nsid w:val="778A3794"/>
    <w:multiLevelType w:val="multilevel"/>
    <w:tmpl w:val="63B0CF80"/>
    <w:numStyleLink w:val="BulletedList"/>
  </w:abstractNum>
  <w:abstractNum w:abstractNumId="33">
    <w:nsid w:val="77B117FD"/>
    <w:multiLevelType w:val="multilevel"/>
    <w:tmpl w:val="63B0CF80"/>
    <w:numStyleLink w:val="BulletedList"/>
  </w:abstractNum>
  <w:abstractNum w:abstractNumId="34">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1"/>
  </w:num>
  <w:num w:numId="8">
    <w:abstractNumId w:val="0"/>
  </w:num>
  <w:num w:numId="9">
    <w:abstractNumId w:val="26"/>
  </w:num>
  <w:num w:numId="10">
    <w:abstractNumId w:val="17"/>
  </w:num>
  <w:num w:numId="11">
    <w:abstractNumId w:val="10"/>
  </w:num>
  <w:num w:numId="12">
    <w:abstractNumId w:val="14"/>
  </w:num>
  <w:num w:numId="13">
    <w:abstractNumId w:val="16"/>
  </w:num>
  <w:num w:numId="14">
    <w:abstractNumId w:val="2"/>
  </w:num>
  <w:num w:numId="15">
    <w:abstractNumId w:val="29"/>
  </w:num>
  <w:num w:numId="16">
    <w:abstractNumId w:val="34"/>
  </w:num>
  <w:num w:numId="17">
    <w:abstractNumId w:val="31"/>
  </w:num>
  <w:num w:numId="18">
    <w:abstractNumId w:val="22"/>
  </w:num>
  <w:num w:numId="19">
    <w:abstractNumId w:val="15"/>
  </w:num>
  <w:num w:numId="20">
    <w:abstractNumId w:val="18"/>
  </w:num>
  <w:num w:numId="21">
    <w:abstractNumId w:val="30"/>
  </w:num>
  <w:num w:numId="22">
    <w:abstractNumId w:val="23"/>
  </w:num>
  <w:num w:numId="23">
    <w:abstractNumId w:val="8"/>
  </w:num>
  <w:num w:numId="24">
    <w:abstractNumId w:val="3"/>
  </w:num>
  <w:num w:numId="25">
    <w:abstractNumId w:val="19"/>
  </w:num>
  <w:num w:numId="26">
    <w:abstractNumId w:val="12"/>
  </w:num>
  <w:num w:numId="27">
    <w:abstractNumId w:val="25"/>
  </w:num>
  <w:num w:numId="28">
    <w:abstractNumId w:val="28"/>
  </w:num>
  <w:num w:numId="29">
    <w:abstractNumId w:val="20"/>
  </w:num>
  <w:num w:numId="30">
    <w:abstractNumId w:val="33"/>
  </w:num>
  <w:num w:numId="31">
    <w:abstractNumId w:val="27"/>
  </w:num>
  <w:num w:numId="32">
    <w:abstractNumId w:val="32"/>
  </w:num>
  <w:num w:numId="33">
    <w:abstractNumId w:val="13"/>
  </w:num>
  <w:num w:numId="34">
    <w:abstractNumId w:val="21"/>
  </w:num>
  <w:num w:numId="35">
    <w:abstractNumId w:val="24"/>
  </w:num>
  <w:num w:numId="3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840\D15 126616  AER submission to AEMC draft determination - Tariff alignmentpostboard.DOCX"/>
  </w:docVars>
  <w:rsids>
    <w:rsidRoot w:val="0023163E"/>
    <w:rsid w:val="0002115F"/>
    <w:rsid w:val="00021202"/>
    <w:rsid w:val="000225C4"/>
    <w:rsid w:val="000304E9"/>
    <w:rsid w:val="0003578C"/>
    <w:rsid w:val="00037C3A"/>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92B98"/>
    <w:rsid w:val="001A3A19"/>
    <w:rsid w:val="001B246B"/>
    <w:rsid w:val="001B45A0"/>
    <w:rsid w:val="001C18EE"/>
    <w:rsid w:val="001D055E"/>
    <w:rsid w:val="001D6345"/>
    <w:rsid w:val="001F492E"/>
    <w:rsid w:val="001F6DA3"/>
    <w:rsid w:val="0020062E"/>
    <w:rsid w:val="00212737"/>
    <w:rsid w:val="00224DB9"/>
    <w:rsid w:val="0023163E"/>
    <w:rsid w:val="002363AD"/>
    <w:rsid w:val="00251745"/>
    <w:rsid w:val="002634D1"/>
    <w:rsid w:val="00263AC0"/>
    <w:rsid w:val="0026772D"/>
    <w:rsid w:val="00286874"/>
    <w:rsid w:val="00296B65"/>
    <w:rsid w:val="002A7DEF"/>
    <w:rsid w:val="002B1D31"/>
    <w:rsid w:val="002D3FC1"/>
    <w:rsid w:val="002E7A81"/>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A7ACC"/>
    <w:rsid w:val="003B5A70"/>
    <w:rsid w:val="003C3311"/>
    <w:rsid w:val="004062F5"/>
    <w:rsid w:val="00473A62"/>
    <w:rsid w:val="00475DDE"/>
    <w:rsid w:val="00480B4B"/>
    <w:rsid w:val="00485DC4"/>
    <w:rsid w:val="0049483B"/>
    <w:rsid w:val="004A0C17"/>
    <w:rsid w:val="004B4412"/>
    <w:rsid w:val="004C348C"/>
    <w:rsid w:val="004D502A"/>
    <w:rsid w:val="004D55BA"/>
    <w:rsid w:val="004E05D7"/>
    <w:rsid w:val="005038DB"/>
    <w:rsid w:val="0052379B"/>
    <w:rsid w:val="00530128"/>
    <w:rsid w:val="00532467"/>
    <w:rsid w:val="00547BA2"/>
    <w:rsid w:val="00547CCF"/>
    <w:rsid w:val="00564A4D"/>
    <w:rsid w:val="00567B40"/>
    <w:rsid w:val="00571B35"/>
    <w:rsid w:val="00571C9F"/>
    <w:rsid w:val="00577A09"/>
    <w:rsid w:val="00580B78"/>
    <w:rsid w:val="00584D8F"/>
    <w:rsid w:val="00586B43"/>
    <w:rsid w:val="00596D42"/>
    <w:rsid w:val="00597026"/>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453B"/>
    <w:rsid w:val="00746E01"/>
    <w:rsid w:val="00757B31"/>
    <w:rsid w:val="00763E5D"/>
    <w:rsid w:val="00767740"/>
    <w:rsid w:val="007765CF"/>
    <w:rsid w:val="00777EE6"/>
    <w:rsid w:val="0078086B"/>
    <w:rsid w:val="00782826"/>
    <w:rsid w:val="00782EEA"/>
    <w:rsid w:val="007856A2"/>
    <w:rsid w:val="007B2C72"/>
    <w:rsid w:val="007C1427"/>
    <w:rsid w:val="007C1C53"/>
    <w:rsid w:val="007C443A"/>
    <w:rsid w:val="007E26A9"/>
    <w:rsid w:val="007E4904"/>
    <w:rsid w:val="007E4CB5"/>
    <w:rsid w:val="007F066B"/>
    <w:rsid w:val="008033C4"/>
    <w:rsid w:val="00806C88"/>
    <w:rsid w:val="0081034E"/>
    <w:rsid w:val="008344F6"/>
    <w:rsid w:val="0083510F"/>
    <w:rsid w:val="00851209"/>
    <w:rsid w:val="00861930"/>
    <w:rsid w:val="0088007E"/>
    <w:rsid w:val="008837AC"/>
    <w:rsid w:val="008945B4"/>
    <w:rsid w:val="008A587D"/>
    <w:rsid w:val="008C485E"/>
    <w:rsid w:val="008C5486"/>
    <w:rsid w:val="008C6CA4"/>
    <w:rsid w:val="008E7031"/>
    <w:rsid w:val="00922C95"/>
    <w:rsid w:val="009233EE"/>
    <w:rsid w:val="009661DE"/>
    <w:rsid w:val="00975E92"/>
    <w:rsid w:val="009856B7"/>
    <w:rsid w:val="0098602B"/>
    <w:rsid w:val="00991B3B"/>
    <w:rsid w:val="009962BA"/>
    <w:rsid w:val="0099795E"/>
    <w:rsid w:val="009B74B0"/>
    <w:rsid w:val="009D4414"/>
    <w:rsid w:val="009D6B46"/>
    <w:rsid w:val="009E7FA1"/>
    <w:rsid w:val="009F4940"/>
    <w:rsid w:val="00A1665B"/>
    <w:rsid w:val="00A4478A"/>
    <w:rsid w:val="00A44852"/>
    <w:rsid w:val="00A55E76"/>
    <w:rsid w:val="00A57D04"/>
    <w:rsid w:val="00A60A26"/>
    <w:rsid w:val="00A61598"/>
    <w:rsid w:val="00A84F46"/>
    <w:rsid w:val="00A871F4"/>
    <w:rsid w:val="00AC1B2C"/>
    <w:rsid w:val="00AC3264"/>
    <w:rsid w:val="00AC6F01"/>
    <w:rsid w:val="00AE0FE2"/>
    <w:rsid w:val="00AE1BF1"/>
    <w:rsid w:val="00AF0DD2"/>
    <w:rsid w:val="00AF750E"/>
    <w:rsid w:val="00B10314"/>
    <w:rsid w:val="00B10EE4"/>
    <w:rsid w:val="00B13048"/>
    <w:rsid w:val="00B15998"/>
    <w:rsid w:val="00B1716D"/>
    <w:rsid w:val="00B17A1D"/>
    <w:rsid w:val="00B207A0"/>
    <w:rsid w:val="00B56E03"/>
    <w:rsid w:val="00B60F5D"/>
    <w:rsid w:val="00B67E91"/>
    <w:rsid w:val="00B8080B"/>
    <w:rsid w:val="00B87C39"/>
    <w:rsid w:val="00BA4665"/>
    <w:rsid w:val="00BA5007"/>
    <w:rsid w:val="00BB2FB2"/>
    <w:rsid w:val="00BB3304"/>
    <w:rsid w:val="00BD3446"/>
    <w:rsid w:val="00BD3810"/>
    <w:rsid w:val="00BE1F1B"/>
    <w:rsid w:val="00BE47B5"/>
    <w:rsid w:val="00BE4C99"/>
    <w:rsid w:val="00C058AB"/>
    <w:rsid w:val="00C06739"/>
    <w:rsid w:val="00C538A9"/>
    <w:rsid w:val="00C53B5A"/>
    <w:rsid w:val="00C54F5A"/>
    <w:rsid w:val="00C55709"/>
    <w:rsid w:val="00C755AD"/>
    <w:rsid w:val="00C86679"/>
    <w:rsid w:val="00CA1898"/>
    <w:rsid w:val="00CB666B"/>
    <w:rsid w:val="00CD02CC"/>
    <w:rsid w:val="00CF799E"/>
    <w:rsid w:val="00D01CF0"/>
    <w:rsid w:val="00D0442A"/>
    <w:rsid w:val="00D203E1"/>
    <w:rsid w:val="00D544B8"/>
    <w:rsid w:val="00D61388"/>
    <w:rsid w:val="00D61A54"/>
    <w:rsid w:val="00D64DEA"/>
    <w:rsid w:val="00D80893"/>
    <w:rsid w:val="00D92CF1"/>
    <w:rsid w:val="00D92D38"/>
    <w:rsid w:val="00D950F5"/>
    <w:rsid w:val="00D97878"/>
    <w:rsid w:val="00DB0F93"/>
    <w:rsid w:val="00DC542F"/>
    <w:rsid w:val="00DC7981"/>
    <w:rsid w:val="00DE4EFA"/>
    <w:rsid w:val="00DE5520"/>
    <w:rsid w:val="00E04818"/>
    <w:rsid w:val="00E06442"/>
    <w:rsid w:val="00E065C3"/>
    <w:rsid w:val="00E23993"/>
    <w:rsid w:val="00E25B8C"/>
    <w:rsid w:val="00E4674F"/>
    <w:rsid w:val="00E65C85"/>
    <w:rsid w:val="00E66199"/>
    <w:rsid w:val="00E755EC"/>
    <w:rsid w:val="00E7624D"/>
    <w:rsid w:val="00E907C2"/>
    <w:rsid w:val="00EA1074"/>
    <w:rsid w:val="00EA3D42"/>
    <w:rsid w:val="00EA6B1B"/>
    <w:rsid w:val="00EE28F3"/>
    <w:rsid w:val="00EF5110"/>
    <w:rsid w:val="00F13FD9"/>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3163E"/>
    <w:pPr>
      <w:spacing w:before="0" w:line="240" w:lineRule="atLeast"/>
      <w:ind w:right="567"/>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numbering" w:customStyle="1" w:styleId="BulletedList">
    <w:name w:val="Bulleted List"/>
    <w:uiPriority w:val="99"/>
    <w:rsid w:val="0023163E"/>
    <w:pPr>
      <w:numPr>
        <w:numId w:val="28"/>
      </w:numPr>
    </w:pPr>
  </w:style>
  <w:style w:type="paragraph" w:customStyle="1" w:styleId="AERReference">
    <w:name w:val="AER Reference"/>
    <w:basedOn w:val="Normal"/>
    <w:qFormat/>
    <w:rsid w:val="0023163E"/>
    <w:pPr>
      <w:tabs>
        <w:tab w:val="left" w:pos="1701"/>
      </w:tabs>
    </w:pPr>
    <w:rPr>
      <w:rFonts w:eastAsia="Times New Roman" w:cs="Times New Roman"/>
      <w:sz w:val="20"/>
      <w:szCs w:val="20"/>
      <w:lang w:val="en-GB" w:eastAsia="en-AU"/>
    </w:rPr>
  </w:style>
  <w:style w:type="paragraph" w:customStyle="1" w:styleId="AERtopic">
    <w:name w:val="AER topic"/>
    <w:qFormat/>
    <w:rsid w:val="0023163E"/>
    <w:pPr>
      <w:spacing w:before="0"/>
      <w:ind w:right="567"/>
    </w:pPr>
    <w:rPr>
      <w:rFonts w:ascii="Arial" w:eastAsia="Times New Roman" w:hAnsi="Arial" w:cs="Times New Roman"/>
      <w:b/>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3163E"/>
    <w:pPr>
      <w:spacing w:before="0" w:line="240" w:lineRule="atLeast"/>
      <w:ind w:right="567"/>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numbering" w:customStyle="1" w:styleId="BulletedList">
    <w:name w:val="Bulleted List"/>
    <w:uiPriority w:val="99"/>
    <w:rsid w:val="0023163E"/>
    <w:pPr>
      <w:numPr>
        <w:numId w:val="28"/>
      </w:numPr>
    </w:pPr>
  </w:style>
  <w:style w:type="paragraph" w:customStyle="1" w:styleId="AERReference">
    <w:name w:val="AER Reference"/>
    <w:basedOn w:val="Normal"/>
    <w:qFormat/>
    <w:rsid w:val="0023163E"/>
    <w:pPr>
      <w:tabs>
        <w:tab w:val="left" w:pos="1701"/>
      </w:tabs>
    </w:pPr>
    <w:rPr>
      <w:rFonts w:eastAsia="Times New Roman" w:cs="Times New Roman"/>
      <w:sz w:val="20"/>
      <w:szCs w:val="20"/>
      <w:lang w:val="en-GB" w:eastAsia="en-AU"/>
    </w:rPr>
  </w:style>
  <w:style w:type="paragraph" w:customStyle="1" w:styleId="AERtopic">
    <w:name w:val="AER topic"/>
    <w:qFormat/>
    <w:rsid w:val="0023163E"/>
    <w:pPr>
      <w:spacing w:before="0"/>
      <w:ind w:right="567"/>
    </w:pPr>
    <w:rPr>
      <w:rFonts w:ascii="Arial" w:eastAsia="Times New Roman" w:hAnsi="Arial" w:cs="Times New Roman"/>
      <w:b/>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1457891B04422AAB80E0CA2F92D87D"/>
        <w:category>
          <w:name w:val="General"/>
          <w:gallery w:val="placeholder"/>
        </w:category>
        <w:types>
          <w:type w:val="bbPlcHdr"/>
        </w:types>
        <w:behaviors>
          <w:behavior w:val="content"/>
        </w:behaviors>
        <w:guid w:val="{F2182BFB-3759-499F-A0EC-383569A1B80D}"/>
      </w:docPartPr>
      <w:docPartBody>
        <w:p w:rsidR="00D04A6C" w:rsidRDefault="00B042DF" w:rsidP="00B042DF">
          <w:pPr>
            <w:pStyle w:val="941457891B04422AAB80E0CA2F92D87D"/>
          </w:pPr>
          <w:r w:rsidRPr="0030071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DF"/>
    <w:rsid w:val="00B042DF"/>
    <w:rsid w:val="00D04A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2DF"/>
    <w:rPr>
      <w:color w:val="808080"/>
    </w:rPr>
  </w:style>
  <w:style w:type="paragraph" w:customStyle="1" w:styleId="941457891B04422AAB80E0CA2F92D87D">
    <w:name w:val="941457891B04422AAB80E0CA2F92D87D"/>
    <w:rsid w:val="00B042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2DF"/>
    <w:rPr>
      <w:color w:val="808080"/>
    </w:rPr>
  </w:style>
  <w:style w:type="paragraph" w:customStyle="1" w:styleId="941457891B04422AAB80E0CA2F92D87D">
    <w:name w:val="941457891B04422AAB80E0CA2F92D87D"/>
    <w:rsid w:val="00B04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AEE06-52A2-4DBA-85C8-4928A7DC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2015-11-18T23:47:00Z</dcterms:created>
  <dcterms:modified xsi:type="dcterms:W3CDTF">2015-11-18T23:47:00Z</dcterms:modified>
</cp:coreProperties>
</file>