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5BB" w:rsidRPr="00454F26" w:rsidRDefault="002C55BB" w:rsidP="00454F26">
      <w:pPr>
        <w:pStyle w:val="AERbodytext"/>
        <w:spacing w:after="0" w:line="276" w:lineRule="auto"/>
        <w:rPr>
          <w:sz w:val="22"/>
          <w:szCs w:val="22"/>
        </w:rPr>
      </w:pPr>
      <w:r w:rsidRPr="00454F26">
        <w:rPr>
          <w:noProof/>
          <w:sz w:val="22"/>
          <w:szCs w:val="22"/>
          <w:lang w:eastAsia="en-AU"/>
        </w:rPr>
        <w:drawing>
          <wp:anchor distT="0" distB="0" distL="114300" distR="114300" simplePos="0" relativeHeight="251659264" behindDoc="0" locked="0" layoutInCell="1" allowOverlap="1" wp14:anchorId="328B2C9B" wp14:editId="203B0AE8">
            <wp:simplePos x="0" y="0"/>
            <wp:positionH relativeFrom="column">
              <wp:posOffset>2411730</wp:posOffset>
            </wp:positionH>
            <wp:positionV relativeFrom="paragraph">
              <wp:posOffset>-690880</wp:posOffset>
            </wp:positionV>
            <wp:extent cx="3981450" cy="2028190"/>
            <wp:effectExtent l="0" t="0" r="0" b="0"/>
            <wp:wrapNone/>
            <wp:docPr id="2" name="Picture 2"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C55BB" w:rsidRPr="00454F26" w:rsidRDefault="002C55BB" w:rsidP="00454F26">
      <w:pPr>
        <w:pStyle w:val="AERbodytext"/>
        <w:spacing w:after="0" w:line="276" w:lineRule="auto"/>
        <w:rPr>
          <w:sz w:val="22"/>
          <w:szCs w:val="22"/>
        </w:rPr>
      </w:pPr>
    </w:p>
    <w:p w:rsidR="002C55BB" w:rsidRPr="00454F26" w:rsidRDefault="002C55BB" w:rsidP="00454F26">
      <w:pPr>
        <w:pStyle w:val="AERbodytext"/>
        <w:spacing w:after="0" w:line="276" w:lineRule="auto"/>
        <w:rPr>
          <w:sz w:val="22"/>
          <w:szCs w:val="22"/>
        </w:rPr>
      </w:pPr>
    </w:p>
    <w:p w:rsidR="002C55BB" w:rsidRPr="00454F26" w:rsidRDefault="002C55BB" w:rsidP="00454F26">
      <w:pPr>
        <w:pStyle w:val="AERbodytext"/>
        <w:spacing w:after="0" w:line="276" w:lineRule="auto"/>
        <w:rPr>
          <w:sz w:val="22"/>
          <w:szCs w:val="22"/>
        </w:rPr>
      </w:pPr>
    </w:p>
    <w:p w:rsidR="002C55BB" w:rsidRPr="00454F26" w:rsidRDefault="002C55BB" w:rsidP="00454F26">
      <w:pPr>
        <w:pStyle w:val="AERbodytext"/>
        <w:spacing w:after="0" w:line="276" w:lineRule="auto"/>
        <w:rPr>
          <w:sz w:val="22"/>
          <w:szCs w:val="22"/>
        </w:rPr>
      </w:pPr>
    </w:p>
    <w:p w:rsidR="002C55BB" w:rsidRPr="00454F26" w:rsidRDefault="002C55BB" w:rsidP="00454F26">
      <w:pPr>
        <w:pStyle w:val="AERbodytext"/>
        <w:spacing w:after="0" w:line="276" w:lineRule="auto"/>
        <w:rPr>
          <w:sz w:val="22"/>
          <w:szCs w:val="22"/>
        </w:rPr>
      </w:pPr>
    </w:p>
    <w:p w:rsidR="002C55BB" w:rsidRPr="00454F26" w:rsidRDefault="002C55BB" w:rsidP="00454F26">
      <w:pPr>
        <w:pStyle w:val="AERbodytext"/>
        <w:spacing w:after="0" w:line="276" w:lineRule="auto"/>
        <w:rPr>
          <w:sz w:val="22"/>
          <w:szCs w:val="22"/>
        </w:rPr>
      </w:pPr>
    </w:p>
    <w:p w:rsidR="002C55BB" w:rsidRDefault="002C55BB" w:rsidP="00454F26">
      <w:pPr>
        <w:pStyle w:val="AERbodytext"/>
        <w:spacing w:after="0" w:line="276" w:lineRule="auto"/>
        <w:rPr>
          <w:sz w:val="22"/>
          <w:szCs w:val="22"/>
        </w:rPr>
      </w:pPr>
    </w:p>
    <w:p w:rsidR="00032D49" w:rsidRPr="00454F26" w:rsidRDefault="00032D49" w:rsidP="00454F26">
      <w:pPr>
        <w:pStyle w:val="AERbodytext"/>
        <w:spacing w:after="0" w:line="276" w:lineRule="auto"/>
        <w:rPr>
          <w:sz w:val="22"/>
          <w:szCs w:val="22"/>
        </w:rPr>
      </w:pPr>
    </w:p>
    <w:p w:rsidR="002C55BB" w:rsidRPr="00454F26" w:rsidRDefault="002C55BB" w:rsidP="00454F26">
      <w:pPr>
        <w:pStyle w:val="AERbodytext"/>
        <w:spacing w:after="0" w:line="276" w:lineRule="auto"/>
        <w:rPr>
          <w:sz w:val="22"/>
          <w:szCs w:val="22"/>
        </w:rPr>
      </w:pPr>
    </w:p>
    <w:p w:rsidR="002C55BB" w:rsidRPr="00454F26" w:rsidRDefault="002C55BB" w:rsidP="00454F26">
      <w:pPr>
        <w:pStyle w:val="AERbodytext"/>
        <w:spacing w:after="0" w:line="276" w:lineRule="auto"/>
        <w:rPr>
          <w:sz w:val="16"/>
          <w:szCs w:val="16"/>
        </w:rPr>
      </w:pPr>
      <w:r w:rsidRPr="00454F26">
        <w:rPr>
          <w:sz w:val="16"/>
          <w:szCs w:val="16"/>
        </w:rPr>
        <w:t>Contact Officer:</w:t>
      </w:r>
      <w:r w:rsidRPr="00454F26">
        <w:rPr>
          <w:sz w:val="16"/>
          <w:szCs w:val="16"/>
        </w:rPr>
        <w:tab/>
      </w:r>
      <w:bookmarkStart w:id="0" w:name="ContactOfficer"/>
      <w:bookmarkEnd w:id="0"/>
      <w:r w:rsidR="00367743">
        <w:rPr>
          <w:sz w:val="16"/>
          <w:szCs w:val="16"/>
        </w:rPr>
        <w:t>Anthony Bell</w:t>
      </w:r>
    </w:p>
    <w:p w:rsidR="002C55BB" w:rsidRPr="00454F26" w:rsidRDefault="002C55BB" w:rsidP="00454F26">
      <w:pPr>
        <w:pStyle w:val="AERbodytext"/>
        <w:spacing w:after="200" w:line="276" w:lineRule="auto"/>
        <w:rPr>
          <w:sz w:val="16"/>
          <w:szCs w:val="16"/>
        </w:rPr>
      </w:pPr>
      <w:r w:rsidRPr="00454F26">
        <w:rPr>
          <w:sz w:val="16"/>
          <w:szCs w:val="16"/>
        </w:rPr>
        <w:t>Contact Phone:</w:t>
      </w:r>
      <w:r w:rsidRPr="00454F26">
        <w:rPr>
          <w:sz w:val="16"/>
          <w:szCs w:val="16"/>
        </w:rPr>
        <w:tab/>
      </w:r>
      <w:bookmarkStart w:id="1" w:name="ContactPhone"/>
      <w:bookmarkEnd w:id="1"/>
      <w:r w:rsidR="00C16DF8" w:rsidRPr="00454F26">
        <w:rPr>
          <w:sz w:val="16"/>
          <w:szCs w:val="16"/>
        </w:rPr>
        <w:t>(0</w:t>
      </w:r>
      <w:r w:rsidR="00367743">
        <w:rPr>
          <w:sz w:val="16"/>
          <w:szCs w:val="16"/>
        </w:rPr>
        <w:t>3</w:t>
      </w:r>
      <w:r w:rsidR="00C16DF8" w:rsidRPr="00454F26">
        <w:rPr>
          <w:sz w:val="16"/>
          <w:szCs w:val="16"/>
        </w:rPr>
        <w:t xml:space="preserve">) </w:t>
      </w:r>
      <w:r w:rsidR="00367743">
        <w:rPr>
          <w:sz w:val="16"/>
          <w:szCs w:val="16"/>
        </w:rPr>
        <w:t>9290 6914</w:t>
      </w:r>
    </w:p>
    <w:p w:rsidR="002C55BB" w:rsidRPr="004105D3" w:rsidRDefault="002C55BB" w:rsidP="00454F26">
      <w:pPr>
        <w:pStyle w:val="AERbodytext"/>
        <w:spacing w:line="240" w:lineRule="auto"/>
      </w:pPr>
      <w:bookmarkStart w:id="2" w:name="_GoBack"/>
      <w:bookmarkEnd w:id="2"/>
    </w:p>
    <w:p w:rsidR="002C55BB" w:rsidRPr="004105D3" w:rsidRDefault="0054631C" w:rsidP="00454F26">
      <w:pPr>
        <w:pStyle w:val="AERbodytext"/>
        <w:spacing w:line="240" w:lineRule="auto"/>
        <w:rPr>
          <w:szCs w:val="20"/>
        </w:rPr>
      </w:pPr>
      <w:bookmarkStart w:id="3" w:name="Date"/>
      <w:bookmarkEnd w:id="3"/>
      <w:r>
        <w:rPr>
          <w:szCs w:val="20"/>
        </w:rPr>
        <w:t>1</w:t>
      </w:r>
      <w:r w:rsidR="00B9239E">
        <w:rPr>
          <w:szCs w:val="20"/>
        </w:rPr>
        <w:t>2</w:t>
      </w:r>
      <w:r w:rsidR="00367743">
        <w:rPr>
          <w:szCs w:val="20"/>
        </w:rPr>
        <w:t xml:space="preserve"> February 2014</w:t>
      </w:r>
    </w:p>
    <w:p w:rsidR="002C55BB" w:rsidRPr="004105D3" w:rsidRDefault="00B95CAE" w:rsidP="00454F26">
      <w:pPr>
        <w:pStyle w:val="AERbodytext"/>
        <w:spacing w:line="240" w:lineRule="auto"/>
        <w:rPr>
          <w:i/>
          <w:szCs w:val="20"/>
        </w:rPr>
      </w:pPr>
      <w:r w:rsidRPr="004105D3">
        <w:rPr>
          <w:i/>
          <w:szCs w:val="20"/>
        </w:rPr>
        <w:t xml:space="preserve">By email: </w:t>
      </w:r>
      <w:hyperlink r:id="rId10" w:history="1">
        <w:r w:rsidR="00367743" w:rsidRPr="004F2989">
          <w:rPr>
            <w:rStyle w:val="Hyperlink"/>
            <w:rFonts w:cs="Gautami"/>
            <w:i/>
            <w:szCs w:val="20"/>
          </w:rPr>
          <w:t>EWP@industry.gov.au</w:t>
        </w:r>
      </w:hyperlink>
      <w:r w:rsidR="004105D3" w:rsidRPr="004105D3">
        <w:rPr>
          <w:i/>
          <w:szCs w:val="20"/>
        </w:rPr>
        <w:t xml:space="preserve"> </w:t>
      </w:r>
    </w:p>
    <w:p w:rsidR="004D5D21" w:rsidRPr="004105D3" w:rsidRDefault="004721F3" w:rsidP="00454F26">
      <w:pPr>
        <w:pStyle w:val="AERbodytext"/>
        <w:spacing w:line="240" w:lineRule="auto"/>
        <w:rPr>
          <w:szCs w:val="20"/>
        </w:rPr>
      </w:pPr>
      <w:r w:rsidRPr="004105D3">
        <w:rPr>
          <w:szCs w:val="20"/>
        </w:rPr>
        <w:t xml:space="preserve">Dear </w:t>
      </w:r>
      <w:r w:rsidR="00367743">
        <w:rPr>
          <w:szCs w:val="20"/>
        </w:rPr>
        <w:t>Energy White Paper Taskforce</w:t>
      </w:r>
    </w:p>
    <w:p w:rsidR="004721F3" w:rsidRPr="004105D3" w:rsidRDefault="004721F3" w:rsidP="00F77D06">
      <w:pPr>
        <w:pStyle w:val="Heading2"/>
      </w:pPr>
      <w:r w:rsidRPr="004105D3">
        <w:t xml:space="preserve">Submission </w:t>
      </w:r>
      <w:r w:rsidR="00E0770E">
        <w:t>to the Energy White Paper i</w:t>
      </w:r>
      <w:r w:rsidR="00367743">
        <w:t xml:space="preserve">ssues paper </w:t>
      </w:r>
    </w:p>
    <w:p w:rsidR="0054631C" w:rsidRPr="00F77D06" w:rsidRDefault="00461388" w:rsidP="00F77D06">
      <w:pPr>
        <w:pStyle w:val="AERbodytext"/>
      </w:pPr>
      <w:r w:rsidRPr="00F77D06">
        <w:t>The Australian Energy Regulator (AER) welcomes the opportunity to provide this submission to the Department of Industry’s issues paper to inform the preparation of the Energy White Paper.</w:t>
      </w:r>
      <w:r w:rsidR="006D4DC9" w:rsidRPr="00F77D06">
        <w:t xml:space="preserve"> </w:t>
      </w:r>
      <w:r w:rsidR="0054631C" w:rsidRPr="00F77D06">
        <w:t xml:space="preserve">Our comments on energy policy are based on our experience as the economic regulator of the National Energy Market. </w:t>
      </w:r>
      <w:r w:rsidR="00C87141" w:rsidRPr="00F77D06">
        <w:t>W</w:t>
      </w:r>
      <w:r w:rsidR="0054631C" w:rsidRPr="00F77D06">
        <w:t>e regulate prices charged for using energy networks to transport energy to customers, monitor wholesale electricity and gas markets, and regulate retail energy markets in the ACT, South Australia, Tasmania (electricity only) and New South Wales.</w:t>
      </w:r>
    </w:p>
    <w:p w:rsidR="0054631C" w:rsidRPr="00F77D06" w:rsidRDefault="006D4DC9" w:rsidP="00F77D06">
      <w:pPr>
        <w:pStyle w:val="AERbodytext"/>
      </w:pPr>
      <w:r w:rsidRPr="00F77D06">
        <w:t xml:space="preserve">We understand that the Energy White Paper will set out the Australian Government’s position on energy policy. </w:t>
      </w:r>
      <w:r w:rsidR="00461388" w:rsidRPr="00F77D06">
        <w:t>S</w:t>
      </w:r>
      <w:r w:rsidR="0054631C" w:rsidRPr="00F77D06">
        <w:t>ignificant progress has been made on a broad package of Government reforms to the energy sector</w:t>
      </w:r>
      <w:r w:rsidR="00461388" w:rsidRPr="00F77D06">
        <w:t xml:space="preserve"> in recent years</w:t>
      </w:r>
      <w:r w:rsidR="0054631C" w:rsidRPr="00F77D06">
        <w:t xml:space="preserve">. The purpose of these reforms is ultimately to improve the living standards of the Australian community by lowering energy prices, improving energy efficiency and </w:t>
      </w:r>
      <w:r w:rsidR="00461388" w:rsidRPr="00F77D06">
        <w:t>reducing</w:t>
      </w:r>
      <w:r w:rsidR="0054631C" w:rsidRPr="00F77D06">
        <w:t xml:space="preserve"> energy production emissions. The Energy White Paper will contribute to this broader package of reforms by setting out an integrated</w:t>
      </w:r>
      <w:r w:rsidR="008F2765" w:rsidRPr="00F77D06">
        <w:t>, coherent and longer-term</w:t>
      </w:r>
      <w:r w:rsidR="0054631C" w:rsidRPr="00F77D06">
        <w:t xml:space="preserve"> whole-of-Government position on energy policy.</w:t>
      </w:r>
    </w:p>
    <w:p w:rsidR="00A52CB3" w:rsidRPr="00F77D06" w:rsidRDefault="006D4DC9" w:rsidP="00F77D06">
      <w:pPr>
        <w:pStyle w:val="AERbodytext"/>
      </w:pPr>
      <w:r w:rsidRPr="00F77D06">
        <w:t xml:space="preserve">The Government’s review is timely given the major transformations that are underway in the </w:t>
      </w:r>
      <w:r w:rsidR="00B81AD7" w:rsidRPr="00F77D06">
        <w:t xml:space="preserve">electricity </w:t>
      </w:r>
      <w:r w:rsidRPr="00F77D06">
        <w:t>sector</w:t>
      </w:r>
      <w:r w:rsidR="00B81AD7" w:rsidRPr="00F77D06">
        <w:t xml:space="preserve"> in particular</w:t>
      </w:r>
      <w:r w:rsidRPr="00F77D06">
        <w:t xml:space="preserve">. </w:t>
      </w:r>
      <w:r w:rsidR="00077672" w:rsidRPr="00F77D06">
        <w:t xml:space="preserve">We are now seeing the challenges of integrating small customers into the electricity market. </w:t>
      </w:r>
      <w:r w:rsidR="007162E1" w:rsidRPr="00F77D06">
        <w:t xml:space="preserve">The uptake of smart meters and devices bring with them opportunities for innovation and competition. The full benefits of these developments will only be achieved if the </w:t>
      </w:r>
      <w:r w:rsidR="00C87141" w:rsidRPr="00F77D06">
        <w:t>appropriate</w:t>
      </w:r>
      <w:r w:rsidR="007162E1" w:rsidRPr="00F77D06">
        <w:t xml:space="preserve"> regula</w:t>
      </w:r>
      <w:r w:rsidR="00B9239E" w:rsidRPr="00F77D06">
        <w:t>tory arrangements are in place.</w:t>
      </w:r>
    </w:p>
    <w:p w:rsidR="000861E4" w:rsidRPr="00F77D06" w:rsidRDefault="00E279C6" w:rsidP="00F77D06">
      <w:pPr>
        <w:pStyle w:val="AERbodytext"/>
      </w:pPr>
      <w:r w:rsidRPr="00F77D06">
        <w:t>To this end, t</w:t>
      </w:r>
      <w:r w:rsidR="006159C1" w:rsidRPr="00F77D06">
        <w:t xml:space="preserve">he Power of Choice reforms recommended by </w:t>
      </w:r>
      <w:r w:rsidR="00AD7D73" w:rsidRPr="00F77D06">
        <w:t>the Australian Energy Market Commission (AEMC)</w:t>
      </w:r>
      <w:r w:rsidR="007951E9" w:rsidRPr="00F77D06">
        <w:t>,</w:t>
      </w:r>
      <w:r w:rsidR="00AD7D73" w:rsidRPr="00F77D06">
        <w:t xml:space="preserve"> </w:t>
      </w:r>
      <w:r w:rsidR="00B6642C" w:rsidRPr="00F77D06">
        <w:t xml:space="preserve">and endorsed by </w:t>
      </w:r>
      <w:r w:rsidR="007951E9" w:rsidRPr="00F77D06">
        <w:t>the Standing Council on Energy and Resources (</w:t>
      </w:r>
      <w:r w:rsidR="00B6642C" w:rsidRPr="00F77D06">
        <w:t>SCER</w:t>
      </w:r>
      <w:r w:rsidR="007951E9" w:rsidRPr="00F77D06">
        <w:t>),</w:t>
      </w:r>
      <w:r w:rsidR="00B6642C" w:rsidRPr="00F77D06">
        <w:t xml:space="preserve"> </w:t>
      </w:r>
      <w:proofErr w:type="gramStart"/>
      <w:r w:rsidR="006159C1" w:rsidRPr="00F77D06">
        <w:t>should</w:t>
      </w:r>
      <w:proofErr w:type="gramEnd"/>
      <w:r w:rsidR="006159C1" w:rsidRPr="00F77D06">
        <w:t xml:space="preserve"> remain a priority for the Government</w:t>
      </w:r>
      <w:r w:rsidR="00A52CB3" w:rsidRPr="00F77D06">
        <w:t>. In particular, we support</w:t>
      </w:r>
      <w:r w:rsidR="00C65FC9" w:rsidRPr="00F77D06">
        <w:t xml:space="preserve"> reforms to the way by which network prices are set and structured</w:t>
      </w:r>
      <w:r w:rsidR="00A52CB3" w:rsidRPr="00F77D06">
        <w:t xml:space="preserve"> to ensure the regulatory arrangements are robust to future changes in technology</w:t>
      </w:r>
      <w:r w:rsidR="00C65FC9" w:rsidRPr="00F77D06">
        <w:t xml:space="preserve">. </w:t>
      </w:r>
      <w:r w:rsidR="000861E4" w:rsidRPr="00F77D06">
        <w:t>Further, we support the introduction of contestability into any services where competition is viable, such as advanced metering services.</w:t>
      </w:r>
    </w:p>
    <w:p w:rsidR="00550BF5" w:rsidRDefault="00A52CB3" w:rsidP="00824D44">
      <w:pPr>
        <w:pStyle w:val="AERbodytext"/>
      </w:pPr>
      <w:r>
        <w:lastRenderedPageBreak/>
        <w:t>It should also be noted that</w:t>
      </w:r>
      <w:r w:rsidR="00550BF5">
        <w:t xml:space="preserve"> we are currently in the process of implementing significant reforms to network regulation. </w:t>
      </w:r>
      <w:r w:rsidR="00550BF5" w:rsidRPr="001914F6">
        <w:t xml:space="preserve">As noted </w:t>
      </w:r>
      <w:r>
        <w:t>by the Government in</w:t>
      </w:r>
      <w:r w:rsidR="00550BF5" w:rsidRPr="001914F6">
        <w:t xml:space="preserve"> the issues paper, there were important reforms to the National Electricity and Gas Rules in late November 2012</w:t>
      </w:r>
      <w:r w:rsidR="00550BF5">
        <w:t xml:space="preserve"> that address cost-of-living pressures on consumers</w:t>
      </w:r>
      <w:r w:rsidR="00550BF5" w:rsidRPr="001914F6">
        <w:t>.</w:t>
      </w:r>
      <w:r w:rsidR="00550BF5">
        <w:rPr>
          <w:rStyle w:val="FootnoteReference"/>
        </w:rPr>
        <w:footnoteReference w:id="1"/>
      </w:r>
      <w:r w:rsidR="00550BF5">
        <w:t xml:space="preserve"> </w:t>
      </w:r>
      <w:r>
        <w:t>Also, r</w:t>
      </w:r>
      <w:r w:rsidR="00550BF5" w:rsidRPr="00FA36B2">
        <w:t xml:space="preserve">eforms to the limited merits review regime </w:t>
      </w:r>
      <w:r w:rsidR="00550BF5">
        <w:t xml:space="preserve">raise </w:t>
      </w:r>
      <w:r w:rsidR="00550BF5" w:rsidRPr="00FA36B2">
        <w:t xml:space="preserve">the hurdle for </w:t>
      </w:r>
      <w:r w:rsidR="00550BF5">
        <w:t xml:space="preserve">network businesses to appeal our decisions. These network reforms will be tested during </w:t>
      </w:r>
      <w:r w:rsidR="000F0940">
        <w:t xml:space="preserve">our </w:t>
      </w:r>
      <w:r w:rsidR="00550BF5">
        <w:t xml:space="preserve">upcoming </w:t>
      </w:r>
      <w:r w:rsidR="000F0940">
        <w:t>network pricing decisions</w:t>
      </w:r>
      <w:r w:rsidR="00550BF5">
        <w:t>.</w:t>
      </w:r>
      <w:r w:rsidR="00550BF5">
        <w:rPr>
          <w:rStyle w:val="FootnoteReference"/>
        </w:rPr>
        <w:footnoteReference w:id="2"/>
      </w:r>
      <w:r w:rsidR="00550BF5">
        <w:t xml:space="preserve"> </w:t>
      </w:r>
      <w:r>
        <w:t>Finally</w:t>
      </w:r>
      <w:r w:rsidR="00550BF5">
        <w:t xml:space="preserve">, the Power of Choice reforms </w:t>
      </w:r>
      <w:r>
        <w:t xml:space="preserve">and a review of the national frameworks for network reliability </w:t>
      </w:r>
      <w:r w:rsidR="00550BF5">
        <w:t>are still being progressed by the AEMC.</w:t>
      </w:r>
    </w:p>
    <w:p w:rsidR="00553E5D" w:rsidRPr="00F77D06" w:rsidRDefault="00E0770E" w:rsidP="00F77D06">
      <w:pPr>
        <w:pStyle w:val="Heading2"/>
      </w:pPr>
      <w:r w:rsidRPr="00F77D06">
        <w:t>The t</w:t>
      </w:r>
      <w:r w:rsidR="00553E5D" w:rsidRPr="00F77D06">
        <w:t>ransformation of the energy sector</w:t>
      </w:r>
    </w:p>
    <w:p w:rsidR="008F2765" w:rsidRDefault="008F2765" w:rsidP="00824D44">
      <w:pPr>
        <w:pStyle w:val="AERbodytext"/>
      </w:pPr>
      <w:r>
        <w:t xml:space="preserve">The electricity industry in Australia has undergone a </w:t>
      </w:r>
      <w:r w:rsidR="00332668">
        <w:t xml:space="preserve">number of </w:t>
      </w:r>
      <w:r>
        <w:t>transformation</w:t>
      </w:r>
      <w:r w:rsidR="00332668">
        <w:t>s</w:t>
      </w:r>
      <w:r>
        <w:t xml:space="preserve"> in the past two decades, and we are on the cusp of a further fundamental </w:t>
      </w:r>
      <w:r w:rsidR="00332668">
        <w:t>shift in the way electricity is produced and consumed</w:t>
      </w:r>
      <w:r>
        <w:t>.</w:t>
      </w:r>
    </w:p>
    <w:p w:rsidR="006D4DC9" w:rsidRDefault="006D4DC9" w:rsidP="00824D44">
      <w:pPr>
        <w:pStyle w:val="AERbodytext"/>
      </w:pPr>
      <w:r w:rsidRPr="006D4DC9">
        <w:t>Twenty years ago electricity was primarily generated at large industrial-scale generating plants and transported to consumers via the transmission and distribution networks. The large generators were typically closely integrated into the operation of the transmission and distribution networks</w:t>
      </w:r>
      <w:r w:rsidR="00E0451C">
        <w:t>,</w:t>
      </w:r>
      <w:r w:rsidR="00C87141">
        <w:t xml:space="preserve"> as well as retailing</w:t>
      </w:r>
      <w:r w:rsidRPr="006D4DC9">
        <w:t>. Electricity consumers, on the other hand, were treated as essentially passive</w:t>
      </w:r>
      <w:r w:rsidR="00E279C6">
        <w:t xml:space="preserve">—they were </w:t>
      </w:r>
      <w:r w:rsidR="00A44DCF">
        <w:t>able to consume as much as they desired at a fixed price</w:t>
      </w:r>
      <w:r w:rsidRPr="006D4DC9">
        <w:t>.</w:t>
      </w:r>
    </w:p>
    <w:p w:rsidR="00332668" w:rsidRDefault="00004081" w:rsidP="00824D44">
      <w:pPr>
        <w:pStyle w:val="AERbodytext"/>
      </w:pPr>
      <w:r>
        <w:t xml:space="preserve">With the establishment of the National Electricity Market, Australia </w:t>
      </w:r>
      <w:r w:rsidRPr="00004081">
        <w:t>introduce</w:t>
      </w:r>
      <w:r>
        <w:t>d</w:t>
      </w:r>
      <w:r w:rsidRPr="00004081">
        <w:t xml:space="preserve"> competition into the generation </w:t>
      </w:r>
      <w:r w:rsidR="00C87141">
        <w:t xml:space="preserve">and retailing </w:t>
      </w:r>
      <w:r w:rsidRPr="00004081">
        <w:t xml:space="preserve">of electricity. </w:t>
      </w:r>
      <w:r>
        <w:t>T</w:t>
      </w:r>
      <w:r w:rsidRPr="00004081">
        <w:t xml:space="preserve">he operation of generation and transmission is </w:t>
      </w:r>
      <w:r>
        <w:t xml:space="preserve">now </w:t>
      </w:r>
      <w:r w:rsidRPr="00004081">
        <w:t>coordinated through market mechanisms</w:t>
      </w:r>
      <w:r w:rsidR="008F2765">
        <w:t>. This</w:t>
      </w:r>
      <w:r>
        <w:t xml:space="preserve"> </w:t>
      </w:r>
      <w:r w:rsidRPr="00004081">
        <w:t xml:space="preserve">required a substantial change in the way the electricity industry </w:t>
      </w:r>
      <w:r w:rsidR="008F2765">
        <w:t>wa</w:t>
      </w:r>
      <w:r w:rsidRPr="00004081">
        <w:t>s organised and operated.</w:t>
      </w:r>
      <w:r w:rsidR="008F2765">
        <w:t xml:space="preserve"> </w:t>
      </w:r>
    </w:p>
    <w:p w:rsidR="002D79D9" w:rsidRDefault="00C87141" w:rsidP="00824D44">
      <w:pPr>
        <w:pStyle w:val="AERbodytext"/>
      </w:pPr>
      <w:r>
        <w:t>As part of these reforms,</w:t>
      </w:r>
      <w:r w:rsidR="008F2765">
        <w:t xml:space="preserve"> a number of new institutions were developed to operate and oversee the market process, to coordinate operation and investment in the transmission networks, and to regulate the prices of the transmission and distribution networks. </w:t>
      </w:r>
      <w:r w:rsidR="00075CD9">
        <w:t>Such</w:t>
      </w:r>
      <w:r w:rsidR="008F2765">
        <w:t xml:space="preserve"> reforms have proven effective at delivering a reliable, stable supply of electricity, and on-going investment in a competitive, efficient generation sector. </w:t>
      </w:r>
      <w:r w:rsidR="002D79D9">
        <w:t>Although network prices have risen significantly in recent years</w:t>
      </w:r>
      <w:r>
        <w:t>,</w:t>
      </w:r>
      <w:r w:rsidR="002D79D9">
        <w:t xml:space="preserve"> partly due to </w:t>
      </w:r>
      <w:r w:rsidR="002D79D9" w:rsidRPr="002D79D9">
        <w:t>deficiencies in the electricity rules and reliability settings</w:t>
      </w:r>
      <w:r w:rsidR="002D79D9">
        <w:t xml:space="preserve">, recent </w:t>
      </w:r>
      <w:r w:rsidR="002D79D9" w:rsidRPr="00332668">
        <w:t xml:space="preserve">changes strengthen the regulatory framework </w:t>
      </w:r>
      <w:r w:rsidR="00550BF5">
        <w:t xml:space="preserve">(as noted above), </w:t>
      </w:r>
      <w:r w:rsidR="002D79D9" w:rsidRPr="00332668">
        <w:t>and provide for a more balanced assessment of the need to allow for ongoing efficient investment to ensure a reliable energy supply, with the need to minimise costs to consumers.</w:t>
      </w:r>
    </w:p>
    <w:p w:rsidR="00332668" w:rsidRDefault="002D79D9" w:rsidP="00233938">
      <w:pPr>
        <w:pStyle w:val="AERbodytext"/>
      </w:pPr>
      <w:r>
        <w:t>L</w:t>
      </w:r>
      <w:r w:rsidR="005016B9">
        <w:t xml:space="preserve">ooking forward, </w:t>
      </w:r>
      <w:r>
        <w:t>t</w:t>
      </w:r>
      <w:r w:rsidR="00004081">
        <w:t xml:space="preserve">echnological change and </w:t>
      </w:r>
      <w:r w:rsidR="00004081" w:rsidRPr="00004081">
        <w:t>pressure for decarbonisation of the energy sector</w:t>
      </w:r>
      <w:r w:rsidR="00004081">
        <w:t xml:space="preserve"> is leading to another major change in the sector. </w:t>
      </w:r>
      <w:r w:rsidR="00004081" w:rsidRPr="00004081">
        <w:t xml:space="preserve">There is increasing interest in small-scale local generation, such as rooftop solar PV, small-scale wind-generation, </w:t>
      </w:r>
      <w:r w:rsidR="00004081">
        <w:t>and</w:t>
      </w:r>
      <w:r w:rsidR="00004081" w:rsidRPr="00004081">
        <w:t xml:space="preserve"> local storage of electricity. </w:t>
      </w:r>
      <w:r w:rsidR="00EB0236">
        <w:t xml:space="preserve">We </w:t>
      </w:r>
      <w:r w:rsidR="00550BF5">
        <w:t xml:space="preserve">may see a significant increase in </w:t>
      </w:r>
      <w:r w:rsidR="00EB0236" w:rsidRPr="00004081">
        <w:t>the take-up of electric vehicles</w:t>
      </w:r>
      <w:r w:rsidR="00550BF5">
        <w:t xml:space="preserve"> in the future</w:t>
      </w:r>
      <w:r w:rsidR="00EB0236">
        <w:t>,</w:t>
      </w:r>
      <w:r w:rsidR="00EB0236" w:rsidRPr="00004081">
        <w:t xml:space="preserve"> which has the potential to change the way electricity is stored and consumed.</w:t>
      </w:r>
      <w:r w:rsidR="00EB0236">
        <w:t xml:space="preserve"> </w:t>
      </w:r>
      <w:r w:rsidR="00550BF5">
        <w:t>Further</w:t>
      </w:r>
      <w:r w:rsidR="00004081" w:rsidRPr="00004081">
        <w:t>, the IT and communication revolutions have opened up the scope for a host of new devices and appliances</w:t>
      </w:r>
      <w:r w:rsidR="00075CD9">
        <w:t>,</w:t>
      </w:r>
      <w:r w:rsidR="00004081" w:rsidRPr="00004081">
        <w:t xml:space="preserve"> allowing small-scale consumers </w:t>
      </w:r>
      <w:r w:rsidR="00004081" w:rsidRPr="00004081">
        <w:lastRenderedPageBreak/>
        <w:t>for the first time to respond to local electricity market conditions.</w:t>
      </w:r>
      <w:r>
        <w:t xml:space="preserve"> A new wave of reforms is required to take advantage of these opportunities.</w:t>
      </w:r>
    </w:p>
    <w:p w:rsidR="00B81AD7" w:rsidRPr="00F77D06" w:rsidRDefault="00E0770E" w:rsidP="00F77D06">
      <w:pPr>
        <w:pStyle w:val="Heading2"/>
      </w:pPr>
      <w:r w:rsidRPr="00F77D06">
        <w:t>T</w:t>
      </w:r>
      <w:r w:rsidR="002D79D9" w:rsidRPr="00F77D06">
        <w:t>ransition to the smart electricity grid of the future</w:t>
      </w:r>
    </w:p>
    <w:p w:rsidR="00E0770E" w:rsidRDefault="00FA62C5" w:rsidP="002D79D9">
      <w:pPr>
        <w:pStyle w:val="AERbodytext"/>
      </w:pPr>
      <w:r>
        <w:t>New c</w:t>
      </w:r>
      <w:r w:rsidR="00DF0B96">
        <w:t>hallenges have emerged</w:t>
      </w:r>
      <w:r>
        <w:t xml:space="preserve"> in the energy sector</w:t>
      </w:r>
      <w:r w:rsidR="00DF0B96">
        <w:t xml:space="preserve">. </w:t>
      </w:r>
      <w:r w:rsidR="001A2BE3">
        <w:t xml:space="preserve">We have seen rapid </w:t>
      </w:r>
      <w:r w:rsidR="00597568">
        <w:t>growth</w:t>
      </w:r>
      <w:r w:rsidR="001A2BE3">
        <w:t xml:space="preserve"> in the penetration of air-conditioning units</w:t>
      </w:r>
      <w:r w:rsidR="00E0770E">
        <w:t xml:space="preserve">, </w:t>
      </w:r>
      <w:r w:rsidR="001A2BE3">
        <w:t>which increase demand at peak times</w:t>
      </w:r>
      <w:r w:rsidR="00E0770E">
        <w:t xml:space="preserve"> and drive</w:t>
      </w:r>
      <w:r w:rsidR="001A2BE3">
        <w:t xml:space="preserve"> up the need for network investments. Over a million households have installed roof-top solar PV, reducing the demand for network services even </w:t>
      </w:r>
      <w:r w:rsidR="00550BF5">
        <w:t>though</w:t>
      </w:r>
      <w:r w:rsidR="001A2BE3">
        <w:t xml:space="preserve">, </w:t>
      </w:r>
      <w:r w:rsidR="00550BF5">
        <w:t xml:space="preserve">in most instances, </w:t>
      </w:r>
      <w:r w:rsidR="001A2BE3">
        <w:t xml:space="preserve">the networks can deliver power to these customers more cheaply than it can be produced from solar generation. These problems </w:t>
      </w:r>
      <w:r w:rsidR="00326AB5">
        <w:t>may be</w:t>
      </w:r>
      <w:r w:rsidR="001A2BE3">
        <w:t xml:space="preserve"> further compounded as customers invest in </w:t>
      </w:r>
      <w:r w:rsidR="00550BF5" w:rsidRPr="00B14522">
        <w:t>smart appliances</w:t>
      </w:r>
      <w:r w:rsidR="00550BF5">
        <w:t xml:space="preserve"> and </w:t>
      </w:r>
      <w:r w:rsidR="001A2BE3">
        <w:t xml:space="preserve">battery storage, which </w:t>
      </w:r>
      <w:r w:rsidR="00550BF5">
        <w:t xml:space="preserve">could </w:t>
      </w:r>
      <w:r w:rsidR="001A2BE3">
        <w:t>substantially shift the amount customer</w:t>
      </w:r>
      <w:r w:rsidR="00550BF5">
        <w:t>s</w:t>
      </w:r>
      <w:r w:rsidR="001A2BE3">
        <w:t xml:space="preserve"> withdraw</w:t>
      </w:r>
      <w:r w:rsidR="00C65FC9">
        <w:t xml:space="preserve"> from</w:t>
      </w:r>
      <w:r w:rsidR="001A2BE3">
        <w:t xml:space="preserve"> or inject into the network from one moment to the next. </w:t>
      </w:r>
      <w:r w:rsidR="00E0451C">
        <w:t>F</w:t>
      </w:r>
      <w:r w:rsidR="00251A96">
        <w:t>acilitating efficient decisions of this kind will require reforms to energy pricing</w:t>
      </w:r>
      <w:r w:rsidR="00E0451C">
        <w:t xml:space="preserve"> </w:t>
      </w:r>
      <w:r w:rsidR="00B6642C">
        <w:t xml:space="preserve">and other </w:t>
      </w:r>
      <w:r w:rsidR="007951E9">
        <w:t xml:space="preserve">regulatory </w:t>
      </w:r>
      <w:r w:rsidR="00B6642C">
        <w:t xml:space="preserve">arrangements </w:t>
      </w:r>
      <w:r w:rsidR="00E0451C">
        <w:t>(as discussed below).</w:t>
      </w:r>
    </w:p>
    <w:p w:rsidR="00233938" w:rsidRDefault="00DF0B96" w:rsidP="00B81AD7">
      <w:pPr>
        <w:pStyle w:val="AERbodytext"/>
      </w:pPr>
      <w:r>
        <w:t>I</w:t>
      </w:r>
      <w:r w:rsidR="001A2BE3">
        <w:t xml:space="preserve">n recent years, with improvements in IT and communications, it has become feasible to allow small customers to be more closely integrated into the electricity market. </w:t>
      </w:r>
      <w:r w:rsidR="00233938">
        <w:t>A</w:t>
      </w:r>
      <w:r w:rsidR="00B81AD7">
        <w:t xml:space="preserve">ll customers are potentially generators or consumers, depending on </w:t>
      </w:r>
      <w:r w:rsidR="001A2BE3">
        <w:t xml:space="preserve">their </w:t>
      </w:r>
      <w:r w:rsidR="00B81AD7">
        <w:t xml:space="preserve">preferences and local market conditions. Many commentators use the word </w:t>
      </w:r>
      <w:r w:rsidR="00311FE5">
        <w:t>‘</w:t>
      </w:r>
      <w:proofErr w:type="spellStart"/>
      <w:r w:rsidR="00311FE5">
        <w:t>prosumers</w:t>
      </w:r>
      <w:proofErr w:type="spellEnd"/>
      <w:r w:rsidR="00311FE5">
        <w:t>’</w:t>
      </w:r>
      <w:r w:rsidR="00B81AD7">
        <w:t xml:space="preserve"> to reflect the fact that consumers of electricity are also often producers of electricity, and may switch from net consumption to net production according to changes in the wholesale price. </w:t>
      </w:r>
    </w:p>
    <w:p w:rsidR="00553E5D" w:rsidRDefault="00E279C6" w:rsidP="00B81AD7">
      <w:pPr>
        <w:pStyle w:val="AERbodytext"/>
      </w:pPr>
      <w:r>
        <w:t xml:space="preserve">Ideally, </w:t>
      </w:r>
      <w:r w:rsidR="00862C55">
        <w:t xml:space="preserve">these </w:t>
      </w:r>
      <w:r>
        <w:t>‘</w:t>
      </w:r>
      <w:proofErr w:type="spellStart"/>
      <w:r w:rsidR="00862C55">
        <w:t>prosumers</w:t>
      </w:r>
      <w:proofErr w:type="spellEnd"/>
      <w:r>
        <w:t>’</w:t>
      </w:r>
      <w:r w:rsidR="00862C55">
        <w:t xml:space="preserve"> </w:t>
      </w:r>
      <w:r w:rsidR="00550BF5">
        <w:t xml:space="preserve">would be willing and able to </w:t>
      </w:r>
      <w:r w:rsidR="00862C55">
        <w:t>directly or indirectly respond to local market conditions, so that they make efficient decisions as to the</w:t>
      </w:r>
      <w:r w:rsidR="009878E5">
        <w:t xml:space="preserve"> best time to</w:t>
      </w:r>
      <w:r w:rsidR="00E52D1E">
        <w:t>, for example,</w:t>
      </w:r>
      <w:r w:rsidR="00E52D1E" w:rsidRPr="00B14522">
        <w:t xml:space="preserve"> use their electric dryer </w:t>
      </w:r>
      <w:r w:rsidR="00E52D1E">
        <w:t>and dishwasher or</w:t>
      </w:r>
      <w:r w:rsidR="00E52D1E" w:rsidRPr="00B14522">
        <w:t>, possibly in the future,</w:t>
      </w:r>
      <w:r w:rsidR="009878E5">
        <w:t xml:space="preserve"> charge </w:t>
      </w:r>
      <w:r w:rsidR="00E52D1E">
        <w:t>and</w:t>
      </w:r>
      <w:r w:rsidR="00E52D1E" w:rsidRPr="00B14522">
        <w:t xml:space="preserve"> discharge </w:t>
      </w:r>
      <w:r w:rsidR="009878E5">
        <w:t>their electric vehicles</w:t>
      </w:r>
      <w:r w:rsidR="00E52D1E">
        <w:t xml:space="preserve">. </w:t>
      </w:r>
      <w:r w:rsidR="00326AB5">
        <w:t xml:space="preserve">They </w:t>
      </w:r>
      <w:r w:rsidR="00862C55">
        <w:t>would also make efficient decisions about when to install an air-conditioning unit, or when to invest in energy-efficient appliances.</w:t>
      </w:r>
      <w:r w:rsidR="00EB0236">
        <w:t xml:space="preserve"> </w:t>
      </w:r>
      <w:r w:rsidR="00233938">
        <w:t>T</w:t>
      </w:r>
      <w:r w:rsidR="001A2BE3">
        <w:t>o achieve efficiency in the</w:t>
      </w:r>
      <w:r w:rsidR="00E52D1E">
        <w:t>se</w:t>
      </w:r>
      <w:r w:rsidR="001A2BE3">
        <w:t xml:space="preserve"> decisions</w:t>
      </w:r>
      <w:r w:rsidR="00E52D1E">
        <w:t>—that is,</w:t>
      </w:r>
      <w:r w:rsidR="001A2BE3">
        <w:t xml:space="preserve"> when to produce or consume</w:t>
      </w:r>
      <w:r w:rsidR="00C87141">
        <w:t xml:space="preserve"> electricity</w:t>
      </w:r>
      <w:r w:rsidR="007951E9">
        <w:t>,</w:t>
      </w:r>
      <w:r w:rsidR="00E52D1E">
        <w:t xml:space="preserve"> and </w:t>
      </w:r>
      <w:r w:rsidR="001A2BE3">
        <w:t>the kinds of production and consumption assets they purchase</w:t>
      </w:r>
      <w:r w:rsidR="00E52D1E">
        <w:t>—</w:t>
      </w:r>
      <w:r w:rsidR="009878E5">
        <w:t>end-</w:t>
      </w:r>
      <w:r w:rsidR="00B81AD7">
        <w:t xml:space="preserve">customers must be </w:t>
      </w:r>
      <w:r w:rsidR="001B37D6">
        <w:t>more</w:t>
      </w:r>
      <w:r w:rsidR="00B81AD7">
        <w:t xml:space="preserve"> integrated into the </w:t>
      </w:r>
      <w:r w:rsidR="001B37D6">
        <w:t xml:space="preserve">wholesale </w:t>
      </w:r>
      <w:r w:rsidR="00B81AD7">
        <w:t xml:space="preserve">market and </w:t>
      </w:r>
      <w:r w:rsidR="001B37D6">
        <w:t xml:space="preserve">face the efficient costs that are relevant to their decisions. </w:t>
      </w:r>
      <w:r w:rsidR="007951E9">
        <w:t>T</w:t>
      </w:r>
      <w:r w:rsidR="001B37D6">
        <w:t>his requires reforms to network</w:t>
      </w:r>
      <w:r w:rsidR="00E52D1E">
        <w:t xml:space="preserve"> pricing</w:t>
      </w:r>
      <w:r w:rsidR="007951E9">
        <w:t>, among other things</w:t>
      </w:r>
      <w:r w:rsidR="00B81AD7">
        <w:t>.</w:t>
      </w:r>
      <w:r w:rsidR="00233938">
        <w:t xml:space="preserve"> </w:t>
      </w:r>
    </w:p>
    <w:p w:rsidR="009878E5" w:rsidRDefault="009878E5" w:rsidP="009878E5">
      <w:pPr>
        <w:pStyle w:val="AERbodytext"/>
      </w:pPr>
      <w:r>
        <w:t xml:space="preserve">The increasing use of so-called smart devices and local generation facilities by even the smallest customers fundamentally changes the way we should think about the electric power system and the services it provides. </w:t>
      </w:r>
      <w:r w:rsidRPr="00004081">
        <w:t xml:space="preserve">From a paradigm of one-way managed electricity supply, the electricity industry is transforming to a new paradigm in which the industry exists to provide a platform for the two-way trade of electricity, with all customers large and small, </w:t>
      </w:r>
      <w:r w:rsidR="00251A96">
        <w:t xml:space="preserve">able to be </w:t>
      </w:r>
      <w:r w:rsidRPr="00004081">
        <w:t>integr</w:t>
      </w:r>
      <w:r w:rsidR="00E0451C">
        <w:t>ated with and respond</w:t>
      </w:r>
      <w:r w:rsidRPr="00004081">
        <w:t xml:space="preserve"> to local market conditions.</w:t>
      </w:r>
    </w:p>
    <w:p w:rsidR="00341791" w:rsidRDefault="00233938" w:rsidP="00341791">
      <w:pPr>
        <w:pStyle w:val="AERbodytext"/>
      </w:pPr>
      <w:r>
        <w:t xml:space="preserve">These challenges bring with them new opportunities for consumers. </w:t>
      </w:r>
      <w:r w:rsidR="00341791">
        <w:t>There are several potential benefits from the increasing penetration of small scale generation and smart devices, and the integration of these customers into the wholesale electricity market. The integration of even small customers into the electricity market:</w:t>
      </w:r>
    </w:p>
    <w:p w:rsidR="00341791" w:rsidRDefault="00341791" w:rsidP="00341791">
      <w:pPr>
        <w:pStyle w:val="AERbodytext"/>
        <w:numPr>
          <w:ilvl w:val="0"/>
          <w:numId w:val="25"/>
        </w:numPr>
      </w:pPr>
      <w:r>
        <w:t>facilitates the integration of small-scale variable renewable generation (such as solar PV, wind, and wave generation), thereby reducing the economic cost of achieving reductions in greenhouse gas emissions</w:t>
      </w:r>
    </w:p>
    <w:p w:rsidR="00341791" w:rsidRDefault="00341791" w:rsidP="00341791">
      <w:pPr>
        <w:pStyle w:val="AERbodytext"/>
        <w:numPr>
          <w:ilvl w:val="0"/>
          <w:numId w:val="25"/>
        </w:numPr>
      </w:pPr>
      <w:r>
        <w:t>increases the resilience of the electricity network by increasing the range of production and consumption responses to supply, demand, and network shocks</w:t>
      </w:r>
    </w:p>
    <w:p w:rsidR="00341791" w:rsidRDefault="00341791" w:rsidP="00341791">
      <w:pPr>
        <w:pStyle w:val="AERbodytext"/>
        <w:numPr>
          <w:ilvl w:val="0"/>
          <w:numId w:val="25"/>
        </w:numPr>
      </w:pPr>
      <w:proofErr w:type="gramStart"/>
      <w:r>
        <w:lastRenderedPageBreak/>
        <w:t>increases</w:t>
      </w:r>
      <w:proofErr w:type="gramEnd"/>
      <w:r>
        <w:t xml:space="preserve"> the utilisation of the network by reducing the need to build network capacity to cater for </w:t>
      </w:r>
      <w:r w:rsidR="00251A96">
        <w:t>a relatively small number of</w:t>
      </w:r>
      <w:r>
        <w:t xml:space="preserve"> peak </w:t>
      </w:r>
      <w:r w:rsidR="00251A96">
        <w:t xml:space="preserve">periods </w:t>
      </w:r>
      <w:r>
        <w:t>per year, thereby reducing the need for costly network augmentations.</w:t>
      </w:r>
    </w:p>
    <w:p w:rsidR="00282F5D" w:rsidRDefault="00282F5D" w:rsidP="00341791">
      <w:pPr>
        <w:pStyle w:val="AERbodytext"/>
        <w:numPr>
          <w:ilvl w:val="0"/>
          <w:numId w:val="25"/>
        </w:numPr>
      </w:pPr>
      <w:r>
        <w:t xml:space="preserve">allows customers options and choices when it comes to managing their electricity consumption, rewarding customers for reducing local consumption at times when it is most costly to supply that customer, and rewarding customers for increasing their local production at times when that production is </w:t>
      </w:r>
      <w:r w:rsidR="00233938">
        <w:t>most valuable to the local area</w:t>
      </w:r>
    </w:p>
    <w:p w:rsidR="00233938" w:rsidRDefault="00326AB5" w:rsidP="00233938">
      <w:pPr>
        <w:pStyle w:val="AERbodytext"/>
        <w:numPr>
          <w:ilvl w:val="0"/>
          <w:numId w:val="25"/>
        </w:numPr>
      </w:pPr>
      <w:proofErr w:type="gramStart"/>
      <w:r>
        <w:t>helps</w:t>
      </w:r>
      <w:proofErr w:type="gramEnd"/>
      <w:r>
        <w:t xml:space="preserve"> </w:t>
      </w:r>
      <w:r w:rsidR="00282F5D">
        <w:t>customers make efficient decisions regarding investment in appliances, energy efficiency, and local generation and storage, ensuring that energy efficiency and generation technologies can compete on a level playing field, and preventing unnecessary waste and stranding of existing assets.</w:t>
      </w:r>
    </w:p>
    <w:p w:rsidR="00D20CA4" w:rsidRDefault="00D20CA4" w:rsidP="00341791">
      <w:pPr>
        <w:pStyle w:val="AERbodytext"/>
      </w:pPr>
      <w:r>
        <w:t xml:space="preserve">Perhaps the most significant benefit from increasing the integration of small customers into the electricity market is that it will lead to a range of </w:t>
      </w:r>
      <w:r w:rsidR="009878E5">
        <w:t xml:space="preserve">entirely </w:t>
      </w:r>
      <w:r>
        <w:t xml:space="preserve">new services. In fact it may lead to a host of new services </w:t>
      </w:r>
      <w:r w:rsidR="00597568">
        <w:t>that</w:t>
      </w:r>
      <w:r>
        <w:t xml:space="preserve"> are not yet known and </w:t>
      </w:r>
      <w:r w:rsidR="00597568">
        <w:t>that will</w:t>
      </w:r>
      <w:r>
        <w:t xml:space="preserve"> deliver real value to consumers.</w:t>
      </w:r>
    </w:p>
    <w:p w:rsidR="00341791" w:rsidRDefault="00E52D1E" w:rsidP="00341791">
      <w:pPr>
        <w:pStyle w:val="AERbodytext"/>
      </w:pPr>
      <w:r>
        <w:t>I</w:t>
      </w:r>
      <w:r w:rsidR="00597568">
        <w:t>ntegrating</w:t>
      </w:r>
      <w:r w:rsidR="00341791">
        <w:t xml:space="preserve"> small customers into the wholesale market</w:t>
      </w:r>
      <w:r w:rsidR="00597568">
        <w:t xml:space="preserve"> is a major</w:t>
      </w:r>
      <w:r w:rsidR="00FA62C5">
        <w:t xml:space="preserve"> shift in thinking</w:t>
      </w:r>
      <w:r w:rsidR="00341791">
        <w:t xml:space="preserve">. </w:t>
      </w:r>
      <w:r w:rsidR="00597568">
        <w:t xml:space="preserve">It </w:t>
      </w:r>
      <w:r w:rsidR="00341791">
        <w:t xml:space="preserve">will require a change in the sophistication with which small customers approach their electricity consumption. </w:t>
      </w:r>
      <w:r w:rsidR="001B37D6">
        <w:t>Of course, s</w:t>
      </w:r>
      <w:r w:rsidR="00341791">
        <w:t>ome customers will not wish to change.</w:t>
      </w:r>
      <w:r w:rsidR="00282F5D">
        <w:t xml:space="preserve"> It will be important that customers see and expect to receive</w:t>
      </w:r>
      <w:r w:rsidR="00597568">
        <w:t xml:space="preserve"> clear benefits from any change, which will require extensive consultation. Carefully managing this process to gain</w:t>
      </w:r>
      <w:r w:rsidR="00FA62C5">
        <w:t xml:space="preserve"> social acceptance is an essential part of the t</w:t>
      </w:r>
      <w:r w:rsidR="00FA62C5" w:rsidRPr="00FA62C5">
        <w:t xml:space="preserve">ransition to </w:t>
      </w:r>
      <w:r w:rsidR="00FA62C5">
        <w:t xml:space="preserve">a </w:t>
      </w:r>
      <w:r w:rsidR="00FA62C5" w:rsidRPr="00FA62C5">
        <w:t>smart electricity grid</w:t>
      </w:r>
      <w:r w:rsidR="00FA62C5">
        <w:t>.</w:t>
      </w:r>
    </w:p>
    <w:p w:rsidR="0045792E" w:rsidRDefault="0045792E" w:rsidP="00341791">
      <w:pPr>
        <w:pStyle w:val="AERbodytext"/>
      </w:pPr>
      <w:r>
        <w:t>It is noted that we support the introduction of contestability into any services where competition is viable. Broadly speaking w</w:t>
      </w:r>
      <w:r w:rsidRPr="0045792E">
        <w:t xml:space="preserve">e should not close out options by </w:t>
      </w:r>
      <w:r w:rsidR="00245421">
        <w:t xml:space="preserve">assigning </w:t>
      </w:r>
      <w:r w:rsidR="00251A96">
        <w:t>ownership or control of specific devices or services</w:t>
      </w:r>
      <w:r w:rsidRPr="0045792E">
        <w:t xml:space="preserve"> to particular parties.</w:t>
      </w:r>
      <w:r>
        <w:t xml:space="preserve"> </w:t>
      </w:r>
      <w:r w:rsidR="00251A96">
        <w:t>For example, d</w:t>
      </w:r>
      <w:r w:rsidRPr="00E426CB">
        <w:t>emand management</w:t>
      </w:r>
      <w:r>
        <w:t>,</w:t>
      </w:r>
      <w:r w:rsidRPr="00E426CB">
        <w:t xml:space="preserve"> </w:t>
      </w:r>
      <w:r w:rsidR="00251A96">
        <w:t xml:space="preserve">metering </w:t>
      </w:r>
      <w:r>
        <w:t xml:space="preserve">and </w:t>
      </w:r>
      <w:r w:rsidRPr="00E426CB">
        <w:t xml:space="preserve">local generation and storage are not monopoly activities. </w:t>
      </w:r>
      <w:r w:rsidR="00E52D1E">
        <w:t>However,</w:t>
      </w:r>
      <w:r w:rsidRPr="00E426CB">
        <w:t xml:space="preserve"> extension of the functions of the</w:t>
      </w:r>
      <w:r>
        <w:t xml:space="preserve"> network businesses </w:t>
      </w:r>
      <w:r w:rsidRPr="00E426CB">
        <w:t xml:space="preserve">into these areas, in competition with others, raises concerns about </w:t>
      </w:r>
      <w:r>
        <w:t>whether there will be a ‘</w:t>
      </w:r>
      <w:r w:rsidRPr="00E426CB">
        <w:t>level playing field</w:t>
      </w:r>
      <w:r>
        <w:t>’</w:t>
      </w:r>
      <w:r w:rsidRPr="00E426CB">
        <w:t>. The</w:t>
      </w:r>
      <w:r>
        <w:t>re is also the risk</w:t>
      </w:r>
      <w:r w:rsidRPr="00E426CB">
        <w:t xml:space="preserve"> </w:t>
      </w:r>
      <w:r>
        <w:t xml:space="preserve">of relying on network businesses </w:t>
      </w:r>
      <w:r w:rsidRPr="00E426CB">
        <w:t>to consider and promote alternatives to network investment</w:t>
      </w:r>
      <w:r>
        <w:t>—</w:t>
      </w:r>
      <w:r w:rsidRPr="00E426CB">
        <w:t xml:space="preserve">alternatives </w:t>
      </w:r>
      <w:r>
        <w:t>that</w:t>
      </w:r>
      <w:r w:rsidRPr="00E426CB">
        <w:t xml:space="preserve"> are not core to the</w:t>
      </w:r>
      <w:r>
        <w:t>ir</w:t>
      </w:r>
      <w:r w:rsidRPr="00E426CB">
        <w:t xml:space="preserve"> business and may not involve investment in assets.</w:t>
      </w:r>
    </w:p>
    <w:p w:rsidR="00E97D41" w:rsidRPr="00F77D06" w:rsidRDefault="00E97D41" w:rsidP="00F77D06">
      <w:pPr>
        <w:pStyle w:val="Heading2"/>
      </w:pPr>
      <w:r w:rsidRPr="00F77D06">
        <w:t xml:space="preserve">Power of choice </w:t>
      </w:r>
      <w:r w:rsidR="002C3755" w:rsidRPr="00F77D06">
        <w:t>reforms</w:t>
      </w:r>
      <w:r w:rsidR="00E279C6" w:rsidRPr="00F77D06">
        <w:t xml:space="preserve"> remain a priority</w:t>
      </w:r>
    </w:p>
    <w:p w:rsidR="002C3755" w:rsidRDefault="002C3755" w:rsidP="002C3755">
      <w:pPr>
        <w:pStyle w:val="AERbodytext"/>
      </w:pPr>
      <w:r>
        <w:t xml:space="preserve">The </w:t>
      </w:r>
      <w:r w:rsidR="00326AB5" w:rsidRPr="000442F4">
        <w:t>AEMC’s 2012 Power of Choice review</w:t>
      </w:r>
      <w:r w:rsidR="00326AB5">
        <w:t xml:space="preserve"> </w:t>
      </w:r>
      <w:r>
        <w:t>recognised that t</w:t>
      </w:r>
      <w:r w:rsidRPr="002C3755">
        <w:t>he Australian energy sector is going through a period of change and faces a number of major challenges.</w:t>
      </w:r>
      <w:r w:rsidR="00326AB5">
        <w:t xml:space="preserve"> </w:t>
      </w:r>
      <w:r w:rsidR="00394DDC">
        <w:t>T</w:t>
      </w:r>
      <w:r w:rsidR="00394DDC" w:rsidRPr="000442F4">
        <w:t>he review</w:t>
      </w:r>
      <w:r w:rsidR="00394DDC">
        <w:t xml:space="preserve"> set out a package of integrated reforms that aim to support the market conditions necessary to facilitate efficient </w:t>
      </w:r>
      <w:r w:rsidR="00394DDC" w:rsidRPr="000442F4">
        <w:t xml:space="preserve">demand-side participation in </w:t>
      </w:r>
      <w:r w:rsidR="00394DDC">
        <w:t>the National Electricity Market</w:t>
      </w:r>
      <w:r w:rsidR="00245421">
        <w:t xml:space="preserve"> as the next step of significant reforms to this sector</w:t>
      </w:r>
      <w:r w:rsidR="00394DDC">
        <w:t xml:space="preserve">. </w:t>
      </w:r>
      <w:r w:rsidR="004C7D6C">
        <w:t xml:space="preserve">The AEMC recommended a </w:t>
      </w:r>
      <w:r>
        <w:t xml:space="preserve">number of </w:t>
      </w:r>
      <w:r w:rsidR="00245421">
        <w:t xml:space="preserve">important </w:t>
      </w:r>
      <w:r w:rsidR="004C7D6C">
        <w:t>reforms to manage the transformation of the energy sector, namely</w:t>
      </w:r>
      <w:r>
        <w:t>:</w:t>
      </w:r>
    </w:p>
    <w:p w:rsidR="002C3755" w:rsidRDefault="00F16752" w:rsidP="006A491B">
      <w:pPr>
        <w:pStyle w:val="ListParagraph"/>
      </w:pPr>
      <w:proofErr w:type="gramStart"/>
      <w:r>
        <w:t>b</w:t>
      </w:r>
      <w:r w:rsidR="002C3755">
        <w:t>uilding</w:t>
      </w:r>
      <w:proofErr w:type="gramEnd"/>
      <w:r w:rsidR="002C3755">
        <w:t xml:space="preserve"> consumer awareness, education and engagement</w:t>
      </w:r>
    </w:p>
    <w:p w:rsidR="002C3755" w:rsidRDefault="00F16752" w:rsidP="002C3755">
      <w:pPr>
        <w:pStyle w:val="AERbodytext"/>
        <w:numPr>
          <w:ilvl w:val="0"/>
          <w:numId w:val="25"/>
        </w:numPr>
      </w:pPr>
      <w:r>
        <w:t>e</w:t>
      </w:r>
      <w:r w:rsidR="004C7D6C">
        <w:t>ngaging with consumers—</w:t>
      </w:r>
      <w:r w:rsidR="002C3755">
        <w:t>provision of energy management services to residential and small business consumers</w:t>
      </w:r>
    </w:p>
    <w:p w:rsidR="002C3755" w:rsidRDefault="00F16752" w:rsidP="002C3755">
      <w:pPr>
        <w:pStyle w:val="AERbodytext"/>
        <w:numPr>
          <w:ilvl w:val="0"/>
          <w:numId w:val="25"/>
        </w:numPr>
      </w:pPr>
      <w:r>
        <w:t>c</w:t>
      </w:r>
      <w:r w:rsidR="004C7D6C">
        <w:t>onsumer information—</w:t>
      </w:r>
      <w:r w:rsidR="002C3755">
        <w:t>access to electricity consumption data</w:t>
      </w:r>
    </w:p>
    <w:p w:rsidR="002C3755" w:rsidRDefault="00F16752" w:rsidP="002C3755">
      <w:pPr>
        <w:pStyle w:val="AERbodytext"/>
        <w:numPr>
          <w:ilvl w:val="0"/>
          <w:numId w:val="25"/>
        </w:numPr>
      </w:pPr>
      <w:r>
        <w:t>e</w:t>
      </w:r>
      <w:r w:rsidR="002C3755">
        <w:t>nabling technology (</w:t>
      </w:r>
      <w:proofErr w:type="spellStart"/>
      <w:r w:rsidR="002C3755">
        <w:t>ie</w:t>
      </w:r>
      <w:proofErr w:type="spellEnd"/>
      <w:r w:rsidR="002C3755">
        <w:t xml:space="preserve"> metering and metering services)</w:t>
      </w:r>
    </w:p>
    <w:p w:rsidR="002C3755" w:rsidRDefault="00F16752" w:rsidP="004C7D6C">
      <w:pPr>
        <w:pStyle w:val="AERbodytext"/>
        <w:numPr>
          <w:ilvl w:val="0"/>
          <w:numId w:val="25"/>
        </w:numPr>
      </w:pPr>
      <w:r>
        <w:t>d</w:t>
      </w:r>
      <w:r w:rsidR="004C7D6C" w:rsidRPr="004C7D6C">
        <w:t xml:space="preserve">emand-side participation </w:t>
      </w:r>
      <w:r w:rsidR="002C3755">
        <w:t>in wholesale electricity and ancillary services markets</w:t>
      </w:r>
    </w:p>
    <w:p w:rsidR="002C3755" w:rsidRDefault="00F16752" w:rsidP="002C3755">
      <w:pPr>
        <w:pStyle w:val="AERbodytext"/>
        <w:numPr>
          <w:ilvl w:val="0"/>
          <w:numId w:val="25"/>
        </w:numPr>
      </w:pPr>
      <w:r>
        <w:lastRenderedPageBreak/>
        <w:t>e</w:t>
      </w:r>
      <w:r w:rsidR="002C3755">
        <w:t>fficient and flexible pricing options for consumers</w:t>
      </w:r>
    </w:p>
    <w:p w:rsidR="002C3755" w:rsidRDefault="00F16752" w:rsidP="002C3755">
      <w:pPr>
        <w:pStyle w:val="AERbodytext"/>
        <w:numPr>
          <w:ilvl w:val="0"/>
          <w:numId w:val="25"/>
        </w:numPr>
      </w:pPr>
      <w:r>
        <w:t>d</w:t>
      </w:r>
      <w:r w:rsidR="002C3755">
        <w:t>istribution network incentives</w:t>
      </w:r>
    </w:p>
    <w:p w:rsidR="002C3755" w:rsidRDefault="00F16752" w:rsidP="002C3755">
      <w:pPr>
        <w:pStyle w:val="AERbodytext"/>
        <w:numPr>
          <w:ilvl w:val="0"/>
          <w:numId w:val="25"/>
        </w:numPr>
      </w:pPr>
      <w:r>
        <w:t>d</w:t>
      </w:r>
      <w:r w:rsidR="002C3755">
        <w:t>istributed generation</w:t>
      </w:r>
    </w:p>
    <w:p w:rsidR="00AE7114" w:rsidRDefault="00F16752" w:rsidP="002C3755">
      <w:pPr>
        <w:pStyle w:val="AERbodytext"/>
        <w:numPr>
          <w:ilvl w:val="0"/>
          <w:numId w:val="25"/>
        </w:numPr>
      </w:pPr>
      <w:proofErr w:type="gramStart"/>
      <w:r>
        <w:t>e</w:t>
      </w:r>
      <w:r w:rsidR="002C3755">
        <w:t>nergy</w:t>
      </w:r>
      <w:proofErr w:type="gramEnd"/>
      <w:r w:rsidR="002C3755">
        <w:t xml:space="preserve"> efficiency measures and polices that impact or</w:t>
      </w:r>
      <w:r w:rsidR="004C7D6C">
        <w:t xml:space="preserve"> seek to integrate with the NEM</w:t>
      </w:r>
      <w:r>
        <w:t>.</w:t>
      </w:r>
      <w:r w:rsidR="00E93AD6">
        <w:rPr>
          <w:rStyle w:val="FootnoteReference"/>
        </w:rPr>
        <w:footnoteReference w:id="3"/>
      </w:r>
    </w:p>
    <w:p w:rsidR="004C7D6C" w:rsidRDefault="001B37D6" w:rsidP="004C7D6C">
      <w:pPr>
        <w:pStyle w:val="AERbodytext"/>
      </w:pPr>
      <w:r>
        <w:t>It is note</w:t>
      </w:r>
      <w:r w:rsidR="007951E9">
        <w:t>d</w:t>
      </w:r>
      <w:r>
        <w:t xml:space="preserve"> that these recommendations have been accepted by the SCER and are now at varying stages of </w:t>
      </w:r>
      <w:r w:rsidR="004F7656">
        <w:t>progress</w:t>
      </w:r>
      <w:r>
        <w:t xml:space="preserve"> through rule changes or other actions by jurisdictional authorities. Some </w:t>
      </w:r>
      <w:r w:rsidR="004C7D6C">
        <w:t>recommendations will require ongoing work programs by relevant market bodies to consider details of implementation.</w:t>
      </w:r>
      <w:r w:rsidR="00AD7D73">
        <w:t xml:space="preserve"> </w:t>
      </w:r>
      <w:r w:rsidR="004C7D6C">
        <w:t xml:space="preserve">The scope of the reform program requires leadership in implementing the agreed changes to the market and regulatory arrangements. </w:t>
      </w:r>
      <w:r w:rsidR="00AD7D73">
        <w:t>As noted by the AEMC, t</w:t>
      </w:r>
      <w:r w:rsidR="004C7D6C">
        <w:t>he reforms should be implemented in a timely manner and be supported by an effective consumer awareness and education strategy.</w:t>
      </w:r>
      <w:r w:rsidR="00AD7D73">
        <w:rPr>
          <w:rStyle w:val="FootnoteReference"/>
        </w:rPr>
        <w:footnoteReference w:id="4"/>
      </w:r>
    </w:p>
    <w:p w:rsidR="0045792E" w:rsidRDefault="00245421" w:rsidP="00CC4C72">
      <w:pPr>
        <w:pStyle w:val="AERbodytext"/>
      </w:pPr>
      <w:r>
        <w:t xml:space="preserve">Given </w:t>
      </w:r>
      <w:r w:rsidR="004F7656">
        <w:t xml:space="preserve">we are still in </w:t>
      </w:r>
      <w:r>
        <w:t xml:space="preserve">the early stages of implementation of these </w:t>
      </w:r>
      <w:proofErr w:type="gramStart"/>
      <w:r>
        <w:t>reforms,</w:t>
      </w:r>
      <w:proofErr w:type="gramEnd"/>
      <w:r>
        <w:t xml:space="preserve"> </w:t>
      </w:r>
      <w:r w:rsidR="004F7656">
        <w:t xml:space="preserve">however, </w:t>
      </w:r>
      <w:r>
        <w:t xml:space="preserve">it is important </w:t>
      </w:r>
      <w:r w:rsidR="008600D7">
        <w:t xml:space="preserve">that </w:t>
      </w:r>
      <w:r>
        <w:t>t</w:t>
      </w:r>
      <w:r w:rsidR="00F16752">
        <w:t>he</w:t>
      </w:r>
      <w:r w:rsidR="004C7D6C">
        <w:t xml:space="preserve"> Power of Choice </w:t>
      </w:r>
      <w:r w:rsidR="00D72A23">
        <w:t xml:space="preserve">rule changes </w:t>
      </w:r>
      <w:r w:rsidR="004C7D6C" w:rsidRPr="00AF764E">
        <w:t xml:space="preserve">remain a </w:t>
      </w:r>
      <w:r w:rsidR="004C7D6C">
        <w:t xml:space="preserve">high </w:t>
      </w:r>
      <w:r w:rsidR="004C7D6C" w:rsidRPr="00AF764E">
        <w:t>priority for the Government.</w:t>
      </w:r>
      <w:r w:rsidR="004C7D6C">
        <w:t xml:space="preserve"> We consider t</w:t>
      </w:r>
      <w:r w:rsidR="00AF764E" w:rsidRPr="00AF764E">
        <w:t>here is the potential for significant benefits from improvements to pricing, demand-side management and advanced metering</w:t>
      </w:r>
      <w:r w:rsidR="00D72A23">
        <w:t>, to name three key areas</w:t>
      </w:r>
      <w:r w:rsidR="00862C55">
        <w:t xml:space="preserve">. </w:t>
      </w:r>
      <w:r w:rsidR="00E93AD6">
        <w:t>T</w:t>
      </w:r>
      <w:r w:rsidR="00862C55">
        <w:t xml:space="preserve">hese reforms </w:t>
      </w:r>
      <w:r w:rsidR="00D72A23">
        <w:t>will be significant in enabling the transformation of the industry towards a smart grid future</w:t>
      </w:r>
      <w:r w:rsidR="00E0451C">
        <w:t xml:space="preserve"> </w:t>
      </w:r>
      <w:r w:rsidR="008600D7">
        <w:t xml:space="preserve">(as </w:t>
      </w:r>
      <w:r w:rsidR="004F7656">
        <w:t>discussed above</w:t>
      </w:r>
      <w:r w:rsidR="008600D7">
        <w:t>)</w:t>
      </w:r>
      <w:r w:rsidR="004F7656">
        <w:t xml:space="preserve">, </w:t>
      </w:r>
      <w:r w:rsidR="00D72A23">
        <w:t xml:space="preserve">by </w:t>
      </w:r>
      <w:r w:rsidR="00AF764E">
        <w:t>reduc</w:t>
      </w:r>
      <w:r w:rsidR="00D72A23">
        <w:t>ing</w:t>
      </w:r>
      <w:r w:rsidR="00AF764E">
        <w:t xml:space="preserve"> market distortions</w:t>
      </w:r>
      <w:r w:rsidR="00F16752">
        <w:t>,</w:t>
      </w:r>
      <w:r w:rsidR="00AF764E" w:rsidRPr="00AF764E">
        <w:t xml:space="preserve"> lower</w:t>
      </w:r>
      <w:r w:rsidR="00E0451C">
        <w:t>ing</w:t>
      </w:r>
      <w:r w:rsidR="00AF764E" w:rsidRPr="00AF764E">
        <w:t xml:space="preserve"> overal</w:t>
      </w:r>
      <w:r w:rsidR="00E0451C">
        <w:t>l costs to consumers—</w:t>
      </w:r>
      <w:r w:rsidR="00AF764E" w:rsidRPr="00AF764E">
        <w:t>by empowering them to manage their energy use and save on energy costs by shifting their consumption away from peak times</w:t>
      </w:r>
      <w:r w:rsidR="00E0451C">
        <w:t>—</w:t>
      </w:r>
      <w:r w:rsidR="00D72A23">
        <w:t>and</w:t>
      </w:r>
      <w:r w:rsidR="00AF764E" w:rsidRPr="00AF764E">
        <w:t xml:space="preserve"> </w:t>
      </w:r>
      <w:r w:rsidR="00E0451C">
        <w:t>integrating</w:t>
      </w:r>
      <w:r w:rsidR="00C00F3E">
        <w:t xml:space="preserve"> small customers into the electricity market.</w:t>
      </w:r>
    </w:p>
    <w:p w:rsidR="009C6A03" w:rsidRDefault="00C65FC9" w:rsidP="008600D7">
      <w:pPr>
        <w:pStyle w:val="AERbodytext"/>
      </w:pPr>
      <w:r w:rsidRPr="000F5411">
        <w:t xml:space="preserve">As a priority, </w:t>
      </w:r>
      <w:r>
        <w:t xml:space="preserve">we consider </w:t>
      </w:r>
      <w:r w:rsidRPr="000F5411">
        <w:t>reforms to the way distribution businesses set and structure network prices are required.</w:t>
      </w:r>
      <w:r>
        <w:t xml:space="preserve"> First, cost-reflective pricing is an efficient way </w:t>
      </w:r>
      <w:r w:rsidRPr="009C5DAB">
        <w:t>of responding to rising peak demand</w:t>
      </w:r>
      <w:r>
        <w:t>.</w:t>
      </w:r>
      <w:r>
        <w:rPr>
          <w:rStyle w:val="FootnoteReference"/>
        </w:rPr>
        <w:footnoteReference w:id="5"/>
      </w:r>
      <w:r w:rsidRPr="009C5DAB">
        <w:t xml:space="preserve"> </w:t>
      </w:r>
      <w:r>
        <w:t>Second, a</w:t>
      </w:r>
      <w:r w:rsidRPr="009C5DAB">
        <w:t>s long as customers face tariffs that do not reflect local network congestion, they will not face the correct incentives for investment in and use of local generation and smart devices</w:t>
      </w:r>
      <w:r w:rsidR="00B9239E">
        <w:t>.</w:t>
      </w:r>
    </w:p>
    <w:p w:rsidR="00CC4C72" w:rsidRPr="00F77D06" w:rsidRDefault="00CC4C72" w:rsidP="00F77D06">
      <w:pPr>
        <w:pStyle w:val="Heading2"/>
      </w:pPr>
      <w:r w:rsidRPr="00F77D06">
        <w:t xml:space="preserve">Concluding </w:t>
      </w:r>
      <w:r w:rsidR="00BB2558" w:rsidRPr="00F77D06">
        <w:t>c</w:t>
      </w:r>
      <w:r w:rsidRPr="00F77D06">
        <w:t>omments</w:t>
      </w:r>
    </w:p>
    <w:p w:rsidR="00F16752" w:rsidRDefault="00142A40" w:rsidP="00BB2558">
      <w:pPr>
        <w:pStyle w:val="AERbodytext"/>
      </w:pPr>
      <w:r>
        <w:t xml:space="preserve">The energy sector </w:t>
      </w:r>
      <w:r w:rsidR="00CC4C72" w:rsidRPr="00BB2558">
        <w:t xml:space="preserve">is on the cusp of a </w:t>
      </w:r>
      <w:r>
        <w:t>transformation</w:t>
      </w:r>
      <w:r w:rsidR="00CC4C72" w:rsidRPr="00BB2558">
        <w:t xml:space="preserve">, offering </w:t>
      </w:r>
      <w:r>
        <w:t xml:space="preserve">both new challenges and opportunities </w:t>
      </w:r>
      <w:r w:rsidR="00CC4C72" w:rsidRPr="00BB2558">
        <w:t>for electricity consumers. From a paradigm of the one-way delivery of electric power to the location of the customer, we are seeing a shift to a new paradigm in which the primary service provided by the electric power industry is a platform for the trade of electricity by all customers</w:t>
      </w:r>
      <w:r w:rsidR="00F16752">
        <w:t>—</w:t>
      </w:r>
      <w:r w:rsidR="00CC4C72" w:rsidRPr="00BB2558">
        <w:t>large and small.</w:t>
      </w:r>
      <w:r w:rsidR="0045792E">
        <w:t xml:space="preserve"> </w:t>
      </w:r>
      <w:r w:rsidR="00D77CD8">
        <w:t xml:space="preserve">This environment creates even greater urgency for </w:t>
      </w:r>
      <w:r w:rsidR="0045792E" w:rsidRPr="0045792E">
        <w:t xml:space="preserve">a system of </w:t>
      </w:r>
      <w:r w:rsidR="00D77CD8">
        <w:t>pricing that moves toward cost-</w:t>
      </w:r>
      <w:r w:rsidR="0045792E" w:rsidRPr="0045792E">
        <w:t>reflectivity</w:t>
      </w:r>
      <w:r w:rsidR="00D77CD8">
        <w:t>.</w:t>
      </w:r>
      <w:r w:rsidR="00CC4C72" w:rsidRPr="00BB2558">
        <w:t xml:space="preserve"> </w:t>
      </w:r>
      <w:r w:rsidR="0045792E">
        <w:t>I</w:t>
      </w:r>
      <w:r w:rsidR="0045792E" w:rsidRPr="0045792E">
        <w:t xml:space="preserve">t is </w:t>
      </w:r>
      <w:r w:rsidR="00D77CD8">
        <w:t xml:space="preserve">also </w:t>
      </w:r>
      <w:r w:rsidR="0045792E" w:rsidRPr="0045792E">
        <w:t xml:space="preserve">important that </w:t>
      </w:r>
      <w:r w:rsidR="0045792E">
        <w:t xml:space="preserve">the regulatory settings </w:t>
      </w:r>
      <w:r w:rsidR="0045792E" w:rsidRPr="0045792E">
        <w:t>encourage and reward efficient innovation, adopt open systems to allow participation by multiple agents in activities that are not strictly monopoly activities and, most importantly, be open and communicate with customers and community about the issues, needs and benefits of reform.</w:t>
      </w:r>
    </w:p>
    <w:p w:rsidR="00B72C74" w:rsidRPr="00BB2558" w:rsidRDefault="00CC4C72" w:rsidP="00BB2558">
      <w:pPr>
        <w:pStyle w:val="AERbodytext"/>
      </w:pPr>
      <w:proofErr w:type="gramStart"/>
      <w:r w:rsidRPr="00BB2558">
        <w:t xml:space="preserve">The electricity industry of the future will likely look </w:t>
      </w:r>
      <w:r w:rsidR="00EA78DC">
        <w:t>quite</w:t>
      </w:r>
      <w:r w:rsidRPr="00BB2558">
        <w:t xml:space="preserve"> different to the electricity industry of today.</w:t>
      </w:r>
      <w:proofErr w:type="gramEnd"/>
      <w:r w:rsidRPr="00BB2558">
        <w:t xml:space="preserve"> </w:t>
      </w:r>
      <w:r w:rsidR="00EA78DC">
        <w:t xml:space="preserve">The Government’s </w:t>
      </w:r>
      <w:r w:rsidRPr="00BB2558">
        <w:t xml:space="preserve">White Paper process offers the </w:t>
      </w:r>
      <w:r w:rsidR="00D72A23">
        <w:t>opportunity</w:t>
      </w:r>
      <w:r w:rsidR="00D72A23" w:rsidRPr="00BB2558">
        <w:t xml:space="preserve"> </w:t>
      </w:r>
      <w:r w:rsidRPr="00BB2558">
        <w:t xml:space="preserve">to set the course for the industry </w:t>
      </w:r>
      <w:r w:rsidR="00394DDC">
        <w:t xml:space="preserve">over </w:t>
      </w:r>
      <w:r w:rsidR="00394DDC">
        <w:lastRenderedPageBreak/>
        <w:t xml:space="preserve">the next </w:t>
      </w:r>
      <w:r w:rsidR="00D72A23">
        <w:t>10</w:t>
      </w:r>
      <w:r w:rsidR="00E0451C">
        <w:t>–</w:t>
      </w:r>
      <w:r w:rsidR="00394DDC">
        <w:t>15 years or so</w:t>
      </w:r>
      <w:r w:rsidRPr="00BB2558">
        <w:t xml:space="preserve">. We encourage the </w:t>
      </w:r>
      <w:r w:rsidR="00142A40">
        <w:t>Panel</w:t>
      </w:r>
      <w:r w:rsidRPr="00BB2558">
        <w:t xml:space="preserve"> to take up this challenge of setting out a vision for the industry and a set of principles to be followed as we transition to the smart electricity grid of the future.</w:t>
      </w:r>
    </w:p>
    <w:p w:rsidR="004D5D21" w:rsidRPr="004105D3" w:rsidRDefault="004D5D21" w:rsidP="00454F26">
      <w:pPr>
        <w:pStyle w:val="AERbodytext"/>
        <w:spacing w:line="240" w:lineRule="auto"/>
        <w:rPr>
          <w:szCs w:val="20"/>
        </w:rPr>
      </w:pPr>
      <w:r w:rsidRPr="004105D3">
        <w:rPr>
          <w:szCs w:val="20"/>
        </w:rPr>
        <w:t>If you would like to discuss any aspect of this submission</w:t>
      </w:r>
      <w:r w:rsidR="004721F3" w:rsidRPr="004105D3">
        <w:rPr>
          <w:szCs w:val="20"/>
        </w:rPr>
        <w:t>,</w:t>
      </w:r>
      <w:r w:rsidRPr="004105D3">
        <w:rPr>
          <w:szCs w:val="20"/>
        </w:rPr>
        <w:t xml:space="preserve"> please contact </w:t>
      </w:r>
      <w:r w:rsidR="00217255">
        <w:rPr>
          <w:szCs w:val="20"/>
        </w:rPr>
        <w:t>Anthony Bell</w:t>
      </w:r>
      <w:r w:rsidRPr="004105D3">
        <w:rPr>
          <w:szCs w:val="20"/>
        </w:rPr>
        <w:t xml:space="preserve">, </w:t>
      </w:r>
      <w:r w:rsidR="00217255">
        <w:rPr>
          <w:szCs w:val="20"/>
        </w:rPr>
        <w:t>Director</w:t>
      </w:r>
      <w:r w:rsidRPr="004105D3">
        <w:rPr>
          <w:szCs w:val="20"/>
        </w:rPr>
        <w:t xml:space="preserve">, </w:t>
      </w:r>
      <w:r w:rsidR="00217255">
        <w:rPr>
          <w:szCs w:val="20"/>
        </w:rPr>
        <w:t>Regulatory Strategy and Coordination</w:t>
      </w:r>
      <w:r w:rsidRPr="004105D3">
        <w:rPr>
          <w:szCs w:val="20"/>
        </w:rPr>
        <w:t xml:space="preserve">, on (03) 9290 </w:t>
      </w:r>
      <w:r w:rsidR="00217255">
        <w:rPr>
          <w:szCs w:val="20"/>
        </w:rPr>
        <w:t>6914</w:t>
      </w:r>
      <w:r w:rsidR="005C7E87">
        <w:rPr>
          <w:szCs w:val="20"/>
        </w:rPr>
        <w:t>.</w:t>
      </w:r>
      <w:r w:rsidR="008D5D54">
        <w:rPr>
          <w:szCs w:val="20"/>
        </w:rPr>
        <w:t xml:space="preserve"> We welcome the opportunity to participate in the Energy White Paper process and intend to make </w:t>
      </w:r>
      <w:r w:rsidR="00D80009">
        <w:rPr>
          <w:szCs w:val="20"/>
        </w:rPr>
        <w:t>a further submission to the Green Paper</w:t>
      </w:r>
      <w:r w:rsidR="008D5D54">
        <w:rPr>
          <w:szCs w:val="20"/>
        </w:rPr>
        <w:t>.</w:t>
      </w:r>
      <w:r w:rsidR="00D80009">
        <w:rPr>
          <w:szCs w:val="20"/>
        </w:rPr>
        <w:br/>
      </w:r>
    </w:p>
    <w:p w:rsidR="004D5D21" w:rsidRPr="004105D3" w:rsidRDefault="004D5D21" w:rsidP="00454F26">
      <w:pPr>
        <w:pStyle w:val="AERbodytext"/>
        <w:spacing w:line="240" w:lineRule="auto"/>
        <w:rPr>
          <w:szCs w:val="20"/>
        </w:rPr>
      </w:pPr>
      <w:r w:rsidRPr="004105D3">
        <w:rPr>
          <w:szCs w:val="20"/>
        </w:rPr>
        <w:t>Yours sincerely</w:t>
      </w:r>
    </w:p>
    <w:p w:rsidR="00BE114E" w:rsidRDefault="007951E9" w:rsidP="00BE114E">
      <w:pPr>
        <w:pStyle w:val="AERbodytext"/>
        <w:spacing w:after="0" w:line="240" w:lineRule="auto"/>
        <w:rPr>
          <w:szCs w:val="20"/>
        </w:rPr>
      </w:pPr>
      <w:r>
        <w:rPr>
          <w:noProof/>
          <w:szCs w:val="20"/>
          <w:lang w:eastAsia="en-AU"/>
        </w:rPr>
        <w:drawing>
          <wp:inline distT="0" distB="0" distL="0" distR="0">
            <wp:extent cx="1506931" cy="60716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6847" cy="607127"/>
                    </a:xfrm>
                    <a:prstGeom prst="rect">
                      <a:avLst/>
                    </a:prstGeom>
                    <a:noFill/>
                    <a:ln>
                      <a:noFill/>
                    </a:ln>
                  </pic:spPr>
                </pic:pic>
              </a:graphicData>
            </a:graphic>
          </wp:inline>
        </w:drawing>
      </w:r>
      <w:r w:rsidR="00A56B7C">
        <w:rPr>
          <w:szCs w:val="20"/>
        </w:rPr>
        <w:br/>
      </w:r>
      <w:r w:rsidR="00EC1A23">
        <w:rPr>
          <w:szCs w:val="20"/>
        </w:rPr>
        <w:br/>
      </w:r>
      <w:r w:rsidR="00BE114E">
        <w:rPr>
          <w:szCs w:val="20"/>
        </w:rPr>
        <w:t>Andrew Reeves</w:t>
      </w:r>
    </w:p>
    <w:p w:rsidR="004D5D21" w:rsidRPr="004105D3" w:rsidRDefault="004D5D21" w:rsidP="00BE114E">
      <w:pPr>
        <w:pStyle w:val="AERbodytext"/>
        <w:spacing w:after="0" w:line="240" w:lineRule="auto"/>
        <w:rPr>
          <w:szCs w:val="20"/>
        </w:rPr>
      </w:pPr>
      <w:r w:rsidRPr="004105D3">
        <w:rPr>
          <w:szCs w:val="20"/>
        </w:rPr>
        <w:t>Chairman</w:t>
      </w:r>
    </w:p>
    <w:p w:rsidR="00B31FA3" w:rsidRPr="00D77DE8" w:rsidRDefault="004D5D21" w:rsidP="00BE114E">
      <w:pPr>
        <w:pStyle w:val="AERbodytext"/>
        <w:spacing w:after="0" w:line="240" w:lineRule="auto"/>
        <w:rPr>
          <w:rFonts w:cs="Gautami"/>
          <w:szCs w:val="20"/>
        </w:rPr>
      </w:pPr>
      <w:r w:rsidRPr="00D77DE8">
        <w:rPr>
          <w:szCs w:val="20"/>
        </w:rPr>
        <w:t>Australian Energy Regulator</w:t>
      </w:r>
    </w:p>
    <w:sectPr w:rsidR="00B31FA3" w:rsidRPr="00D77DE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D06" w:rsidRDefault="00F77D06" w:rsidP="009979A0">
      <w:pPr>
        <w:spacing w:after="0" w:line="240" w:lineRule="auto"/>
      </w:pPr>
      <w:r>
        <w:separator/>
      </w:r>
    </w:p>
  </w:endnote>
  <w:endnote w:type="continuationSeparator" w:id="0">
    <w:p w:rsidR="00F77D06" w:rsidRDefault="00F77D06" w:rsidP="0099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996826"/>
      <w:docPartObj>
        <w:docPartGallery w:val="Page Numbers (Bottom of Page)"/>
        <w:docPartUnique/>
      </w:docPartObj>
    </w:sdtPr>
    <w:sdtEndPr>
      <w:rPr>
        <w:noProof/>
      </w:rPr>
    </w:sdtEndPr>
    <w:sdtContent>
      <w:p w:rsidR="00F77D06" w:rsidRDefault="00F77D06">
        <w:pPr>
          <w:pStyle w:val="Footer"/>
          <w:jc w:val="right"/>
        </w:pPr>
        <w:r>
          <w:fldChar w:fldCharType="begin"/>
        </w:r>
        <w:r>
          <w:instrText xml:space="preserve"> PAGE   \* MERGEFORMAT </w:instrText>
        </w:r>
        <w:r>
          <w:fldChar w:fldCharType="separate"/>
        </w:r>
        <w:r w:rsidR="006A491B">
          <w:rPr>
            <w:noProof/>
          </w:rPr>
          <w:t>1</w:t>
        </w:r>
        <w:r>
          <w:rPr>
            <w:noProof/>
          </w:rPr>
          <w:fldChar w:fldCharType="end"/>
        </w:r>
      </w:p>
    </w:sdtContent>
  </w:sdt>
  <w:p w:rsidR="00F77D06" w:rsidRDefault="00F77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D06" w:rsidRDefault="00F77D06" w:rsidP="009979A0">
      <w:pPr>
        <w:spacing w:after="0" w:line="240" w:lineRule="auto"/>
      </w:pPr>
      <w:r>
        <w:separator/>
      </w:r>
    </w:p>
  </w:footnote>
  <w:footnote w:type="continuationSeparator" w:id="0">
    <w:p w:rsidR="00F77D06" w:rsidRDefault="00F77D06" w:rsidP="009979A0">
      <w:pPr>
        <w:spacing w:after="0" w:line="240" w:lineRule="auto"/>
      </w:pPr>
      <w:r>
        <w:continuationSeparator/>
      </w:r>
    </w:p>
  </w:footnote>
  <w:footnote w:id="1">
    <w:p w:rsidR="00F77D06" w:rsidRDefault="00F77D06" w:rsidP="00550BF5">
      <w:pPr>
        <w:pStyle w:val="FootnoteText"/>
      </w:pPr>
      <w:r>
        <w:rPr>
          <w:rStyle w:val="FootnoteReference"/>
        </w:rPr>
        <w:footnoteRef/>
      </w:r>
      <w:r>
        <w:t xml:space="preserve"> </w:t>
      </w:r>
      <w:r>
        <w:tab/>
      </w:r>
      <w:r w:rsidRPr="002D79D9">
        <w:t>We initiated our Better Regulation program in November 2012 to develop our approach to regulation under the new Rules. In late 2013, we published our final guidelines covering a number of aspects, including how we assess network expenditure proposals, encourage efficient spending by businesses, calculate the allowed return on assets, and engage consumers in the regulatory process. In short, we are improving both how energy network businesses are regulated and consumer engagement in our regulatory processes.</w:t>
      </w:r>
    </w:p>
  </w:footnote>
  <w:footnote w:id="2">
    <w:p w:rsidR="00F77D06" w:rsidRDefault="00F77D06" w:rsidP="00550BF5">
      <w:pPr>
        <w:pStyle w:val="FootnoteText"/>
      </w:pPr>
      <w:r>
        <w:rPr>
          <w:rStyle w:val="FootnoteReference"/>
        </w:rPr>
        <w:footnoteRef/>
      </w:r>
      <w:r>
        <w:t xml:space="preserve"> </w:t>
      </w:r>
      <w:r>
        <w:tab/>
      </w:r>
      <w:r w:rsidRPr="00FA36B2">
        <w:t>Our Better Regulation guidelines will apply to network businesses at their next determination. Electricity network prices will first begin to be affected by our new approach in New South Wales and the ACT with determinations for businesses in these jurisdictions commencing in early 2014. Following New South Wales and the ACT, we will implement the Better Regulation reforms in Queensland, South Australia and then Victoria. All energy networks will be subject to the new approach by 2018.</w:t>
      </w:r>
    </w:p>
  </w:footnote>
  <w:footnote w:id="3">
    <w:p w:rsidR="00F77D06" w:rsidRDefault="00F77D06">
      <w:pPr>
        <w:pStyle w:val="FootnoteText"/>
      </w:pPr>
      <w:r>
        <w:rPr>
          <w:rStyle w:val="FootnoteReference"/>
        </w:rPr>
        <w:footnoteRef/>
      </w:r>
      <w:r>
        <w:t xml:space="preserve"> </w:t>
      </w:r>
      <w:r>
        <w:tab/>
      </w:r>
      <w:proofErr w:type="gramStart"/>
      <w:r>
        <w:t xml:space="preserve">AEMC, </w:t>
      </w:r>
      <w:r w:rsidRPr="00AD7D73">
        <w:rPr>
          <w:i/>
        </w:rPr>
        <w:t>Power of Choice review</w:t>
      </w:r>
      <w:r>
        <w:t>, final report, implementation plan, p. 2.</w:t>
      </w:r>
      <w:proofErr w:type="gramEnd"/>
    </w:p>
  </w:footnote>
  <w:footnote w:id="4">
    <w:p w:rsidR="00F77D06" w:rsidRDefault="00F77D06">
      <w:pPr>
        <w:pStyle w:val="FootnoteText"/>
      </w:pPr>
      <w:r>
        <w:rPr>
          <w:rStyle w:val="FootnoteReference"/>
        </w:rPr>
        <w:footnoteRef/>
      </w:r>
      <w:r>
        <w:t xml:space="preserve"> </w:t>
      </w:r>
      <w:r>
        <w:tab/>
      </w:r>
      <w:proofErr w:type="gramStart"/>
      <w:r>
        <w:t>ibid, p. 2.</w:t>
      </w:r>
      <w:proofErr w:type="gramEnd"/>
    </w:p>
  </w:footnote>
  <w:footnote w:id="5">
    <w:p w:rsidR="00F77D06" w:rsidRDefault="00F77D06" w:rsidP="00C65FC9">
      <w:pPr>
        <w:pStyle w:val="FootnoteText"/>
      </w:pPr>
      <w:r>
        <w:rPr>
          <w:rStyle w:val="FootnoteReference"/>
        </w:rPr>
        <w:footnoteRef/>
      </w:r>
      <w:r>
        <w:t xml:space="preserve"> </w:t>
      </w:r>
      <w:r>
        <w:tab/>
      </w:r>
      <w:r w:rsidRPr="009C5DAB">
        <w:t>Network and generation capacity is based on meeting peak, not average demand. Peak demand growth has been a key driver of investment in generation and network capacity in the last five years. For example, in New South Wales, peak demand events occurring for less than 40</w:t>
      </w:r>
      <w:r>
        <w:t xml:space="preserve"> hours per year (or less than 1 </w:t>
      </w:r>
      <w:r w:rsidRPr="009C5DAB">
        <w:t>p</w:t>
      </w:r>
      <w:r>
        <w:t>er </w:t>
      </w:r>
      <w:r w:rsidRPr="009C5DAB">
        <w:t xml:space="preserve">cent of </w:t>
      </w:r>
      <w:r>
        <w:t>the time) account for around 25 per </w:t>
      </w:r>
      <w:r w:rsidRPr="009C5DAB">
        <w:t>cent of retail electricity bills, as estimated by the Productivity Commission in its 2013 into Electricity Ne</w:t>
      </w:r>
      <w:r>
        <w:t>twork Regulatory Frameworks (p. </w:t>
      </w:r>
      <w:r w:rsidRPr="009C5DAB">
        <w:t>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0F46"/>
    <w:multiLevelType w:val="hybridMultilevel"/>
    <w:tmpl w:val="5B44DCE4"/>
    <w:lvl w:ilvl="0" w:tplc="0C090005">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nsid w:val="0E8E0279"/>
    <w:multiLevelType w:val="multilevel"/>
    <w:tmpl w:val="0C09001D"/>
    <w:numStyleLink w:val="Bullet1"/>
  </w:abstractNum>
  <w:abstractNum w:abstractNumId="2">
    <w:nsid w:val="1D590613"/>
    <w:multiLevelType w:val="hybridMultilevel"/>
    <w:tmpl w:val="55DC5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590EBC"/>
    <w:multiLevelType w:val="hybridMultilevel"/>
    <w:tmpl w:val="982E9214"/>
    <w:lvl w:ilvl="0" w:tplc="9FECC680">
      <w:start w:val="1"/>
      <w:numFmt w:val="bullet"/>
      <w:lvlText w:val=""/>
      <w:lvlJc w:val="left"/>
      <w:pPr>
        <w:tabs>
          <w:tab w:val="num" w:pos="770"/>
        </w:tabs>
        <w:ind w:left="770" w:hanging="360"/>
      </w:pPr>
      <w:rPr>
        <w:rFonts w:ascii="Symbol" w:hAnsi="Symbol" w:hint="default"/>
      </w:rPr>
    </w:lvl>
    <w:lvl w:ilvl="1" w:tplc="0C090003" w:tentative="1">
      <w:start w:val="1"/>
      <w:numFmt w:val="bullet"/>
      <w:lvlText w:val="o"/>
      <w:lvlJc w:val="left"/>
      <w:pPr>
        <w:tabs>
          <w:tab w:val="num" w:pos="1490"/>
        </w:tabs>
        <w:ind w:left="1490" w:hanging="360"/>
      </w:pPr>
      <w:rPr>
        <w:rFonts w:ascii="Courier New" w:hAnsi="Courier New" w:hint="default"/>
      </w:rPr>
    </w:lvl>
    <w:lvl w:ilvl="2" w:tplc="0C090005" w:tentative="1">
      <w:start w:val="1"/>
      <w:numFmt w:val="bullet"/>
      <w:lvlText w:val=""/>
      <w:lvlJc w:val="left"/>
      <w:pPr>
        <w:tabs>
          <w:tab w:val="num" w:pos="2210"/>
        </w:tabs>
        <w:ind w:left="2210" w:hanging="360"/>
      </w:pPr>
      <w:rPr>
        <w:rFonts w:ascii="Wingdings" w:hAnsi="Wingdings" w:hint="default"/>
      </w:rPr>
    </w:lvl>
    <w:lvl w:ilvl="3" w:tplc="0C090001" w:tentative="1">
      <w:start w:val="1"/>
      <w:numFmt w:val="bullet"/>
      <w:lvlText w:val=""/>
      <w:lvlJc w:val="left"/>
      <w:pPr>
        <w:tabs>
          <w:tab w:val="num" w:pos="2930"/>
        </w:tabs>
        <w:ind w:left="2930" w:hanging="360"/>
      </w:pPr>
      <w:rPr>
        <w:rFonts w:ascii="Symbol" w:hAnsi="Symbol" w:hint="default"/>
      </w:rPr>
    </w:lvl>
    <w:lvl w:ilvl="4" w:tplc="0C090003" w:tentative="1">
      <w:start w:val="1"/>
      <w:numFmt w:val="bullet"/>
      <w:lvlText w:val="o"/>
      <w:lvlJc w:val="left"/>
      <w:pPr>
        <w:tabs>
          <w:tab w:val="num" w:pos="3650"/>
        </w:tabs>
        <w:ind w:left="3650" w:hanging="360"/>
      </w:pPr>
      <w:rPr>
        <w:rFonts w:ascii="Courier New" w:hAnsi="Courier New" w:hint="default"/>
      </w:rPr>
    </w:lvl>
    <w:lvl w:ilvl="5" w:tplc="0C090005" w:tentative="1">
      <w:start w:val="1"/>
      <w:numFmt w:val="bullet"/>
      <w:lvlText w:val=""/>
      <w:lvlJc w:val="left"/>
      <w:pPr>
        <w:tabs>
          <w:tab w:val="num" w:pos="4370"/>
        </w:tabs>
        <w:ind w:left="4370" w:hanging="360"/>
      </w:pPr>
      <w:rPr>
        <w:rFonts w:ascii="Wingdings" w:hAnsi="Wingdings" w:hint="default"/>
      </w:rPr>
    </w:lvl>
    <w:lvl w:ilvl="6" w:tplc="0C090001" w:tentative="1">
      <w:start w:val="1"/>
      <w:numFmt w:val="bullet"/>
      <w:lvlText w:val=""/>
      <w:lvlJc w:val="left"/>
      <w:pPr>
        <w:tabs>
          <w:tab w:val="num" w:pos="5090"/>
        </w:tabs>
        <w:ind w:left="5090" w:hanging="360"/>
      </w:pPr>
      <w:rPr>
        <w:rFonts w:ascii="Symbol" w:hAnsi="Symbol" w:hint="default"/>
      </w:rPr>
    </w:lvl>
    <w:lvl w:ilvl="7" w:tplc="0C090003" w:tentative="1">
      <w:start w:val="1"/>
      <w:numFmt w:val="bullet"/>
      <w:lvlText w:val="o"/>
      <w:lvlJc w:val="left"/>
      <w:pPr>
        <w:tabs>
          <w:tab w:val="num" w:pos="5810"/>
        </w:tabs>
        <w:ind w:left="5810" w:hanging="360"/>
      </w:pPr>
      <w:rPr>
        <w:rFonts w:ascii="Courier New" w:hAnsi="Courier New" w:hint="default"/>
      </w:rPr>
    </w:lvl>
    <w:lvl w:ilvl="8" w:tplc="0C090005" w:tentative="1">
      <w:start w:val="1"/>
      <w:numFmt w:val="bullet"/>
      <w:lvlText w:val=""/>
      <w:lvlJc w:val="left"/>
      <w:pPr>
        <w:tabs>
          <w:tab w:val="num" w:pos="6530"/>
        </w:tabs>
        <w:ind w:left="6530" w:hanging="360"/>
      </w:pPr>
      <w:rPr>
        <w:rFonts w:ascii="Wingdings" w:hAnsi="Wingdings" w:hint="default"/>
      </w:rPr>
    </w:lvl>
  </w:abstractNum>
  <w:abstractNum w:abstractNumId="4">
    <w:nsid w:val="346129CD"/>
    <w:multiLevelType w:val="hybridMultilevel"/>
    <w:tmpl w:val="CBF89C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nsid w:val="4BAA0693"/>
    <w:multiLevelType w:val="hybridMultilevel"/>
    <w:tmpl w:val="BE1A91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nsid w:val="51487971"/>
    <w:multiLevelType w:val="multilevel"/>
    <w:tmpl w:val="D8DA9C9E"/>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9C744FA"/>
    <w:multiLevelType w:val="hybridMultilevel"/>
    <w:tmpl w:val="DBD63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B0F43E4"/>
    <w:multiLevelType w:val="hybridMultilevel"/>
    <w:tmpl w:val="CBAE56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3915B51"/>
    <w:multiLevelType w:val="multilevel"/>
    <w:tmpl w:val="982E9214"/>
    <w:styleLink w:val="Bulet1"/>
    <w:lvl w:ilvl="0">
      <w:start w:val="1"/>
      <w:numFmt w:val="bullet"/>
      <w:lvlText w:val=""/>
      <w:lvlJc w:val="left"/>
      <w:pPr>
        <w:tabs>
          <w:tab w:val="num" w:pos="770"/>
        </w:tabs>
        <w:ind w:left="770" w:hanging="360"/>
      </w:pPr>
      <w:rPr>
        <w:rFonts w:ascii="Symbol" w:hAnsi="Symbol" w:hint="default"/>
      </w:rPr>
    </w:lvl>
    <w:lvl w:ilvl="1">
      <w:start w:val="1"/>
      <w:numFmt w:val="bullet"/>
      <w:lvlText w:val="o"/>
      <w:lvlJc w:val="left"/>
      <w:pPr>
        <w:tabs>
          <w:tab w:val="num" w:pos="1490"/>
        </w:tabs>
        <w:ind w:left="1490" w:hanging="360"/>
      </w:pPr>
      <w:rPr>
        <w:rFonts w:ascii="Courier New" w:hAnsi="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10">
    <w:nsid w:val="7EC40907"/>
    <w:multiLevelType w:val="multilevel"/>
    <w:tmpl w:val="982E9214"/>
    <w:numStyleLink w:val="Bulet1"/>
  </w:abstractNum>
  <w:abstractNum w:abstractNumId="11">
    <w:nsid w:val="7F6F1854"/>
    <w:multiLevelType w:val="hybridMultilevel"/>
    <w:tmpl w:val="0E821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F996B21"/>
    <w:multiLevelType w:val="multilevel"/>
    <w:tmpl w:val="0C09001D"/>
    <w:styleLink w:val="Bullet1"/>
    <w:lvl w:ilvl="0">
      <w:start w:val="1"/>
      <w:numFmt w:val="bullet"/>
      <w:lvlText w:val=""/>
      <w:lvlJc w:val="left"/>
      <w:pPr>
        <w:ind w:left="360" w:hanging="360"/>
      </w:pPr>
      <w:rPr>
        <w:rFonts w:ascii="Gautami" w:hAnsi="Gautami"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7"/>
  </w:num>
  <w:num w:numId="3">
    <w:abstractNumId w:val="11"/>
  </w:num>
  <w:num w:numId="4">
    <w:abstractNumId w:val="8"/>
  </w:num>
  <w:num w:numId="5">
    <w:abstractNumId w:val="6"/>
  </w:num>
  <w:num w:numId="6">
    <w:abstractNumId w:val="4"/>
  </w:num>
  <w:num w:numId="7">
    <w:abstractNumId w:val="5"/>
  </w:num>
  <w:num w:numId="8">
    <w:abstractNumId w:val="0"/>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3"/>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9"/>
  </w:num>
  <w:num w:numId="41">
    <w:abstractNumId w:val="10"/>
  </w:num>
  <w:num w:numId="42">
    <w:abstractNumId w:val="1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944\D14 15077  Energy White Paper - revised AER submission to issues paper - 11 February.DOCX"/>
  </w:docVars>
  <w:rsids>
    <w:rsidRoot w:val="00166324"/>
    <w:rsid w:val="00003A74"/>
    <w:rsid w:val="00004081"/>
    <w:rsid w:val="00032D49"/>
    <w:rsid w:val="000442F4"/>
    <w:rsid w:val="00052822"/>
    <w:rsid w:val="00063E70"/>
    <w:rsid w:val="00075CD9"/>
    <w:rsid w:val="00077672"/>
    <w:rsid w:val="00083D1D"/>
    <w:rsid w:val="000861E4"/>
    <w:rsid w:val="000B406B"/>
    <w:rsid w:val="000C117D"/>
    <w:rsid w:val="000E6D98"/>
    <w:rsid w:val="000F0940"/>
    <w:rsid w:val="000F3BEF"/>
    <w:rsid w:val="000F7905"/>
    <w:rsid w:val="001235CA"/>
    <w:rsid w:val="00142A40"/>
    <w:rsid w:val="00152451"/>
    <w:rsid w:val="00152D42"/>
    <w:rsid w:val="00154E55"/>
    <w:rsid w:val="001571FD"/>
    <w:rsid w:val="00166324"/>
    <w:rsid w:val="0017252F"/>
    <w:rsid w:val="00172DD5"/>
    <w:rsid w:val="00185D3D"/>
    <w:rsid w:val="0018632A"/>
    <w:rsid w:val="00196B62"/>
    <w:rsid w:val="001A2BE3"/>
    <w:rsid w:val="001A46AE"/>
    <w:rsid w:val="001B2A0F"/>
    <w:rsid w:val="001B37D6"/>
    <w:rsid w:val="001C10CD"/>
    <w:rsid w:val="001C7DA1"/>
    <w:rsid w:val="001E799C"/>
    <w:rsid w:val="002127E8"/>
    <w:rsid w:val="00217255"/>
    <w:rsid w:val="00220F52"/>
    <w:rsid w:val="00224E91"/>
    <w:rsid w:val="00233938"/>
    <w:rsid w:val="0024487C"/>
    <w:rsid w:val="00245421"/>
    <w:rsid w:val="002455E3"/>
    <w:rsid w:val="00251A96"/>
    <w:rsid w:val="00257759"/>
    <w:rsid w:val="00282F5D"/>
    <w:rsid w:val="002837B3"/>
    <w:rsid w:val="002A5E1F"/>
    <w:rsid w:val="002C086F"/>
    <w:rsid w:val="002C3755"/>
    <w:rsid w:val="002C5445"/>
    <w:rsid w:val="002C55BB"/>
    <w:rsid w:val="002C6648"/>
    <w:rsid w:val="002D79D9"/>
    <w:rsid w:val="002E21A3"/>
    <w:rsid w:val="002E2AFB"/>
    <w:rsid w:val="002E5A45"/>
    <w:rsid w:val="00311FE5"/>
    <w:rsid w:val="003229BF"/>
    <w:rsid w:val="00326AB5"/>
    <w:rsid w:val="00332668"/>
    <w:rsid w:val="00341791"/>
    <w:rsid w:val="00342A43"/>
    <w:rsid w:val="0034614A"/>
    <w:rsid w:val="003523A9"/>
    <w:rsid w:val="00367743"/>
    <w:rsid w:val="00371C94"/>
    <w:rsid w:val="00373ADA"/>
    <w:rsid w:val="00380487"/>
    <w:rsid w:val="00394DDC"/>
    <w:rsid w:val="003A5B4C"/>
    <w:rsid w:val="003C2819"/>
    <w:rsid w:val="003C3354"/>
    <w:rsid w:val="00406FC6"/>
    <w:rsid w:val="004105D3"/>
    <w:rsid w:val="00427F1A"/>
    <w:rsid w:val="004420B0"/>
    <w:rsid w:val="0045303F"/>
    <w:rsid w:val="00454F26"/>
    <w:rsid w:val="0045792E"/>
    <w:rsid w:val="00461388"/>
    <w:rsid w:val="00464281"/>
    <w:rsid w:val="004721F3"/>
    <w:rsid w:val="00474BAA"/>
    <w:rsid w:val="00485FF7"/>
    <w:rsid w:val="0049274B"/>
    <w:rsid w:val="004C7D6C"/>
    <w:rsid w:val="004D5D21"/>
    <w:rsid w:val="004E4A7D"/>
    <w:rsid w:val="004F6EB3"/>
    <w:rsid w:val="004F7656"/>
    <w:rsid w:val="005016B9"/>
    <w:rsid w:val="00515EB7"/>
    <w:rsid w:val="00520E35"/>
    <w:rsid w:val="0052793C"/>
    <w:rsid w:val="00530FE1"/>
    <w:rsid w:val="00545663"/>
    <w:rsid w:val="0054631C"/>
    <w:rsid w:val="00550BF5"/>
    <w:rsid w:val="00553E5D"/>
    <w:rsid w:val="005558F7"/>
    <w:rsid w:val="00555B66"/>
    <w:rsid w:val="00556440"/>
    <w:rsid w:val="0056576E"/>
    <w:rsid w:val="00571B25"/>
    <w:rsid w:val="00580E56"/>
    <w:rsid w:val="00581BEC"/>
    <w:rsid w:val="00584108"/>
    <w:rsid w:val="005918D8"/>
    <w:rsid w:val="00592979"/>
    <w:rsid w:val="00592BE1"/>
    <w:rsid w:val="00597568"/>
    <w:rsid w:val="005C3F4B"/>
    <w:rsid w:val="005C7E87"/>
    <w:rsid w:val="005D393A"/>
    <w:rsid w:val="005E7902"/>
    <w:rsid w:val="005F0F5F"/>
    <w:rsid w:val="005F7A82"/>
    <w:rsid w:val="00604BEE"/>
    <w:rsid w:val="006159C1"/>
    <w:rsid w:val="00631410"/>
    <w:rsid w:val="006468CE"/>
    <w:rsid w:val="00652410"/>
    <w:rsid w:val="006612B8"/>
    <w:rsid w:val="006801FF"/>
    <w:rsid w:val="00684497"/>
    <w:rsid w:val="006A491B"/>
    <w:rsid w:val="006A7392"/>
    <w:rsid w:val="006A789F"/>
    <w:rsid w:val="006A7E74"/>
    <w:rsid w:val="006B78C0"/>
    <w:rsid w:val="006D4DC9"/>
    <w:rsid w:val="006F2045"/>
    <w:rsid w:val="00700F5E"/>
    <w:rsid w:val="007157F4"/>
    <w:rsid w:val="007162E1"/>
    <w:rsid w:val="00722392"/>
    <w:rsid w:val="00730E64"/>
    <w:rsid w:val="00737807"/>
    <w:rsid w:val="00737809"/>
    <w:rsid w:val="00737F2D"/>
    <w:rsid w:val="0074091B"/>
    <w:rsid w:val="00794092"/>
    <w:rsid w:val="007951E9"/>
    <w:rsid w:val="007B0509"/>
    <w:rsid w:val="007B4817"/>
    <w:rsid w:val="007C77F9"/>
    <w:rsid w:val="00824D44"/>
    <w:rsid w:val="00835E7D"/>
    <w:rsid w:val="00835FCB"/>
    <w:rsid w:val="008444E5"/>
    <w:rsid w:val="008513BC"/>
    <w:rsid w:val="008525CF"/>
    <w:rsid w:val="008600D7"/>
    <w:rsid w:val="00862C55"/>
    <w:rsid w:val="0088701F"/>
    <w:rsid w:val="008C27A7"/>
    <w:rsid w:val="008D5D54"/>
    <w:rsid w:val="008E0F37"/>
    <w:rsid w:val="008F2765"/>
    <w:rsid w:val="00937826"/>
    <w:rsid w:val="009459A9"/>
    <w:rsid w:val="00950608"/>
    <w:rsid w:val="0095276C"/>
    <w:rsid w:val="00955EFA"/>
    <w:rsid w:val="0096379A"/>
    <w:rsid w:val="00976538"/>
    <w:rsid w:val="009832CE"/>
    <w:rsid w:val="009878E5"/>
    <w:rsid w:val="009979A0"/>
    <w:rsid w:val="009B7159"/>
    <w:rsid w:val="009C0E22"/>
    <w:rsid w:val="009C46CA"/>
    <w:rsid w:val="009C6A03"/>
    <w:rsid w:val="009E032A"/>
    <w:rsid w:val="00A064A8"/>
    <w:rsid w:val="00A32237"/>
    <w:rsid w:val="00A417F5"/>
    <w:rsid w:val="00A44DCF"/>
    <w:rsid w:val="00A462C8"/>
    <w:rsid w:val="00A52CB3"/>
    <w:rsid w:val="00A56B7C"/>
    <w:rsid w:val="00A77688"/>
    <w:rsid w:val="00A903EE"/>
    <w:rsid w:val="00A96E4A"/>
    <w:rsid w:val="00A97DD7"/>
    <w:rsid w:val="00AD1D40"/>
    <w:rsid w:val="00AD7D73"/>
    <w:rsid w:val="00AE2066"/>
    <w:rsid w:val="00AE7114"/>
    <w:rsid w:val="00AF5C38"/>
    <w:rsid w:val="00AF764E"/>
    <w:rsid w:val="00B02267"/>
    <w:rsid w:val="00B15872"/>
    <w:rsid w:val="00B256B7"/>
    <w:rsid w:val="00B266EB"/>
    <w:rsid w:val="00B277DC"/>
    <w:rsid w:val="00B31FA3"/>
    <w:rsid w:val="00B365C0"/>
    <w:rsid w:val="00B6642C"/>
    <w:rsid w:val="00B72C74"/>
    <w:rsid w:val="00B81193"/>
    <w:rsid w:val="00B81AD7"/>
    <w:rsid w:val="00B9239E"/>
    <w:rsid w:val="00B95CAE"/>
    <w:rsid w:val="00BB2558"/>
    <w:rsid w:val="00BC7358"/>
    <w:rsid w:val="00BD0BBD"/>
    <w:rsid w:val="00BD1289"/>
    <w:rsid w:val="00BD68B7"/>
    <w:rsid w:val="00BE114E"/>
    <w:rsid w:val="00BE22CA"/>
    <w:rsid w:val="00BE6DC0"/>
    <w:rsid w:val="00BF7ACA"/>
    <w:rsid w:val="00C00F3E"/>
    <w:rsid w:val="00C01B68"/>
    <w:rsid w:val="00C0724E"/>
    <w:rsid w:val="00C110AB"/>
    <w:rsid w:val="00C16DF8"/>
    <w:rsid w:val="00C2286A"/>
    <w:rsid w:val="00C43168"/>
    <w:rsid w:val="00C501FC"/>
    <w:rsid w:val="00C63842"/>
    <w:rsid w:val="00C65FC9"/>
    <w:rsid w:val="00C72A73"/>
    <w:rsid w:val="00C843D8"/>
    <w:rsid w:val="00C85AA8"/>
    <w:rsid w:val="00C87141"/>
    <w:rsid w:val="00CA5BAC"/>
    <w:rsid w:val="00CC0F5E"/>
    <w:rsid w:val="00CC4C72"/>
    <w:rsid w:val="00CD202E"/>
    <w:rsid w:val="00CD2231"/>
    <w:rsid w:val="00CE02C2"/>
    <w:rsid w:val="00CE1B76"/>
    <w:rsid w:val="00CF405A"/>
    <w:rsid w:val="00D16780"/>
    <w:rsid w:val="00D17035"/>
    <w:rsid w:val="00D20CA4"/>
    <w:rsid w:val="00D24BF3"/>
    <w:rsid w:val="00D26FCE"/>
    <w:rsid w:val="00D35E5F"/>
    <w:rsid w:val="00D447D1"/>
    <w:rsid w:val="00D66017"/>
    <w:rsid w:val="00D70B34"/>
    <w:rsid w:val="00D72A23"/>
    <w:rsid w:val="00D77CD8"/>
    <w:rsid w:val="00D77DE8"/>
    <w:rsid w:val="00D80009"/>
    <w:rsid w:val="00DB77CC"/>
    <w:rsid w:val="00DC1AA7"/>
    <w:rsid w:val="00DC2AB2"/>
    <w:rsid w:val="00DE1D06"/>
    <w:rsid w:val="00DE2512"/>
    <w:rsid w:val="00DE45AE"/>
    <w:rsid w:val="00DF0B96"/>
    <w:rsid w:val="00DF175F"/>
    <w:rsid w:val="00DF5329"/>
    <w:rsid w:val="00E0451C"/>
    <w:rsid w:val="00E0770E"/>
    <w:rsid w:val="00E279C6"/>
    <w:rsid w:val="00E412DC"/>
    <w:rsid w:val="00E426CB"/>
    <w:rsid w:val="00E52D1E"/>
    <w:rsid w:val="00E55F9B"/>
    <w:rsid w:val="00E65188"/>
    <w:rsid w:val="00E7160B"/>
    <w:rsid w:val="00E74C37"/>
    <w:rsid w:val="00E75515"/>
    <w:rsid w:val="00E8474B"/>
    <w:rsid w:val="00E936BD"/>
    <w:rsid w:val="00E93AD6"/>
    <w:rsid w:val="00E97D41"/>
    <w:rsid w:val="00EA2101"/>
    <w:rsid w:val="00EA4283"/>
    <w:rsid w:val="00EA78DC"/>
    <w:rsid w:val="00EB0236"/>
    <w:rsid w:val="00EC1A23"/>
    <w:rsid w:val="00F11F1B"/>
    <w:rsid w:val="00F132B4"/>
    <w:rsid w:val="00F16752"/>
    <w:rsid w:val="00F242A4"/>
    <w:rsid w:val="00F27AA4"/>
    <w:rsid w:val="00F5240A"/>
    <w:rsid w:val="00F56449"/>
    <w:rsid w:val="00F60755"/>
    <w:rsid w:val="00F64A87"/>
    <w:rsid w:val="00F745A9"/>
    <w:rsid w:val="00F77D06"/>
    <w:rsid w:val="00F82DC7"/>
    <w:rsid w:val="00FA617D"/>
    <w:rsid w:val="00FA62C5"/>
    <w:rsid w:val="00FB0F0D"/>
    <w:rsid w:val="00FB4924"/>
    <w:rsid w:val="00FB7F8B"/>
    <w:rsid w:val="00FC1DAE"/>
    <w:rsid w:val="00FC3279"/>
    <w:rsid w:val="00FC4CAA"/>
    <w:rsid w:val="00FD0DB1"/>
    <w:rsid w:val="00FF4F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D7"/>
  </w:style>
  <w:style w:type="paragraph" w:styleId="Heading2">
    <w:name w:val="heading 2"/>
    <w:basedOn w:val="Normal"/>
    <w:next w:val="Normal"/>
    <w:link w:val="Heading2Char"/>
    <w:uiPriority w:val="9"/>
    <w:unhideWhenUsed/>
    <w:qFormat/>
    <w:rsid w:val="00F77D06"/>
    <w:pPr>
      <w:keepNext/>
      <w:keepLines/>
      <w:spacing w:before="200" w:after="240"/>
      <w:outlineLvl w:val="1"/>
    </w:pPr>
    <w:rPr>
      <w:rFonts w:ascii="Gautami" w:eastAsiaTheme="majorEastAsia" w:hAnsi="Gautami"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6324"/>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063E70"/>
    <w:pPr>
      <w:ind w:left="720"/>
      <w:contextualSpacing/>
    </w:pPr>
  </w:style>
  <w:style w:type="paragraph" w:customStyle="1" w:styleId="Pa82">
    <w:name w:val="Pa8+2"/>
    <w:basedOn w:val="Default"/>
    <w:next w:val="Default"/>
    <w:uiPriority w:val="99"/>
    <w:rsid w:val="00C72A73"/>
    <w:pPr>
      <w:spacing w:line="401" w:lineRule="atLeast"/>
    </w:pPr>
    <w:rPr>
      <w:rFonts w:ascii="HelveticaNeueLT Std" w:hAnsi="HelveticaNeueLT Std" w:cstheme="minorBidi"/>
      <w:color w:val="auto"/>
    </w:rPr>
  </w:style>
  <w:style w:type="paragraph" w:customStyle="1" w:styleId="Pa8">
    <w:name w:val="Pa8"/>
    <w:basedOn w:val="Default"/>
    <w:next w:val="Default"/>
    <w:uiPriority w:val="99"/>
    <w:rsid w:val="00580E56"/>
    <w:pPr>
      <w:spacing w:line="171" w:lineRule="atLeast"/>
    </w:pPr>
    <w:rPr>
      <w:rFonts w:ascii="HelveticaNeueLT Std Lt" w:hAnsi="HelveticaNeueLT Std Lt" w:cstheme="minorBidi"/>
      <w:color w:val="auto"/>
    </w:rPr>
  </w:style>
  <w:style w:type="paragraph" w:customStyle="1" w:styleId="AERbodytext">
    <w:name w:val="AER body text"/>
    <w:link w:val="AERbodytextChar"/>
    <w:qFormat/>
    <w:rsid w:val="004D5D21"/>
    <w:pPr>
      <w:spacing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4D5D21"/>
    <w:pPr>
      <w:numPr>
        <w:ilvl w:val="1"/>
      </w:numPr>
      <w:spacing w:after="200"/>
      <w:ind w:left="1440" w:hanging="360"/>
    </w:pPr>
  </w:style>
  <w:style w:type="paragraph" w:customStyle="1" w:styleId="AERnumberedlistsecondstyle">
    <w:name w:val="AER numbered list (second style)"/>
    <w:basedOn w:val="AERnumberedlistfirststyle"/>
    <w:qFormat/>
    <w:rsid w:val="004D5D21"/>
    <w:pPr>
      <w:numPr>
        <w:ilvl w:val="2"/>
      </w:numPr>
      <w:ind w:left="2160" w:hanging="360"/>
    </w:pPr>
  </w:style>
  <w:style w:type="paragraph" w:customStyle="1" w:styleId="AERnumberedlistthirdstyle">
    <w:name w:val="AER numbered list (third style)"/>
    <w:basedOn w:val="AERnumberedlistsecondstyle"/>
    <w:qFormat/>
    <w:rsid w:val="004D5D21"/>
    <w:pPr>
      <w:numPr>
        <w:ilvl w:val="3"/>
      </w:numPr>
      <w:ind w:left="2880" w:hanging="360"/>
    </w:pPr>
  </w:style>
  <w:style w:type="numbering" w:customStyle="1" w:styleId="AERnumberedlist">
    <w:name w:val="AER numbered list"/>
    <w:uiPriority w:val="99"/>
    <w:rsid w:val="004D5D21"/>
    <w:pPr>
      <w:numPr>
        <w:numId w:val="5"/>
      </w:numPr>
    </w:pPr>
  </w:style>
  <w:style w:type="character" w:customStyle="1" w:styleId="AERbodytextChar">
    <w:name w:val="AER body text Char"/>
    <w:basedOn w:val="DefaultParagraphFont"/>
    <w:link w:val="AERbodytext"/>
    <w:rsid w:val="004D5D21"/>
    <w:rPr>
      <w:rFonts w:ascii="Gautami" w:eastAsia="Times New Roman" w:hAnsi="Gautami" w:cs="Times New Roman"/>
      <w:sz w:val="20"/>
      <w:szCs w:val="24"/>
    </w:rPr>
  </w:style>
  <w:style w:type="paragraph" w:styleId="BalloonText">
    <w:name w:val="Balloon Text"/>
    <w:basedOn w:val="Normal"/>
    <w:link w:val="BalloonTextChar"/>
    <w:uiPriority w:val="99"/>
    <w:semiHidden/>
    <w:unhideWhenUsed/>
    <w:rsid w:val="00FB0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F0D"/>
    <w:rPr>
      <w:rFonts w:ascii="Tahoma" w:hAnsi="Tahoma" w:cs="Tahoma"/>
      <w:sz w:val="16"/>
      <w:szCs w:val="16"/>
    </w:rPr>
  </w:style>
  <w:style w:type="character" w:styleId="CommentReference">
    <w:name w:val="annotation reference"/>
    <w:basedOn w:val="DefaultParagraphFont"/>
    <w:uiPriority w:val="99"/>
    <w:semiHidden/>
    <w:unhideWhenUsed/>
    <w:rsid w:val="00556440"/>
    <w:rPr>
      <w:sz w:val="16"/>
      <w:szCs w:val="16"/>
    </w:rPr>
  </w:style>
  <w:style w:type="paragraph" w:styleId="CommentText">
    <w:name w:val="annotation text"/>
    <w:basedOn w:val="Normal"/>
    <w:link w:val="CommentTextChar"/>
    <w:uiPriority w:val="99"/>
    <w:semiHidden/>
    <w:unhideWhenUsed/>
    <w:rsid w:val="00556440"/>
    <w:pPr>
      <w:spacing w:line="240" w:lineRule="auto"/>
    </w:pPr>
    <w:rPr>
      <w:sz w:val="20"/>
      <w:szCs w:val="20"/>
    </w:rPr>
  </w:style>
  <w:style w:type="character" w:customStyle="1" w:styleId="CommentTextChar">
    <w:name w:val="Comment Text Char"/>
    <w:basedOn w:val="DefaultParagraphFont"/>
    <w:link w:val="CommentText"/>
    <w:uiPriority w:val="99"/>
    <w:semiHidden/>
    <w:rsid w:val="00556440"/>
    <w:rPr>
      <w:sz w:val="20"/>
      <w:szCs w:val="20"/>
    </w:rPr>
  </w:style>
  <w:style w:type="paragraph" w:styleId="CommentSubject">
    <w:name w:val="annotation subject"/>
    <w:basedOn w:val="CommentText"/>
    <w:next w:val="CommentText"/>
    <w:link w:val="CommentSubjectChar"/>
    <w:uiPriority w:val="99"/>
    <w:semiHidden/>
    <w:unhideWhenUsed/>
    <w:rsid w:val="00556440"/>
    <w:rPr>
      <w:b/>
      <w:bCs/>
    </w:rPr>
  </w:style>
  <w:style w:type="character" w:customStyle="1" w:styleId="CommentSubjectChar">
    <w:name w:val="Comment Subject Char"/>
    <w:basedOn w:val="CommentTextChar"/>
    <w:link w:val="CommentSubject"/>
    <w:uiPriority w:val="99"/>
    <w:semiHidden/>
    <w:rsid w:val="00556440"/>
    <w:rPr>
      <w:b/>
      <w:bCs/>
      <w:sz w:val="20"/>
      <w:szCs w:val="20"/>
    </w:rPr>
  </w:style>
  <w:style w:type="paragraph" w:styleId="FootnoteText">
    <w:name w:val="footnote text"/>
    <w:basedOn w:val="Normal"/>
    <w:link w:val="FootnoteTextChar"/>
    <w:uiPriority w:val="99"/>
    <w:semiHidden/>
    <w:unhideWhenUsed/>
    <w:rsid w:val="009979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79A0"/>
    <w:rPr>
      <w:sz w:val="20"/>
      <w:szCs w:val="20"/>
    </w:rPr>
  </w:style>
  <w:style w:type="character" w:styleId="FootnoteReference">
    <w:name w:val="footnote reference"/>
    <w:basedOn w:val="DefaultParagraphFont"/>
    <w:uiPriority w:val="99"/>
    <w:semiHidden/>
    <w:unhideWhenUsed/>
    <w:rsid w:val="009979A0"/>
    <w:rPr>
      <w:vertAlign w:val="superscript"/>
    </w:rPr>
  </w:style>
  <w:style w:type="paragraph" w:styleId="Revision">
    <w:name w:val="Revision"/>
    <w:hidden/>
    <w:uiPriority w:val="99"/>
    <w:semiHidden/>
    <w:rsid w:val="0088701F"/>
    <w:pPr>
      <w:spacing w:after="0" w:line="240" w:lineRule="auto"/>
    </w:pPr>
  </w:style>
  <w:style w:type="character" w:styleId="Hyperlink">
    <w:name w:val="Hyperlink"/>
    <w:basedOn w:val="DefaultParagraphFont"/>
    <w:uiPriority w:val="99"/>
    <w:unhideWhenUsed/>
    <w:rsid w:val="006A7E74"/>
    <w:rPr>
      <w:color w:val="0000FF" w:themeColor="hyperlink"/>
      <w:u w:val="single"/>
    </w:rPr>
  </w:style>
  <w:style w:type="character" w:styleId="FollowedHyperlink">
    <w:name w:val="FollowedHyperlink"/>
    <w:basedOn w:val="DefaultParagraphFont"/>
    <w:uiPriority w:val="99"/>
    <w:semiHidden/>
    <w:unhideWhenUsed/>
    <w:rsid w:val="00FB4924"/>
    <w:rPr>
      <w:color w:val="800080" w:themeColor="followedHyperlink"/>
      <w:u w:val="single"/>
    </w:rPr>
  </w:style>
  <w:style w:type="paragraph" w:styleId="EndnoteText">
    <w:name w:val="endnote text"/>
    <w:basedOn w:val="Normal"/>
    <w:link w:val="EndnoteTextChar"/>
    <w:uiPriority w:val="99"/>
    <w:semiHidden/>
    <w:unhideWhenUsed/>
    <w:rsid w:val="00FC32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3279"/>
    <w:rPr>
      <w:sz w:val="20"/>
      <w:szCs w:val="20"/>
    </w:rPr>
  </w:style>
  <w:style w:type="character" w:styleId="EndnoteReference">
    <w:name w:val="endnote reference"/>
    <w:basedOn w:val="DefaultParagraphFont"/>
    <w:uiPriority w:val="99"/>
    <w:semiHidden/>
    <w:unhideWhenUsed/>
    <w:rsid w:val="00FC3279"/>
    <w:rPr>
      <w:vertAlign w:val="superscript"/>
    </w:rPr>
  </w:style>
  <w:style w:type="paragraph" w:styleId="Quote">
    <w:name w:val="Quote"/>
    <w:basedOn w:val="Normal"/>
    <w:next w:val="Normal"/>
    <w:link w:val="QuoteChar"/>
    <w:uiPriority w:val="29"/>
    <w:qFormat/>
    <w:rsid w:val="00B365C0"/>
    <w:rPr>
      <w:i/>
      <w:iCs/>
      <w:color w:val="000000" w:themeColor="text1"/>
    </w:rPr>
  </w:style>
  <w:style w:type="character" w:customStyle="1" w:styleId="QuoteChar">
    <w:name w:val="Quote Char"/>
    <w:basedOn w:val="DefaultParagraphFont"/>
    <w:link w:val="Quote"/>
    <w:uiPriority w:val="29"/>
    <w:rsid w:val="00B365C0"/>
    <w:rPr>
      <w:i/>
      <w:iCs/>
      <w:color w:val="000000" w:themeColor="text1"/>
    </w:rPr>
  </w:style>
  <w:style w:type="paragraph" w:styleId="IntenseQuote">
    <w:name w:val="Intense Quote"/>
    <w:basedOn w:val="Normal"/>
    <w:next w:val="Normal"/>
    <w:link w:val="IntenseQuoteChar"/>
    <w:uiPriority w:val="30"/>
    <w:qFormat/>
    <w:rsid w:val="00B365C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65C0"/>
    <w:rPr>
      <w:b/>
      <w:bCs/>
      <w:i/>
      <w:iCs/>
      <w:color w:val="4F81BD" w:themeColor="accent1"/>
    </w:rPr>
  </w:style>
  <w:style w:type="paragraph" w:styleId="Header">
    <w:name w:val="header"/>
    <w:basedOn w:val="Normal"/>
    <w:link w:val="HeaderChar"/>
    <w:uiPriority w:val="99"/>
    <w:unhideWhenUsed/>
    <w:rsid w:val="00474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BAA"/>
  </w:style>
  <w:style w:type="paragraph" w:styleId="Footer">
    <w:name w:val="footer"/>
    <w:basedOn w:val="Normal"/>
    <w:link w:val="FooterChar"/>
    <w:uiPriority w:val="99"/>
    <w:unhideWhenUsed/>
    <w:rsid w:val="00474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BAA"/>
  </w:style>
  <w:style w:type="paragraph" w:customStyle="1" w:styleId="AERquote">
    <w:name w:val="AER quote"/>
    <w:basedOn w:val="Normal"/>
    <w:next w:val="AERbodytext"/>
    <w:rsid w:val="00E412DC"/>
    <w:pPr>
      <w:spacing w:after="160" w:line="288" w:lineRule="auto"/>
      <w:ind w:left="357" w:right="1077"/>
      <w:jc w:val="both"/>
    </w:pPr>
    <w:rPr>
      <w:rFonts w:ascii="Gautami" w:eastAsia="Times New Roman" w:hAnsi="Gautami" w:cs="Times New Roman"/>
      <w:color w:val="000000"/>
      <w:sz w:val="16"/>
      <w:szCs w:val="24"/>
    </w:rPr>
  </w:style>
  <w:style w:type="character" w:customStyle="1" w:styleId="Heading2Char">
    <w:name w:val="Heading 2 Char"/>
    <w:basedOn w:val="DefaultParagraphFont"/>
    <w:link w:val="Heading2"/>
    <w:uiPriority w:val="9"/>
    <w:rsid w:val="00F77D06"/>
    <w:rPr>
      <w:rFonts w:ascii="Gautami" w:eastAsiaTheme="majorEastAsia" w:hAnsi="Gautami" w:cstheme="majorBidi"/>
      <w:b/>
      <w:bCs/>
      <w:sz w:val="20"/>
      <w:szCs w:val="26"/>
    </w:rPr>
  </w:style>
  <w:style w:type="numbering" w:customStyle="1" w:styleId="Bulet1">
    <w:name w:val="Bulet 1"/>
    <w:basedOn w:val="NoList"/>
    <w:uiPriority w:val="99"/>
    <w:rsid w:val="006A491B"/>
    <w:pPr>
      <w:numPr>
        <w:numId w:val="40"/>
      </w:numPr>
    </w:pPr>
  </w:style>
  <w:style w:type="numbering" w:customStyle="1" w:styleId="Bullet1">
    <w:name w:val="Bullet 1"/>
    <w:basedOn w:val="Bulet1"/>
    <w:uiPriority w:val="99"/>
    <w:rsid w:val="006A491B"/>
    <w:pPr>
      <w:numPr>
        <w:numId w:val="4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D7"/>
  </w:style>
  <w:style w:type="paragraph" w:styleId="Heading2">
    <w:name w:val="heading 2"/>
    <w:basedOn w:val="Normal"/>
    <w:next w:val="Normal"/>
    <w:link w:val="Heading2Char"/>
    <w:uiPriority w:val="9"/>
    <w:unhideWhenUsed/>
    <w:qFormat/>
    <w:rsid w:val="00F77D06"/>
    <w:pPr>
      <w:keepNext/>
      <w:keepLines/>
      <w:spacing w:before="200" w:after="240"/>
      <w:outlineLvl w:val="1"/>
    </w:pPr>
    <w:rPr>
      <w:rFonts w:ascii="Gautami" w:eastAsiaTheme="majorEastAsia" w:hAnsi="Gautami"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6324"/>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063E70"/>
    <w:pPr>
      <w:ind w:left="720"/>
      <w:contextualSpacing/>
    </w:pPr>
  </w:style>
  <w:style w:type="paragraph" w:customStyle="1" w:styleId="Pa82">
    <w:name w:val="Pa8+2"/>
    <w:basedOn w:val="Default"/>
    <w:next w:val="Default"/>
    <w:uiPriority w:val="99"/>
    <w:rsid w:val="00C72A73"/>
    <w:pPr>
      <w:spacing w:line="401" w:lineRule="atLeast"/>
    </w:pPr>
    <w:rPr>
      <w:rFonts w:ascii="HelveticaNeueLT Std" w:hAnsi="HelveticaNeueLT Std" w:cstheme="minorBidi"/>
      <w:color w:val="auto"/>
    </w:rPr>
  </w:style>
  <w:style w:type="paragraph" w:customStyle="1" w:styleId="Pa8">
    <w:name w:val="Pa8"/>
    <w:basedOn w:val="Default"/>
    <w:next w:val="Default"/>
    <w:uiPriority w:val="99"/>
    <w:rsid w:val="00580E56"/>
    <w:pPr>
      <w:spacing w:line="171" w:lineRule="atLeast"/>
    </w:pPr>
    <w:rPr>
      <w:rFonts w:ascii="HelveticaNeueLT Std Lt" w:hAnsi="HelveticaNeueLT Std Lt" w:cstheme="minorBidi"/>
      <w:color w:val="auto"/>
    </w:rPr>
  </w:style>
  <w:style w:type="paragraph" w:customStyle="1" w:styleId="AERbodytext">
    <w:name w:val="AER body text"/>
    <w:link w:val="AERbodytextChar"/>
    <w:qFormat/>
    <w:rsid w:val="004D5D21"/>
    <w:pPr>
      <w:spacing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4D5D21"/>
    <w:pPr>
      <w:numPr>
        <w:ilvl w:val="1"/>
      </w:numPr>
      <w:spacing w:after="200"/>
      <w:ind w:left="1440" w:hanging="360"/>
    </w:pPr>
  </w:style>
  <w:style w:type="paragraph" w:customStyle="1" w:styleId="AERnumberedlistsecondstyle">
    <w:name w:val="AER numbered list (second style)"/>
    <w:basedOn w:val="AERnumberedlistfirststyle"/>
    <w:qFormat/>
    <w:rsid w:val="004D5D21"/>
    <w:pPr>
      <w:numPr>
        <w:ilvl w:val="2"/>
      </w:numPr>
      <w:ind w:left="2160" w:hanging="360"/>
    </w:pPr>
  </w:style>
  <w:style w:type="paragraph" w:customStyle="1" w:styleId="AERnumberedlistthirdstyle">
    <w:name w:val="AER numbered list (third style)"/>
    <w:basedOn w:val="AERnumberedlistsecondstyle"/>
    <w:qFormat/>
    <w:rsid w:val="004D5D21"/>
    <w:pPr>
      <w:numPr>
        <w:ilvl w:val="3"/>
      </w:numPr>
      <w:ind w:left="2880" w:hanging="360"/>
    </w:pPr>
  </w:style>
  <w:style w:type="numbering" w:customStyle="1" w:styleId="AERnumberedlist">
    <w:name w:val="AER numbered list"/>
    <w:uiPriority w:val="99"/>
    <w:rsid w:val="004D5D21"/>
    <w:pPr>
      <w:numPr>
        <w:numId w:val="5"/>
      </w:numPr>
    </w:pPr>
  </w:style>
  <w:style w:type="character" w:customStyle="1" w:styleId="AERbodytextChar">
    <w:name w:val="AER body text Char"/>
    <w:basedOn w:val="DefaultParagraphFont"/>
    <w:link w:val="AERbodytext"/>
    <w:rsid w:val="004D5D21"/>
    <w:rPr>
      <w:rFonts w:ascii="Gautami" w:eastAsia="Times New Roman" w:hAnsi="Gautami" w:cs="Times New Roman"/>
      <w:sz w:val="20"/>
      <w:szCs w:val="24"/>
    </w:rPr>
  </w:style>
  <w:style w:type="paragraph" w:styleId="BalloonText">
    <w:name w:val="Balloon Text"/>
    <w:basedOn w:val="Normal"/>
    <w:link w:val="BalloonTextChar"/>
    <w:uiPriority w:val="99"/>
    <w:semiHidden/>
    <w:unhideWhenUsed/>
    <w:rsid w:val="00FB0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F0D"/>
    <w:rPr>
      <w:rFonts w:ascii="Tahoma" w:hAnsi="Tahoma" w:cs="Tahoma"/>
      <w:sz w:val="16"/>
      <w:szCs w:val="16"/>
    </w:rPr>
  </w:style>
  <w:style w:type="character" w:styleId="CommentReference">
    <w:name w:val="annotation reference"/>
    <w:basedOn w:val="DefaultParagraphFont"/>
    <w:uiPriority w:val="99"/>
    <w:semiHidden/>
    <w:unhideWhenUsed/>
    <w:rsid w:val="00556440"/>
    <w:rPr>
      <w:sz w:val="16"/>
      <w:szCs w:val="16"/>
    </w:rPr>
  </w:style>
  <w:style w:type="paragraph" w:styleId="CommentText">
    <w:name w:val="annotation text"/>
    <w:basedOn w:val="Normal"/>
    <w:link w:val="CommentTextChar"/>
    <w:uiPriority w:val="99"/>
    <w:semiHidden/>
    <w:unhideWhenUsed/>
    <w:rsid w:val="00556440"/>
    <w:pPr>
      <w:spacing w:line="240" w:lineRule="auto"/>
    </w:pPr>
    <w:rPr>
      <w:sz w:val="20"/>
      <w:szCs w:val="20"/>
    </w:rPr>
  </w:style>
  <w:style w:type="character" w:customStyle="1" w:styleId="CommentTextChar">
    <w:name w:val="Comment Text Char"/>
    <w:basedOn w:val="DefaultParagraphFont"/>
    <w:link w:val="CommentText"/>
    <w:uiPriority w:val="99"/>
    <w:semiHidden/>
    <w:rsid w:val="00556440"/>
    <w:rPr>
      <w:sz w:val="20"/>
      <w:szCs w:val="20"/>
    </w:rPr>
  </w:style>
  <w:style w:type="paragraph" w:styleId="CommentSubject">
    <w:name w:val="annotation subject"/>
    <w:basedOn w:val="CommentText"/>
    <w:next w:val="CommentText"/>
    <w:link w:val="CommentSubjectChar"/>
    <w:uiPriority w:val="99"/>
    <w:semiHidden/>
    <w:unhideWhenUsed/>
    <w:rsid w:val="00556440"/>
    <w:rPr>
      <w:b/>
      <w:bCs/>
    </w:rPr>
  </w:style>
  <w:style w:type="character" w:customStyle="1" w:styleId="CommentSubjectChar">
    <w:name w:val="Comment Subject Char"/>
    <w:basedOn w:val="CommentTextChar"/>
    <w:link w:val="CommentSubject"/>
    <w:uiPriority w:val="99"/>
    <w:semiHidden/>
    <w:rsid w:val="00556440"/>
    <w:rPr>
      <w:b/>
      <w:bCs/>
      <w:sz w:val="20"/>
      <w:szCs w:val="20"/>
    </w:rPr>
  </w:style>
  <w:style w:type="paragraph" w:styleId="FootnoteText">
    <w:name w:val="footnote text"/>
    <w:basedOn w:val="Normal"/>
    <w:link w:val="FootnoteTextChar"/>
    <w:uiPriority w:val="99"/>
    <w:semiHidden/>
    <w:unhideWhenUsed/>
    <w:rsid w:val="009979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79A0"/>
    <w:rPr>
      <w:sz w:val="20"/>
      <w:szCs w:val="20"/>
    </w:rPr>
  </w:style>
  <w:style w:type="character" w:styleId="FootnoteReference">
    <w:name w:val="footnote reference"/>
    <w:basedOn w:val="DefaultParagraphFont"/>
    <w:uiPriority w:val="99"/>
    <w:semiHidden/>
    <w:unhideWhenUsed/>
    <w:rsid w:val="009979A0"/>
    <w:rPr>
      <w:vertAlign w:val="superscript"/>
    </w:rPr>
  </w:style>
  <w:style w:type="paragraph" w:styleId="Revision">
    <w:name w:val="Revision"/>
    <w:hidden/>
    <w:uiPriority w:val="99"/>
    <w:semiHidden/>
    <w:rsid w:val="0088701F"/>
    <w:pPr>
      <w:spacing w:after="0" w:line="240" w:lineRule="auto"/>
    </w:pPr>
  </w:style>
  <w:style w:type="character" w:styleId="Hyperlink">
    <w:name w:val="Hyperlink"/>
    <w:basedOn w:val="DefaultParagraphFont"/>
    <w:uiPriority w:val="99"/>
    <w:unhideWhenUsed/>
    <w:rsid w:val="006A7E74"/>
    <w:rPr>
      <w:color w:val="0000FF" w:themeColor="hyperlink"/>
      <w:u w:val="single"/>
    </w:rPr>
  </w:style>
  <w:style w:type="character" w:styleId="FollowedHyperlink">
    <w:name w:val="FollowedHyperlink"/>
    <w:basedOn w:val="DefaultParagraphFont"/>
    <w:uiPriority w:val="99"/>
    <w:semiHidden/>
    <w:unhideWhenUsed/>
    <w:rsid w:val="00FB4924"/>
    <w:rPr>
      <w:color w:val="800080" w:themeColor="followedHyperlink"/>
      <w:u w:val="single"/>
    </w:rPr>
  </w:style>
  <w:style w:type="paragraph" w:styleId="EndnoteText">
    <w:name w:val="endnote text"/>
    <w:basedOn w:val="Normal"/>
    <w:link w:val="EndnoteTextChar"/>
    <w:uiPriority w:val="99"/>
    <w:semiHidden/>
    <w:unhideWhenUsed/>
    <w:rsid w:val="00FC32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3279"/>
    <w:rPr>
      <w:sz w:val="20"/>
      <w:szCs w:val="20"/>
    </w:rPr>
  </w:style>
  <w:style w:type="character" w:styleId="EndnoteReference">
    <w:name w:val="endnote reference"/>
    <w:basedOn w:val="DefaultParagraphFont"/>
    <w:uiPriority w:val="99"/>
    <w:semiHidden/>
    <w:unhideWhenUsed/>
    <w:rsid w:val="00FC3279"/>
    <w:rPr>
      <w:vertAlign w:val="superscript"/>
    </w:rPr>
  </w:style>
  <w:style w:type="paragraph" w:styleId="Quote">
    <w:name w:val="Quote"/>
    <w:basedOn w:val="Normal"/>
    <w:next w:val="Normal"/>
    <w:link w:val="QuoteChar"/>
    <w:uiPriority w:val="29"/>
    <w:qFormat/>
    <w:rsid w:val="00B365C0"/>
    <w:rPr>
      <w:i/>
      <w:iCs/>
      <w:color w:val="000000" w:themeColor="text1"/>
    </w:rPr>
  </w:style>
  <w:style w:type="character" w:customStyle="1" w:styleId="QuoteChar">
    <w:name w:val="Quote Char"/>
    <w:basedOn w:val="DefaultParagraphFont"/>
    <w:link w:val="Quote"/>
    <w:uiPriority w:val="29"/>
    <w:rsid w:val="00B365C0"/>
    <w:rPr>
      <w:i/>
      <w:iCs/>
      <w:color w:val="000000" w:themeColor="text1"/>
    </w:rPr>
  </w:style>
  <w:style w:type="paragraph" w:styleId="IntenseQuote">
    <w:name w:val="Intense Quote"/>
    <w:basedOn w:val="Normal"/>
    <w:next w:val="Normal"/>
    <w:link w:val="IntenseQuoteChar"/>
    <w:uiPriority w:val="30"/>
    <w:qFormat/>
    <w:rsid w:val="00B365C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65C0"/>
    <w:rPr>
      <w:b/>
      <w:bCs/>
      <w:i/>
      <w:iCs/>
      <w:color w:val="4F81BD" w:themeColor="accent1"/>
    </w:rPr>
  </w:style>
  <w:style w:type="paragraph" w:styleId="Header">
    <w:name w:val="header"/>
    <w:basedOn w:val="Normal"/>
    <w:link w:val="HeaderChar"/>
    <w:uiPriority w:val="99"/>
    <w:unhideWhenUsed/>
    <w:rsid w:val="00474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BAA"/>
  </w:style>
  <w:style w:type="paragraph" w:styleId="Footer">
    <w:name w:val="footer"/>
    <w:basedOn w:val="Normal"/>
    <w:link w:val="FooterChar"/>
    <w:uiPriority w:val="99"/>
    <w:unhideWhenUsed/>
    <w:rsid w:val="00474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BAA"/>
  </w:style>
  <w:style w:type="paragraph" w:customStyle="1" w:styleId="AERquote">
    <w:name w:val="AER quote"/>
    <w:basedOn w:val="Normal"/>
    <w:next w:val="AERbodytext"/>
    <w:rsid w:val="00E412DC"/>
    <w:pPr>
      <w:spacing w:after="160" w:line="288" w:lineRule="auto"/>
      <w:ind w:left="357" w:right="1077"/>
      <w:jc w:val="both"/>
    </w:pPr>
    <w:rPr>
      <w:rFonts w:ascii="Gautami" w:eastAsia="Times New Roman" w:hAnsi="Gautami" w:cs="Times New Roman"/>
      <w:color w:val="000000"/>
      <w:sz w:val="16"/>
      <w:szCs w:val="24"/>
    </w:rPr>
  </w:style>
  <w:style w:type="character" w:customStyle="1" w:styleId="Heading2Char">
    <w:name w:val="Heading 2 Char"/>
    <w:basedOn w:val="DefaultParagraphFont"/>
    <w:link w:val="Heading2"/>
    <w:uiPriority w:val="9"/>
    <w:rsid w:val="00F77D06"/>
    <w:rPr>
      <w:rFonts w:ascii="Gautami" w:eastAsiaTheme="majorEastAsia" w:hAnsi="Gautami" w:cstheme="majorBidi"/>
      <w:b/>
      <w:bCs/>
      <w:sz w:val="20"/>
      <w:szCs w:val="26"/>
    </w:rPr>
  </w:style>
  <w:style w:type="numbering" w:customStyle="1" w:styleId="Bulet1">
    <w:name w:val="Bulet 1"/>
    <w:basedOn w:val="NoList"/>
    <w:uiPriority w:val="99"/>
    <w:rsid w:val="006A491B"/>
    <w:pPr>
      <w:numPr>
        <w:numId w:val="40"/>
      </w:numPr>
    </w:pPr>
  </w:style>
  <w:style w:type="numbering" w:customStyle="1" w:styleId="Bullet1">
    <w:name w:val="Bullet 1"/>
    <w:basedOn w:val="Bulet1"/>
    <w:uiPriority w:val="99"/>
    <w:rsid w:val="006A491B"/>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946501">
      <w:bodyDiv w:val="1"/>
      <w:marLeft w:val="0"/>
      <w:marRight w:val="0"/>
      <w:marTop w:val="0"/>
      <w:marBottom w:val="0"/>
      <w:divBdr>
        <w:top w:val="none" w:sz="0" w:space="0" w:color="auto"/>
        <w:left w:val="none" w:sz="0" w:space="0" w:color="auto"/>
        <w:bottom w:val="none" w:sz="0" w:space="0" w:color="auto"/>
        <w:right w:val="none" w:sz="0" w:space="0" w:color="auto"/>
      </w:divBdr>
    </w:div>
    <w:div w:id="208629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mailto:EWP@industry.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54D40-8B7E-4385-AADB-062ED3EA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2367</Words>
  <Characters>13494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dc:description/>
  <cp:lastModifiedBy>Zito, Jessica</cp:lastModifiedBy>
  <cp:revision>2</cp:revision>
  <cp:lastPrinted>2014-02-10T04:59:00Z</cp:lastPrinted>
  <dcterms:created xsi:type="dcterms:W3CDTF">2014-02-16T22:15:00Z</dcterms:created>
  <dcterms:modified xsi:type="dcterms:W3CDTF">2014-02-16T22:15:00Z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H:\TRIMDATA\TRIM\TEMP\HPTRIM.1944\D14 15077  Energy White Paper - revised AER submission to issues paper - 11 February.DOCX</vt:lpwstr>
  </property>
</Properties>
</file>