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95" w:rsidRDefault="00E11296" w:rsidP="002A10F2">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90pt;margin-top:-81pt;width:610.2pt;height:855pt;z-index:-251658752;visibility:visible">
            <v:imagedata r:id="rId8" o:title=""/>
          </v:shape>
        </w:pict>
      </w:r>
    </w:p>
    <w:p w:rsidR="00A55A95" w:rsidRDefault="00A55A95" w:rsidP="009F5A06"/>
    <w:p w:rsidR="00A55A95" w:rsidRDefault="00A55A95" w:rsidP="009F5A06">
      <w:pPr>
        <w:pStyle w:val="AERTitle1"/>
      </w:pPr>
      <w:bookmarkStart w:id="0" w:name="OLE_LINK1"/>
      <w:bookmarkStart w:id="1" w:name="OLE_LINK2"/>
    </w:p>
    <w:p w:rsidR="00A55A95" w:rsidRDefault="00A55A95" w:rsidP="009F5A06">
      <w:pPr>
        <w:pStyle w:val="AERTitle1"/>
      </w:pPr>
    </w:p>
    <w:p w:rsidR="00A55A95" w:rsidRDefault="00A55A95" w:rsidP="009F5A06">
      <w:pPr>
        <w:pStyle w:val="AERTitle1"/>
      </w:pPr>
    </w:p>
    <w:p w:rsidR="00A55A95" w:rsidRDefault="00A55A95" w:rsidP="009F5A06">
      <w:pPr>
        <w:pStyle w:val="AERTitle1"/>
      </w:pPr>
    </w:p>
    <w:p w:rsidR="00A55A95" w:rsidRDefault="00A55A95" w:rsidP="009F5A06">
      <w:pPr>
        <w:pStyle w:val="AERTitle1"/>
      </w:pPr>
    </w:p>
    <w:p w:rsidR="00A55A95" w:rsidRDefault="00A55A95" w:rsidP="009F5A06">
      <w:pPr>
        <w:pStyle w:val="AERTitle1"/>
      </w:pPr>
      <w:r>
        <w:t>AER submission to the Productivity Commission Inquiry into Electricity Network Regulation</w:t>
      </w:r>
    </w:p>
    <w:p w:rsidR="00A55A95" w:rsidRDefault="00A55A95" w:rsidP="009F5A06"/>
    <w:p w:rsidR="00A55A95" w:rsidRDefault="00A55A95" w:rsidP="009F5A06"/>
    <w:p w:rsidR="00A55A95" w:rsidRPr="00F6235D" w:rsidRDefault="00A55A95" w:rsidP="009F5A06"/>
    <w:bookmarkEnd w:id="0"/>
    <w:bookmarkEnd w:id="1"/>
    <w:p w:rsidR="00A55A95" w:rsidRPr="00F6235D" w:rsidRDefault="00A55A95" w:rsidP="002A10F2">
      <w:pPr>
        <w:pStyle w:val="AERTitle2"/>
      </w:pPr>
      <w:r>
        <w:t>April 2012</w:t>
      </w:r>
    </w:p>
    <w:p w:rsidR="00A55A95" w:rsidRDefault="00A55A95" w:rsidP="006D56B3">
      <w:pPr>
        <w:pStyle w:val="AERheading1"/>
        <w:tabs>
          <w:tab w:val="clear" w:pos="-357"/>
          <w:tab w:val="num" w:pos="0"/>
        </w:tabs>
      </w:pPr>
      <w:r>
        <w:lastRenderedPageBreak/>
        <w:t>Summary</w:t>
      </w:r>
    </w:p>
    <w:p w:rsidR="00A55A95" w:rsidRDefault="009E0F53" w:rsidP="009F5A06">
      <w:pPr>
        <w:pStyle w:val="AERbodytext"/>
      </w:pPr>
      <w:r>
        <w:t>The Australian Energy Regulator (AER) welcomes the opportunity to provide this submission to</w:t>
      </w:r>
      <w:r w:rsidR="00AA3159">
        <w:t xml:space="preserve"> the Productivity Commission’s </w:t>
      </w:r>
      <w:r>
        <w:t xml:space="preserve">Electricity Network Regulation inquiry. The AER understands that </w:t>
      </w:r>
      <w:r w:rsidR="008B01FF">
        <w:t>this</w:t>
      </w:r>
      <w:r w:rsidR="00994D2A">
        <w:t xml:space="preserve"> </w:t>
      </w:r>
      <w:r w:rsidR="002A10F2">
        <w:t>i</w:t>
      </w:r>
      <w:r>
        <w:t xml:space="preserve">nquiry will assess: </w:t>
      </w:r>
    </w:p>
    <w:p w:rsidR="00A55A95" w:rsidRDefault="00A55A95" w:rsidP="009F5A06">
      <w:pPr>
        <w:pStyle w:val="AERbodytext"/>
        <w:numPr>
          <w:ilvl w:val="0"/>
          <w:numId w:val="10"/>
        </w:numPr>
      </w:pPr>
      <w:r>
        <w:t xml:space="preserve">the use of benchmarking as a means of achieving the efficient delivery of network services and electricity infrastructure to meet the long-term interests of consumers and </w:t>
      </w:r>
    </w:p>
    <w:p w:rsidR="00A55A95" w:rsidRDefault="00A55A95" w:rsidP="009F5A06">
      <w:pPr>
        <w:pStyle w:val="AERbodytext"/>
        <w:numPr>
          <w:ilvl w:val="0"/>
          <w:numId w:val="10"/>
        </w:numPr>
      </w:pPr>
      <w:proofErr w:type="gramStart"/>
      <w:r w:rsidRPr="00767D55">
        <w:t>whether</w:t>
      </w:r>
      <w:proofErr w:type="gramEnd"/>
      <w:r w:rsidRPr="00767D55">
        <w:t xml:space="preserve"> the regulatory regime </w:t>
      </w:r>
      <w:r>
        <w:t xml:space="preserve">as applied to interconnectors, </w:t>
      </w:r>
      <w:r w:rsidRPr="00767D55">
        <w:t xml:space="preserve">is delivering efficient </w:t>
      </w:r>
      <w:r>
        <w:t xml:space="preserve">levels of network and generation </w:t>
      </w:r>
      <w:r w:rsidRPr="00767D55">
        <w:t xml:space="preserve">investment in the </w:t>
      </w:r>
      <w:r>
        <w:t>National Electricity Market (</w:t>
      </w:r>
      <w:proofErr w:type="spellStart"/>
      <w:r w:rsidRPr="00767D55">
        <w:t>NEM</w:t>
      </w:r>
      <w:proofErr w:type="spellEnd"/>
      <w:r>
        <w:t>).</w:t>
      </w:r>
    </w:p>
    <w:p w:rsidR="009E0F53" w:rsidRDefault="00781136" w:rsidP="002244FB">
      <w:pPr>
        <w:pStyle w:val="AERbodytext"/>
      </w:pPr>
      <w:r w:rsidRPr="002244FB">
        <w:t xml:space="preserve">As the economic regulator for </w:t>
      </w:r>
      <w:r w:rsidR="00305077">
        <w:t xml:space="preserve">electricity distribution and transmission </w:t>
      </w:r>
      <w:r w:rsidR="00E91CF6">
        <w:t xml:space="preserve">network </w:t>
      </w:r>
      <w:bookmarkStart w:id="2" w:name="OLE_LINK17"/>
      <w:r w:rsidR="00305077">
        <w:t>businesses</w:t>
      </w:r>
      <w:r w:rsidR="00E8485D">
        <w:t xml:space="preserve"> </w:t>
      </w:r>
      <w:bookmarkEnd w:id="2"/>
      <w:r w:rsidRPr="002244FB">
        <w:t xml:space="preserve">in the </w:t>
      </w:r>
      <w:proofErr w:type="spellStart"/>
      <w:r w:rsidRPr="002244FB">
        <w:t>NEM</w:t>
      </w:r>
      <w:proofErr w:type="spellEnd"/>
      <w:r w:rsidRPr="002244FB">
        <w:t xml:space="preserve">, the </w:t>
      </w:r>
      <w:r w:rsidR="009E0F53">
        <w:t xml:space="preserve">AER </w:t>
      </w:r>
      <w:r w:rsidR="00E8485D">
        <w:t xml:space="preserve">is responsible for </w:t>
      </w:r>
      <w:r w:rsidR="00A55A95" w:rsidRPr="002244FB">
        <w:t xml:space="preserve">regulating </w:t>
      </w:r>
      <w:r w:rsidR="00305077">
        <w:t>network business</w:t>
      </w:r>
      <w:r w:rsidR="00E8485D">
        <w:t xml:space="preserve">’ expenditures </w:t>
      </w:r>
      <w:r w:rsidR="007833D3">
        <w:t>to ensure these are consistent with the national electricity objective of promoting</w:t>
      </w:r>
      <w:r w:rsidR="007833D3" w:rsidRPr="002244FB">
        <w:t xml:space="preserve"> efficient investment in, and use of, electricity services for the long-term interests of consumers of electricity with respect to price, quality, reliability, safety and supply.</w:t>
      </w:r>
      <w:r w:rsidR="00A55A95" w:rsidRPr="002244FB">
        <w:t xml:space="preserve"> Given th</w:t>
      </w:r>
      <w:r w:rsidR="009E0F53">
        <w:t xml:space="preserve">ese responsibilities, </w:t>
      </w:r>
      <w:r w:rsidR="00A55A95" w:rsidRPr="002244FB">
        <w:t xml:space="preserve">the AER </w:t>
      </w:r>
      <w:r w:rsidR="009E0F53">
        <w:t xml:space="preserve">has a unique perspective on the issues being considered by the </w:t>
      </w:r>
      <w:r w:rsidR="00AA3159">
        <w:t>Productivity Commission</w:t>
      </w:r>
      <w:r w:rsidR="009E0F53">
        <w:t xml:space="preserve">. </w:t>
      </w:r>
    </w:p>
    <w:p w:rsidR="009E0F53" w:rsidRDefault="00A55A95" w:rsidP="002244FB">
      <w:pPr>
        <w:pStyle w:val="AERbodytext"/>
      </w:pPr>
      <w:r w:rsidRPr="002244FB">
        <w:t>At this stage of th</w:t>
      </w:r>
      <w:r w:rsidR="00093E62">
        <w:t>e</w:t>
      </w:r>
      <w:r w:rsidRPr="002244FB">
        <w:t xml:space="preserve"> </w:t>
      </w:r>
      <w:r w:rsidR="00781136" w:rsidRPr="002244FB">
        <w:t>inquiry</w:t>
      </w:r>
      <w:r w:rsidRPr="002244FB">
        <w:t xml:space="preserve">, the </w:t>
      </w:r>
      <w:proofErr w:type="spellStart"/>
      <w:r w:rsidRPr="002244FB">
        <w:t>AER’s</w:t>
      </w:r>
      <w:proofErr w:type="spellEnd"/>
      <w:r w:rsidRPr="002244FB">
        <w:t xml:space="preserve"> submission focuses on outlining the network planning and investment outcomes and the work the AER is undertaking in benchmarking.</w:t>
      </w:r>
      <w:r w:rsidR="00781136" w:rsidRPr="002244FB">
        <w:t xml:space="preserve"> </w:t>
      </w:r>
      <w:r w:rsidR="00E1386F" w:rsidRPr="002244FB">
        <w:t xml:space="preserve">As </w:t>
      </w:r>
      <w:r w:rsidR="002244FB" w:rsidRPr="002244FB">
        <w:t>highlight</w:t>
      </w:r>
      <w:r w:rsidR="002244FB">
        <w:t>ed by</w:t>
      </w:r>
      <w:r w:rsidR="002244FB" w:rsidRPr="002244FB">
        <w:t xml:space="preserve"> </w:t>
      </w:r>
      <w:r w:rsidR="00E1386F" w:rsidRPr="002244FB">
        <w:t xml:space="preserve">the Productivity Commission </w:t>
      </w:r>
      <w:r w:rsidR="002244FB">
        <w:t>i</w:t>
      </w:r>
      <w:r w:rsidR="00E1386F" w:rsidRPr="002244FB">
        <w:t xml:space="preserve">n </w:t>
      </w:r>
      <w:r w:rsidR="00AB2CE1">
        <w:t>its</w:t>
      </w:r>
      <w:r w:rsidR="00E1386F" w:rsidRPr="002244FB">
        <w:t xml:space="preserve"> issues paper, t</w:t>
      </w:r>
      <w:r w:rsidR="00781136" w:rsidRPr="002244FB">
        <w:t>he AER notes that there are a number of ongoing related reviews and policy processes underway</w:t>
      </w:r>
      <w:r w:rsidR="00672D2E">
        <w:t>,</w:t>
      </w:r>
      <w:r w:rsidR="00781136" w:rsidRPr="002244FB">
        <w:t xml:space="preserve"> looking at aspects of the regulatory framework this inquiry seeks to address. </w:t>
      </w:r>
      <w:r w:rsidR="007C13A6" w:rsidRPr="002244FB">
        <w:t>In particular, the Australian Energy Market Commission</w:t>
      </w:r>
      <w:r w:rsidR="007C13A6">
        <w:t>’s</w:t>
      </w:r>
      <w:r w:rsidR="007C13A6" w:rsidRPr="002244FB">
        <w:t xml:space="preserve"> (</w:t>
      </w:r>
      <w:proofErr w:type="spellStart"/>
      <w:r w:rsidR="007C13A6" w:rsidRPr="002244FB">
        <w:t>AEMC</w:t>
      </w:r>
      <w:proofErr w:type="spellEnd"/>
      <w:r w:rsidR="007C13A6" w:rsidRPr="002244FB">
        <w:t xml:space="preserve">) Transmission Frameworks Review should provide </w:t>
      </w:r>
      <w:r w:rsidR="007C13A6">
        <w:t xml:space="preserve">an additional </w:t>
      </w:r>
      <w:r w:rsidR="007C13A6" w:rsidRPr="002244FB">
        <w:t>opportunity to identify reforms needed to address shortcomings in the current framework</w:t>
      </w:r>
      <w:r w:rsidR="007C13A6">
        <w:t xml:space="preserve"> for transmission interconnection</w:t>
      </w:r>
      <w:r w:rsidR="007C13A6" w:rsidRPr="002244FB">
        <w:t>.</w:t>
      </w:r>
    </w:p>
    <w:p w:rsidR="00781136" w:rsidRPr="002244FB" w:rsidRDefault="007B77D7" w:rsidP="002244FB">
      <w:pPr>
        <w:pStyle w:val="AERbodytext"/>
      </w:pPr>
      <w:r>
        <w:t>B</w:t>
      </w:r>
      <w:r w:rsidR="00781136" w:rsidRPr="002244FB">
        <w:t>enchmarking</w:t>
      </w:r>
      <w:r>
        <w:t xml:space="preserve"> is a</w:t>
      </w:r>
      <w:r w:rsidRPr="007B77D7">
        <w:t xml:space="preserve">n important regulatory analytical tool that </w:t>
      </w:r>
      <w:r w:rsidR="0090524B">
        <w:t xml:space="preserve">is utilised by regulators to </w:t>
      </w:r>
      <w:r w:rsidRPr="007B77D7">
        <w:t>examine</w:t>
      </w:r>
      <w:r w:rsidR="0090524B">
        <w:t xml:space="preserve"> the</w:t>
      </w:r>
      <w:r w:rsidRPr="007B77D7">
        <w:t xml:space="preserve"> historic costs of the firm or the industry</w:t>
      </w:r>
      <w:r w:rsidR="0090524B">
        <w:t>,</w:t>
      </w:r>
      <w:r w:rsidRPr="007B77D7">
        <w:t xml:space="preserve"> and endeavours to look forward, to </w:t>
      </w:r>
      <w:r w:rsidR="00AD50F2">
        <w:t>estimate</w:t>
      </w:r>
      <w:r w:rsidRPr="007B77D7">
        <w:t xml:space="preserve"> the efficient costs </w:t>
      </w:r>
      <w:r w:rsidR="004F764D">
        <w:t>of delivering services</w:t>
      </w:r>
      <w:r w:rsidR="0090524B">
        <w:t>.</w:t>
      </w:r>
      <w:r w:rsidRPr="007B77D7">
        <w:t xml:space="preserve"> </w:t>
      </w:r>
      <w:r w:rsidR="0030368D">
        <w:t>The AER i</w:t>
      </w:r>
      <w:r>
        <w:t>s</w:t>
      </w:r>
      <w:r w:rsidR="00E1386F" w:rsidRPr="002244FB">
        <w:t xml:space="preserve"> </w:t>
      </w:r>
      <w:r w:rsidR="000066BD">
        <w:t>developing greater capabilities in benchmarking</w:t>
      </w:r>
      <w:r w:rsidR="00A93911">
        <w:t xml:space="preserve"> through </w:t>
      </w:r>
      <w:r w:rsidR="00E1386F" w:rsidRPr="002244FB">
        <w:t xml:space="preserve">the collection, analysis and reporting of consistent data to allow </w:t>
      </w:r>
      <w:r w:rsidR="00D16E13">
        <w:t>for</w:t>
      </w:r>
      <w:r w:rsidR="00E1386F" w:rsidRPr="002244FB">
        <w:t xml:space="preserve"> comparisons </w:t>
      </w:r>
      <w:r w:rsidR="00D16E13">
        <w:t xml:space="preserve">of </w:t>
      </w:r>
      <w:r w:rsidR="00D16E13" w:rsidRPr="002244FB">
        <w:t xml:space="preserve">network </w:t>
      </w:r>
      <w:r w:rsidR="00D16E13">
        <w:t>businesses’</w:t>
      </w:r>
      <w:r w:rsidR="00D16E13" w:rsidRPr="002244FB">
        <w:t xml:space="preserve"> </w:t>
      </w:r>
      <w:r w:rsidR="004F764D">
        <w:t>expenditures</w:t>
      </w:r>
      <w:r w:rsidR="004F764D" w:rsidRPr="002244FB">
        <w:t xml:space="preserve"> </w:t>
      </w:r>
      <w:r w:rsidR="00E1386F" w:rsidRPr="002244FB">
        <w:t xml:space="preserve">and service outcomes. This work will enhance the </w:t>
      </w:r>
      <w:proofErr w:type="spellStart"/>
      <w:r w:rsidR="00E1386F" w:rsidRPr="002244FB">
        <w:t>AER’s</w:t>
      </w:r>
      <w:proofErr w:type="spellEnd"/>
      <w:r w:rsidR="00E1386F" w:rsidRPr="002244FB">
        <w:t xml:space="preserve"> ability to assess the efficiency of the regulated network</w:t>
      </w:r>
      <w:r w:rsidR="008B01FF">
        <w:t xml:space="preserve"> businesses’</w:t>
      </w:r>
      <w:r w:rsidR="00095CC0" w:rsidRPr="002244FB">
        <w:t xml:space="preserve"> </w:t>
      </w:r>
      <w:r w:rsidR="00E1386F" w:rsidRPr="002244FB">
        <w:t>expenditure proposals during a revenue determination.</w:t>
      </w:r>
    </w:p>
    <w:p w:rsidR="00781136" w:rsidRDefault="00781136" w:rsidP="00781136">
      <w:pPr>
        <w:pStyle w:val="AERbodytext"/>
      </w:pPr>
    </w:p>
    <w:p w:rsidR="00A55A95" w:rsidRDefault="00A55A95" w:rsidP="009F5A06">
      <w:pPr>
        <w:pStyle w:val="AERbodytext"/>
        <w:spacing w:after="0"/>
      </w:pPr>
    </w:p>
    <w:p w:rsidR="00A55A95" w:rsidRDefault="00A55A95" w:rsidP="009F5A06">
      <w:pPr>
        <w:pStyle w:val="AERbodytext"/>
        <w:spacing w:after="0"/>
      </w:pPr>
    </w:p>
    <w:p w:rsidR="00A55A95" w:rsidRPr="00142C42" w:rsidRDefault="00A55A95" w:rsidP="009F5A06">
      <w:pPr>
        <w:pStyle w:val="AERbodytext"/>
        <w:spacing w:after="0"/>
      </w:pPr>
    </w:p>
    <w:p w:rsidR="004F764D" w:rsidRDefault="004F764D" w:rsidP="006D56B3">
      <w:pPr>
        <w:pStyle w:val="AERheading1"/>
        <w:tabs>
          <w:tab w:val="clear" w:pos="-357"/>
          <w:tab w:val="num" w:pos="0"/>
        </w:tabs>
        <w:ind w:left="0" w:hanging="714"/>
      </w:pPr>
      <w:r>
        <w:lastRenderedPageBreak/>
        <w:t xml:space="preserve">Overview of incentive </w:t>
      </w:r>
      <w:r w:rsidR="00E93C8E">
        <w:t>based regulation</w:t>
      </w:r>
      <w:r>
        <w:t xml:space="preserve"> </w:t>
      </w:r>
    </w:p>
    <w:p w:rsidR="00217D2A" w:rsidRDefault="00217D2A" w:rsidP="00F60A65">
      <w:pPr>
        <w:pStyle w:val="AERbodytext"/>
      </w:pPr>
      <w:r>
        <w:t>In discussing the use of benchmarking, it is important to provide some contextual background about the underlying economic regulatory regime under which benchmarking is applied</w:t>
      </w:r>
      <w:r w:rsidR="00F432AB">
        <w:t xml:space="preserve"> by the AER to the electricity network businesses it regulates</w:t>
      </w:r>
      <w:r>
        <w:t xml:space="preserve">. </w:t>
      </w:r>
      <w:r w:rsidR="00F432AB">
        <w:t>This section provides a</w:t>
      </w:r>
      <w:r w:rsidR="00EC0698">
        <w:t xml:space="preserve"> brief overview </w:t>
      </w:r>
      <w:r w:rsidR="00F432AB">
        <w:t>of incentive based regulat</w:t>
      </w:r>
      <w:r w:rsidR="00BB1A02">
        <w:t>ory regime</w:t>
      </w:r>
      <w:r w:rsidR="00E0767F">
        <w:t>.</w:t>
      </w:r>
      <w:r w:rsidR="00F432AB">
        <w:t xml:space="preserve"> </w:t>
      </w:r>
      <w:r w:rsidR="00E0767F">
        <w:t>T</w:t>
      </w:r>
      <w:r w:rsidR="00F432AB">
        <w:t xml:space="preserve">he effectiveness of incentive based regulation and the </w:t>
      </w:r>
      <w:proofErr w:type="spellStart"/>
      <w:r w:rsidR="00F432AB">
        <w:t>AER’s</w:t>
      </w:r>
      <w:proofErr w:type="spellEnd"/>
      <w:r w:rsidR="00F432AB">
        <w:t xml:space="preserve"> work in benchmarking are discussed further </w:t>
      </w:r>
      <w:r>
        <w:t>in section</w:t>
      </w:r>
      <w:r w:rsidR="00F35A4B">
        <w:t>s</w:t>
      </w:r>
      <w:r>
        <w:t xml:space="preserve"> 3 and 4</w:t>
      </w:r>
      <w:r w:rsidR="00F35A4B">
        <w:t xml:space="preserve"> of this submission. </w:t>
      </w:r>
    </w:p>
    <w:p w:rsidR="00F60A65" w:rsidRDefault="00F60A65" w:rsidP="00F60A65">
      <w:pPr>
        <w:pStyle w:val="AERbodytext"/>
      </w:pPr>
      <w:r w:rsidRPr="00F60A65">
        <w:t xml:space="preserve">Infrastructure assets </w:t>
      </w:r>
      <w:r w:rsidR="00CD49E3">
        <w:t xml:space="preserve">in </w:t>
      </w:r>
      <w:smartTag w:uri="urn:schemas-microsoft-com:office:smarttags" w:element="place">
        <w:smartTag w:uri="urn:schemas-microsoft-com:office:smarttags" w:element="country-region">
          <w:r w:rsidR="00CD49E3">
            <w:t>Australia</w:t>
          </w:r>
        </w:smartTag>
      </w:smartTag>
      <w:r w:rsidR="00CD49E3">
        <w:t xml:space="preserve"> </w:t>
      </w:r>
      <w:r w:rsidRPr="00F60A65">
        <w:t xml:space="preserve">have traditionally been owned by governments, and the prices for infrastructure services was largely </w:t>
      </w:r>
      <w:r w:rsidR="00722D65">
        <w:t>determined or approved</w:t>
      </w:r>
      <w:r w:rsidR="00722D65" w:rsidRPr="00F60A65">
        <w:t xml:space="preserve"> </w:t>
      </w:r>
      <w:r w:rsidRPr="00F60A65">
        <w:t xml:space="preserve">by government ministers. </w:t>
      </w:r>
      <w:r w:rsidR="00835793">
        <w:t>Over the last decade</w:t>
      </w:r>
      <w:r w:rsidR="00E8485D">
        <w:t xml:space="preserve"> and a half</w:t>
      </w:r>
      <w:r w:rsidR="00835793">
        <w:t xml:space="preserve">, </w:t>
      </w:r>
      <w:smartTag w:uri="urn:schemas-microsoft-com:office:smarttags" w:element="place">
        <w:smartTag w:uri="urn:schemas-microsoft-com:office:smarttags" w:element="country-region">
          <w:r w:rsidR="005816C2">
            <w:t>Australia</w:t>
          </w:r>
        </w:smartTag>
      </w:smartTag>
      <w:r w:rsidR="005816C2">
        <w:t xml:space="preserve"> has undergone significant infrastructure reform. In the energy sector in particular, </w:t>
      </w:r>
      <w:r w:rsidR="00513A5C">
        <w:t>national competition reform</w:t>
      </w:r>
      <w:r w:rsidR="00835793">
        <w:t xml:space="preserve"> </w:t>
      </w:r>
      <w:r w:rsidR="00513A5C">
        <w:t xml:space="preserve">has </w:t>
      </w:r>
      <w:r w:rsidR="00E55B57">
        <w:t xml:space="preserve">seen the </w:t>
      </w:r>
      <w:r w:rsidR="0090524B">
        <w:t>separation</w:t>
      </w:r>
      <w:r w:rsidR="00E8485D">
        <w:t xml:space="preserve"> of vertically integrated monopolies into the various components of generation/wholesale, transmission, distribution and retail segments. In some </w:t>
      </w:r>
      <w:bookmarkStart w:id="3" w:name="OLE_LINK8"/>
      <w:r w:rsidR="00E8485D">
        <w:t xml:space="preserve">jurisdictions </w:t>
      </w:r>
      <w:bookmarkEnd w:id="3"/>
      <w:r w:rsidR="00E8485D">
        <w:t>all these segments have been privatised, while in other</w:t>
      </w:r>
      <w:r w:rsidR="00E0767F">
        <w:t xml:space="preserve"> jurisdictions privatisation </w:t>
      </w:r>
      <w:r w:rsidR="00722D65">
        <w:t>has been more limited</w:t>
      </w:r>
      <w:r w:rsidR="00E0767F">
        <w:t>.</w:t>
      </w:r>
      <w:r w:rsidR="00722D65">
        <w:t xml:space="preserve"> Associated with this has been the establishment of independent economic </w:t>
      </w:r>
      <w:r w:rsidR="00E55B57">
        <w:t xml:space="preserve">regulation </w:t>
      </w:r>
      <w:r w:rsidR="00722D65">
        <w:t xml:space="preserve">of the non-contestable </w:t>
      </w:r>
      <w:r w:rsidR="00AE12D6">
        <w:t xml:space="preserve">electricity </w:t>
      </w:r>
      <w:r w:rsidR="00722D65">
        <w:t>transport segments</w:t>
      </w:r>
      <w:r w:rsidR="00AE12D6">
        <w:t xml:space="preserve"> - </w:t>
      </w:r>
      <w:r w:rsidR="00722D65">
        <w:t xml:space="preserve">transmission and distribution, to mitigate the concern with </w:t>
      </w:r>
      <w:r w:rsidR="0092635A">
        <w:t>monopoly pricing</w:t>
      </w:r>
      <w:r w:rsidR="00E55B57">
        <w:t>.</w:t>
      </w:r>
      <w:r w:rsidRPr="00F60A65">
        <w:t xml:space="preserve"> </w:t>
      </w:r>
      <w:r w:rsidR="00722D65">
        <w:t>More recently, t</w:t>
      </w:r>
      <w:r>
        <w:t xml:space="preserve">he </w:t>
      </w:r>
      <w:r w:rsidR="00835793">
        <w:t xml:space="preserve">energy market reforms </w:t>
      </w:r>
      <w:r w:rsidR="00722D65">
        <w:t xml:space="preserve">have </w:t>
      </w:r>
      <w:r w:rsidR="005816C2">
        <w:t xml:space="preserve">also </w:t>
      </w:r>
      <w:r w:rsidR="00835793">
        <w:t xml:space="preserve">included the </w:t>
      </w:r>
      <w:r w:rsidR="00513A5C">
        <w:t>establish</w:t>
      </w:r>
      <w:r w:rsidR="00835793">
        <w:t xml:space="preserve">ment of the AER </w:t>
      </w:r>
      <w:r w:rsidR="0092635A">
        <w:t xml:space="preserve">to regulate all electricity networks in the </w:t>
      </w:r>
      <w:proofErr w:type="spellStart"/>
      <w:r w:rsidR="0092635A">
        <w:t>NEM</w:t>
      </w:r>
      <w:proofErr w:type="spellEnd"/>
      <w:r w:rsidR="00835793">
        <w:t xml:space="preserve">, </w:t>
      </w:r>
      <w:r w:rsidR="00722D65">
        <w:t xml:space="preserve">as well as the </w:t>
      </w:r>
      <w:proofErr w:type="spellStart"/>
      <w:r w:rsidR="00722D65">
        <w:t>AEMC</w:t>
      </w:r>
      <w:proofErr w:type="spellEnd"/>
      <w:r w:rsidR="00722D65">
        <w:t xml:space="preserve"> as rule maker</w:t>
      </w:r>
      <w:r w:rsidR="00726BC2">
        <w:t>,</w:t>
      </w:r>
      <w:r w:rsidR="00722D65">
        <w:t xml:space="preserve"> </w:t>
      </w:r>
      <w:r w:rsidR="00835793">
        <w:t>and t</w:t>
      </w:r>
      <w:r w:rsidR="00513A5C">
        <w:t xml:space="preserve">he </w:t>
      </w:r>
      <w:r w:rsidR="005816C2">
        <w:t xml:space="preserve">introduction of </w:t>
      </w:r>
      <w:r w:rsidR="00722D65">
        <w:t xml:space="preserve">a revised </w:t>
      </w:r>
      <w:r w:rsidR="00513A5C">
        <w:t xml:space="preserve">regulatory framework to regulate monopoly transmission and distribution </w:t>
      </w:r>
      <w:r w:rsidR="00AE12D6">
        <w:t xml:space="preserve">network </w:t>
      </w:r>
      <w:r w:rsidR="00513A5C">
        <w:t xml:space="preserve">businesses. </w:t>
      </w:r>
    </w:p>
    <w:p w:rsidR="00357BD7" w:rsidRDefault="005816C2" w:rsidP="00357BD7">
      <w:pPr>
        <w:pStyle w:val="AERbodytext"/>
      </w:pPr>
      <w:r>
        <w:t xml:space="preserve">The </w:t>
      </w:r>
      <w:r w:rsidR="00217D2A">
        <w:t xml:space="preserve">economic </w:t>
      </w:r>
      <w:r>
        <w:t xml:space="preserve">regulatory framework </w:t>
      </w:r>
      <w:r w:rsidR="00217D2A">
        <w:t xml:space="preserve">for network businesses </w:t>
      </w:r>
      <w:r>
        <w:t xml:space="preserve">is </w:t>
      </w:r>
      <w:r w:rsidR="00D639AA">
        <w:t xml:space="preserve">essentially </w:t>
      </w:r>
      <w:r>
        <w:t>based on the concept of ‘i</w:t>
      </w:r>
      <w:r w:rsidR="00357BD7" w:rsidRPr="00A43489">
        <w:t>ncentive regulation</w:t>
      </w:r>
      <w:r>
        <w:t>’</w:t>
      </w:r>
      <w:r w:rsidR="00357BD7" w:rsidRPr="00A43489">
        <w:t xml:space="preserve"> </w:t>
      </w:r>
      <w:r>
        <w:t>which se</w:t>
      </w:r>
      <w:r w:rsidR="008B01FF">
        <w:t xml:space="preserve">eks to </w:t>
      </w:r>
      <w:r w:rsidR="00357BD7" w:rsidRPr="00A43489">
        <w:t>provide strong incentives for regulated</w:t>
      </w:r>
      <w:r w:rsidR="00357BD7">
        <w:t xml:space="preserve"> </w:t>
      </w:r>
      <w:r w:rsidR="00357BD7" w:rsidRPr="00A43489">
        <w:t>businesses to reduce costs, improve service quality, and undertake efficient</w:t>
      </w:r>
      <w:r w:rsidR="00357BD7">
        <w:t xml:space="preserve"> </w:t>
      </w:r>
      <w:r w:rsidR="00357BD7" w:rsidRPr="00A43489">
        <w:t xml:space="preserve">investment. The incentive to reduce costs is provided by </w:t>
      </w:r>
      <w:r w:rsidR="0040624A">
        <w:t xml:space="preserve">the regulator </w:t>
      </w:r>
      <w:r w:rsidR="00357BD7" w:rsidRPr="00A43489">
        <w:t>setting the prices or revenue</w:t>
      </w:r>
      <w:r w:rsidR="008B01FF">
        <w:t xml:space="preserve"> </w:t>
      </w:r>
      <w:r w:rsidR="00357BD7" w:rsidRPr="00A43489">
        <w:t>to apply at the start of the regulatory period, regardless</w:t>
      </w:r>
      <w:r w:rsidR="008B01FF">
        <w:t xml:space="preserve"> </w:t>
      </w:r>
      <w:r w:rsidR="00357BD7" w:rsidRPr="00A43489">
        <w:t xml:space="preserve">of what actual costs </w:t>
      </w:r>
      <w:r w:rsidR="00CD49E3">
        <w:t xml:space="preserve">are incurred </w:t>
      </w:r>
      <w:r w:rsidR="00357BD7" w:rsidRPr="00A43489">
        <w:t xml:space="preserve">during the regulatory period. </w:t>
      </w:r>
      <w:r w:rsidR="00AF4522">
        <w:t>R</w:t>
      </w:r>
      <w:r w:rsidR="00CD49E3">
        <w:t xml:space="preserve">egulated </w:t>
      </w:r>
      <w:r w:rsidR="00CD49E3" w:rsidRPr="00A43489">
        <w:t xml:space="preserve">businesses that realise </w:t>
      </w:r>
      <w:r w:rsidR="00D639AA">
        <w:t>e</w:t>
      </w:r>
      <w:r w:rsidR="007833D3">
        <w:t>ff</w:t>
      </w:r>
      <w:r w:rsidR="00D639AA">
        <w:t>i</w:t>
      </w:r>
      <w:r w:rsidR="007833D3">
        <w:t>c</w:t>
      </w:r>
      <w:r w:rsidR="00D639AA">
        <w:t>i</w:t>
      </w:r>
      <w:r w:rsidR="007833D3">
        <w:t>e</w:t>
      </w:r>
      <w:r w:rsidR="00D639AA">
        <w:t>ncy</w:t>
      </w:r>
      <w:r w:rsidR="00D639AA" w:rsidRPr="00A43489">
        <w:t xml:space="preserve"> </w:t>
      </w:r>
      <w:r w:rsidR="00CD49E3" w:rsidRPr="00A43489">
        <w:t xml:space="preserve">gains </w:t>
      </w:r>
      <w:r w:rsidR="00AF4522">
        <w:t xml:space="preserve">can </w:t>
      </w:r>
      <w:r w:rsidR="00027A73">
        <w:t xml:space="preserve">retain these benefits for a time, and the benefits are later shared with </w:t>
      </w:r>
      <w:r w:rsidR="00CD49E3" w:rsidRPr="00A43489">
        <w:t>customers in</w:t>
      </w:r>
      <w:r w:rsidR="00CD49E3">
        <w:t xml:space="preserve"> </w:t>
      </w:r>
      <w:r w:rsidR="00CD49E3" w:rsidRPr="00A43489">
        <w:t>the form of lower prices</w:t>
      </w:r>
      <w:r w:rsidR="00027A73">
        <w:t>.</w:t>
      </w:r>
      <w:r w:rsidR="00AF4522">
        <w:t xml:space="preserve"> </w:t>
      </w:r>
      <w:r w:rsidR="00AE7E17">
        <w:t xml:space="preserve">Other incentives to maintain or improve service quality levels work in combination with efficiency incentives to ensure that improved efficiency is not at the expense of service quality. </w:t>
      </w:r>
      <w:r w:rsidR="00F432AB">
        <w:t>Overall, t</w:t>
      </w:r>
      <w:r w:rsidR="00AF4522">
        <w:t xml:space="preserve">he regulatory framework seeks to provide </w:t>
      </w:r>
      <w:r w:rsidR="00D639AA">
        <w:t>appropriate</w:t>
      </w:r>
      <w:r w:rsidR="00AF4522">
        <w:t xml:space="preserve"> </w:t>
      </w:r>
      <w:r w:rsidR="00073072">
        <w:t>signals for regulated businesses to make efficient investments and not over or under invest</w:t>
      </w:r>
      <w:r w:rsidR="0040624A">
        <w:t xml:space="preserve"> in the network</w:t>
      </w:r>
      <w:r w:rsidR="00073072">
        <w:t>.</w:t>
      </w:r>
      <w:r>
        <w:t xml:space="preserve"> </w:t>
      </w:r>
    </w:p>
    <w:p w:rsidR="005816C2" w:rsidRDefault="00CD49E3" w:rsidP="004F764D">
      <w:pPr>
        <w:pStyle w:val="AERbodytext"/>
      </w:pPr>
      <w:r>
        <w:t xml:space="preserve">The 'revealed cost' approach </w:t>
      </w:r>
      <w:r w:rsidR="00AF4522">
        <w:t xml:space="preserve">is a </w:t>
      </w:r>
      <w:r w:rsidR="004F764D">
        <w:t>key feature of the regulatory framework</w:t>
      </w:r>
      <w:r w:rsidR="00D639AA">
        <w:t>, when incentives are effective in promoting efficient outcomes</w:t>
      </w:r>
      <w:r w:rsidR="00AF4522">
        <w:t xml:space="preserve">. </w:t>
      </w:r>
      <w:r w:rsidR="00D639AA">
        <w:t>In such cases</w:t>
      </w:r>
      <w:r w:rsidR="00257885">
        <w:t>,</w:t>
      </w:r>
      <w:r w:rsidR="00D639AA">
        <w:t xml:space="preserve"> t</w:t>
      </w:r>
      <w:r w:rsidR="004F764D">
        <w:t xml:space="preserve">he business's actual costs, as revealed through regulatory accounts, are taken to be the </w:t>
      </w:r>
      <w:r w:rsidR="00AF4522">
        <w:t>‘</w:t>
      </w:r>
      <w:r w:rsidR="004F764D">
        <w:t>efficient</w:t>
      </w:r>
      <w:r w:rsidR="00AF4522">
        <w:t>’</w:t>
      </w:r>
      <w:r w:rsidR="004F764D">
        <w:t xml:space="preserve"> costs and become the starting point for assessing the needs of the business to provide services in the forthcoming regulatory period. In this way, efficiency gains that the businesses have made are passed back to consumers in the form of lower prices. </w:t>
      </w:r>
      <w:r w:rsidR="00D639AA">
        <w:t xml:space="preserve">Although this </w:t>
      </w:r>
      <w:r w:rsidR="00513A5C">
        <w:t xml:space="preserve">is a key starting point for </w:t>
      </w:r>
      <w:r w:rsidR="004F764D">
        <w:t xml:space="preserve">the </w:t>
      </w:r>
      <w:proofErr w:type="spellStart"/>
      <w:r w:rsidR="004F764D">
        <w:t>AER's</w:t>
      </w:r>
      <w:proofErr w:type="spellEnd"/>
      <w:r w:rsidR="004F764D">
        <w:t xml:space="preserve"> assessment of the expenditure forecasts in </w:t>
      </w:r>
      <w:r w:rsidR="00513A5C">
        <w:t>revenue determinations</w:t>
      </w:r>
      <w:r w:rsidR="00D639AA">
        <w:t xml:space="preserve">, </w:t>
      </w:r>
      <w:r w:rsidR="004F764D">
        <w:t xml:space="preserve">the AER </w:t>
      </w:r>
      <w:r w:rsidR="00073072">
        <w:t xml:space="preserve">makes adjustments to the </w:t>
      </w:r>
      <w:r w:rsidR="004F764D">
        <w:t xml:space="preserve">regulated allowances </w:t>
      </w:r>
      <w:r w:rsidR="00073072" w:rsidRPr="007A0095">
        <w:t>to take account of changing circumstances</w:t>
      </w:r>
      <w:r w:rsidR="00257885">
        <w:t xml:space="preserve"> that are likely to apply in the forthcoming period</w:t>
      </w:r>
      <w:r w:rsidR="00073072" w:rsidRPr="007A0095">
        <w:t xml:space="preserve">. These </w:t>
      </w:r>
      <w:r w:rsidR="00D639AA">
        <w:t xml:space="preserve">include the extent of asset replacement </w:t>
      </w:r>
      <w:r w:rsidR="00B8667D">
        <w:t xml:space="preserve">required </w:t>
      </w:r>
      <w:r w:rsidR="00D639AA">
        <w:t>to deal with an</w:t>
      </w:r>
      <w:r w:rsidR="00073072" w:rsidRPr="007A0095">
        <w:t xml:space="preserve"> ageing asset base, </w:t>
      </w:r>
      <w:r w:rsidR="00D639AA">
        <w:t xml:space="preserve">the need for new assets to meet </w:t>
      </w:r>
      <w:r w:rsidR="00073072" w:rsidRPr="007A0095">
        <w:t xml:space="preserve">continuing growth in demand and </w:t>
      </w:r>
      <w:proofErr w:type="gramStart"/>
      <w:r w:rsidR="00073072" w:rsidRPr="007A0095">
        <w:t>customers</w:t>
      </w:r>
      <w:proofErr w:type="gramEnd"/>
      <w:r w:rsidR="0058678B" w:rsidRPr="0058678B">
        <w:t xml:space="preserve"> </w:t>
      </w:r>
      <w:r w:rsidR="0058678B" w:rsidRPr="007A0095">
        <w:t>numbers</w:t>
      </w:r>
      <w:r w:rsidR="00073072" w:rsidRPr="007A0095">
        <w:t xml:space="preserve">, </w:t>
      </w:r>
      <w:r w:rsidR="00D639AA">
        <w:t>changes</w:t>
      </w:r>
      <w:r w:rsidR="00D639AA" w:rsidRPr="007A0095">
        <w:t xml:space="preserve"> </w:t>
      </w:r>
      <w:r w:rsidR="00073072" w:rsidRPr="007A0095">
        <w:t xml:space="preserve">in financing costs, </w:t>
      </w:r>
      <w:r w:rsidR="00D639AA">
        <w:t>input</w:t>
      </w:r>
      <w:r w:rsidR="00073072" w:rsidRPr="007A0095">
        <w:t xml:space="preserve"> costs and </w:t>
      </w:r>
      <w:r w:rsidR="0058678B">
        <w:t>meeting</w:t>
      </w:r>
      <w:r w:rsidR="00073072" w:rsidRPr="007A0095">
        <w:t xml:space="preserve"> </w:t>
      </w:r>
      <w:r w:rsidR="00D639AA">
        <w:t xml:space="preserve">reliability, </w:t>
      </w:r>
      <w:r w:rsidR="00073072" w:rsidRPr="007A0095">
        <w:t>safety and other service obligations</w:t>
      </w:r>
      <w:r w:rsidR="005816C2">
        <w:t>.</w:t>
      </w:r>
    </w:p>
    <w:p w:rsidR="00F07FB1" w:rsidRDefault="00F07FB1" w:rsidP="004F764D">
      <w:pPr>
        <w:pStyle w:val="AERbodytext"/>
      </w:pPr>
      <w:r>
        <w:t>It should be noted, however, that</w:t>
      </w:r>
      <w:r w:rsidR="00726BC2">
        <w:t>, w</w:t>
      </w:r>
      <w:r>
        <w:t xml:space="preserve">here businesses have not adequately responded to the incentives provided or where the </w:t>
      </w:r>
      <w:r w:rsidR="00726BC2">
        <w:t xml:space="preserve">network business’ </w:t>
      </w:r>
      <w:r>
        <w:t>proposal point</w:t>
      </w:r>
      <w:r w:rsidR="00E1595F">
        <w:t>s</w:t>
      </w:r>
      <w:r>
        <w:t xml:space="preserve"> to changes in forecasts </w:t>
      </w:r>
      <w:r>
        <w:lastRenderedPageBreak/>
        <w:t xml:space="preserve">which are not otherwise justified, the AER </w:t>
      </w:r>
      <w:r w:rsidR="00217D2A">
        <w:t xml:space="preserve">cannot solely rely on revealed costs and </w:t>
      </w:r>
      <w:r>
        <w:t xml:space="preserve">would still need to </w:t>
      </w:r>
      <w:r w:rsidR="00217D2A">
        <w:t xml:space="preserve">use </w:t>
      </w:r>
      <w:r>
        <w:t xml:space="preserve">other comparative benchmarking approaches. </w:t>
      </w:r>
      <w:r w:rsidR="0094709F">
        <w:t>It is against this background that the AER is looking to significantly enhance its current benchmarking and assessment capabilities.</w:t>
      </w:r>
    </w:p>
    <w:p w:rsidR="0040624A" w:rsidRDefault="0040624A" w:rsidP="004F764D">
      <w:pPr>
        <w:pStyle w:val="AERbodytext"/>
      </w:pPr>
      <w:r>
        <w:t xml:space="preserve">Section </w:t>
      </w:r>
      <w:r>
        <w:fldChar w:fldCharType="begin"/>
      </w:r>
      <w:r>
        <w:instrText xml:space="preserve"> REF _Ref321824411 \r \h </w:instrText>
      </w:r>
      <w:r>
        <w:fldChar w:fldCharType="separate"/>
      </w:r>
      <w:r w:rsidR="00A120EF">
        <w:t>3</w:t>
      </w:r>
      <w:r>
        <w:fldChar w:fldCharType="end"/>
      </w:r>
      <w:r>
        <w:t xml:space="preserve"> </w:t>
      </w:r>
      <w:r w:rsidRPr="0040624A">
        <w:rPr>
          <w:bCs/>
        </w:rPr>
        <w:t xml:space="preserve">provides a brief discussion of the </w:t>
      </w:r>
      <w:r w:rsidR="00217D2A">
        <w:rPr>
          <w:bCs/>
        </w:rPr>
        <w:t>economic</w:t>
      </w:r>
      <w:r w:rsidR="00217D2A" w:rsidRPr="0040624A">
        <w:rPr>
          <w:bCs/>
        </w:rPr>
        <w:t xml:space="preserve"> </w:t>
      </w:r>
      <w:r w:rsidRPr="0040624A">
        <w:rPr>
          <w:bCs/>
        </w:rPr>
        <w:t xml:space="preserve">regulatory regime in promoting efficient investment, </w:t>
      </w:r>
      <w:r w:rsidR="00217D2A">
        <w:rPr>
          <w:bCs/>
        </w:rPr>
        <w:t xml:space="preserve">with a focus on </w:t>
      </w:r>
      <w:r w:rsidR="00BB1A02">
        <w:rPr>
          <w:bCs/>
        </w:rPr>
        <w:t>the</w:t>
      </w:r>
      <w:r w:rsidRPr="0040624A">
        <w:rPr>
          <w:bCs/>
        </w:rPr>
        <w:t xml:space="preserve"> Victorian businesses</w:t>
      </w:r>
      <w:r w:rsidR="007833D3">
        <w:rPr>
          <w:bCs/>
        </w:rPr>
        <w:t>,</w:t>
      </w:r>
      <w:r w:rsidRPr="0040624A">
        <w:rPr>
          <w:bCs/>
        </w:rPr>
        <w:t xml:space="preserve"> which are seen </w:t>
      </w:r>
      <w:r w:rsidR="0058678B">
        <w:rPr>
          <w:bCs/>
        </w:rPr>
        <w:t>to be</w:t>
      </w:r>
      <w:r w:rsidRPr="0040624A">
        <w:rPr>
          <w:bCs/>
        </w:rPr>
        <w:t xml:space="preserve"> responding more readily to the incentive framework that underpins the regime</w:t>
      </w:r>
      <w:r w:rsidR="007833D3">
        <w:rPr>
          <w:bCs/>
        </w:rPr>
        <w:t xml:space="preserve">. Section 4 further </w:t>
      </w:r>
      <w:r w:rsidR="00217D2A">
        <w:rPr>
          <w:bCs/>
        </w:rPr>
        <w:t>explores the regime in terms of some of</w:t>
      </w:r>
      <w:r w:rsidR="007833D3">
        <w:rPr>
          <w:bCs/>
        </w:rPr>
        <w:t xml:space="preserve"> the benchmarking approaches </w:t>
      </w:r>
      <w:r w:rsidR="00726BC2">
        <w:rPr>
          <w:bCs/>
        </w:rPr>
        <w:t>that have</w:t>
      </w:r>
      <w:r w:rsidR="007833D3">
        <w:rPr>
          <w:bCs/>
        </w:rPr>
        <w:t xml:space="preserve"> been undertaken by the AER to date and </w:t>
      </w:r>
      <w:r w:rsidR="000A2CBC">
        <w:rPr>
          <w:bCs/>
        </w:rPr>
        <w:t>also</w:t>
      </w:r>
      <w:r w:rsidR="00217D2A">
        <w:rPr>
          <w:bCs/>
        </w:rPr>
        <w:t xml:space="preserve"> </w:t>
      </w:r>
      <w:r w:rsidR="0058678B">
        <w:rPr>
          <w:bCs/>
        </w:rPr>
        <w:t xml:space="preserve">outlines </w:t>
      </w:r>
      <w:r w:rsidR="007833D3">
        <w:rPr>
          <w:bCs/>
        </w:rPr>
        <w:t xml:space="preserve">the </w:t>
      </w:r>
      <w:proofErr w:type="spellStart"/>
      <w:r w:rsidR="007833D3">
        <w:rPr>
          <w:bCs/>
        </w:rPr>
        <w:t>AER’s</w:t>
      </w:r>
      <w:proofErr w:type="spellEnd"/>
      <w:r w:rsidR="007833D3">
        <w:rPr>
          <w:bCs/>
        </w:rPr>
        <w:t xml:space="preserve"> </w:t>
      </w:r>
      <w:r w:rsidR="00217D2A">
        <w:rPr>
          <w:bCs/>
        </w:rPr>
        <w:t xml:space="preserve">plans to </w:t>
      </w:r>
      <w:r w:rsidR="007833D3">
        <w:rPr>
          <w:bCs/>
        </w:rPr>
        <w:t>enhanc</w:t>
      </w:r>
      <w:r w:rsidR="00217D2A">
        <w:rPr>
          <w:bCs/>
        </w:rPr>
        <w:t>e</w:t>
      </w:r>
      <w:r w:rsidR="007833D3">
        <w:rPr>
          <w:bCs/>
        </w:rPr>
        <w:t xml:space="preserve"> its benchmarking capabilities. </w:t>
      </w:r>
    </w:p>
    <w:p w:rsidR="002C7C19" w:rsidRDefault="002C7C19" w:rsidP="004F764D">
      <w:pPr>
        <w:pStyle w:val="AERbodytext"/>
      </w:pPr>
    </w:p>
    <w:p w:rsidR="00A55A95" w:rsidRDefault="00AF4522" w:rsidP="00AF4522">
      <w:pPr>
        <w:pStyle w:val="AERheading1"/>
        <w:tabs>
          <w:tab w:val="clear" w:pos="-357"/>
          <w:tab w:val="num" w:pos="0"/>
        </w:tabs>
        <w:ind w:left="0" w:hanging="720"/>
      </w:pPr>
      <w:bookmarkStart w:id="4" w:name="_Ref321824411"/>
      <w:bookmarkStart w:id="5" w:name="_Ref321988987"/>
      <w:r>
        <w:lastRenderedPageBreak/>
        <w:t xml:space="preserve">Effectiveness of </w:t>
      </w:r>
      <w:bookmarkEnd w:id="4"/>
      <w:r w:rsidR="00472CF2">
        <w:t>incentive</w:t>
      </w:r>
      <w:r w:rsidR="00F35A4B">
        <w:t xml:space="preserve"> </w:t>
      </w:r>
      <w:r w:rsidR="00472CF2">
        <w:t>based regulation</w:t>
      </w:r>
      <w:bookmarkEnd w:id="5"/>
    </w:p>
    <w:p w:rsidR="00A55A95" w:rsidRPr="00F378D0" w:rsidRDefault="0040624A" w:rsidP="00740053">
      <w:pPr>
        <w:pStyle w:val="AERheading2"/>
        <w:numPr>
          <w:ilvl w:val="0"/>
          <w:numId w:val="0"/>
        </w:numPr>
        <w:ind w:left="-714" w:firstLine="714"/>
      </w:pPr>
      <w:r>
        <w:t>Electricity i</w:t>
      </w:r>
      <w:r w:rsidR="00A55A95" w:rsidRPr="00F378D0">
        <w:t>nvestment levels</w:t>
      </w:r>
      <w:r>
        <w:t xml:space="preserve"> in the </w:t>
      </w:r>
      <w:proofErr w:type="spellStart"/>
      <w:r>
        <w:t>NEM</w:t>
      </w:r>
      <w:proofErr w:type="spellEnd"/>
    </w:p>
    <w:p w:rsidR="00A55A95" w:rsidRDefault="007C4560" w:rsidP="002244FB">
      <w:pPr>
        <w:pStyle w:val="AERbodytext"/>
      </w:pPr>
      <w:r>
        <w:t>T</w:t>
      </w:r>
      <w:r w:rsidR="00A55A95">
        <w:t xml:space="preserve">he AER has observed that there has been a significant increase in </w:t>
      </w:r>
      <w:r w:rsidR="0040624A">
        <w:t>electricity network</w:t>
      </w:r>
      <w:r w:rsidR="00A55A95">
        <w:t xml:space="preserve"> investment compared to historical levels of investment in the current five year regulatory cycle</w:t>
      </w:r>
      <w:r w:rsidR="00D16E13" w:rsidRPr="00D16E13">
        <w:t xml:space="preserve"> </w:t>
      </w:r>
      <w:r w:rsidR="00D16E13">
        <w:t xml:space="preserve">across the </w:t>
      </w:r>
      <w:proofErr w:type="spellStart"/>
      <w:r w:rsidR="00D16E13">
        <w:t>NEM</w:t>
      </w:r>
      <w:proofErr w:type="spellEnd"/>
      <w:r w:rsidR="00A55A95">
        <w:t xml:space="preserve">. </w:t>
      </w:r>
      <w:r w:rsidR="0039251A">
        <w:fldChar w:fldCharType="begin"/>
      </w:r>
      <w:r w:rsidR="0039251A">
        <w:instrText xml:space="preserve"> REF _Ref321146983 \r \h </w:instrText>
      </w:r>
      <w:r w:rsidR="0039251A">
        <w:fldChar w:fldCharType="separate"/>
      </w:r>
      <w:r w:rsidR="00A120EF">
        <w:t>Figure 3.1</w:t>
      </w:r>
      <w:r w:rsidR="0039251A">
        <w:fldChar w:fldCharType="end"/>
      </w:r>
      <w:r w:rsidR="00A55A95">
        <w:t xml:space="preserve"> demonstrates </w:t>
      </w:r>
      <w:r w:rsidR="00E60CEF">
        <w:t xml:space="preserve">that </w:t>
      </w:r>
      <w:r w:rsidR="00DB60A5">
        <w:t xml:space="preserve">network investment over the current five year cycle is forecast at over </w:t>
      </w:r>
      <w:r w:rsidR="00A55A95">
        <w:t xml:space="preserve">$7 billion </w:t>
      </w:r>
      <w:r w:rsidR="00DB60A5">
        <w:t>for</w:t>
      </w:r>
      <w:r w:rsidR="00A55A95">
        <w:t xml:space="preserve"> electricity transmission</w:t>
      </w:r>
      <w:r w:rsidR="00DB60A5">
        <w:t xml:space="preserve"> and</w:t>
      </w:r>
      <w:r w:rsidR="00A55A95">
        <w:t xml:space="preserve"> $35 billion </w:t>
      </w:r>
      <w:r w:rsidR="00DB60A5">
        <w:t xml:space="preserve">for </w:t>
      </w:r>
      <w:r w:rsidR="00A55A95">
        <w:t>electricity distribution</w:t>
      </w:r>
      <w:r w:rsidR="00DB60A5">
        <w:t>.</w:t>
      </w:r>
      <w:r w:rsidR="00A55A95">
        <w:t xml:space="preserve"> </w:t>
      </w:r>
      <w:r w:rsidR="00DB60A5">
        <w:t xml:space="preserve">In real terms, these forecasts represent an increase in </w:t>
      </w:r>
      <w:r w:rsidR="0040624A">
        <w:t xml:space="preserve">electricity network </w:t>
      </w:r>
      <w:r w:rsidR="00DB60A5">
        <w:t xml:space="preserve">investment from the previous regulatory period of around 82 percent in transmission, and 62 percent in distribution.  </w:t>
      </w:r>
    </w:p>
    <w:p w:rsidR="00A55A95" w:rsidRPr="007B77D7" w:rsidRDefault="007B77D7" w:rsidP="007B77D7">
      <w:pPr>
        <w:pStyle w:val="AERfigureheading"/>
        <w:jc w:val="left"/>
      </w:pPr>
      <w:bookmarkStart w:id="6" w:name="_Ref321146983"/>
      <w:r>
        <w:t>Electricity n</w:t>
      </w:r>
      <w:r w:rsidR="00A55A95" w:rsidRPr="002244FB">
        <w:t xml:space="preserve">etwork investment </w:t>
      </w:r>
      <w:r w:rsidR="00E11296" w:rsidRPr="006A6F7C">
        <w:rPr>
          <w:noProof/>
          <w:lang w:eastAsia="en-AU"/>
        </w:rPr>
        <w:pict>
          <v:shape id="Picture 1" o:spid="_x0000_i1025" type="#_x0000_t75" style="width:414pt;height:205.5pt;visibility:visible">
            <v:imagedata r:id="rId9" o:title=""/>
          </v:shape>
        </w:pict>
      </w:r>
      <w:bookmarkEnd w:id="6"/>
    </w:p>
    <w:p w:rsidR="00A55A95" w:rsidRDefault="007B77D7" w:rsidP="007B77D7">
      <w:pPr>
        <w:pStyle w:val="AERtablesource"/>
      </w:pPr>
      <w:r>
        <w:t>Source: AER, State of the Energy Market 2011, page 62</w:t>
      </w:r>
    </w:p>
    <w:p w:rsidR="00A55A95" w:rsidRDefault="00472CF2" w:rsidP="002244FB">
      <w:pPr>
        <w:pStyle w:val="AERbodytext"/>
      </w:pPr>
      <w:r>
        <w:t>It is also evident t</w:t>
      </w:r>
      <w:r w:rsidR="00A55A95">
        <w:t xml:space="preserve">he recent levels of electricity network </w:t>
      </w:r>
      <w:r w:rsidR="0040624A">
        <w:t xml:space="preserve">investment in </w:t>
      </w:r>
      <w:r w:rsidR="00A55A95">
        <w:t>have been driven by a number of factors, which include:</w:t>
      </w:r>
    </w:p>
    <w:p w:rsidR="00A55A95" w:rsidRDefault="00A55A95" w:rsidP="002244FB">
      <w:pPr>
        <w:pStyle w:val="AERbulletlistfirststyle"/>
      </w:pPr>
      <w:r>
        <w:t>Load growth and rising peak demand (driven by the use of appliances such as air conditioners during summer heatwaves)</w:t>
      </w:r>
    </w:p>
    <w:p w:rsidR="00A55A95" w:rsidRDefault="00A55A95" w:rsidP="002244FB">
      <w:pPr>
        <w:pStyle w:val="AERbulletlistfirststyle"/>
      </w:pPr>
      <w:r>
        <w:t xml:space="preserve">Ageing assets, requiring significant replacement  and reinforcement </w:t>
      </w:r>
      <w:r w:rsidR="00A952F8">
        <w:t>capital expenditure</w:t>
      </w:r>
    </w:p>
    <w:p w:rsidR="00A55A95" w:rsidRDefault="00A55A95" w:rsidP="002244FB">
      <w:pPr>
        <w:pStyle w:val="AERbulletlistfirststyle"/>
      </w:pPr>
      <w:r>
        <w:t>Other obligations related to network security, safety and reliability.</w:t>
      </w:r>
    </w:p>
    <w:p w:rsidR="00472CF2" w:rsidRDefault="00472CF2" w:rsidP="00472CF2">
      <w:pPr>
        <w:pStyle w:val="AERbulletlistfirststyle"/>
        <w:numPr>
          <w:ilvl w:val="0"/>
          <w:numId w:val="0"/>
        </w:numPr>
      </w:pPr>
      <w:r>
        <w:t xml:space="preserve">However, what is not so clear is whether all these increases in investment are efficient. </w:t>
      </w:r>
      <w:proofErr w:type="gramStart"/>
      <w:r>
        <w:t xml:space="preserve">Concerns with whether the regime is promoting efficient outcomes and whether the incentive based nature of the regime works effectively across all businesses </w:t>
      </w:r>
      <w:r w:rsidR="00FA7425">
        <w:t xml:space="preserve">in the </w:t>
      </w:r>
      <w:proofErr w:type="spellStart"/>
      <w:r w:rsidR="00FA7425">
        <w:t>NEM</w:t>
      </w:r>
      <w:proofErr w:type="spellEnd"/>
      <w:r w:rsidR="00FA7425">
        <w:t xml:space="preserve"> </w:t>
      </w:r>
      <w:r>
        <w:t>has led the AER to seek some changes to the regime and to enhance its internal capacity to undertake comparative benchmarking of network businesses.</w:t>
      </w:r>
      <w:proofErr w:type="gramEnd"/>
      <w:r>
        <w:t xml:space="preserve"> </w:t>
      </w:r>
      <w:r w:rsidR="00E610E0">
        <w:t xml:space="preserve">That said, </w:t>
      </w:r>
      <w:r>
        <w:t>techniques which use the incentive</w:t>
      </w:r>
      <w:r w:rsidR="0058678B">
        <w:t xml:space="preserve"> </w:t>
      </w:r>
      <w:r>
        <w:t>based approach, relying on ‘revealed costs’</w:t>
      </w:r>
      <w:r w:rsidR="00027A73">
        <w:t xml:space="preserve">, will continue to be the preferred primary approach </w:t>
      </w:r>
      <w:r>
        <w:t xml:space="preserve">and this section describes how effective such an approach can be in regulating network businesses in Victoria, which appear to respond most directly to such incentives.  </w:t>
      </w:r>
    </w:p>
    <w:p w:rsidR="00472CF2" w:rsidRDefault="00472CF2" w:rsidP="00472CF2">
      <w:pPr>
        <w:pStyle w:val="AERbulletlistfirststyle"/>
        <w:numPr>
          <w:ilvl w:val="0"/>
          <w:numId w:val="0"/>
        </w:numPr>
        <w:ind w:left="357" w:hanging="357"/>
      </w:pPr>
    </w:p>
    <w:p w:rsidR="00A55A95" w:rsidRPr="00516329" w:rsidRDefault="00E610E0" w:rsidP="00740053">
      <w:pPr>
        <w:pStyle w:val="AERheading2"/>
        <w:numPr>
          <w:ilvl w:val="0"/>
          <w:numId w:val="0"/>
        </w:numPr>
        <w:ind w:left="-714" w:firstLine="714"/>
      </w:pPr>
      <w:r>
        <w:lastRenderedPageBreak/>
        <w:t>Effectiveness of revealed cost framework</w:t>
      </w:r>
    </w:p>
    <w:p w:rsidR="00760A5D" w:rsidRDefault="0039251A" w:rsidP="001D5B9A">
      <w:pPr>
        <w:pStyle w:val="AERbodytext"/>
      </w:pPr>
      <w:r>
        <w:t xml:space="preserve">The Victorian electricity distributors have been operating under a framework of incentives to reward cost efficiency/reliability improvements (or penalise cost inefficiency/poor reliability) for </w:t>
      </w:r>
      <w:r w:rsidR="00EC0698">
        <w:t xml:space="preserve">more than </w:t>
      </w:r>
      <w:r>
        <w:t>10 years</w:t>
      </w:r>
      <w:r w:rsidR="00AD7326">
        <w:t>.</w:t>
      </w:r>
      <w:r w:rsidR="00EE6009">
        <w:t xml:space="preserve"> </w:t>
      </w:r>
      <w:r w:rsidR="00760A5D">
        <w:t xml:space="preserve">This incentive framework is similar </w:t>
      </w:r>
      <w:r w:rsidR="00257885">
        <w:t xml:space="preserve">to that </w:t>
      </w:r>
      <w:r w:rsidR="00760A5D">
        <w:t xml:space="preserve">under the </w:t>
      </w:r>
      <w:r w:rsidR="004E6F1D">
        <w:t xml:space="preserve">National Electricity Rules (Electricity Rules) </w:t>
      </w:r>
      <w:r w:rsidR="00760A5D">
        <w:t>where the AER has implemented:</w:t>
      </w:r>
    </w:p>
    <w:p w:rsidR="00760A5D" w:rsidRDefault="003C3566" w:rsidP="00760A5D">
      <w:pPr>
        <w:pStyle w:val="AERbodytext"/>
        <w:numPr>
          <w:ilvl w:val="0"/>
          <w:numId w:val="20"/>
        </w:numPr>
      </w:pPr>
      <w:r>
        <w:t xml:space="preserve">the Efficiency Benefit Sharing Scheme - </w:t>
      </w:r>
      <w:r w:rsidR="0037375C">
        <w:t>a</w:t>
      </w:r>
      <w:r w:rsidR="00760A5D">
        <w:t xml:space="preserve"> cost efficiency scheme for operating expenditure and</w:t>
      </w:r>
    </w:p>
    <w:p w:rsidR="00760A5D" w:rsidRDefault="003C3566" w:rsidP="00760A5D">
      <w:pPr>
        <w:pStyle w:val="AERbodytext"/>
        <w:numPr>
          <w:ilvl w:val="0"/>
          <w:numId w:val="20"/>
        </w:numPr>
      </w:pPr>
      <w:proofErr w:type="gramStart"/>
      <w:r>
        <w:t>the</w:t>
      </w:r>
      <w:proofErr w:type="gramEnd"/>
      <w:r>
        <w:t xml:space="preserve"> Service Target Performance Incentive Scheme - </w:t>
      </w:r>
      <w:r w:rsidR="0037375C">
        <w:t>a</w:t>
      </w:r>
      <w:r w:rsidR="00760A5D">
        <w:t xml:space="preserve"> service performance incentive scheme.</w:t>
      </w:r>
    </w:p>
    <w:p w:rsidR="00760A5D" w:rsidRDefault="00760A5D" w:rsidP="00760A5D">
      <w:pPr>
        <w:pStyle w:val="AERbodytext"/>
      </w:pPr>
      <w:r>
        <w:t>These AER schemes have the same objectives and similar incentive properties to the previous schemes adopted by the Victorian regulator</w:t>
      </w:r>
      <w:r w:rsidR="0037375C">
        <w:t>, the Essential Services Commission of Victoria (</w:t>
      </w:r>
      <w:proofErr w:type="spellStart"/>
      <w:r w:rsidR="0037375C">
        <w:t>ESCV</w:t>
      </w:r>
      <w:proofErr w:type="spellEnd"/>
      <w:r w:rsidR="0037375C">
        <w:t>)</w:t>
      </w:r>
      <w:r>
        <w:t>.</w:t>
      </w:r>
    </w:p>
    <w:p w:rsidR="008061CC" w:rsidRDefault="00EE6009" w:rsidP="001D5B9A">
      <w:pPr>
        <w:pStyle w:val="AERbodytext"/>
      </w:pPr>
      <w:r>
        <w:t xml:space="preserve">Under </w:t>
      </w:r>
      <w:r w:rsidR="00760A5D">
        <w:t xml:space="preserve">the previous </w:t>
      </w:r>
      <w:r>
        <w:t xml:space="preserve">regulatory regime, the </w:t>
      </w:r>
      <w:r w:rsidR="00AE0750">
        <w:t xml:space="preserve">Victorian network </w:t>
      </w:r>
      <w:r>
        <w:t xml:space="preserve">businesses were incentivised to continuously seek out </w:t>
      </w:r>
      <w:r w:rsidR="0037375C">
        <w:t xml:space="preserve">operating </w:t>
      </w:r>
      <w:r>
        <w:t>cost efficiencies over the regulatory period in which prices were</w:t>
      </w:r>
      <w:r w:rsidR="0037375C">
        <w:t xml:space="preserve"> set by the </w:t>
      </w:r>
      <w:proofErr w:type="spellStart"/>
      <w:r w:rsidR="0037375C">
        <w:t>ESCV</w:t>
      </w:r>
      <w:proofErr w:type="spellEnd"/>
      <w:r w:rsidR="0037375C">
        <w:t>.</w:t>
      </w:r>
      <w:r>
        <w:t xml:space="preserve"> Specifical</w:t>
      </w:r>
      <w:r w:rsidR="0037375C">
        <w:t>ly, these</w:t>
      </w:r>
      <w:r>
        <w:t xml:space="preserve"> businesses were able to retain any cost (in</w:t>
      </w:r>
      <w:proofErr w:type="gramStart"/>
      <w:r>
        <w:t>)efficiencies</w:t>
      </w:r>
      <w:proofErr w:type="gramEnd"/>
      <w:r>
        <w:t xml:space="preserve"> for a five </w:t>
      </w:r>
      <w:r w:rsidR="00257885">
        <w:t xml:space="preserve">year </w:t>
      </w:r>
      <w:r>
        <w:t xml:space="preserve">period irrespective of </w:t>
      </w:r>
      <w:r w:rsidR="00257885">
        <w:t xml:space="preserve">when in </w:t>
      </w:r>
      <w:r>
        <w:t xml:space="preserve">the regulatory period the (in)efficiency was incurred.  </w:t>
      </w:r>
      <w:r w:rsidR="00F07FB1">
        <w:t>This provide</w:t>
      </w:r>
      <w:r w:rsidR="00AE0750">
        <w:t>d</w:t>
      </w:r>
      <w:r w:rsidR="00F07FB1">
        <w:t xml:space="preserve"> </w:t>
      </w:r>
      <w:r>
        <w:t xml:space="preserve">a continuous incentive </w:t>
      </w:r>
      <w:r w:rsidR="00F07FB1">
        <w:t xml:space="preserve">for </w:t>
      </w:r>
      <w:r w:rsidR="00AE0750">
        <w:t xml:space="preserve">network businesses </w:t>
      </w:r>
      <w:r>
        <w:t>to seek out efficiencies within the regulatory period. R</w:t>
      </w:r>
      <w:r w:rsidR="008061CC">
        <w:t>elevantly, given the continuous</w:t>
      </w:r>
      <w:r>
        <w:t xml:space="preserve"> incentive properties of the inc</w:t>
      </w:r>
      <w:r w:rsidR="008061CC">
        <w:t xml:space="preserve">entive framework, the businesses </w:t>
      </w:r>
      <w:r w:rsidR="000A2CBC">
        <w:t>had</w:t>
      </w:r>
      <w:r w:rsidR="008061CC">
        <w:t xml:space="preserve"> incentives to reveal the</w:t>
      </w:r>
      <w:r w:rsidR="00F07FB1">
        <w:t>ir</w:t>
      </w:r>
      <w:r w:rsidR="008061CC">
        <w:t xml:space="preserve"> efficient costs of service delivery.</w:t>
      </w:r>
      <w:r>
        <w:t xml:space="preserve"> </w:t>
      </w:r>
      <w:r w:rsidR="0037375C">
        <w:t>Importantly, t</w:t>
      </w:r>
      <w:r w:rsidR="008061CC">
        <w:t xml:space="preserve">hese </w:t>
      </w:r>
      <w:r w:rsidR="0037375C">
        <w:t xml:space="preserve">revealed </w:t>
      </w:r>
      <w:r w:rsidR="008061CC">
        <w:t xml:space="preserve">costs </w:t>
      </w:r>
      <w:r w:rsidR="0037375C">
        <w:t xml:space="preserve">are used to </w:t>
      </w:r>
      <w:r w:rsidR="008061CC">
        <w:t xml:space="preserve">inform the regulator in </w:t>
      </w:r>
      <w:r w:rsidR="0037375C">
        <w:t xml:space="preserve">determining the starting point for </w:t>
      </w:r>
      <w:r w:rsidR="008061CC">
        <w:t>setting the ex ante forecast of efficient costs in the next regulatory period.</w:t>
      </w:r>
    </w:p>
    <w:p w:rsidR="0094709F" w:rsidRDefault="0094709F" w:rsidP="001D5B9A">
      <w:pPr>
        <w:pStyle w:val="AERbodytext"/>
      </w:pPr>
      <w:r>
        <w:t xml:space="preserve">In relation to </w:t>
      </w:r>
      <w:r w:rsidR="00AE0750">
        <w:t>capital expenditure</w:t>
      </w:r>
      <w:r>
        <w:t xml:space="preserve">, </w:t>
      </w:r>
      <w:r w:rsidR="003C3566">
        <w:t>a</w:t>
      </w:r>
      <w:r>
        <w:t xml:space="preserve"> </w:t>
      </w:r>
      <w:bookmarkStart w:id="7" w:name="OLE_LINK18"/>
      <w:r w:rsidR="003C3566">
        <w:t>network business</w:t>
      </w:r>
      <w:r>
        <w:t xml:space="preserve"> </w:t>
      </w:r>
      <w:bookmarkEnd w:id="7"/>
      <w:r>
        <w:t xml:space="preserve">may be subject to a </w:t>
      </w:r>
      <w:r w:rsidR="00AE0750">
        <w:t>capital expenditure</w:t>
      </w:r>
      <w:r>
        <w:t xml:space="preserve"> incentive mechanism, which operates in a similar way </w:t>
      </w:r>
      <w:r w:rsidR="00EC0698">
        <w:t xml:space="preserve">to the </w:t>
      </w:r>
      <w:r w:rsidR="00AE0750">
        <w:t>operating expenditure</w:t>
      </w:r>
      <w:r w:rsidR="00EC0698">
        <w:t xml:space="preserve"> </w:t>
      </w:r>
      <w:r w:rsidR="00957772">
        <w:t xml:space="preserve">rolling </w:t>
      </w:r>
      <w:r w:rsidR="00EC0698">
        <w:t xml:space="preserve">incentive </w:t>
      </w:r>
      <w:r>
        <w:t xml:space="preserve">(and which </w:t>
      </w:r>
      <w:proofErr w:type="spellStart"/>
      <w:r>
        <w:t>as</w:t>
      </w:r>
      <w:proofErr w:type="spellEnd"/>
      <w:r>
        <w:t xml:space="preserve"> been the case for some </w:t>
      </w:r>
      <w:r w:rsidR="003C3566">
        <w:t xml:space="preserve">network businesses </w:t>
      </w:r>
      <w:r>
        <w:t xml:space="preserve">in </w:t>
      </w:r>
      <w:smartTag w:uri="urn:schemas-microsoft-com:office:smarttags" w:element="State">
        <w:r>
          <w:t>Victoria</w:t>
        </w:r>
      </w:smartTag>
      <w:r>
        <w:t xml:space="preserve"> and </w:t>
      </w:r>
      <w:smartTag w:uri="urn:schemas-microsoft-com:office:smarttags" w:element="State">
        <w:smartTag w:uri="urn:schemas-microsoft-com:office:smarttags" w:element="place">
          <w:r>
            <w:t>South Australia</w:t>
          </w:r>
        </w:smartTag>
      </w:smartTag>
      <w:r>
        <w:t xml:space="preserve"> over the past 10 years)</w:t>
      </w:r>
      <w:r w:rsidR="00EC0698">
        <w:t xml:space="preserve">. </w:t>
      </w:r>
      <w:r w:rsidR="001F35CC">
        <w:t>However, e</w:t>
      </w:r>
      <w:r w:rsidR="00EC0698">
        <w:t xml:space="preserve">ven without a </w:t>
      </w:r>
      <w:r w:rsidR="001F35CC">
        <w:t>separate</w:t>
      </w:r>
      <w:r w:rsidR="00EC0698">
        <w:t xml:space="preserve"> </w:t>
      </w:r>
      <w:r w:rsidR="00AE0750">
        <w:t>capital expenditure</w:t>
      </w:r>
      <w:r w:rsidR="00EC0698">
        <w:t xml:space="preserve"> </w:t>
      </w:r>
      <w:r w:rsidR="001F35CC">
        <w:t xml:space="preserve">rolling </w:t>
      </w:r>
      <w:r w:rsidR="00EC0698">
        <w:t>incentive mechanism</w:t>
      </w:r>
      <w:r w:rsidR="00EC0698">
        <w:rPr>
          <w:rStyle w:val="FootnoteReference"/>
        </w:rPr>
        <w:footnoteReference w:id="1"/>
      </w:r>
      <w:r w:rsidR="00EC0698">
        <w:t>,</w:t>
      </w:r>
      <w:r>
        <w:t xml:space="preserve"> a </w:t>
      </w:r>
      <w:r w:rsidR="003C3566">
        <w:t xml:space="preserve">network business </w:t>
      </w:r>
      <w:r w:rsidR="00EC0698">
        <w:t>has an incentive to</w:t>
      </w:r>
      <w:r>
        <w:t xml:space="preserve"> beat its </w:t>
      </w:r>
      <w:r w:rsidR="00AE0750">
        <w:t>capital expenditure</w:t>
      </w:r>
      <w:r>
        <w:t xml:space="preserve"> allowance set by the regulator, </w:t>
      </w:r>
      <w:r w:rsidR="00EC0698">
        <w:t xml:space="preserve">as it </w:t>
      </w:r>
      <w:r>
        <w:t xml:space="preserve">is able to retain its return on and of capital over the regulatory period. </w:t>
      </w:r>
    </w:p>
    <w:p w:rsidR="008061CC" w:rsidRDefault="008061CC" w:rsidP="001D5B9A">
      <w:pPr>
        <w:pStyle w:val="AERbodytext"/>
      </w:pPr>
      <w:r>
        <w:t>In addition, these business</w:t>
      </w:r>
      <w:r w:rsidR="00421F27">
        <w:t>es</w:t>
      </w:r>
      <w:r>
        <w:t xml:space="preserve"> have also been subject to a </w:t>
      </w:r>
      <w:r w:rsidR="0094709F">
        <w:t xml:space="preserve">service </w:t>
      </w:r>
      <w:r>
        <w:t>incentive framework to reward/penalise a business where its service performance improves or deteriorates to mitigate the potential f</w:t>
      </w:r>
      <w:r w:rsidR="0037375C">
        <w:t>or cost reductions to be made a</w:t>
      </w:r>
      <w:r>
        <w:t xml:space="preserve">t the expense of service performance. </w:t>
      </w:r>
      <w:r w:rsidR="00EE6009">
        <w:t xml:space="preserve"> </w:t>
      </w:r>
      <w:r w:rsidR="0037375C">
        <w:t>Under the previous regulatory framework</w:t>
      </w:r>
      <w:r w:rsidR="00AE0750">
        <w:t>,</w:t>
      </w:r>
      <w:r>
        <w:t xml:space="preserve"> performance targets were set at each regulatory reset and where actual performance varied from target performance an adjustment to regulated prices was made to reflect a financial reward/penalty for improved/reduced performance.</w:t>
      </w:r>
      <w:r w:rsidR="00EE6009">
        <w:t xml:space="preserve">   </w:t>
      </w:r>
    </w:p>
    <w:p w:rsidR="001D5B9A" w:rsidRDefault="0037375C" w:rsidP="001D5B9A">
      <w:pPr>
        <w:pStyle w:val="AERbodytext"/>
      </w:pPr>
      <w:r>
        <w:t>The AER has observed that over the last 10 years,</w:t>
      </w:r>
      <w:r w:rsidR="00AD7326">
        <w:t xml:space="preserve"> </w:t>
      </w:r>
      <w:r w:rsidR="00AD7326" w:rsidRPr="00283B76">
        <w:t xml:space="preserve">the Victorian </w:t>
      </w:r>
      <w:r w:rsidR="00D16E13" w:rsidRPr="0039251A">
        <w:t>distribution network businesses</w:t>
      </w:r>
      <w:r w:rsidR="00D16E13">
        <w:t xml:space="preserve">’ </w:t>
      </w:r>
      <w:r w:rsidR="003C3566">
        <w:t xml:space="preserve">total </w:t>
      </w:r>
      <w:r w:rsidR="00AD7326" w:rsidRPr="00283B76">
        <w:t xml:space="preserve">actual </w:t>
      </w:r>
      <w:r w:rsidR="003C3566">
        <w:t>capital and operating</w:t>
      </w:r>
      <w:r w:rsidR="003C3566" w:rsidRPr="00283B76">
        <w:t xml:space="preserve"> </w:t>
      </w:r>
      <w:r w:rsidR="00AD7326" w:rsidRPr="00283B76">
        <w:t>expenditure</w:t>
      </w:r>
      <w:r w:rsidR="00AE0750">
        <w:t>s</w:t>
      </w:r>
      <w:r>
        <w:t xml:space="preserve"> </w:t>
      </w:r>
      <w:r w:rsidR="00AD7326" w:rsidRPr="00283B76">
        <w:t xml:space="preserve">have been less than those forecast </w:t>
      </w:r>
      <w:r w:rsidR="00AD7326" w:rsidRPr="00283B76">
        <w:lastRenderedPageBreak/>
        <w:t xml:space="preserve">by the </w:t>
      </w:r>
      <w:r w:rsidR="00D16E13" w:rsidRPr="0039251A">
        <w:t>network businesses</w:t>
      </w:r>
      <w:r w:rsidR="00D16E13">
        <w:t xml:space="preserve">’ </w:t>
      </w:r>
      <w:r w:rsidR="00AD7326" w:rsidRPr="00283B76">
        <w:t xml:space="preserve">and less than the allowances set by the </w:t>
      </w:r>
      <w:r w:rsidR="001D5B9A">
        <w:t xml:space="preserve">previous regulator, the </w:t>
      </w:r>
      <w:proofErr w:type="spellStart"/>
      <w:r>
        <w:t>ESCV</w:t>
      </w:r>
      <w:proofErr w:type="spellEnd"/>
      <w:r w:rsidR="001D5B9A">
        <w:t>.</w:t>
      </w:r>
      <w:r w:rsidR="00AD7326" w:rsidRPr="00283B76">
        <w:t xml:space="preserve"> </w:t>
      </w:r>
      <w:r w:rsidR="001D5B9A" w:rsidRPr="00283B76">
        <w:t>In addition, the</w:t>
      </w:r>
      <w:r w:rsidR="00C61D14">
        <w:t>se</w:t>
      </w:r>
      <w:r w:rsidR="001D5B9A" w:rsidRPr="00283B76">
        <w:t xml:space="preserve"> </w:t>
      </w:r>
      <w:r w:rsidR="00D16E13" w:rsidRPr="0039251A">
        <w:t>network businesses</w:t>
      </w:r>
      <w:r w:rsidR="00D16E13">
        <w:t xml:space="preserve"> </w:t>
      </w:r>
      <w:r w:rsidR="001D5B9A" w:rsidRPr="00283B76">
        <w:t xml:space="preserve">have </w:t>
      </w:r>
      <w:r w:rsidR="00796110">
        <w:t xml:space="preserve">broadly </w:t>
      </w:r>
      <w:r w:rsidR="001D5B9A" w:rsidRPr="00283B76">
        <w:t xml:space="preserve">maintained relatively high standards of service, in terms of reliability of supply compared to other jurisdictions. </w:t>
      </w:r>
      <w:r w:rsidR="007A0095">
        <w:t xml:space="preserve">Figures 3.2 and 3.3 demonstrate </w:t>
      </w:r>
      <w:r w:rsidR="00C61D14">
        <w:t xml:space="preserve">the </w:t>
      </w:r>
      <w:r w:rsidR="007A0095">
        <w:t>Victorian</w:t>
      </w:r>
      <w:r w:rsidR="007A0095" w:rsidRPr="007A0095">
        <w:t xml:space="preserve"> </w:t>
      </w:r>
      <w:r w:rsidR="007A0095" w:rsidRPr="0039251A">
        <w:t>distribution network businesses</w:t>
      </w:r>
      <w:r w:rsidR="007A0095">
        <w:t xml:space="preserve">’ </w:t>
      </w:r>
      <w:r w:rsidR="007A0095" w:rsidRPr="0039251A">
        <w:t xml:space="preserve">historical and forecast </w:t>
      </w:r>
      <w:r>
        <w:t xml:space="preserve">operating </w:t>
      </w:r>
      <w:r w:rsidR="007A0095">
        <w:t xml:space="preserve">expenditure and </w:t>
      </w:r>
      <w:r w:rsidR="007A0095" w:rsidRPr="00283B76">
        <w:t>high standards of service</w:t>
      </w:r>
      <w:r w:rsidR="007A0095">
        <w:t>.</w:t>
      </w:r>
    </w:p>
    <w:p w:rsidR="007A0095" w:rsidRDefault="001D5B9A" w:rsidP="007A0095">
      <w:pPr>
        <w:pStyle w:val="AERbodytext"/>
      </w:pPr>
      <w:r>
        <w:t xml:space="preserve">In the 2011-15 Victorian determination, the AER undertook </w:t>
      </w:r>
      <w:r w:rsidRPr="00283B76">
        <w:t xml:space="preserve">trend analysis together with comparative benchmarking of </w:t>
      </w:r>
      <w:r w:rsidR="00C61D14">
        <w:t xml:space="preserve">the </w:t>
      </w:r>
      <w:r w:rsidRPr="00283B76">
        <w:t xml:space="preserve">Victorian </w:t>
      </w:r>
      <w:r w:rsidR="007A0095" w:rsidRPr="0039251A">
        <w:t>distribution network businesses</w:t>
      </w:r>
      <w:r w:rsidR="007A0095">
        <w:t xml:space="preserve">’ </w:t>
      </w:r>
      <w:r w:rsidRPr="00283B76">
        <w:t xml:space="preserve">against </w:t>
      </w:r>
      <w:r w:rsidR="007A0095" w:rsidRPr="0039251A">
        <w:t>distribution network businesses</w:t>
      </w:r>
      <w:r w:rsidR="007A0095">
        <w:t xml:space="preserve">’ </w:t>
      </w:r>
      <w:r w:rsidRPr="00283B76">
        <w:t>in other jurisdictions</w:t>
      </w:r>
      <w:r>
        <w:t xml:space="preserve">. The Victorian </w:t>
      </w:r>
      <w:r w:rsidRPr="0039251A">
        <w:t>distribution network businesses</w:t>
      </w:r>
      <w:r>
        <w:t xml:space="preserve">’ historical level of capital expenditure </w:t>
      </w:r>
      <w:r w:rsidR="00DA7DB0">
        <w:t xml:space="preserve">was generally below previous regulatory benchmarks that had been set and also </w:t>
      </w:r>
      <w:r>
        <w:t xml:space="preserve">compared favourably on a range of partial productivity factors relative to other </w:t>
      </w:r>
      <w:r w:rsidRPr="0039251A">
        <w:t xml:space="preserve">distribution network businesses </w:t>
      </w:r>
      <w:r>
        <w:t xml:space="preserve">in the </w:t>
      </w:r>
      <w:proofErr w:type="spellStart"/>
      <w:r>
        <w:t>NEM</w:t>
      </w:r>
      <w:proofErr w:type="spellEnd"/>
      <w:r>
        <w:t xml:space="preserve">. </w:t>
      </w:r>
      <w:r w:rsidR="007A0095">
        <w:t xml:space="preserve">As a result, the AER would expect that there is a </w:t>
      </w:r>
      <w:r w:rsidR="0090106F">
        <w:t xml:space="preserve">reasonable </w:t>
      </w:r>
      <w:r w:rsidR="007A0095">
        <w:t xml:space="preserve">likelihood that the historic unit cost and business practices of these </w:t>
      </w:r>
      <w:r w:rsidR="007A0095" w:rsidRPr="0039251A">
        <w:t xml:space="preserve">distribution network businesses </w:t>
      </w:r>
      <w:r w:rsidR="007A0095">
        <w:t xml:space="preserve">would be a </w:t>
      </w:r>
      <w:r w:rsidR="00DA7DB0">
        <w:t xml:space="preserve">reasonable </w:t>
      </w:r>
      <w:r w:rsidR="007A0095">
        <w:t xml:space="preserve">indication of future efficient costs. </w:t>
      </w:r>
      <w:r w:rsidR="00DA7DB0">
        <w:t xml:space="preserve">In that sense these </w:t>
      </w:r>
      <w:r w:rsidR="00073072">
        <w:t>’</w:t>
      </w:r>
      <w:r w:rsidR="00DA7DB0">
        <w:t>revealed costs</w:t>
      </w:r>
      <w:r w:rsidR="00073072">
        <w:t>’</w:t>
      </w:r>
      <w:r w:rsidR="00DA7DB0">
        <w:t xml:space="preserve"> were taken as the starting point for consideration of future efficient costs. </w:t>
      </w:r>
      <w:r w:rsidR="007A0095">
        <w:t xml:space="preserve">Relevantly, this also indicates that the privatised Victorian </w:t>
      </w:r>
      <w:r w:rsidR="007A0095" w:rsidRPr="0039251A">
        <w:t xml:space="preserve">distribution network businesses </w:t>
      </w:r>
      <w:r w:rsidR="007A0095">
        <w:t>have responded to the incentives to minimise costs (and maintain or improve reliability of the network).</w:t>
      </w:r>
      <w:r w:rsidR="0090106F">
        <w:t xml:space="preserve"> That said, this was </w:t>
      </w:r>
      <w:r w:rsidR="001F35CC">
        <w:t>only</w:t>
      </w:r>
      <w:r w:rsidR="0090106F">
        <w:t xml:space="preserve"> a starting point </w:t>
      </w:r>
      <w:r w:rsidR="008078DE">
        <w:t xml:space="preserve">for consideration of future efficient costs, </w:t>
      </w:r>
      <w:r w:rsidR="0090106F">
        <w:t xml:space="preserve">both because these businesses tended to </w:t>
      </w:r>
      <w:r w:rsidR="004E42C8">
        <w:t xml:space="preserve">systematically </w:t>
      </w:r>
      <w:r w:rsidR="0090106F">
        <w:t xml:space="preserve">over forecast their expenditure needs (even if they did beat the lower regulatory benchmarks) and because the extent of comparative benchmarking that has been possible to date is </w:t>
      </w:r>
      <w:r w:rsidR="001F35CC">
        <w:t xml:space="preserve">still </w:t>
      </w:r>
      <w:r w:rsidR="0090106F">
        <w:t xml:space="preserve">relatively </w:t>
      </w:r>
      <w:r w:rsidR="001F35CC">
        <w:t>limited</w:t>
      </w:r>
      <w:r w:rsidR="0090106F">
        <w:t xml:space="preserve">. This means that there is still a need for more work on establishing and implementing superior benchmarking measures for future reviews – this is discussed </w:t>
      </w:r>
      <w:r w:rsidR="007D1879">
        <w:t xml:space="preserve">further </w:t>
      </w:r>
      <w:r w:rsidR="0090106F">
        <w:t xml:space="preserve">in section </w:t>
      </w:r>
      <w:r w:rsidR="0040624A">
        <w:fldChar w:fldCharType="begin"/>
      </w:r>
      <w:r w:rsidR="0040624A">
        <w:instrText xml:space="preserve"> REF _Ref321824454 \r \h </w:instrText>
      </w:r>
      <w:r w:rsidR="0040624A">
        <w:fldChar w:fldCharType="separate"/>
      </w:r>
      <w:r w:rsidR="00A120EF">
        <w:t>4</w:t>
      </w:r>
      <w:r w:rsidR="0040624A">
        <w:fldChar w:fldCharType="end"/>
      </w:r>
      <w:r w:rsidR="0090106F">
        <w:t xml:space="preserve">. </w:t>
      </w:r>
    </w:p>
    <w:p w:rsidR="00531C6C" w:rsidRDefault="0090106F" w:rsidP="00531C6C">
      <w:pPr>
        <w:pStyle w:val="AERbodytext"/>
      </w:pPr>
      <w:r>
        <w:t>As well, when</w:t>
      </w:r>
      <w:r w:rsidR="007A0095">
        <w:t xml:space="preserve"> p</w:t>
      </w:r>
      <w:r w:rsidR="007A0095" w:rsidRPr="007A0095">
        <w:t xml:space="preserve">revious </w:t>
      </w:r>
      <w:r w:rsidR="00DA7DB0">
        <w:t xml:space="preserve">costs </w:t>
      </w:r>
      <w:r w:rsidR="007A0095" w:rsidRPr="007A0095">
        <w:t xml:space="preserve">are taken as the starting point to assess future </w:t>
      </w:r>
      <w:r w:rsidR="00AE6CD6">
        <w:t xml:space="preserve">expenditure </w:t>
      </w:r>
      <w:r w:rsidR="007A0095" w:rsidRPr="007A0095">
        <w:t xml:space="preserve">needs, </w:t>
      </w:r>
      <w:r>
        <w:t xml:space="preserve">it is also necessary to make </w:t>
      </w:r>
      <w:r w:rsidR="007A0095" w:rsidRPr="007A0095">
        <w:t>adjustment</w:t>
      </w:r>
      <w:r w:rsidR="007A0095">
        <w:t>s</w:t>
      </w:r>
      <w:r w:rsidR="007A0095" w:rsidRPr="007A0095">
        <w:t xml:space="preserve"> to take account of changing circumstances</w:t>
      </w:r>
      <w:r w:rsidR="00957772">
        <w:t xml:space="preserve"> which impact on the scale and scope of business activities</w:t>
      </w:r>
      <w:r w:rsidR="007A0095" w:rsidRPr="007A0095">
        <w:t>. These changes include an ageing asset base, continuing growth in demand and customer</w:t>
      </w:r>
      <w:r w:rsidR="00AE0750" w:rsidRPr="00AE0750">
        <w:t xml:space="preserve"> </w:t>
      </w:r>
      <w:r w:rsidR="00AE0750" w:rsidRPr="007A0095">
        <w:t>numbers</w:t>
      </w:r>
      <w:r w:rsidR="007A0095" w:rsidRPr="007A0095">
        <w:t xml:space="preserve">, increases in financing costs, wages and material costs, and changes in </w:t>
      </w:r>
      <w:r w:rsidR="00AE0750">
        <w:t xml:space="preserve">reliability, </w:t>
      </w:r>
      <w:r w:rsidR="007A0095" w:rsidRPr="007A0095">
        <w:t>safety and other service obligations.</w:t>
      </w:r>
      <w:r w:rsidR="00957772" w:rsidRPr="00957772">
        <w:t xml:space="preserve"> </w:t>
      </w:r>
      <w:r w:rsidR="00957772">
        <w:t xml:space="preserve">This technique can be used for both </w:t>
      </w:r>
      <w:r w:rsidR="00AE0750">
        <w:t>operating expenditure</w:t>
      </w:r>
      <w:r w:rsidR="00957772">
        <w:t xml:space="preserve"> and </w:t>
      </w:r>
      <w:r w:rsidR="00AE0750">
        <w:t>capital expenditure</w:t>
      </w:r>
      <w:r w:rsidR="00957772">
        <w:t xml:space="preserve"> but tends to have greater application in the analysis of </w:t>
      </w:r>
      <w:r w:rsidR="00AE0750">
        <w:t>operating expenditure</w:t>
      </w:r>
      <w:r w:rsidR="00957772">
        <w:t xml:space="preserve"> as </w:t>
      </w:r>
      <w:r w:rsidR="00AE0750">
        <w:t>capital expenditure</w:t>
      </w:r>
      <w:r w:rsidR="00957772">
        <w:t xml:space="preserve"> frequently contains substantial lumpy elements that make establishing a baseline and adjusting for scale and scope changes more </w:t>
      </w:r>
      <w:proofErr w:type="spellStart"/>
      <w:r w:rsidR="00957772">
        <w:t>difficult.</w:t>
      </w:r>
      <w:r w:rsidR="00531C6C">
        <w:t>To</w:t>
      </w:r>
      <w:proofErr w:type="spellEnd"/>
      <w:r w:rsidR="00531C6C">
        <w:t xml:space="preserve"> the extent that the regulatory regime provides effective incentives for efficient investment, the AER can take historic expenditure into account in setting the forecast allowance at the next regulatory reset. </w:t>
      </w:r>
      <w:r w:rsidR="00117CA9">
        <w:t xml:space="preserve">Figure 3.2 below shows the </w:t>
      </w:r>
      <w:r w:rsidR="004E42C8">
        <w:t xml:space="preserve">anticipated </w:t>
      </w:r>
      <w:r w:rsidR="00117CA9">
        <w:t xml:space="preserve">effect of the impact of changed requirements and operational circumstances </w:t>
      </w:r>
      <w:r w:rsidR="007D0B0B">
        <w:t>as compared to historical expenditure trends.</w:t>
      </w:r>
    </w:p>
    <w:p w:rsidR="00DA7DB0" w:rsidRDefault="00C00717" w:rsidP="00531C6C">
      <w:pPr>
        <w:pStyle w:val="AERbodytext"/>
      </w:pPr>
      <w:r>
        <w:t>More generally, the experience of the AER in regulating both privately and publicly owned network businesses points to the following observations:</w:t>
      </w:r>
    </w:p>
    <w:p w:rsidR="00C00717" w:rsidRDefault="00C00717" w:rsidP="00C00717">
      <w:pPr>
        <w:pStyle w:val="AERbodytext"/>
        <w:numPr>
          <w:ilvl w:val="0"/>
          <w:numId w:val="19"/>
        </w:numPr>
      </w:pPr>
      <w:r>
        <w:t xml:space="preserve">While privately-owned businesses appear to respond more directly to the incentive framework, thus allowing greater scope to use “revealed costs” </w:t>
      </w:r>
      <w:r w:rsidR="00957772">
        <w:t>at least as partial</w:t>
      </w:r>
      <w:r>
        <w:t xml:space="preserve"> benchmarking approach, other benchmarking analysis may still be necessary where comparative analysis or other modelling of business investment proposals points to the need for further </w:t>
      </w:r>
      <w:r w:rsidR="00E1595F">
        <w:t>examination of the proposals</w:t>
      </w:r>
      <w:r w:rsidR="0094709F">
        <w:t>.</w:t>
      </w:r>
    </w:p>
    <w:p w:rsidR="00C00717" w:rsidRDefault="00C00717" w:rsidP="00C00717">
      <w:pPr>
        <w:pStyle w:val="AERbodytext"/>
        <w:numPr>
          <w:ilvl w:val="0"/>
          <w:numId w:val="19"/>
        </w:numPr>
      </w:pPr>
      <w:r>
        <w:t xml:space="preserve">In the case of those businesses who </w:t>
      </w:r>
      <w:r w:rsidR="00421F27">
        <w:t xml:space="preserve">may </w:t>
      </w:r>
      <w:r>
        <w:t>not respond as directly to the incentive framework, greater use of comparative benchmarking is still required</w:t>
      </w:r>
      <w:r w:rsidR="002D584F">
        <w:t xml:space="preserve"> as revealed costs</w:t>
      </w:r>
      <w:r w:rsidR="00421F27">
        <w:t xml:space="preserve"> (actual costs)</w:t>
      </w:r>
      <w:r w:rsidR="002D584F">
        <w:t xml:space="preserve"> are not likely to provide even a reasonable starting point.</w:t>
      </w:r>
      <w:r w:rsidR="004E42C8">
        <w:t xml:space="preserve"> In this </w:t>
      </w:r>
      <w:r w:rsidR="00257885">
        <w:t>case</w:t>
      </w:r>
      <w:r w:rsidR="00672A77">
        <w:t xml:space="preserve">, if </w:t>
      </w:r>
      <w:r w:rsidR="00672A77">
        <w:lastRenderedPageBreak/>
        <w:t xml:space="preserve">the revealed costs are adopted as the starting point for an inefficient business, the business is in </w:t>
      </w:r>
      <w:r w:rsidR="00257885">
        <w:t>e</w:t>
      </w:r>
      <w:r w:rsidR="00672A77">
        <w:t>ffect, rewarded for those inefficiencies.</w:t>
      </w:r>
      <w:r w:rsidR="004E42C8">
        <w:t xml:space="preserve"> </w:t>
      </w:r>
    </w:p>
    <w:p w:rsidR="000A2CBC" w:rsidRDefault="00C00717" w:rsidP="000A2CBC">
      <w:pPr>
        <w:pStyle w:val="AERbodytext"/>
      </w:pPr>
      <w:r>
        <w:t xml:space="preserve">To further </w:t>
      </w:r>
      <w:r w:rsidR="002D584F">
        <w:t xml:space="preserve">its benchmarking </w:t>
      </w:r>
      <w:r w:rsidR="00257885">
        <w:t>capabilities</w:t>
      </w:r>
      <w:r>
        <w:t xml:space="preserve">, the AER is both enhancing </w:t>
      </w:r>
      <w:r w:rsidR="002D584F">
        <w:t xml:space="preserve">its current suite of benchmark tools and </w:t>
      </w:r>
      <w:r>
        <w:t xml:space="preserve">developing </w:t>
      </w:r>
      <w:r w:rsidR="002D584F">
        <w:t xml:space="preserve">more sophisticated benchmarking tools as well as improving its collection of consistent data from the sector – </w:t>
      </w:r>
      <w:r w:rsidR="008078DE">
        <w:t xml:space="preserve">this is discussed in </w:t>
      </w:r>
      <w:r w:rsidR="002D584F">
        <w:t xml:space="preserve">section </w:t>
      </w:r>
      <w:r w:rsidR="0040624A">
        <w:fldChar w:fldCharType="begin"/>
      </w:r>
      <w:r w:rsidR="0040624A">
        <w:instrText xml:space="preserve"> REF _Ref321824454 \r \h </w:instrText>
      </w:r>
      <w:r w:rsidR="0040624A">
        <w:fldChar w:fldCharType="separate"/>
      </w:r>
      <w:r w:rsidR="00A120EF">
        <w:t>4</w:t>
      </w:r>
      <w:r w:rsidR="0040624A">
        <w:fldChar w:fldCharType="end"/>
      </w:r>
      <w:r w:rsidR="008078DE">
        <w:t>.</w:t>
      </w:r>
      <w:r w:rsidR="002D584F">
        <w:t xml:space="preserve"> In addition, the AER is seeking amendments to the current rule</w:t>
      </w:r>
      <w:r w:rsidR="008078DE">
        <w:t>s</w:t>
      </w:r>
      <w:r w:rsidR="002D584F">
        <w:t xml:space="preserve"> framework under the </w:t>
      </w:r>
      <w:r w:rsidR="008078DE">
        <w:t>Electricity Rules</w:t>
      </w:r>
      <w:r w:rsidR="002D584F">
        <w:t xml:space="preserve"> to clarify its ability to fully undertake benchmarking as part of its assessment of network businesses</w:t>
      </w:r>
      <w:r w:rsidR="008078DE">
        <w:t>’</w:t>
      </w:r>
      <w:r w:rsidR="002D584F">
        <w:t xml:space="preserve"> expenditure proposals.</w:t>
      </w:r>
      <w:r w:rsidR="001471DC">
        <w:t xml:space="preserve">  </w:t>
      </w:r>
      <w:bookmarkStart w:id="8" w:name="_Ref321148241"/>
    </w:p>
    <w:p w:rsidR="00AF49B3" w:rsidRDefault="0039251A" w:rsidP="00AF49B3">
      <w:pPr>
        <w:pStyle w:val="AERfigureheading"/>
        <w:tabs>
          <w:tab w:val="clear" w:pos="357"/>
          <w:tab w:val="num" w:pos="1440"/>
        </w:tabs>
        <w:ind w:left="1440" w:hanging="1440"/>
      </w:pPr>
      <w:r w:rsidRPr="0039251A">
        <w:t xml:space="preserve">Victorian </w:t>
      </w:r>
      <w:proofErr w:type="spellStart"/>
      <w:r w:rsidRPr="0039251A">
        <w:t>DNSP</w:t>
      </w:r>
      <w:proofErr w:type="spellEnd"/>
      <w:r w:rsidRPr="0039251A">
        <w:t xml:space="preserve"> historical and forecast </w:t>
      </w:r>
      <w:r w:rsidR="004B440F">
        <w:t xml:space="preserve">operating </w:t>
      </w:r>
      <w:r w:rsidR="00A952F8">
        <w:t>expenditure</w:t>
      </w:r>
      <w:r w:rsidRPr="0039251A">
        <w:t xml:space="preserve"> comparison ($'m 2010)</w:t>
      </w:r>
      <w:bookmarkEnd w:id="8"/>
    </w:p>
    <w:p w:rsidR="0039251A" w:rsidRDefault="00E11296" w:rsidP="00AF49B3">
      <w:pPr>
        <w:pStyle w:val="AERfigureheading"/>
        <w:numPr>
          <w:ilvl w:val="0"/>
          <w:numId w:val="0"/>
        </w:numPr>
      </w:pPr>
      <w:r w:rsidRPr="006A6F7C">
        <w:rPr>
          <w:noProof/>
          <w:lang w:eastAsia="en-AU"/>
        </w:rPr>
        <w:pict>
          <v:shape id="Picture 2" o:spid="_x0000_i1026" type="#_x0000_t75" style="width:405pt;height:248.25pt;visibility:visible">
            <v:imagedata r:id="rId10" o:title="" croptop="1914f" cropright="2999f"/>
          </v:shape>
        </w:pict>
      </w:r>
    </w:p>
    <w:p w:rsidR="0039251A" w:rsidRDefault="0039251A" w:rsidP="00AD7326">
      <w:pPr>
        <w:pStyle w:val="AERtablesource"/>
        <w:keepNext/>
      </w:pPr>
      <w:r>
        <w:tab/>
        <w:t xml:space="preserve">Source: AER Final Decision – Victorian electricity distribution network service </w:t>
      </w:r>
      <w:proofErr w:type="gramStart"/>
      <w:r>
        <w:t>providers</w:t>
      </w:r>
      <w:proofErr w:type="gramEnd"/>
      <w:r>
        <w:t xml:space="preserve"> distribution determination 2011-15</w:t>
      </w:r>
      <w:r w:rsidR="00577DF9">
        <w:t>, October 2010.</w:t>
      </w:r>
      <w:r>
        <w:t xml:space="preserve"> </w:t>
      </w:r>
      <w:proofErr w:type="gramStart"/>
      <w:r w:rsidR="00583742">
        <w:t>page</w:t>
      </w:r>
      <w:proofErr w:type="gramEnd"/>
      <w:r w:rsidR="00577DF9">
        <w:t xml:space="preserve"> </w:t>
      </w:r>
      <w:r w:rsidR="00421F27">
        <w:t>374</w:t>
      </w:r>
      <w:r w:rsidR="00577DF9">
        <w:t>.</w:t>
      </w:r>
    </w:p>
    <w:p w:rsidR="0039251A" w:rsidRDefault="0039251A" w:rsidP="00AD7326">
      <w:pPr>
        <w:pStyle w:val="AERtablesource"/>
        <w:keepNext/>
      </w:pPr>
      <w:r>
        <w:tab/>
      </w:r>
      <w:r w:rsidRPr="0039251A">
        <w:t xml:space="preserve">Note: </w:t>
      </w:r>
      <w:proofErr w:type="spellStart"/>
      <w:r w:rsidRPr="0039251A">
        <w:t>ESCV</w:t>
      </w:r>
      <w:proofErr w:type="spellEnd"/>
      <w:r w:rsidRPr="0039251A">
        <w:t xml:space="preserve"> refers to the previous regulator - Essential Services Commission of Victoria </w:t>
      </w:r>
    </w:p>
    <w:p w:rsidR="006F3267" w:rsidRPr="006F3267" w:rsidRDefault="006F3267" w:rsidP="006F3267">
      <w:pPr>
        <w:pStyle w:val="AERbodytext"/>
      </w:pPr>
    </w:p>
    <w:p w:rsidR="00577DF9" w:rsidRPr="00577DF9" w:rsidRDefault="00577DF9" w:rsidP="00577DF9">
      <w:pPr>
        <w:pStyle w:val="AERfigureheading"/>
      </w:pPr>
      <w:bookmarkStart w:id="9" w:name="_Ref321148244"/>
      <w:r w:rsidRPr="00577DF9">
        <w:lastRenderedPageBreak/>
        <w:t xml:space="preserve">Victorian </w:t>
      </w:r>
      <w:proofErr w:type="spellStart"/>
      <w:r w:rsidRPr="00577DF9">
        <w:t>DNSPs</w:t>
      </w:r>
      <w:proofErr w:type="spellEnd"/>
      <w:r w:rsidRPr="00577DF9">
        <w:t>- Total minutes of</w:t>
      </w:r>
      <w:r w:rsidR="004E42C8">
        <w:t>f</w:t>
      </w:r>
      <w:r w:rsidRPr="00577DF9">
        <w:t xml:space="preserve"> supply per Victorian customer</w:t>
      </w:r>
      <w:bookmarkEnd w:id="9"/>
      <w:r w:rsidRPr="00577DF9">
        <w:t xml:space="preserve"> </w:t>
      </w:r>
    </w:p>
    <w:p w:rsidR="0039251A" w:rsidRDefault="00E11296" w:rsidP="0039251A">
      <w:pPr>
        <w:pStyle w:val="AERbodytext"/>
      </w:pPr>
      <w:r w:rsidRPr="006A6F7C">
        <w:rPr>
          <w:noProof/>
          <w:lang w:eastAsia="en-AU"/>
        </w:rPr>
        <w:pict>
          <v:shape id="Picture 3" o:spid="_x0000_i1027" type="#_x0000_t75" alt="Description: image001" style="width:414.75pt;height:255.75pt;visibility:visible">
            <v:imagedata r:id="rId11" o:title="image001"/>
          </v:shape>
        </w:pict>
      </w:r>
    </w:p>
    <w:p w:rsidR="00577DF9" w:rsidRDefault="00577DF9" w:rsidP="00577DF9">
      <w:pPr>
        <w:pStyle w:val="AERtablesource"/>
      </w:pPr>
      <w:r>
        <w:t>Source: AER analysis</w:t>
      </w:r>
    </w:p>
    <w:p w:rsidR="004F764D" w:rsidRDefault="00F2073E" w:rsidP="00F2073E">
      <w:pPr>
        <w:pStyle w:val="AERheading1"/>
        <w:tabs>
          <w:tab w:val="clear" w:pos="-357"/>
          <w:tab w:val="num" w:pos="0"/>
        </w:tabs>
        <w:ind w:left="0" w:hanging="714"/>
      </w:pPr>
      <w:bookmarkStart w:id="10" w:name="_Ref321824454"/>
      <w:r>
        <w:lastRenderedPageBreak/>
        <w:t>The use and further development of b</w:t>
      </w:r>
      <w:r w:rsidR="004F764D">
        <w:t>enchmarking</w:t>
      </w:r>
      <w:bookmarkEnd w:id="10"/>
      <w:r w:rsidR="0094709F">
        <w:t xml:space="preserve"> </w:t>
      </w:r>
      <w:r>
        <w:t xml:space="preserve">techniques </w:t>
      </w:r>
      <w:r w:rsidR="0094709F">
        <w:t xml:space="preserve">by </w:t>
      </w:r>
      <w:r w:rsidR="007833D3">
        <w:t xml:space="preserve">the </w:t>
      </w:r>
      <w:r w:rsidR="0094709F">
        <w:t>AER</w:t>
      </w:r>
      <w:r>
        <w:t xml:space="preserve"> </w:t>
      </w:r>
    </w:p>
    <w:p w:rsidR="00CF1074" w:rsidRDefault="004F764D" w:rsidP="004F764D">
      <w:pPr>
        <w:pStyle w:val="AERbodytext"/>
      </w:pPr>
      <w:r>
        <w:t xml:space="preserve">The Productivity Commission’s Inquiry seeks to assess the use of benchmarking as a means of achieving the efficient delivery of network services and electricity infrastructure to meet the long-term interests of consumers. </w:t>
      </w:r>
    </w:p>
    <w:p w:rsidR="00BD108F" w:rsidRDefault="00FD1ECD" w:rsidP="004F764D">
      <w:pPr>
        <w:pStyle w:val="AERbodytext"/>
      </w:pPr>
      <w:r>
        <w:t>B</w:t>
      </w:r>
      <w:r w:rsidR="00BD108F">
        <w:t xml:space="preserve">enchmarking is an analytical tool </w:t>
      </w:r>
      <w:r w:rsidR="00922D74">
        <w:t>that, when used appropriately, can</w:t>
      </w:r>
      <w:r w:rsidR="00BD108F">
        <w:t xml:space="preserve"> assist the regulator</w:t>
      </w:r>
      <w:r w:rsidR="005C4850">
        <w:t>’s</w:t>
      </w:r>
      <w:r w:rsidR="00BD108F">
        <w:t xml:space="preserve"> </w:t>
      </w:r>
      <w:r w:rsidR="005C4850">
        <w:t>assessment of the efficient level of expenditure sought by a network business in the forthcoming period.</w:t>
      </w:r>
      <w:r w:rsidR="00BD108F">
        <w:t xml:space="preserve"> </w:t>
      </w:r>
      <w:r>
        <w:t>The AER considers benchmarking to be one of a suite of tools that informs the overall assessment of an expenditure proposal</w:t>
      </w:r>
      <w:r w:rsidR="00E0767F">
        <w:t>.</w:t>
      </w:r>
      <w:r>
        <w:t xml:space="preserve"> </w:t>
      </w:r>
      <w:r w:rsidR="00E0767F">
        <w:t xml:space="preserve">Benchmarking is not a substitute for rigorous analysis and the exercise of judgement to determine expenditure allowances for a network business </w:t>
      </w:r>
      <w:r>
        <w:t xml:space="preserve">and </w:t>
      </w:r>
      <w:r w:rsidR="00E0767F">
        <w:t>can</w:t>
      </w:r>
      <w:r>
        <w:t>not be used in a mechanistic fashion to directly determine expenditure allowances</w:t>
      </w:r>
      <w:r w:rsidR="00E0767F">
        <w:t>. However,</w:t>
      </w:r>
      <w:r w:rsidR="006B3DBF">
        <w:t xml:space="preserve"> </w:t>
      </w:r>
      <w:r w:rsidR="00E0767F">
        <w:t>w</w:t>
      </w:r>
      <w:r w:rsidR="00BD108F">
        <w:t xml:space="preserve">hen </w:t>
      </w:r>
      <w:r w:rsidR="005C4850">
        <w:t xml:space="preserve">benchmarking is </w:t>
      </w:r>
      <w:r w:rsidR="00BD108F">
        <w:t>used prudently and carefully</w:t>
      </w:r>
      <w:r w:rsidR="005C4850">
        <w:t>,</w:t>
      </w:r>
      <w:r w:rsidR="00BD108F">
        <w:t xml:space="preserve"> and based on a robust specification</w:t>
      </w:r>
      <w:r w:rsidR="005C4850">
        <w:t xml:space="preserve"> that</w:t>
      </w:r>
      <w:r w:rsidR="00BD108F">
        <w:t xml:space="preserve"> incorporat</w:t>
      </w:r>
      <w:r w:rsidR="005C4850">
        <w:t>es</w:t>
      </w:r>
      <w:r w:rsidR="00BD108F">
        <w:t xml:space="preserve"> good quality data, it can be a very useful tool in the overall assessment of </w:t>
      </w:r>
      <w:r>
        <w:t xml:space="preserve">an </w:t>
      </w:r>
      <w:r w:rsidR="005C4850">
        <w:t xml:space="preserve">expenditure </w:t>
      </w:r>
      <w:r w:rsidR="00BD108F">
        <w:t xml:space="preserve">proposal. </w:t>
      </w:r>
      <w:r w:rsidR="005C4850">
        <w:t xml:space="preserve">There is evidence of other economic regulators, such as </w:t>
      </w:r>
      <w:proofErr w:type="spellStart"/>
      <w:r w:rsidR="005C4850">
        <w:t>Ofgem</w:t>
      </w:r>
      <w:proofErr w:type="spellEnd"/>
      <w:r w:rsidR="005C4850">
        <w:t xml:space="preserve"> in the </w:t>
      </w:r>
      <w:smartTag w:uri="urn:schemas-microsoft-com:office:smarttags" w:element="country-region">
        <w:smartTag w:uri="urn:schemas-microsoft-com:office:smarttags" w:element="place">
          <w:r w:rsidR="005C4850">
            <w:t>United Kingdom</w:t>
          </w:r>
        </w:smartTag>
      </w:smartTag>
      <w:r w:rsidR="005C4850">
        <w:t xml:space="preserve">, actively using benchmarking to inform and determine electricity network businesses’ efficient operating and capital expenditure within an incentive based regulatory framework. </w:t>
      </w:r>
      <w:r w:rsidR="006B3DBF">
        <w:t xml:space="preserve">The AER considers </w:t>
      </w:r>
      <w:r w:rsidR="00E0767F">
        <w:t xml:space="preserve">there is scope for </w:t>
      </w:r>
      <w:r w:rsidR="006B3DBF">
        <w:t xml:space="preserve">such benchmarking techniques </w:t>
      </w:r>
      <w:r w:rsidR="00E0767F">
        <w:t xml:space="preserve">to be adopted in </w:t>
      </w:r>
      <w:r w:rsidR="006B3DBF">
        <w:t xml:space="preserve">its </w:t>
      </w:r>
      <w:r w:rsidR="006B3DBF" w:rsidRPr="002244FB">
        <w:t>assess</w:t>
      </w:r>
      <w:r w:rsidR="006B3DBF">
        <w:t>ment</w:t>
      </w:r>
      <w:r w:rsidR="006B3DBF" w:rsidRPr="002244FB">
        <w:t xml:space="preserve"> </w:t>
      </w:r>
      <w:r w:rsidR="00027A73">
        <w:t xml:space="preserve">of </w:t>
      </w:r>
      <w:r w:rsidR="006B3DBF" w:rsidRPr="002244FB">
        <w:t>the efficiency of the regulated network</w:t>
      </w:r>
      <w:r w:rsidR="006B3DBF">
        <w:t xml:space="preserve"> businesses’</w:t>
      </w:r>
      <w:r w:rsidR="006B3DBF" w:rsidRPr="002244FB">
        <w:t xml:space="preserve"> expenditure proposals during a revenue determination</w:t>
      </w:r>
      <w:r w:rsidR="006B3DBF">
        <w:t>. To this end, the AER is</w:t>
      </w:r>
      <w:r w:rsidR="006B3DBF" w:rsidRPr="002244FB">
        <w:t xml:space="preserve"> </w:t>
      </w:r>
      <w:r w:rsidR="006B3DBF">
        <w:t xml:space="preserve">developing greater capabilities in benchmarking through </w:t>
      </w:r>
      <w:r w:rsidR="006B3DBF" w:rsidRPr="002244FB">
        <w:t xml:space="preserve">the collection, analysis and reporting of consistent data to allow </w:t>
      </w:r>
      <w:r w:rsidR="006B3DBF">
        <w:t>for</w:t>
      </w:r>
      <w:r w:rsidR="006B3DBF" w:rsidRPr="002244FB">
        <w:t xml:space="preserve"> comparisons </w:t>
      </w:r>
      <w:r w:rsidR="006B3DBF">
        <w:t xml:space="preserve">of </w:t>
      </w:r>
      <w:r w:rsidR="006B3DBF" w:rsidRPr="002244FB">
        <w:t xml:space="preserve">network </w:t>
      </w:r>
      <w:r w:rsidR="006B3DBF">
        <w:t>businesses’</w:t>
      </w:r>
      <w:r w:rsidR="006B3DBF" w:rsidRPr="002244FB">
        <w:t xml:space="preserve"> </w:t>
      </w:r>
      <w:r w:rsidR="006B3DBF">
        <w:t>expenditures</w:t>
      </w:r>
      <w:r w:rsidR="006B3DBF" w:rsidRPr="002244FB">
        <w:t xml:space="preserve"> and service outcomes. </w:t>
      </w:r>
      <w:r w:rsidR="006B3DBF">
        <w:t xml:space="preserve">The following section provides an overview of the </w:t>
      </w:r>
      <w:proofErr w:type="spellStart"/>
      <w:r w:rsidR="006B3DBF">
        <w:t>AER’s</w:t>
      </w:r>
      <w:proofErr w:type="spellEnd"/>
      <w:r w:rsidR="006B3DBF">
        <w:t xml:space="preserve"> increasing use of benchmarking and the challenges faced in its implementation in regulatory determinations.</w:t>
      </w:r>
    </w:p>
    <w:p w:rsidR="004F764D" w:rsidRDefault="004F764D" w:rsidP="004F764D">
      <w:pPr>
        <w:pStyle w:val="AERheading2"/>
        <w:numPr>
          <w:ilvl w:val="0"/>
          <w:numId w:val="0"/>
        </w:numPr>
        <w:ind w:left="-714" w:firstLine="714"/>
      </w:pPr>
      <w:r>
        <w:t xml:space="preserve">The </w:t>
      </w:r>
      <w:proofErr w:type="spellStart"/>
      <w:r>
        <w:t>AER’s</w:t>
      </w:r>
      <w:proofErr w:type="spellEnd"/>
      <w:r>
        <w:t xml:space="preserve"> use of benchmarking </w:t>
      </w:r>
    </w:p>
    <w:p w:rsidR="00F2073E" w:rsidRDefault="00F2073E" w:rsidP="00F2073E">
      <w:pPr>
        <w:pStyle w:val="AERbodytext"/>
      </w:pPr>
      <w:r>
        <w:t xml:space="preserve">The national electricity objective seeks to </w:t>
      </w:r>
      <w:r w:rsidRPr="002244FB">
        <w:t xml:space="preserve">‘promote efficient investment in, and use of, electricity services for the long-term interests of consumers of electricity with respect to price, quality, reliability, safety and supply.’ </w:t>
      </w:r>
      <w:r>
        <w:t>To this end, the AER makes revenue determinations for regulated transmission and distribution businesses. This involves forecasting the revenue requirement of a business to cover its efficient costs and provide a commercial return. Therefore, b</w:t>
      </w:r>
      <w:r w:rsidRPr="002244FB">
        <w:t>enchmarking</w:t>
      </w:r>
      <w:r>
        <w:t xml:space="preserve"> is a</w:t>
      </w:r>
      <w:r w:rsidRPr="007B77D7">
        <w:t xml:space="preserve">n important regulatory analytical tool that </w:t>
      </w:r>
      <w:r>
        <w:t xml:space="preserve">regulators can use to </w:t>
      </w:r>
      <w:r w:rsidRPr="007B77D7">
        <w:t xml:space="preserve">examine historic costs of the </w:t>
      </w:r>
      <w:r>
        <w:t>business</w:t>
      </w:r>
      <w:r w:rsidR="00441AD4" w:rsidRPr="00441AD4">
        <w:t xml:space="preserve"> </w:t>
      </w:r>
      <w:r w:rsidRPr="007B77D7">
        <w:t xml:space="preserve">and endeavours to look forward to </w:t>
      </w:r>
      <w:r>
        <w:t>estimate</w:t>
      </w:r>
      <w:r w:rsidRPr="007B77D7">
        <w:t xml:space="preserve"> the efficient costs expected to prevail in the forthcoming regulatory period. </w:t>
      </w:r>
    </w:p>
    <w:p w:rsidR="00086A56" w:rsidRPr="00086A56" w:rsidRDefault="004F764D" w:rsidP="00086A56">
      <w:pPr>
        <w:pStyle w:val="AERbodytext"/>
      </w:pPr>
      <w:r>
        <w:t xml:space="preserve">Benchmarking takes many distinct and separate forms, and many of these are outlined and their features explained in the Productivity Commission’s issues paper. </w:t>
      </w:r>
      <w:r w:rsidR="002648A8">
        <w:t xml:space="preserve">Similar to </w:t>
      </w:r>
      <w:r w:rsidR="00441AD4">
        <w:t xml:space="preserve">other </w:t>
      </w:r>
      <w:r>
        <w:t xml:space="preserve">economic regulators, </w:t>
      </w:r>
      <w:r w:rsidR="002648A8">
        <w:t>the AER has</w:t>
      </w:r>
      <w:r w:rsidR="00441AD4">
        <w:t xml:space="preserve"> used </w:t>
      </w:r>
      <w:r>
        <w:t>simpler forms of benchmarking comparisons</w:t>
      </w:r>
      <w:r w:rsidR="00441AD4">
        <w:t xml:space="preserve"> </w:t>
      </w:r>
      <w:r>
        <w:t xml:space="preserve">such as ratio analysis </w:t>
      </w:r>
      <w:r w:rsidR="002648A8">
        <w:t xml:space="preserve">as an internal tool </w:t>
      </w:r>
      <w:r w:rsidR="00441AD4">
        <w:t>to compare a regulated business’ performance to itself and to its peers</w:t>
      </w:r>
      <w:r w:rsidR="002648A8">
        <w:t xml:space="preserve">, </w:t>
      </w:r>
      <w:r>
        <w:t xml:space="preserve">to inform its </w:t>
      </w:r>
      <w:r w:rsidR="002648A8">
        <w:t xml:space="preserve">revenue determinations. </w:t>
      </w:r>
      <w:r>
        <w:t xml:space="preserve">Arguably, the current </w:t>
      </w:r>
      <w:r w:rsidR="00F2073E">
        <w:t xml:space="preserve">regulatory </w:t>
      </w:r>
      <w:r>
        <w:t xml:space="preserve">framework limits to some extent the ability of the AER to apply benchmarks to the </w:t>
      </w:r>
      <w:r w:rsidR="00E1595F">
        <w:t xml:space="preserve">direct </w:t>
      </w:r>
      <w:r>
        <w:t>determination of revenue allowances</w:t>
      </w:r>
      <w:r w:rsidR="006F738F">
        <w:t xml:space="preserve"> because of the requirement for the AER to have regard to the ‘individual circumstances of a network service provider’</w:t>
      </w:r>
      <w:r w:rsidR="006F738F" w:rsidRPr="006F738F">
        <w:t xml:space="preserve"> </w:t>
      </w:r>
      <w:r w:rsidR="006F738F">
        <w:t>in the assessment of an efficient expenditure allowance</w:t>
      </w:r>
      <w:r>
        <w:t xml:space="preserve">. Part of the </w:t>
      </w:r>
      <w:proofErr w:type="spellStart"/>
      <w:r>
        <w:t>AER’s</w:t>
      </w:r>
      <w:proofErr w:type="spellEnd"/>
      <w:r>
        <w:t xml:space="preserve"> rule change proposal to the </w:t>
      </w:r>
      <w:proofErr w:type="spellStart"/>
      <w:r>
        <w:t>AEMC</w:t>
      </w:r>
      <w:proofErr w:type="spellEnd"/>
      <w:r>
        <w:t xml:space="preserve"> on the Economic Regulation of Network Service Providers seeks to clarify the </w:t>
      </w:r>
      <w:proofErr w:type="spellStart"/>
      <w:r>
        <w:t>AER’s</w:t>
      </w:r>
      <w:proofErr w:type="spellEnd"/>
      <w:r>
        <w:t xml:space="preserve"> ability to use benchmarking more widely.</w:t>
      </w:r>
      <w:r w:rsidR="006F738F">
        <w:t xml:space="preserve"> </w:t>
      </w:r>
      <w:r w:rsidR="00086A56">
        <w:t>T</w:t>
      </w:r>
      <w:r w:rsidR="00FA2E96">
        <w:t xml:space="preserve">he AER </w:t>
      </w:r>
      <w:r w:rsidR="00CF1074">
        <w:t>seeks clarity in</w:t>
      </w:r>
      <w:r w:rsidR="00FA2E96">
        <w:t xml:space="preserve"> the </w:t>
      </w:r>
      <w:r w:rsidR="00F2073E">
        <w:t xml:space="preserve">Electricity </w:t>
      </w:r>
      <w:r w:rsidR="00FA2E96">
        <w:t xml:space="preserve">Rules regarding the nature of the </w:t>
      </w:r>
      <w:r w:rsidR="00086A56">
        <w:t>‘</w:t>
      </w:r>
      <w:r w:rsidR="00FA2E96">
        <w:t xml:space="preserve">individual </w:t>
      </w:r>
      <w:r w:rsidR="00FA2E96">
        <w:lastRenderedPageBreak/>
        <w:t>circumstances of a network service provider</w:t>
      </w:r>
      <w:r w:rsidR="00086A56">
        <w:t>’</w:t>
      </w:r>
      <w:r w:rsidR="00FA2E96">
        <w:t xml:space="preserve"> that need to be taken into account in applying comparative benchmarking. </w:t>
      </w:r>
      <w:r w:rsidR="00CF1074">
        <w:t>The types of issues the AER and other regulators would typically take into consideration of ‘</w:t>
      </w:r>
      <w:r w:rsidR="006F738F" w:rsidRPr="00086A56">
        <w:t>individual circumstances</w:t>
      </w:r>
      <w:r w:rsidR="00CF1074">
        <w:t>’</w:t>
      </w:r>
      <w:r w:rsidR="006F738F" w:rsidRPr="00086A56">
        <w:t xml:space="preserve"> extends </w:t>
      </w:r>
      <w:r w:rsidR="006F738F">
        <w:t xml:space="preserve">to </w:t>
      </w:r>
      <w:r w:rsidR="00CF1074">
        <w:t>exogenous</w:t>
      </w:r>
      <w:r w:rsidR="006F738F">
        <w:t xml:space="preserve"> network </w:t>
      </w:r>
      <w:r w:rsidR="00027A73">
        <w:t xml:space="preserve">characteristics </w:t>
      </w:r>
      <w:r w:rsidR="006F738F">
        <w:t xml:space="preserve">(such as location, topography, </w:t>
      </w:r>
      <w:r w:rsidR="00CF1074">
        <w:t xml:space="preserve">service obligations, </w:t>
      </w:r>
      <w:r w:rsidR="006F738F">
        <w:t xml:space="preserve">size and density) but not </w:t>
      </w:r>
      <w:proofErr w:type="gramStart"/>
      <w:r w:rsidR="006F738F">
        <w:t xml:space="preserve">to  </w:t>
      </w:r>
      <w:r w:rsidR="000736AB">
        <w:t>factors</w:t>
      </w:r>
      <w:proofErr w:type="gramEnd"/>
      <w:r w:rsidR="000736AB">
        <w:t xml:space="preserve"> which are under the direct control of the network business. </w:t>
      </w:r>
      <w:r w:rsidR="00CF1074">
        <w:t>Even in the absence of the current requirement under the Electricity Rules, a</w:t>
      </w:r>
      <w:r w:rsidR="006F738F">
        <w:t xml:space="preserve">djustments for </w:t>
      </w:r>
      <w:r w:rsidR="00CF1074" w:rsidRPr="00086A56">
        <w:t>exogenous factors that affect expenditure requirements</w:t>
      </w:r>
      <w:r w:rsidR="00CF1074">
        <w:t xml:space="preserve"> </w:t>
      </w:r>
      <w:r w:rsidR="006F738F">
        <w:t>would typically be the sort of adjustment made in any benchmarking calibration and normalisation exercise</w:t>
      </w:r>
      <w:r w:rsidR="00CF1074">
        <w:t xml:space="preserve"> to ensure apples can be compared with apples. </w:t>
      </w:r>
    </w:p>
    <w:p w:rsidR="00FA2E96" w:rsidRDefault="009558D1" w:rsidP="009558D1">
      <w:pPr>
        <w:pStyle w:val="AERbodytext"/>
      </w:pPr>
      <w:r>
        <w:t xml:space="preserve">A standard technique for reviewing the forecast costs of a mature, ongoing business is to assume that its past costs will inform likely future costs. Therefore, regulators including the AER typically collect time series data for as long a prior period as is practical and use these ‘revealed costs’ as a starting point for an analysis of potential future costs. </w:t>
      </w:r>
      <w:r w:rsidR="00957772">
        <w:t>E</w:t>
      </w:r>
      <w:r w:rsidR="006F3267">
        <w:t>xample</w:t>
      </w:r>
      <w:r w:rsidR="00957772">
        <w:t>s of this were</w:t>
      </w:r>
      <w:r w:rsidR="006F3267">
        <w:t xml:space="preserve"> discussed in section</w:t>
      </w:r>
      <w:r w:rsidR="00FD1ECD">
        <w:t xml:space="preserve"> </w:t>
      </w:r>
      <w:r w:rsidR="00FD1ECD">
        <w:fldChar w:fldCharType="begin"/>
      </w:r>
      <w:r w:rsidR="00FD1ECD">
        <w:instrText xml:space="preserve"> REF _Ref321988987 \r \h </w:instrText>
      </w:r>
      <w:r w:rsidR="00FD1ECD">
        <w:fldChar w:fldCharType="separate"/>
      </w:r>
      <w:r w:rsidR="00A120EF">
        <w:t>3</w:t>
      </w:r>
      <w:r w:rsidR="00FD1ECD">
        <w:fldChar w:fldCharType="end"/>
      </w:r>
      <w:r w:rsidR="006F3267">
        <w:t xml:space="preserve">. </w:t>
      </w:r>
    </w:p>
    <w:p w:rsidR="00FA2E96" w:rsidRDefault="00FA2E96" w:rsidP="00FA2E96">
      <w:pPr>
        <w:pStyle w:val="AERbodytext"/>
      </w:pPr>
      <w:r>
        <w:t xml:space="preserve">The AER also uses benchmarking to compare a </w:t>
      </w:r>
      <w:r w:rsidR="002648A8">
        <w:t xml:space="preserve">network </w:t>
      </w:r>
      <w:proofErr w:type="gramStart"/>
      <w:r w:rsidR="002648A8">
        <w:t>business</w:t>
      </w:r>
      <w:r>
        <w:t>‘ past</w:t>
      </w:r>
      <w:proofErr w:type="gramEnd"/>
      <w:r>
        <w:t xml:space="preserve"> performance and forecasts with other </w:t>
      </w:r>
      <w:r w:rsidR="002648A8">
        <w:t>network businesses</w:t>
      </w:r>
      <w:r>
        <w:t xml:space="preserve">, as a reference for assessing efficiency. Where this benchmarking indicates that their </w:t>
      </w:r>
      <w:r w:rsidR="00AE0750">
        <w:t>capital expenditure</w:t>
      </w:r>
      <w:r>
        <w:t xml:space="preserve"> may not be efficient, the AER undertakes a detailed review of the </w:t>
      </w:r>
      <w:proofErr w:type="gramStart"/>
      <w:r w:rsidR="002648A8">
        <w:t>business</w:t>
      </w:r>
      <w:r>
        <w:t>‘ proposal</w:t>
      </w:r>
      <w:proofErr w:type="gramEnd"/>
      <w:r>
        <w:t xml:space="preserve">. The </w:t>
      </w:r>
      <w:proofErr w:type="spellStart"/>
      <w:r>
        <w:t>AER‘s</w:t>
      </w:r>
      <w:proofErr w:type="spellEnd"/>
      <w:r>
        <w:t xml:space="preserve"> detailed review involves consideration of relevant documentation and the impact of factors expected to differ from the past and/or from other </w:t>
      </w:r>
      <w:r w:rsidR="002648A8">
        <w:t>network businesse</w:t>
      </w:r>
      <w:r>
        <w:t xml:space="preserve">s. The AER forms its judgement after considering submissions from the </w:t>
      </w:r>
      <w:r w:rsidR="002648A8">
        <w:t>network business</w:t>
      </w:r>
      <w:r>
        <w:t xml:space="preserve">, other interested parties, and the </w:t>
      </w:r>
      <w:proofErr w:type="spellStart"/>
      <w:r>
        <w:t>AER‘s</w:t>
      </w:r>
      <w:proofErr w:type="spellEnd"/>
      <w:r>
        <w:t xml:space="preserve"> own analysis. </w:t>
      </w:r>
    </w:p>
    <w:p w:rsidR="00FA2E96" w:rsidRDefault="00FA2E96" w:rsidP="00FA2E96">
      <w:pPr>
        <w:pStyle w:val="AERbodytext"/>
      </w:pPr>
      <w:r>
        <w:t xml:space="preserve">The AER recognises that forecast efficient costs may legitimately depart from those revealed through past performance, and compared with other </w:t>
      </w:r>
      <w:r w:rsidR="002648A8">
        <w:t>network businesse</w:t>
      </w:r>
      <w:r>
        <w:t xml:space="preserve">s. For example, </w:t>
      </w:r>
      <w:r w:rsidR="002648A8">
        <w:t xml:space="preserve">network businesses </w:t>
      </w:r>
      <w:r>
        <w:t xml:space="preserve">may discover more efficient processes over time or may propose they can best achieve the </w:t>
      </w:r>
      <w:r w:rsidR="00AE0750">
        <w:t>capital expenditure</w:t>
      </w:r>
      <w:r>
        <w:t xml:space="preserve"> objectives by incurring expenditure to implement new, more efficient processes, and include such expenditure in their proposed forecast </w:t>
      </w:r>
      <w:r w:rsidR="00AE0750">
        <w:t>capital expenditure</w:t>
      </w:r>
      <w:r>
        <w:t xml:space="preserve">. The AER generally assumes that operating processes would only be changed (from revealed costs, or otherwise efficient processes) if they are likely to result in efficiency gains (in the absence of any information to suggest other reasons for the change). Where the AER considers that future cost savings should result from </w:t>
      </w:r>
      <w:r w:rsidR="00AE0750">
        <w:t>capital expenditure</w:t>
      </w:r>
      <w:r>
        <w:t xml:space="preserve"> investments, the AER takes this into consideration in determining the </w:t>
      </w:r>
      <w:r w:rsidR="00AE0750">
        <w:t>operating expenditure</w:t>
      </w:r>
      <w:r>
        <w:t xml:space="preserve"> allowance.</w:t>
      </w:r>
    </w:p>
    <w:p w:rsidR="002648A8" w:rsidRPr="00FA2E96" w:rsidRDefault="002648A8" w:rsidP="00353B56">
      <w:pPr>
        <w:pStyle w:val="AERheading4"/>
      </w:pPr>
      <w:r>
        <w:t xml:space="preserve">Using </w:t>
      </w:r>
      <w:r w:rsidRPr="00FA2E96">
        <w:t>benchmarking</w:t>
      </w:r>
      <w:r>
        <w:t xml:space="preserve"> techniques in revenue determinations</w:t>
      </w:r>
    </w:p>
    <w:p w:rsidR="006F3267" w:rsidRDefault="002648A8" w:rsidP="006F3267">
      <w:pPr>
        <w:pStyle w:val="AERbodytext"/>
      </w:pPr>
      <w:r>
        <w:t xml:space="preserve">In the NSW and </w:t>
      </w:r>
      <w:smartTag w:uri="urn:schemas-microsoft-com:office:smarttags" w:element="place">
        <w:smartTag w:uri="urn:schemas-microsoft-com:office:smarttags" w:element="State">
          <w:r>
            <w:t>Queensland</w:t>
          </w:r>
        </w:smartTag>
      </w:smartTag>
      <w:r>
        <w:t xml:space="preserve"> revenue determination processes, t</w:t>
      </w:r>
      <w:r w:rsidR="006F3267">
        <w:t xml:space="preserve">he AER also conducted regression analysis of operational expenditure of the </w:t>
      </w:r>
      <w:r>
        <w:t>network businesses</w:t>
      </w:r>
      <w:r w:rsidR="006F3267">
        <w:t xml:space="preserve"> to seek to identify whether their operational expenditure was efficient. </w:t>
      </w:r>
      <w:proofErr w:type="gramStart"/>
      <w:r w:rsidR="006F3267">
        <w:t xml:space="preserve">In each </w:t>
      </w:r>
      <w:r>
        <w:t>revenue</w:t>
      </w:r>
      <w:proofErr w:type="gramEnd"/>
      <w:r>
        <w:t xml:space="preserve"> determination </w:t>
      </w:r>
      <w:r w:rsidR="006F3267">
        <w:t>decision problems were encountered with the use of this technique which revolved around matters including the data used, the specification of the parameters to be modelled and consequently, the robustness of the results obtained.</w:t>
      </w:r>
    </w:p>
    <w:p w:rsidR="00957772" w:rsidRDefault="00957772" w:rsidP="006F3267">
      <w:pPr>
        <w:pStyle w:val="AERbodytext"/>
      </w:pPr>
      <w:r>
        <w:t xml:space="preserve">These difficulties point to the need for a rigorous </w:t>
      </w:r>
      <w:r w:rsidR="00856C50">
        <w:t xml:space="preserve">development of </w:t>
      </w:r>
      <w:r w:rsidR="002648A8">
        <w:t xml:space="preserve">expenditure </w:t>
      </w:r>
      <w:r w:rsidR="00856C50">
        <w:t xml:space="preserve">assessment approaches, in consultation with industry and the build up of a comprehensive set of data across the sector. It is also </w:t>
      </w:r>
      <w:r w:rsidR="00D04658">
        <w:t xml:space="preserve">desirable </w:t>
      </w:r>
      <w:r w:rsidR="00856C50">
        <w:t xml:space="preserve">that such </w:t>
      </w:r>
      <w:r w:rsidR="002648A8">
        <w:t xml:space="preserve">expenditure </w:t>
      </w:r>
      <w:r w:rsidR="00856C50">
        <w:t>approaches are developed outside of a particular determination process</w:t>
      </w:r>
      <w:r w:rsidR="00D04658">
        <w:t xml:space="preserve"> to allow sufficient time for the consideration of all relevant issues and consult more broadly with the sector</w:t>
      </w:r>
      <w:r w:rsidR="00856C50">
        <w:t xml:space="preserve">. The </w:t>
      </w:r>
      <w:proofErr w:type="spellStart"/>
      <w:r w:rsidR="00856C50">
        <w:t>AER’s</w:t>
      </w:r>
      <w:proofErr w:type="spellEnd"/>
      <w:r w:rsidR="00856C50">
        <w:t xml:space="preserve"> benchmarking development plans are outlined below. </w:t>
      </w:r>
    </w:p>
    <w:p w:rsidR="004F764D" w:rsidRDefault="00E1595F" w:rsidP="004F764D">
      <w:pPr>
        <w:pStyle w:val="AERbodytext"/>
      </w:pPr>
      <w:r>
        <w:lastRenderedPageBreak/>
        <w:t xml:space="preserve">A more specific example of the use of benchmarking techniques and the relationship to the use of </w:t>
      </w:r>
      <w:r w:rsidR="002648A8">
        <w:t>‘</w:t>
      </w:r>
      <w:r>
        <w:t>revealed costs</w:t>
      </w:r>
      <w:r w:rsidR="002648A8">
        <w:t>’</w:t>
      </w:r>
      <w:r w:rsidR="00353B56">
        <w:t xml:space="preserve"> expenditure assessment</w:t>
      </w:r>
      <w:r>
        <w:t xml:space="preserve"> was in </w:t>
      </w:r>
      <w:r w:rsidR="004F764D">
        <w:t>the Victorian electricity distribution revenue determination for 2011-15</w:t>
      </w:r>
      <w:r>
        <w:t>. In this case,</w:t>
      </w:r>
      <w:r w:rsidR="004F764D">
        <w:t xml:space="preserve"> the AER initially sought to use both the ‘weighted average probability’</w:t>
      </w:r>
      <w:r w:rsidR="005A1A4B">
        <w:rPr>
          <w:rStyle w:val="FootnoteReference"/>
        </w:rPr>
        <w:footnoteReference w:id="2"/>
      </w:r>
      <w:r w:rsidR="004F764D">
        <w:t xml:space="preserve"> benchmark approach as well as </w:t>
      </w:r>
      <w:r>
        <w:t xml:space="preserve">a </w:t>
      </w:r>
      <w:r w:rsidR="004F764D">
        <w:t xml:space="preserve">‘revealed costs’ approach, to test the proposals for </w:t>
      </w:r>
      <w:r w:rsidR="004F6C00">
        <w:t xml:space="preserve">augmentation capital expenditure </w:t>
      </w:r>
      <w:r w:rsidR="004F764D">
        <w:t xml:space="preserve">– expenditure associated with the growth in the network. Actual or ‘revealed’ costs were used for determining the starting point for whether the proposed capital expenditure sought by the network businesses </w:t>
      </w:r>
      <w:r w:rsidR="004F764D" w:rsidRPr="00306D80">
        <w:t xml:space="preserve">satisfied the </w:t>
      </w:r>
      <w:r w:rsidR="004F764D">
        <w:t xml:space="preserve">capital expenditure </w:t>
      </w:r>
      <w:r w:rsidR="004F764D" w:rsidRPr="00306D80">
        <w:t xml:space="preserve">criteria </w:t>
      </w:r>
      <w:r w:rsidR="004F764D">
        <w:t xml:space="preserve">set out in the Electricity Rules. </w:t>
      </w:r>
      <w:r w:rsidR="004F764D" w:rsidRPr="00862AF3">
        <w:t xml:space="preserve">The AER </w:t>
      </w:r>
      <w:r w:rsidR="004F764D" w:rsidRPr="00306D80">
        <w:t>review</w:t>
      </w:r>
      <w:r w:rsidR="004F764D">
        <w:t>ed</w:t>
      </w:r>
      <w:r w:rsidR="004F764D" w:rsidRPr="00306D80">
        <w:t xml:space="preserve"> </w:t>
      </w:r>
      <w:r w:rsidR="004F764D">
        <w:t xml:space="preserve">the network businesses’ </w:t>
      </w:r>
      <w:r w:rsidR="004F764D" w:rsidRPr="00306D80">
        <w:t xml:space="preserve">historical </w:t>
      </w:r>
      <w:r w:rsidR="004F764D">
        <w:t xml:space="preserve">augmentation capital expenditure </w:t>
      </w:r>
      <w:r w:rsidR="004F764D" w:rsidRPr="00306D80">
        <w:t xml:space="preserve">as a point of reference in testing whether </w:t>
      </w:r>
      <w:r w:rsidR="004F764D">
        <w:t xml:space="preserve">the </w:t>
      </w:r>
      <w:r w:rsidR="004F764D" w:rsidRPr="00306D80">
        <w:t xml:space="preserve">forecast future volumes </w:t>
      </w:r>
      <w:r w:rsidR="004F764D">
        <w:t xml:space="preserve">of augmentation capital expenditure proposed by the network businesses </w:t>
      </w:r>
      <w:r w:rsidR="004F764D" w:rsidRPr="00306D80">
        <w:t>appear</w:t>
      </w:r>
      <w:r w:rsidR="004F764D">
        <w:t>ed</w:t>
      </w:r>
      <w:r w:rsidR="004F764D" w:rsidRPr="00306D80">
        <w:t xml:space="preserve"> consistent with historical activity. Where substantial differences </w:t>
      </w:r>
      <w:r w:rsidR="004F764D">
        <w:t>were</w:t>
      </w:r>
      <w:r w:rsidR="004F764D" w:rsidRPr="00306D80">
        <w:t xml:space="preserve"> apparent the AER</w:t>
      </w:r>
      <w:r w:rsidR="004F764D">
        <w:t xml:space="preserve"> </w:t>
      </w:r>
      <w:r w:rsidR="004F764D" w:rsidRPr="00306D80">
        <w:t xml:space="preserve">sought to </w:t>
      </w:r>
      <w:r w:rsidR="004F764D" w:rsidRPr="00862AF3">
        <w:t xml:space="preserve">explore whether the </w:t>
      </w:r>
      <w:r w:rsidR="004F764D">
        <w:t>businesses</w:t>
      </w:r>
      <w:r w:rsidR="004F764D" w:rsidRPr="00862AF3">
        <w:t xml:space="preserve"> </w:t>
      </w:r>
      <w:r w:rsidR="004F764D">
        <w:t>were</w:t>
      </w:r>
      <w:r w:rsidR="004F764D" w:rsidRPr="00862AF3">
        <w:t xml:space="preserve"> able to adequately substantiate the relative variations in </w:t>
      </w:r>
      <w:r w:rsidR="004F764D">
        <w:t xml:space="preserve">this component of </w:t>
      </w:r>
      <w:r w:rsidR="004F764D" w:rsidRPr="00862AF3">
        <w:t>cap</w:t>
      </w:r>
      <w:r w:rsidR="004F764D">
        <w:t>ital expenditure, and the weighted probability approach was designed to further test the proposals in this way. The Electricity Rules also require that in the assessment of an efficient expenditure allowance, the AER must take into account the circumstances of an individual network</w:t>
      </w:r>
      <w:r>
        <w:t>;</w:t>
      </w:r>
      <w:r w:rsidR="004F764D">
        <w:t xml:space="preserve"> </w:t>
      </w:r>
      <w:r w:rsidR="00FA2E96">
        <w:t xml:space="preserve">such as </w:t>
      </w:r>
      <w:r w:rsidR="004F764D">
        <w:t xml:space="preserve">differences related to intrinsic network characteristics, </w:t>
      </w:r>
      <w:r w:rsidR="00FA2E96">
        <w:t>including</w:t>
      </w:r>
      <w:r w:rsidR="004F764D">
        <w:t xml:space="preserve"> location, topography, size and density. In applying the weighted average probability approach the AER sought to take such differences into account, consistent with the Rules. </w:t>
      </w:r>
    </w:p>
    <w:p w:rsidR="004F764D" w:rsidRDefault="004F764D" w:rsidP="004F764D">
      <w:pPr>
        <w:pStyle w:val="AERbodytext"/>
      </w:pPr>
      <w:r>
        <w:t>A</w:t>
      </w:r>
      <w:r w:rsidRPr="008726CD">
        <w:t xml:space="preserve"> revealed cost approach </w:t>
      </w:r>
      <w:r w:rsidRPr="00306D80">
        <w:t>provid</w:t>
      </w:r>
      <w:r>
        <w:t>es</w:t>
      </w:r>
      <w:r w:rsidRPr="00306D80">
        <w:t xml:space="preserve"> </w:t>
      </w:r>
      <w:r w:rsidR="00E1595F">
        <w:t xml:space="preserve">some </w:t>
      </w:r>
      <w:r w:rsidRPr="00306D80">
        <w:t xml:space="preserve">insight into the outcomes to be expected from the application of a </w:t>
      </w:r>
      <w:r>
        <w:t xml:space="preserve">network businesses’ </w:t>
      </w:r>
      <w:r w:rsidRPr="00306D80">
        <w:t>internal governance p</w:t>
      </w:r>
      <w:r>
        <w:t xml:space="preserve">rocesses </w:t>
      </w:r>
      <w:r w:rsidRPr="00306D80">
        <w:t xml:space="preserve">and </w:t>
      </w:r>
      <w:r>
        <w:t xml:space="preserve">can inform the assessment of </w:t>
      </w:r>
      <w:r w:rsidRPr="00306D80">
        <w:t xml:space="preserve">unit costs. </w:t>
      </w:r>
      <w:r>
        <w:t>However,</w:t>
      </w:r>
      <w:r w:rsidRPr="00306D80">
        <w:t xml:space="preserve"> revealed costs</w:t>
      </w:r>
      <w:r>
        <w:t xml:space="preserve"> may not be a sufficient test where unexplained or unsupported differences are apparent between the historical trend and the forecast trend. In such a case, other benchmarking tools are necessary, and the weighted </w:t>
      </w:r>
      <w:r w:rsidR="005A1A4B">
        <w:t xml:space="preserve">average </w:t>
      </w:r>
      <w:r>
        <w:t xml:space="preserve">probability approach was adopted in this instance. This further assessment indicated that some $300 million in capital allowances could not be explained by either historical factors or substantiated by claimed needs according to the weighted probability approach. However, while the </w:t>
      </w:r>
      <w:r w:rsidR="00E1595F">
        <w:t>weighted probability</w:t>
      </w:r>
      <w:r>
        <w:t xml:space="preserve"> method pointed to an apparent over-forecast in augmentation capital expenditure, </w:t>
      </w:r>
      <w:r w:rsidR="005A1A4B">
        <w:t xml:space="preserve">the approach </w:t>
      </w:r>
      <w:r w:rsidR="000736AB">
        <w:t xml:space="preserve">was not able to be utilised to test the full range of projects </w:t>
      </w:r>
      <w:r w:rsidR="00BD108F">
        <w:t xml:space="preserve">across all businesses </w:t>
      </w:r>
      <w:r w:rsidR="000736AB">
        <w:t xml:space="preserve">in this </w:t>
      </w:r>
      <w:r w:rsidR="00AE0750">
        <w:t>capital expenditure</w:t>
      </w:r>
      <w:r w:rsidR="000736AB">
        <w:t xml:space="preserve"> category, given timing and data limitations</w:t>
      </w:r>
      <w:r>
        <w:t xml:space="preserve">. As a result the AER could not fully rely on this approach to adjust the capital expenditure allowance to the full extent desired.  Subsequent to the Victorian electricity distribution revenue determination, the AER has been developing more robust expenditure </w:t>
      </w:r>
      <w:r w:rsidR="005A1A4B">
        <w:t>assessment tools</w:t>
      </w:r>
      <w:r w:rsidR="00E1595F">
        <w:t xml:space="preserve">, such as a new augmentation </w:t>
      </w:r>
      <w:r w:rsidR="00AE0750">
        <w:t>capital expenditure</w:t>
      </w:r>
      <w:r w:rsidR="00E1595F">
        <w:t xml:space="preserve"> model,</w:t>
      </w:r>
      <w:r>
        <w:t xml:space="preserve"> as well as more comprehensive data sets.</w:t>
      </w:r>
    </w:p>
    <w:p w:rsidR="005A1A4B" w:rsidRDefault="00856C50" w:rsidP="005A1A4B">
      <w:pPr>
        <w:pStyle w:val="AERbodytext"/>
      </w:pPr>
      <w:r>
        <w:t>T</w:t>
      </w:r>
      <w:r w:rsidR="005A1A4B">
        <w:t xml:space="preserve">he AER has </w:t>
      </w:r>
      <w:r>
        <w:t xml:space="preserve">also developed and </w:t>
      </w:r>
      <w:r w:rsidR="005A1A4B">
        <w:t xml:space="preserve">used </w:t>
      </w:r>
      <w:r>
        <w:t>a</w:t>
      </w:r>
      <w:r w:rsidR="005A1A4B">
        <w:t xml:space="preserve"> replacement expenditure tool (‘</w:t>
      </w:r>
      <w:proofErr w:type="spellStart"/>
      <w:r w:rsidR="005A1A4B">
        <w:t>repex</w:t>
      </w:r>
      <w:proofErr w:type="spellEnd"/>
      <w:r w:rsidR="005A1A4B">
        <w:t xml:space="preserve"> model’)</w:t>
      </w:r>
      <w:r w:rsidR="00027A73">
        <w:t>,</w:t>
      </w:r>
      <w:r w:rsidR="005A1A4B">
        <w:t xml:space="preserve"> first applied in the Victorian </w:t>
      </w:r>
      <w:r w:rsidR="00027A73">
        <w:t xml:space="preserve">determination, </w:t>
      </w:r>
      <w:r w:rsidR="005A1A4B" w:rsidRPr="0011377B">
        <w:t xml:space="preserve">to </w:t>
      </w:r>
      <w:r w:rsidR="00027A73">
        <w:t xml:space="preserve">assess </w:t>
      </w:r>
      <w:r w:rsidR="005A1A4B" w:rsidRPr="0011377B">
        <w:t>the historical relationship between asset age and replacement expenditure. The AER then examine</w:t>
      </w:r>
      <w:r w:rsidR="005A1A4B">
        <w:t>d</w:t>
      </w:r>
      <w:r w:rsidR="005A1A4B" w:rsidRPr="0011377B">
        <w:t xml:space="preserve"> whether </w:t>
      </w:r>
      <w:r>
        <w:t>a business’</w:t>
      </w:r>
      <w:r w:rsidR="005A1A4B" w:rsidRPr="0011377B">
        <w:t xml:space="preserve"> forecast expenditure is consistent with its forecast asset </w:t>
      </w:r>
      <w:r w:rsidR="00027A73">
        <w:t xml:space="preserve">age </w:t>
      </w:r>
      <w:r w:rsidR="005A1A4B" w:rsidRPr="0011377B">
        <w:t>profile</w:t>
      </w:r>
      <w:r w:rsidR="00027A73">
        <w:t>.</w:t>
      </w:r>
      <w:r w:rsidR="005A1A4B" w:rsidRPr="0011377B">
        <w:t xml:space="preserve"> </w:t>
      </w:r>
    </w:p>
    <w:p w:rsidR="00922D74" w:rsidRPr="00922D74" w:rsidRDefault="00922D74" w:rsidP="0026798B">
      <w:pPr>
        <w:pStyle w:val="AERheading2"/>
        <w:numPr>
          <w:ilvl w:val="0"/>
          <w:numId w:val="0"/>
        </w:numPr>
        <w:ind w:left="-714" w:firstLine="714"/>
      </w:pPr>
      <w:r w:rsidRPr="00922D74">
        <w:lastRenderedPageBreak/>
        <w:t>Further development of benchmarking</w:t>
      </w:r>
      <w:r w:rsidR="00F2073E">
        <w:t xml:space="preserve"> techniques</w:t>
      </w:r>
    </w:p>
    <w:p w:rsidR="004F764D" w:rsidRDefault="004F764D" w:rsidP="004F764D">
      <w:pPr>
        <w:pStyle w:val="AERbodytext"/>
      </w:pPr>
      <w:r>
        <w:t xml:space="preserve">The AER can readily apply benchmarks as an informative tool and regularly does so to varying degrees to inform the </w:t>
      </w:r>
      <w:proofErr w:type="spellStart"/>
      <w:r>
        <w:t>AER’s</w:t>
      </w:r>
      <w:proofErr w:type="spellEnd"/>
      <w:r>
        <w:t xml:space="preserve"> assessment of expenditure proposals to direct or guide more targeted scrutiny and analysis of relevant areas. However, it is also appropriate to improve the robustness and veracity of these </w:t>
      </w:r>
      <w:r w:rsidRPr="00C63345">
        <w:t xml:space="preserve">benchmark techniques particularly if they are to be used to make more determinative assessments. </w:t>
      </w:r>
    </w:p>
    <w:p w:rsidR="004F764D" w:rsidRDefault="004F764D" w:rsidP="004F764D">
      <w:pPr>
        <w:pStyle w:val="AERbodytext"/>
      </w:pPr>
      <w:r>
        <w:t>An important consideration</w:t>
      </w:r>
      <w:r w:rsidR="00345A15">
        <w:t xml:space="preserve"> </w:t>
      </w:r>
      <w:r>
        <w:t xml:space="preserve">in the use of a benchmark in a regulatory context is the quality of the data from which that benchmark is derived. The availability of data that is reported on a consistent basis is critical if the AER is to effectively use benchmarking to set regulatory allowances. In cases where a benchmark is directly relevant to the circumstances of the regulated business it is likely that the critical issue will be the quality of the data on which the benchmark is based, and not </w:t>
      </w:r>
      <w:r w:rsidR="00D04658">
        <w:t xml:space="preserve">merely the provisions in the </w:t>
      </w:r>
      <w:r w:rsidR="001F1793">
        <w:t>Electricity R</w:t>
      </w:r>
      <w:r w:rsidR="00D04658">
        <w:t>ules</w:t>
      </w:r>
      <w:r>
        <w:t>.</w:t>
      </w:r>
    </w:p>
    <w:p w:rsidR="004F764D" w:rsidRDefault="004F764D" w:rsidP="004F764D">
      <w:pPr>
        <w:pStyle w:val="AERbodytext"/>
      </w:pPr>
      <w:r>
        <w:t xml:space="preserve">Historically, data collection to support regulatory processes was undertaken by state based regulators on a </w:t>
      </w:r>
      <w:r w:rsidR="00BD108F">
        <w:t xml:space="preserve">broadly </w:t>
      </w:r>
      <w:r>
        <w:t>similar, but not identical basis. With the transition to a national regulator, the AER has an information strategy which seeks to collect, analyse and report consistent data, across the sectors it regulates. Consistent data will allow direct comparisons to be made regarding financial and service outcomes of the businesses and assists the AER in its assessment of the efficiency of the regulated businesses expenditure proposals.</w:t>
      </w:r>
    </w:p>
    <w:p w:rsidR="004F764D" w:rsidRDefault="004F764D" w:rsidP="004F764D">
      <w:pPr>
        <w:pStyle w:val="AERbodytext"/>
      </w:pPr>
      <w:r>
        <w:t>The current focus of the networks information strategy includes:</w:t>
      </w:r>
    </w:p>
    <w:p w:rsidR="004F764D" w:rsidRDefault="004F764D" w:rsidP="004F764D">
      <w:pPr>
        <w:pStyle w:val="AERbulletlistfirststyle"/>
      </w:pPr>
      <w:r>
        <w:t>Reviewing the data definitions of key information required by the AER, to undertake its economic regulation function</w:t>
      </w:r>
    </w:p>
    <w:p w:rsidR="004F764D" w:rsidRDefault="004F764D" w:rsidP="004F764D">
      <w:pPr>
        <w:pStyle w:val="AERbulletlistfirststyle"/>
      </w:pPr>
      <w:r>
        <w:t>Developing a benchmarking tool for electricity network augmentation capital expenditure</w:t>
      </w:r>
    </w:p>
    <w:p w:rsidR="004F764D" w:rsidRDefault="004F764D" w:rsidP="004F764D">
      <w:pPr>
        <w:pStyle w:val="AERbulletlistfirststyle"/>
      </w:pPr>
      <w:r>
        <w:t>Developing benchmarking measures for electricity network operating expenditure and, if appropriate, total expenditure</w:t>
      </w:r>
    </w:p>
    <w:p w:rsidR="004F764D" w:rsidRDefault="004F764D" w:rsidP="004F764D">
      <w:pPr>
        <w:pStyle w:val="AERbulletlistfirststyle"/>
      </w:pPr>
      <w:r>
        <w:t>Develop benchmarking measures to compare the relative efficiency of regulated energy businesses, with an initial focus on electricity distribution</w:t>
      </w:r>
    </w:p>
    <w:p w:rsidR="004F764D" w:rsidRDefault="004F764D" w:rsidP="004F764D">
      <w:pPr>
        <w:pStyle w:val="AERbulletlistfirststyle"/>
      </w:pPr>
      <w:r>
        <w:t>Expanding the electricity distribution performance report to include network businesses from ACT, NSW, Queensland and SA for the 2010-11 report, Victorian businesses in the 2011-12 report, and Tasmanian businesses in the 2012-13 report.</w:t>
      </w:r>
    </w:p>
    <w:p w:rsidR="004F764D" w:rsidRDefault="004F764D" w:rsidP="004F764D">
      <w:pPr>
        <w:pStyle w:val="AERbulletlistfirststyle"/>
      </w:pPr>
      <w:r>
        <w:t xml:space="preserve">Developing a performance report for gas distribution networks, commencing with </w:t>
      </w:r>
      <w:smartTag w:uri="urn:schemas-microsoft-com:office:smarttags" w:element="place">
        <w:smartTag w:uri="urn:schemas-microsoft-com:office:smarttags" w:element="State">
          <w:r>
            <w:t>Victoria</w:t>
          </w:r>
        </w:smartTag>
      </w:smartTag>
      <w:r>
        <w:t xml:space="preserve"> for 2009-10</w:t>
      </w:r>
    </w:p>
    <w:p w:rsidR="004F764D" w:rsidRDefault="004F764D" w:rsidP="004F764D">
      <w:pPr>
        <w:pStyle w:val="AERbodytext"/>
      </w:pPr>
      <w:r>
        <w:t>Consistent with this strategy, the AER has been undertaking a review into the use of benchmarking as an assessment tool to review the efficiency of network businesses’ proposed expenditures. This constitutes both an examination of the viability of its current use of benchmarking techniques – notably the use of partial performance indicators – but also an assessment of the viability of a number of alternatives and more complex benchmarking methods. The projects</w:t>
      </w:r>
      <w:r w:rsidR="00BD108F">
        <w:t xml:space="preserve"> being</w:t>
      </w:r>
      <w:r>
        <w:t xml:space="preserve"> undertaken by the AER in its benchmarking review include:</w:t>
      </w:r>
    </w:p>
    <w:p w:rsidR="004F764D" w:rsidRDefault="004F764D" w:rsidP="004F764D">
      <w:pPr>
        <w:pStyle w:val="AERbulletlistfirststyle"/>
      </w:pPr>
      <w:r>
        <w:t xml:space="preserve">a joint project with the </w:t>
      </w:r>
      <w:proofErr w:type="spellStart"/>
      <w:r>
        <w:t>ACCC’s</w:t>
      </w:r>
      <w:proofErr w:type="spellEnd"/>
      <w:r>
        <w:t xml:space="preserve"> research branch to identify cost benchmarking methods currently applied by energy regulators overseas, and to review current academic literature on the theory and practical application of cost benchmarking; </w:t>
      </w:r>
    </w:p>
    <w:p w:rsidR="004F764D" w:rsidRDefault="004F764D" w:rsidP="004F764D">
      <w:pPr>
        <w:pStyle w:val="AERbulletlistfirststyle"/>
      </w:pPr>
      <w:r>
        <w:lastRenderedPageBreak/>
        <w:t>the continuing development of capital expenditure assessment tools to assess the reasonable level of replacement capital expenditure (as used in the Victorian and Tasmanian electricity distribution revenue determinations) and augmentation capital expenditure (currently under development) of distribution network service providers;</w:t>
      </w:r>
    </w:p>
    <w:p w:rsidR="004F764D" w:rsidRDefault="004F764D" w:rsidP="004F764D">
      <w:pPr>
        <w:pStyle w:val="AERbulletlistfirststyle"/>
      </w:pPr>
      <w:r>
        <w:t xml:space="preserve">the development of an enhanced and standardised </w:t>
      </w:r>
      <w:r w:rsidR="00027A73">
        <w:t xml:space="preserve">set of </w:t>
      </w:r>
      <w:r>
        <w:t>partial performance indicators for use in future electricity distribution revenue determinations; and</w:t>
      </w:r>
    </w:p>
    <w:p w:rsidR="004F764D" w:rsidRDefault="004F764D" w:rsidP="004F764D">
      <w:pPr>
        <w:pStyle w:val="AERbulletlistfirststyle"/>
      </w:pPr>
      <w:proofErr w:type="gramStart"/>
      <w:r>
        <w:t>the</w:t>
      </w:r>
      <w:proofErr w:type="gramEnd"/>
      <w:r>
        <w:t xml:space="preserve"> development of a unit cost estimation system for electricity networks, based on engineering techniques for network planning.</w:t>
      </w:r>
    </w:p>
    <w:p w:rsidR="004F764D" w:rsidRDefault="004F764D" w:rsidP="004F764D">
      <w:pPr>
        <w:pStyle w:val="AERbodytext"/>
      </w:pPr>
      <w:r>
        <w:t xml:space="preserve">As part of the process of research into the potential expansion of the </w:t>
      </w:r>
      <w:proofErr w:type="spellStart"/>
      <w:r>
        <w:t>AER’s</w:t>
      </w:r>
      <w:proofErr w:type="spellEnd"/>
      <w:r>
        <w:t xml:space="preserve"> benchmarking program, the AER is planning to undertake substantiative consultation with industry.  Through this engagement process, the AER seeks to develop </w:t>
      </w:r>
      <w:r w:rsidR="00027A73">
        <w:t xml:space="preserve">a shared </w:t>
      </w:r>
      <w:r>
        <w:t>understanding and acceptance of the benchmarking assessment techniques it employs.</w:t>
      </w:r>
    </w:p>
    <w:p w:rsidR="004F764D" w:rsidRDefault="004F764D" w:rsidP="004F764D">
      <w:pPr>
        <w:pStyle w:val="AERbodytext"/>
      </w:pPr>
      <w:r>
        <w:t xml:space="preserve">The AER is presently preparing a package of background and issues papers to support an initial public forum or ‘round table’ in the immediate future. To facilitate the work of the Productivity Commission, arrangements will be made to share advanced drafts of these papers with the Productivity Commission. These papers address a number of the detailed matters raised by the Productivity Commission’s issues paper. </w:t>
      </w:r>
    </w:p>
    <w:p w:rsidR="004F764D" w:rsidRDefault="004F764D" w:rsidP="004F764D">
      <w:pPr>
        <w:pStyle w:val="AERbodytext"/>
      </w:pPr>
      <w:r>
        <w:t xml:space="preserve">The AER believes that benchmarking is an essential tool for any energy regulator. This is evident as regulators both worldwide and domestically continue to support the use of benchmarking to assess efficient costs as a fundamental component of their regulatory activities. To this end, the AER is developing its capabilities to apply benchmarking techniques to </w:t>
      </w:r>
      <w:r w:rsidRPr="002244FB">
        <w:t>expenditure proposals during a revenue determination.</w:t>
      </w:r>
    </w:p>
    <w:p w:rsidR="004F764D" w:rsidRDefault="004F764D" w:rsidP="004F764D">
      <w:pPr>
        <w:pStyle w:val="AERheading1"/>
        <w:tabs>
          <w:tab w:val="clear" w:pos="-357"/>
          <w:tab w:val="num" w:pos="0"/>
        </w:tabs>
        <w:ind w:left="0" w:hanging="714"/>
      </w:pPr>
      <w:bookmarkStart w:id="11" w:name="_Ref321824549"/>
      <w:r>
        <w:lastRenderedPageBreak/>
        <w:t>Overview of the planning process for network investment</w:t>
      </w:r>
      <w:bookmarkEnd w:id="11"/>
    </w:p>
    <w:p w:rsidR="004F764D" w:rsidRDefault="004F764D" w:rsidP="004F764D">
      <w:pPr>
        <w:pStyle w:val="AERbodytext"/>
      </w:pPr>
      <w:r>
        <w:t xml:space="preserve">Investment in some form will always be required to </w:t>
      </w:r>
      <w:r w:rsidRPr="002244FB">
        <w:t>meet</w:t>
      </w:r>
      <w:r>
        <w:t xml:space="preserve"> and then maintain </w:t>
      </w:r>
      <w:r w:rsidRPr="002244FB">
        <w:t>consumer’s expectations of reliability</w:t>
      </w:r>
      <w:r>
        <w:t xml:space="preserve"> over time. Such i</w:t>
      </w:r>
      <w:r w:rsidRPr="002244FB">
        <w:t>nvestment covers network augmentations (expansions) to meet rising demand, the replacement of ageing assets, investments driven by regulatory requirements on matters such as network reliability or by technological innovations that can improve network performance.</w:t>
      </w:r>
    </w:p>
    <w:p w:rsidR="004F764D" w:rsidRDefault="004F764D" w:rsidP="004F764D">
      <w:pPr>
        <w:pStyle w:val="AERbodytext"/>
      </w:pPr>
      <w:r>
        <w:t xml:space="preserve">The intent of the Electricity Rules is that there should be effective incentives </w:t>
      </w:r>
      <w:bookmarkStart w:id="12" w:name="OLE_LINK9"/>
      <w:bookmarkStart w:id="13" w:name="OLE_LINK10"/>
      <w:r w:rsidRPr="002244FB">
        <w:t>for efficient investment</w:t>
      </w:r>
      <w:bookmarkEnd w:id="12"/>
      <w:bookmarkEnd w:id="13"/>
      <w:r w:rsidRPr="002244FB">
        <w:t xml:space="preserve">. </w:t>
      </w:r>
      <w:r>
        <w:t xml:space="preserve">This section of the submission provides an overview of the planning process for network investment and how this relates to revenue regulation. </w:t>
      </w:r>
    </w:p>
    <w:p w:rsidR="004F764D" w:rsidRDefault="004F764D" w:rsidP="004F764D">
      <w:pPr>
        <w:pStyle w:val="AERbodytext"/>
      </w:pPr>
      <w:r w:rsidRPr="002244FB">
        <w:t>At the start of a regulatory period, the AER approves a</w:t>
      </w:r>
      <w:r>
        <w:t xml:space="preserve"> forecast of capital expenditure that ‘reasonably reflects’ the expenditure that is required to meet the prescribed objectives in the Electricity Rules. </w:t>
      </w:r>
      <w:r w:rsidRPr="002244FB">
        <w:t xml:space="preserve">While the </w:t>
      </w:r>
      <w:r>
        <w:t>AER approves t</w:t>
      </w:r>
      <w:r w:rsidRPr="002244FB">
        <w:t>he total forecast of required capital expenditure</w:t>
      </w:r>
      <w:r>
        <w:t xml:space="preserve"> for a five year period</w:t>
      </w:r>
      <w:r w:rsidRPr="002244FB">
        <w:t xml:space="preserve">, </w:t>
      </w:r>
      <w:r>
        <w:t>the businesses are separately required to subject the more significant projects to some form of regulatory test. For example, the</w:t>
      </w:r>
      <w:r w:rsidRPr="002244FB">
        <w:t xml:space="preserve"> project</w:t>
      </w:r>
      <w:r>
        <w:t>s</w:t>
      </w:r>
      <w:r w:rsidRPr="002244FB">
        <w:t xml:space="preserve"> must be assessed for whether </w:t>
      </w:r>
      <w:r>
        <w:t>they are</w:t>
      </w:r>
      <w:r w:rsidRPr="002244FB">
        <w:t xml:space="preserve"> the most efficient way of meeting an identified need, or whether an alternative would be more efficient. There are separate assessment requirements for transmission and distribution network infrastructure investment</w:t>
      </w:r>
      <w:r>
        <w:t>s</w:t>
      </w:r>
      <w:r w:rsidRPr="002244FB">
        <w:t xml:space="preserve">. </w:t>
      </w:r>
    </w:p>
    <w:p w:rsidR="004F764D" w:rsidRPr="00AE6CD6" w:rsidRDefault="004F764D" w:rsidP="004F764D">
      <w:pPr>
        <w:pStyle w:val="AERheading2"/>
        <w:numPr>
          <w:ilvl w:val="0"/>
          <w:numId w:val="0"/>
        </w:numPr>
        <w:ind w:left="-714" w:firstLine="714"/>
      </w:pPr>
      <w:r>
        <w:t xml:space="preserve">Regulatory investment tests </w:t>
      </w:r>
    </w:p>
    <w:p w:rsidR="004F764D" w:rsidRDefault="004F764D" w:rsidP="004F764D">
      <w:pPr>
        <w:pStyle w:val="AERbodytext"/>
      </w:pPr>
      <w:r>
        <w:t>T</w:t>
      </w:r>
      <w:r w:rsidRPr="002244FB">
        <w:t>ransmission network investment projects are assessed under the regulatory investment test for transmission (RIT-T) and associated guidelines that took effect in August 2010.</w:t>
      </w:r>
      <w:r>
        <w:rPr>
          <w:rStyle w:val="FootnoteReference"/>
        </w:rPr>
        <w:footnoteReference w:id="3"/>
      </w:r>
      <w:r w:rsidRPr="002244FB">
        <w:t xml:space="preserve"> The RIT</w:t>
      </w:r>
      <w:r>
        <w:noBreakHyphen/>
      </w:r>
      <w:r w:rsidRPr="002244FB">
        <w:t xml:space="preserve">T is a cost-benefit analysis that assesses the economic efficiency and applicable reliability standards of proposed transmission developments, including interconnectors. The test requires a business to consider the costs and </w:t>
      </w:r>
      <w:proofErr w:type="spellStart"/>
      <w:r w:rsidRPr="002244FB">
        <w:t>NEM</w:t>
      </w:r>
      <w:proofErr w:type="spellEnd"/>
      <w:r w:rsidRPr="002244FB">
        <w:t xml:space="preserve">-wide benefits of a range of network and non-network options to meet an identified need. Transmission businesses must apply the RIT-T to most new </w:t>
      </w:r>
      <w:r w:rsidR="004F6C00" w:rsidRPr="002244FB">
        <w:t xml:space="preserve">network </w:t>
      </w:r>
      <w:r w:rsidRPr="002244FB">
        <w:t>investment</w:t>
      </w:r>
      <w:r w:rsidR="004F6C00">
        <w:t>s</w:t>
      </w:r>
      <w:r w:rsidRPr="002244FB">
        <w:t xml:space="preserve">. </w:t>
      </w:r>
    </w:p>
    <w:p w:rsidR="004F764D" w:rsidRDefault="004F764D" w:rsidP="004F764D">
      <w:pPr>
        <w:pStyle w:val="AERbodytext"/>
      </w:pPr>
      <w:r>
        <w:t xml:space="preserve">Currently, distribution investments are subject to a similar process under the Regulatory Test (version 3) which </w:t>
      </w:r>
      <w:r w:rsidR="008B01FF">
        <w:t>previously was applied</w:t>
      </w:r>
      <w:r>
        <w:t xml:space="preserve"> to both transmission and distribution</w:t>
      </w:r>
      <w:r w:rsidR="008B01FF">
        <w:t xml:space="preserve"> investments</w:t>
      </w:r>
      <w:r>
        <w:t xml:space="preserve">. In a distribution context, this </w:t>
      </w:r>
      <w:r w:rsidRPr="002244FB">
        <w:t>test requires a business to determine that a proposed augmentation provides a least cost solution to meet network reliability standards.</w:t>
      </w:r>
      <w:r>
        <w:t xml:space="preserve"> However, i</w:t>
      </w:r>
      <w:r w:rsidR="004F6C00">
        <w:t>n September </w:t>
      </w:r>
      <w:r w:rsidRPr="002244FB">
        <w:t xml:space="preserve">2011, the </w:t>
      </w:r>
      <w:bookmarkStart w:id="14" w:name="OLE_LINK5"/>
      <w:bookmarkStart w:id="15" w:name="OLE_LINK6"/>
      <w:proofErr w:type="spellStart"/>
      <w:r w:rsidRPr="002244FB">
        <w:t>AEMC</w:t>
      </w:r>
      <w:proofErr w:type="spellEnd"/>
      <w:r w:rsidRPr="002244FB">
        <w:t xml:space="preserve"> </w:t>
      </w:r>
      <w:bookmarkEnd w:id="14"/>
      <w:bookmarkEnd w:id="15"/>
      <w:r w:rsidRPr="002244FB">
        <w:t xml:space="preserve">commenced its consultation on a rule change to </w:t>
      </w:r>
      <w:r>
        <w:t xml:space="preserve">reform this test and </w:t>
      </w:r>
      <w:r w:rsidRPr="002244FB">
        <w:t xml:space="preserve">introduce </w:t>
      </w:r>
      <w:r>
        <w:t xml:space="preserve">a </w:t>
      </w:r>
      <w:r w:rsidRPr="002244FB">
        <w:t>regulatory test to distribution (RIT-D)</w:t>
      </w:r>
      <w:r>
        <w:t>, similar to the RIT-T</w:t>
      </w:r>
      <w:r w:rsidRPr="002244FB">
        <w:t>.</w:t>
      </w:r>
      <w:r>
        <w:t xml:space="preserve"> </w:t>
      </w:r>
      <w:r w:rsidRPr="002244FB">
        <w:t xml:space="preserve">The proposal also includes requirements on distribution businesses to release annual planning reports and maintain a demand side engagement strategy. </w:t>
      </w:r>
    </w:p>
    <w:p w:rsidR="004F764D" w:rsidRPr="002244FB" w:rsidRDefault="004F764D" w:rsidP="004F764D">
      <w:pPr>
        <w:pStyle w:val="AERbodytext"/>
      </w:pPr>
      <w:r w:rsidRPr="002244FB">
        <w:t xml:space="preserve">The RIT-T (and the regulatory test it replaced) </w:t>
      </w:r>
      <w:r>
        <w:t>and the RIT-D enhance</w:t>
      </w:r>
      <w:r w:rsidRPr="002244FB">
        <w:t xml:space="preserve"> the transparency of the network planning processes by requiring network </w:t>
      </w:r>
      <w:r w:rsidR="004F6C00">
        <w:t>businesses</w:t>
      </w:r>
      <w:r w:rsidRPr="002244FB">
        <w:t xml:space="preserve"> to publish certain information</w:t>
      </w:r>
      <w:r w:rsidR="004F6C00">
        <w:t>, explore non-network options in response to investment needs</w:t>
      </w:r>
      <w:r w:rsidRPr="002244FB">
        <w:t xml:space="preserve"> and engage in consultation </w:t>
      </w:r>
      <w:r>
        <w:t xml:space="preserve">throughout the assessment process. </w:t>
      </w:r>
      <w:r w:rsidRPr="002244FB">
        <w:t>Th</w:t>
      </w:r>
      <w:r>
        <w:t>ese tests maintain a</w:t>
      </w:r>
      <w:r w:rsidRPr="002244FB">
        <w:t xml:space="preserve"> discipline on </w:t>
      </w:r>
      <w:r>
        <w:t xml:space="preserve">businesses to </w:t>
      </w:r>
      <w:r>
        <w:lastRenderedPageBreak/>
        <w:t xml:space="preserve">consider the costs and </w:t>
      </w:r>
      <w:r w:rsidRPr="002244FB">
        <w:t xml:space="preserve">benefits of network and non-network options and </w:t>
      </w:r>
      <w:r>
        <w:t>are</w:t>
      </w:r>
      <w:r w:rsidRPr="002244FB">
        <w:t xml:space="preserve"> one of a suite of tools that encourage efficient investment. </w:t>
      </w:r>
    </w:p>
    <w:p w:rsidR="004F764D" w:rsidRDefault="004F764D" w:rsidP="004F764D">
      <w:pPr>
        <w:pStyle w:val="AERbodytext"/>
      </w:pPr>
      <w:r w:rsidRPr="002244FB">
        <w:t xml:space="preserve">The </w:t>
      </w:r>
      <w:r>
        <w:t>RIT-T</w:t>
      </w:r>
      <w:r w:rsidRPr="002244FB">
        <w:t xml:space="preserve"> also helps ensure a level playing field between investment in contestable generation and natural monopoly transmission infrastructure. This aims to address concerns that over-building by transmission businesses may crowd-out efficient private commercial generation investment. For this reason the RIT-T is competitively neutral</w:t>
      </w:r>
      <w:r w:rsidR="004F6C00">
        <w:t>,</w:t>
      </w:r>
      <w:r w:rsidRPr="002244FB">
        <w:t xml:space="preserve"> and designed to ensure investment provides the greatest net economic benefit of all options available to meet an identified need. Such alternatives may include other network expansions, new generation capacity or demand management. </w:t>
      </w:r>
    </w:p>
    <w:p w:rsidR="004F764D" w:rsidRPr="002244FB" w:rsidRDefault="004F764D" w:rsidP="00665CB8">
      <w:pPr>
        <w:pStyle w:val="AERbodytext"/>
      </w:pPr>
      <w:bookmarkStart w:id="16" w:name="OLE_LINK15"/>
      <w:bookmarkStart w:id="17" w:name="OLE_LINK16"/>
      <w:r w:rsidRPr="002244FB">
        <w:t>The AER is responsible for monitoring compliance and enf</w:t>
      </w:r>
      <w:r>
        <w:t>orcing all aspects of the RIT-T and Regulatory Test</w:t>
      </w:r>
      <w:r w:rsidR="004F6C00">
        <w:t>.</w:t>
      </w:r>
      <w:r>
        <w:t xml:space="preserve"> </w:t>
      </w:r>
      <w:r w:rsidRPr="002244FB">
        <w:t>The AER has some concerns around the enforceability of the</w:t>
      </w:r>
      <w:r>
        <w:t>se tests</w:t>
      </w:r>
      <w:r w:rsidRPr="002244FB">
        <w:t xml:space="preserve"> </w:t>
      </w:r>
      <w:r>
        <w:t>a</w:t>
      </w:r>
      <w:r w:rsidRPr="002244FB">
        <w:t>nd the enforcement options available to the AER in the event of a suspected breach</w:t>
      </w:r>
      <w:r w:rsidR="004E6F1D">
        <w:t xml:space="preserve"> </w:t>
      </w:r>
      <w:r w:rsidR="004E6F1D" w:rsidRPr="004F6C00">
        <w:t>since</w:t>
      </w:r>
      <w:r w:rsidR="00665CB8" w:rsidRPr="004F6C00">
        <w:t xml:space="preserve"> none of the requirements regarding the need to undertake a RIT-T and the associated consultation requirements are listed as civil penalty provisions under the National Electricity Regulations. The implication of this is that the only formal action the AER can take in relation to a suspected breach of these provisions is to seek an order from the Federal Court.</w:t>
      </w:r>
      <w:r w:rsidR="00665CB8">
        <w:t xml:space="preserve"> </w:t>
      </w:r>
    </w:p>
    <w:bookmarkEnd w:id="16"/>
    <w:bookmarkEnd w:id="17"/>
    <w:p w:rsidR="004F764D" w:rsidRDefault="004F764D" w:rsidP="004F764D">
      <w:pPr>
        <w:pStyle w:val="AERheading2"/>
        <w:numPr>
          <w:ilvl w:val="0"/>
          <w:numId w:val="0"/>
        </w:numPr>
        <w:ind w:left="-714" w:firstLine="714"/>
      </w:pPr>
      <w:r>
        <w:t>Transmission network planning reforms</w:t>
      </w:r>
    </w:p>
    <w:p w:rsidR="004F764D" w:rsidRPr="002244FB" w:rsidRDefault="004F764D" w:rsidP="004F764D">
      <w:pPr>
        <w:pStyle w:val="AERbodytext"/>
      </w:pPr>
      <w:r w:rsidRPr="002244FB">
        <w:t xml:space="preserve">The introduction of the RIT-T coincided with other reforms to transmission network planning arrangements. These reforms were in response to recommendations from the Energy Reform Implementation Group and the </w:t>
      </w:r>
      <w:proofErr w:type="spellStart"/>
      <w:r w:rsidRPr="002244FB">
        <w:t>AEMC’s</w:t>
      </w:r>
      <w:proofErr w:type="spellEnd"/>
      <w:r w:rsidRPr="002244FB">
        <w:t xml:space="preserve"> National Transmission Planning Review. The reforms included the formation of the National Transmission Planner (</w:t>
      </w:r>
      <w:proofErr w:type="spellStart"/>
      <w:r w:rsidRPr="002244FB">
        <w:t>NTP</w:t>
      </w:r>
      <w:proofErr w:type="spellEnd"/>
      <w:r w:rsidRPr="002244FB">
        <w:t>) in 2009</w:t>
      </w:r>
      <w:r>
        <w:t>,</w:t>
      </w:r>
      <w:r w:rsidRPr="002244FB">
        <w:t xml:space="preserve"> which sits within </w:t>
      </w:r>
      <w:proofErr w:type="spellStart"/>
      <w:r w:rsidRPr="002244FB">
        <w:t>AEMO</w:t>
      </w:r>
      <w:proofErr w:type="spellEnd"/>
      <w:r w:rsidRPr="002244FB">
        <w:t xml:space="preserve">. The </w:t>
      </w:r>
      <w:proofErr w:type="spellStart"/>
      <w:r w:rsidRPr="002244FB">
        <w:t>NTP</w:t>
      </w:r>
      <w:proofErr w:type="spellEnd"/>
      <w:r w:rsidRPr="002244FB">
        <w:t xml:space="preserve"> provides a national strategic perspective on transmission planning and provides advice on the development of an efficient national grid. The </w:t>
      </w:r>
      <w:proofErr w:type="spellStart"/>
      <w:r w:rsidRPr="002244FB">
        <w:t>NTP</w:t>
      </w:r>
      <w:proofErr w:type="spellEnd"/>
      <w:r w:rsidRPr="002244FB">
        <w:t xml:space="preserve"> publishes an annual National Transmission Network Development Plan (</w:t>
      </w:r>
      <w:proofErr w:type="spellStart"/>
      <w:r w:rsidRPr="002244FB">
        <w:t>NTNDP</w:t>
      </w:r>
      <w:proofErr w:type="spellEnd"/>
      <w:r w:rsidRPr="002244FB">
        <w:t xml:space="preserve">), providing an independent long-term strategic plan (at </w:t>
      </w:r>
      <w:r>
        <w:t>least 20 years) for the network</w:t>
      </w:r>
      <w:r w:rsidRPr="002244FB">
        <w:t>s</w:t>
      </w:r>
      <w:r>
        <w:t>’</w:t>
      </w:r>
      <w:r w:rsidRPr="002244FB">
        <w:t xml:space="preserve"> efficient development. It includes nationally consistent information about transmission capabilities, congestion, and investment options under a range of market development scenarios. The </w:t>
      </w:r>
      <w:bookmarkStart w:id="18" w:name="OLE_LINK3"/>
      <w:bookmarkStart w:id="19" w:name="OLE_LINK4"/>
      <w:proofErr w:type="spellStart"/>
      <w:r w:rsidRPr="002244FB">
        <w:t>NTNDP</w:t>
      </w:r>
      <w:bookmarkEnd w:id="18"/>
      <w:bookmarkEnd w:id="19"/>
      <w:proofErr w:type="spellEnd"/>
      <w:r w:rsidRPr="002244FB">
        <w:t xml:space="preserve"> draws on and influences the Annual Planning Reports developed by network service providers, and the AER must have regard to both the Annual Planning Reports and </w:t>
      </w:r>
      <w:proofErr w:type="spellStart"/>
      <w:r w:rsidRPr="002244FB">
        <w:t>NTNDP</w:t>
      </w:r>
      <w:proofErr w:type="spellEnd"/>
      <w:r w:rsidRPr="002244FB">
        <w:t xml:space="preserve"> in revenue </w:t>
      </w:r>
      <w:r>
        <w:t>determinations</w:t>
      </w:r>
      <w:r w:rsidRPr="002244FB">
        <w:t xml:space="preserve">. The result is </w:t>
      </w:r>
      <w:r>
        <w:t xml:space="preserve">designed to be </w:t>
      </w:r>
      <w:r w:rsidRPr="002244FB">
        <w:t>a mutually reinforcing regime that seeks to ensure that the development of the networks take into consideration the implications of the national transmission flow paths.</w:t>
      </w:r>
    </w:p>
    <w:p w:rsidR="004F764D" w:rsidRPr="002244FB" w:rsidRDefault="004F764D" w:rsidP="004F764D">
      <w:pPr>
        <w:pStyle w:val="AERbodytext"/>
      </w:pPr>
      <w:r w:rsidRPr="002244FB">
        <w:t>In addition to these reforms, the Last Resort Planning Power (</w:t>
      </w:r>
      <w:proofErr w:type="spellStart"/>
      <w:r w:rsidRPr="002244FB">
        <w:t>LRPP</w:t>
      </w:r>
      <w:proofErr w:type="spellEnd"/>
      <w:r w:rsidRPr="002244FB">
        <w:t xml:space="preserve">) provides a safeguard against </w:t>
      </w:r>
      <w:r>
        <w:t xml:space="preserve">transmission </w:t>
      </w:r>
      <w:r w:rsidRPr="002244FB">
        <w:t xml:space="preserve">planning failure. It is designed to ensure efficient inter-regional transmission investment occurs in the long-term interests of consumers. Under this power, the </w:t>
      </w:r>
      <w:proofErr w:type="spellStart"/>
      <w:r w:rsidRPr="002244FB">
        <w:t>AEMC</w:t>
      </w:r>
      <w:proofErr w:type="spellEnd"/>
      <w:r w:rsidRPr="002244FB">
        <w:t xml:space="preserve"> may direct a transmission business to apply the RIT-T to a project that is likely to address any shortfall in inter-regional transmission investment. The </w:t>
      </w:r>
      <w:proofErr w:type="spellStart"/>
      <w:r w:rsidRPr="002244FB">
        <w:t>AEMC</w:t>
      </w:r>
      <w:proofErr w:type="spellEnd"/>
      <w:r w:rsidRPr="002244FB">
        <w:t xml:space="preserve"> reports annually on the matters it has considered in deciding whether or not to exercise this power. </w:t>
      </w:r>
    </w:p>
    <w:p w:rsidR="004F764D" w:rsidRDefault="004F764D" w:rsidP="004F764D">
      <w:pPr>
        <w:pStyle w:val="AERbodytext"/>
      </w:pPr>
      <w:r>
        <w:t xml:space="preserve">When these reforms are considered </w:t>
      </w:r>
      <w:r w:rsidRPr="002244FB">
        <w:t>in the context of th</w:t>
      </w:r>
      <w:r>
        <w:t>e</w:t>
      </w:r>
      <w:r w:rsidRPr="002244FB">
        <w:t xml:space="preserve"> ongoi</w:t>
      </w:r>
      <w:r>
        <w:t>ng reviews and policy processes underway in the market, the AER considers that there are signs the framework is providing more appropriate incentives for</w:t>
      </w:r>
      <w:r w:rsidRPr="002244FB">
        <w:t xml:space="preserve"> </w:t>
      </w:r>
      <w:r>
        <w:t xml:space="preserve">transmission </w:t>
      </w:r>
      <w:r w:rsidRPr="002244FB">
        <w:t xml:space="preserve">network planning </w:t>
      </w:r>
      <w:r>
        <w:t xml:space="preserve">and investment to enhance the transparency of investment needs that allow for the </w:t>
      </w:r>
      <w:r w:rsidRPr="002244FB">
        <w:t>development of an efficient national grid</w:t>
      </w:r>
      <w:r>
        <w:t xml:space="preserve">.  However, as will be discussed </w:t>
      </w:r>
      <w:r w:rsidR="007C13A6">
        <w:t>below,</w:t>
      </w:r>
      <w:r>
        <w:t xml:space="preserve"> further reform </w:t>
      </w:r>
      <w:r w:rsidR="007C13A6">
        <w:t xml:space="preserve">may </w:t>
      </w:r>
      <w:r>
        <w:t xml:space="preserve">be desirable.  </w:t>
      </w:r>
    </w:p>
    <w:p w:rsidR="00A55A95" w:rsidRDefault="007C13A6" w:rsidP="006D56B3">
      <w:pPr>
        <w:pStyle w:val="AERheading1"/>
        <w:tabs>
          <w:tab w:val="clear" w:pos="-357"/>
          <w:tab w:val="num" w:pos="0"/>
        </w:tabs>
      </w:pPr>
      <w:bookmarkStart w:id="20" w:name="_Ref321824517"/>
      <w:r>
        <w:lastRenderedPageBreak/>
        <w:t>Transmission i</w:t>
      </w:r>
      <w:r w:rsidR="00A55A95">
        <w:t>nterconnector</w:t>
      </w:r>
      <w:bookmarkEnd w:id="20"/>
      <w:r>
        <w:t>s</w:t>
      </w:r>
    </w:p>
    <w:p w:rsidR="00A55A95" w:rsidRDefault="00A55A95" w:rsidP="009F5A06">
      <w:pPr>
        <w:pStyle w:val="AERbodytext"/>
      </w:pPr>
      <w:r>
        <w:t xml:space="preserve">The Productivity Commission has been asked to examine whether the regulatory regime in the </w:t>
      </w:r>
      <w:proofErr w:type="spellStart"/>
      <w:r>
        <w:t>NEM</w:t>
      </w:r>
      <w:proofErr w:type="spellEnd"/>
      <w:r>
        <w:t xml:space="preserve"> is delivering economically efficient investment in transmission interconnectors. A related question is whether the regulatory framework is providing for the efficient use of existing interconnectors.</w:t>
      </w:r>
    </w:p>
    <w:p w:rsidR="00A55A95" w:rsidRDefault="00A55A95" w:rsidP="00740053">
      <w:pPr>
        <w:pStyle w:val="AERheading2"/>
        <w:numPr>
          <w:ilvl w:val="0"/>
          <w:numId w:val="0"/>
        </w:numPr>
      </w:pPr>
      <w:r>
        <w:t>Current network planning arrangements for interconnector investment</w:t>
      </w:r>
    </w:p>
    <w:p w:rsidR="00A55A95" w:rsidRDefault="0040624A" w:rsidP="002D1A94">
      <w:pPr>
        <w:pStyle w:val="AERbodytext"/>
      </w:pPr>
      <w:r>
        <w:t xml:space="preserve">Section </w:t>
      </w:r>
      <w:r>
        <w:fldChar w:fldCharType="begin"/>
      </w:r>
      <w:r>
        <w:instrText xml:space="preserve"> REF _Ref321824549 \r \h </w:instrText>
      </w:r>
      <w:r>
        <w:fldChar w:fldCharType="separate"/>
      </w:r>
      <w:r w:rsidR="00A120EF">
        <w:t>5</w:t>
      </w:r>
      <w:r>
        <w:fldChar w:fldCharType="end"/>
      </w:r>
      <w:r w:rsidR="00A55A95">
        <w:t xml:space="preserve"> highlight</w:t>
      </w:r>
      <w:r w:rsidR="00854178">
        <w:t>ed</w:t>
      </w:r>
      <w:r w:rsidR="00A55A95">
        <w:t xml:space="preserve"> </w:t>
      </w:r>
      <w:r w:rsidR="00854178">
        <w:t xml:space="preserve">the </w:t>
      </w:r>
      <w:r w:rsidR="00A55A95">
        <w:t>recent changes</w:t>
      </w:r>
      <w:r w:rsidR="00E0767F">
        <w:t xml:space="preserve"> to</w:t>
      </w:r>
      <w:r w:rsidR="00A55A95">
        <w:t xml:space="preserve"> transmission network</w:t>
      </w:r>
      <w:r w:rsidR="00582362">
        <w:t xml:space="preserve"> planning arrangements </w:t>
      </w:r>
      <w:r w:rsidR="00A55A95">
        <w:t xml:space="preserve"> designed to enhance transparency of investment needs and to ensure that the market benefits associated with investment proposals were considered, rather than proposals </w:t>
      </w:r>
      <w:r w:rsidR="00582362">
        <w:t>targeted</w:t>
      </w:r>
      <w:r w:rsidR="00A55A95">
        <w:t xml:space="preserve"> </w:t>
      </w:r>
      <w:r w:rsidR="009D46C7">
        <w:t>at</w:t>
      </w:r>
      <w:r w:rsidR="00A55A95">
        <w:t xml:space="preserve"> meet</w:t>
      </w:r>
      <w:r w:rsidR="009D46C7">
        <w:t>ing</w:t>
      </w:r>
      <w:r w:rsidR="00A55A95">
        <w:t xml:space="preserve"> individual state reliability needs. The AER considers that there are signs the framework is providing </w:t>
      </w:r>
      <w:r w:rsidR="00CD4D2B">
        <w:t xml:space="preserve">increased </w:t>
      </w:r>
      <w:r w:rsidR="00A55A95">
        <w:t xml:space="preserve">incentives to review the level of transmission interconnection between regions. </w:t>
      </w:r>
    </w:p>
    <w:p w:rsidR="00A55A95" w:rsidRDefault="00582362" w:rsidP="009F5A06">
      <w:pPr>
        <w:pStyle w:val="AERbodytext"/>
      </w:pPr>
      <w:r>
        <w:t>T</w:t>
      </w:r>
      <w:r w:rsidR="00A55A95">
        <w:t xml:space="preserve">he AER notes that several transmission businesses have commenced RIT-T assessments of interconnector upgrades under the new framework; however none of the assessment processes have been completed. They include: </w:t>
      </w:r>
    </w:p>
    <w:p w:rsidR="00A55A95" w:rsidRDefault="00A55A95" w:rsidP="009F5A06">
      <w:pPr>
        <w:pStyle w:val="AERbulletlistfirststyle"/>
      </w:pPr>
      <w:proofErr w:type="gramStart"/>
      <w:r>
        <w:t>a</w:t>
      </w:r>
      <w:proofErr w:type="gramEnd"/>
      <w:r>
        <w:t xml:space="preserve"> proposed upgrade to the Heywood interconnector between </w:t>
      </w:r>
      <w:smartTag w:uri="urn:schemas-microsoft-com:office:smarttags" w:element="State">
        <w:r>
          <w:t>South Australia</w:t>
        </w:r>
      </w:smartTag>
      <w:r>
        <w:t xml:space="preserve"> and </w:t>
      </w:r>
      <w:smartTag w:uri="urn:schemas-microsoft-com:office:smarttags" w:element="place">
        <w:smartTag w:uri="urn:schemas-microsoft-com:office:smarttags" w:element="State">
          <w:r>
            <w:t>Victoria</w:t>
          </w:r>
        </w:smartTag>
      </w:smartTag>
      <w:r>
        <w:t xml:space="preserve">. </w:t>
      </w:r>
      <w:proofErr w:type="spellStart"/>
      <w:r>
        <w:t>AEMO</w:t>
      </w:r>
      <w:proofErr w:type="spellEnd"/>
      <w:r>
        <w:t xml:space="preserve"> and </w:t>
      </w:r>
      <w:proofErr w:type="spellStart"/>
      <w:r>
        <w:t>ElectraNet</w:t>
      </w:r>
      <w:proofErr w:type="spellEnd"/>
      <w:r>
        <w:t xml:space="preserve"> completed a pre-feasibility study in February 2011 and have recently commenced the RIT-T assessment process. A draft assessment report is expected by July 2012.</w:t>
      </w:r>
    </w:p>
    <w:p w:rsidR="00A55A95" w:rsidRDefault="00A55A95" w:rsidP="009F5A06">
      <w:pPr>
        <w:pStyle w:val="AERbulletlistfirststyle"/>
      </w:pPr>
      <w:proofErr w:type="gramStart"/>
      <w:r>
        <w:t>an</w:t>
      </w:r>
      <w:proofErr w:type="gramEnd"/>
      <w:r>
        <w:t xml:space="preserve"> investigation into the benefits of upgrading the </w:t>
      </w:r>
      <w:smartTag w:uri="urn:schemas-microsoft-com:office:smarttags" w:element="place">
        <w:smartTag w:uri="urn:schemas-microsoft-com:office:smarttags" w:element="State">
          <w:r>
            <w:t>Queensland</w:t>
          </w:r>
        </w:smartTag>
      </w:smartTag>
      <w:r>
        <w:t xml:space="preserve"> to NSW interconnector (</w:t>
      </w:r>
      <w:proofErr w:type="spellStart"/>
      <w:r>
        <w:t>QNI</w:t>
      </w:r>
      <w:proofErr w:type="spellEnd"/>
      <w:r>
        <w:t xml:space="preserve">) by </w:t>
      </w:r>
      <w:proofErr w:type="spellStart"/>
      <w:r>
        <w:t>Powerlink</w:t>
      </w:r>
      <w:proofErr w:type="spellEnd"/>
      <w:r>
        <w:t xml:space="preserve"> and </w:t>
      </w:r>
      <w:proofErr w:type="spellStart"/>
      <w:r>
        <w:t>TransGrid</w:t>
      </w:r>
      <w:proofErr w:type="spellEnd"/>
      <w:r>
        <w:t xml:space="preserve">. An earlier study (in 2008) concluded it was premature to upgrade the </w:t>
      </w:r>
      <w:proofErr w:type="spellStart"/>
      <w:r>
        <w:t>QNI</w:t>
      </w:r>
      <w:proofErr w:type="spellEnd"/>
      <w:r>
        <w:t xml:space="preserve">. </w:t>
      </w:r>
    </w:p>
    <w:p w:rsidR="00A55A95" w:rsidRDefault="00A55A95" w:rsidP="009F5A06">
      <w:pPr>
        <w:pStyle w:val="AERbodytext"/>
      </w:pPr>
      <w:proofErr w:type="spellStart"/>
      <w:r>
        <w:t>AEMO</w:t>
      </w:r>
      <w:proofErr w:type="spellEnd"/>
      <w:r>
        <w:t xml:space="preserve"> and </w:t>
      </w:r>
      <w:proofErr w:type="spellStart"/>
      <w:r>
        <w:t>TransGrid</w:t>
      </w:r>
      <w:proofErr w:type="spellEnd"/>
      <w:r>
        <w:t xml:space="preserve"> have also indicated they intend to investigate the benefits of upgrading the </w:t>
      </w:r>
      <w:smartTag w:uri="urn:schemas-microsoft-com:office:smarttags" w:element="State">
        <w:r>
          <w:t>Victoria</w:t>
        </w:r>
      </w:smartTag>
      <w:r>
        <w:t xml:space="preserve"> to </w:t>
      </w:r>
      <w:smartTag w:uri="urn:schemas-microsoft-com:office:smarttags" w:element="place">
        <w:smartTag w:uri="urn:schemas-microsoft-com:office:smarttags" w:element="State">
          <w:r>
            <w:t>New South Wales</w:t>
          </w:r>
        </w:smartTag>
      </w:smartTag>
      <w:r>
        <w:t xml:space="preserve"> interconnector. The analysis for this investigation is not yet public. </w:t>
      </w:r>
    </w:p>
    <w:p w:rsidR="00A55A95" w:rsidRDefault="00A55A95" w:rsidP="00740053">
      <w:pPr>
        <w:pStyle w:val="AERheading2"/>
        <w:numPr>
          <w:ilvl w:val="0"/>
          <w:numId w:val="0"/>
        </w:numPr>
        <w:ind w:left="-714" w:firstLine="714"/>
      </w:pPr>
      <w:r>
        <w:t>Potential reforms to network planning arrangements</w:t>
      </w:r>
    </w:p>
    <w:p w:rsidR="00045062" w:rsidRDefault="00045062" w:rsidP="00C63345">
      <w:pPr>
        <w:pStyle w:val="AERheading4"/>
      </w:pPr>
      <w:r>
        <w:t>Analysing the public benefits of interconnector investment</w:t>
      </w:r>
    </w:p>
    <w:p w:rsidR="00A55A95" w:rsidRDefault="00045062" w:rsidP="009F5A06">
      <w:pPr>
        <w:pStyle w:val="AERbodytext"/>
      </w:pPr>
      <w:r w:rsidRPr="00045062">
        <w:t xml:space="preserve">Section </w:t>
      </w:r>
      <w:fldSimple w:instr=" REF _Ref321824549 \r \h  \* MERGEFORMAT ">
        <w:r w:rsidR="00A120EF">
          <w:t>5</w:t>
        </w:r>
      </w:fldSimple>
      <w:r w:rsidRPr="00045062">
        <w:t xml:space="preserve"> outlined the current network planning arrangements and noted there are a number of</w:t>
      </w:r>
      <w:r>
        <w:t xml:space="preserve"> </w:t>
      </w:r>
      <w:r w:rsidR="00A55A95">
        <w:t xml:space="preserve">related reform processes underway. Despite these reviews, concerns have been raised that the framework, and particularly the RIT-T, may not result in beneficial investment occurring. The RIT-T requires an assessment of the costs of a project against the benefits accruing in the </w:t>
      </w:r>
      <w:proofErr w:type="spellStart"/>
      <w:r w:rsidR="00A55A95">
        <w:t>NEM</w:t>
      </w:r>
      <w:proofErr w:type="spellEnd"/>
      <w:r w:rsidR="00A55A95">
        <w:t xml:space="preserve">. That is, it is a partial equilibrium analysis. Any second round effects on other areas of the economy (a general equilibrium analysis) are not taken into account. </w:t>
      </w:r>
      <w:r w:rsidR="001F3D6D" w:rsidRPr="00315F5A">
        <w:rPr>
          <w:rFonts w:eastAsia="Times New Roman" w:cs="Gautami"/>
          <w:szCs w:val="20"/>
        </w:rPr>
        <w:t>Paragraph 10</w:t>
      </w:r>
      <w:r w:rsidR="001F3D6D" w:rsidRPr="001F3D6D">
        <w:rPr>
          <w:rFonts w:eastAsia="Times New Roman" w:cs="Gautami"/>
          <w:szCs w:val="20"/>
        </w:rPr>
        <w:t xml:space="preserve"> of the RIT-T, which reflects clause 5.6.5(B)(c) 9 of the Electricity Rules, states that </w:t>
      </w:r>
      <w:r w:rsidR="001F3D6D">
        <w:rPr>
          <w:rFonts w:eastAsia="Times New Roman" w:cs="Gautami"/>
          <w:szCs w:val="20"/>
        </w:rPr>
        <w:t>‘</w:t>
      </w:r>
      <w:r w:rsidR="001F3D6D" w:rsidRPr="001F3D6D">
        <w:rPr>
          <w:rFonts w:eastAsia="Times New Roman" w:cs="Gautami"/>
          <w:szCs w:val="20"/>
        </w:rPr>
        <w:t>any cost or market benefit which cannot be measured as a cost or market benefit to generators, distribution network service providers, transmission network service providers or consumers of electricity may not be included in any analysis under the RIT-T.</w:t>
      </w:r>
      <w:r w:rsidR="001F3D6D">
        <w:rPr>
          <w:rFonts w:eastAsia="Times New Roman" w:cs="Gautami"/>
          <w:szCs w:val="20"/>
        </w:rPr>
        <w:t xml:space="preserve">’ </w:t>
      </w:r>
      <w:r w:rsidR="00A55A95">
        <w:t xml:space="preserve">If these second round effects were included in the assessment, it is possible that some additional projects would be deemed suitable. It is not </w:t>
      </w:r>
      <w:r w:rsidR="00A55A95">
        <w:lastRenderedPageBreak/>
        <w:t>clear, however, if expanding the analysis in this way would favour interconnectors over other options under assessment.</w:t>
      </w:r>
      <w:r w:rsidR="00315F5A">
        <w:t xml:space="preserve"> </w:t>
      </w:r>
    </w:p>
    <w:p w:rsidR="00A55A95" w:rsidRDefault="00A55A95" w:rsidP="009F5A06">
      <w:pPr>
        <w:pStyle w:val="AERbodytext"/>
      </w:pPr>
      <w:r>
        <w:t xml:space="preserve">In the 2011 </w:t>
      </w:r>
      <w:proofErr w:type="spellStart"/>
      <w:r>
        <w:t>NTNDP</w:t>
      </w:r>
      <w:proofErr w:type="spellEnd"/>
      <w:r>
        <w:t xml:space="preserve">, </w:t>
      </w:r>
      <w:proofErr w:type="spellStart"/>
      <w:r>
        <w:t>AEMO</w:t>
      </w:r>
      <w:proofErr w:type="spellEnd"/>
      <w:r>
        <w:t xml:space="preserve"> called for reform to the national regulatory and transmission frameworks to ‘enable wider economic benefits beyond the electricity market to be considered, to maximise the value of these investments to </w:t>
      </w:r>
      <w:smartTag w:uri="urn:schemas-microsoft-com:office:smarttags" w:element="place">
        <w:smartTag w:uri="urn:schemas-microsoft-com:office:smarttags" w:element="country-region">
          <w:r>
            <w:t>Australia</w:t>
          </w:r>
        </w:smartTag>
      </w:smartTag>
      <w:r>
        <w:t xml:space="preserve">’. </w:t>
      </w:r>
      <w:proofErr w:type="spellStart"/>
      <w:r>
        <w:t>AEMO</w:t>
      </w:r>
      <w:proofErr w:type="spellEnd"/>
      <w:r>
        <w:t xml:space="preserve"> made its comments in the context of its assessment of </w:t>
      </w:r>
      <w:proofErr w:type="spellStart"/>
      <w:r>
        <w:t>NEMLink</w:t>
      </w:r>
      <w:proofErr w:type="spellEnd"/>
      <w:r>
        <w:t xml:space="preserve">—a proposed backbone of network infrastructure to strengthen transmission links across the </w:t>
      </w:r>
      <w:proofErr w:type="spellStart"/>
      <w:r>
        <w:t>NEM</w:t>
      </w:r>
      <w:proofErr w:type="spellEnd"/>
      <w:r>
        <w:t xml:space="preserve">. Under current expectations of economic and demand growth the project was found to be unlikely to deliver net economic benefits in the electricity market. </w:t>
      </w:r>
      <w:proofErr w:type="spellStart"/>
      <w:r>
        <w:t>AEMO</w:t>
      </w:r>
      <w:proofErr w:type="spellEnd"/>
      <w:r>
        <w:t xml:space="preserve"> considered that a wider perspective on economic impacts would find additional benefits beyond those in the electricity market alone. It has not reported on the scale of these benefits but considered they could potentially exceed the present value of </w:t>
      </w:r>
      <w:proofErr w:type="spellStart"/>
      <w:r>
        <w:t>NEMLink</w:t>
      </w:r>
      <w:proofErr w:type="spellEnd"/>
      <w:r>
        <w:t xml:space="preserve"> costs (around $3.5 billion). </w:t>
      </w:r>
    </w:p>
    <w:p w:rsidR="00A55A95" w:rsidRDefault="00A55A95" w:rsidP="009F5A06">
      <w:pPr>
        <w:pStyle w:val="AERbodytext"/>
      </w:pPr>
      <w:r>
        <w:t xml:space="preserve">These comments follow on from work conducted by </w:t>
      </w:r>
      <w:proofErr w:type="spellStart"/>
      <w:r>
        <w:t>AEMO</w:t>
      </w:r>
      <w:proofErr w:type="spellEnd"/>
      <w:r>
        <w:t xml:space="preserve"> during the RIT-T development process to assess the benefits of using a general equilibrium model rather than the present partial equilibrium model. It considered a general equilibrium approach may deliver more appropriate results because:  </w:t>
      </w:r>
    </w:p>
    <w:p w:rsidR="00A55A95" w:rsidRDefault="00A55A95" w:rsidP="009F5A06">
      <w:pPr>
        <w:pStyle w:val="AERbulletlistfirststyle"/>
      </w:pPr>
      <w:r>
        <w:t xml:space="preserve">partial equilibrium analysis tends to emphasise marginal movements in bids, costs and dispatch in the wholesale spot market, which are challenging to model over the life of an asset and may not accurately reflect the overall benefits of an investment </w:t>
      </w:r>
    </w:p>
    <w:p w:rsidR="00A55A95" w:rsidRDefault="00A55A95" w:rsidP="009F5A06">
      <w:pPr>
        <w:pStyle w:val="AERbulletlistfirststyle"/>
      </w:pPr>
      <w:r>
        <w:t xml:space="preserve">by considering movements in the average delivered price of electricity under a general equilibrium analysis of the broader economy, valid benefits may be identified that cannot otherwise be captured </w:t>
      </w:r>
    </w:p>
    <w:p w:rsidR="00A55A95" w:rsidRDefault="00A55A95" w:rsidP="009F5A06">
      <w:pPr>
        <w:pStyle w:val="AERbulletlistfirststyle"/>
      </w:pPr>
      <w:proofErr w:type="gramStart"/>
      <w:r>
        <w:t>a</w:t>
      </w:r>
      <w:proofErr w:type="gramEnd"/>
      <w:r>
        <w:t xml:space="preserve"> general equilibrium analysis should be able to quantify the second round effects in the </w:t>
      </w:r>
      <w:bookmarkStart w:id="21" w:name="OLE_LINK7"/>
      <w:r>
        <w:t>economy.</w:t>
      </w:r>
    </w:p>
    <w:p w:rsidR="0026798B" w:rsidRPr="00C63345" w:rsidRDefault="0026798B" w:rsidP="00C63345">
      <w:pPr>
        <w:pStyle w:val="AERbodytext"/>
      </w:pPr>
      <w:r w:rsidRPr="00C63345">
        <w:t>The AER considered at the time that a partial equilibrium analysis was an adequate means of analysing the potential benefits for the majority of transmission investments. Requiring a general equilibrium approach for all RIT-T assessments would require a level of analysis that would be disproportionate to the scale and likely impact of most investment options. Further, while a partial equilibrium model will only capture a portion of the benefits that could be shown by a general equilibrium analysis, it is not necessarily the case that a general equilibrium analysis will more favourably assess a proposed investment. Including broader general equilibrium effects may also adversely affect the competitive neutrality of the test in the context of not wanting transmission investment to ‘crowd out’ more efficient generation (or demand-response) investments. Finally, the ‘black box’ nature of general equilibrium modelling may adversely impact on the transparency of transmission planning and investment decisions. As part of this review, the Productivity Commission could consider whether further investigation of a general equilibrium model is worth pursuing, focusing on the benefits the model may provide and how this could be introduced into the assessment framework.</w:t>
      </w:r>
    </w:p>
    <w:bookmarkEnd w:id="21"/>
    <w:p w:rsidR="00C63345" w:rsidRDefault="00C63345" w:rsidP="00C63345">
      <w:pPr>
        <w:pStyle w:val="AERheading4"/>
      </w:pPr>
    </w:p>
    <w:p w:rsidR="00045062" w:rsidRPr="00045062" w:rsidRDefault="00045062" w:rsidP="00C63345">
      <w:pPr>
        <w:pStyle w:val="AERheading4"/>
      </w:pPr>
      <w:r w:rsidRPr="00045062">
        <w:t>Transmission planning</w:t>
      </w:r>
    </w:p>
    <w:p w:rsidR="001F3D6D" w:rsidRDefault="001F3D6D" w:rsidP="001F3D6D">
      <w:pPr>
        <w:pStyle w:val="AERbodytext"/>
      </w:pPr>
      <w:r>
        <w:t xml:space="preserve">The </w:t>
      </w:r>
      <w:proofErr w:type="spellStart"/>
      <w:r>
        <w:t>AEMC</w:t>
      </w:r>
      <w:proofErr w:type="spellEnd"/>
      <w:r>
        <w:t xml:space="preserve"> is undertaking a more general assessment of network planning arrangements through the Transmission Frameworks Review. The review is seeking to identify reform options that would optimise investment and operational decisions across generation and transmission. </w:t>
      </w:r>
      <w:r>
        <w:lastRenderedPageBreak/>
        <w:t>A number of reform options have been raised in response to stakeholder concerns that current arrangements for network development would not deliver sufficient new augmentations between regions. There are concerns that the existing arrangements may promote reliability-driven region-centric transmission investment and create incentives on transmission businesses to build rather than explore alternatives.</w:t>
      </w:r>
    </w:p>
    <w:p w:rsidR="001F3D6D" w:rsidRDefault="001F3D6D" w:rsidP="001F3D6D">
      <w:pPr>
        <w:pStyle w:val="AERbodytext"/>
      </w:pPr>
      <w:r>
        <w:t xml:space="preserve">Options for incremental change include improving the consistency and transparency of planning approaches within the </w:t>
      </w:r>
      <w:proofErr w:type="spellStart"/>
      <w:r>
        <w:t>NEM</w:t>
      </w:r>
      <w:proofErr w:type="spellEnd"/>
      <w:r>
        <w:t xml:space="preserve">. Options for more substantial change include coordinated planning across jurisdictions, either through harmonisation of planning approaches or through the introduction of a single independent </w:t>
      </w:r>
      <w:proofErr w:type="spellStart"/>
      <w:r>
        <w:t>NEM</w:t>
      </w:r>
      <w:proofErr w:type="spellEnd"/>
      <w:r>
        <w:t xml:space="preserve">-wide planning body.  The AER considers that the options for more substantial change should be actively considered.  </w:t>
      </w:r>
    </w:p>
    <w:p w:rsidR="00CD4D2B" w:rsidRDefault="00CD4D2B" w:rsidP="009F5A06">
      <w:pPr>
        <w:pStyle w:val="AERbodytext"/>
      </w:pPr>
    </w:p>
    <w:p w:rsidR="00A55A95" w:rsidRDefault="00A55A95" w:rsidP="006D56B3">
      <w:pPr>
        <w:pStyle w:val="AERheading2"/>
        <w:numPr>
          <w:ilvl w:val="0"/>
          <w:numId w:val="0"/>
        </w:numPr>
        <w:ind w:left="-714" w:firstLine="714"/>
      </w:pPr>
      <w:r>
        <w:t>Efficient use of existing interconnectors</w:t>
      </w:r>
    </w:p>
    <w:p w:rsidR="00A55A95" w:rsidRDefault="00A55A95" w:rsidP="009F5A06">
      <w:pPr>
        <w:pStyle w:val="AERbodytext"/>
      </w:pPr>
      <w:r>
        <w:t xml:space="preserve">Related to the question of whether the current framework delivers sufficient new interconnection is whether existing interconnectors are being used efficiently. Planning decisions by transmission businesses relating to their broader networks, as well as locational decisions of new generators, can significantly impact on interconnector flows. For example, in 2009 and 2010, there was network congestion in </w:t>
      </w:r>
      <w:smartTag w:uri="urn:schemas-microsoft-com:office:smarttags" w:element="State">
        <w:r>
          <w:t>New South Wales</w:t>
        </w:r>
      </w:smartTag>
      <w:r>
        <w:t xml:space="preserve"> associated with a ‘system-normal’ constraint to manage flows between Wallerawang and </w:t>
      </w:r>
      <w:smartTag w:uri="urn:schemas-microsoft-com:office:smarttags" w:element="place">
        <w:smartTag w:uri="urn:schemas-microsoft-com:office:smarttags" w:element="PlaceType">
          <w:r>
            <w:t>Mount</w:t>
          </w:r>
        </w:smartTag>
        <w:r>
          <w:t xml:space="preserve"> </w:t>
        </w:r>
        <w:smartTag w:uri="urn:schemas-microsoft-com:office:smarttags" w:element="PlaceName">
          <w:r>
            <w:t>Piper</w:t>
          </w:r>
        </w:smartTag>
      </w:smartTag>
      <w:r>
        <w:t xml:space="preserve">. This led to a reduction in imports into </w:t>
      </w:r>
      <w:smartTag w:uri="urn:schemas-microsoft-com:office:smarttags" w:element="State">
        <w:r>
          <w:t>New South Wales</w:t>
        </w:r>
      </w:smartTag>
      <w:r>
        <w:t xml:space="preserve"> across the interconnectors from </w:t>
      </w:r>
      <w:smartTag w:uri="urn:schemas-microsoft-com:office:smarttags" w:element="State">
        <w:r>
          <w:t>Victoria</w:t>
        </w:r>
      </w:smartTag>
      <w:r>
        <w:t xml:space="preserve"> and </w:t>
      </w:r>
      <w:smartTag w:uri="urn:schemas-microsoft-com:office:smarttags" w:element="place">
        <w:smartTag w:uri="urn:schemas-microsoft-com:office:smarttags" w:element="State">
          <w:r>
            <w:t>Queensland</w:t>
          </w:r>
        </w:smartTag>
      </w:smartTag>
      <w:r>
        <w:t xml:space="preserve">. However, since </w:t>
      </w:r>
      <w:proofErr w:type="spellStart"/>
      <w:r>
        <w:t>TransGrid</w:t>
      </w:r>
      <w:proofErr w:type="spellEnd"/>
      <w:r>
        <w:t xml:space="preserve"> completed its </w:t>
      </w:r>
      <w:r w:rsidR="00E60CEF">
        <w:t xml:space="preserve">network </w:t>
      </w:r>
      <w:r>
        <w:t xml:space="preserve">upgrade in central west New South Wales (the Western 500 kV project), congestion has been reduced and flows across the interconnectors have improved. </w:t>
      </w:r>
    </w:p>
    <w:p w:rsidR="00A55A95" w:rsidRDefault="00A55A95" w:rsidP="009F5A06">
      <w:pPr>
        <w:pStyle w:val="AERbodytext"/>
      </w:pPr>
      <w:r>
        <w:t>The Transmission Frameworks Review is looking at options to encourage transmission and generation businesses to consider the impact of their planning decisions on the existing network (including interconnectors). The options include congestion pricing (which would influence generation locational decisions) and reliability standards for interconnectors to ensure their capacity is maintained over time. The AER supported further consideration of these options.</w:t>
      </w:r>
    </w:p>
    <w:p w:rsidR="00A55A95" w:rsidRDefault="00A55A95" w:rsidP="009F5A06">
      <w:pPr>
        <w:pStyle w:val="AERbodytext"/>
      </w:pPr>
      <w:r>
        <w:t>The AER is also undertaking a review of the service target performance incentive scheme (</w:t>
      </w:r>
      <w:proofErr w:type="spellStart"/>
      <w:r>
        <w:t>STPIS</w:t>
      </w:r>
      <w:proofErr w:type="spellEnd"/>
      <w:r>
        <w:t>) that applies to transmission businesses. The scheme aims to balance incentives on transmission businesses to reduce operating expenditure with the need to maintain and improve reliability for customers and minimise the market impact of transmission congestion. The scheme includes a reliability component and a market impact component. As part of this review, the AER propose</w:t>
      </w:r>
      <w:r w:rsidR="00E60CEF">
        <w:t>s</w:t>
      </w:r>
      <w:r>
        <w:t xml:space="preserve"> to introduce a network transfer capability parameter within the </w:t>
      </w:r>
      <w:proofErr w:type="spellStart"/>
      <w:r>
        <w:t>STPIS</w:t>
      </w:r>
      <w:proofErr w:type="spellEnd"/>
      <w:r>
        <w:t>. This would encourage transmission businesses to devote resources to maintaining the capability of their existing network rather than focusing solely on new investments.</w:t>
      </w:r>
    </w:p>
    <w:p w:rsidR="00A55A95" w:rsidRPr="00F52D2D" w:rsidRDefault="00A55A95" w:rsidP="009F5A06">
      <w:pPr>
        <w:pStyle w:val="AERbodytext"/>
      </w:pPr>
    </w:p>
    <w:p w:rsidR="00A55A95" w:rsidRDefault="00A55A95" w:rsidP="006D56B3">
      <w:pPr>
        <w:pStyle w:val="AERheading1"/>
        <w:tabs>
          <w:tab w:val="clear" w:pos="-357"/>
          <w:tab w:val="num" w:pos="0"/>
        </w:tabs>
      </w:pPr>
      <w:r>
        <w:lastRenderedPageBreak/>
        <w:t>Conclusion</w:t>
      </w:r>
    </w:p>
    <w:p w:rsidR="00066A4A" w:rsidRDefault="00740053" w:rsidP="00066A4A">
      <w:pPr>
        <w:pStyle w:val="AERbodytext"/>
      </w:pPr>
      <w:r w:rsidRPr="002244FB">
        <w:t>As the</w:t>
      </w:r>
      <w:r w:rsidR="004F6C00">
        <w:t xml:space="preserve"> economic regulator for network businesses</w:t>
      </w:r>
      <w:r w:rsidRPr="002244FB">
        <w:t xml:space="preserve"> in the </w:t>
      </w:r>
      <w:proofErr w:type="spellStart"/>
      <w:r w:rsidRPr="002244FB">
        <w:t>NEM</w:t>
      </w:r>
      <w:proofErr w:type="spellEnd"/>
      <w:r w:rsidRPr="002244FB">
        <w:t xml:space="preserve">, </w:t>
      </w:r>
      <w:r w:rsidR="00A952F8">
        <w:t xml:space="preserve">the </w:t>
      </w:r>
      <w:r w:rsidRPr="002244FB">
        <w:t>AER</w:t>
      </w:r>
      <w:r>
        <w:t xml:space="preserve"> brings a unique perspective to the issues the </w:t>
      </w:r>
      <w:r w:rsidR="004F6C00">
        <w:t xml:space="preserve">Productivity Commission’s </w:t>
      </w:r>
      <w:r>
        <w:t xml:space="preserve">inquiry seeks to address. </w:t>
      </w:r>
      <w:r w:rsidR="00066A4A">
        <w:t>In particular, our revenue determinations for regulated transmission and distribution businesses involve forecasting the revenue requirement</w:t>
      </w:r>
      <w:r w:rsidR="00A952F8">
        <w:t>s needed</w:t>
      </w:r>
      <w:r w:rsidR="00066A4A">
        <w:t xml:space="preserve"> </w:t>
      </w:r>
      <w:r w:rsidR="004F764D">
        <w:t xml:space="preserve">to </w:t>
      </w:r>
      <w:r w:rsidR="00066A4A">
        <w:t xml:space="preserve">cover its efficient costs and provide a commercial return. </w:t>
      </w:r>
      <w:r w:rsidR="004F764D">
        <w:t xml:space="preserve">Incentive regulation is at the core of the </w:t>
      </w:r>
      <w:r w:rsidR="00B26962">
        <w:t>regulatory framework</w:t>
      </w:r>
      <w:r w:rsidR="004F764D">
        <w:t xml:space="preserve"> and </w:t>
      </w:r>
      <w:r w:rsidR="00066A4A">
        <w:t>b</w:t>
      </w:r>
      <w:r w:rsidR="00066A4A" w:rsidRPr="002244FB">
        <w:t>enchmarking</w:t>
      </w:r>
      <w:r w:rsidR="00066A4A">
        <w:t xml:space="preserve"> is a</w:t>
      </w:r>
      <w:r w:rsidR="00066A4A" w:rsidRPr="007B77D7">
        <w:t xml:space="preserve">n important regulatory analytical tool that </w:t>
      </w:r>
      <w:r w:rsidR="004F764D">
        <w:t xml:space="preserve">is a necessary complement, as it </w:t>
      </w:r>
      <w:r w:rsidR="00066A4A" w:rsidRPr="007B77D7">
        <w:t xml:space="preserve">examines historic costs and endeavours to look forward to </w:t>
      </w:r>
      <w:r w:rsidR="00066A4A">
        <w:t>estimate</w:t>
      </w:r>
      <w:r w:rsidR="00066A4A" w:rsidRPr="007B77D7">
        <w:t xml:space="preserve"> the efficient costs </w:t>
      </w:r>
      <w:r w:rsidR="004F764D">
        <w:t>of delivering services.</w:t>
      </w:r>
      <w:r w:rsidR="00066A4A" w:rsidRPr="00066A4A">
        <w:t xml:space="preserve"> </w:t>
      </w:r>
      <w:r w:rsidR="00066A4A">
        <w:t xml:space="preserve">To apply these techniques in our regulatory </w:t>
      </w:r>
      <w:r w:rsidR="004F6C00">
        <w:t xml:space="preserve">revenue </w:t>
      </w:r>
      <w:r w:rsidR="00066A4A">
        <w:t>determinations, the AER is</w:t>
      </w:r>
      <w:r w:rsidR="00066A4A" w:rsidRPr="002244FB">
        <w:t xml:space="preserve"> </w:t>
      </w:r>
      <w:r w:rsidR="00066A4A">
        <w:t xml:space="preserve">developing greater capabilities in benchmarking through </w:t>
      </w:r>
      <w:r w:rsidR="00066A4A" w:rsidRPr="002244FB">
        <w:t>the collection, analysis and reporting of consistent data</w:t>
      </w:r>
      <w:r w:rsidR="00066A4A">
        <w:t xml:space="preserve"> and undertaking industry consultation to develop our benchmarking assessment techniques.  </w:t>
      </w:r>
      <w:r w:rsidR="00066A4A" w:rsidRPr="002244FB">
        <w:t xml:space="preserve">This work will enhance the </w:t>
      </w:r>
      <w:proofErr w:type="spellStart"/>
      <w:r w:rsidR="00066A4A" w:rsidRPr="002244FB">
        <w:t>AER’s</w:t>
      </w:r>
      <w:proofErr w:type="spellEnd"/>
      <w:r w:rsidR="00066A4A" w:rsidRPr="002244FB">
        <w:t xml:space="preserve"> ability to </w:t>
      </w:r>
      <w:r w:rsidR="00066A4A">
        <w:t xml:space="preserve">use benchmarking as </w:t>
      </w:r>
      <w:r w:rsidR="00066A4A" w:rsidRPr="007B77D7">
        <w:t xml:space="preserve">regulatory analytical tool </w:t>
      </w:r>
      <w:r w:rsidR="00066A4A">
        <w:t xml:space="preserve">to </w:t>
      </w:r>
      <w:r w:rsidR="00066A4A" w:rsidRPr="002244FB">
        <w:t xml:space="preserve">assess the efficiency of the regulated </w:t>
      </w:r>
      <w:r w:rsidR="00A952F8">
        <w:t>business</w:t>
      </w:r>
      <w:r w:rsidR="00066A4A" w:rsidRPr="002244FB">
        <w:t xml:space="preserve"> expenditure proposals during a revenue determination.</w:t>
      </w:r>
      <w:r w:rsidR="00066A4A" w:rsidRPr="00066A4A">
        <w:t xml:space="preserve"> </w:t>
      </w:r>
    </w:p>
    <w:p w:rsidR="00066A4A" w:rsidRPr="002244FB" w:rsidRDefault="00066A4A" w:rsidP="00066A4A">
      <w:pPr>
        <w:pStyle w:val="AERbodytext"/>
      </w:pPr>
      <w:r>
        <w:t xml:space="preserve">The </w:t>
      </w:r>
      <w:proofErr w:type="spellStart"/>
      <w:r>
        <w:t>AER’s</w:t>
      </w:r>
      <w:proofErr w:type="spellEnd"/>
      <w:r>
        <w:t xml:space="preserve"> submission has also provided an overview of the planning process for network investment and how this relates to revenue regulation. There have been a number of recent reforms designed to assess the efficiency of network investment. </w:t>
      </w:r>
      <w:r w:rsidR="00DC6384">
        <w:t>T</w:t>
      </w:r>
      <w:r w:rsidR="00371A7E">
        <w:t>he AER considers that there are signs the framework is providing appropriate incentives for</w:t>
      </w:r>
      <w:r w:rsidR="00371A7E" w:rsidRPr="002244FB">
        <w:t xml:space="preserve"> </w:t>
      </w:r>
      <w:r w:rsidR="00371A7E">
        <w:t xml:space="preserve">transmission </w:t>
      </w:r>
      <w:r w:rsidR="00371A7E" w:rsidRPr="002244FB">
        <w:t xml:space="preserve">network planning </w:t>
      </w:r>
      <w:r w:rsidR="00371A7E">
        <w:t xml:space="preserve">and investment to enhance the transparency of investment needs that allow for the </w:t>
      </w:r>
      <w:r w:rsidR="00371A7E" w:rsidRPr="002244FB">
        <w:t>development of an efficient national grid</w:t>
      </w:r>
      <w:r w:rsidR="00371A7E">
        <w:t xml:space="preserve">, but further more fundamental reforms </w:t>
      </w:r>
      <w:r w:rsidR="00045062">
        <w:t xml:space="preserve">could </w:t>
      </w:r>
      <w:r w:rsidR="00371A7E">
        <w:t xml:space="preserve">be considered.  </w:t>
      </w:r>
    </w:p>
    <w:p w:rsidR="00740053" w:rsidRDefault="00DC6384" w:rsidP="00740053">
      <w:pPr>
        <w:pStyle w:val="AERbodytext"/>
      </w:pPr>
      <w:r>
        <w:t xml:space="preserve">The AER looks forward to working with the Productivity Commission and other stakeholders in adding value to this inquiry. </w:t>
      </w:r>
      <w:r w:rsidR="00B14782">
        <w:t xml:space="preserve">The AER also notes that this </w:t>
      </w:r>
      <w:r>
        <w:t>inquiry</w:t>
      </w:r>
      <w:r w:rsidR="00B14782">
        <w:t xml:space="preserve"> should be considered in the context of the other review processes underway, which will also </w:t>
      </w:r>
      <w:r w:rsidR="00B14782" w:rsidRPr="002244FB">
        <w:t xml:space="preserve">provide the opportunity to identify further reforms needed to address shortcomings in the current </w:t>
      </w:r>
      <w:r w:rsidR="004F6C00">
        <w:t xml:space="preserve">regulatory </w:t>
      </w:r>
      <w:r w:rsidR="00B14782" w:rsidRPr="002244FB">
        <w:t>framework.</w:t>
      </w:r>
    </w:p>
    <w:p w:rsidR="00B14782" w:rsidRPr="002244FB" w:rsidRDefault="00B14782">
      <w:pPr>
        <w:rPr>
          <w:lang w:eastAsia="en-US"/>
        </w:rPr>
      </w:pPr>
    </w:p>
    <w:sectPr w:rsidR="00B14782" w:rsidRPr="002244FB" w:rsidSect="0080380C">
      <w:headerReference w:type="even" r:id="rId12"/>
      <w:headerReference w:type="default" r:id="rId13"/>
      <w:footerReference w:type="even" r:id="rId14"/>
      <w:footerReference w:type="default" r:id="rId15"/>
      <w:pgSz w:w="11906" w:h="16838" w:code="9"/>
      <w:pgMar w:top="1440" w:right="1701" w:bottom="1259"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A1" w:rsidRDefault="00CF2DA1" w:rsidP="009F5A06">
      <w:r>
        <w:separator/>
      </w:r>
    </w:p>
    <w:p w:rsidR="00CF2DA1" w:rsidRDefault="00CF2DA1"/>
    <w:p w:rsidR="00CF2DA1" w:rsidRDefault="00CF2DA1"/>
  </w:endnote>
  <w:endnote w:type="continuationSeparator" w:id="0">
    <w:p w:rsidR="00CF2DA1" w:rsidRDefault="00CF2DA1" w:rsidP="009F5A06">
      <w:r>
        <w:continuationSeparator/>
      </w:r>
    </w:p>
    <w:p w:rsidR="00CF2DA1" w:rsidRDefault="00CF2DA1"/>
    <w:p w:rsidR="00CF2DA1" w:rsidRDefault="00CF2D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43" w:rsidRDefault="00DF4F43" w:rsidP="009F5A06">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w:t>
    </w:r>
    <w:proofErr w:type="spellStart"/>
    <w:r>
      <w:t>Aer</w:t>
    </w:r>
    <w:proofErr w:type="spellEnd"/>
    <w:r>
      <w:t xml:space="preserve"> Determination Heading</w:t>
    </w:r>
  </w:p>
  <w:p w:rsidR="00DF4F43" w:rsidRDefault="00DF4F43"/>
  <w:p w:rsidR="00DF4F43" w:rsidRDefault="00DF4F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43" w:rsidRDefault="00DF4F43" w:rsidP="006D588D">
    <w:pPr>
      <w:jc w:val="center"/>
    </w:pPr>
    <w:r>
      <w:rPr>
        <w:rStyle w:val="PageNumber"/>
      </w:rPr>
      <w:fldChar w:fldCharType="begin"/>
    </w:r>
    <w:r>
      <w:rPr>
        <w:rStyle w:val="PageNumber"/>
      </w:rPr>
      <w:instrText xml:space="preserve"> PAGE </w:instrText>
    </w:r>
    <w:r>
      <w:rPr>
        <w:rStyle w:val="PageNumber"/>
      </w:rPr>
      <w:fldChar w:fldCharType="separate"/>
    </w:r>
    <w:r w:rsidR="008B0B36">
      <w:rPr>
        <w:rStyle w:val="PageNumber"/>
        <w:noProof/>
      </w:rPr>
      <w:t>1</w:t>
    </w:r>
    <w:r>
      <w:rPr>
        <w:rStyle w:val="PageNumber"/>
      </w:rPr>
      <w:fldChar w:fldCharType="end"/>
    </w:r>
  </w:p>
  <w:p w:rsidR="00DF4F43" w:rsidRDefault="00DF4F43"/>
  <w:p w:rsidR="00DF4F43" w:rsidRDefault="00DF4F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A1" w:rsidRDefault="00CF2DA1" w:rsidP="009F5A06">
      <w:r>
        <w:separator/>
      </w:r>
    </w:p>
    <w:p w:rsidR="00CF2DA1" w:rsidRDefault="00CF2DA1"/>
    <w:p w:rsidR="00CF2DA1" w:rsidRDefault="00CF2DA1"/>
  </w:footnote>
  <w:footnote w:type="continuationSeparator" w:id="0">
    <w:p w:rsidR="00CF2DA1" w:rsidRDefault="00CF2DA1" w:rsidP="009F5A06">
      <w:r>
        <w:continuationSeparator/>
      </w:r>
    </w:p>
    <w:p w:rsidR="00CF2DA1" w:rsidRDefault="00CF2DA1"/>
    <w:p w:rsidR="00CF2DA1" w:rsidRDefault="00CF2DA1"/>
  </w:footnote>
  <w:footnote w:id="1">
    <w:p w:rsidR="00DF4F43" w:rsidRDefault="00DF4F43" w:rsidP="00AE0750">
      <w:pPr>
        <w:pStyle w:val="FootnoteText"/>
        <w:tabs>
          <w:tab w:val="clear" w:pos="454"/>
          <w:tab w:val="left" w:pos="180"/>
        </w:tabs>
        <w:ind w:left="180" w:hanging="180"/>
      </w:pPr>
      <w:r>
        <w:rPr>
          <w:rStyle w:val="FootnoteReference"/>
        </w:rPr>
        <w:footnoteRef/>
      </w:r>
      <w:r>
        <w:t xml:space="preserve"> A separate capital expenditure mechanism would have the effect of increasing the power of the incentive for the network business to keep its capital expenditure within the regulatory allowance. The issue of a stronger capital expenditure incentive is currently being considered as part of the </w:t>
      </w:r>
      <w:proofErr w:type="spellStart"/>
      <w:r>
        <w:t>AEMC’s</w:t>
      </w:r>
      <w:proofErr w:type="spellEnd"/>
      <w:r>
        <w:t xml:space="preserve"> current review of the </w:t>
      </w:r>
      <w:proofErr w:type="spellStart"/>
      <w:r>
        <w:t>AER’s</w:t>
      </w:r>
      <w:proofErr w:type="spellEnd"/>
      <w:r>
        <w:t xml:space="preserve"> Economic Regulation of Network Service Providers rule change proposal.</w:t>
      </w:r>
    </w:p>
  </w:footnote>
  <w:footnote w:id="2">
    <w:p w:rsidR="00DF4F43" w:rsidRDefault="00DF4F43">
      <w:pPr>
        <w:pStyle w:val="FootnoteText"/>
      </w:pPr>
      <w:r>
        <w:rPr>
          <w:rStyle w:val="FootnoteReference"/>
        </w:rPr>
        <w:footnoteRef/>
      </w:r>
      <w:r>
        <w:t xml:space="preserve"> </w:t>
      </w:r>
      <w:r>
        <w:tab/>
        <w:t xml:space="preserve">For each distribution business, the </w:t>
      </w:r>
      <w:proofErr w:type="spellStart"/>
      <w:r>
        <w:t>AER’s</w:t>
      </w:r>
      <w:proofErr w:type="spellEnd"/>
      <w:r>
        <w:t xml:space="preserve"> consultant developed an alternative forecast by assessing the apparent degree of discrepancy attributed to systemic over-forecasting over the previous regulatory periods, taking an average and using this amount to scale down the allowances to a lesser amount. This scaling factor was termed the ‘weighted average probability.’</w:t>
      </w:r>
    </w:p>
  </w:footnote>
  <w:footnote w:id="3">
    <w:p w:rsidR="00DF4F43" w:rsidRDefault="00DF4F43" w:rsidP="004F764D">
      <w:pPr>
        <w:pStyle w:val="FootnoteText"/>
      </w:pPr>
      <w:r>
        <w:rPr>
          <w:rStyle w:val="FootnoteReference"/>
        </w:rPr>
        <w:footnoteRef/>
      </w:r>
      <w:r>
        <w:t xml:space="preserve"> </w:t>
      </w:r>
      <w:r w:rsidRPr="000E658D">
        <w:rPr>
          <w:rFonts w:ascii="Times New Roman" w:hAnsi="Times New Roman"/>
        </w:rPr>
        <w:t xml:space="preserve">AER, </w:t>
      </w:r>
      <w:r w:rsidRPr="000E658D">
        <w:rPr>
          <w:rFonts w:ascii="Times New Roman" w:hAnsi="Times New Roman"/>
          <w:i/>
        </w:rPr>
        <w:t>Regulatory investment test for transmission</w:t>
      </w:r>
      <w:r w:rsidRPr="000E658D">
        <w:rPr>
          <w:rFonts w:ascii="Times New Roman" w:hAnsi="Times New Roman"/>
        </w:rPr>
        <w:t>,</w:t>
      </w:r>
      <w:r>
        <w:rPr>
          <w:rFonts w:ascii="Times New Roman" w:hAnsi="Times New Roman"/>
        </w:rPr>
        <w:t xml:space="preserve"> </w:t>
      </w:r>
      <w:r w:rsidRPr="000E658D">
        <w:rPr>
          <w:rFonts w:ascii="Times New Roman" w:hAnsi="Times New Roman"/>
        </w:rPr>
        <w:t>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43" w:rsidRDefault="00DF4F43"/>
  <w:p w:rsidR="00DF4F43" w:rsidRDefault="00DF4F43"/>
  <w:p w:rsidR="00DF4F43" w:rsidRDefault="00DF4F43"/>
  <w:p w:rsidR="00DF4F43" w:rsidRDefault="00DF4F43"/>
  <w:p w:rsidR="00DF4F43" w:rsidRDefault="00DF4F43"/>
  <w:p w:rsidR="00DF4F43" w:rsidRDefault="00DF4F43"/>
  <w:p w:rsidR="00DF4F43" w:rsidRDefault="00DF4F4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43" w:rsidRDefault="00DF4F43"/>
  <w:p w:rsidR="00DF4F43" w:rsidRDefault="00DF4F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E6E"/>
    <w:multiLevelType w:val="multilevel"/>
    <w:tmpl w:val="4BAC67F8"/>
    <w:lvl w:ilvl="0">
      <w:start w:val="1"/>
      <w:numFmt w:val="upperLetter"/>
      <w:pStyle w:val="AERappendixheading1"/>
      <w:lvlText w:val="%1"/>
      <w:lvlJc w:val="left"/>
      <w:pPr>
        <w:tabs>
          <w:tab w:val="num" w:pos="851"/>
        </w:tabs>
        <w:ind w:left="851" w:hanging="851"/>
      </w:pPr>
      <w:rPr>
        <w:rFonts w:hint="default"/>
      </w:rPr>
    </w:lvl>
    <w:lvl w:ilvl="1">
      <w:start w:val="1"/>
      <w:numFmt w:val="decimal"/>
      <w:pStyle w:val="AERappendixheading2"/>
      <w:lvlText w:val="%1.%2"/>
      <w:lvlJc w:val="left"/>
      <w:pPr>
        <w:tabs>
          <w:tab w:val="num" w:pos="851"/>
        </w:tabs>
        <w:ind w:left="851" w:hanging="851"/>
      </w:pPr>
      <w:rPr>
        <w:rFonts w:hint="default"/>
      </w:rPr>
    </w:lvl>
    <w:lvl w:ilvl="2">
      <w:start w:val="1"/>
      <w:numFmt w:val="decimal"/>
      <w:pStyle w:val="AERappendixheading3"/>
      <w:lvlText w:val="%1.%2.%3"/>
      <w:lvlJc w:val="left"/>
      <w:pPr>
        <w:tabs>
          <w:tab w:val="num" w:pos="851"/>
        </w:tabs>
        <w:ind w:left="851" w:hanging="851"/>
      </w:pPr>
      <w:rPr>
        <w:rFonts w:hint="default"/>
      </w:rPr>
    </w:lvl>
    <w:lvl w:ilvl="3">
      <w:start w:val="1"/>
      <w:numFmt w:val="decimal"/>
      <w:pStyle w:val="AERappendixheading4"/>
      <w:lvlText w:val="%1.%2.%3.%4"/>
      <w:lvlJc w:val="left"/>
      <w:pPr>
        <w:tabs>
          <w:tab w:val="num" w:pos="851"/>
        </w:tabs>
        <w:ind w:left="851" w:hanging="851"/>
      </w:pPr>
      <w:rPr>
        <w:rFonts w:hint="default"/>
      </w:rPr>
    </w:lvl>
    <w:lvl w:ilvl="4">
      <w:start w:val="1"/>
      <w:numFmt w:val="decimal"/>
      <w:lvlRestart w:val="1"/>
      <w:pStyle w:val="AERappendixtableheading"/>
      <w:lvlText w:val="Table %1.%5"/>
      <w:lvlJc w:val="left"/>
      <w:pPr>
        <w:tabs>
          <w:tab w:val="num" w:pos="1361"/>
        </w:tabs>
        <w:ind w:left="1361" w:hanging="1361"/>
      </w:pPr>
      <w:rPr>
        <w:rFonts w:hint="default"/>
      </w:rPr>
    </w:lvl>
    <w:lvl w:ilvl="5">
      <w:start w:val="1"/>
      <w:numFmt w:val="decimal"/>
      <w:lvlRestart w:val="1"/>
      <w:pStyle w:val="AERappendixfigureheading"/>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cs="Times New Roman" w:hint="default"/>
        <w:b w:val="0"/>
        <w:i w:val="0"/>
        <w:sz w:val="22"/>
      </w:rPr>
    </w:lvl>
    <w:lvl w:ilvl="1" w:tplc="0C090003" w:tentative="1">
      <w:start w:val="1"/>
      <w:numFmt w:val="bullet"/>
      <w:lvlText w:val="o"/>
      <w:lvlJc w:val="left"/>
      <w:pPr>
        <w:tabs>
          <w:tab w:val="num" w:pos="1806"/>
        </w:tabs>
        <w:ind w:left="1806" w:hanging="360"/>
      </w:pPr>
      <w:rPr>
        <w:rFonts w:ascii="Courier New" w:hAnsi="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1D37CD7"/>
    <w:multiLevelType w:val="hybridMultilevel"/>
    <w:tmpl w:val="2C8A004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8590EBC"/>
    <w:multiLevelType w:val="hybridMultilevel"/>
    <w:tmpl w:val="DA2695CA"/>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5">
    <w:nsid w:val="301B31FF"/>
    <w:multiLevelType w:val="multilevel"/>
    <w:tmpl w:val="6B1233FC"/>
    <w:lvl w:ilvl="0">
      <w:start w:val="1"/>
      <w:numFmt w:val="lowerLetter"/>
      <w:pStyle w:val="AERnumberedlistsecondstyle"/>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308B7E34"/>
    <w:multiLevelType w:val="hybridMultilevel"/>
    <w:tmpl w:val="BA70068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cs="Times New Roman"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rPr>
        <w:rFonts w:cs="Times New Roman"/>
      </w:rPr>
    </w:lvl>
    <w:lvl w:ilvl="3" w:tplc="0C090001" w:tentative="1">
      <w:start w:val="1"/>
      <w:numFmt w:val="decimal"/>
      <w:lvlText w:val="%4."/>
      <w:lvlJc w:val="left"/>
      <w:pPr>
        <w:tabs>
          <w:tab w:val="num" w:pos="5940"/>
        </w:tabs>
        <w:ind w:left="5940" w:hanging="360"/>
      </w:pPr>
      <w:rPr>
        <w:rFonts w:cs="Times New Roman"/>
      </w:rPr>
    </w:lvl>
    <w:lvl w:ilvl="4" w:tplc="0C090003">
      <w:start w:val="1"/>
      <w:numFmt w:val="lowerLetter"/>
      <w:lvlText w:val="%5."/>
      <w:lvlJc w:val="left"/>
      <w:pPr>
        <w:tabs>
          <w:tab w:val="num" w:pos="6660"/>
        </w:tabs>
        <w:ind w:left="6660" w:hanging="360"/>
      </w:pPr>
      <w:rPr>
        <w:rFonts w:cs="Times New Roman"/>
      </w:rPr>
    </w:lvl>
    <w:lvl w:ilvl="5" w:tplc="0C090005">
      <w:start w:val="1"/>
      <w:numFmt w:val="lowerRoman"/>
      <w:lvlText w:val="%6."/>
      <w:lvlJc w:val="right"/>
      <w:pPr>
        <w:tabs>
          <w:tab w:val="num" w:pos="7380"/>
        </w:tabs>
        <w:ind w:left="7380" w:hanging="180"/>
      </w:pPr>
      <w:rPr>
        <w:rFonts w:cs="Times New Roman"/>
      </w:rPr>
    </w:lvl>
    <w:lvl w:ilvl="6" w:tplc="0C090001" w:tentative="1">
      <w:start w:val="1"/>
      <w:numFmt w:val="decimal"/>
      <w:lvlText w:val="%7."/>
      <w:lvlJc w:val="left"/>
      <w:pPr>
        <w:tabs>
          <w:tab w:val="num" w:pos="8100"/>
        </w:tabs>
        <w:ind w:left="8100" w:hanging="360"/>
      </w:pPr>
      <w:rPr>
        <w:rFonts w:cs="Times New Roman"/>
      </w:rPr>
    </w:lvl>
    <w:lvl w:ilvl="7" w:tplc="0C090003" w:tentative="1">
      <w:start w:val="1"/>
      <w:numFmt w:val="lowerLetter"/>
      <w:lvlText w:val="%8."/>
      <w:lvlJc w:val="left"/>
      <w:pPr>
        <w:tabs>
          <w:tab w:val="num" w:pos="8820"/>
        </w:tabs>
        <w:ind w:left="8820" w:hanging="360"/>
      </w:pPr>
      <w:rPr>
        <w:rFonts w:cs="Times New Roman"/>
      </w:rPr>
    </w:lvl>
    <w:lvl w:ilvl="8" w:tplc="0C090005" w:tentative="1">
      <w:start w:val="1"/>
      <w:numFmt w:val="lowerRoman"/>
      <w:lvlText w:val="%9."/>
      <w:lvlJc w:val="right"/>
      <w:pPr>
        <w:tabs>
          <w:tab w:val="num" w:pos="9540"/>
        </w:tabs>
        <w:ind w:left="9540" w:hanging="180"/>
      </w:pPr>
      <w:rPr>
        <w:rFonts w:cs="Times New Roman"/>
      </w:rPr>
    </w:lvl>
  </w:abstractNum>
  <w:abstractNum w:abstractNumId="8">
    <w:nsid w:val="4DC243F4"/>
    <w:multiLevelType w:val="hybridMultilevel"/>
    <w:tmpl w:val="62B6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E2E0947"/>
    <w:multiLevelType w:val="multilevel"/>
    <w:tmpl w:val="4AA880F6"/>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AE679F7"/>
    <w:multiLevelType w:val="hybridMultilevel"/>
    <w:tmpl w:val="2AC64F2A"/>
    <w:lvl w:ilvl="0" w:tplc="AB82358C">
      <w:start w:val="1"/>
      <w:numFmt w:val="bullet"/>
      <w:pStyle w:val="SOEMBullet1"/>
      <w:lvlText w:val=""/>
      <w:lvlJc w:val="left"/>
      <w:pPr>
        <w:tabs>
          <w:tab w:val="num" w:pos="360"/>
        </w:tabs>
        <w:ind w:left="360" w:hanging="360"/>
      </w:pPr>
      <w:rPr>
        <w:rFonts w:ascii="Wingdings" w:hAnsi="Wingdings" w:hint="default"/>
        <w:sz w:val="28"/>
      </w:rPr>
    </w:lvl>
    <w:lvl w:ilvl="1" w:tplc="0C090005">
      <w:start w:val="1"/>
      <w:numFmt w:val="bullet"/>
      <w:lvlText w:val=""/>
      <w:lvlJc w:val="left"/>
      <w:pPr>
        <w:tabs>
          <w:tab w:val="num" w:pos="1800"/>
        </w:tabs>
        <w:ind w:left="1800" w:hanging="360"/>
      </w:pPr>
      <w:rPr>
        <w:rFonts w:ascii="Wingdings" w:hAnsi="Wingdings" w:hint="default"/>
        <w:sz w:val="28"/>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2">
    <w:nsid w:val="6EB1429B"/>
    <w:multiLevelType w:val="hybridMultilevel"/>
    <w:tmpl w:val="E5962A4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3501AF3"/>
    <w:multiLevelType w:val="multilevel"/>
    <w:tmpl w:val="A2DA2266"/>
    <w:lvl w:ilvl="0">
      <w:start w:val="1"/>
      <w:numFmt w:val="decimal"/>
      <w:lvlText w:val="%1"/>
      <w:lvlJc w:val="left"/>
      <w:pPr>
        <w:tabs>
          <w:tab w:val="num" w:pos="-357"/>
        </w:tabs>
        <w:ind w:left="357" w:hanging="1071"/>
      </w:pPr>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Restart w:val="0"/>
      <w:lvlText w:val="Figure %1.%4"/>
      <w:lvlJc w:val="left"/>
      <w:pPr>
        <w:tabs>
          <w:tab w:val="num" w:pos="357"/>
        </w:tabs>
        <w:ind w:left="357" w:hanging="357"/>
      </w:pPr>
      <w:rPr>
        <w:rFonts w:cs="Times New Roman" w:hint="default"/>
      </w:rPr>
    </w:lvl>
    <w:lvl w:ilvl="4">
      <w:start w:val="1"/>
      <w:numFmt w:val="decimal"/>
      <w:lvlRestart w:val="0"/>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4ED0C50"/>
    <w:multiLevelType w:val="hybridMultilevel"/>
    <w:tmpl w:val="F9BC50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6A149FE"/>
    <w:multiLevelType w:val="multilevel"/>
    <w:tmpl w:val="A2DA2266"/>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16"/>
  </w:num>
  <w:num w:numId="2">
    <w:abstractNumId w:val="3"/>
  </w:num>
  <w:num w:numId="3">
    <w:abstractNumId w:val="11"/>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14"/>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15"/>
  </w:num>
  <w:num w:numId="15">
    <w:abstractNumId w:val="15"/>
  </w:num>
  <w:num w:numId="16">
    <w:abstractNumId w:val="15"/>
  </w:num>
  <w:num w:numId="17">
    <w:abstractNumId w:val="9"/>
  </w:num>
  <w:num w:numId="18">
    <w:abstractNumId w:val="0"/>
  </w:num>
  <w:num w:numId="19">
    <w:abstractNumId w:val="8"/>
  </w:num>
  <w:num w:numId="20">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oNotTrackMoves/>
  <w:documentProtection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tp://www.pc.gov.au/__data/assets/word_doc/0003/116769/sub013-electricity.doc"/>
  </w:docVars>
  <w:rsids>
    <w:rsidRoot w:val="0071497E"/>
    <w:rsid w:val="00006434"/>
    <w:rsid w:val="000066BD"/>
    <w:rsid w:val="00027A73"/>
    <w:rsid w:val="00045062"/>
    <w:rsid w:val="00066A4A"/>
    <w:rsid w:val="00073072"/>
    <w:rsid w:val="000736AB"/>
    <w:rsid w:val="00084716"/>
    <w:rsid w:val="00085453"/>
    <w:rsid w:val="00086A56"/>
    <w:rsid w:val="00093E62"/>
    <w:rsid w:val="00095CC0"/>
    <w:rsid w:val="000A1B96"/>
    <w:rsid w:val="000A2CBC"/>
    <w:rsid w:val="000A30C6"/>
    <w:rsid w:val="000C7BF2"/>
    <w:rsid w:val="000E2F35"/>
    <w:rsid w:val="000E658D"/>
    <w:rsid w:val="000F547A"/>
    <w:rsid w:val="000F7186"/>
    <w:rsid w:val="00113CA8"/>
    <w:rsid w:val="00117CA9"/>
    <w:rsid w:val="0012680A"/>
    <w:rsid w:val="00131C0E"/>
    <w:rsid w:val="001342B4"/>
    <w:rsid w:val="00142C42"/>
    <w:rsid w:val="001471DC"/>
    <w:rsid w:val="00164801"/>
    <w:rsid w:val="00167283"/>
    <w:rsid w:val="00191E00"/>
    <w:rsid w:val="001A27DF"/>
    <w:rsid w:val="001A7245"/>
    <w:rsid w:val="001D1F4A"/>
    <w:rsid w:val="001D5B9A"/>
    <w:rsid w:val="001E62BD"/>
    <w:rsid w:val="001F0AD5"/>
    <w:rsid w:val="001F1793"/>
    <w:rsid w:val="001F35CC"/>
    <w:rsid w:val="001F3D6D"/>
    <w:rsid w:val="001F5BE2"/>
    <w:rsid w:val="00215B11"/>
    <w:rsid w:val="0021699C"/>
    <w:rsid w:val="00217D2A"/>
    <w:rsid w:val="002244FB"/>
    <w:rsid w:val="00235439"/>
    <w:rsid w:val="00235E61"/>
    <w:rsid w:val="002400DD"/>
    <w:rsid w:val="00257885"/>
    <w:rsid w:val="002648A8"/>
    <w:rsid w:val="00266BCA"/>
    <w:rsid w:val="0026798B"/>
    <w:rsid w:val="00286C04"/>
    <w:rsid w:val="002A10F2"/>
    <w:rsid w:val="002B40DC"/>
    <w:rsid w:val="002B5CE0"/>
    <w:rsid w:val="002C7C19"/>
    <w:rsid w:val="002D1A94"/>
    <w:rsid w:val="002D584F"/>
    <w:rsid w:val="0030368D"/>
    <w:rsid w:val="00305077"/>
    <w:rsid w:val="00307E42"/>
    <w:rsid w:val="0031300F"/>
    <w:rsid w:val="00315F5A"/>
    <w:rsid w:val="003269E0"/>
    <w:rsid w:val="003334E1"/>
    <w:rsid w:val="00334828"/>
    <w:rsid w:val="00345A15"/>
    <w:rsid w:val="00353B56"/>
    <w:rsid w:val="00357BD7"/>
    <w:rsid w:val="00364EB4"/>
    <w:rsid w:val="00371A7E"/>
    <w:rsid w:val="0037375C"/>
    <w:rsid w:val="0039251A"/>
    <w:rsid w:val="003C3566"/>
    <w:rsid w:val="003D235C"/>
    <w:rsid w:val="003E184A"/>
    <w:rsid w:val="0040624A"/>
    <w:rsid w:val="004137F0"/>
    <w:rsid w:val="00417344"/>
    <w:rsid w:val="00421F27"/>
    <w:rsid w:val="00427921"/>
    <w:rsid w:val="00437D7F"/>
    <w:rsid w:val="00441AD4"/>
    <w:rsid w:val="00456908"/>
    <w:rsid w:val="00472CF2"/>
    <w:rsid w:val="00486B97"/>
    <w:rsid w:val="004A67EE"/>
    <w:rsid w:val="004B0573"/>
    <w:rsid w:val="004B440F"/>
    <w:rsid w:val="004E42C8"/>
    <w:rsid w:val="004E6F1D"/>
    <w:rsid w:val="004F102B"/>
    <w:rsid w:val="004F6C00"/>
    <w:rsid w:val="004F764D"/>
    <w:rsid w:val="00513A5C"/>
    <w:rsid w:val="00516329"/>
    <w:rsid w:val="00531C6C"/>
    <w:rsid w:val="00546C8E"/>
    <w:rsid w:val="0057257F"/>
    <w:rsid w:val="00577DF9"/>
    <w:rsid w:val="005816C2"/>
    <w:rsid w:val="00582362"/>
    <w:rsid w:val="00583742"/>
    <w:rsid w:val="0058678B"/>
    <w:rsid w:val="00586EA1"/>
    <w:rsid w:val="005A1A4B"/>
    <w:rsid w:val="005A3E6B"/>
    <w:rsid w:val="005C213F"/>
    <w:rsid w:val="005C4850"/>
    <w:rsid w:val="005D0443"/>
    <w:rsid w:val="00606B33"/>
    <w:rsid w:val="00616F40"/>
    <w:rsid w:val="00627B70"/>
    <w:rsid w:val="006426FB"/>
    <w:rsid w:val="006557FC"/>
    <w:rsid w:val="00665CB8"/>
    <w:rsid w:val="00672A77"/>
    <w:rsid w:val="00672D2E"/>
    <w:rsid w:val="00693CD6"/>
    <w:rsid w:val="006B3DBF"/>
    <w:rsid w:val="006B5A4A"/>
    <w:rsid w:val="006D56B3"/>
    <w:rsid w:val="006D588D"/>
    <w:rsid w:val="006E6C6C"/>
    <w:rsid w:val="006F3267"/>
    <w:rsid w:val="006F738F"/>
    <w:rsid w:val="007123DB"/>
    <w:rsid w:val="0071497E"/>
    <w:rsid w:val="00722D65"/>
    <w:rsid w:val="00725E1A"/>
    <w:rsid w:val="00726BC2"/>
    <w:rsid w:val="00740053"/>
    <w:rsid w:val="00741D03"/>
    <w:rsid w:val="0075192D"/>
    <w:rsid w:val="00760A5D"/>
    <w:rsid w:val="0076739C"/>
    <w:rsid w:val="00767D55"/>
    <w:rsid w:val="00781136"/>
    <w:rsid w:val="007833D3"/>
    <w:rsid w:val="00796110"/>
    <w:rsid w:val="007A0095"/>
    <w:rsid w:val="007A0AC5"/>
    <w:rsid w:val="007B77D7"/>
    <w:rsid w:val="007C13A6"/>
    <w:rsid w:val="007C4560"/>
    <w:rsid w:val="007D0B0B"/>
    <w:rsid w:val="007D1879"/>
    <w:rsid w:val="007E360C"/>
    <w:rsid w:val="0080380C"/>
    <w:rsid w:val="008061CC"/>
    <w:rsid w:val="00807514"/>
    <w:rsid w:val="008078DE"/>
    <w:rsid w:val="00835793"/>
    <w:rsid w:val="00854178"/>
    <w:rsid w:val="00856C50"/>
    <w:rsid w:val="00862AF3"/>
    <w:rsid w:val="00865A43"/>
    <w:rsid w:val="00885CB3"/>
    <w:rsid w:val="00895A4B"/>
    <w:rsid w:val="008B01FF"/>
    <w:rsid w:val="008B0B36"/>
    <w:rsid w:val="008D1782"/>
    <w:rsid w:val="008E0077"/>
    <w:rsid w:val="008E1F26"/>
    <w:rsid w:val="0090106F"/>
    <w:rsid w:val="0090524B"/>
    <w:rsid w:val="00913D2A"/>
    <w:rsid w:val="00922D74"/>
    <w:rsid w:val="0092635A"/>
    <w:rsid w:val="0094709F"/>
    <w:rsid w:val="00950B68"/>
    <w:rsid w:val="009558D1"/>
    <w:rsid w:val="00957772"/>
    <w:rsid w:val="00961220"/>
    <w:rsid w:val="00963E71"/>
    <w:rsid w:val="00967CC1"/>
    <w:rsid w:val="00980542"/>
    <w:rsid w:val="009831F4"/>
    <w:rsid w:val="00994D2A"/>
    <w:rsid w:val="009A739C"/>
    <w:rsid w:val="009B1B46"/>
    <w:rsid w:val="009D46C7"/>
    <w:rsid w:val="009E0F53"/>
    <w:rsid w:val="009F5A06"/>
    <w:rsid w:val="00A03505"/>
    <w:rsid w:val="00A120EF"/>
    <w:rsid w:val="00A2598D"/>
    <w:rsid w:val="00A33D21"/>
    <w:rsid w:val="00A5090A"/>
    <w:rsid w:val="00A55A95"/>
    <w:rsid w:val="00A5722E"/>
    <w:rsid w:val="00A93911"/>
    <w:rsid w:val="00A952F8"/>
    <w:rsid w:val="00AA0DB5"/>
    <w:rsid w:val="00AA3159"/>
    <w:rsid w:val="00AB2CE1"/>
    <w:rsid w:val="00AD50F2"/>
    <w:rsid w:val="00AD7326"/>
    <w:rsid w:val="00AE0750"/>
    <w:rsid w:val="00AE12D6"/>
    <w:rsid w:val="00AE6CD6"/>
    <w:rsid w:val="00AE7E17"/>
    <w:rsid w:val="00AF4522"/>
    <w:rsid w:val="00AF49B3"/>
    <w:rsid w:val="00B13188"/>
    <w:rsid w:val="00B137E2"/>
    <w:rsid w:val="00B14782"/>
    <w:rsid w:val="00B17E69"/>
    <w:rsid w:val="00B26962"/>
    <w:rsid w:val="00B6142A"/>
    <w:rsid w:val="00B67B3E"/>
    <w:rsid w:val="00B8667D"/>
    <w:rsid w:val="00BA27D3"/>
    <w:rsid w:val="00BB1A02"/>
    <w:rsid w:val="00BD108F"/>
    <w:rsid w:val="00BD59F6"/>
    <w:rsid w:val="00BE59FA"/>
    <w:rsid w:val="00C00717"/>
    <w:rsid w:val="00C0150D"/>
    <w:rsid w:val="00C56B63"/>
    <w:rsid w:val="00C576BC"/>
    <w:rsid w:val="00C61D14"/>
    <w:rsid w:val="00C63345"/>
    <w:rsid w:val="00C76EB0"/>
    <w:rsid w:val="00C778C0"/>
    <w:rsid w:val="00CD49E3"/>
    <w:rsid w:val="00CD4D2B"/>
    <w:rsid w:val="00CF1074"/>
    <w:rsid w:val="00CF2133"/>
    <w:rsid w:val="00CF2978"/>
    <w:rsid w:val="00CF2DA1"/>
    <w:rsid w:val="00D04658"/>
    <w:rsid w:val="00D16E13"/>
    <w:rsid w:val="00D17E3E"/>
    <w:rsid w:val="00D35821"/>
    <w:rsid w:val="00D639AA"/>
    <w:rsid w:val="00D64F50"/>
    <w:rsid w:val="00D650E0"/>
    <w:rsid w:val="00DA7DB0"/>
    <w:rsid w:val="00DB60A5"/>
    <w:rsid w:val="00DC6384"/>
    <w:rsid w:val="00DE4721"/>
    <w:rsid w:val="00DE50B0"/>
    <w:rsid w:val="00DF4F43"/>
    <w:rsid w:val="00E0767F"/>
    <w:rsid w:val="00E079A9"/>
    <w:rsid w:val="00E11296"/>
    <w:rsid w:val="00E1386F"/>
    <w:rsid w:val="00E1595F"/>
    <w:rsid w:val="00E206AB"/>
    <w:rsid w:val="00E4033B"/>
    <w:rsid w:val="00E50E25"/>
    <w:rsid w:val="00E52D38"/>
    <w:rsid w:val="00E55B57"/>
    <w:rsid w:val="00E60CEF"/>
    <w:rsid w:val="00E610E0"/>
    <w:rsid w:val="00E8485D"/>
    <w:rsid w:val="00E91CF6"/>
    <w:rsid w:val="00E93C8E"/>
    <w:rsid w:val="00EC0698"/>
    <w:rsid w:val="00ED2842"/>
    <w:rsid w:val="00EE2AA4"/>
    <w:rsid w:val="00EE6009"/>
    <w:rsid w:val="00F03172"/>
    <w:rsid w:val="00F07FB1"/>
    <w:rsid w:val="00F2073E"/>
    <w:rsid w:val="00F35A4B"/>
    <w:rsid w:val="00F378D0"/>
    <w:rsid w:val="00F42C78"/>
    <w:rsid w:val="00F432AB"/>
    <w:rsid w:val="00F434E4"/>
    <w:rsid w:val="00F510D3"/>
    <w:rsid w:val="00F52D2D"/>
    <w:rsid w:val="00F605F5"/>
    <w:rsid w:val="00F60A65"/>
    <w:rsid w:val="00F6235D"/>
    <w:rsid w:val="00FA2E96"/>
    <w:rsid w:val="00FA7425"/>
    <w:rsid w:val="00FB0655"/>
    <w:rsid w:val="00FB4722"/>
    <w:rsid w:val="00FC3DF4"/>
    <w:rsid w:val="00FD1ECD"/>
    <w:rsid w:val="00FD7A3A"/>
    <w:rsid w:val="00FE34F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index heading" w:locked="1"/>
    <w:lsdException w:name="caption"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qFormat="1"/>
    <w:lsdException w:name="Emphasis"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ERbodytext"/>
    <w:qFormat/>
    <w:pPr>
      <w:spacing w:line="288" w:lineRule="auto"/>
      <w:jc w:val="both"/>
    </w:pPr>
    <w:rPr>
      <w:rFonts w:ascii="Gautami" w:hAnsi="Gautami"/>
      <w:szCs w:val="24"/>
    </w:rPr>
  </w:style>
  <w:style w:type="paragraph" w:styleId="Heading1">
    <w:name w:val="heading 1"/>
    <w:basedOn w:val="Normal"/>
    <w:next w:val="Normal"/>
    <w:qFormat/>
    <w:locked/>
    <w:pPr>
      <w:keepNext/>
      <w:keepLines/>
      <w:spacing w:before="480"/>
      <w:outlineLvl w:val="0"/>
    </w:pPr>
    <w:rPr>
      <w:rFonts w:ascii="Cambria" w:hAnsi="Cambria"/>
      <w:b/>
      <w:bCs/>
      <w:color w:val="365F91"/>
      <w:sz w:val="28"/>
      <w:szCs w:val="28"/>
    </w:rPr>
  </w:style>
  <w:style w:type="paragraph" w:styleId="Heading5">
    <w:name w:val="heading 5"/>
    <w:basedOn w:val="Normal"/>
    <w:next w:val="Normal"/>
    <w:qFormat/>
    <w:locked/>
    <w:pPr>
      <w:keepNext/>
      <w:keepLines/>
      <w:spacing w:before="200"/>
      <w:outlineLvl w:val="4"/>
    </w:pPr>
    <w:rPr>
      <w:rFonts w:ascii="Cambria" w:hAnsi="Cambria"/>
      <w:color w:val="243F60"/>
    </w:rPr>
  </w:style>
  <w:style w:type="paragraph" w:styleId="Heading6">
    <w:name w:val="heading 6"/>
    <w:basedOn w:val="Normal"/>
    <w:next w:val="Normal"/>
    <w:qFormat/>
    <w:locked/>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pPr>
      <w:spacing w:after="240" w:line="288" w:lineRule="auto"/>
      <w:jc w:val="both"/>
    </w:pPr>
    <w:rPr>
      <w:rFonts w:ascii="Gautami" w:hAnsi="Gautami"/>
      <w:szCs w:val="24"/>
      <w:lang w:eastAsia="en-US"/>
    </w:rPr>
  </w:style>
  <w:style w:type="paragraph" w:customStyle="1" w:styleId="AERtabletitle">
    <w:name w:val="AER table title"/>
    <w:basedOn w:val="AERfigureheading"/>
    <w:next w:val="Normal"/>
    <w:pPr>
      <w:numPr>
        <w:ilvl w:val="4"/>
      </w:numPr>
    </w:pPr>
  </w:style>
  <w:style w:type="paragraph" w:customStyle="1" w:styleId="AERfigureheading">
    <w:name w:val="AER figure heading"/>
    <w:basedOn w:val="Normal"/>
    <w:next w:val="AERbodytext"/>
    <w:link w:val="AERfigureheadingChar"/>
    <w:pPr>
      <w:keepNext/>
      <w:numPr>
        <w:ilvl w:val="3"/>
        <w:numId w:val="7"/>
      </w:numPr>
      <w:spacing w:before="240" w:after="120"/>
      <w:outlineLvl w:val="3"/>
    </w:pPr>
    <w:rPr>
      <w:b/>
      <w:lang w:eastAsia="en-US"/>
    </w:rPr>
  </w:style>
  <w:style w:type="paragraph" w:customStyle="1" w:styleId="AERrevisionbox">
    <w:name w:val="AER revision box"/>
    <w:basedOn w:val="AERbodytext"/>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Pr>
      <w:rFonts w:cs="Times New Roman"/>
      <w:b/>
      <w:i/>
    </w:rPr>
  </w:style>
  <w:style w:type="character" w:customStyle="1" w:styleId="AERtextbold">
    <w:name w:val="AER text bold"/>
    <w:rPr>
      <w:b/>
    </w:rPr>
  </w:style>
  <w:style w:type="paragraph" w:customStyle="1" w:styleId="AERbulletlistfirststyle">
    <w:name w:val="AER bullet list (first style)"/>
    <w:basedOn w:val="AERbodytext"/>
    <w:pPr>
      <w:numPr>
        <w:numId w:val="1"/>
      </w:numPr>
      <w:tabs>
        <w:tab w:val="num" w:pos="357"/>
      </w:tabs>
      <w:spacing w:after="200" w:line="240" w:lineRule="atLeast"/>
      <w:ind w:left="357"/>
    </w:pPr>
  </w:style>
  <w:style w:type="paragraph" w:customStyle="1" w:styleId="AERbulletlistsecondstyle">
    <w:name w:val="AER bullet list (second style)"/>
    <w:basedOn w:val="AERbodytext"/>
    <w:pPr>
      <w:numPr>
        <w:numId w:val="2"/>
      </w:numPr>
      <w:tabs>
        <w:tab w:val="clear" w:pos="714"/>
        <w:tab w:val="left" w:pos="720"/>
      </w:tabs>
      <w:spacing w:after="200"/>
      <w:ind w:left="720" w:hanging="363"/>
    </w:pPr>
  </w:style>
  <w:style w:type="paragraph" w:customStyle="1" w:styleId="AERbulletlistthirdstyle">
    <w:name w:val="AER bullet list (third style)"/>
    <w:basedOn w:val="AERbodytext"/>
    <w:pPr>
      <w:numPr>
        <w:numId w:val="3"/>
      </w:numPr>
      <w:tabs>
        <w:tab w:val="left" w:pos="1077"/>
      </w:tabs>
      <w:spacing w:after="200"/>
      <w:ind w:left="1077" w:hanging="357"/>
    </w:pPr>
  </w:style>
  <w:style w:type="paragraph" w:customStyle="1" w:styleId="AERheading1">
    <w:name w:val="AER heading 1"/>
    <w:basedOn w:val="Heading1"/>
    <w:next w:val="AERbodytext"/>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pPr>
      <w:numPr>
        <w:ilvl w:val="2"/>
      </w:numPr>
      <w:spacing w:before="120" w:after="240"/>
    </w:pPr>
    <w:rPr>
      <w:color w:val="auto"/>
      <w:sz w:val="24"/>
      <w:szCs w:val="24"/>
    </w:rPr>
  </w:style>
  <w:style w:type="paragraph" w:customStyle="1" w:styleId="AERnumberedlistfirststyle">
    <w:name w:val="AER numbered list (first style)"/>
    <w:basedOn w:val="AERbodytext"/>
    <w:pPr>
      <w:numPr>
        <w:numId w:val="5"/>
      </w:numPr>
      <w:spacing w:after="200" w:line="200" w:lineRule="atLeast"/>
    </w:pPr>
  </w:style>
  <w:style w:type="paragraph" w:customStyle="1" w:styleId="AERnumberedlistsecondstyle">
    <w:name w:val="AER numbered list (second style)"/>
    <w:basedOn w:val="AERnumberedlistfirststyle"/>
    <w:pPr>
      <w:numPr>
        <w:numId w:val="6"/>
      </w:numPr>
    </w:pPr>
  </w:style>
  <w:style w:type="paragraph" w:customStyle="1" w:styleId="AERnumberedlistthirdstyle">
    <w:name w:val="AER numbered list (third style)"/>
    <w:basedOn w:val="AERbodytext"/>
    <w:pPr>
      <w:numPr>
        <w:numId w:val="4"/>
      </w:numPr>
      <w:tabs>
        <w:tab w:val="left" w:pos="1077"/>
      </w:tabs>
      <w:spacing w:after="200"/>
      <w:ind w:left="1077" w:hanging="357"/>
    </w:pPr>
  </w:style>
  <w:style w:type="paragraph" w:customStyle="1" w:styleId="AERquote">
    <w:name w:val="AER quote"/>
    <w:basedOn w:val="AERbodytextindent1"/>
    <w:next w:val="AERbodytext"/>
    <w:pPr>
      <w:spacing w:after="160"/>
      <w:ind w:right="1077"/>
    </w:pPr>
    <w:rPr>
      <w:color w:val="000000"/>
      <w:sz w:val="16"/>
    </w:rPr>
  </w:style>
  <w:style w:type="paragraph" w:customStyle="1" w:styleId="AERbodytextindent1">
    <w:name w:val="AER body text (indent 1)"/>
    <w:basedOn w:val="AERbodytext"/>
    <w:pPr>
      <w:ind w:left="357"/>
    </w:pPr>
  </w:style>
  <w:style w:type="paragraph" w:customStyle="1" w:styleId="AERquotebullet1">
    <w:name w:val="AER quote bullet 1"/>
    <w:basedOn w:val="AERnumberedlistfirststyle"/>
    <w:pPr>
      <w:numPr>
        <w:numId w:val="0"/>
      </w:numPr>
    </w:pPr>
    <w:rPr>
      <w:sz w:val="16"/>
      <w:szCs w:val="16"/>
    </w:rPr>
  </w:style>
  <w:style w:type="character" w:customStyle="1" w:styleId="AERsubscript">
    <w:name w:val="AER subscript"/>
    <w:rPr>
      <w:rFonts w:ascii="Gautami" w:hAnsi="Gautami"/>
      <w:vertAlign w:val="subscript"/>
    </w:rPr>
  </w:style>
  <w:style w:type="character" w:customStyle="1" w:styleId="AERsuperscript">
    <w:name w:val="AER superscript"/>
    <w:rPr>
      <w:rFonts w:ascii="Gautami" w:hAnsi="Gautami"/>
      <w:vertAlign w:val="superscript"/>
    </w:rPr>
  </w:style>
  <w:style w:type="table" w:customStyle="1" w:styleId="3">
    <w:name w:val="3"/>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tablesource">
    <w:name w:val="AER table source"/>
    <w:next w:val="AERbodytext"/>
    <w:pPr>
      <w:tabs>
        <w:tab w:val="left" w:pos="1361"/>
      </w:tabs>
      <w:spacing w:before="40" w:after="240"/>
      <w:ind w:left="794" w:right="1077" w:hanging="794"/>
      <w:contextualSpacing/>
    </w:pPr>
    <w:rPr>
      <w:rFonts w:ascii="Gautami" w:hAnsi="Gautami"/>
      <w:sz w:val="16"/>
      <w:szCs w:val="24"/>
      <w:lang w:eastAsia="en-US"/>
    </w:rPr>
  </w:style>
  <w:style w:type="paragraph" w:customStyle="1" w:styleId="AERtabletext">
    <w:name w:val="AER table text"/>
    <w:basedOn w:val="Normal"/>
    <w:pPr>
      <w:widowControl w:val="0"/>
      <w:spacing w:before="120" w:after="120"/>
      <w:jc w:val="left"/>
    </w:pPr>
    <w:rPr>
      <w:sz w:val="16"/>
      <w:lang w:eastAsia="en-US"/>
    </w:rPr>
  </w:style>
  <w:style w:type="paragraph" w:customStyle="1" w:styleId="AERtabletextheading">
    <w:name w:val="AER table text heading"/>
    <w:pPr>
      <w:spacing w:before="120" w:after="120"/>
    </w:pPr>
    <w:rPr>
      <w:rFonts w:ascii="Gautami" w:hAnsi="Gautami"/>
      <w:b/>
      <w:szCs w:val="24"/>
      <w:lang w:eastAsia="en-US"/>
    </w:rPr>
  </w:style>
  <w:style w:type="paragraph" w:customStyle="1" w:styleId="AERheading4">
    <w:name w:val="AER heading 4"/>
    <w:next w:val="AERbodytext"/>
    <w:pPr>
      <w:spacing w:after="240"/>
    </w:pPr>
    <w:rPr>
      <w:rFonts w:ascii="Gautami" w:hAnsi="Gautami" w:cs="Arial"/>
      <w:b/>
      <w:bCs/>
      <w:kern w:val="32"/>
      <w:sz w:val="22"/>
      <w:szCs w:val="24"/>
      <w:lang w:eastAsia="en-US"/>
    </w:rPr>
  </w:style>
  <w:style w:type="paragraph" w:styleId="Footer">
    <w:name w:val="footer"/>
    <w:basedOn w:val="Normal"/>
    <w:pPr>
      <w:tabs>
        <w:tab w:val="center" w:pos="4153"/>
        <w:tab w:val="right" w:pos="8306"/>
      </w:tabs>
    </w:pPr>
  </w:style>
  <w:style w:type="character" w:styleId="PageNumber">
    <w:name w:val="page number"/>
    <w:rPr>
      <w:rFonts w:ascii="Gautami" w:hAnsi="Gautami" w:cs="Times New Roman"/>
      <w:sz w:val="18"/>
    </w:rPr>
  </w:style>
  <w:style w:type="table" w:customStyle="1" w:styleId="31">
    <w:name w:val="31"/>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quoteindent1">
    <w:name w:val="AER quote (indent 1)"/>
    <w:basedOn w:val="AERquote"/>
    <w:pPr>
      <w:ind w:left="720" w:right="1440"/>
    </w:pPr>
  </w:style>
  <w:style w:type="paragraph" w:customStyle="1" w:styleId="AERbodytextindent2">
    <w:name w:val="AER body text (indent 2)"/>
    <w:basedOn w:val="AERbodytext"/>
    <w:pPr>
      <w:ind w:left="720"/>
    </w:pPr>
  </w:style>
  <w:style w:type="paragraph" w:customStyle="1" w:styleId="AERbodytextindent3">
    <w:name w:val="AER body text (indent 3)"/>
    <w:basedOn w:val="AERbodytext"/>
    <w:pPr>
      <w:ind w:left="1077"/>
    </w:pPr>
  </w:style>
  <w:style w:type="paragraph" w:customStyle="1" w:styleId="AERquoteindent2">
    <w:name w:val="AER quote (indent 2)"/>
    <w:basedOn w:val="AERquoteindent1"/>
    <w:pPr>
      <w:ind w:left="1077" w:right="1797"/>
    </w:pPr>
  </w:style>
  <w:style w:type="paragraph" w:customStyle="1" w:styleId="AERquoteindent3">
    <w:name w:val="AER quote (indent 3)"/>
    <w:basedOn w:val="AERquoteindent2"/>
    <w:pPr>
      <w:ind w:left="1440" w:right="2160"/>
    </w:pPr>
  </w:style>
  <w:style w:type="character" w:customStyle="1" w:styleId="AERtexthighlight">
    <w:name w:val="AER text highlight"/>
    <w:rPr>
      <w:shd w:val="clear" w:color="auto" w:fill="FFFF99"/>
    </w:rPr>
  </w:style>
  <w:style w:type="paragraph" w:customStyle="1" w:styleId="NER-RC-Para">
    <w:name w:val="NER-RC-Para"/>
    <w:basedOn w:val="Normal"/>
    <w:pPr>
      <w:autoSpaceDE w:val="0"/>
      <w:autoSpaceDN w:val="0"/>
      <w:adjustRightInd w:val="0"/>
      <w:spacing w:before="120" w:after="120"/>
      <w:ind w:left="357"/>
    </w:pPr>
    <w:rPr>
      <w:color w:val="000000"/>
      <w:sz w:val="18"/>
    </w:rPr>
  </w:style>
  <w:style w:type="paragraph" w:customStyle="1" w:styleId="NER-RC-List-1-MNum">
    <w:name w:val="NER-RC-List-1-MNum"/>
    <w:basedOn w:val="Normal"/>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pPr>
      <w:autoSpaceDE w:val="0"/>
      <w:autoSpaceDN w:val="0"/>
      <w:adjustRightInd w:val="0"/>
      <w:spacing w:before="120" w:after="120"/>
      <w:ind w:left="720"/>
    </w:pPr>
    <w:rPr>
      <w:color w:val="000000"/>
      <w:sz w:val="18"/>
    </w:rPr>
  </w:style>
  <w:style w:type="paragraph" w:customStyle="1" w:styleId="NER-Cl-Title-Lvl-4">
    <w:name w:val="NER-Cl-Title-Lvl-4"/>
    <w:basedOn w:val="Normal"/>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Pr>
      <w:shd w:val="clear" w:color="auto" w:fill="CCFFFF"/>
    </w:rPr>
  </w:style>
  <w:style w:type="paragraph" w:customStyle="1" w:styleId="AERheading5">
    <w:name w:val="AER heading 5"/>
    <w:basedOn w:val="Heading5"/>
    <w:next w:val="AERbodytext"/>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
    <w:semiHidden/>
    <w:rPr>
      <w:rFonts w:cs="Times New Roman"/>
      <w:vertAlign w:val="superscript"/>
    </w:rPr>
  </w:style>
  <w:style w:type="paragraph" w:styleId="Header">
    <w:name w:val="header"/>
    <w:basedOn w:val="Normal"/>
    <w:locked/>
    <w:pPr>
      <w:tabs>
        <w:tab w:val="center" w:pos="4153"/>
        <w:tab w:val="right" w:pos="8306"/>
      </w:tabs>
    </w:pPr>
  </w:style>
  <w:style w:type="character" w:styleId="CommentReference">
    <w:name w:val="annotation reference"/>
    <w:semiHidden/>
    <w:locked/>
    <w:rPr>
      <w:rFonts w:cs="Times New Roman"/>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paragraph" w:styleId="BalloonText">
    <w:name w:val="Balloon Text"/>
    <w:basedOn w:val="Normal"/>
    <w:semiHidden/>
    <w:locked/>
    <w:rPr>
      <w:rFonts w:ascii="Tahoma" w:hAnsi="Tahoma" w:cs="Tahoma"/>
      <w:sz w:val="16"/>
      <w:szCs w:val="16"/>
    </w:rPr>
  </w:style>
  <w:style w:type="paragraph" w:styleId="FootnoteText">
    <w:name w:val="footnote text"/>
    <w:basedOn w:val="Normal"/>
    <w:pPr>
      <w:tabs>
        <w:tab w:val="left" w:pos="454"/>
      </w:tabs>
      <w:ind w:left="454" w:hanging="454"/>
    </w:pPr>
    <w:rPr>
      <w:sz w:val="16"/>
      <w:szCs w:val="20"/>
    </w:rPr>
  </w:style>
  <w:style w:type="character" w:customStyle="1" w:styleId="AERbody">
    <w:name w:val="AER body"/>
    <w:rPr>
      <w:rFonts w:ascii="Gautami" w:hAnsi="Gautami" w:cs="Times New Roman"/>
      <w:color w:val="auto"/>
      <w:sz w:val="20"/>
    </w:rPr>
  </w:style>
  <w:style w:type="paragraph" w:customStyle="1" w:styleId="AERtabletext-numbers">
    <w:name w:val="AER table text - numbers"/>
    <w:basedOn w:val="AERtabletext"/>
    <w:pPr>
      <w:keepNext/>
      <w:jc w:val="right"/>
    </w:pPr>
  </w:style>
  <w:style w:type="character" w:customStyle="1" w:styleId="AERtextboldunderline">
    <w:name w:val="AER text bold underline"/>
    <w:rPr>
      <w:b/>
      <w:u w:val="single"/>
    </w:rPr>
  </w:style>
  <w:style w:type="character" w:customStyle="1" w:styleId="AERtextunderline">
    <w:name w:val="AER text underline"/>
    <w:rPr>
      <w:u w:val="single"/>
    </w:rPr>
  </w:style>
  <w:style w:type="character" w:customStyle="1" w:styleId="AERtextitalic">
    <w:name w:val="AER text italic"/>
    <w:rPr>
      <w:i/>
    </w:rPr>
  </w:style>
  <w:style w:type="paragraph" w:styleId="TOC1">
    <w:name w:val="toc 1"/>
    <w:basedOn w:val="Normal"/>
    <w:next w:val="Normal"/>
    <w:pPr>
      <w:tabs>
        <w:tab w:val="left" w:pos="567"/>
        <w:tab w:val="right" w:leader="dot" w:pos="8307"/>
      </w:tabs>
      <w:spacing w:before="120" w:after="120"/>
    </w:pPr>
    <w:rPr>
      <w:b/>
      <w:lang w:eastAsia="en-US"/>
    </w:rPr>
  </w:style>
  <w:style w:type="paragraph" w:customStyle="1" w:styleId="AERunnumberedheading">
    <w:name w:val="AER unnumbered heading"/>
    <w:basedOn w:val="AERheading1"/>
    <w:pPr>
      <w:numPr>
        <w:numId w:val="0"/>
      </w:numPr>
      <w:tabs>
        <w:tab w:val="clear" w:pos="0"/>
      </w:tabs>
      <w:spacing w:after="120"/>
    </w:pPr>
  </w:style>
  <w:style w:type="paragraph" w:customStyle="1" w:styleId="AERTitle1">
    <w:name w:val="AER Title 1"/>
    <w:basedOn w:val="AERheading4"/>
    <w:pPr>
      <w:keepNext/>
      <w:jc w:val="center"/>
    </w:pPr>
    <w:rPr>
      <w:sz w:val="40"/>
    </w:rPr>
  </w:style>
  <w:style w:type="paragraph" w:customStyle="1" w:styleId="AERTitle2">
    <w:name w:val="AER Title 2"/>
    <w:basedOn w:val="AERTitle1"/>
    <w:pPr>
      <w:spacing w:before="1680"/>
    </w:pPr>
    <w:rPr>
      <w:b w:val="0"/>
      <w:sz w:val="32"/>
    </w:rPr>
  </w:style>
  <w:style w:type="character" w:styleId="Hyperlink">
    <w:name w:val="Hyperlink"/>
    <w:rPr>
      <w:rFonts w:cs="Times New Roman"/>
      <w:color w:val="0000FF"/>
      <w:u w:val="single"/>
    </w:rPr>
  </w:style>
  <w:style w:type="table" w:styleId="TableGrid">
    <w:name w:val="Table Grid"/>
    <w:basedOn w:val="TableNormal"/>
    <w:locked/>
    <w:pPr>
      <w:spacing w:line="288" w:lineRule="auto"/>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EMBullet1">
    <w:name w:val="SOEM Bullet 1"/>
    <w:basedOn w:val="Normal"/>
    <w:pPr>
      <w:numPr>
        <w:numId w:val="12"/>
      </w:numPr>
      <w:spacing w:after="240" w:line="360" w:lineRule="auto"/>
      <w:jc w:val="left"/>
    </w:pPr>
    <w:rPr>
      <w:rFonts w:ascii="Times New Roman" w:hAnsi="Times New Roman"/>
      <w:sz w:val="24"/>
      <w:szCs w:val="20"/>
    </w:rPr>
  </w:style>
  <w:style w:type="character" w:customStyle="1" w:styleId="AERfigureheadingChar">
    <w:name w:val="AER figure heading Char"/>
    <w:link w:val="AERfigureheading"/>
    <w:rsid w:val="002244FB"/>
    <w:rPr>
      <w:rFonts w:ascii="Gautami" w:eastAsia="Calibri" w:hAnsi="Gautami"/>
      <w:b/>
      <w:szCs w:val="24"/>
      <w:lang w:val="en-AU" w:eastAsia="en-US" w:bidi="ar-SA"/>
    </w:rPr>
  </w:style>
  <w:style w:type="paragraph" w:customStyle="1" w:styleId="AERappendixfigureheading">
    <w:name w:val="AER appendix figure heading"/>
    <w:basedOn w:val="Normal"/>
    <w:next w:val="Normal"/>
    <w:rsid w:val="00862AF3"/>
    <w:pPr>
      <w:keepNext/>
      <w:numPr>
        <w:ilvl w:val="5"/>
        <w:numId w:val="18"/>
      </w:numPr>
      <w:spacing w:before="240" w:after="120" w:line="240" w:lineRule="auto"/>
      <w:jc w:val="left"/>
      <w:outlineLvl w:val="3"/>
    </w:pPr>
    <w:rPr>
      <w:rFonts w:ascii="Times New Roman" w:eastAsia="Times New Roman" w:hAnsi="Times New Roman"/>
      <w:b/>
      <w:sz w:val="22"/>
      <w:lang w:eastAsia="en-US"/>
    </w:rPr>
  </w:style>
  <w:style w:type="paragraph" w:customStyle="1" w:styleId="AERappendixheading1">
    <w:name w:val="AER appendix heading 1"/>
    <w:basedOn w:val="AERheading1"/>
    <w:next w:val="AERbodytext"/>
    <w:rsid w:val="00862AF3"/>
    <w:pPr>
      <w:widowControl w:val="0"/>
      <w:numPr>
        <w:numId w:val="18"/>
      </w:numPr>
      <w:tabs>
        <w:tab w:val="clear" w:pos="0"/>
      </w:tabs>
      <w:spacing w:after="120" w:line="240" w:lineRule="auto"/>
    </w:pPr>
    <w:rPr>
      <w:rFonts w:ascii="Arial Bold" w:eastAsia="Times New Roman" w:hAnsi="Arial Bold"/>
      <w:b w:val="0"/>
      <w:bCs w:val="0"/>
      <w:color w:val="auto"/>
      <w:spacing w:val="5"/>
      <w:kern w:val="36"/>
      <w:szCs w:val="27"/>
    </w:rPr>
  </w:style>
  <w:style w:type="paragraph" w:customStyle="1" w:styleId="AERappendixheading2">
    <w:name w:val="AER appendix heading 2"/>
    <w:basedOn w:val="AERappendixheading1"/>
    <w:next w:val="AERbodytext"/>
    <w:rsid w:val="00862AF3"/>
    <w:pPr>
      <w:pageBreakBefore w:val="0"/>
      <w:numPr>
        <w:ilvl w:val="1"/>
      </w:numPr>
    </w:pPr>
    <w:rPr>
      <w:sz w:val="30"/>
    </w:rPr>
  </w:style>
  <w:style w:type="paragraph" w:customStyle="1" w:styleId="AERappendixheading3">
    <w:name w:val="AER appendix heading 3"/>
    <w:basedOn w:val="AERappendixheading2"/>
    <w:next w:val="AERbodytext"/>
    <w:rsid w:val="00862AF3"/>
    <w:pPr>
      <w:numPr>
        <w:ilvl w:val="2"/>
      </w:numPr>
    </w:pPr>
    <w:rPr>
      <w:sz w:val="24"/>
    </w:rPr>
  </w:style>
  <w:style w:type="paragraph" w:customStyle="1" w:styleId="AERappendixheading4">
    <w:name w:val="AER appendix heading 4"/>
    <w:basedOn w:val="AERheading4"/>
    <w:next w:val="AERbodytext"/>
    <w:rsid w:val="00862AF3"/>
    <w:pPr>
      <w:keepNext/>
      <w:numPr>
        <w:ilvl w:val="3"/>
        <w:numId w:val="18"/>
      </w:numPr>
      <w:spacing w:before="240" w:after="120"/>
      <w:outlineLvl w:val="3"/>
    </w:pPr>
    <w:rPr>
      <w:rFonts w:ascii="Times New Roman" w:eastAsia="Times New Roman" w:hAnsi="Times New Roman" w:cs="Times New Roman"/>
      <w:kern w:val="0"/>
      <w:szCs w:val="28"/>
    </w:rPr>
  </w:style>
  <w:style w:type="paragraph" w:customStyle="1" w:styleId="AERappendixtableheading">
    <w:name w:val="AER appendix table heading"/>
    <w:basedOn w:val="Normal"/>
    <w:next w:val="AERbodytext"/>
    <w:rsid w:val="00862AF3"/>
    <w:pPr>
      <w:keepNext/>
      <w:numPr>
        <w:ilvl w:val="4"/>
        <w:numId w:val="18"/>
      </w:numPr>
      <w:spacing w:before="240" w:after="120" w:line="240" w:lineRule="auto"/>
      <w:jc w:val="left"/>
      <w:outlineLvl w:val="3"/>
    </w:pPr>
    <w:rPr>
      <w:rFonts w:ascii="Times New Roman" w:eastAsia="Times New Roman" w:hAnsi="Times New Roman"/>
      <w:b/>
      <w:sz w:val="22"/>
      <w:lang w:eastAsia="en-US"/>
    </w:rPr>
  </w:style>
  <w:style w:type="character" w:customStyle="1" w:styleId="AERbolditals">
    <w:name w:val="AER bold itals"/>
    <w:rsid w:val="0039251A"/>
    <w:rPr>
      <w:b/>
      <w:i/>
    </w:rPr>
  </w:style>
  <w:style w:type="character" w:customStyle="1" w:styleId="AERbodytextChar">
    <w:name w:val="AER body text Char"/>
    <w:link w:val="AERbodytext"/>
    <w:rsid w:val="00AD7326"/>
    <w:rPr>
      <w:rFonts w:ascii="Gautami" w:hAnsi="Gautami"/>
      <w:szCs w:val="24"/>
      <w:lang w:val="en-AU" w:eastAsia="en-US" w:bidi="ar-SA"/>
    </w:rPr>
  </w:style>
  <w:style w:type="paragraph" w:customStyle="1" w:styleId="Default">
    <w:name w:val="Default"/>
    <w:rsid w:val="00086A5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091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8\AER%20Final%20report%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AER Final report cover.dot</Template>
  <TotalTime>2</TotalTime>
  <Pages>20</Pages>
  <Words>7378</Words>
  <Characters>43394</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Submission 13 - Australian Energy Regulator - Electricity Network Regulation - Public inquiry</vt:lpstr>
    </vt:vector>
  </TitlesOfParts>
  <Company>Australian Energy Regulator</Company>
  <LinksUpToDate>false</LinksUpToDate>
  <CharactersWithSpaces>50671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Australian Energy Regulator - Electricity Network Regulation - Public inquiry</dc:title>
  <dc:subject/>
  <dc:creator>Australian Energy Regulator</dc:creator>
  <cp:keywords/>
  <cp:lastModifiedBy>tpits</cp:lastModifiedBy>
  <cp:revision>2</cp:revision>
  <cp:lastPrinted>2012-04-18T22:57:00Z</cp:lastPrinted>
  <dcterms:created xsi:type="dcterms:W3CDTF">2013-04-10T02:41:00Z</dcterms:created>
  <dcterms:modified xsi:type="dcterms:W3CDTF">2013-04-10T02:41:00Z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