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51D" w:rsidRPr="007C41B3" w:rsidRDefault="004D251D" w:rsidP="004D251D">
      <w:pPr>
        <w:pStyle w:val="Title"/>
        <w:rPr>
          <w:rFonts w:ascii="Gautami" w:hAnsi="Gautami" w:cs="Gautami"/>
        </w:rPr>
      </w:pPr>
      <w:r w:rsidRPr="007C41B3">
        <w:rPr>
          <w:rFonts w:ascii="Gautami" w:hAnsi="Gautami" w:cs="Gautami"/>
        </w:rPr>
        <w:t>AUSTRALIAN ENERGY REGULATOR</w:t>
      </w:r>
    </w:p>
    <w:p w:rsidR="004D251D" w:rsidRPr="007C41B3" w:rsidRDefault="004D251D" w:rsidP="004D251D">
      <w:pPr>
        <w:pStyle w:val="Subtitle"/>
        <w:rPr>
          <w:rFonts w:ascii="Gautami" w:hAnsi="Gautami" w:cs="Gautami"/>
        </w:rPr>
      </w:pPr>
      <w:r>
        <w:rPr>
          <w:rFonts w:ascii="Gautami" w:hAnsi="Gautami" w:cs="Gautami"/>
        </w:rPr>
        <w:t>Key Issues and Action Items</w:t>
      </w:r>
    </w:p>
    <w:p w:rsidR="004D251D" w:rsidRDefault="004D251D" w:rsidP="004D251D">
      <w:pPr>
        <w:jc w:val="center"/>
        <w:rPr>
          <w:rFonts w:ascii="Times New Roman" w:hAnsi="Times New Roman"/>
          <w:b/>
          <w:sz w:val="28"/>
        </w:rPr>
      </w:pPr>
    </w:p>
    <w:p w:rsidR="004D251D" w:rsidRPr="008E63DF" w:rsidRDefault="004D251D" w:rsidP="004D251D">
      <w:pPr>
        <w:pStyle w:val="AERbodytext"/>
        <w:spacing w:after="120"/>
        <w:rPr>
          <w:rFonts w:ascii="Gautami" w:hAnsi="Gautami" w:cs="Gautami"/>
        </w:rPr>
      </w:pPr>
      <w:r w:rsidRPr="008E63DF">
        <w:rPr>
          <w:rFonts w:ascii="Gautami" w:hAnsi="Gautami" w:cs="Gautami"/>
        </w:rPr>
        <w:t>DATE:</w:t>
      </w:r>
      <w:r w:rsidRPr="008E63DF">
        <w:rPr>
          <w:rFonts w:ascii="Gautami" w:hAnsi="Gautami" w:cs="Gautami"/>
        </w:rPr>
        <w:tab/>
      </w:r>
      <w:r w:rsidRPr="008E63DF">
        <w:rPr>
          <w:rFonts w:ascii="Gautami" w:hAnsi="Gautami" w:cs="Gautami"/>
        </w:rPr>
        <w:tab/>
      </w:r>
      <w:r w:rsidRPr="008E63DF">
        <w:rPr>
          <w:rFonts w:ascii="Gautami" w:hAnsi="Gautami" w:cs="Gautami"/>
        </w:rPr>
        <w:tab/>
      </w:r>
      <w:r>
        <w:rPr>
          <w:rFonts w:ascii="Gautami" w:hAnsi="Gautami" w:cs="Gautami"/>
        </w:rPr>
        <w:t>11 December 2017</w:t>
      </w:r>
    </w:p>
    <w:p w:rsidR="004D251D" w:rsidRDefault="004D251D" w:rsidP="004D251D">
      <w:pPr>
        <w:pStyle w:val="AERbodytext"/>
        <w:spacing w:after="120"/>
        <w:rPr>
          <w:rFonts w:ascii="Gautami" w:hAnsi="Gautami" w:cs="Gautami"/>
        </w:rPr>
      </w:pPr>
      <w:r w:rsidRPr="008E63DF">
        <w:rPr>
          <w:rFonts w:ascii="Gautami" w:hAnsi="Gautami" w:cs="Gautami"/>
        </w:rPr>
        <w:t>TO:</w:t>
      </w:r>
      <w:r w:rsidRPr="008E63DF">
        <w:rPr>
          <w:rFonts w:ascii="Gautami" w:hAnsi="Gautami" w:cs="Gautami"/>
        </w:rPr>
        <w:tab/>
      </w:r>
      <w:r w:rsidRPr="008E63DF">
        <w:rPr>
          <w:rFonts w:ascii="Gautami" w:hAnsi="Gautami" w:cs="Gautami"/>
        </w:rPr>
        <w:tab/>
      </w:r>
      <w:r w:rsidRPr="008E63DF">
        <w:rPr>
          <w:rFonts w:ascii="Gautami" w:hAnsi="Gautami" w:cs="Gautami"/>
        </w:rPr>
        <w:tab/>
      </w:r>
      <w:r>
        <w:rPr>
          <w:rFonts w:ascii="Gautami" w:hAnsi="Gautami" w:cs="Gautami"/>
        </w:rPr>
        <w:t>AER’s Consumer Reference Group on Rate of Return</w:t>
      </w:r>
    </w:p>
    <w:p w:rsidR="004D251D" w:rsidRPr="008E63DF" w:rsidRDefault="004D251D" w:rsidP="004D251D">
      <w:pPr>
        <w:pStyle w:val="AERbodytext"/>
        <w:spacing w:after="120"/>
        <w:rPr>
          <w:rFonts w:ascii="Gautami" w:hAnsi="Gautami" w:cs="Gautami"/>
        </w:rPr>
      </w:pPr>
      <w:r>
        <w:rPr>
          <w:rFonts w:ascii="Gautami" w:hAnsi="Gautami" w:cs="Gautami"/>
        </w:rPr>
        <w:t xml:space="preserve">CC: </w:t>
      </w:r>
      <w:r>
        <w:rPr>
          <w:rFonts w:ascii="Gautami" w:hAnsi="Gautami" w:cs="Gautami"/>
        </w:rPr>
        <w:tab/>
      </w:r>
      <w:r>
        <w:rPr>
          <w:rFonts w:ascii="Gautami" w:hAnsi="Gautami" w:cs="Gautami"/>
        </w:rPr>
        <w:tab/>
      </w:r>
      <w:r>
        <w:rPr>
          <w:rFonts w:ascii="Gautami" w:hAnsi="Gautami" w:cs="Gautami"/>
        </w:rPr>
        <w:tab/>
        <w:t>Warwick Anderson</w:t>
      </w:r>
    </w:p>
    <w:p w:rsidR="004D251D" w:rsidRPr="008E63DF" w:rsidRDefault="004D251D" w:rsidP="004D251D">
      <w:pPr>
        <w:pStyle w:val="AERHeading3"/>
        <w:rPr>
          <w:rFonts w:ascii="Gautami" w:hAnsi="Gautami" w:cs="Gautami"/>
        </w:rPr>
      </w:pPr>
      <w:r w:rsidRPr="008E63DF">
        <w:rPr>
          <w:rFonts w:ascii="Gautami" w:hAnsi="Gautami" w:cs="Gautami"/>
        </w:rPr>
        <w:t>SUBJECT:</w:t>
      </w:r>
      <w:r w:rsidRPr="008E63DF">
        <w:rPr>
          <w:rFonts w:ascii="Gautami" w:hAnsi="Gautami" w:cs="Gautami"/>
        </w:rPr>
        <w:tab/>
      </w:r>
      <w:r w:rsidRPr="008E63DF">
        <w:rPr>
          <w:rFonts w:ascii="Gautami" w:hAnsi="Gautami" w:cs="Gautami"/>
        </w:rPr>
        <w:tab/>
      </w:r>
      <w:bookmarkStart w:id="0" w:name="_GoBack"/>
      <w:bookmarkEnd w:id="0"/>
      <w:r>
        <w:rPr>
          <w:rFonts w:ascii="Gautami" w:hAnsi="Gautami" w:cs="Gautami"/>
        </w:rPr>
        <w:t>CRG face-to-face workshop</w:t>
      </w:r>
    </w:p>
    <w:p w:rsidR="004D251D" w:rsidRDefault="004D251D" w:rsidP="004D251D">
      <w:pPr>
        <w:rPr>
          <w:rFonts w:ascii="Gautami" w:hAnsi="Gautami" w:cs="Gautami"/>
          <w:b/>
          <w:lang w:val="en-AU"/>
        </w:rPr>
      </w:pPr>
    </w:p>
    <w:p w:rsidR="004D251D" w:rsidRPr="008E63DF" w:rsidRDefault="004D251D" w:rsidP="004D251D">
      <w:pPr>
        <w:pStyle w:val="Heading1"/>
        <w:rPr>
          <w:lang w:val="en-AU"/>
        </w:rPr>
      </w:pPr>
      <w:r>
        <w:rPr>
          <w:lang w:val="en-AU"/>
        </w:rPr>
        <w:t>Progress To Date</w:t>
      </w:r>
    </w:p>
    <w:p w:rsidR="004D251D" w:rsidRDefault="004D251D" w:rsidP="004D251D">
      <w:pPr>
        <w:numPr>
          <w:ilvl w:val="0"/>
          <w:numId w:val="34"/>
        </w:numPr>
        <w:rPr>
          <w:lang w:val="en-AU"/>
        </w:rPr>
      </w:pPr>
      <w:r>
        <w:rPr>
          <w:lang w:val="en-AU"/>
        </w:rPr>
        <w:t>In November the initial 12 CRG members were selected and since 3 others have been added</w:t>
      </w:r>
    </w:p>
    <w:p w:rsidR="004D251D" w:rsidRDefault="004D251D" w:rsidP="004D251D">
      <w:pPr>
        <w:numPr>
          <w:ilvl w:val="0"/>
          <w:numId w:val="34"/>
        </w:numPr>
        <w:rPr>
          <w:lang w:val="en-AU"/>
        </w:rPr>
      </w:pPr>
      <w:r>
        <w:rPr>
          <w:lang w:val="en-AU"/>
        </w:rPr>
        <w:t>Two information sessions were held for members on 30 November and 6 December 2017</w:t>
      </w:r>
    </w:p>
    <w:p w:rsidR="004D251D" w:rsidRPr="00822FFE" w:rsidRDefault="004D251D" w:rsidP="004D251D">
      <w:pPr>
        <w:numPr>
          <w:ilvl w:val="0"/>
          <w:numId w:val="34"/>
        </w:numPr>
        <w:rPr>
          <w:lang w:val="en-AU"/>
        </w:rPr>
      </w:pPr>
      <w:r>
        <w:rPr>
          <w:lang w:val="en-AU"/>
        </w:rPr>
        <w:t xml:space="preserve">The CRG had a face-to-face workshop with CCP and AER staff members on 11 December 2017. </w:t>
      </w:r>
    </w:p>
    <w:p w:rsidR="004D251D" w:rsidRDefault="004D251D" w:rsidP="004D251D">
      <w:pPr>
        <w:pStyle w:val="Heading1"/>
        <w:rPr>
          <w:lang w:val="en-AU"/>
        </w:rPr>
      </w:pPr>
      <w:r>
        <w:rPr>
          <w:lang w:val="en-AU"/>
        </w:rPr>
        <w:t>Introduction</w:t>
      </w:r>
    </w:p>
    <w:p w:rsidR="004D251D" w:rsidRDefault="004D251D" w:rsidP="004D251D">
      <w:pPr>
        <w:rPr>
          <w:lang w:val="en-AU"/>
        </w:rPr>
      </w:pPr>
      <w:r>
        <w:rPr>
          <w:lang w:val="en-AU"/>
        </w:rPr>
        <w:t xml:space="preserve">The AER organised an event for all of the CRG and CCP members to meet face-to-face on the 11 December 2017, in Melbourne. There were presentations from the Energy Networks Australia (ENA) and Australian Pipelines and Gas Association (APGA), Consumer Challenge Panel (CCP) and the AER. The CRG members posed questions and had time to engage with the presenters. From the sessions throughout the day, some key issues began to arise and some next steps were explored. </w:t>
      </w:r>
    </w:p>
    <w:p w:rsidR="004D251D" w:rsidRDefault="004D251D" w:rsidP="004D251D">
      <w:pPr>
        <w:pStyle w:val="Heading1"/>
        <w:rPr>
          <w:lang w:val="en-AU"/>
        </w:rPr>
      </w:pPr>
      <w:r>
        <w:rPr>
          <w:lang w:val="en-AU"/>
        </w:rPr>
        <w:t>Presentations</w:t>
      </w:r>
    </w:p>
    <w:p w:rsidR="004D251D" w:rsidRDefault="004D251D" w:rsidP="004D251D">
      <w:pPr>
        <w:pStyle w:val="Heading2"/>
        <w:rPr>
          <w:lang w:val="en-AU"/>
        </w:rPr>
      </w:pPr>
      <w:r>
        <w:rPr>
          <w:lang w:val="en-AU"/>
        </w:rPr>
        <w:t xml:space="preserve">ENA and APGA – Garth Crawford and </w:t>
      </w:r>
      <w:r w:rsidRPr="00331605">
        <w:rPr>
          <w:lang w:val="en-AU"/>
        </w:rPr>
        <w:t>Steve Davies</w:t>
      </w:r>
      <w:r>
        <w:rPr>
          <w:lang w:val="en-AU"/>
        </w:rPr>
        <w:t xml:space="preserve"> </w:t>
      </w:r>
    </w:p>
    <w:p w:rsidR="004D251D" w:rsidRDefault="004D251D" w:rsidP="004D251D">
      <w:pPr>
        <w:rPr>
          <w:lang w:val="en-AU"/>
        </w:rPr>
      </w:pPr>
      <w:r>
        <w:rPr>
          <w:lang w:val="en-AU"/>
        </w:rPr>
        <w:t xml:space="preserve">The ENA and APGA presented on the RoR guideline review, they want the reviewed guideline to be “capable of acceptance” by all stakeholders. They also indicated that they generally accepted the AER approach to the selection of equity models; they intend to focus instead on the data that is used. The ENA also offered to make their consultant from Frontier Economics available to present to the CRG. The ENA is hopeful that it can engage with the CRG more throughout the review process. </w:t>
      </w:r>
    </w:p>
    <w:p w:rsidR="004D251D" w:rsidRDefault="004D251D" w:rsidP="004D251D">
      <w:pPr>
        <w:pStyle w:val="Heading2"/>
        <w:rPr>
          <w:lang w:val="en-AU"/>
        </w:rPr>
      </w:pPr>
      <w:r>
        <w:rPr>
          <w:lang w:val="en-AU"/>
        </w:rPr>
        <w:t>CCP – David Prins</w:t>
      </w:r>
    </w:p>
    <w:p w:rsidR="004D251D" w:rsidRDefault="004D251D" w:rsidP="004D251D">
      <w:pPr>
        <w:rPr>
          <w:lang w:val="en-AU"/>
        </w:rPr>
      </w:pPr>
      <w:r>
        <w:rPr>
          <w:lang w:val="en-AU"/>
        </w:rPr>
        <w:t xml:space="preserve">The CCP explained that they exist to challenge the NSPs and AER on proposals. They try to take into account consumer perspectives and some of the decisions in the previous guideline review were influenced by them. The CCP however is not a substitute for consumer engagement, they are a part-time group and they want to encourage other consumer groups and representatives to provide engage with the process. </w:t>
      </w:r>
    </w:p>
    <w:p w:rsidR="004D251D" w:rsidRDefault="004D251D" w:rsidP="004D251D">
      <w:pPr>
        <w:pStyle w:val="Heading2"/>
        <w:rPr>
          <w:lang w:val="en-AU"/>
        </w:rPr>
      </w:pPr>
      <w:r>
        <w:rPr>
          <w:lang w:val="en-AU"/>
        </w:rPr>
        <w:t>The AER – Warwick Anderson</w:t>
      </w:r>
    </w:p>
    <w:p w:rsidR="004D251D" w:rsidRDefault="004D251D" w:rsidP="004D251D">
      <w:pPr>
        <w:rPr>
          <w:lang w:val="en-AU"/>
        </w:rPr>
      </w:pPr>
      <w:r>
        <w:rPr>
          <w:lang w:val="en-AU"/>
        </w:rPr>
        <w:t>The AER presented on the intentions of the AER with this process, and how the CRG can maximise its influence. The AER noted that the CRG members may wish to nominate individuals to join the independent review panel. The AER also went through the questions of the issues paper.</w:t>
      </w:r>
    </w:p>
    <w:p w:rsidR="004D251D" w:rsidRPr="00FE7A26" w:rsidRDefault="004D251D" w:rsidP="004D251D">
      <w:pPr>
        <w:pStyle w:val="Heading2"/>
        <w:rPr>
          <w:lang w:val="en-AU"/>
        </w:rPr>
      </w:pPr>
      <w:r>
        <w:rPr>
          <w:lang w:val="en-AU"/>
        </w:rPr>
        <w:t>The AER – Darryl Biggar</w:t>
      </w:r>
    </w:p>
    <w:p w:rsidR="004D251D" w:rsidRPr="00FE7A26" w:rsidRDefault="004D251D" w:rsidP="004D251D">
      <w:pPr>
        <w:rPr>
          <w:lang w:val="en-AU"/>
        </w:rPr>
      </w:pPr>
      <w:r>
        <w:rPr>
          <w:lang w:val="en-AU"/>
        </w:rPr>
        <w:t xml:space="preserve">The AER gave a presentation on the potential role of RAB multiples in setting the allowed RoR. The AER noted that both a business’s market value and the value of its RAB multiple </w:t>
      </w:r>
      <w:r>
        <w:rPr>
          <w:lang w:val="en-AU"/>
        </w:rPr>
        <w:lastRenderedPageBreak/>
        <w:t xml:space="preserve">are indications of the present value of future cash flows. There are a number of factors that can give rise to differences between the market value of the firms and the RAB value. </w:t>
      </w:r>
    </w:p>
    <w:p w:rsidR="004D251D" w:rsidRPr="00892339" w:rsidRDefault="004D251D" w:rsidP="004D251D">
      <w:pPr>
        <w:pStyle w:val="Heading1"/>
        <w:rPr>
          <w:lang w:val="en-AU"/>
        </w:rPr>
      </w:pPr>
      <w:r>
        <w:rPr>
          <w:lang w:val="en-AU"/>
        </w:rPr>
        <w:t>Key Issues</w:t>
      </w:r>
    </w:p>
    <w:p w:rsidR="004D251D" w:rsidRDefault="004D251D" w:rsidP="004D251D">
      <w:pPr>
        <w:pStyle w:val="Heading2"/>
        <w:rPr>
          <w:lang w:val="en-AU"/>
        </w:rPr>
      </w:pPr>
      <w:r>
        <w:rPr>
          <w:lang w:val="en-AU"/>
        </w:rPr>
        <w:t>Gearing</w:t>
      </w:r>
    </w:p>
    <w:p w:rsidR="004D251D" w:rsidRDefault="004D251D" w:rsidP="004D251D">
      <w:pPr>
        <w:rPr>
          <w:lang w:val="en-AU"/>
        </w:rPr>
      </w:pPr>
      <w:r>
        <w:rPr>
          <w:lang w:val="en-AU"/>
        </w:rPr>
        <w:t>Gearing ratio between debt and equity was raised in the issues paper and was discussed during the meeting. There was discussion around whether the enterprise value or the RAB value is more appropriate for setting a regulatory gearing ratio. Overall, CRG members raised that the absolute amount of businesses’ actual debt is much higher than regulatory allowances due to the gearing ratio being applied to a RAB that is lower than market values. Some CRG members also questioned the role of asset revaluation reserves in the AER’s gearing estimation. The AER indicated that given the amount of discussion, the AER will explore gearing further</w:t>
      </w:r>
    </w:p>
    <w:p w:rsidR="004D251D" w:rsidRDefault="004D251D" w:rsidP="004D251D">
      <w:pPr>
        <w:pStyle w:val="Heading2"/>
        <w:rPr>
          <w:lang w:val="en-AU"/>
        </w:rPr>
      </w:pPr>
      <w:r>
        <w:rPr>
          <w:lang w:val="en-AU"/>
        </w:rPr>
        <w:t>Long-term interests of consumers and the NEO</w:t>
      </w:r>
    </w:p>
    <w:p w:rsidR="004D251D" w:rsidRDefault="004D251D" w:rsidP="004D251D">
      <w:pPr>
        <w:rPr>
          <w:lang w:val="en-AU"/>
        </w:rPr>
      </w:pPr>
      <w:r>
        <w:rPr>
          <w:lang w:val="en-AU"/>
        </w:rPr>
        <w:t xml:space="preserve">The CRG members challenged whether the current RoR guidelines are achieving the NEO/NGO and promote the long-term interest of consumers. The AER indicated that it would outline how it sees the current RoR guidelines promoting the long-term interests of consumers (LTIC) and achieving the NEO/NGO. The CRG could put forward their interpretation of the LTIC. This may necessitate the involvement of experts that can also take part in the concurrent expert sessions. </w:t>
      </w:r>
    </w:p>
    <w:p w:rsidR="004D251D" w:rsidRDefault="004D251D" w:rsidP="004D251D">
      <w:pPr>
        <w:pStyle w:val="Heading2"/>
        <w:rPr>
          <w:lang w:val="en-AU"/>
        </w:rPr>
      </w:pPr>
      <w:r>
        <w:rPr>
          <w:lang w:val="en-AU"/>
        </w:rPr>
        <w:t>Beta</w:t>
      </w:r>
    </w:p>
    <w:p w:rsidR="004D251D" w:rsidRDefault="004D251D" w:rsidP="004D251D">
      <w:pPr>
        <w:rPr>
          <w:lang w:val="en-AU"/>
        </w:rPr>
      </w:pPr>
      <w:r>
        <w:rPr>
          <w:lang w:val="en-AU"/>
        </w:rPr>
        <w:t xml:space="preserve">The AER sets the Beta in the Capital Asset Pricing Model(CAPM) based on the returns of energy network firms listed on the Australian Stock Exchange. CRG members felt that the Beta should not be based on unregulated firms and that it has been at the higher end of its potential range. As equity beta is likely to be a significant aspect of the guideline review, the CRG members may wish to further explore arguments around Beta. </w:t>
      </w:r>
    </w:p>
    <w:p w:rsidR="004D251D" w:rsidRDefault="004D251D" w:rsidP="004D251D">
      <w:pPr>
        <w:pStyle w:val="Heading2"/>
        <w:rPr>
          <w:lang w:val="en-AU"/>
        </w:rPr>
      </w:pPr>
      <w:r>
        <w:rPr>
          <w:lang w:val="en-AU"/>
        </w:rPr>
        <w:t xml:space="preserve">Risk </w:t>
      </w:r>
    </w:p>
    <w:p w:rsidR="004D251D" w:rsidRPr="008C0D28" w:rsidRDefault="004D251D" w:rsidP="004D251D">
      <w:pPr>
        <w:rPr>
          <w:lang w:val="en-AU"/>
        </w:rPr>
      </w:pPr>
      <w:r>
        <w:rPr>
          <w:lang w:val="en-AU"/>
        </w:rPr>
        <w:t>The Australian Pipeline and Gas Association (APGA) suggested that the risk for gas networks and electricity networks are significantly different. The APGA would like to see the higher riskiness of gas networks reflected in their rate of return. CRG members argued that overall the regulation of these entities significantly reduces their risk. The AER is open to seeking an expert report comparing the risk for electricity/gas, transmission/distribution and regulated/unregulated firms.</w:t>
      </w:r>
    </w:p>
    <w:p w:rsidR="004D251D" w:rsidRPr="00625163" w:rsidRDefault="004D251D" w:rsidP="004D251D">
      <w:pPr>
        <w:pStyle w:val="Heading1"/>
        <w:rPr>
          <w:lang w:val="en-AU"/>
        </w:rPr>
      </w:pPr>
      <w:r>
        <w:rPr>
          <w:lang w:val="en-AU"/>
        </w:rPr>
        <w:t>Actionable Items</w:t>
      </w:r>
    </w:p>
    <w:p w:rsidR="004D251D" w:rsidRDefault="004D251D" w:rsidP="004D251D">
      <w:pPr>
        <w:pStyle w:val="Heading2"/>
        <w:rPr>
          <w:lang w:val="en-AU"/>
        </w:rPr>
      </w:pPr>
      <w:r>
        <w:rPr>
          <w:lang w:val="en-AU"/>
        </w:rPr>
        <w:t>AER actionable items</w:t>
      </w:r>
    </w:p>
    <w:p w:rsidR="004D251D" w:rsidRDefault="004D251D" w:rsidP="004D251D">
      <w:pPr>
        <w:rPr>
          <w:lang w:val="en-AU"/>
        </w:rPr>
      </w:pPr>
      <w:r>
        <w:rPr>
          <w:lang w:val="en-AU"/>
        </w:rPr>
        <w:t>The following is a list of documents the AER will produce and provide to the CRG:</w:t>
      </w:r>
    </w:p>
    <w:p w:rsidR="004D251D" w:rsidRPr="00BE65F4" w:rsidRDefault="004D251D" w:rsidP="004D251D">
      <w:pPr>
        <w:numPr>
          <w:ilvl w:val="0"/>
          <w:numId w:val="30"/>
        </w:numPr>
        <w:rPr>
          <w:lang w:val="en-AU"/>
        </w:rPr>
      </w:pPr>
      <w:r>
        <w:rPr>
          <w:lang w:val="en-AU"/>
        </w:rPr>
        <w:t>The AER will prepare a sensitivity matrix that will explain how potential changes to components of the rate of return will affect consumer bills</w:t>
      </w:r>
    </w:p>
    <w:p w:rsidR="004D251D" w:rsidRDefault="004D251D" w:rsidP="004D251D">
      <w:pPr>
        <w:numPr>
          <w:ilvl w:val="0"/>
          <w:numId w:val="30"/>
        </w:numPr>
      </w:pPr>
      <w:r>
        <w:t xml:space="preserve">The AER will prepare a reading guide to assist CRG members with understanding the subject of gearing in the Rate of Return context. </w:t>
      </w:r>
    </w:p>
    <w:p w:rsidR="004D251D" w:rsidRDefault="004D251D" w:rsidP="004D251D">
      <w:r>
        <w:t>In addition, the AER intends to further consider the following issues:</w:t>
      </w:r>
    </w:p>
    <w:p w:rsidR="004D251D" w:rsidRDefault="004D251D" w:rsidP="004D251D">
      <w:pPr>
        <w:numPr>
          <w:ilvl w:val="0"/>
          <w:numId w:val="35"/>
        </w:numPr>
      </w:pPr>
      <w:r>
        <w:t xml:space="preserve">how profitability measures can be incorporated in the consideration of the Rate of Return Guideline. </w:t>
      </w:r>
    </w:p>
    <w:p w:rsidR="004D251D" w:rsidRDefault="004D251D" w:rsidP="004D251D">
      <w:pPr>
        <w:numPr>
          <w:ilvl w:val="0"/>
          <w:numId w:val="35"/>
        </w:numPr>
      </w:pPr>
      <w:r>
        <w:t>the different levels of risk for transmission/distribution, gas/electricity and unregulated/regulated firms.</w:t>
      </w:r>
    </w:p>
    <w:p w:rsidR="004D251D" w:rsidRDefault="004D251D" w:rsidP="004D251D">
      <w:pPr>
        <w:numPr>
          <w:ilvl w:val="0"/>
          <w:numId w:val="35"/>
        </w:numPr>
      </w:pPr>
      <w:r>
        <w:t xml:space="preserve">what is the most appropriate gearing ratio for debt and equity. </w:t>
      </w:r>
    </w:p>
    <w:p w:rsidR="004D251D" w:rsidRDefault="004D251D" w:rsidP="004D251D">
      <w:r>
        <w:t>Finally, general action items for the AER are listed below:</w:t>
      </w:r>
    </w:p>
    <w:p w:rsidR="004D251D" w:rsidRDefault="004D251D" w:rsidP="004D251D">
      <w:pPr>
        <w:numPr>
          <w:ilvl w:val="0"/>
          <w:numId w:val="30"/>
        </w:numPr>
      </w:pPr>
      <w:r>
        <w:t>facilitating further discussion between the CRG and NSPs.</w:t>
      </w:r>
    </w:p>
    <w:p w:rsidR="004D251D" w:rsidRDefault="004D251D" w:rsidP="004D251D">
      <w:pPr>
        <w:numPr>
          <w:ilvl w:val="0"/>
          <w:numId w:val="30"/>
        </w:numPr>
      </w:pPr>
      <w:r>
        <w:t xml:space="preserve">how the New Zealand energy regulator accounts for periods of substantial market volatility in their electricity regulation framework. </w:t>
      </w:r>
    </w:p>
    <w:p w:rsidR="004D251D" w:rsidRDefault="004D251D" w:rsidP="004D251D">
      <w:pPr>
        <w:numPr>
          <w:ilvl w:val="0"/>
          <w:numId w:val="30"/>
        </w:numPr>
        <w:rPr>
          <w:lang w:val="en-AU"/>
        </w:rPr>
      </w:pPr>
      <w:r>
        <w:rPr>
          <w:lang w:val="en-AU"/>
        </w:rPr>
        <w:lastRenderedPageBreak/>
        <w:t xml:space="preserve">introduce deep dive sessions to CRG sessions, so members can elect into smaller groups that will thoroughly examine specific topics. </w:t>
      </w:r>
    </w:p>
    <w:p w:rsidR="004D251D" w:rsidRDefault="004D251D" w:rsidP="004D251D">
      <w:pPr>
        <w:numPr>
          <w:ilvl w:val="0"/>
          <w:numId w:val="30"/>
        </w:numPr>
        <w:rPr>
          <w:lang w:val="en-AU"/>
        </w:rPr>
      </w:pPr>
      <w:r>
        <w:rPr>
          <w:lang w:val="en-AU"/>
        </w:rPr>
        <w:t>further explore the extent the Rate of Return guideline has contributed to the NEO and NGO</w:t>
      </w:r>
    </w:p>
    <w:p w:rsidR="004D251D" w:rsidRDefault="004D251D" w:rsidP="004D251D"/>
    <w:p w:rsidR="004D251D" w:rsidRDefault="004D251D" w:rsidP="004D251D">
      <w:pPr>
        <w:pStyle w:val="Heading2"/>
      </w:pPr>
      <w:r>
        <w:t>ENA actionable items</w:t>
      </w:r>
    </w:p>
    <w:p w:rsidR="004D251D" w:rsidRDefault="004D251D" w:rsidP="004D251D">
      <w:pPr>
        <w:numPr>
          <w:ilvl w:val="0"/>
          <w:numId w:val="32"/>
        </w:numPr>
      </w:pPr>
      <w:r>
        <w:t>The ENA indicated that they may make one of their consultants available to provide views to the CRG.</w:t>
      </w:r>
    </w:p>
    <w:p w:rsidR="004D251D" w:rsidRDefault="004D251D" w:rsidP="004D251D">
      <w:pPr>
        <w:numPr>
          <w:ilvl w:val="0"/>
          <w:numId w:val="32"/>
        </w:numPr>
      </w:pPr>
      <w:r>
        <w:t>The ENA indicated that they would be open to engaging with the CRG outside of the AER organised sessions.</w:t>
      </w:r>
    </w:p>
    <w:p w:rsidR="004D251D" w:rsidRPr="00565051" w:rsidRDefault="004D251D" w:rsidP="004D251D">
      <w:pPr>
        <w:numPr>
          <w:ilvl w:val="0"/>
          <w:numId w:val="32"/>
        </w:numPr>
      </w:pPr>
      <w:r>
        <w:t>The ENA indicated that they would look into whether there is scope to provide historical financial data to CRG members, to support profitability analysis.</w:t>
      </w:r>
    </w:p>
    <w:p w:rsidR="004D251D" w:rsidRDefault="004D251D" w:rsidP="004D251D">
      <w:pPr>
        <w:pStyle w:val="Heading2"/>
      </w:pPr>
    </w:p>
    <w:p w:rsidR="004D251D" w:rsidRDefault="004D251D" w:rsidP="004D251D">
      <w:pPr>
        <w:pStyle w:val="Heading2"/>
      </w:pPr>
      <w:r>
        <w:t>CRG actionable items</w:t>
      </w:r>
    </w:p>
    <w:p w:rsidR="004D251D" w:rsidRDefault="004D251D" w:rsidP="004D251D">
      <w:pPr>
        <w:numPr>
          <w:ilvl w:val="0"/>
          <w:numId w:val="33"/>
        </w:numPr>
        <w:rPr>
          <w:lang w:val="en-AU"/>
        </w:rPr>
      </w:pPr>
      <w:r>
        <w:rPr>
          <w:lang w:val="en-AU"/>
        </w:rPr>
        <w:t>The CRG indicated that it would be beneficial to begin considering which topics will require the assistance of an expert consultant</w:t>
      </w:r>
    </w:p>
    <w:p w:rsidR="004D251D" w:rsidRDefault="004D251D" w:rsidP="004D251D">
      <w:pPr>
        <w:numPr>
          <w:ilvl w:val="0"/>
          <w:numId w:val="33"/>
        </w:numPr>
        <w:rPr>
          <w:lang w:val="en-AU"/>
        </w:rPr>
      </w:pPr>
      <w:r>
        <w:rPr>
          <w:lang w:val="en-AU"/>
        </w:rPr>
        <w:t xml:space="preserve">The CRG indicated that there may be limited ECA funding available to appoint an expert. The CRG would benefit from considering other avenues they could use to find funding to appoint additional experts. </w:t>
      </w:r>
    </w:p>
    <w:p w:rsidR="004D251D" w:rsidRDefault="004D251D" w:rsidP="004D251D">
      <w:pPr>
        <w:numPr>
          <w:ilvl w:val="0"/>
          <w:numId w:val="33"/>
        </w:numPr>
        <w:rPr>
          <w:lang w:val="en-AU"/>
        </w:rPr>
      </w:pPr>
      <w:r>
        <w:rPr>
          <w:lang w:val="en-AU"/>
        </w:rPr>
        <w:t>The CRG indicated they would consider potential nominees for the independent panel review and would make their confidential nomination to the AER.</w:t>
      </w:r>
    </w:p>
    <w:p w:rsidR="004D251D" w:rsidRDefault="004D251D" w:rsidP="004D251D">
      <w:pPr>
        <w:numPr>
          <w:ilvl w:val="0"/>
          <w:numId w:val="33"/>
        </w:numPr>
        <w:rPr>
          <w:lang w:val="en-AU"/>
        </w:rPr>
      </w:pPr>
      <w:r>
        <w:rPr>
          <w:lang w:val="en-AU"/>
        </w:rPr>
        <w:t>The CRG could provide valuable input on the LTIC. It could be useful to seek a consultants view. The LTIC will likely be an important determining factor in the overall RoR process.</w:t>
      </w:r>
      <w:r>
        <w:rPr>
          <w:lang w:val="en-AU"/>
        </w:rPr>
        <w:br/>
      </w:r>
    </w:p>
    <w:p w:rsidR="004D251D" w:rsidRDefault="004D251D" w:rsidP="004D251D">
      <w:pPr>
        <w:pStyle w:val="Heading1"/>
        <w:rPr>
          <w:lang w:val="en-AU"/>
        </w:rPr>
      </w:pPr>
      <w:r>
        <w:rPr>
          <w:lang w:val="en-AU"/>
        </w:rPr>
        <w:t>Next steps</w:t>
      </w:r>
    </w:p>
    <w:p w:rsidR="004D251D" w:rsidRPr="00584F4F" w:rsidRDefault="004D251D" w:rsidP="004D251D">
      <w:pPr>
        <w:rPr>
          <w:lang w:val="en-AU"/>
        </w:rPr>
      </w:pPr>
      <w:r>
        <w:rPr>
          <w:lang w:val="en-AU"/>
        </w:rPr>
        <w:t>The AER and CRG will have another in-person meeting on the 23</w:t>
      </w:r>
      <w:r w:rsidRPr="00584F4F">
        <w:rPr>
          <w:vertAlign w:val="superscript"/>
          <w:lang w:val="en-AU"/>
        </w:rPr>
        <w:t>rd</w:t>
      </w:r>
      <w:r>
        <w:rPr>
          <w:lang w:val="en-AU"/>
        </w:rPr>
        <w:t xml:space="preserve"> and 24</w:t>
      </w:r>
      <w:r w:rsidRPr="00584F4F">
        <w:rPr>
          <w:vertAlign w:val="superscript"/>
          <w:lang w:val="en-AU"/>
        </w:rPr>
        <w:t>th</w:t>
      </w:r>
      <w:r>
        <w:rPr>
          <w:lang w:val="en-AU"/>
        </w:rPr>
        <w:t xml:space="preserve"> of January 2018, in Canberra. Other than that, there will be the monthly meetings every month over the VCU. More details will be provided on the face-to-face session and monthly meetings as they near. </w:t>
      </w:r>
    </w:p>
    <w:p w:rsidR="00584F4F" w:rsidRPr="004D251D" w:rsidRDefault="00584F4F" w:rsidP="004D251D"/>
    <w:sectPr w:rsidR="00584F4F" w:rsidRPr="004D251D" w:rsidSect="00530E28">
      <w:footerReference w:type="even" r:id="rId8"/>
      <w:footerReference w:type="default" r:id="rId9"/>
      <w:pgSz w:w="11909" w:h="16834"/>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B3" w:rsidRDefault="007C41B3">
      <w:r>
        <w:separator/>
      </w:r>
    </w:p>
  </w:endnote>
  <w:endnote w:type="continuationSeparator" w:id="0">
    <w:p w:rsidR="007C41B3" w:rsidRDefault="007C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B3" w:rsidRDefault="007C41B3" w:rsidP="008611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41B3" w:rsidRDefault="007C4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B3" w:rsidRDefault="007C41B3" w:rsidP="008611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6272">
      <w:rPr>
        <w:rStyle w:val="PageNumber"/>
        <w:noProof/>
      </w:rPr>
      <w:t>1</w:t>
    </w:r>
    <w:r>
      <w:rPr>
        <w:rStyle w:val="PageNumber"/>
      </w:rPr>
      <w:fldChar w:fldCharType="end"/>
    </w:r>
  </w:p>
  <w:p w:rsidR="007C41B3" w:rsidRDefault="007C4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B3" w:rsidRDefault="007C41B3">
      <w:r>
        <w:separator/>
      </w:r>
    </w:p>
  </w:footnote>
  <w:footnote w:type="continuationSeparator" w:id="0">
    <w:p w:rsidR="007C41B3" w:rsidRDefault="007C4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464"/>
    <w:multiLevelType w:val="hybridMultilevel"/>
    <w:tmpl w:val="5D922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F0BFA"/>
    <w:multiLevelType w:val="hybridMultilevel"/>
    <w:tmpl w:val="2DDE1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84834"/>
    <w:multiLevelType w:val="hybridMultilevel"/>
    <w:tmpl w:val="CE9CDF46"/>
    <w:lvl w:ilvl="0" w:tplc="1F6600CA">
      <w:start w:val="1"/>
      <w:numFmt w:val="bullet"/>
      <w:pStyle w:val="AERBullet2"/>
      <w:lvlText w:val=""/>
      <w:lvlJc w:val="left"/>
      <w:pPr>
        <w:tabs>
          <w:tab w:val="num" w:pos="360"/>
        </w:tabs>
        <w:ind w:left="360" w:hanging="3"/>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277DF"/>
    <w:multiLevelType w:val="hybridMultilevel"/>
    <w:tmpl w:val="E2D82F7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7106B5E"/>
    <w:multiLevelType w:val="hybridMultilevel"/>
    <w:tmpl w:val="899A4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D0626"/>
    <w:multiLevelType w:val="hybridMultilevel"/>
    <w:tmpl w:val="3506A0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9579FC"/>
    <w:multiLevelType w:val="hybridMultilevel"/>
    <w:tmpl w:val="833A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2A5166"/>
    <w:multiLevelType w:val="hybridMultilevel"/>
    <w:tmpl w:val="ED7A191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AF95474"/>
    <w:multiLevelType w:val="hybridMultilevel"/>
    <w:tmpl w:val="A9300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7E71DA"/>
    <w:multiLevelType w:val="hybridMultilevel"/>
    <w:tmpl w:val="165ACA1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2EED79B0"/>
    <w:multiLevelType w:val="hybridMultilevel"/>
    <w:tmpl w:val="2C7CE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420DD"/>
    <w:multiLevelType w:val="hybridMultilevel"/>
    <w:tmpl w:val="C04252D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AC60D2A"/>
    <w:multiLevelType w:val="hybridMultilevel"/>
    <w:tmpl w:val="6E8C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096CB7"/>
    <w:multiLevelType w:val="hybridMultilevel"/>
    <w:tmpl w:val="E5243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5E2DFE"/>
    <w:multiLevelType w:val="hybridMultilevel"/>
    <w:tmpl w:val="B7EEA5F4"/>
    <w:lvl w:ilvl="0" w:tplc="14DA70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C956153"/>
    <w:multiLevelType w:val="multilevel"/>
    <w:tmpl w:val="5F08298E"/>
    <w:lvl w:ilvl="0">
      <w:start w:val="1"/>
      <w:numFmt w:val="decimal"/>
      <w:pStyle w:val="AER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CB7665E"/>
    <w:multiLevelType w:val="hybridMultilevel"/>
    <w:tmpl w:val="ECFC1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7417FF"/>
    <w:multiLevelType w:val="hybridMultilevel"/>
    <w:tmpl w:val="8530F03E"/>
    <w:lvl w:ilvl="0" w:tplc="42B8239A">
      <w:start w:val="1"/>
      <w:numFmt w:val="bullet"/>
      <w:lvlText w:val=""/>
      <w:lvlJc w:val="left"/>
      <w:pPr>
        <w:ind w:left="720" w:hanging="360"/>
      </w:pPr>
      <w:rPr>
        <w:rFonts w:ascii="Wingdings" w:hAnsi="Wingdings"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ED427E"/>
    <w:multiLevelType w:val="hybridMultilevel"/>
    <w:tmpl w:val="210C185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3F1B1FA8"/>
    <w:multiLevelType w:val="hybridMultilevel"/>
    <w:tmpl w:val="4C245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460FF4"/>
    <w:multiLevelType w:val="hybridMultilevel"/>
    <w:tmpl w:val="087A8C30"/>
    <w:lvl w:ilvl="0" w:tplc="A1D62CC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408D3281"/>
    <w:multiLevelType w:val="hybridMultilevel"/>
    <w:tmpl w:val="5AE0BBF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3" w15:restartNumberingAfterBreak="0">
    <w:nsid w:val="42DB0565"/>
    <w:multiLevelType w:val="hybridMultilevel"/>
    <w:tmpl w:val="3A367E3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3056AA"/>
    <w:multiLevelType w:val="singleLevel"/>
    <w:tmpl w:val="F506A7A4"/>
    <w:lvl w:ilvl="0">
      <w:numFmt w:val="bullet"/>
      <w:pStyle w:val="AERBullet3"/>
      <w:lvlText w:val="—"/>
      <w:lvlJc w:val="left"/>
      <w:pPr>
        <w:tabs>
          <w:tab w:val="num" w:pos="360"/>
        </w:tabs>
        <w:ind w:left="360" w:hanging="360"/>
      </w:pPr>
      <w:rPr>
        <w:rFonts w:ascii="Times New Roman" w:hAnsi="Times New Roman" w:hint="default"/>
      </w:rPr>
    </w:lvl>
  </w:abstractNum>
  <w:abstractNum w:abstractNumId="25" w15:restartNumberingAfterBreak="0">
    <w:nsid w:val="49020D69"/>
    <w:multiLevelType w:val="hybridMultilevel"/>
    <w:tmpl w:val="5A6671D4"/>
    <w:lvl w:ilvl="0" w:tplc="42B8239A">
      <w:start w:val="1"/>
      <w:numFmt w:val="bullet"/>
      <w:lvlText w:val=""/>
      <w:lvlJc w:val="left"/>
      <w:pPr>
        <w:ind w:left="720" w:hanging="360"/>
      </w:pPr>
      <w:rPr>
        <w:rFonts w:ascii="Wingdings" w:hAnsi="Wingdings" w:hint="default"/>
        <w:sz w:val="16"/>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0F602B"/>
    <w:multiLevelType w:val="hybridMultilevel"/>
    <w:tmpl w:val="B55E6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2D3AD2"/>
    <w:multiLevelType w:val="hybridMultilevel"/>
    <w:tmpl w:val="956611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AE679F7"/>
    <w:multiLevelType w:val="hybridMultilevel"/>
    <w:tmpl w:val="7EB8E4DC"/>
    <w:lvl w:ilvl="0" w:tplc="83B2D3EC">
      <w:start w:val="1"/>
      <w:numFmt w:val="bullet"/>
      <w:pStyle w:val="AERBullet1"/>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1815C6B"/>
    <w:multiLevelType w:val="hybridMultilevel"/>
    <w:tmpl w:val="655CE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5E34A4"/>
    <w:multiLevelType w:val="hybridMultilevel"/>
    <w:tmpl w:val="441EC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AB6900"/>
    <w:multiLevelType w:val="hybridMultilevel"/>
    <w:tmpl w:val="BF442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54106B"/>
    <w:multiLevelType w:val="hybridMultilevel"/>
    <w:tmpl w:val="1FC62EB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9521FD0"/>
    <w:multiLevelType w:val="hybridMultilevel"/>
    <w:tmpl w:val="F056985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6115E8"/>
    <w:multiLevelType w:val="hybridMultilevel"/>
    <w:tmpl w:val="22B00D8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28"/>
  </w:num>
  <w:num w:numId="3">
    <w:abstractNumId w:val="2"/>
  </w:num>
  <w:num w:numId="4">
    <w:abstractNumId w:val="24"/>
  </w:num>
  <w:num w:numId="5">
    <w:abstractNumId w:val="16"/>
  </w:num>
  <w:num w:numId="6">
    <w:abstractNumId w:val="26"/>
  </w:num>
  <w:num w:numId="7">
    <w:abstractNumId w:val="5"/>
  </w:num>
  <w:num w:numId="8">
    <w:abstractNumId w:val="17"/>
  </w:num>
  <w:num w:numId="9">
    <w:abstractNumId w:val="9"/>
  </w:num>
  <w:num w:numId="10">
    <w:abstractNumId w:val="33"/>
  </w:num>
  <w:num w:numId="11">
    <w:abstractNumId w:val="4"/>
  </w:num>
  <w:num w:numId="12">
    <w:abstractNumId w:val="0"/>
  </w:num>
  <w:num w:numId="13">
    <w:abstractNumId w:val="20"/>
  </w:num>
  <w:num w:numId="14">
    <w:abstractNumId w:val="14"/>
  </w:num>
  <w:num w:numId="15">
    <w:abstractNumId w:val="30"/>
  </w:num>
  <w:num w:numId="16">
    <w:abstractNumId w:val="6"/>
  </w:num>
  <w:num w:numId="17">
    <w:abstractNumId w:val="34"/>
  </w:num>
  <w:num w:numId="18">
    <w:abstractNumId w:val="12"/>
  </w:num>
  <w:num w:numId="19">
    <w:abstractNumId w:val="7"/>
  </w:num>
  <w:num w:numId="20">
    <w:abstractNumId w:val="27"/>
  </w:num>
  <w:num w:numId="21">
    <w:abstractNumId w:val="32"/>
  </w:num>
  <w:num w:numId="22">
    <w:abstractNumId w:val="15"/>
  </w:num>
  <w:num w:numId="23">
    <w:abstractNumId w:val="13"/>
  </w:num>
  <w:num w:numId="24">
    <w:abstractNumId w:val="18"/>
  </w:num>
  <w:num w:numId="25">
    <w:abstractNumId w:val="25"/>
  </w:num>
  <w:num w:numId="26">
    <w:abstractNumId w:val="29"/>
  </w:num>
  <w:num w:numId="27">
    <w:abstractNumId w:val="21"/>
  </w:num>
  <w:num w:numId="28">
    <w:abstractNumId w:val="10"/>
  </w:num>
  <w:num w:numId="29">
    <w:abstractNumId w:val="31"/>
  </w:num>
  <w:num w:numId="30">
    <w:abstractNumId w:val="23"/>
  </w:num>
  <w:num w:numId="31">
    <w:abstractNumId w:val="11"/>
  </w:num>
  <w:num w:numId="32">
    <w:abstractNumId w:val="22"/>
  </w:num>
  <w:num w:numId="33">
    <w:abstractNumId w:val="19"/>
  </w:num>
  <w:num w:numId="34">
    <w:abstractNumId w:val="3"/>
  </w:num>
  <w:num w:numId="3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rlowi\Consumer engagement - Minute to Board with update - April 2013_130327122719.docx"/>
  </w:docVars>
  <w:rsids>
    <w:rsidRoot w:val="00236660"/>
    <w:rsid w:val="00014FED"/>
    <w:rsid w:val="00016AE1"/>
    <w:rsid w:val="00016B00"/>
    <w:rsid w:val="000372CD"/>
    <w:rsid w:val="000424A5"/>
    <w:rsid w:val="00043FB7"/>
    <w:rsid w:val="00044738"/>
    <w:rsid w:val="00045B35"/>
    <w:rsid w:val="0004766F"/>
    <w:rsid w:val="00064278"/>
    <w:rsid w:val="0006603C"/>
    <w:rsid w:val="00084B92"/>
    <w:rsid w:val="000938DC"/>
    <w:rsid w:val="00095FD3"/>
    <w:rsid w:val="000A3EAC"/>
    <w:rsid w:val="000B1E4E"/>
    <w:rsid w:val="000B5763"/>
    <w:rsid w:val="000D22A7"/>
    <w:rsid w:val="000D609C"/>
    <w:rsid w:val="000E285D"/>
    <w:rsid w:val="000E506B"/>
    <w:rsid w:val="000E5894"/>
    <w:rsid w:val="000E6FEA"/>
    <w:rsid w:val="000F2DC6"/>
    <w:rsid w:val="000F3274"/>
    <w:rsid w:val="000F7A28"/>
    <w:rsid w:val="00113A74"/>
    <w:rsid w:val="001243F2"/>
    <w:rsid w:val="00142BCB"/>
    <w:rsid w:val="0014471A"/>
    <w:rsid w:val="00147765"/>
    <w:rsid w:val="00147BFE"/>
    <w:rsid w:val="001547FB"/>
    <w:rsid w:val="00160D6A"/>
    <w:rsid w:val="00162A35"/>
    <w:rsid w:val="00184413"/>
    <w:rsid w:val="00185CF0"/>
    <w:rsid w:val="001872AF"/>
    <w:rsid w:val="00190CD4"/>
    <w:rsid w:val="00191A4E"/>
    <w:rsid w:val="00193973"/>
    <w:rsid w:val="00193DD0"/>
    <w:rsid w:val="00197E6F"/>
    <w:rsid w:val="001A6B0A"/>
    <w:rsid w:val="001B10F4"/>
    <w:rsid w:val="001B72E4"/>
    <w:rsid w:val="001C2865"/>
    <w:rsid w:val="001D4062"/>
    <w:rsid w:val="001D5657"/>
    <w:rsid w:val="001D64F5"/>
    <w:rsid w:val="001E52C8"/>
    <w:rsid w:val="001E7ECF"/>
    <w:rsid w:val="001F1A92"/>
    <w:rsid w:val="001F5D9B"/>
    <w:rsid w:val="00202FC2"/>
    <w:rsid w:val="00204CC4"/>
    <w:rsid w:val="0021019E"/>
    <w:rsid w:val="00215E53"/>
    <w:rsid w:val="00220E54"/>
    <w:rsid w:val="00222A2B"/>
    <w:rsid w:val="002335EF"/>
    <w:rsid w:val="00236660"/>
    <w:rsid w:val="00236D19"/>
    <w:rsid w:val="00240236"/>
    <w:rsid w:val="002409B2"/>
    <w:rsid w:val="00240FCD"/>
    <w:rsid w:val="0025025D"/>
    <w:rsid w:val="00257193"/>
    <w:rsid w:val="0027270E"/>
    <w:rsid w:val="00293431"/>
    <w:rsid w:val="00295D94"/>
    <w:rsid w:val="002A1C19"/>
    <w:rsid w:val="002A2F85"/>
    <w:rsid w:val="002A590A"/>
    <w:rsid w:val="002C2A54"/>
    <w:rsid w:val="002C2D2A"/>
    <w:rsid w:val="002D5D94"/>
    <w:rsid w:val="002F5E63"/>
    <w:rsid w:val="002F622E"/>
    <w:rsid w:val="003058DA"/>
    <w:rsid w:val="00321973"/>
    <w:rsid w:val="00327712"/>
    <w:rsid w:val="00330895"/>
    <w:rsid w:val="003309B7"/>
    <w:rsid w:val="00331605"/>
    <w:rsid w:val="00332D6B"/>
    <w:rsid w:val="0034662A"/>
    <w:rsid w:val="00354359"/>
    <w:rsid w:val="00361066"/>
    <w:rsid w:val="003625E6"/>
    <w:rsid w:val="00364E64"/>
    <w:rsid w:val="00377777"/>
    <w:rsid w:val="003839C5"/>
    <w:rsid w:val="00387EC5"/>
    <w:rsid w:val="00394D72"/>
    <w:rsid w:val="003A29D2"/>
    <w:rsid w:val="003A5BFA"/>
    <w:rsid w:val="003B35F5"/>
    <w:rsid w:val="003B4EFA"/>
    <w:rsid w:val="003B69F7"/>
    <w:rsid w:val="003C6B40"/>
    <w:rsid w:val="003D0B20"/>
    <w:rsid w:val="003D3A12"/>
    <w:rsid w:val="003E01EB"/>
    <w:rsid w:val="003E3901"/>
    <w:rsid w:val="003E6D0A"/>
    <w:rsid w:val="003E7AFB"/>
    <w:rsid w:val="003F4BEF"/>
    <w:rsid w:val="003F7DB8"/>
    <w:rsid w:val="004072CB"/>
    <w:rsid w:val="0040792B"/>
    <w:rsid w:val="00422AF7"/>
    <w:rsid w:val="00431D6A"/>
    <w:rsid w:val="004337D2"/>
    <w:rsid w:val="00445413"/>
    <w:rsid w:val="004473BE"/>
    <w:rsid w:val="0046123D"/>
    <w:rsid w:val="00462F60"/>
    <w:rsid w:val="004635C3"/>
    <w:rsid w:val="0046459A"/>
    <w:rsid w:val="004658F4"/>
    <w:rsid w:val="004724F1"/>
    <w:rsid w:val="004736AF"/>
    <w:rsid w:val="00482BFD"/>
    <w:rsid w:val="00485C6A"/>
    <w:rsid w:val="00486942"/>
    <w:rsid w:val="00487186"/>
    <w:rsid w:val="00497922"/>
    <w:rsid w:val="00497F95"/>
    <w:rsid w:val="004A72F9"/>
    <w:rsid w:val="004D251D"/>
    <w:rsid w:val="004D48A6"/>
    <w:rsid w:val="004D707E"/>
    <w:rsid w:val="004E4859"/>
    <w:rsid w:val="004E7074"/>
    <w:rsid w:val="004F7BC2"/>
    <w:rsid w:val="00501050"/>
    <w:rsid w:val="005056CA"/>
    <w:rsid w:val="0052141C"/>
    <w:rsid w:val="005241B9"/>
    <w:rsid w:val="005247B2"/>
    <w:rsid w:val="00527BE2"/>
    <w:rsid w:val="00530E28"/>
    <w:rsid w:val="00531C0A"/>
    <w:rsid w:val="005323F1"/>
    <w:rsid w:val="00536E7D"/>
    <w:rsid w:val="005370E9"/>
    <w:rsid w:val="00537199"/>
    <w:rsid w:val="005371D2"/>
    <w:rsid w:val="00541D29"/>
    <w:rsid w:val="005538F4"/>
    <w:rsid w:val="00556F6D"/>
    <w:rsid w:val="00564DBA"/>
    <w:rsid w:val="00565051"/>
    <w:rsid w:val="00565896"/>
    <w:rsid w:val="00584F4F"/>
    <w:rsid w:val="005866BA"/>
    <w:rsid w:val="00593B04"/>
    <w:rsid w:val="005A4D0B"/>
    <w:rsid w:val="005A73E3"/>
    <w:rsid w:val="005A78B8"/>
    <w:rsid w:val="005B24FE"/>
    <w:rsid w:val="005B4265"/>
    <w:rsid w:val="005B5819"/>
    <w:rsid w:val="005C354A"/>
    <w:rsid w:val="005C7B7C"/>
    <w:rsid w:val="005D03D3"/>
    <w:rsid w:val="005E1EA3"/>
    <w:rsid w:val="005F39BD"/>
    <w:rsid w:val="005F502C"/>
    <w:rsid w:val="006171AA"/>
    <w:rsid w:val="00623E49"/>
    <w:rsid w:val="00625163"/>
    <w:rsid w:val="0062715A"/>
    <w:rsid w:val="00640648"/>
    <w:rsid w:val="0064136D"/>
    <w:rsid w:val="00643710"/>
    <w:rsid w:val="006476A1"/>
    <w:rsid w:val="00651468"/>
    <w:rsid w:val="00653A8A"/>
    <w:rsid w:val="0066187B"/>
    <w:rsid w:val="006637FA"/>
    <w:rsid w:val="00663D7C"/>
    <w:rsid w:val="006654AF"/>
    <w:rsid w:val="00667AFF"/>
    <w:rsid w:val="00674B90"/>
    <w:rsid w:val="00683FF7"/>
    <w:rsid w:val="0068555C"/>
    <w:rsid w:val="00694D91"/>
    <w:rsid w:val="006A38A0"/>
    <w:rsid w:val="006A6A31"/>
    <w:rsid w:val="006B2F9F"/>
    <w:rsid w:val="006B7963"/>
    <w:rsid w:val="006C2CD9"/>
    <w:rsid w:val="006C3DB4"/>
    <w:rsid w:val="006C66AA"/>
    <w:rsid w:val="006D0965"/>
    <w:rsid w:val="006D2A86"/>
    <w:rsid w:val="006D427E"/>
    <w:rsid w:val="006E467A"/>
    <w:rsid w:val="006E7C8D"/>
    <w:rsid w:val="006F4DCE"/>
    <w:rsid w:val="007048F1"/>
    <w:rsid w:val="00706621"/>
    <w:rsid w:val="007213C9"/>
    <w:rsid w:val="00721AE8"/>
    <w:rsid w:val="007344DA"/>
    <w:rsid w:val="00735347"/>
    <w:rsid w:val="00737357"/>
    <w:rsid w:val="00740994"/>
    <w:rsid w:val="0074164E"/>
    <w:rsid w:val="00754105"/>
    <w:rsid w:val="007566B9"/>
    <w:rsid w:val="007567CE"/>
    <w:rsid w:val="00767CAB"/>
    <w:rsid w:val="00775CCC"/>
    <w:rsid w:val="00784506"/>
    <w:rsid w:val="00785345"/>
    <w:rsid w:val="00791CB5"/>
    <w:rsid w:val="00797EA3"/>
    <w:rsid w:val="007A1BAA"/>
    <w:rsid w:val="007A31C6"/>
    <w:rsid w:val="007A3DF0"/>
    <w:rsid w:val="007A5787"/>
    <w:rsid w:val="007A7E92"/>
    <w:rsid w:val="007B6272"/>
    <w:rsid w:val="007C18A0"/>
    <w:rsid w:val="007C41B3"/>
    <w:rsid w:val="007C72A7"/>
    <w:rsid w:val="007D03CB"/>
    <w:rsid w:val="007D338A"/>
    <w:rsid w:val="007D6592"/>
    <w:rsid w:val="007E160D"/>
    <w:rsid w:val="007E5D4E"/>
    <w:rsid w:val="007F0EEB"/>
    <w:rsid w:val="007F25B0"/>
    <w:rsid w:val="007F3037"/>
    <w:rsid w:val="007F5E02"/>
    <w:rsid w:val="007F5F39"/>
    <w:rsid w:val="008026C3"/>
    <w:rsid w:val="008066AC"/>
    <w:rsid w:val="00813DDB"/>
    <w:rsid w:val="008170DB"/>
    <w:rsid w:val="00822FFE"/>
    <w:rsid w:val="00825B08"/>
    <w:rsid w:val="008269C9"/>
    <w:rsid w:val="0083020F"/>
    <w:rsid w:val="008318C0"/>
    <w:rsid w:val="00832FC1"/>
    <w:rsid w:val="00844351"/>
    <w:rsid w:val="008458A4"/>
    <w:rsid w:val="00846F8F"/>
    <w:rsid w:val="00847768"/>
    <w:rsid w:val="00860AC0"/>
    <w:rsid w:val="0086110D"/>
    <w:rsid w:val="0088015B"/>
    <w:rsid w:val="00883527"/>
    <w:rsid w:val="00884583"/>
    <w:rsid w:val="00892339"/>
    <w:rsid w:val="00895529"/>
    <w:rsid w:val="00895BB8"/>
    <w:rsid w:val="00896845"/>
    <w:rsid w:val="008A0173"/>
    <w:rsid w:val="008A4D7B"/>
    <w:rsid w:val="008A6856"/>
    <w:rsid w:val="008B1A43"/>
    <w:rsid w:val="008C0D28"/>
    <w:rsid w:val="008D157A"/>
    <w:rsid w:val="008D3081"/>
    <w:rsid w:val="008D34C2"/>
    <w:rsid w:val="008D51BD"/>
    <w:rsid w:val="008D63CA"/>
    <w:rsid w:val="008E36E0"/>
    <w:rsid w:val="008E63DF"/>
    <w:rsid w:val="008E7013"/>
    <w:rsid w:val="008F2C46"/>
    <w:rsid w:val="008F5CE8"/>
    <w:rsid w:val="008F652F"/>
    <w:rsid w:val="009002E6"/>
    <w:rsid w:val="00910A1A"/>
    <w:rsid w:val="00920526"/>
    <w:rsid w:val="00931027"/>
    <w:rsid w:val="00935E0C"/>
    <w:rsid w:val="009365B3"/>
    <w:rsid w:val="0093668C"/>
    <w:rsid w:val="00937883"/>
    <w:rsid w:val="00941BEC"/>
    <w:rsid w:val="00943317"/>
    <w:rsid w:val="00952E15"/>
    <w:rsid w:val="00954016"/>
    <w:rsid w:val="00955DB4"/>
    <w:rsid w:val="00967629"/>
    <w:rsid w:val="00970098"/>
    <w:rsid w:val="00974CF2"/>
    <w:rsid w:val="00980168"/>
    <w:rsid w:val="0098081E"/>
    <w:rsid w:val="00995837"/>
    <w:rsid w:val="009A076C"/>
    <w:rsid w:val="009C0056"/>
    <w:rsid w:val="009C0161"/>
    <w:rsid w:val="009C195E"/>
    <w:rsid w:val="009D1C84"/>
    <w:rsid w:val="009E353B"/>
    <w:rsid w:val="009E6219"/>
    <w:rsid w:val="009F3930"/>
    <w:rsid w:val="009F4B43"/>
    <w:rsid w:val="00A00672"/>
    <w:rsid w:val="00A03C7D"/>
    <w:rsid w:val="00A11777"/>
    <w:rsid w:val="00A15130"/>
    <w:rsid w:val="00A173BC"/>
    <w:rsid w:val="00A17DEF"/>
    <w:rsid w:val="00A2099E"/>
    <w:rsid w:val="00A254D7"/>
    <w:rsid w:val="00A25B48"/>
    <w:rsid w:val="00A303F3"/>
    <w:rsid w:val="00A32A2A"/>
    <w:rsid w:val="00A33C85"/>
    <w:rsid w:val="00A36C87"/>
    <w:rsid w:val="00A41206"/>
    <w:rsid w:val="00A50719"/>
    <w:rsid w:val="00A50A3A"/>
    <w:rsid w:val="00A53171"/>
    <w:rsid w:val="00A56114"/>
    <w:rsid w:val="00A63FDA"/>
    <w:rsid w:val="00A70D3F"/>
    <w:rsid w:val="00A73E09"/>
    <w:rsid w:val="00A746AE"/>
    <w:rsid w:val="00A82CD7"/>
    <w:rsid w:val="00A96364"/>
    <w:rsid w:val="00AB219B"/>
    <w:rsid w:val="00AB5B47"/>
    <w:rsid w:val="00AB65A2"/>
    <w:rsid w:val="00AB678E"/>
    <w:rsid w:val="00AC5F33"/>
    <w:rsid w:val="00AD34C3"/>
    <w:rsid w:val="00AD4689"/>
    <w:rsid w:val="00AE6A73"/>
    <w:rsid w:val="00AF22EA"/>
    <w:rsid w:val="00AF7738"/>
    <w:rsid w:val="00B01AE2"/>
    <w:rsid w:val="00B06E1A"/>
    <w:rsid w:val="00B14926"/>
    <w:rsid w:val="00B15F73"/>
    <w:rsid w:val="00B22D2F"/>
    <w:rsid w:val="00B26545"/>
    <w:rsid w:val="00B30776"/>
    <w:rsid w:val="00B46AFA"/>
    <w:rsid w:val="00B5245E"/>
    <w:rsid w:val="00B554DE"/>
    <w:rsid w:val="00B614BB"/>
    <w:rsid w:val="00B87831"/>
    <w:rsid w:val="00B94916"/>
    <w:rsid w:val="00BA066F"/>
    <w:rsid w:val="00BA1D98"/>
    <w:rsid w:val="00BB425A"/>
    <w:rsid w:val="00BC6039"/>
    <w:rsid w:val="00BD0451"/>
    <w:rsid w:val="00BD37CD"/>
    <w:rsid w:val="00BE0DC6"/>
    <w:rsid w:val="00BE65F4"/>
    <w:rsid w:val="00BF621F"/>
    <w:rsid w:val="00C05BC1"/>
    <w:rsid w:val="00C16C2A"/>
    <w:rsid w:val="00C23BE5"/>
    <w:rsid w:val="00C23D73"/>
    <w:rsid w:val="00C24D55"/>
    <w:rsid w:val="00C26704"/>
    <w:rsid w:val="00C31361"/>
    <w:rsid w:val="00C32042"/>
    <w:rsid w:val="00C35071"/>
    <w:rsid w:val="00C415E9"/>
    <w:rsid w:val="00C43D16"/>
    <w:rsid w:val="00C558C8"/>
    <w:rsid w:val="00C60E46"/>
    <w:rsid w:val="00C623D9"/>
    <w:rsid w:val="00C67E0B"/>
    <w:rsid w:val="00C73EDE"/>
    <w:rsid w:val="00C82A99"/>
    <w:rsid w:val="00C95D96"/>
    <w:rsid w:val="00C97181"/>
    <w:rsid w:val="00CA5B93"/>
    <w:rsid w:val="00CA6956"/>
    <w:rsid w:val="00CB15B7"/>
    <w:rsid w:val="00CB42B6"/>
    <w:rsid w:val="00CC2D4E"/>
    <w:rsid w:val="00CD120E"/>
    <w:rsid w:val="00CD2C22"/>
    <w:rsid w:val="00CD6C92"/>
    <w:rsid w:val="00CE10CC"/>
    <w:rsid w:val="00CF3181"/>
    <w:rsid w:val="00CF39DB"/>
    <w:rsid w:val="00CF4A9E"/>
    <w:rsid w:val="00D001B9"/>
    <w:rsid w:val="00D02817"/>
    <w:rsid w:val="00D22ACB"/>
    <w:rsid w:val="00D22C92"/>
    <w:rsid w:val="00D24E7A"/>
    <w:rsid w:val="00D317CC"/>
    <w:rsid w:val="00D35706"/>
    <w:rsid w:val="00D41309"/>
    <w:rsid w:val="00D438AB"/>
    <w:rsid w:val="00D43CBB"/>
    <w:rsid w:val="00D458A4"/>
    <w:rsid w:val="00D640D5"/>
    <w:rsid w:val="00D704DF"/>
    <w:rsid w:val="00D71D59"/>
    <w:rsid w:val="00D775DA"/>
    <w:rsid w:val="00D81109"/>
    <w:rsid w:val="00D81B7E"/>
    <w:rsid w:val="00D948DE"/>
    <w:rsid w:val="00DA3406"/>
    <w:rsid w:val="00DB22AE"/>
    <w:rsid w:val="00DB31DC"/>
    <w:rsid w:val="00DD04EC"/>
    <w:rsid w:val="00DE409A"/>
    <w:rsid w:val="00DF2C7E"/>
    <w:rsid w:val="00E0092A"/>
    <w:rsid w:val="00E01007"/>
    <w:rsid w:val="00E13ACE"/>
    <w:rsid w:val="00E1477D"/>
    <w:rsid w:val="00E15B97"/>
    <w:rsid w:val="00E35D1E"/>
    <w:rsid w:val="00E36C35"/>
    <w:rsid w:val="00E3782D"/>
    <w:rsid w:val="00E43E7D"/>
    <w:rsid w:val="00E50479"/>
    <w:rsid w:val="00E609F1"/>
    <w:rsid w:val="00E740EF"/>
    <w:rsid w:val="00E74D4A"/>
    <w:rsid w:val="00E84136"/>
    <w:rsid w:val="00E95258"/>
    <w:rsid w:val="00EA138E"/>
    <w:rsid w:val="00EB25F1"/>
    <w:rsid w:val="00EB4A9D"/>
    <w:rsid w:val="00EC0214"/>
    <w:rsid w:val="00EC5147"/>
    <w:rsid w:val="00ED0C0F"/>
    <w:rsid w:val="00ED7AEB"/>
    <w:rsid w:val="00ED7E98"/>
    <w:rsid w:val="00EE0E8B"/>
    <w:rsid w:val="00EF505A"/>
    <w:rsid w:val="00EF6F87"/>
    <w:rsid w:val="00EF6FB2"/>
    <w:rsid w:val="00F200C3"/>
    <w:rsid w:val="00F25C08"/>
    <w:rsid w:val="00F323B7"/>
    <w:rsid w:val="00F40284"/>
    <w:rsid w:val="00F6455F"/>
    <w:rsid w:val="00F75915"/>
    <w:rsid w:val="00F84358"/>
    <w:rsid w:val="00F86410"/>
    <w:rsid w:val="00F97910"/>
    <w:rsid w:val="00FA05B7"/>
    <w:rsid w:val="00FA2635"/>
    <w:rsid w:val="00FA6854"/>
    <w:rsid w:val="00FA68F7"/>
    <w:rsid w:val="00FA6DFF"/>
    <w:rsid w:val="00FC5768"/>
    <w:rsid w:val="00FC6372"/>
    <w:rsid w:val="00FD3404"/>
    <w:rsid w:val="00FE439F"/>
    <w:rsid w:val="00FE7A26"/>
    <w:rsid w:val="00FF05AA"/>
    <w:rsid w:val="00FF14A5"/>
    <w:rsid w:val="00FF61DC"/>
    <w:rsid w:val="00FF67C6"/>
    <w:rsid w:val="00FF7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41E9FE-BAF1-4DF6-8EC0-0BB194F4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A2B"/>
    <w:rPr>
      <w:rFonts w:ascii="Arial" w:hAnsi="Arial"/>
      <w:sz w:val="22"/>
      <w:lang w:val="en-GB"/>
    </w:rPr>
  </w:style>
  <w:style w:type="paragraph" w:styleId="Heading1">
    <w:name w:val="heading 1"/>
    <w:basedOn w:val="Normal"/>
    <w:next w:val="Normal"/>
    <w:qFormat/>
    <w:rsid w:val="00361066"/>
    <w:pPr>
      <w:spacing w:before="240"/>
      <w:outlineLvl w:val="0"/>
    </w:pPr>
    <w:rPr>
      <w:b/>
      <w:u w:val="single"/>
    </w:rPr>
  </w:style>
  <w:style w:type="paragraph" w:styleId="Heading2">
    <w:name w:val="heading 2"/>
    <w:basedOn w:val="Normal"/>
    <w:next w:val="Normal"/>
    <w:qFormat/>
    <w:rsid w:val="00625163"/>
    <w:pPr>
      <w:spacing w:before="120"/>
      <w:outlineLvl w:val="1"/>
    </w:pPr>
    <w:rPr>
      <w:b/>
    </w:rPr>
  </w:style>
  <w:style w:type="paragraph" w:styleId="Heading3">
    <w:name w:val="heading 3"/>
    <w:basedOn w:val="Normal"/>
    <w:next w:val="NormalIndent"/>
    <w:qFormat/>
    <w:rsid w:val="00361066"/>
    <w:pPr>
      <w:numPr>
        <w:ilvl w:val="2"/>
        <w:numId w:val="5"/>
      </w:numPr>
      <w:outlineLvl w:val="2"/>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361066"/>
    <w:pPr>
      <w:ind w:left="720"/>
    </w:pPr>
  </w:style>
  <w:style w:type="paragraph" w:styleId="Footer">
    <w:name w:val="footer"/>
    <w:basedOn w:val="Normal"/>
    <w:link w:val="FooterChar"/>
    <w:uiPriority w:val="99"/>
    <w:rsid w:val="00361066"/>
    <w:pPr>
      <w:tabs>
        <w:tab w:val="center" w:pos="4819"/>
        <w:tab w:val="right" w:pos="9071"/>
      </w:tabs>
    </w:pPr>
  </w:style>
  <w:style w:type="paragraph" w:styleId="Header">
    <w:name w:val="header"/>
    <w:basedOn w:val="Normal"/>
    <w:link w:val="HeaderChar"/>
    <w:uiPriority w:val="99"/>
    <w:rsid w:val="00361066"/>
    <w:pPr>
      <w:tabs>
        <w:tab w:val="center" w:pos="4819"/>
        <w:tab w:val="right" w:pos="9071"/>
      </w:tabs>
    </w:pPr>
  </w:style>
  <w:style w:type="paragraph" w:styleId="Title">
    <w:name w:val="Title"/>
    <w:basedOn w:val="Normal"/>
    <w:qFormat/>
    <w:rsid w:val="00361066"/>
    <w:pPr>
      <w:jc w:val="center"/>
    </w:pPr>
    <w:rPr>
      <w:rFonts w:ascii="Times New Roman" w:hAnsi="Times New Roman"/>
      <w:b/>
      <w:sz w:val="28"/>
    </w:rPr>
  </w:style>
  <w:style w:type="paragraph" w:styleId="Subtitle">
    <w:name w:val="Subtitle"/>
    <w:basedOn w:val="Normal"/>
    <w:qFormat/>
    <w:rsid w:val="00361066"/>
    <w:pPr>
      <w:jc w:val="center"/>
    </w:pPr>
    <w:rPr>
      <w:rFonts w:ascii="Times New Roman" w:hAnsi="Times New Roman"/>
      <w:b/>
      <w:sz w:val="28"/>
    </w:rPr>
  </w:style>
  <w:style w:type="numbering" w:styleId="1ai">
    <w:name w:val="Outline List 1"/>
    <w:aliases w:val="AER Numbered List"/>
    <w:basedOn w:val="NoList"/>
    <w:rsid w:val="00361066"/>
    <w:pPr>
      <w:numPr>
        <w:numId w:val="1"/>
      </w:numPr>
    </w:pPr>
  </w:style>
  <w:style w:type="paragraph" w:customStyle="1" w:styleId="AERbodytext">
    <w:name w:val="AER body text"/>
    <w:basedOn w:val="Normal"/>
    <w:link w:val="AERbodytextChar"/>
    <w:qFormat/>
    <w:rsid w:val="00361066"/>
    <w:pPr>
      <w:spacing w:after="240"/>
    </w:pPr>
    <w:rPr>
      <w:rFonts w:ascii="Times New Roman" w:hAnsi="Times New Roman"/>
      <w:lang w:val="en-AU"/>
    </w:rPr>
  </w:style>
  <w:style w:type="character" w:customStyle="1" w:styleId="AERbodytextChar">
    <w:name w:val="AER body text Char"/>
    <w:basedOn w:val="DefaultParagraphFont"/>
    <w:link w:val="AERbodytext"/>
    <w:rsid w:val="00361066"/>
    <w:rPr>
      <w:sz w:val="24"/>
      <w:lang w:val="en-AU" w:eastAsia="en-AU" w:bidi="ar-SA"/>
    </w:rPr>
  </w:style>
  <w:style w:type="paragraph" w:customStyle="1" w:styleId="AERBullet1">
    <w:name w:val="AER Bullet 1"/>
    <w:basedOn w:val="AERbodytext"/>
    <w:rsid w:val="00361066"/>
    <w:pPr>
      <w:numPr>
        <w:numId w:val="2"/>
      </w:numPr>
      <w:ind w:hanging="3"/>
    </w:pPr>
  </w:style>
  <w:style w:type="paragraph" w:customStyle="1" w:styleId="AERBullet2">
    <w:name w:val="AER Bullet 2"/>
    <w:basedOn w:val="AERbodytext"/>
    <w:rsid w:val="00361066"/>
    <w:pPr>
      <w:numPr>
        <w:numId w:val="3"/>
      </w:numPr>
      <w:tabs>
        <w:tab w:val="clear" w:pos="360"/>
        <w:tab w:val="num" w:pos="432"/>
      </w:tabs>
      <w:ind w:left="432" w:hanging="432"/>
    </w:pPr>
    <w:rPr>
      <w:szCs w:val="24"/>
    </w:rPr>
  </w:style>
  <w:style w:type="paragraph" w:customStyle="1" w:styleId="AERBullet3">
    <w:name w:val="AER Bullet 3"/>
    <w:basedOn w:val="AERbodytext"/>
    <w:rsid w:val="00361066"/>
    <w:pPr>
      <w:numPr>
        <w:numId w:val="4"/>
      </w:numPr>
      <w:tabs>
        <w:tab w:val="clear" w:pos="360"/>
        <w:tab w:val="num" w:pos="432"/>
      </w:tabs>
      <w:ind w:left="432" w:hanging="432"/>
    </w:pPr>
  </w:style>
  <w:style w:type="paragraph" w:customStyle="1" w:styleId="AERBulletone">
    <w:name w:val="AER Bullet one"/>
    <w:basedOn w:val="Normal"/>
    <w:rsid w:val="00361066"/>
    <w:pPr>
      <w:spacing w:after="240"/>
    </w:pPr>
    <w:rPr>
      <w:rFonts w:ascii="Times New Roman" w:hAnsi="Times New Roman"/>
      <w:lang w:val="en-AU"/>
    </w:rPr>
  </w:style>
  <w:style w:type="paragraph" w:customStyle="1" w:styleId="AERbulletthree">
    <w:name w:val="AER bullet three"/>
    <w:basedOn w:val="Normal"/>
    <w:rsid w:val="00361066"/>
    <w:pPr>
      <w:spacing w:after="240"/>
    </w:pPr>
    <w:rPr>
      <w:rFonts w:ascii="Times New Roman" w:hAnsi="Times New Roman"/>
      <w:lang w:val="en-AU"/>
    </w:rPr>
  </w:style>
  <w:style w:type="paragraph" w:customStyle="1" w:styleId="AERbullettwo">
    <w:name w:val="AER bullet two"/>
    <w:basedOn w:val="AERbodytext"/>
    <w:rsid w:val="00361066"/>
    <w:rPr>
      <w:szCs w:val="24"/>
    </w:rPr>
  </w:style>
  <w:style w:type="character" w:customStyle="1" w:styleId="AERCopyrighttext">
    <w:name w:val="AER Copyright text"/>
    <w:basedOn w:val="AERbodytextChar"/>
    <w:rsid w:val="00361066"/>
    <w:rPr>
      <w:rFonts w:ascii="Times New Roman" w:hAnsi="Times New Roman"/>
      <w:sz w:val="20"/>
      <w:lang w:val="en-AU" w:eastAsia="en-AU" w:bidi="ar-SA"/>
    </w:rPr>
  </w:style>
  <w:style w:type="paragraph" w:customStyle="1" w:styleId="AERfootnote">
    <w:name w:val="AER footnote"/>
    <w:basedOn w:val="AERbodytext"/>
    <w:link w:val="AERfootnoteChar"/>
    <w:rsid w:val="00361066"/>
    <w:pPr>
      <w:tabs>
        <w:tab w:val="left" w:pos="567"/>
      </w:tabs>
      <w:spacing w:after="80"/>
      <w:ind w:left="567" w:hanging="567"/>
    </w:pPr>
    <w:rPr>
      <w:sz w:val="18"/>
    </w:rPr>
  </w:style>
  <w:style w:type="character" w:customStyle="1" w:styleId="AERfootnoteChar">
    <w:name w:val="AER footnote Char"/>
    <w:basedOn w:val="DefaultParagraphFont"/>
    <w:link w:val="AERfootnote"/>
    <w:rsid w:val="00361066"/>
    <w:rPr>
      <w:sz w:val="18"/>
      <w:lang w:val="en-AU" w:eastAsia="en-AU" w:bidi="ar-SA"/>
    </w:rPr>
  </w:style>
  <w:style w:type="character" w:customStyle="1" w:styleId="AERfootnotereference">
    <w:name w:val="AER footnote reference"/>
    <w:basedOn w:val="FootnoteReference"/>
    <w:rsid w:val="00361066"/>
    <w:rPr>
      <w:rFonts w:ascii="Times New Roman" w:hAnsi="Times New Roman"/>
      <w:bCs/>
      <w:sz w:val="18"/>
      <w:vertAlign w:val="superscript"/>
      <w:lang w:val="en-AU" w:eastAsia="en-AU" w:bidi="ar-SA"/>
    </w:rPr>
  </w:style>
  <w:style w:type="character" w:styleId="FootnoteReference">
    <w:name w:val="footnote reference"/>
    <w:basedOn w:val="DefaultParagraphFont"/>
    <w:uiPriority w:val="99"/>
    <w:semiHidden/>
    <w:rsid w:val="00361066"/>
    <w:rPr>
      <w:vertAlign w:val="superscript"/>
    </w:rPr>
  </w:style>
  <w:style w:type="paragraph" w:customStyle="1" w:styleId="AERheading1">
    <w:name w:val="AER heading 1"/>
    <w:basedOn w:val="Heading1"/>
    <w:next w:val="AERbodytext"/>
    <w:rsid w:val="00361066"/>
    <w:pPr>
      <w:keepNext/>
      <w:numPr>
        <w:numId w:val="5"/>
      </w:numPr>
      <w:spacing w:before="0" w:after="480"/>
    </w:pPr>
    <w:rPr>
      <w:rFonts w:ascii="Times New Roman" w:hAnsi="Times New Roman"/>
      <w:sz w:val="36"/>
      <w:szCs w:val="36"/>
      <w:u w:val="none"/>
      <w:lang w:val="en-AU"/>
    </w:rPr>
  </w:style>
  <w:style w:type="paragraph" w:customStyle="1" w:styleId="AERheading2">
    <w:name w:val="AER heading 2"/>
    <w:basedOn w:val="Heading2"/>
    <w:next w:val="AERbodytext"/>
    <w:rsid w:val="00361066"/>
    <w:pPr>
      <w:keepNext/>
      <w:spacing w:before="240" w:after="240"/>
    </w:pPr>
    <w:rPr>
      <w:rFonts w:ascii="Times New Roman" w:hAnsi="Times New Roman"/>
      <w:sz w:val="30"/>
      <w:szCs w:val="28"/>
      <w:lang w:val="en-AU"/>
    </w:rPr>
  </w:style>
  <w:style w:type="paragraph" w:customStyle="1" w:styleId="AERHeading3">
    <w:name w:val="AER Heading 3"/>
    <w:basedOn w:val="Heading3"/>
    <w:next w:val="AERbodytext"/>
    <w:rsid w:val="00361066"/>
    <w:pPr>
      <w:keepNext/>
      <w:numPr>
        <w:ilvl w:val="0"/>
        <w:numId w:val="0"/>
      </w:numPr>
      <w:spacing w:before="120" w:after="120"/>
    </w:pPr>
    <w:rPr>
      <w:rFonts w:ascii="Times New Roman" w:hAnsi="Times New Roman"/>
      <w:lang w:val="en-AU"/>
    </w:rPr>
  </w:style>
  <w:style w:type="paragraph" w:customStyle="1" w:styleId="AERHeading4">
    <w:name w:val="AER Heading 4"/>
    <w:basedOn w:val="AERbodytext"/>
    <w:next w:val="AERbodytext"/>
    <w:rsid w:val="00361066"/>
    <w:pPr>
      <w:keepNext/>
      <w:spacing w:after="120"/>
    </w:pPr>
    <w:rPr>
      <w:b/>
      <w:i/>
    </w:rPr>
  </w:style>
  <w:style w:type="paragraph" w:customStyle="1" w:styleId="AERHeading5">
    <w:name w:val="AER Heading 5"/>
    <w:basedOn w:val="AERbodytext"/>
    <w:next w:val="AERbodytext"/>
    <w:rsid w:val="00361066"/>
    <w:pPr>
      <w:keepNext/>
      <w:spacing w:before="240" w:after="120"/>
    </w:pPr>
    <w:rPr>
      <w:i/>
    </w:rPr>
  </w:style>
  <w:style w:type="paragraph" w:customStyle="1" w:styleId="AERquotestyle">
    <w:name w:val="AER quote style"/>
    <w:basedOn w:val="AERbodytext"/>
    <w:rsid w:val="00361066"/>
    <w:pPr>
      <w:ind w:left="357" w:right="357"/>
    </w:pPr>
    <w:rPr>
      <w:sz w:val="20"/>
    </w:rPr>
  </w:style>
  <w:style w:type="paragraph" w:customStyle="1" w:styleId="AERReporttitleDate">
    <w:name w:val="AER Report title Date"/>
    <w:basedOn w:val="AERbodytext"/>
    <w:rsid w:val="00361066"/>
    <w:pPr>
      <w:jc w:val="center"/>
    </w:pPr>
    <w:rPr>
      <w:b/>
      <w:sz w:val="28"/>
      <w:szCs w:val="28"/>
    </w:rPr>
  </w:style>
  <w:style w:type="paragraph" w:customStyle="1" w:styleId="AERtable">
    <w:name w:val="AER table"/>
    <w:basedOn w:val="AERbodytext"/>
    <w:link w:val="AERtableChar"/>
    <w:rsid w:val="00361066"/>
    <w:pPr>
      <w:framePr w:hSpace="180" w:wrap="around" w:vAnchor="text" w:hAnchor="text" w:y="1"/>
      <w:tabs>
        <w:tab w:val="left" w:pos="0"/>
        <w:tab w:val="left" w:pos="360"/>
        <w:tab w:val="right" w:leader="dot" w:pos="8453"/>
      </w:tabs>
      <w:spacing w:before="60" w:after="60"/>
      <w:ind w:left="72" w:hanging="72"/>
      <w:suppressOverlap/>
    </w:pPr>
  </w:style>
  <w:style w:type="paragraph" w:customStyle="1" w:styleId="AERTableFigureheading">
    <w:name w:val="AER Table &amp; Figure heading"/>
    <w:basedOn w:val="Normal"/>
    <w:rsid w:val="00361066"/>
    <w:pPr>
      <w:keepNext/>
      <w:tabs>
        <w:tab w:val="left" w:pos="360"/>
        <w:tab w:val="right" w:leader="dot" w:pos="8453"/>
      </w:tabs>
      <w:spacing w:before="120" w:after="120"/>
      <w:ind w:left="1134" w:hanging="1134"/>
    </w:pPr>
    <w:rPr>
      <w:rFonts w:ascii="Times New Roman" w:hAnsi="Times New Roman"/>
      <w:b/>
      <w:lang w:val="en-AU"/>
    </w:rPr>
  </w:style>
  <w:style w:type="character" w:customStyle="1" w:styleId="AERtableChar">
    <w:name w:val="AER table Char"/>
    <w:basedOn w:val="DefaultParagraphFont"/>
    <w:link w:val="AERtable"/>
    <w:rsid w:val="00361066"/>
    <w:rPr>
      <w:sz w:val="24"/>
      <w:lang w:val="en-AU" w:eastAsia="en-AU" w:bidi="ar-SA"/>
    </w:rPr>
  </w:style>
  <w:style w:type="paragraph" w:customStyle="1" w:styleId="AERtablesources">
    <w:name w:val="AER table sources"/>
    <w:basedOn w:val="AERbodytext"/>
    <w:next w:val="AERbodytext"/>
    <w:rsid w:val="00361066"/>
    <w:pPr>
      <w:spacing w:before="60"/>
    </w:pPr>
    <w:rPr>
      <w:sz w:val="20"/>
    </w:rPr>
  </w:style>
  <w:style w:type="paragraph" w:customStyle="1" w:styleId="AERtextbox">
    <w:name w:val="AER textbox"/>
    <w:basedOn w:val="AERbodytext"/>
    <w:rsid w:val="00361066"/>
    <w:pPr>
      <w:pBdr>
        <w:top w:val="single" w:sz="4" w:space="5" w:color="auto"/>
        <w:left w:val="single" w:sz="4" w:space="5" w:color="auto"/>
        <w:bottom w:val="single" w:sz="4" w:space="5" w:color="auto"/>
        <w:right w:val="single" w:sz="4" w:space="5" w:color="auto"/>
      </w:pBdr>
    </w:pPr>
  </w:style>
  <w:style w:type="character" w:styleId="PageNumber">
    <w:name w:val="page number"/>
    <w:basedOn w:val="DefaultParagraphFont"/>
    <w:rsid w:val="00C73EDE"/>
  </w:style>
  <w:style w:type="paragraph" w:styleId="ListParagraph">
    <w:name w:val="List Paragraph"/>
    <w:basedOn w:val="Normal"/>
    <w:uiPriority w:val="34"/>
    <w:qFormat/>
    <w:rsid w:val="00955DB4"/>
    <w:pPr>
      <w:ind w:left="720"/>
    </w:pPr>
    <w:rPr>
      <w:rFonts w:ascii="Calibri" w:eastAsia="Calibri" w:hAnsi="Calibri"/>
      <w:szCs w:val="22"/>
      <w:lang w:val="en-AU"/>
    </w:rPr>
  </w:style>
  <w:style w:type="paragraph" w:customStyle="1" w:styleId="AERunnumberedheading2">
    <w:name w:val="AER unnumbered heading 2"/>
    <w:basedOn w:val="Normal"/>
    <w:next w:val="AERbodytext"/>
    <w:rsid w:val="0040792B"/>
    <w:pPr>
      <w:keepNext/>
      <w:tabs>
        <w:tab w:val="left" w:pos="851"/>
      </w:tabs>
      <w:spacing w:before="240" w:after="120"/>
    </w:pPr>
    <w:rPr>
      <w:rFonts w:ascii="Arial Bold" w:hAnsi="Arial Bold"/>
      <w:sz w:val="30"/>
      <w:szCs w:val="24"/>
      <w:lang w:val="en-AU" w:eastAsia="en-US"/>
    </w:rPr>
  </w:style>
  <w:style w:type="paragraph" w:styleId="BalloonText">
    <w:name w:val="Balloon Text"/>
    <w:basedOn w:val="Normal"/>
    <w:link w:val="BalloonTextChar"/>
    <w:uiPriority w:val="99"/>
    <w:rsid w:val="008A0173"/>
    <w:rPr>
      <w:rFonts w:ascii="Tahoma" w:hAnsi="Tahoma" w:cs="Tahoma"/>
      <w:sz w:val="16"/>
      <w:szCs w:val="16"/>
    </w:rPr>
  </w:style>
  <w:style w:type="character" w:customStyle="1" w:styleId="BalloonTextChar">
    <w:name w:val="Balloon Text Char"/>
    <w:basedOn w:val="DefaultParagraphFont"/>
    <w:link w:val="BalloonText"/>
    <w:uiPriority w:val="99"/>
    <w:rsid w:val="008A0173"/>
    <w:rPr>
      <w:rFonts w:ascii="Tahoma" w:hAnsi="Tahoma" w:cs="Tahoma"/>
      <w:sz w:val="16"/>
      <w:szCs w:val="16"/>
      <w:lang w:val="en-GB"/>
    </w:rPr>
  </w:style>
  <w:style w:type="character" w:styleId="CommentReference">
    <w:name w:val="annotation reference"/>
    <w:basedOn w:val="DefaultParagraphFont"/>
    <w:rsid w:val="00EB25F1"/>
    <w:rPr>
      <w:sz w:val="16"/>
      <w:szCs w:val="16"/>
    </w:rPr>
  </w:style>
  <w:style w:type="paragraph" w:styleId="CommentText">
    <w:name w:val="annotation text"/>
    <w:basedOn w:val="Normal"/>
    <w:link w:val="CommentTextChar"/>
    <w:rsid w:val="00EB25F1"/>
    <w:rPr>
      <w:sz w:val="20"/>
    </w:rPr>
  </w:style>
  <w:style w:type="character" w:customStyle="1" w:styleId="CommentTextChar">
    <w:name w:val="Comment Text Char"/>
    <w:basedOn w:val="DefaultParagraphFont"/>
    <w:link w:val="CommentText"/>
    <w:rsid w:val="00EB25F1"/>
    <w:rPr>
      <w:rFonts w:ascii="Arial" w:hAnsi="Arial"/>
      <w:lang w:val="en-GB"/>
    </w:rPr>
  </w:style>
  <w:style w:type="paragraph" w:styleId="CommentSubject">
    <w:name w:val="annotation subject"/>
    <w:basedOn w:val="CommentText"/>
    <w:next w:val="CommentText"/>
    <w:link w:val="CommentSubjectChar"/>
    <w:uiPriority w:val="99"/>
    <w:rsid w:val="00EB25F1"/>
    <w:rPr>
      <w:b/>
      <w:bCs/>
    </w:rPr>
  </w:style>
  <w:style w:type="character" w:customStyle="1" w:styleId="CommentSubjectChar">
    <w:name w:val="Comment Subject Char"/>
    <w:basedOn w:val="CommentTextChar"/>
    <w:link w:val="CommentSubject"/>
    <w:uiPriority w:val="99"/>
    <w:rsid w:val="00EB25F1"/>
    <w:rPr>
      <w:rFonts w:ascii="Arial" w:hAnsi="Arial"/>
      <w:b/>
      <w:bCs/>
      <w:lang w:val="en-GB"/>
    </w:rPr>
  </w:style>
  <w:style w:type="paragraph" w:styleId="FootnoteText">
    <w:name w:val="footnote text"/>
    <w:basedOn w:val="Normal"/>
    <w:link w:val="FootnoteTextChar"/>
    <w:uiPriority w:val="99"/>
    <w:rsid w:val="0083020F"/>
    <w:rPr>
      <w:sz w:val="20"/>
    </w:rPr>
  </w:style>
  <w:style w:type="character" w:customStyle="1" w:styleId="FootnoteTextChar">
    <w:name w:val="Footnote Text Char"/>
    <w:basedOn w:val="DefaultParagraphFont"/>
    <w:link w:val="FootnoteText"/>
    <w:uiPriority w:val="99"/>
    <w:rsid w:val="0083020F"/>
    <w:rPr>
      <w:rFonts w:ascii="Arial" w:hAnsi="Arial"/>
      <w:lang w:val="en-GB"/>
    </w:rPr>
  </w:style>
  <w:style w:type="character" w:styleId="Hyperlink">
    <w:name w:val="Hyperlink"/>
    <w:basedOn w:val="DefaultParagraphFont"/>
    <w:uiPriority w:val="99"/>
    <w:unhideWhenUsed/>
    <w:rsid w:val="00FF61DC"/>
    <w:rPr>
      <w:color w:val="0000FF"/>
      <w:u w:val="single"/>
    </w:rPr>
  </w:style>
  <w:style w:type="character" w:customStyle="1" w:styleId="st1">
    <w:name w:val="st1"/>
    <w:basedOn w:val="DefaultParagraphFont"/>
    <w:rsid w:val="006B7963"/>
  </w:style>
  <w:style w:type="table" w:styleId="TableGrid">
    <w:name w:val="Table Grid"/>
    <w:basedOn w:val="TableNormal"/>
    <w:rsid w:val="00C3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5071"/>
    <w:pPr>
      <w:spacing w:after="240"/>
    </w:pPr>
    <w:rPr>
      <w:rFonts w:ascii="Times New Roman" w:hAnsi="Times New Roman"/>
      <w:szCs w:val="24"/>
      <w:lang w:val="en-AU"/>
    </w:rPr>
  </w:style>
  <w:style w:type="character" w:customStyle="1" w:styleId="HeaderChar">
    <w:name w:val="Header Char"/>
    <w:basedOn w:val="DefaultParagraphFont"/>
    <w:link w:val="Header"/>
    <w:uiPriority w:val="99"/>
    <w:rsid w:val="00784506"/>
    <w:rPr>
      <w:rFonts w:ascii="Arial" w:hAnsi="Arial"/>
      <w:sz w:val="24"/>
      <w:lang w:val="en-GB"/>
    </w:rPr>
  </w:style>
  <w:style w:type="character" w:customStyle="1" w:styleId="FooterChar">
    <w:name w:val="Footer Char"/>
    <w:basedOn w:val="DefaultParagraphFont"/>
    <w:link w:val="Footer"/>
    <w:uiPriority w:val="99"/>
    <w:rsid w:val="00784506"/>
    <w:rPr>
      <w:rFonts w:ascii="Arial" w:hAnsi="Arial"/>
      <w:sz w:val="24"/>
      <w:lang w:val="en-GB"/>
    </w:rPr>
  </w:style>
  <w:style w:type="table" w:styleId="MediumShading1-Accent1">
    <w:name w:val="Medium Shading 1 Accent 1"/>
    <w:basedOn w:val="TableNormal"/>
    <w:uiPriority w:val="63"/>
    <w:rsid w:val="008F652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5652">
      <w:bodyDiv w:val="1"/>
      <w:marLeft w:val="0"/>
      <w:marRight w:val="0"/>
      <w:marTop w:val="0"/>
      <w:marBottom w:val="0"/>
      <w:divBdr>
        <w:top w:val="none" w:sz="0" w:space="0" w:color="auto"/>
        <w:left w:val="none" w:sz="0" w:space="0" w:color="auto"/>
        <w:bottom w:val="none" w:sz="0" w:space="0" w:color="auto"/>
        <w:right w:val="none" w:sz="0" w:space="0" w:color="auto"/>
      </w:divBdr>
    </w:div>
    <w:div w:id="346752819">
      <w:bodyDiv w:val="1"/>
      <w:marLeft w:val="0"/>
      <w:marRight w:val="0"/>
      <w:marTop w:val="0"/>
      <w:marBottom w:val="0"/>
      <w:divBdr>
        <w:top w:val="none" w:sz="0" w:space="0" w:color="auto"/>
        <w:left w:val="none" w:sz="0" w:space="0" w:color="auto"/>
        <w:bottom w:val="none" w:sz="0" w:space="0" w:color="auto"/>
        <w:right w:val="none" w:sz="0" w:space="0" w:color="auto"/>
      </w:divBdr>
      <w:divsChild>
        <w:div w:id="1561668151">
          <w:marLeft w:val="0"/>
          <w:marRight w:val="0"/>
          <w:marTop w:val="0"/>
          <w:marBottom w:val="0"/>
          <w:divBdr>
            <w:top w:val="none" w:sz="0" w:space="0" w:color="auto"/>
            <w:left w:val="none" w:sz="0" w:space="0" w:color="auto"/>
            <w:bottom w:val="none" w:sz="0" w:space="0" w:color="auto"/>
            <w:right w:val="none" w:sz="0" w:space="0" w:color="auto"/>
          </w:divBdr>
          <w:divsChild>
            <w:div w:id="1823352427">
              <w:marLeft w:val="0"/>
              <w:marRight w:val="0"/>
              <w:marTop w:val="0"/>
              <w:marBottom w:val="0"/>
              <w:divBdr>
                <w:top w:val="none" w:sz="0" w:space="0" w:color="auto"/>
                <w:left w:val="none" w:sz="0" w:space="0" w:color="auto"/>
                <w:bottom w:val="none" w:sz="0" w:space="0" w:color="auto"/>
                <w:right w:val="none" w:sz="0" w:space="0" w:color="auto"/>
              </w:divBdr>
              <w:divsChild>
                <w:div w:id="2051300775">
                  <w:marLeft w:val="0"/>
                  <w:marRight w:val="0"/>
                  <w:marTop w:val="0"/>
                  <w:marBottom w:val="0"/>
                  <w:divBdr>
                    <w:top w:val="none" w:sz="0" w:space="0" w:color="auto"/>
                    <w:left w:val="none" w:sz="0" w:space="0" w:color="auto"/>
                    <w:bottom w:val="none" w:sz="0" w:space="0" w:color="auto"/>
                    <w:right w:val="none" w:sz="0" w:space="0" w:color="auto"/>
                  </w:divBdr>
                  <w:divsChild>
                    <w:div w:id="1949963248">
                      <w:marLeft w:val="0"/>
                      <w:marRight w:val="0"/>
                      <w:marTop w:val="0"/>
                      <w:marBottom w:val="0"/>
                      <w:divBdr>
                        <w:top w:val="none" w:sz="0" w:space="0" w:color="auto"/>
                        <w:left w:val="none" w:sz="0" w:space="0" w:color="auto"/>
                        <w:bottom w:val="none" w:sz="0" w:space="0" w:color="auto"/>
                        <w:right w:val="none" w:sz="0" w:space="0" w:color="auto"/>
                      </w:divBdr>
                      <w:divsChild>
                        <w:div w:id="1607276849">
                          <w:marLeft w:val="0"/>
                          <w:marRight w:val="0"/>
                          <w:marTop w:val="0"/>
                          <w:marBottom w:val="0"/>
                          <w:divBdr>
                            <w:top w:val="none" w:sz="0" w:space="0" w:color="auto"/>
                            <w:left w:val="none" w:sz="0" w:space="0" w:color="auto"/>
                            <w:bottom w:val="none" w:sz="0" w:space="0" w:color="auto"/>
                            <w:right w:val="none" w:sz="0" w:space="0" w:color="auto"/>
                          </w:divBdr>
                          <w:divsChild>
                            <w:div w:id="302122544">
                              <w:marLeft w:val="0"/>
                              <w:marRight w:val="0"/>
                              <w:marTop w:val="0"/>
                              <w:marBottom w:val="0"/>
                              <w:divBdr>
                                <w:top w:val="none" w:sz="0" w:space="0" w:color="auto"/>
                                <w:left w:val="none" w:sz="0" w:space="0" w:color="auto"/>
                                <w:bottom w:val="none" w:sz="0" w:space="0" w:color="auto"/>
                                <w:right w:val="none" w:sz="0" w:space="0" w:color="auto"/>
                              </w:divBdr>
                              <w:divsChild>
                                <w:div w:id="1511332129">
                                  <w:marLeft w:val="0"/>
                                  <w:marRight w:val="0"/>
                                  <w:marTop w:val="0"/>
                                  <w:marBottom w:val="0"/>
                                  <w:divBdr>
                                    <w:top w:val="none" w:sz="0" w:space="0" w:color="auto"/>
                                    <w:left w:val="none" w:sz="0" w:space="0" w:color="auto"/>
                                    <w:bottom w:val="none" w:sz="0" w:space="0" w:color="auto"/>
                                    <w:right w:val="none" w:sz="0" w:space="0" w:color="auto"/>
                                  </w:divBdr>
                                  <w:divsChild>
                                    <w:div w:id="2086994092">
                                      <w:marLeft w:val="240"/>
                                      <w:marRight w:val="240"/>
                                      <w:marTop w:val="240"/>
                                      <w:marBottom w:val="0"/>
                                      <w:divBdr>
                                        <w:top w:val="none" w:sz="0" w:space="0" w:color="auto"/>
                                        <w:left w:val="none" w:sz="0" w:space="0" w:color="auto"/>
                                        <w:bottom w:val="none" w:sz="0" w:space="0" w:color="auto"/>
                                        <w:right w:val="none" w:sz="0" w:space="0" w:color="auto"/>
                                      </w:divBdr>
                                      <w:divsChild>
                                        <w:div w:id="761754345">
                                          <w:marLeft w:val="0"/>
                                          <w:marRight w:val="0"/>
                                          <w:marTop w:val="0"/>
                                          <w:marBottom w:val="0"/>
                                          <w:divBdr>
                                            <w:top w:val="none" w:sz="0" w:space="0" w:color="auto"/>
                                            <w:left w:val="none" w:sz="0" w:space="0" w:color="auto"/>
                                            <w:bottom w:val="none" w:sz="0" w:space="0" w:color="auto"/>
                                            <w:right w:val="none" w:sz="0" w:space="0" w:color="auto"/>
                                          </w:divBdr>
                                          <w:divsChild>
                                            <w:div w:id="14268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735633">
      <w:bodyDiv w:val="1"/>
      <w:marLeft w:val="0"/>
      <w:marRight w:val="0"/>
      <w:marTop w:val="0"/>
      <w:marBottom w:val="0"/>
      <w:divBdr>
        <w:top w:val="none" w:sz="0" w:space="0" w:color="auto"/>
        <w:left w:val="none" w:sz="0" w:space="0" w:color="auto"/>
        <w:bottom w:val="none" w:sz="0" w:space="0" w:color="auto"/>
        <w:right w:val="none" w:sz="0" w:space="0" w:color="auto"/>
      </w:divBdr>
    </w:div>
    <w:div w:id="863245382">
      <w:bodyDiv w:val="1"/>
      <w:marLeft w:val="0"/>
      <w:marRight w:val="0"/>
      <w:marTop w:val="0"/>
      <w:marBottom w:val="0"/>
      <w:divBdr>
        <w:top w:val="none" w:sz="0" w:space="0" w:color="auto"/>
        <w:left w:val="none" w:sz="0" w:space="0" w:color="auto"/>
        <w:bottom w:val="none" w:sz="0" w:space="0" w:color="auto"/>
        <w:right w:val="none" w:sz="0" w:space="0" w:color="auto"/>
      </w:divBdr>
    </w:div>
    <w:div w:id="965625404">
      <w:bodyDiv w:val="1"/>
      <w:marLeft w:val="0"/>
      <w:marRight w:val="0"/>
      <w:marTop w:val="0"/>
      <w:marBottom w:val="0"/>
      <w:divBdr>
        <w:top w:val="none" w:sz="0" w:space="0" w:color="auto"/>
        <w:left w:val="none" w:sz="0" w:space="0" w:color="auto"/>
        <w:bottom w:val="none" w:sz="0" w:space="0" w:color="auto"/>
        <w:right w:val="none" w:sz="0" w:space="0" w:color="auto"/>
      </w:divBdr>
    </w:div>
    <w:div w:id="1061826235">
      <w:bodyDiv w:val="1"/>
      <w:marLeft w:val="0"/>
      <w:marRight w:val="0"/>
      <w:marTop w:val="0"/>
      <w:marBottom w:val="0"/>
      <w:divBdr>
        <w:top w:val="none" w:sz="0" w:space="0" w:color="auto"/>
        <w:left w:val="none" w:sz="0" w:space="0" w:color="auto"/>
        <w:bottom w:val="none" w:sz="0" w:space="0" w:color="auto"/>
        <w:right w:val="none" w:sz="0" w:space="0" w:color="auto"/>
      </w:divBdr>
    </w:div>
    <w:div w:id="1102454440">
      <w:bodyDiv w:val="1"/>
      <w:marLeft w:val="0"/>
      <w:marRight w:val="0"/>
      <w:marTop w:val="0"/>
      <w:marBottom w:val="0"/>
      <w:divBdr>
        <w:top w:val="none" w:sz="0" w:space="0" w:color="auto"/>
        <w:left w:val="none" w:sz="0" w:space="0" w:color="auto"/>
        <w:bottom w:val="none" w:sz="0" w:space="0" w:color="auto"/>
        <w:right w:val="none" w:sz="0" w:space="0" w:color="auto"/>
      </w:divBdr>
    </w:div>
    <w:div w:id="1784491197">
      <w:bodyDiv w:val="1"/>
      <w:marLeft w:val="0"/>
      <w:marRight w:val="0"/>
      <w:marTop w:val="0"/>
      <w:marBottom w:val="0"/>
      <w:divBdr>
        <w:top w:val="none" w:sz="0" w:space="0" w:color="auto"/>
        <w:left w:val="none" w:sz="0" w:space="0" w:color="auto"/>
        <w:bottom w:val="none" w:sz="0" w:space="0" w:color="auto"/>
        <w:right w:val="none" w:sz="0" w:space="0" w:color="auto"/>
      </w:divBdr>
    </w:div>
    <w:div w:id="1930456431">
      <w:bodyDiv w:val="1"/>
      <w:marLeft w:val="0"/>
      <w:marRight w:val="0"/>
      <w:marTop w:val="0"/>
      <w:marBottom w:val="0"/>
      <w:divBdr>
        <w:top w:val="none" w:sz="0" w:space="0" w:color="auto"/>
        <w:left w:val="none" w:sz="0" w:space="0" w:color="auto"/>
        <w:bottom w:val="none" w:sz="0" w:space="0" w:color="auto"/>
        <w:right w:val="none" w:sz="0" w:space="0" w:color="auto"/>
      </w:divBdr>
    </w:div>
    <w:div w:id="2022051600">
      <w:bodyDiv w:val="1"/>
      <w:marLeft w:val="0"/>
      <w:marRight w:val="0"/>
      <w:marTop w:val="0"/>
      <w:marBottom w:val="0"/>
      <w:divBdr>
        <w:top w:val="none" w:sz="0" w:space="0" w:color="auto"/>
        <w:left w:val="none" w:sz="0" w:space="0" w:color="auto"/>
        <w:bottom w:val="none" w:sz="0" w:space="0" w:color="auto"/>
        <w:right w:val="none" w:sz="0" w:space="0" w:color="auto"/>
      </w:divBdr>
    </w:div>
    <w:div w:id="2038771914">
      <w:bodyDiv w:val="1"/>
      <w:marLeft w:val="0"/>
      <w:marRight w:val="0"/>
      <w:marTop w:val="0"/>
      <w:marBottom w:val="0"/>
      <w:divBdr>
        <w:top w:val="none" w:sz="0" w:space="0" w:color="auto"/>
        <w:left w:val="none" w:sz="0" w:space="0" w:color="auto"/>
        <w:bottom w:val="none" w:sz="0" w:space="0" w:color="auto"/>
        <w:right w:val="none" w:sz="0" w:space="0" w:color="auto"/>
      </w:divBdr>
      <w:divsChild>
        <w:div w:id="1705323072">
          <w:marLeft w:val="0"/>
          <w:marRight w:val="0"/>
          <w:marTop w:val="0"/>
          <w:marBottom w:val="0"/>
          <w:divBdr>
            <w:top w:val="none" w:sz="0" w:space="0" w:color="auto"/>
            <w:left w:val="none" w:sz="0" w:space="0" w:color="auto"/>
            <w:bottom w:val="none" w:sz="0" w:space="0" w:color="auto"/>
            <w:right w:val="none" w:sz="0" w:space="0" w:color="auto"/>
          </w:divBdr>
          <w:divsChild>
            <w:div w:id="1084106634">
              <w:marLeft w:val="0"/>
              <w:marRight w:val="0"/>
              <w:marTop w:val="0"/>
              <w:marBottom w:val="0"/>
              <w:divBdr>
                <w:top w:val="none" w:sz="0" w:space="0" w:color="auto"/>
                <w:left w:val="none" w:sz="0" w:space="0" w:color="auto"/>
                <w:bottom w:val="none" w:sz="0" w:space="0" w:color="auto"/>
                <w:right w:val="none" w:sz="0" w:space="0" w:color="auto"/>
              </w:divBdr>
              <w:divsChild>
                <w:div w:id="328024213">
                  <w:marLeft w:val="0"/>
                  <w:marRight w:val="0"/>
                  <w:marTop w:val="0"/>
                  <w:marBottom w:val="0"/>
                  <w:divBdr>
                    <w:top w:val="none" w:sz="0" w:space="0" w:color="auto"/>
                    <w:left w:val="none" w:sz="0" w:space="0" w:color="auto"/>
                    <w:bottom w:val="none" w:sz="0" w:space="0" w:color="auto"/>
                    <w:right w:val="none" w:sz="0" w:space="0" w:color="auto"/>
                  </w:divBdr>
                  <w:divsChild>
                    <w:div w:id="2008703137">
                      <w:marLeft w:val="0"/>
                      <w:marRight w:val="0"/>
                      <w:marTop w:val="0"/>
                      <w:marBottom w:val="0"/>
                      <w:divBdr>
                        <w:top w:val="none" w:sz="0" w:space="0" w:color="auto"/>
                        <w:left w:val="none" w:sz="0" w:space="0" w:color="auto"/>
                        <w:bottom w:val="none" w:sz="0" w:space="0" w:color="auto"/>
                        <w:right w:val="none" w:sz="0" w:space="0" w:color="auto"/>
                      </w:divBdr>
                      <w:divsChild>
                        <w:div w:id="637609426">
                          <w:marLeft w:val="0"/>
                          <w:marRight w:val="0"/>
                          <w:marTop w:val="0"/>
                          <w:marBottom w:val="0"/>
                          <w:divBdr>
                            <w:top w:val="none" w:sz="0" w:space="0" w:color="auto"/>
                            <w:left w:val="none" w:sz="0" w:space="0" w:color="auto"/>
                            <w:bottom w:val="none" w:sz="0" w:space="0" w:color="auto"/>
                            <w:right w:val="none" w:sz="0" w:space="0" w:color="auto"/>
                          </w:divBdr>
                          <w:divsChild>
                            <w:div w:id="1664040195">
                              <w:marLeft w:val="0"/>
                              <w:marRight w:val="0"/>
                              <w:marTop w:val="0"/>
                              <w:marBottom w:val="0"/>
                              <w:divBdr>
                                <w:top w:val="none" w:sz="0" w:space="0" w:color="auto"/>
                                <w:left w:val="none" w:sz="0" w:space="0" w:color="auto"/>
                                <w:bottom w:val="none" w:sz="0" w:space="0" w:color="auto"/>
                                <w:right w:val="none" w:sz="0" w:space="0" w:color="auto"/>
                              </w:divBdr>
                              <w:divsChild>
                                <w:div w:id="1179083402">
                                  <w:marLeft w:val="0"/>
                                  <w:marRight w:val="0"/>
                                  <w:marTop w:val="0"/>
                                  <w:marBottom w:val="0"/>
                                  <w:divBdr>
                                    <w:top w:val="none" w:sz="0" w:space="0" w:color="auto"/>
                                    <w:left w:val="none" w:sz="0" w:space="0" w:color="auto"/>
                                    <w:bottom w:val="none" w:sz="0" w:space="0" w:color="auto"/>
                                    <w:right w:val="none" w:sz="0" w:space="0" w:color="auto"/>
                                  </w:divBdr>
                                  <w:divsChild>
                                    <w:div w:id="1503734725">
                                      <w:marLeft w:val="240"/>
                                      <w:marRight w:val="240"/>
                                      <w:marTop w:val="240"/>
                                      <w:marBottom w:val="0"/>
                                      <w:divBdr>
                                        <w:top w:val="none" w:sz="0" w:space="0" w:color="auto"/>
                                        <w:left w:val="none" w:sz="0" w:space="0" w:color="auto"/>
                                        <w:bottom w:val="none" w:sz="0" w:space="0" w:color="auto"/>
                                        <w:right w:val="none" w:sz="0" w:space="0" w:color="auto"/>
                                      </w:divBdr>
                                      <w:divsChild>
                                        <w:div w:id="966549573">
                                          <w:marLeft w:val="0"/>
                                          <w:marRight w:val="0"/>
                                          <w:marTop w:val="0"/>
                                          <w:marBottom w:val="0"/>
                                          <w:divBdr>
                                            <w:top w:val="none" w:sz="0" w:space="0" w:color="auto"/>
                                            <w:left w:val="none" w:sz="0" w:space="0" w:color="auto"/>
                                            <w:bottom w:val="none" w:sz="0" w:space="0" w:color="auto"/>
                                            <w:right w:val="none" w:sz="0" w:space="0" w:color="auto"/>
                                          </w:divBdr>
                                          <w:divsChild>
                                            <w:div w:id="16422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jo\Local%20Settings\Temporary%20Internet%20Files\OLK5\AER%20-%2008%20-%20Minu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52688-F2BB-467F-83AC-AE27CC1A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- 08 - Minute</Template>
  <TotalTime>0</TotalTime>
  <Pages>3</Pages>
  <Words>1088</Words>
  <Characters>6207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AUSTRALIAN COMPETITION &amp; CONSUMER COMMISSION</vt:lpstr>
    </vt:vector>
  </TitlesOfParts>
  <Company>Trade Practices Commission</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COMPETITION &amp; CONSUMER COMMISSION</dc:title>
  <dc:subject/>
  <dc:creator>rlowi</dc:creator>
  <cp:keywords/>
  <cp:lastModifiedBy>Karunaratne, Mineka</cp:lastModifiedBy>
  <cp:revision>2</cp:revision>
  <cp:lastPrinted>2017-12-15T00:28:00Z</cp:lastPrinted>
  <dcterms:created xsi:type="dcterms:W3CDTF">2018-02-22T02:02:00Z</dcterms:created>
  <dcterms:modified xsi:type="dcterms:W3CDTF">2018-02-22T02:02:00Z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7954638</vt:lpwstr>
  </property>
  <property fmtid="{D5CDD505-2E9C-101B-9397-08002B2CF9AE}" pid="3" name="Status">
    <vt:lpwstr>Ready</vt:lpwstr>
  </property>
  <property fmtid="{D5CDD505-2E9C-101B-9397-08002B2CF9AE}" pid="4" name="DatabaseID">
    <vt:lpwstr>AC</vt:lpwstr>
  </property>
  <property fmtid="{D5CDD505-2E9C-101B-9397-08002B2CF9AE}" pid="5" name="OnClose">
    <vt:lpwstr/>
  </property>
  <property fmtid="{D5CDD505-2E9C-101B-9397-08002B2CF9AE}" pid="6" name="currfile">
    <vt:lpwstr>\\cbrvpwxfs01\home$\rlowi\consumer engagement - minute t (D2013-00039891).docx</vt:lpwstr>
  </property>
</Properties>
</file>