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2D" w:rsidRPr="002A325E" w:rsidRDefault="0063482D" w:rsidP="0063482D">
      <w:pPr>
        <w:spacing w:before="0"/>
        <w:jc w:val="center"/>
        <w:rPr>
          <w:rFonts w:ascii="Gautami" w:eastAsia="Times New Roman" w:hAnsi="Gautami" w:cs="Gautami"/>
          <w:b/>
          <w:sz w:val="28"/>
          <w:szCs w:val="20"/>
          <w:lang w:val="en-GB" w:eastAsia="en-AU"/>
        </w:rPr>
      </w:pPr>
      <w:bookmarkStart w:id="0" w:name="_GoBack"/>
      <w:bookmarkEnd w:id="0"/>
      <w:r w:rsidRPr="002A325E">
        <w:rPr>
          <w:rFonts w:ascii="Gautami" w:eastAsia="Times New Roman" w:hAnsi="Gautami" w:cs="Gautami"/>
          <w:b/>
          <w:sz w:val="28"/>
          <w:szCs w:val="20"/>
          <w:lang w:val="en-GB" w:eastAsia="en-AU"/>
        </w:rPr>
        <w:t>AUSTRALIAN ENERGY REGULATOR</w:t>
      </w:r>
    </w:p>
    <w:p w:rsidR="0063482D" w:rsidRPr="002A325E" w:rsidRDefault="0063482D" w:rsidP="0063482D">
      <w:pPr>
        <w:spacing w:before="0"/>
        <w:jc w:val="center"/>
        <w:rPr>
          <w:rFonts w:ascii="Gautami" w:eastAsia="Times New Roman" w:hAnsi="Gautami" w:cs="Gautami"/>
          <w:b/>
          <w:sz w:val="28"/>
          <w:szCs w:val="20"/>
          <w:lang w:val="en-GB" w:eastAsia="en-AU"/>
        </w:rPr>
      </w:pPr>
      <w:r>
        <w:rPr>
          <w:rFonts w:ascii="Gautami" w:eastAsia="Times New Roman" w:hAnsi="Gautami" w:cs="Gautami"/>
          <w:b/>
          <w:sz w:val="28"/>
          <w:szCs w:val="20"/>
          <w:lang w:val="en-GB" w:eastAsia="en-AU"/>
        </w:rPr>
        <w:t xml:space="preserve">DRAFT </w:t>
      </w:r>
      <w:r w:rsidRPr="002A325E">
        <w:rPr>
          <w:rFonts w:ascii="Gautami" w:eastAsia="Times New Roman" w:hAnsi="Gautami" w:cs="Gautami"/>
          <w:b/>
          <w:sz w:val="28"/>
          <w:szCs w:val="20"/>
          <w:lang w:val="en-GB" w:eastAsia="en-AU"/>
        </w:rPr>
        <w:t>Key Issues and Action Items</w:t>
      </w:r>
    </w:p>
    <w:p w:rsidR="0063482D" w:rsidRPr="002A325E" w:rsidRDefault="0063482D" w:rsidP="0063482D">
      <w:pPr>
        <w:spacing w:before="0"/>
        <w:jc w:val="center"/>
        <w:rPr>
          <w:rFonts w:ascii="Times New Roman" w:eastAsia="Times New Roman" w:hAnsi="Times New Roman" w:cs="Times New Roman"/>
          <w:b/>
          <w:sz w:val="28"/>
          <w:szCs w:val="20"/>
          <w:lang w:val="en-GB" w:eastAsia="en-AU"/>
        </w:rPr>
      </w:pP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DATE:</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Pr>
          <w:rFonts w:ascii="Gautami" w:eastAsia="Times New Roman" w:hAnsi="Gautami" w:cs="Gautami"/>
          <w:szCs w:val="20"/>
          <w:lang w:eastAsia="en-AU"/>
        </w:rPr>
        <w:t>14 February 2018</w:t>
      </w: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TO:</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Pr>
          <w:rFonts w:ascii="Gautami" w:eastAsia="Times New Roman" w:hAnsi="Gautami" w:cs="Gautami"/>
          <w:szCs w:val="20"/>
          <w:lang w:eastAsia="en-AU"/>
        </w:rPr>
        <w:tab/>
      </w:r>
      <w:r w:rsidRPr="002A325E">
        <w:rPr>
          <w:rFonts w:ascii="Gautami" w:eastAsia="Times New Roman" w:hAnsi="Gautami" w:cs="Gautami"/>
          <w:szCs w:val="20"/>
          <w:lang w:eastAsia="en-AU"/>
        </w:rPr>
        <w:t>AER’s Consumer Reference Group on Rate of Return</w:t>
      </w: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 xml:space="preserve">CC: </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t>Warwick Anderson</w:t>
      </w:r>
    </w:p>
    <w:p w:rsidR="0063482D" w:rsidRPr="002A325E" w:rsidRDefault="0063482D" w:rsidP="0063482D">
      <w:pPr>
        <w:keepNext/>
        <w:spacing w:before="120" w:after="120"/>
        <w:outlineLvl w:val="2"/>
        <w:rPr>
          <w:rFonts w:ascii="Gautami" w:eastAsia="Times New Roman" w:hAnsi="Gautami" w:cs="Gautami"/>
          <w:b/>
          <w:szCs w:val="20"/>
          <w:lang w:eastAsia="en-AU"/>
        </w:rPr>
      </w:pPr>
      <w:r w:rsidRPr="002A325E">
        <w:rPr>
          <w:rFonts w:ascii="Gautami" w:eastAsia="Times New Roman" w:hAnsi="Gautami" w:cs="Gautami"/>
          <w:b/>
          <w:szCs w:val="20"/>
          <w:lang w:eastAsia="en-AU"/>
        </w:rPr>
        <w:t>SUBJECT:</w:t>
      </w:r>
      <w:r w:rsidRPr="002A325E">
        <w:rPr>
          <w:rFonts w:ascii="Gautami" w:eastAsia="Times New Roman" w:hAnsi="Gautami" w:cs="Gautami"/>
          <w:b/>
          <w:szCs w:val="20"/>
          <w:lang w:eastAsia="en-AU"/>
        </w:rPr>
        <w:tab/>
      </w:r>
      <w:r w:rsidRPr="002A325E">
        <w:rPr>
          <w:rFonts w:ascii="Gautami" w:eastAsia="Times New Roman" w:hAnsi="Gautami" w:cs="Gautami"/>
          <w:b/>
          <w:szCs w:val="20"/>
          <w:lang w:eastAsia="en-AU"/>
        </w:rPr>
        <w:tab/>
        <w:t xml:space="preserve">CRG </w:t>
      </w:r>
      <w:r>
        <w:rPr>
          <w:rFonts w:ascii="Gautami" w:eastAsia="Times New Roman" w:hAnsi="Gautami" w:cs="Gautami"/>
          <w:b/>
          <w:szCs w:val="20"/>
          <w:lang w:eastAsia="en-AU"/>
        </w:rPr>
        <w:t>14 February teleconference</w:t>
      </w:r>
    </w:p>
    <w:p w:rsidR="0063482D" w:rsidRPr="002A325E" w:rsidRDefault="0063482D" w:rsidP="0063482D">
      <w:pPr>
        <w:spacing w:before="0"/>
        <w:rPr>
          <w:rFonts w:ascii="Gautami" w:eastAsia="Times New Roman" w:hAnsi="Gautami" w:cs="Gautami"/>
          <w:b/>
          <w:szCs w:val="20"/>
          <w:lang w:eastAsia="en-AU"/>
        </w:rPr>
      </w:pPr>
    </w:p>
    <w:p w:rsidR="0063482D" w:rsidRPr="002A325E" w:rsidRDefault="0063482D" w:rsidP="0063482D">
      <w:pPr>
        <w:spacing w:before="240"/>
        <w:outlineLvl w:val="0"/>
        <w:rPr>
          <w:rFonts w:eastAsia="Times New Roman" w:cs="Times New Roman"/>
          <w:b/>
          <w:szCs w:val="20"/>
          <w:u w:val="single"/>
          <w:lang w:eastAsia="en-AU"/>
        </w:rPr>
      </w:pPr>
      <w:r w:rsidRPr="002A325E">
        <w:rPr>
          <w:rFonts w:eastAsia="Times New Roman" w:cs="Times New Roman"/>
          <w:b/>
          <w:szCs w:val="20"/>
          <w:u w:val="single"/>
          <w:lang w:eastAsia="en-AU"/>
        </w:rPr>
        <w:t>Introduction</w:t>
      </w:r>
    </w:p>
    <w:p w:rsidR="0063482D" w:rsidRDefault="0063482D" w:rsidP="0063482D">
      <w:pPr>
        <w:spacing w:before="0"/>
        <w:rPr>
          <w:rFonts w:eastAsia="Times New Roman" w:cs="Times New Roman"/>
          <w:szCs w:val="20"/>
          <w:lang w:eastAsia="en-AU"/>
        </w:rPr>
      </w:pPr>
      <w:r>
        <w:rPr>
          <w:rFonts w:eastAsia="Times New Roman" w:cs="Times New Roman"/>
          <w:szCs w:val="20"/>
          <w:lang w:eastAsia="en-AU"/>
        </w:rPr>
        <w:t>The AER organised for the CRG to engage in monthly teleconference to discuss issues for the CRG moving forward. It is largely up to the CRG to decide on which topics will be discussed at the meeting. The agenda included:</w:t>
      </w:r>
    </w:p>
    <w:p w:rsidR="0063482D" w:rsidRDefault="0063482D" w:rsidP="0063482D">
      <w:pPr>
        <w:numPr>
          <w:ilvl w:val="0"/>
          <w:numId w:val="30"/>
        </w:numPr>
        <w:spacing w:before="0"/>
        <w:rPr>
          <w:rFonts w:ascii="Calibri" w:eastAsia="Times New Roman" w:hAnsi="Calibri"/>
        </w:rPr>
      </w:pPr>
      <w:r>
        <w:rPr>
          <w:rFonts w:eastAsia="Times New Roman"/>
        </w:rPr>
        <w:t>Progress update – CRG/ENA (next meeting – gamma and risk)</w:t>
      </w:r>
    </w:p>
    <w:p w:rsidR="0063482D" w:rsidRDefault="0063482D" w:rsidP="0063482D">
      <w:pPr>
        <w:numPr>
          <w:ilvl w:val="0"/>
          <w:numId w:val="30"/>
        </w:numPr>
        <w:spacing w:before="0"/>
        <w:rPr>
          <w:rFonts w:eastAsia="Times New Roman"/>
        </w:rPr>
      </w:pPr>
      <w:r>
        <w:rPr>
          <w:rFonts w:eastAsia="Times New Roman"/>
        </w:rPr>
        <w:t>Process map/time line – production of CRG submission</w:t>
      </w:r>
    </w:p>
    <w:p w:rsidR="0063482D" w:rsidRDefault="0063482D" w:rsidP="0063482D">
      <w:pPr>
        <w:numPr>
          <w:ilvl w:val="0"/>
          <w:numId w:val="30"/>
        </w:numPr>
        <w:spacing w:before="0"/>
        <w:rPr>
          <w:rFonts w:eastAsia="Times New Roman"/>
        </w:rPr>
      </w:pPr>
      <w:r>
        <w:rPr>
          <w:rFonts w:eastAsia="Times New Roman"/>
        </w:rPr>
        <w:t>CRG submission – draft high level content (straw man only)</w:t>
      </w:r>
    </w:p>
    <w:p w:rsidR="0063482D" w:rsidRDefault="0063482D" w:rsidP="0063482D">
      <w:pPr>
        <w:numPr>
          <w:ilvl w:val="0"/>
          <w:numId w:val="30"/>
        </w:numPr>
        <w:spacing w:before="0"/>
        <w:rPr>
          <w:rFonts w:eastAsia="Times New Roman"/>
        </w:rPr>
      </w:pPr>
      <w:r>
        <w:rPr>
          <w:rFonts w:eastAsia="Times New Roman"/>
        </w:rPr>
        <w:t>Proposed deep dive streams and CRG member roles (stream leader/participants)</w:t>
      </w:r>
    </w:p>
    <w:p w:rsidR="0063482D" w:rsidRDefault="0063482D" w:rsidP="0063482D">
      <w:pPr>
        <w:numPr>
          <w:ilvl w:val="0"/>
          <w:numId w:val="30"/>
        </w:numPr>
        <w:spacing w:before="0"/>
        <w:rPr>
          <w:rFonts w:eastAsia="Times New Roman"/>
        </w:rPr>
      </w:pPr>
      <w:r>
        <w:rPr>
          <w:rFonts w:eastAsia="Times New Roman"/>
        </w:rPr>
        <w:t>Funding</w:t>
      </w:r>
    </w:p>
    <w:p w:rsidR="0063482D" w:rsidRDefault="0063482D" w:rsidP="0063482D">
      <w:pPr>
        <w:spacing w:before="0"/>
        <w:rPr>
          <w:rFonts w:eastAsia="Times New Roman" w:cs="Times New Roman"/>
          <w:szCs w:val="20"/>
          <w:lang w:eastAsia="en-AU"/>
        </w:rPr>
      </w:pPr>
    </w:p>
    <w:p w:rsidR="0063482D" w:rsidRDefault="0063482D" w:rsidP="0063482D">
      <w:pPr>
        <w:spacing w:before="0"/>
        <w:rPr>
          <w:rFonts w:eastAsia="Times New Roman" w:cs="Times New Roman"/>
          <w:b/>
          <w:szCs w:val="20"/>
          <w:u w:val="single"/>
          <w:lang w:eastAsia="en-AU"/>
        </w:rPr>
      </w:pPr>
      <w:r>
        <w:rPr>
          <w:rFonts w:eastAsia="Times New Roman" w:cs="Times New Roman"/>
          <w:b/>
          <w:szCs w:val="20"/>
          <w:u w:val="single"/>
          <w:lang w:eastAsia="en-AU"/>
        </w:rPr>
        <w:t>Key issues</w:t>
      </w:r>
    </w:p>
    <w:p w:rsidR="0063482D" w:rsidRDefault="0063482D" w:rsidP="0063482D">
      <w:pPr>
        <w:spacing w:before="0"/>
        <w:rPr>
          <w:rFonts w:eastAsia="Times New Roman" w:cs="Times New Roman"/>
          <w:b/>
          <w:szCs w:val="20"/>
          <w:u w:val="single"/>
          <w:lang w:eastAsia="en-AU"/>
        </w:rPr>
      </w:pPr>
    </w:p>
    <w:p w:rsidR="0063482D" w:rsidRDefault="0063482D" w:rsidP="0063482D">
      <w:pPr>
        <w:spacing w:before="0"/>
        <w:rPr>
          <w:rFonts w:eastAsia="Times New Roman" w:cs="Times New Roman"/>
          <w:b/>
          <w:szCs w:val="20"/>
          <w:lang w:eastAsia="en-AU"/>
        </w:rPr>
      </w:pPr>
      <w:r>
        <w:rPr>
          <w:rFonts w:eastAsia="Times New Roman" w:cs="Times New Roman"/>
          <w:b/>
          <w:szCs w:val="20"/>
          <w:lang w:eastAsia="en-AU"/>
        </w:rPr>
        <w:t>Recap of engagement with the ENA</w:t>
      </w:r>
    </w:p>
    <w:p w:rsidR="0063482D" w:rsidRDefault="0063482D" w:rsidP="0063482D">
      <w:pPr>
        <w:spacing w:before="0"/>
        <w:rPr>
          <w:rFonts w:eastAsia="Times New Roman" w:cs="Times New Roman"/>
          <w:szCs w:val="20"/>
          <w:lang w:eastAsia="en-AU"/>
        </w:rPr>
      </w:pPr>
      <w:r>
        <w:rPr>
          <w:rFonts w:eastAsia="Times New Roman" w:cs="Times New Roman"/>
          <w:szCs w:val="20"/>
          <w:lang w:eastAsia="en-AU"/>
        </w:rPr>
        <w:t xml:space="preserve">The CRG had a positive review of their experience with the ENA. The CRG stated that the ENA is preparing a summary of the outcomes from the meeting. The CRG indicated that engagement with the ENA does include what should go to the concurrent evidence sessions, the CRG also stated they would </w:t>
      </w:r>
      <w:r w:rsidR="009D0400">
        <w:rPr>
          <w:rFonts w:eastAsia="Times New Roman" w:cs="Times New Roman"/>
          <w:szCs w:val="20"/>
          <w:lang w:eastAsia="en-AU"/>
        </w:rPr>
        <w:t>like to be present at the</w:t>
      </w:r>
      <w:r>
        <w:rPr>
          <w:rFonts w:eastAsia="Times New Roman" w:cs="Times New Roman"/>
          <w:szCs w:val="20"/>
          <w:lang w:eastAsia="en-AU"/>
        </w:rPr>
        <w:t xml:space="preserve"> concurrent evidence sessions.</w:t>
      </w:r>
    </w:p>
    <w:p w:rsidR="0063482D" w:rsidRDefault="0063482D" w:rsidP="0063482D">
      <w:pPr>
        <w:spacing w:before="0"/>
        <w:rPr>
          <w:rFonts w:eastAsia="Times New Roman" w:cs="Times New Roman"/>
          <w:szCs w:val="20"/>
          <w:lang w:eastAsia="en-AU"/>
        </w:rPr>
      </w:pPr>
    </w:p>
    <w:p w:rsidR="0063482D" w:rsidRDefault="00DE6E96" w:rsidP="0063482D">
      <w:pPr>
        <w:spacing w:before="0"/>
        <w:rPr>
          <w:rFonts w:eastAsia="Times New Roman" w:cs="Times New Roman"/>
          <w:b/>
          <w:szCs w:val="20"/>
          <w:lang w:eastAsia="en-AU"/>
        </w:rPr>
      </w:pPr>
      <w:r>
        <w:rPr>
          <w:rFonts w:eastAsia="Times New Roman" w:cs="Times New Roman"/>
          <w:b/>
          <w:szCs w:val="20"/>
          <w:lang w:eastAsia="en-AU"/>
        </w:rPr>
        <w:t xml:space="preserve">Process </w:t>
      </w:r>
      <w:r w:rsidR="002B6773">
        <w:rPr>
          <w:rFonts w:eastAsia="Times New Roman" w:cs="Times New Roman"/>
          <w:b/>
          <w:szCs w:val="20"/>
          <w:lang w:eastAsia="en-AU"/>
        </w:rPr>
        <w:t>map</w:t>
      </w:r>
    </w:p>
    <w:p w:rsidR="002B303D" w:rsidRDefault="009D0400" w:rsidP="0063482D">
      <w:pPr>
        <w:spacing w:before="0"/>
        <w:rPr>
          <w:rFonts w:eastAsia="Times New Roman" w:cs="Times New Roman"/>
          <w:szCs w:val="20"/>
          <w:lang w:eastAsia="en-AU"/>
        </w:rPr>
      </w:pPr>
      <w:r>
        <w:rPr>
          <w:rFonts w:eastAsia="Times New Roman" w:cs="Times New Roman"/>
          <w:szCs w:val="20"/>
          <w:lang w:eastAsia="en-AU"/>
        </w:rPr>
        <w:t xml:space="preserve">The CRG want to decide what topics to nominate for deep dives. </w:t>
      </w:r>
      <w:r w:rsidR="002B6773">
        <w:rPr>
          <w:rFonts w:eastAsia="Times New Roman" w:cs="Times New Roman"/>
          <w:szCs w:val="20"/>
          <w:lang w:eastAsia="en-AU"/>
        </w:rPr>
        <w:t xml:space="preserve"> The CRG stated they would like a list of the topics that will go to the concurrent evidence sessio</w:t>
      </w:r>
      <w:r>
        <w:rPr>
          <w:rFonts w:eastAsia="Times New Roman" w:cs="Times New Roman"/>
          <w:szCs w:val="20"/>
          <w:lang w:eastAsia="en-AU"/>
        </w:rPr>
        <w:t>ns from the AER. The CRG requested additional resources for a</w:t>
      </w:r>
      <w:r w:rsidR="002B6773">
        <w:rPr>
          <w:rFonts w:eastAsia="Times New Roman" w:cs="Times New Roman"/>
          <w:szCs w:val="20"/>
          <w:lang w:eastAsia="en-AU"/>
        </w:rPr>
        <w:t xml:space="preserve"> project planner and author</w:t>
      </w:r>
      <w:r>
        <w:rPr>
          <w:rFonts w:eastAsia="Times New Roman" w:cs="Times New Roman"/>
          <w:szCs w:val="20"/>
          <w:lang w:eastAsia="en-AU"/>
        </w:rPr>
        <w:t xml:space="preserve">. </w:t>
      </w:r>
      <w:r w:rsidR="002B6773">
        <w:rPr>
          <w:rFonts w:eastAsia="Times New Roman" w:cs="Times New Roman"/>
          <w:szCs w:val="20"/>
          <w:lang w:eastAsia="en-AU"/>
        </w:rPr>
        <w:t xml:space="preserve">The CRG indicated that they will inform their constituents but not </w:t>
      </w:r>
      <w:r w:rsidR="002B303D">
        <w:rPr>
          <w:rFonts w:eastAsia="Times New Roman" w:cs="Times New Roman"/>
          <w:szCs w:val="20"/>
          <w:lang w:eastAsia="en-AU"/>
        </w:rPr>
        <w:t>necessarily consult with them. The CRG stated that the period of time they have to design and provide a submission needs to be extended to ensure an adequate submission. The AER stated that two CRG members will be able to attend the concurrent evidence sessions.</w:t>
      </w:r>
    </w:p>
    <w:p w:rsidR="002B303D" w:rsidRDefault="002B303D" w:rsidP="0063482D">
      <w:pPr>
        <w:spacing w:before="0"/>
        <w:rPr>
          <w:rFonts w:eastAsia="Times New Roman" w:cs="Times New Roman"/>
          <w:szCs w:val="20"/>
          <w:lang w:eastAsia="en-AU"/>
        </w:rPr>
      </w:pPr>
    </w:p>
    <w:p w:rsidR="002B303D" w:rsidRDefault="002B303D" w:rsidP="0063482D">
      <w:pPr>
        <w:spacing w:before="0"/>
        <w:rPr>
          <w:rFonts w:eastAsia="Times New Roman" w:cs="Times New Roman"/>
          <w:b/>
          <w:szCs w:val="20"/>
          <w:lang w:eastAsia="en-AU"/>
        </w:rPr>
      </w:pPr>
      <w:r>
        <w:rPr>
          <w:rFonts w:eastAsia="Times New Roman" w:cs="Times New Roman"/>
          <w:b/>
          <w:szCs w:val="20"/>
          <w:lang w:eastAsia="en-AU"/>
        </w:rPr>
        <w:t>Funding</w:t>
      </w:r>
    </w:p>
    <w:p w:rsidR="002B303D" w:rsidRPr="002B303D" w:rsidRDefault="002B303D" w:rsidP="0063482D">
      <w:pPr>
        <w:spacing w:before="0"/>
        <w:rPr>
          <w:rFonts w:eastAsia="Times New Roman" w:cs="Times New Roman"/>
          <w:szCs w:val="20"/>
          <w:lang w:eastAsia="en-AU"/>
        </w:rPr>
      </w:pPr>
      <w:r>
        <w:rPr>
          <w:rFonts w:eastAsia="Times New Roman" w:cs="Times New Roman"/>
          <w:szCs w:val="20"/>
          <w:lang w:eastAsia="en-AU"/>
        </w:rPr>
        <w:t>The CRG stated that their ability to partake in deep dives will depend on funding. The CRG stated that they will need additional funding for an author and project manager role.</w:t>
      </w:r>
    </w:p>
    <w:p w:rsidR="002B303D" w:rsidRPr="002F5955" w:rsidRDefault="002B303D" w:rsidP="0063482D">
      <w:pPr>
        <w:spacing w:before="0"/>
        <w:rPr>
          <w:rFonts w:eastAsia="Times New Roman" w:cs="Times New Roman"/>
          <w:szCs w:val="20"/>
          <w:lang w:eastAsia="en-AU"/>
        </w:rPr>
      </w:pPr>
    </w:p>
    <w:p w:rsidR="0063482D" w:rsidRDefault="0063482D" w:rsidP="0063482D">
      <w:pPr>
        <w:rPr>
          <w:rFonts w:eastAsia="Times New Roman" w:cs="Times New Roman"/>
          <w:b/>
          <w:szCs w:val="20"/>
          <w:u w:val="single"/>
          <w:lang w:eastAsia="en-AU"/>
        </w:rPr>
      </w:pPr>
      <w:r>
        <w:rPr>
          <w:rFonts w:eastAsia="Times New Roman" w:cs="Times New Roman"/>
          <w:b/>
          <w:szCs w:val="20"/>
          <w:u w:val="single"/>
          <w:lang w:eastAsia="en-AU"/>
        </w:rPr>
        <w:t>Action items</w:t>
      </w:r>
    </w:p>
    <w:p w:rsidR="0063482D" w:rsidRDefault="0063482D" w:rsidP="0063482D">
      <w:pPr>
        <w:rPr>
          <w:rFonts w:eastAsia="Times New Roman" w:cs="Times New Roman"/>
          <w:i/>
          <w:szCs w:val="20"/>
          <w:lang w:eastAsia="en-AU"/>
        </w:rPr>
      </w:pPr>
      <w:r>
        <w:rPr>
          <w:rFonts w:eastAsia="Times New Roman" w:cs="Times New Roman"/>
          <w:i/>
          <w:szCs w:val="20"/>
          <w:lang w:eastAsia="en-AU"/>
        </w:rPr>
        <w:t>CRG:</w:t>
      </w:r>
    </w:p>
    <w:p w:rsidR="0063482D" w:rsidRPr="002B303D" w:rsidRDefault="002B303D" w:rsidP="0063482D">
      <w:pPr>
        <w:pStyle w:val="ListParagraph"/>
        <w:numPr>
          <w:ilvl w:val="0"/>
          <w:numId w:val="28"/>
        </w:numPr>
        <w:jc w:val="both"/>
        <w:rPr>
          <w:rFonts w:eastAsia="Times New Roman" w:cs="Times New Roman"/>
          <w:i/>
          <w:szCs w:val="20"/>
          <w:lang w:eastAsia="en-AU"/>
        </w:rPr>
      </w:pPr>
      <w:r>
        <w:rPr>
          <w:rFonts w:eastAsia="Times New Roman" w:cs="Times New Roman"/>
          <w:szCs w:val="20"/>
          <w:lang w:eastAsia="en-AU"/>
        </w:rPr>
        <w:t>Send a letter to the AER that says the CRG will produce a joint submission with broad principle</w:t>
      </w:r>
      <w:r w:rsidR="00F40845">
        <w:rPr>
          <w:rFonts w:eastAsia="Times New Roman" w:cs="Times New Roman"/>
          <w:szCs w:val="20"/>
          <w:lang w:eastAsia="en-AU"/>
        </w:rPr>
        <w:t>s</w:t>
      </w:r>
      <w:r>
        <w:rPr>
          <w:rFonts w:eastAsia="Times New Roman" w:cs="Times New Roman"/>
          <w:szCs w:val="20"/>
          <w:lang w:eastAsia="en-AU"/>
        </w:rPr>
        <w:t xml:space="preserve"> but it will take longer to get a fully reasoned document.</w:t>
      </w:r>
    </w:p>
    <w:p w:rsidR="002B303D" w:rsidRPr="00CA51BC" w:rsidRDefault="002B303D" w:rsidP="0063482D">
      <w:pPr>
        <w:pStyle w:val="ListParagraph"/>
        <w:numPr>
          <w:ilvl w:val="0"/>
          <w:numId w:val="28"/>
        </w:numPr>
        <w:jc w:val="both"/>
        <w:rPr>
          <w:rFonts w:eastAsia="Times New Roman" w:cs="Times New Roman"/>
          <w:i/>
          <w:szCs w:val="20"/>
          <w:lang w:eastAsia="en-AU"/>
        </w:rPr>
      </w:pPr>
      <w:r>
        <w:rPr>
          <w:rFonts w:eastAsia="Times New Roman" w:cs="Times New Roman"/>
          <w:szCs w:val="20"/>
          <w:lang w:eastAsia="en-AU"/>
        </w:rPr>
        <w:t xml:space="preserve">Circulate summary of 12 </w:t>
      </w:r>
      <w:r w:rsidR="006C738F">
        <w:rPr>
          <w:rFonts w:eastAsia="Times New Roman" w:cs="Times New Roman"/>
          <w:szCs w:val="20"/>
          <w:lang w:eastAsia="en-AU"/>
        </w:rPr>
        <w:t>February</w:t>
      </w:r>
      <w:r>
        <w:rPr>
          <w:rFonts w:eastAsia="Times New Roman" w:cs="Times New Roman"/>
          <w:szCs w:val="20"/>
          <w:lang w:eastAsia="en-AU"/>
        </w:rPr>
        <w:t xml:space="preserve"> CRG/ENA meeting outcomes.</w:t>
      </w:r>
    </w:p>
    <w:p w:rsidR="0063482D" w:rsidRDefault="0063482D" w:rsidP="0063482D">
      <w:pPr>
        <w:jc w:val="both"/>
        <w:rPr>
          <w:rFonts w:eastAsia="Times New Roman" w:cs="Times New Roman"/>
          <w:i/>
          <w:szCs w:val="20"/>
          <w:lang w:eastAsia="en-AU"/>
        </w:rPr>
      </w:pPr>
      <w:r>
        <w:rPr>
          <w:rFonts w:eastAsia="Times New Roman" w:cs="Times New Roman"/>
          <w:i/>
          <w:szCs w:val="20"/>
          <w:lang w:eastAsia="en-AU"/>
        </w:rPr>
        <w:t>AER:</w:t>
      </w:r>
    </w:p>
    <w:p w:rsidR="0063482D" w:rsidRPr="002B303D" w:rsidRDefault="002B303D" w:rsidP="0063482D">
      <w:pPr>
        <w:pStyle w:val="ListParagraph"/>
        <w:numPr>
          <w:ilvl w:val="0"/>
          <w:numId w:val="28"/>
        </w:numPr>
        <w:jc w:val="both"/>
        <w:rPr>
          <w:rFonts w:eastAsia="Times New Roman" w:cs="Times New Roman"/>
          <w:i/>
          <w:szCs w:val="20"/>
          <w:lang w:eastAsia="en-AU"/>
        </w:rPr>
      </w:pPr>
      <w:r>
        <w:rPr>
          <w:rFonts w:eastAsia="Times New Roman" w:cs="Times New Roman"/>
          <w:szCs w:val="20"/>
          <w:lang w:eastAsia="en-AU"/>
        </w:rPr>
        <w:t>Circulate the papers on equity beta, low beta bias and MRP by Frontier Economics – completed.</w:t>
      </w:r>
    </w:p>
    <w:p w:rsidR="002B303D" w:rsidRPr="00D079B9" w:rsidRDefault="002B303D" w:rsidP="0063482D">
      <w:pPr>
        <w:pStyle w:val="ListParagraph"/>
        <w:numPr>
          <w:ilvl w:val="0"/>
          <w:numId w:val="28"/>
        </w:numPr>
        <w:jc w:val="both"/>
        <w:rPr>
          <w:rFonts w:eastAsia="Times New Roman" w:cs="Times New Roman"/>
          <w:i/>
          <w:szCs w:val="20"/>
          <w:lang w:eastAsia="en-AU"/>
        </w:rPr>
      </w:pPr>
      <w:r>
        <w:rPr>
          <w:rFonts w:eastAsia="Times New Roman" w:cs="Times New Roman"/>
          <w:szCs w:val="20"/>
          <w:lang w:eastAsia="en-AU"/>
        </w:rPr>
        <w:lastRenderedPageBreak/>
        <w:t>Circulate the document outlining the key issues for the concurrent evidence session, when they are finalised.</w:t>
      </w:r>
    </w:p>
    <w:p w:rsidR="00AC3E35" w:rsidRDefault="00AC3E35"/>
    <w:sectPr w:rsidR="00AC3E35"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2D" w:rsidRDefault="0063482D" w:rsidP="004B4412">
      <w:pPr>
        <w:spacing w:before="0"/>
      </w:pPr>
      <w:r>
        <w:separator/>
      </w:r>
    </w:p>
  </w:endnote>
  <w:endnote w:type="continuationSeparator" w:id="0">
    <w:p w:rsidR="0063482D" w:rsidRDefault="0063482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autami">
    <w:altName w:val="Cambria Math"/>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2D" w:rsidRDefault="0063482D" w:rsidP="004B4412">
      <w:pPr>
        <w:spacing w:before="0"/>
      </w:pPr>
      <w:r>
        <w:separator/>
      </w:r>
    </w:p>
  </w:footnote>
  <w:footnote w:type="continuationSeparator" w:id="0">
    <w:p w:rsidR="0063482D" w:rsidRDefault="0063482D"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5664707"/>
    <w:multiLevelType w:val="hybridMultilevel"/>
    <w:tmpl w:val="519665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E06579A"/>
    <w:multiLevelType w:val="hybridMultilevel"/>
    <w:tmpl w:val="E216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15:restartNumberingAfterBreak="0">
    <w:nsid w:val="75255CD1"/>
    <w:multiLevelType w:val="multilevel"/>
    <w:tmpl w:val="26329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9"/>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7"/>
  </w:num>
  <w:num w:numId="11">
    <w:abstractNumId w:val="10"/>
  </w:num>
  <w:num w:numId="12">
    <w:abstractNumId w:val="13"/>
  </w:num>
  <w:num w:numId="13">
    <w:abstractNumId w:val="16"/>
  </w:num>
  <w:num w:numId="14">
    <w:abstractNumId w:val="2"/>
  </w:num>
  <w:num w:numId="15">
    <w:abstractNumId w:val="24"/>
  </w:num>
  <w:num w:numId="16">
    <w:abstractNumId w:val="28"/>
  </w:num>
  <w:num w:numId="17">
    <w:abstractNumId w:val="27"/>
  </w:num>
  <w:num w:numId="18">
    <w:abstractNumId w:val="20"/>
  </w:num>
  <w:num w:numId="19">
    <w:abstractNumId w:val="15"/>
  </w:num>
  <w:num w:numId="20">
    <w:abstractNumId w:val="18"/>
  </w:num>
  <w:num w:numId="21">
    <w:abstractNumId w:val="25"/>
  </w:num>
  <w:num w:numId="22">
    <w:abstractNumId w:val="21"/>
  </w:num>
  <w:num w:numId="23">
    <w:abstractNumId w:val="8"/>
  </w:num>
  <w:num w:numId="24">
    <w:abstractNumId w:val="3"/>
  </w:num>
  <w:num w:numId="25">
    <w:abstractNumId w:val="19"/>
  </w:num>
  <w:num w:numId="26">
    <w:abstractNumId w:val="12"/>
  </w:num>
  <w:num w:numId="27">
    <w:abstractNumId w:val="22"/>
  </w:num>
  <w:num w:numId="28">
    <w:abstractNumId w:val="14"/>
  </w:num>
  <w:num w:numId="29">
    <w:abstractNumId w:val="9"/>
  </w:num>
  <w:num w:numId="3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63482D"/>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B303D"/>
    <w:rsid w:val="002B6773"/>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1733"/>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3482D"/>
    <w:rsid w:val="00642C3E"/>
    <w:rsid w:val="00646025"/>
    <w:rsid w:val="00663DAD"/>
    <w:rsid w:val="00676679"/>
    <w:rsid w:val="00691616"/>
    <w:rsid w:val="006A7073"/>
    <w:rsid w:val="006B4CF9"/>
    <w:rsid w:val="006B7AC8"/>
    <w:rsid w:val="006C738F"/>
    <w:rsid w:val="006D550F"/>
    <w:rsid w:val="006D77F3"/>
    <w:rsid w:val="00701CAB"/>
    <w:rsid w:val="00707563"/>
    <w:rsid w:val="0072348C"/>
    <w:rsid w:val="00724A37"/>
    <w:rsid w:val="007303C3"/>
    <w:rsid w:val="00743223"/>
    <w:rsid w:val="00746E01"/>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8F7CCA"/>
    <w:rsid w:val="00922C95"/>
    <w:rsid w:val="009233EE"/>
    <w:rsid w:val="0093685A"/>
    <w:rsid w:val="00954F14"/>
    <w:rsid w:val="009661DE"/>
    <w:rsid w:val="009856B7"/>
    <w:rsid w:val="0098602B"/>
    <w:rsid w:val="00991B3B"/>
    <w:rsid w:val="009962BA"/>
    <w:rsid w:val="009B74B0"/>
    <w:rsid w:val="009D0400"/>
    <w:rsid w:val="009D4414"/>
    <w:rsid w:val="009D6B46"/>
    <w:rsid w:val="009F4940"/>
    <w:rsid w:val="00A0248C"/>
    <w:rsid w:val="00A1665B"/>
    <w:rsid w:val="00A323D9"/>
    <w:rsid w:val="00A4478A"/>
    <w:rsid w:val="00A44852"/>
    <w:rsid w:val="00A57D04"/>
    <w:rsid w:val="00A60A26"/>
    <w:rsid w:val="00A61598"/>
    <w:rsid w:val="00A84F46"/>
    <w:rsid w:val="00A871F4"/>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755AD"/>
    <w:rsid w:val="00C86679"/>
    <w:rsid w:val="00CB666B"/>
    <w:rsid w:val="00CF799E"/>
    <w:rsid w:val="00D01CF0"/>
    <w:rsid w:val="00D0442A"/>
    <w:rsid w:val="00D203E1"/>
    <w:rsid w:val="00D521D5"/>
    <w:rsid w:val="00D544B8"/>
    <w:rsid w:val="00D61388"/>
    <w:rsid w:val="00D61A54"/>
    <w:rsid w:val="00D64DEA"/>
    <w:rsid w:val="00D80893"/>
    <w:rsid w:val="00D92CF1"/>
    <w:rsid w:val="00D92D38"/>
    <w:rsid w:val="00D950F5"/>
    <w:rsid w:val="00DB0F93"/>
    <w:rsid w:val="00DC542F"/>
    <w:rsid w:val="00DC7981"/>
    <w:rsid w:val="00DE4EFA"/>
    <w:rsid w:val="00DE5520"/>
    <w:rsid w:val="00DE6E96"/>
    <w:rsid w:val="00E04818"/>
    <w:rsid w:val="00E06442"/>
    <w:rsid w:val="00E23993"/>
    <w:rsid w:val="00E25B8C"/>
    <w:rsid w:val="00E27642"/>
    <w:rsid w:val="00E4674F"/>
    <w:rsid w:val="00E65C85"/>
    <w:rsid w:val="00E66199"/>
    <w:rsid w:val="00E755EC"/>
    <w:rsid w:val="00E7624D"/>
    <w:rsid w:val="00EA3D42"/>
    <w:rsid w:val="00EA6B1B"/>
    <w:rsid w:val="00EE28F3"/>
    <w:rsid w:val="00EF5110"/>
    <w:rsid w:val="00F15882"/>
    <w:rsid w:val="00F20BD3"/>
    <w:rsid w:val="00F373A5"/>
    <w:rsid w:val="00F40845"/>
    <w:rsid w:val="00F47559"/>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ACCE-4836-4CFB-A116-3B66C91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82D"/>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044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3E9574-5061-49AC-AD14-FBB21FF0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Coulahan-Davy, Aidan</dc:creator>
  <cp:keywords/>
  <dc:description/>
  <cp:lastModifiedBy>Karunaratne, Mineka</cp:lastModifiedBy>
  <cp:revision>2</cp:revision>
  <dcterms:created xsi:type="dcterms:W3CDTF">2018-02-22T02:23:00Z</dcterms:created>
  <dcterms:modified xsi:type="dcterms:W3CDTF">2018-02-22T02:23:00Z</dcterms:modified>
</cp:coreProperties>
</file>