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B58" w:rsidRDefault="00364B58" w:rsidP="00364B58">
      <w:pPr>
        <w:pStyle w:val="AERtitle1"/>
      </w:pPr>
      <w:bookmarkStart w:id="0" w:name="_GoBack"/>
      <w:bookmarkEnd w:id="0"/>
      <w:r w:rsidRPr="00364B58">
        <w:rPr>
          <w:noProof/>
          <w:lang w:eastAsia="en-AU"/>
        </w:rPr>
        <w:drawing>
          <wp:anchor distT="0" distB="0" distL="114300" distR="114300" simplePos="0" relativeHeight="251661312" behindDoc="1" locked="0" layoutInCell="1" allowOverlap="1" wp14:anchorId="5C91F3D9" wp14:editId="6644C07E">
            <wp:simplePos x="0" y="0"/>
            <wp:positionH relativeFrom="column">
              <wp:posOffset>-916305</wp:posOffset>
            </wp:positionH>
            <wp:positionV relativeFrom="paragraph">
              <wp:posOffset>-915035</wp:posOffset>
            </wp:positionV>
            <wp:extent cx="7576244" cy="10706986"/>
            <wp:effectExtent l="0" t="0" r="0"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6244" cy="10706986"/>
                    </a:xfrm>
                    <a:prstGeom prst="rect">
                      <a:avLst/>
                    </a:prstGeom>
                    <a:noFill/>
                    <a:ln w="9525">
                      <a:noFill/>
                      <a:miter lim="800000"/>
                      <a:headEnd/>
                      <a:tailEnd/>
                    </a:ln>
                  </pic:spPr>
                </pic:pic>
              </a:graphicData>
            </a:graphic>
          </wp:anchor>
        </w:drawing>
      </w:r>
    </w:p>
    <w:p w:rsidR="00364B58" w:rsidRDefault="00364B58" w:rsidP="00364B58">
      <w:pPr>
        <w:pStyle w:val="AERtitle1"/>
      </w:pPr>
    </w:p>
    <w:p w:rsidR="00364B58" w:rsidRDefault="00364B58" w:rsidP="00364B58">
      <w:pPr>
        <w:pStyle w:val="AERtitle1"/>
      </w:pPr>
    </w:p>
    <w:p w:rsidR="00364B58" w:rsidRDefault="00364B58" w:rsidP="00364B58">
      <w:pPr>
        <w:pStyle w:val="AERtitle1"/>
      </w:pPr>
    </w:p>
    <w:p w:rsidR="00DC519F" w:rsidRDefault="00DC519F" w:rsidP="00364B58">
      <w:pPr>
        <w:pStyle w:val="AERtitle1"/>
      </w:pPr>
    </w:p>
    <w:p w:rsidR="00677356" w:rsidRDefault="00677356" w:rsidP="00364B58">
      <w:pPr>
        <w:pStyle w:val="AERtitle1"/>
      </w:pPr>
    </w:p>
    <w:p w:rsidR="00541087" w:rsidRPr="00B01F0C" w:rsidRDefault="00AB764B" w:rsidP="00541087">
      <w:pPr>
        <w:pStyle w:val="AERtitle1"/>
      </w:pPr>
      <w:r>
        <w:t>TransGrid</w:t>
      </w:r>
    </w:p>
    <w:p w:rsidR="00541087" w:rsidRPr="00B01F0C" w:rsidRDefault="00AB764B" w:rsidP="00541087">
      <w:pPr>
        <w:pStyle w:val="AERtitle1"/>
      </w:pPr>
      <w:r>
        <w:t>Transend</w:t>
      </w:r>
    </w:p>
    <w:p w:rsidR="00BE0B9C" w:rsidRDefault="00BE0B9C" w:rsidP="00364B58">
      <w:pPr>
        <w:pStyle w:val="AERtitle1"/>
      </w:pPr>
    </w:p>
    <w:p w:rsidR="00364B58" w:rsidRDefault="00295CD8" w:rsidP="00364B58">
      <w:pPr>
        <w:pStyle w:val="AERtitle1"/>
      </w:pPr>
      <w:r>
        <w:t>Transitional</w:t>
      </w:r>
      <w:r w:rsidR="00364B58">
        <w:t xml:space="preserve"> </w:t>
      </w:r>
      <w:r w:rsidR="00034764">
        <w:t xml:space="preserve">transmission </w:t>
      </w:r>
      <w:r w:rsidR="00A03B8D">
        <w:t>d</w:t>
      </w:r>
      <w:r w:rsidR="00DC519F">
        <w:t>etermination</w:t>
      </w:r>
      <w:r w:rsidR="00147999">
        <w:t>s</w:t>
      </w:r>
    </w:p>
    <w:p w:rsidR="00364B58" w:rsidRDefault="00364B58" w:rsidP="00364B58">
      <w:pPr>
        <w:pStyle w:val="AERtitle1"/>
      </w:pPr>
      <w:r>
        <w:t xml:space="preserve">2014–15 </w:t>
      </w:r>
    </w:p>
    <w:p w:rsidR="00364B58" w:rsidRDefault="00364B58" w:rsidP="00364B58"/>
    <w:p w:rsidR="00364B58" w:rsidRDefault="00364B58" w:rsidP="00364B58"/>
    <w:p w:rsidR="00364B58" w:rsidRPr="00F6235D" w:rsidRDefault="00364B58" w:rsidP="00364B58"/>
    <w:p w:rsidR="00364B58" w:rsidRDefault="00AB764B" w:rsidP="00364B58">
      <w:pPr>
        <w:pStyle w:val="AERtitle2"/>
      </w:pPr>
      <w:r>
        <w:t>March</w:t>
      </w:r>
      <w:r w:rsidR="00364B58">
        <w:t xml:space="preserve"> 2014</w:t>
      </w:r>
    </w:p>
    <w:p w:rsidR="00364B58" w:rsidRDefault="00364B58" w:rsidP="006D37A4"/>
    <w:p w:rsidR="00D36CD1" w:rsidRPr="00D36CD1" w:rsidRDefault="00D36CD1" w:rsidP="005B3754">
      <w:pPr>
        <w:pStyle w:val="AERbodytextnospace"/>
        <w:numPr>
          <w:ilvl w:val="0"/>
          <w:numId w:val="6"/>
        </w:numPr>
        <w:rPr>
          <w:rStyle w:val="AERtextbold"/>
          <w:b w:val="0"/>
          <w:sz w:val="40"/>
          <w:lang w:eastAsia="en-AU"/>
        </w:rPr>
      </w:pPr>
    </w:p>
    <w:p w:rsidR="00D36CD1" w:rsidRDefault="00D36CD1" w:rsidP="00297788">
      <w:pPr>
        <w:pStyle w:val="AERbodytextnospace"/>
        <w:numPr>
          <w:ilvl w:val="0"/>
          <w:numId w:val="0"/>
        </w:numPr>
        <w:rPr>
          <w:rStyle w:val="AERtextbold"/>
          <w:b w:val="0"/>
          <w:sz w:val="40"/>
          <w:lang w:eastAsia="en-AU"/>
        </w:rPr>
      </w:pPr>
    </w:p>
    <w:p w:rsidR="00297788" w:rsidRPr="00D36CD1" w:rsidRDefault="00297788" w:rsidP="00297788">
      <w:pPr>
        <w:pStyle w:val="AERbodytextnospace"/>
        <w:numPr>
          <w:ilvl w:val="0"/>
          <w:numId w:val="0"/>
        </w:numPr>
        <w:rPr>
          <w:rStyle w:val="AERtextbold"/>
          <w:b w:val="0"/>
          <w:sz w:val="40"/>
          <w:lang w:eastAsia="en-AU"/>
        </w:rPr>
      </w:pPr>
    </w:p>
    <w:p w:rsidR="00955DF1" w:rsidRPr="00955DF1" w:rsidRDefault="00955DF1" w:rsidP="005B3754">
      <w:pPr>
        <w:pStyle w:val="AERbodytextnospace"/>
        <w:numPr>
          <w:ilvl w:val="0"/>
          <w:numId w:val="6"/>
        </w:numPr>
        <w:rPr>
          <w:rStyle w:val="AERtextbold"/>
          <w:b w:val="0"/>
          <w:sz w:val="40"/>
          <w:lang w:eastAsia="en-AU"/>
        </w:rPr>
      </w:pPr>
    </w:p>
    <w:p w:rsidR="00955DF1" w:rsidRPr="00955DF1" w:rsidRDefault="00955DF1" w:rsidP="005B3754">
      <w:pPr>
        <w:pStyle w:val="AERbodytextnospace"/>
        <w:numPr>
          <w:ilvl w:val="0"/>
          <w:numId w:val="6"/>
        </w:numPr>
        <w:rPr>
          <w:rStyle w:val="AERtextbold"/>
          <w:b w:val="0"/>
          <w:sz w:val="40"/>
          <w:lang w:eastAsia="en-AU"/>
        </w:rPr>
      </w:pPr>
    </w:p>
    <w:p w:rsidR="00364B58" w:rsidRPr="008F1A4A" w:rsidRDefault="00364B58" w:rsidP="005B3754">
      <w:pPr>
        <w:pStyle w:val="AERbodytextnospace"/>
        <w:numPr>
          <w:ilvl w:val="0"/>
          <w:numId w:val="6"/>
        </w:numPr>
        <w:rPr>
          <w:rStyle w:val="AERtextbold"/>
          <w:b w:val="0"/>
          <w:sz w:val="40"/>
          <w:lang w:eastAsia="en-AU"/>
        </w:rPr>
      </w:pPr>
      <w:r w:rsidRPr="008F1A4A">
        <w:rPr>
          <w:rStyle w:val="AERtextbold"/>
        </w:rPr>
        <w:t xml:space="preserve">© </w:t>
      </w:r>
      <w:r>
        <w:rPr>
          <w:rStyle w:val="AERtextbold"/>
        </w:rPr>
        <w:t>Commonwealth of Australia 2014</w:t>
      </w:r>
    </w:p>
    <w:p w:rsidR="00364B58" w:rsidRPr="00F6235D" w:rsidRDefault="00364B58" w:rsidP="00364B58">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364B58" w:rsidRDefault="00364B58" w:rsidP="00364B58">
      <w:r>
        <w:t>Inquiries about this document should be addressed to:</w:t>
      </w:r>
    </w:p>
    <w:p w:rsidR="00364B58" w:rsidRDefault="00364B58" w:rsidP="005B3754">
      <w:pPr>
        <w:pStyle w:val="AERbodytextnospace"/>
        <w:numPr>
          <w:ilvl w:val="0"/>
          <w:numId w:val="6"/>
        </w:numPr>
      </w:pPr>
      <w:r>
        <w:t>Australian Energy Regulator</w:t>
      </w:r>
    </w:p>
    <w:p w:rsidR="00364B58" w:rsidRDefault="00364B58" w:rsidP="005B3754">
      <w:pPr>
        <w:pStyle w:val="AERbodytextnospace"/>
        <w:numPr>
          <w:ilvl w:val="0"/>
          <w:numId w:val="6"/>
        </w:numPr>
      </w:pPr>
      <w:r>
        <w:t>GPO Box 520</w:t>
      </w:r>
    </w:p>
    <w:p w:rsidR="00364B58" w:rsidRDefault="00364B58" w:rsidP="005B3754">
      <w:pPr>
        <w:pStyle w:val="AERbodytextnospace"/>
        <w:numPr>
          <w:ilvl w:val="0"/>
          <w:numId w:val="6"/>
        </w:numPr>
      </w:pPr>
      <w:r>
        <w:t>Melbourne  Vic  3001</w:t>
      </w:r>
    </w:p>
    <w:p w:rsidR="00364B58" w:rsidRDefault="00364B58" w:rsidP="005B3754">
      <w:pPr>
        <w:pStyle w:val="AERbodytextnospace"/>
        <w:numPr>
          <w:ilvl w:val="0"/>
          <w:numId w:val="6"/>
        </w:numPr>
      </w:pPr>
      <w:r>
        <w:t>Tel: (03) 9290 1444</w:t>
      </w:r>
    </w:p>
    <w:p w:rsidR="00364B58" w:rsidRDefault="00364B58" w:rsidP="005B3754">
      <w:pPr>
        <w:pStyle w:val="AERbodytextnospace"/>
        <w:numPr>
          <w:ilvl w:val="0"/>
          <w:numId w:val="6"/>
        </w:numPr>
      </w:pPr>
      <w:r>
        <w:t>Fax: (03) 9290 1457</w:t>
      </w:r>
    </w:p>
    <w:p w:rsidR="00364B58" w:rsidRDefault="00364B58" w:rsidP="005B3754">
      <w:pPr>
        <w:pStyle w:val="AERbodytextnospace"/>
        <w:numPr>
          <w:ilvl w:val="0"/>
          <w:numId w:val="6"/>
        </w:numPr>
      </w:pPr>
      <w:r>
        <w:t xml:space="preserve">Email: </w:t>
      </w:r>
      <w:hyperlink r:id="rId10" w:history="1">
        <w:r w:rsidRPr="003E184A">
          <w:rPr>
            <w:rStyle w:val="Hyperlink"/>
          </w:rPr>
          <w:t>AERInquiry@aer.gov.au</w:t>
        </w:r>
      </w:hyperlink>
    </w:p>
    <w:p w:rsidR="00364B58" w:rsidRPr="008F1A4A" w:rsidRDefault="00364B58" w:rsidP="00364B58"/>
    <w:p w:rsidR="00364B58" w:rsidRDefault="008378C8" w:rsidP="00364B58">
      <w:r>
        <w:t xml:space="preserve">AER reference:   </w:t>
      </w:r>
      <w:r w:rsidR="005F3B5A">
        <w:t>53444/53445</w:t>
      </w:r>
    </w:p>
    <w:p w:rsidR="00BF277F" w:rsidRDefault="00BF277F" w:rsidP="00BF277F">
      <w:pPr>
        <w:pStyle w:val="TOC1"/>
      </w:pPr>
    </w:p>
    <w:p w:rsidR="00BF277F" w:rsidRDefault="00BF277F" w:rsidP="00BF277F">
      <w:pPr>
        <w:pStyle w:val="TOC1"/>
      </w:pPr>
    </w:p>
    <w:p w:rsidR="00BF277F" w:rsidRDefault="00BF277F" w:rsidP="00BF277F">
      <w:pPr>
        <w:pStyle w:val="TOC1"/>
      </w:pPr>
    </w:p>
    <w:p w:rsidR="00BF277F" w:rsidRDefault="00BF277F" w:rsidP="00BF277F">
      <w:pPr>
        <w:pStyle w:val="TOC1"/>
      </w:pPr>
    </w:p>
    <w:p w:rsidR="00BF277F" w:rsidRDefault="00BF277F" w:rsidP="00BF277F">
      <w:pPr>
        <w:pStyle w:val="TOC1"/>
      </w:pPr>
    </w:p>
    <w:p w:rsidR="00BF277F" w:rsidRDefault="00BF277F" w:rsidP="00BF277F">
      <w:pPr>
        <w:pStyle w:val="TOC1"/>
      </w:pPr>
    </w:p>
    <w:p w:rsidR="00BF277F" w:rsidRDefault="00BF277F" w:rsidP="00BF277F">
      <w:pPr>
        <w:pStyle w:val="TOC1"/>
      </w:pPr>
    </w:p>
    <w:p w:rsidR="00BF277F" w:rsidRDefault="00BF277F" w:rsidP="00BF277F">
      <w:pPr>
        <w:pStyle w:val="TOC1"/>
      </w:pPr>
    </w:p>
    <w:p w:rsidR="00297788" w:rsidRDefault="00297788">
      <w:pPr>
        <w:spacing w:after="0" w:line="240" w:lineRule="auto"/>
        <w:jc w:val="left"/>
        <w:rPr>
          <w:b/>
          <w:bCs/>
        </w:rPr>
      </w:pPr>
      <w:r>
        <w:br w:type="page"/>
      </w:r>
    </w:p>
    <w:p w:rsidR="00BF277F" w:rsidRPr="00BF277F" w:rsidRDefault="004E6869" w:rsidP="004E6869">
      <w:pPr>
        <w:pStyle w:val="UnnumberedHeading"/>
      </w:pPr>
      <w:bookmarkStart w:id="1" w:name="_Toc383527650"/>
      <w:r>
        <w:lastRenderedPageBreak/>
        <w:t>Contents</w:t>
      </w:r>
      <w:bookmarkEnd w:id="1"/>
    </w:p>
    <w:sdt>
      <w:sdtPr>
        <w:rPr>
          <w:rFonts w:ascii="Gautami" w:eastAsia="Calibri" w:hAnsi="Gautami"/>
          <w:b w:val="0"/>
          <w:bCs w:val="0"/>
          <w:color w:val="auto"/>
          <w:sz w:val="20"/>
          <w:szCs w:val="20"/>
          <w:lang w:val="en-AU"/>
        </w:rPr>
        <w:id w:val="233671619"/>
        <w:docPartObj>
          <w:docPartGallery w:val="Table of Contents"/>
          <w:docPartUnique/>
        </w:docPartObj>
      </w:sdtPr>
      <w:sdtEndPr/>
      <w:sdtContent>
        <w:p w:rsidR="0094013D" w:rsidRDefault="0094013D" w:rsidP="00C2157B">
          <w:pPr>
            <w:pStyle w:val="TOCHeading"/>
            <w:rPr>
              <w:rFonts w:asciiTheme="minorHAnsi" w:eastAsiaTheme="minorEastAsia" w:hAnsiTheme="minorHAnsi" w:cstheme="minorBidi"/>
              <w:b w:val="0"/>
              <w:bCs w:val="0"/>
              <w:noProof/>
              <w:sz w:val="22"/>
              <w:szCs w:val="22"/>
              <w:lang w:eastAsia="en-AU"/>
            </w:rPr>
          </w:pPr>
          <w:r>
            <w:fldChar w:fldCharType="begin"/>
          </w:r>
          <w:r>
            <w:instrText xml:space="preserve"> TOC \o "1-2" \h \z \u \t "Heading 7,1" </w:instrText>
          </w:r>
          <w:r>
            <w:fldChar w:fldCharType="separate"/>
          </w:r>
          <w:hyperlink w:anchor="_Toc383527650" w:history="1"/>
        </w:p>
        <w:p w:rsidR="0094013D" w:rsidRDefault="006F2B34">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3527651" w:history="1">
            <w:r w:rsidR="0094013D" w:rsidRPr="00F03AC4">
              <w:rPr>
                <w:rStyle w:val="Hyperlink"/>
                <w:noProof/>
              </w:rPr>
              <w:t>Shortened forms</w:t>
            </w:r>
            <w:r w:rsidR="0094013D">
              <w:rPr>
                <w:noProof/>
                <w:webHidden/>
              </w:rPr>
              <w:tab/>
            </w:r>
            <w:r w:rsidR="0094013D">
              <w:rPr>
                <w:noProof/>
                <w:webHidden/>
              </w:rPr>
              <w:fldChar w:fldCharType="begin"/>
            </w:r>
            <w:r w:rsidR="0094013D">
              <w:rPr>
                <w:noProof/>
                <w:webHidden/>
              </w:rPr>
              <w:instrText xml:space="preserve"> PAGEREF _Toc383527651 \h </w:instrText>
            </w:r>
            <w:r w:rsidR="0094013D">
              <w:rPr>
                <w:noProof/>
                <w:webHidden/>
              </w:rPr>
            </w:r>
            <w:r w:rsidR="0094013D">
              <w:rPr>
                <w:noProof/>
                <w:webHidden/>
              </w:rPr>
              <w:fldChar w:fldCharType="separate"/>
            </w:r>
            <w:r w:rsidR="00B40E3D">
              <w:rPr>
                <w:noProof/>
                <w:webHidden/>
              </w:rPr>
              <w:t>4</w:t>
            </w:r>
            <w:r w:rsidR="0094013D">
              <w:rPr>
                <w:noProof/>
                <w:webHidden/>
              </w:rPr>
              <w:fldChar w:fldCharType="end"/>
            </w:r>
          </w:hyperlink>
        </w:p>
        <w:p w:rsidR="0094013D" w:rsidRDefault="006F2B34">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3527652" w:history="1">
            <w:r w:rsidR="0094013D" w:rsidRPr="00F03AC4">
              <w:rPr>
                <w:rStyle w:val="Hyperlink"/>
                <w:noProof/>
              </w:rPr>
              <w:t>1</w:t>
            </w:r>
            <w:r w:rsidR="0094013D">
              <w:rPr>
                <w:rFonts w:asciiTheme="minorHAnsi" w:eastAsiaTheme="minorEastAsia" w:hAnsiTheme="minorHAnsi" w:cstheme="minorBidi"/>
                <w:b w:val="0"/>
                <w:bCs w:val="0"/>
                <w:noProof/>
                <w:sz w:val="22"/>
                <w:szCs w:val="22"/>
                <w:lang w:eastAsia="en-AU"/>
              </w:rPr>
              <w:tab/>
            </w:r>
            <w:r w:rsidR="0094013D" w:rsidRPr="00F03AC4">
              <w:rPr>
                <w:rStyle w:val="Hyperlink"/>
                <w:noProof/>
              </w:rPr>
              <w:t>Overview</w:t>
            </w:r>
            <w:r w:rsidR="0094013D">
              <w:rPr>
                <w:noProof/>
                <w:webHidden/>
              </w:rPr>
              <w:tab/>
            </w:r>
            <w:r w:rsidR="0094013D">
              <w:rPr>
                <w:noProof/>
                <w:webHidden/>
              </w:rPr>
              <w:fldChar w:fldCharType="begin"/>
            </w:r>
            <w:r w:rsidR="0094013D">
              <w:rPr>
                <w:noProof/>
                <w:webHidden/>
              </w:rPr>
              <w:instrText xml:space="preserve"> PAGEREF _Toc383527652 \h </w:instrText>
            </w:r>
            <w:r w:rsidR="0094013D">
              <w:rPr>
                <w:noProof/>
                <w:webHidden/>
              </w:rPr>
            </w:r>
            <w:r w:rsidR="0094013D">
              <w:rPr>
                <w:noProof/>
                <w:webHidden/>
              </w:rPr>
              <w:fldChar w:fldCharType="separate"/>
            </w:r>
            <w:r w:rsidR="00B40E3D">
              <w:rPr>
                <w:noProof/>
                <w:webHidden/>
              </w:rPr>
              <w:t>5</w:t>
            </w:r>
            <w:r w:rsidR="0094013D">
              <w:rPr>
                <w:noProof/>
                <w:webHidden/>
              </w:rPr>
              <w:fldChar w:fldCharType="end"/>
            </w:r>
          </w:hyperlink>
        </w:p>
        <w:p w:rsidR="0094013D" w:rsidRDefault="006F2B34">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3527653" w:history="1">
            <w:r w:rsidR="0094013D" w:rsidRPr="00F03AC4">
              <w:rPr>
                <w:rStyle w:val="Hyperlink"/>
                <w:noProof/>
              </w:rPr>
              <w:t>2</w:t>
            </w:r>
            <w:r w:rsidR="0094013D">
              <w:rPr>
                <w:rFonts w:asciiTheme="minorHAnsi" w:eastAsiaTheme="minorEastAsia" w:hAnsiTheme="minorHAnsi" w:cstheme="minorBidi"/>
                <w:b w:val="0"/>
                <w:bCs w:val="0"/>
                <w:noProof/>
                <w:sz w:val="22"/>
                <w:szCs w:val="22"/>
                <w:lang w:eastAsia="en-AU"/>
              </w:rPr>
              <w:tab/>
            </w:r>
            <w:r w:rsidR="0094013D" w:rsidRPr="00F03AC4">
              <w:rPr>
                <w:rStyle w:val="Hyperlink"/>
                <w:noProof/>
              </w:rPr>
              <w:t>About this review</w:t>
            </w:r>
            <w:r w:rsidR="0094013D">
              <w:rPr>
                <w:noProof/>
                <w:webHidden/>
              </w:rPr>
              <w:tab/>
            </w:r>
            <w:r w:rsidR="0094013D">
              <w:rPr>
                <w:noProof/>
                <w:webHidden/>
              </w:rPr>
              <w:fldChar w:fldCharType="begin"/>
            </w:r>
            <w:r w:rsidR="0094013D">
              <w:rPr>
                <w:noProof/>
                <w:webHidden/>
              </w:rPr>
              <w:instrText xml:space="preserve"> PAGEREF _Toc383527653 \h </w:instrText>
            </w:r>
            <w:r w:rsidR="0094013D">
              <w:rPr>
                <w:noProof/>
                <w:webHidden/>
              </w:rPr>
            </w:r>
            <w:r w:rsidR="0094013D">
              <w:rPr>
                <w:noProof/>
                <w:webHidden/>
              </w:rPr>
              <w:fldChar w:fldCharType="separate"/>
            </w:r>
            <w:r w:rsidR="00B40E3D">
              <w:rPr>
                <w:noProof/>
                <w:webHidden/>
              </w:rPr>
              <w:t>12</w:t>
            </w:r>
            <w:r w:rsidR="0094013D">
              <w:rPr>
                <w:noProof/>
                <w:webHidden/>
              </w:rPr>
              <w:fldChar w:fldCharType="end"/>
            </w:r>
          </w:hyperlink>
        </w:p>
        <w:p w:rsidR="0094013D" w:rsidRDefault="006F2B3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527654" w:history="1">
            <w:r w:rsidR="0094013D" w:rsidRPr="00F03AC4">
              <w:rPr>
                <w:rStyle w:val="Hyperlink"/>
                <w:noProof/>
              </w:rPr>
              <w:t>2.1</w:t>
            </w:r>
            <w:r w:rsidR="0094013D">
              <w:rPr>
                <w:rFonts w:asciiTheme="minorHAnsi" w:eastAsiaTheme="minorEastAsia" w:hAnsiTheme="minorHAnsi" w:cstheme="minorBidi"/>
                <w:iCs w:val="0"/>
                <w:noProof/>
                <w:sz w:val="22"/>
                <w:szCs w:val="22"/>
                <w:lang w:eastAsia="en-AU"/>
              </w:rPr>
              <w:tab/>
            </w:r>
            <w:r w:rsidR="0094013D" w:rsidRPr="00F03AC4">
              <w:rPr>
                <w:rStyle w:val="Hyperlink"/>
                <w:noProof/>
              </w:rPr>
              <w:t>Overview</w:t>
            </w:r>
            <w:r w:rsidR="0094013D">
              <w:rPr>
                <w:noProof/>
                <w:webHidden/>
              </w:rPr>
              <w:tab/>
            </w:r>
            <w:r w:rsidR="0094013D">
              <w:rPr>
                <w:noProof/>
                <w:webHidden/>
              </w:rPr>
              <w:fldChar w:fldCharType="begin"/>
            </w:r>
            <w:r w:rsidR="0094013D">
              <w:rPr>
                <w:noProof/>
                <w:webHidden/>
              </w:rPr>
              <w:instrText xml:space="preserve"> PAGEREF _Toc383527654 \h </w:instrText>
            </w:r>
            <w:r w:rsidR="0094013D">
              <w:rPr>
                <w:noProof/>
                <w:webHidden/>
              </w:rPr>
            </w:r>
            <w:r w:rsidR="0094013D">
              <w:rPr>
                <w:noProof/>
                <w:webHidden/>
              </w:rPr>
              <w:fldChar w:fldCharType="separate"/>
            </w:r>
            <w:r w:rsidR="00B40E3D">
              <w:rPr>
                <w:noProof/>
                <w:webHidden/>
              </w:rPr>
              <w:t>12</w:t>
            </w:r>
            <w:r w:rsidR="0094013D">
              <w:rPr>
                <w:noProof/>
                <w:webHidden/>
              </w:rPr>
              <w:fldChar w:fldCharType="end"/>
            </w:r>
          </w:hyperlink>
        </w:p>
        <w:p w:rsidR="0094013D" w:rsidRDefault="006F2B3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527655" w:history="1">
            <w:r w:rsidR="0094013D" w:rsidRPr="00F03AC4">
              <w:rPr>
                <w:rStyle w:val="Hyperlink"/>
                <w:noProof/>
              </w:rPr>
              <w:t>2.2</w:t>
            </w:r>
            <w:r w:rsidR="0094013D">
              <w:rPr>
                <w:rFonts w:asciiTheme="minorHAnsi" w:eastAsiaTheme="minorEastAsia" w:hAnsiTheme="minorHAnsi" w:cstheme="minorBidi"/>
                <w:iCs w:val="0"/>
                <w:noProof/>
                <w:sz w:val="22"/>
                <w:szCs w:val="22"/>
                <w:lang w:eastAsia="en-AU"/>
              </w:rPr>
              <w:tab/>
            </w:r>
            <w:r w:rsidR="0094013D" w:rsidRPr="00F03AC4">
              <w:rPr>
                <w:rStyle w:val="Hyperlink"/>
                <w:noProof/>
              </w:rPr>
              <w:t>Review process</w:t>
            </w:r>
            <w:r w:rsidR="0094013D">
              <w:rPr>
                <w:noProof/>
                <w:webHidden/>
              </w:rPr>
              <w:tab/>
            </w:r>
            <w:r w:rsidR="0094013D">
              <w:rPr>
                <w:noProof/>
                <w:webHidden/>
              </w:rPr>
              <w:fldChar w:fldCharType="begin"/>
            </w:r>
            <w:r w:rsidR="0094013D">
              <w:rPr>
                <w:noProof/>
                <w:webHidden/>
              </w:rPr>
              <w:instrText xml:space="preserve"> PAGEREF _Toc383527655 \h </w:instrText>
            </w:r>
            <w:r w:rsidR="0094013D">
              <w:rPr>
                <w:noProof/>
                <w:webHidden/>
              </w:rPr>
            </w:r>
            <w:r w:rsidR="0094013D">
              <w:rPr>
                <w:noProof/>
                <w:webHidden/>
              </w:rPr>
              <w:fldChar w:fldCharType="separate"/>
            </w:r>
            <w:r w:rsidR="00B40E3D">
              <w:rPr>
                <w:noProof/>
                <w:webHidden/>
              </w:rPr>
              <w:t>12</w:t>
            </w:r>
            <w:r w:rsidR="0094013D">
              <w:rPr>
                <w:noProof/>
                <w:webHidden/>
              </w:rPr>
              <w:fldChar w:fldCharType="end"/>
            </w:r>
          </w:hyperlink>
        </w:p>
        <w:p w:rsidR="0094013D" w:rsidRDefault="006F2B34">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3527656" w:history="1">
            <w:r w:rsidR="0094013D" w:rsidRPr="00F03AC4">
              <w:rPr>
                <w:rStyle w:val="Hyperlink"/>
                <w:noProof/>
              </w:rPr>
              <w:t>3</w:t>
            </w:r>
            <w:r w:rsidR="0094013D">
              <w:rPr>
                <w:rFonts w:asciiTheme="minorHAnsi" w:eastAsiaTheme="minorEastAsia" w:hAnsiTheme="minorHAnsi" w:cstheme="minorBidi"/>
                <w:b w:val="0"/>
                <w:bCs w:val="0"/>
                <w:noProof/>
                <w:sz w:val="22"/>
                <w:szCs w:val="22"/>
                <w:lang w:eastAsia="en-AU"/>
              </w:rPr>
              <w:tab/>
            </w:r>
            <w:r w:rsidR="0094013D" w:rsidRPr="00F03AC4">
              <w:rPr>
                <w:rStyle w:val="Hyperlink"/>
                <w:noProof/>
              </w:rPr>
              <w:t>AER's approach</w:t>
            </w:r>
            <w:r w:rsidR="0094013D">
              <w:rPr>
                <w:noProof/>
                <w:webHidden/>
              </w:rPr>
              <w:tab/>
            </w:r>
            <w:r w:rsidR="0094013D">
              <w:rPr>
                <w:noProof/>
                <w:webHidden/>
              </w:rPr>
              <w:fldChar w:fldCharType="begin"/>
            </w:r>
            <w:r w:rsidR="0094013D">
              <w:rPr>
                <w:noProof/>
                <w:webHidden/>
              </w:rPr>
              <w:instrText xml:space="preserve"> PAGEREF _Toc383527656 \h </w:instrText>
            </w:r>
            <w:r w:rsidR="0094013D">
              <w:rPr>
                <w:noProof/>
                <w:webHidden/>
              </w:rPr>
            </w:r>
            <w:r w:rsidR="0094013D">
              <w:rPr>
                <w:noProof/>
                <w:webHidden/>
              </w:rPr>
              <w:fldChar w:fldCharType="separate"/>
            </w:r>
            <w:r w:rsidR="00B40E3D">
              <w:rPr>
                <w:noProof/>
                <w:webHidden/>
              </w:rPr>
              <w:t>14</w:t>
            </w:r>
            <w:r w:rsidR="0094013D">
              <w:rPr>
                <w:noProof/>
                <w:webHidden/>
              </w:rPr>
              <w:fldChar w:fldCharType="end"/>
            </w:r>
          </w:hyperlink>
        </w:p>
        <w:p w:rsidR="0094013D" w:rsidRDefault="006F2B3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527657" w:history="1">
            <w:r w:rsidR="0094013D" w:rsidRPr="00F03AC4">
              <w:rPr>
                <w:rStyle w:val="Hyperlink"/>
                <w:noProof/>
              </w:rPr>
              <w:t>3.1</w:t>
            </w:r>
            <w:r w:rsidR="0094013D">
              <w:rPr>
                <w:rFonts w:asciiTheme="minorHAnsi" w:eastAsiaTheme="minorEastAsia" w:hAnsiTheme="minorHAnsi" w:cstheme="minorBidi"/>
                <w:iCs w:val="0"/>
                <w:noProof/>
                <w:sz w:val="22"/>
                <w:szCs w:val="22"/>
                <w:lang w:eastAsia="en-AU"/>
              </w:rPr>
              <w:tab/>
            </w:r>
            <w:r w:rsidR="0094013D" w:rsidRPr="00F03AC4">
              <w:rPr>
                <w:rStyle w:val="Hyperlink"/>
                <w:noProof/>
              </w:rPr>
              <w:t>Assessment criteria</w:t>
            </w:r>
            <w:r w:rsidR="0094013D">
              <w:rPr>
                <w:noProof/>
                <w:webHidden/>
              </w:rPr>
              <w:tab/>
            </w:r>
            <w:r w:rsidR="0094013D">
              <w:rPr>
                <w:noProof/>
                <w:webHidden/>
              </w:rPr>
              <w:fldChar w:fldCharType="begin"/>
            </w:r>
            <w:r w:rsidR="0094013D">
              <w:rPr>
                <w:noProof/>
                <w:webHidden/>
              </w:rPr>
              <w:instrText xml:space="preserve"> PAGEREF _Toc383527657 \h </w:instrText>
            </w:r>
            <w:r w:rsidR="0094013D">
              <w:rPr>
                <w:noProof/>
                <w:webHidden/>
              </w:rPr>
            </w:r>
            <w:r w:rsidR="0094013D">
              <w:rPr>
                <w:noProof/>
                <w:webHidden/>
              </w:rPr>
              <w:fldChar w:fldCharType="separate"/>
            </w:r>
            <w:r w:rsidR="00B40E3D">
              <w:rPr>
                <w:noProof/>
                <w:webHidden/>
              </w:rPr>
              <w:t>14</w:t>
            </w:r>
            <w:r w:rsidR="0094013D">
              <w:rPr>
                <w:noProof/>
                <w:webHidden/>
              </w:rPr>
              <w:fldChar w:fldCharType="end"/>
            </w:r>
          </w:hyperlink>
        </w:p>
        <w:p w:rsidR="0094013D" w:rsidRDefault="006F2B3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527658" w:history="1">
            <w:r w:rsidR="0094013D" w:rsidRPr="00F03AC4">
              <w:rPr>
                <w:rStyle w:val="Hyperlink"/>
                <w:noProof/>
              </w:rPr>
              <w:t>3.2</w:t>
            </w:r>
            <w:r w:rsidR="0094013D">
              <w:rPr>
                <w:rFonts w:asciiTheme="minorHAnsi" w:eastAsiaTheme="minorEastAsia" w:hAnsiTheme="minorHAnsi" w:cstheme="minorBidi"/>
                <w:iCs w:val="0"/>
                <w:noProof/>
                <w:sz w:val="22"/>
                <w:szCs w:val="22"/>
                <w:lang w:eastAsia="en-AU"/>
              </w:rPr>
              <w:tab/>
            </w:r>
            <w:r w:rsidR="0094013D" w:rsidRPr="00F03AC4">
              <w:rPr>
                <w:rStyle w:val="Hyperlink"/>
                <w:noProof/>
              </w:rPr>
              <w:t>Assessment approach</w:t>
            </w:r>
            <w:r w:rsidR="0094013D">
              <w:rPr>
                <w:noProof/>
                <w:webHidden/>
              </w:rPr>
              <w:tab/>
            </w:r>
            <w:r w:rsidR="0094013D">
              <w:rPr>
                <w:noProof/>
                <w:webHidden/>
              </w:rPr>
              <w:fldChar w:fldCharType="begin"/>
            </w:r>
            <w:r w:rsidR="0094013D">
              <w:rPr>
                <w:noProof/>
                <w:webHidden/>
              </w:rPr>
              <w:instrText xml:space="preserve"> PAGEREF _Toc383527658 \h </w:instrText>
            </w:r>
            <w:r w:rsidR="0094013D">
              <w:rPr>
                <w:noProof/>
                <w:webHidden/>
              </w:rPr>
            </w:r>
            <w:r w:rsidR="0094013D">
              <w:rPr>
                <w:noProof/>
                <w:webHidden/>
              </w:rPr>
              <w:fldChar w:fldCharType="separate"/>
            </w:r>
            <w:r w:rsidR="00B40E3D">
              <w:rPr>
                <w:noProof/>
                <w:webHidden/>
              </w:rPr>
              <w:t>15</w:t>
            </w:r>
            <w:r w:rsidR="0094013D">
              <w:rPr>
                <w:noProof/>
                <w:webHidden/>
              </w:rPr>
              <w:fldChar w:fldCharType="end"/>
            </w:r>
          </w:hyperlink>
        </w:p>
        <w:p w:rsidR="0094013D" w:rsidRDefault="006F2B34">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3527659" w:history="1">
            <w:r w:rsidR="0094013D" w:rsidRPr="00F03AC4">
              <w:rPr>
                <w:rStyle w:val="Hyperlink"/>
                <w:noProof/>
              </w:rPr>
              <w:t>4</w:t>
            </w:r>
            <w:r w:rsidR="0094013D">
              <w:rPr>
                <w:rFonts w:asciiTheme="minorHAnsi" w:eastAsiaTheme="minorEastAsia" w:hAnsiTheme="minorHAnsi" w:cstheme="minorBidi"/>
                <w:b w:val="0"/>
                <w:bCs w:val="0"/>
                <w:noProof/>
                <w:sz w:val="22"/>
                <w:szCs w:val="22"/>
                <w:lang w:eastAsia="en-AU"/>
              </w:rPr>
              <w:tab/>
            </w:r>
            <w:r w:rsidR="0094013D" w:rsidRPr="00F03AC4">
              <w:rPr>
                <w:rStyle w:val="Hyperlink"/>
                <w:noProof/>
              </w:rPr>
              <w:t>Revenues for the transitional year</w:t>
            </w:r>
            <w:r w:rsidR="0094013D">
              <w:rPr>
                <w:noProof/>
                <w:webHidden/>
              </w:rPr>
              <w:tab/>
            </w:r>
            <w:r w:rsidR="0094013D">
              <w:rPr>
                <w:noProof/>
                <w:webHidden/>
              </w:rPr>
              <w:fldChar w:fldCharType="begin"/>
            </w:r>
            <w:r w:rsidR="0094013D">
              <w:rPr>
                <w:noProof/>
                <w:webHidden/>
              </w:rPr>
              <w:instrText xml:space="preserve"> PAGEREF _Toc383527659 \h </w:instrText>
            </w:r>
            <w:r w:rsidR="0094013D">
              <w:rPr>
                <w:noProof/>
                <w:webHidden/>
              </w:rPr>
            </w:r>
            <w:r w:rsidR="0094013D">
              <w:rPr>
                <w:noProof/>
                <w:webHidden/>
              </w:rPr>
              <w:fldChar w:fldCharType="separate"/>
            </w:r>
            <w:r w:rsidR="00B40E3D">
              <w:rPr>
                <w:noProof/>
                <w:webHidden/>
              </w:rPr>
              <w:t>17</w:t>
            </w:r>
            <w:r w:rsidR="0094013D">
              <w:rPr>
                <w:noProof/>
                <w:webHidden/>
              </w:rPr>
              <w:fldChar w:fldCharType="end"/>
            </w:r>
          </w:hyperlink>
        </w:p>
        <w:p w:rsidR="0094013D" w:rsidRDefault="006F2B3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527660" w:history="1">
            <w:r w:rsidR="0094013D" w:rsidRPr="00F03AC4">
              <w:rPr>
                <w:rStyle w:val="Hyperlink"/>
                <w:noProof/>
              </w:rPr>
              <w:t>4.1</w:t>
            </w:r>
            <w:r w:rsidR="0094013D">
              <w:rPr>
                <w:rFonts w:asciiTheme="minorHAnsi" w:eastAsiaTheme="minorEastAsia" w:hAnsiTheme="minorHAnsi" w:cstheme="minorBidi"/>
                <w:iCs w:val="0"/>
                <w:noProof/>
                <w:sz w:val="22"/>
                <w:szCs w:val="22"/>
                <w:lang w:eastAsia="en-AU"/>
              </w:rPr>
              <w:tab/>
            </w:r>
            <w:r w:rsidR="0094013D" w:rsidRPr="00F03AC4">
              <w:rPr>
                <w:rStyle w:val="Hyperlink"/>
                <w:noProof/>
              </w:rPr>
              <w:t>Maximum allowed revenue for transitional year</w:t>
            </w:r>
            <w:r w:rsidR="0094013D">
              <w:rPr>
                <w:noProof/>
                <w:webHidden/>
              </w:rPr>
              <w:tab/>
            </w:r>
            <w:r w:rsidR="0094013D">
              <w:rPr>
                <w:noProof/>
                <w:webHidden/>
              </w:rPr>
              <w:fldChar w:fldCharType="begin"/>
            </w:r>
            <w:r w:rsidR="0094013D">
              <w:rPr>
                <w:noProof/>
                <w:webHidden/>
              </w:rPr>
              <w:instrText xml:space="preserve"> PAGEREF _Toc383527660 \h </w:instrText>
            </w:r>
            <w:r w:rsidR="0094013D">
              <w:rPr>
                <w:noProof/>
                <w:webHidden/>
              </w:rPr>
            </w:r>
            <w:r w:rsidR="0094013D">
              <w:rPr>
                <w:noProof/>
                <w:webHidden/>
              </w:rPr>
              <w:fldChar w:fldCharType="separate"/>
            </w:r>
            <w:r w:rsidR="00B40E3D">
              <w:rPr>
                <w:noProof/>
                <w:webHidden/>
              </w:rPr>
              <w:t>17</w:t>
            </w:r>
            <w:r w:rsidR="0094013D">
              <w:rPr>
                <w:noProof/>
                <w:webHidden/>
              </w:rPr>
              <w:fldChar w:fldCharType="end"/>
            </w:r>
          </w:hyperlink>
        </w:p>
        <w:p w:rsidR="0094013D" w:rsidRDefault="006F2B3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527661" w:history="1">
            <w:r w:rsidR="0094013D" w:rsidRPr="00F03AC4">
              <w:rPr>
                <w:rStyle w:val="Hyperlink"/>
                <w:noProof/>
              </w:rPr>
              <w:t>4.2</w:t>
            </w:r>
            <w:r w:rsidR="0094013D">
              <w:rPr>
                <w:rFonts w:asciiTheme="minorHAnsi" w:eastAsiaTheme="minorEastAsia" w:hAnsiTheme="minorHAnsi" w:cstheme="minorBidi"/>
                <w:iCs w:val="0"/>
                <w:noProof/>
                <w:sz w:val="22"/>
                <w:szCs w:val="22"/>
                <w:lang w:eastAsia="en-AU"/>
              </w:rPr>
              <w:tab/>
            </w:r>
            <w:r w:rsidR="0094013D" w:rsidRPr="00F03AC4">
              <w:rPr>
                <w:rStyle w:val="Hyperlink"/>
                <w:noProof/>
              </w:rPr>
              <w:t>Key components and drivers of the maximum allowed revenue</w:t>
            </w:r>
            <w:r w:rsidR="0094013D">
              <w:rPr>
                <w:noProof/>
                <w:webHidden/>
              </w:rPr>
              <w:tab/>
            </w:r>
            <w:r w:rsidR="0094013D">
              <w:rPr>
                <w:noProof/>
                <w:webHidden/>
              </w:rPr>
              <w:fldChar w:fldCharType="begin"/>
            </w:r>
            <w:r w:rsidR="0094013D">
              <w:rPr>
                <w:noProof/>
                <w:webHidden/>
              </w:rPr>
              <w:instrText xml:space="preserve"> PAGEREF _Toc383527661 \h </w:instrText>
            </w:r>
            <w:r w:rsidR="0094013D">
              <w:rPr>
                <w:noProof/>
                <w:webHidden/>
              </w:rPr>
            </w:r>
            <w:r w:rsidR="0094013D">
              <w:rPr>
                <w:noProof/>
                <w:webHidden/>
              </w:rPr>
              <w:fldChar w:fldCharType="separate"/>
            </w:r>
            <w:r w:rsidR="00B40E3D">
              <w:rPr>
                <w:noProof/>
                <w:webHidden/>
              </w:rPr>
              <w:t>22</w:t>
            </w:r>
            <w:r w:rsidR="0094013D">
              <w:rPr>
                <w:noProof/>
                <w:webHidden/>
              </w:rPr>
              <w:fldChar w:fldCharType="end"/>
            </w:r>
          </w:hyperlink>
        </w:p>
        <w:p w:rsidR="0094013D" w:rsidRDefault="006F2B34">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3527662" w:history="1">
            <w:r w:rsidR="0094013D" w:rsidRPr="00F03AC4">
              <w:rPr>
                <w:rStyle w:val="Hyperlink"/>
                <w:noProof/>
              </w:rPr>
              <w:t>5</w:t>
            </w:r>
            <w:r w:rsidR="0094013D">
              <w:rPr>
                <w:rFonts w:asciiTheme="minorHAnsi" w:eastAsiaTheme="minorEastAsia" w:hAnsiTheme="minorHAnsi" w:cstheme="minorBidi"/>
                <w:b w:val="0"/>
                <w:bCs w:val="0"/>
                <w:noProof/>
                <w:sz w:val="22"/>
                <w:szCs w:val="22"/>
                <w:lang w:eastAsia="en-AU"/>
              </w:rPr>
              <w:tab/>
            </w:r>
            <w:r w:rsidR="0094013D" w:rsidRPr="00F03AC4">
              <w:rPr>
                <w:rStyle w:val="Hyperlink"/>
                <w:noProof/>
              </w:rPr>
              <w:t>Other constituent decisions</w:t>
            </w:r>
            <w:r w:rsidR="0094013D">
              <w:rPr>
                <w:noProof/>
                <w:webHidden/>
              </w:rPr>
              <w:tab/>
            </w:r>
            <w:r w:rsidR="0094013D">
              <w:rPr>
                <w:noProof/>
                <w:webHidden/>
              </w:rPr>
              <w:fldChar w:fldCharType="begin"/>
            </w:r>
            <w:r w:rsidR="0094013D">
              <w:rPr>
                <w:noProof/>
                <w:webHidden/>
              </w:rPr>
              <w:instrText xml:space="preserve"> PAGEREF _Toc383527662 \h </w:instrText>
            </w:r>
            <w:r w:rsidR="0094013D">
              <w:rPr>
                <w:noProof/>
                <w:webHidden/>
              </w:rPr>
            </w:r>
            <w:r w:rsidR="0094013D">
              <w:rPr>
                <w:noProof/>
                <w:webHidden/>
              </w:rPr>
              <w:fldChar w:fldCharType="separate"/>
            </w:r>
            <w:r w:rsidR="00B40E3D">
              <w:rPr>
                <w:noProof/>
                <w:webHidden/>
              </w:rPr>
              <w:t>31</w:t>
            </w:r>
            <w:r w:rsidR="0094013D">
              <w:rPr>
                <w:noProof/>
                <w:webHidden/>
              </w:rPr>
              <w:fldChar w:fldCharType="end"/>
            </w:r>
          </w:hyperlink>
        </w:p>
        <w:p w:rsidR="0094013D" w:rsidRDefault="006F2B3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527663" w:history="1">
            <w:r w:rsidR="0094013D" w:rsidRPr="00F03AC4">
              <w:rPr>
                <w:rStyle w:val="Hyperlink"/>
                <w:noProof/>
              </w:rPr>
              <w:t>5.1</w:t>
            </w:r>
            <w:r w:rsidR="0094013D">
              <w:rPr>
                <w:rFonts w:asciiTheme="minorHAnsi" w:eastAsiaTheme="minorEastAsia" w:hAnsiTheme="minorHAnsi" w:cstheme="minorBidi"/>
                <w:iCs w:val="0"/>
                <w:noProof/>
                <w:sz w:val="22"/>
                <w:szCs w:val="22"/>
                <w:lang w:eastAsia="en-AU"/>
              </w:rPr>
              <w:tab/>
            </w:r>
            <w:r w:rsidR="0094013D" w:rsidRPr="00F03AC4">
              <w:rPr>
                <w:rStyle w:val="Hyperlink"/>
                <w:noProof/>
              </w:rPr>
              <w:t>Application of the EBSS in the transitional regulatory control period</w:t>
            </w:r>
            <w:r w:rsidR="0094013D">
              <w:rPr>
                <w:noProof/>
                <w:webHidden/>
              </w:rPr>
              <w:tab/>
            </w:r>
            <w:r w:rsidR="0094013D">
              <w:rPr>
                <w:noProof/>
                <w:webHidden/>
              </w:rPr>
              <w:fldChar w:fldCharType="begin"/>
            </w:r>
            <w:r w:rsidR="0094013D">
              <w:rPr>
                <w:noProof/>
                <w:webHidden/>
              </w:rPr>
              <w:instrText xml:space="preserve"> PAGEREF _Toc383527663 \h </w:instrText>
            </w:r>
            <w:r w:rsidR="0094013D">
              <w:rPr>
                <w:noProof/>
                <w:webHidden/>
              </w:rPr>
            </w:r>
            <w:r w:rsidR="0094013D">
              <w:rPr>
                <w:noProof/>
                <w:webHidden/>
              </w:rPr>
              <w:fldChar w:fldCharType="separate"/>
            </w:r>
            <w:r w:rsidR="00B40E3D">
              <w:rPr>
                <w:noProof/>
                <w:webHidden/>
              </w:rPr>
              <w:t>31</w:t>
            </w:r>
            <w:r w:rsidR="0094013D">
              <w:rPr>
                <w:noProof/>
                <w:webHidden/>
              </w:rPr>
              <w:fldChar w:fldCharType="end"/>
            </w:r>
          </w:hyperlink>
        </w:p>
        <w:p w:rsidR="0094013D" w:rsidRDefault="006F2B3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527664" w:history="1">
            <w:r w:rsidR="0094013D" w:rsidRPr="00F03AC4">
              <w:rPr>
                <w:rStyle w:val="Hyperlink"/>
                <w:noProof/>
              </w:rPr>
              <w:t>5.2</w:t>
            </w:r>
            <w:r w:rsidR="0094013D">
              <w:rPr>
                <w:rFonts w:asciiTheme="minorHAnsi" w:eastAsiaTheme="minorEastAsia" w:hAnsiTheme="minorHAnsi" w:cstheme="minorBidi"/>
                <w:iCs w:val="0"/>
                <w:noProof/>
                <w:sz w:val="22"/>
                <w:szCs w:val="22"/>
                <w:lang w:eastAsia="en-AU"/>
              </w:rPr>
              <w:tab/>
            </w:r>
            <w:r w:rsidR="0094013D" w:rsidRPr="00F03AC4">
              <w:rPr>
                <w:rStyle w:val="Hyperlink"/>
                <w:noProof/>
              </w:rPr>
              <w:t>Application of the STPIS in the transitional regulatory control period</w:t>
            </w:r>
            <w:r w:rsidR="0094013D">
              <w:rPr>
                <w:noProof/>
                <w:webHidden/>
              </w:rPr>
              <w:tab/>
            </w:r>
            <w:r w:rsidR="0094013D">
              <w:rPr>
                <w:noProof/>
                <w:webHidden/>
              </w:rPr>
              <w:fldChar w:fldCharType="begin"/>
            </w:r>
            <w:r w:rsidR="0094013D">
              <w:rPr>
                <w:noProof/>
                <w:webHidden/>
              </w:rPr>
              <w:instrText xml:space="preserve"> PAGEREF _Toc383527664 \h </w:instrText>
            </w:r>
            <w:r w:rsidR="0094013D">
              <w:rPr>
                <w:noProof/>
                <w:webHidden/>
              </w:rPr>
            </w:r>
            <w:r w:rsidR="0094013D">
              <w:rPr>
                <w:noProof/>
                <w:webHidden/>
              </w:rPr>
              <w:fldChar w:fldCharType="separate"/>
            </w:r>
            <w:r w:rsidR="00B40E3D">
              <w:rPr>
                <w:noProof/>
                <w:webHidden/>
              </w:rPr>
              <w:t>31</w:t>
            </w:r>
            <w:r w:rsidR="0094013D">
              <w:rPr>
                <w:noProof/>
                <w:webHidden/>
              </w:rPr>
              <w:fldChar w:fldCharType="end"/>
            </w:r>
          </w:hyperlink>
        </w:p>
        <w:p w:rsidR="0094013D" w:rsidRDefault="006F2B3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527665" w:history="1">
            <w:r w:rsidR="0094013D" w:rsidRPr="00F03AC4">
              <w:rPr>
                <w:rStyle w:val="Hyperlink"/>
                <w:noProof/>
              </w:rPr>
              <w:t>5.3</w:t>
            </w:r>
            <w:r w:rsidR="0094013D">
              <w:rPr>
                <w:rFonts w:asciiTheme="minorHAnsi" w:eastAsiaTheme="minorEastAsia" w:hAnsiTheme="minorHAnsi" w:cstheme="minorBidi"/>
                <w:iCs w:val="0"/>
                <w:noProof/>
                <w:sz w:val="22"/>
                <w:szCs w:val="22"/>
                <w:lang w:eastAsia="en-AU"/>
              </w:rPr>
              <w:tab/>
            </w:r>
            <w:r w:rsidR="0094013D" w:rsidRPr="00F03AC4">
              <w:rPr>
                <w:rStyle w:val="Hyperlink"/>
                <w:noProof/>
              </w:rPr>
              <w:t>Application of the CESS in the transitional regulatory control period</w:t>
            </w:r>
            <w:r w:rsidR="0094013D">
              <w:rPr>
                <w:noProof/>
                <w:webHidden/>
              </w:rPr>
              <w:tab/>
            </w:r>
            <w:r w:rsidR="0094013D">
              <w:rPr>
                <w:noProof/>
                <w:webHidden/>
              </w:rPr>
              <w:fldChar w:fldCharType="begin"/>
            </w:r>
            <w:r w:rsidR="0094013D">
              <w:rPr>
                <w:noProof/>
                <w:webHidden/>
              </w:rPr>
              <w:instrText xml:space="preserve"> PAGEREF _Toc383527665 \h </w:instrText>
            </w:r>
            <w:r w:rsidR="0094013D">
              <w:rPr>
                <w:noProof/>
                <w:webHidden/>
              </w:rPr>
            </w:r>
            <w:r w:rsidR="0094013D">
              <w:rPr>
                <w:noProof/>
                <w:webHidden/>
              </w:rPr>
              <w:fldChar w:fldCharType="separate"/>
            </w:r>
            <w:r w:rsidR="00B40E3D">
              <w:rPr>
                <w:noProof/>
                <w:webHidden/>
              </w:rPr>
              <w:t>37</w:t>
            </w:r>
            <w:r w:rsidR="0094013D">
              <w:rPr>
                <w:noProof/>
                <w:webHidden/>
              </w:rPr>
              <w:fldChar w:fldCharType="end"/>
            </w:r>
          </w:hyperlink>
        </w:p>
        <w:p w:rsidR="0094013D" w:rsidRDefault="006F2B3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527666" w:history="1">
            <w:r w:rsidR="0094013D" w:rsidRPr="00F03AC4">
              <w:rPr>
                <w:rStyle w:val="Hyperlink"/>
                <w:noProof/>
              </w:rPr>
              <w:t>5.4</w:t>
            </w:r>
            <w:r w:rsidR="0094013D">
              <w:rPr>
                <w:rFonts w:asciiTheme="minorHAnsi" w:eastAsiaTheme="minorEastAsia" w:hAnsiTheme="minorHAnsi" w:cstheme="minorBidi"/>
                <w:iCs w:val="0"/>
                <w:noProof/>
                <w:sz w:val="22"/>
                <w:szCs w:val="22"/>
                <w:lang w:eastAsia="en-AU"/>
              </w:rPr>
              <w:tab/>
            </w:r>
            <w:r w:rsidR="0094013D" w:rsidRPr="00F03AC4">
              <w:rPr>
                <w:rStyle w:val="Hyperlink"/>
                <w:noProof/>
              </w:rPr>
              <w:t>Application of the small-scale incentive scheme in the transitional regulatory control period</w:t>
            </w:r>
            <w:r w:rsidR="0094013D">
              <w:rPr>
                <w:noProof/>
                <w:webHidden/>
              </w:rPr>
              <w:tab/>
            </w:r>
            <w:r w:rsidR="0094013D">
              <w:rPr>
                <w:noProof/>
                <w:webHidden/>
              </w:rPr>
              <w:fldChar w:fldCharType="begin"/>
            </w:r>
            <w:r w:rsidR="0094013D">
              <w:rPr>
                <w:noProof/>
                <w:webHidden/>
              </w:rPr>
              <w:instrText xml:space="preserve"> PAGEREF _Toc383527666 \h </w:instrText>
            </w:r>
            <w:r w:rsidR="0094013D">
              <w:rPr>
                <w:noProof/>
                <w:webHidden/>
              </w:rPr>
            </w:r>
            <w:r w:rsidR="0094013D">
              <w:rPr>
                <w:noProof/>
                <w:webHidden/>
              </w:rPr>
              <w:fldChar w:fldCharType="separate"/>
            </w:r>
            <w:r w:rsidR="00B40E3D">
              <w:rPr>
                <w:noProof/>
                <w:webHidden/>
              </w:rPr>
              <w:t>38</w:t>
            </w:r>
            <w:r w:rsidR="0094013D">
              <w:rPr>
                <w:noProof/>
                <w:webHidden/>
              </w:rPr>
              <w:fldChar w:fldCharType="end"/>
            </w:r>
          </w:hyperlink>
        </w:p>
        <w:p w:rsidR="0094013D" w:rsidRDefault="006F2B3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527667" w:history="1">
            <w:r w:rsidR="0094013D" w:rsidRPr="00F03AC4">
              <w:rPr>
                <w:rStyle w:val="Hyperlink"/>
                <w:noProof/>
              </w:rPr>
              <w:t>5.5</w:t>
            </w:r>
            <w:r w:rsidR="0094013D">
              <w:rPr>
                <w:rFonts w:asciiTheme="minorHAnsi" w:eastAsiaTheme="minorEastAsia" w:hAnsiTheme="minorHAnsi" w:cstheme="minorBidi"/>
                <w:iCs w:val="0"/>
                <w:noProof/>
                <w:sz w:val="22"/>
                <w:szCs w:val="22"/>
                <w:lang w:eastAsia="en-AU"/>
              </w:rPr>
              <w:tab/>
            </w:r>
            <w:r w:rsidR="0094013D" w:rsidRPr="00F03AC4">
              <w:rPr>
                <w:rStyle w:val="Hyperlink"/>
                <w:noProof/>
              </w:rPr>
              <w:t>Pass through event</w:t>
            </w:r>
            <w:r w:rsidR="0094013D">
              <w:rPr>
                <w:noProof/>
                <w:webHidden/>
              </w:rPr>
              <w:tab/>
            </w:r>
            <w:r w:rsidR="0094013D">
              <w:rPr>
                <w:noProof/>
                <w:webHidden/>
              </w:rPr>
              <w:fldChar w:fldCharType="begin"/>
            </w:r>
            <w:r w:rsidR="0094013D">
              <w:rPr>
                <w:noProof/>
                <w:webHidden/>
              </w:rPr>
              <w:instrText xml:space="preserve"> PAGEREF _Toc383527667 \h </w:instrText>
            </w:r>
            <w:r w:rsidR="0094013D">
              <w:rPr>
                <w:noProof/>
                <w:webHidden/>
              </w:rPr>
            </w:r>
            <w:r w:rsidR="0094013D">
              <w:rPr>
                <w:noProof/>
                <w:webHidden/>
              </w:rPr>
              <w:fldChar w:fldCharType="separate"/>
            </w:r>
            <w:r w:rsidR="00B40E3D">
              <w:rPr>
                <w:noProof/>
                <w:webHidden/>
              </w:rPr>
              <w:t>38</w:t>
            </w:r>
            <w:r w:rsidR="0094013D">
              <w:rPr>
                <w:noProof/>
                <w:webHidden/>
              </w:rPr>
              <w:fldChar w:fldCharType="end"/>
            </w:r>
          </w:hyperlink>
        </w:p>
        <w:p w:rsidR="0094013D" w:rsidRDefault="006F2B3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527668" w:history="1">
            <w:r w:rsidR="0094013D" w:rsidRPr="00F03AC4">
              <w:rPr>
                <w:rStyle w:val="Hyperlink"/>
                <w:noProof/>
              </w:rPr>
              <w:t>5.6</w:t>
            </w:r>
            <w:r w:rsidR="0094013D">
              <w:rPr>
                <w:rFonts w:asciiTheme="minorHAnsi" w:eastAsiaTheme="minorEastAsia" w:hAnsiTheme="minorHAnsi" w:cstheme="minorBidi"/>
                <w:iCs w:val="0"/>
                <w:noProof/>
                <w:sz w:val="22"/>
                <w:szCs w:val="22"/>
                <w:lang w:eastAsia="en-AU"/>
              </w:rPr>
              <w:tab/>
            </w:r>
            <w:r w:rsidR="0094013D" w:rsidRPr="00F03AC4">
              <w:rPr>
                <w:rStyle w:val="Hyperlink"/>
                <w:noProof/>
              </w:rPr>
              <w:t>Negotiating framework</w:t>
            </w:r>
            <w:r w:rsidR="0094013D">
              <w:rPr>
                <w:noProof/>
                <w:webHidden/>
              </w:rPr>
              <w:tab/>
            </w:r>
            <w:r w:rsidR="0094013D">
              <w:rPr>
                <w:noProof/>
                <w:webHidden/>
              </w:rPr>
              <w:fldChar w:fldCharType="begin"/>
            </w:r>
            <w:r w:rsidR="0094013D">
              <w:rPr>
                <w:noProof/>
                <w:webHidden/>
              </w:rPr>
              <w:instrText xml:space="preserve"> PAGEREF _Toc383527668 \h </w:instrText>
            </w:r>
            <w:r w:rsidR="0094013D">
              <w:rPr>
                <w:noProof/>
                <w:webHidden/>
              </w:rPr>
            </w:r>
            <w:r w:rsidR="0094013D">
              <w:rPr>
                <w:noProof/>
                <w:webHidden/>
              </w:rPr>
              <w:fldChar w:fldCharType="separate"/>
            </w:r>
            <w:r w:rsidR="00B40E3D">
              <w:rPr>
                <w:noProof/>
                <w:webHidden/>
              </w:rPr>
              <w:t>39</w:t>
            </w:r>
            <w:r w:rsidR="0094013D">
              <w:rPr>
                <w:noProof/>
                <w:webHidden/>
              </w:rPr>
              <w:fldChar w:fldCharType="end"/>
            </w:r>
          </w:hyperlink>
        </w:p>
        <w:p w:rsidR="0094013D" w:rsidRDefault="006F2B3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527669" w:history="1">
            <w:r w:rsidR="0094013D" w:rsidRPr="00F03AC4">
              <w:rPr>
                <w:rStyle w:val="Hyperlink"/>
                <w:noProof/>
              </w:rPr>
              <w:t>5.7</w:t>
            </w:r>
            <w:r w:rsidR="0094013D">
              <w:rPr>
                <w:rFonts w:asciiTheme="minorHAnsi" w:eastAsiaTheme="minorEastAsia" w:hAnsiTheme="minorHAnsi" w:cstheme="minorBidi"/>
                <w:iCs w:val="0"/>
                <w:noProof/>
                <w:sz w:val="22"/>
                <w:szCs w:val="22"/>
                <w:lang w:eastAsia="en-AU"/>
              </w:rPr>
              <w:tab/>
            </w:r>
            <w:r w:rsidR="0094013D" w:rsidRPr="00F03AC4">
              <w:rPr>
                <w:rStyle w:val="Hyperlink"/>
                <w:noProof/>
              </w:rPr>
              <w:t>Negotiated transmission service criteria</w:t>
            </w:r>
            <w:r w:rsidR="0094013D">
              <w:rPr>
                <w:noProof/>
                <w:webHidden/>
              </w:rPr>
              <w:tab/>
            </w:r>
            <w:r w:rsidR="0094013D">
              <w:rPr>
                <w:noProof/>
                <w:webHidden/>
              </w:rPr>
              <w:fldChar w:fldCharType="begin"/>
            </w:r>
            <w:r w:rsidR="0094013D">
              <w:rPr>
                <w:noProof/>
                <w:webHidden/>
              </w:rPr>
              <w:instrText xml:space="preserve"> PAGEREF _Toc383527669 \h </w:instrText>
            </w:r>
            <w:r w:rsidR="0094013D">
              <w:rPr>
                <w:noProof/>
                <w:webHidden/>
              </w:rPr>
            </w:r>
            <w:r w:rsidR="0094013D">
              <w:rPr>
                <w:noProof/>
                <w:webHidden/>
              </w:rPr>
              <w:fldChar w:fldCharType="separate"/>
            </w:r>
            <w:r w:rsidR="00B40E3D">
              <w:rPr>
                <w:noProof/>
                <w:webHidden/>
              </w:rPr>
              <w:t>39</w:t>
            </w:r>
            <w:r w:rsidR="0094013D">
              <w:rPr>
                <w:noProof/>
                <w:webHidden/>
              </w:rPr>
              <w:fldChar w:fldCharType="end"/>
            </w:r>
          </w:hyperlink>
        </w:p>
        <w:p w:rsidR="0094013D" w:rsidRDefault="006F2B3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527670" w:history="1">
            <w:r w:rsidR="0094013D" w:rsidRPr="00F03AC4">
              <w:rPr>
                <w:rStyle w:val="Hyperlink"/>
                <w:noProof/>
              </w:rPr>
              <w:t>5.8</w:t>
            </w:r>
            <w:r w:rsidR="0094013D">
              <w:rPr>
                <w:rFonts w:asciiTheme="minorHAnsi" w:eastAsiaTheme="minorEastAsia" w:hAnsiTheme="minorHAnsi" w:cstheme="minorBidi"/>
                <w:iCs w:val="0"/>
                <w:noProof/>
                <w:sz w:val="22"/>
                <w:szCs w:val="22"/>
                <w:lang w:eastAsia="en-AU"/>
              </w:rPr>
              <w:tab/>
            </w:r>
            <w:r w:rsidR="0094013D" w:rsidRPr="00F03AC4">
              <w:rPr>
                <w:rStyle w:val="Hyperlink"/>
                <w:noProof/>
              </w:rPr>
              <w:t>Pricing methodology</w:t>
            </w:r>
            <w:r w:rsidR="0094013D">
              <w:rPr>
                <w:noProof/>
                <w:webHidden/>
              </w:rPr>
              <w:tab/>
            </w:r>
            <w:r w:rsidR="0094013D">
              <w:rPr>
                <w:noProof/>
                <w:webHidden/>
              </w:rPr>
              <w:fldChar w:fldCharType="begin"/>
            </w:r>
            <w:r w:rsidR="0094013D">
              <w:rPr>
                <w:noProof/>
                <w:webHidden/>
              </w:rPr>
              <w:instrText xml:space="preserve"> PAGEREF _Toc383527670 \h </w:instrText>
            </w:r>
            <w:r w:rsidR="0094013D">
              <w:rPr>
                <w:noProof/>
                <w:webHidden/>
              </w:rPr>
            </w:r>
            <w:r w:rsidR="0094013D">
              <w:rPr>
                <w:noProof/>
                <w:webHidden/>
              </w:rPr>
              <w:fldChar w:fldCharType="separate"/>
            </w:r>
            <w:r w:rsidR="00B40E3D">
              <w:rPr>
                <w:noProof/>
                <w:webHidden/>
              </w:rPr>
              <w:t>39</w:t>
            </w:r>
            <w:r w:rsidR="0094013D">
              <w:rPr>
                <w:noProof/>
                <w:webHidden/>
              </w:rPr>
              <w:fldChar w:fldCharType="end"/>
            </w:r>
          </w:hyperlink>
        </w:p>
        <w:p w:rsidR="0094013D" w:rsidRDefault="006F2B34">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3527671" w:history="1">
            <w:r w:rsidR="0094013D" w:rsidRPr="00F03AC4">
              <w:rPr>
                <w:rStyle w:val="Hyperlink"/>
                <w:noProof/>
                <w14:scene3d>
                  <w14:camera w14:prst="orthographicFront"/>
                  <w14:lightRig w14:rig="threePt" w14:dir="t">
                    <w14:rot w14:lat="0" w14:lon="0" w14:rev="0"/>
                  </w14:lightRig>
                </w14:scene3d>
              </w:rPr>
              <w:t>A</w:t>
            </w:r>
            <w:r w:rsidR="0094013D">
              <w:rPr>
                <w:rFonts w:asciiTheme="minorHAnsi" w:eastAsiaTheme="minorEastAsia" w:hAnsiTheme="minorHAnsi" w:cstheme="minorBidi"/>
                <w:b w:val="0"/>
                <w:bCs w:val="0"/>
                <w:noProof/>
                <w:sz w:val="22"/>
                <w:szCs w:val="22"/>
                <w:lang w:eastAsia="en-AU"/>
              </w:rPr>
              <w:tab/>
            </w:r>
            <w:r w:rsidR="0094013D" w:rsidRPr="00F03AC4">
              <w:rPr>
                <w:rStyle w:val="Hyperlink"/>
                <w:noProof/>
              </w:rPr>
              <w:t>AER’s determination – TransGrid</w:t>
            </w:r>
            <w:r w:rsidR="0094013D">
              <w:rPr>
                <w:noProof/>
                <w:webHidden/>
              </w:rPr>
              <w:tab/>
            </w:r>
            <w:r w:rsidR="0094013D">
              <w:rPr>
                <w:noProof/>
                <w:webHidden/>
              </w:rPr>
              <w:fldChar w:fldCharType="begin"/>
            </w:r>
            <w:r w:rsidR="0094013D">
              <w:rPr>
                <w:noProof/>
                <w:webHidden/>
              </w:rPr>
              <w:instrText xml:space="preserve"> PAGEREF _Toc383527671 \h </w:instrText>
            </w:r>
            <w:r w:rsidR="0094013D">
              <w:rPr>
                <w:noProof/>
                <w:webHidden/>
              </w:rPr>
            </w:r>
            <w:r w:rsidR="0094013D">
              <w:rPr>
                <w:noProof/>
                <w:webHidden/>
              </w:rPr>
              <w:fldChar w:fldCharType="separate"/>
            </w:r>
            <w:r w:rsidR="00B40E3D">
              <w:rPr>
                <w:noProof/>
                <w:webHidden/>
              </w:rPr>
              <w:t>40</w:t>
            </w:r>
            <w:r w:rsidR="0094013D">
              <w:rPr>
                <w:noProof/>
                <w:webHidden/>
              </w:rPr>
              <w:fldChar w:fldCharType="end"/>
            </w:r>
          </w:hyperlink>
        </w:p>
        <w:p w:rsidR="0094013D" w:rsidRDefault="006F2B34">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3527672" w:history="1">
            <w:r w:rsidR="0094013D" w:rsidRPr="00F03AC4">
              <w:rPr>
                <w:rStyle w:val="Hyperlink"/>
                <w:noProof/>
                <w14:scene3d>
                  <w14:camera w14:prst="orthographicFront"/>
                  <w14:lightRig w14:rig="threePt" w14:dir="t">
                    <w14:rot w14:lat="0" w14:lon="0" w14:rev="0"/>
                  </w14:lightRig>
                </w14:scene3d>
              </w:rPr>
              <w:t>B</w:t>
            </w:r>
            <w:r w:rsidR="0094013D">
              <w:rPr>
                <w:rFonts w:asciiTheme="minorHAnsi" w:eastAsiaTheme="minorEastAsia" w:hAnsiTheme="minorHAnsi" w:cstheme="minorBidi"/>
                <w:b w:val="0"/>
                <w:bCs w:val="0"/>
                <w:noProof/>
                <w:sz w:val="22"/>
                <w:szCs w:val="22"/>
                <w:lang w:eastAsia="en-AU"/>
              </w:rPr>
              <w:tab/>
            </w:r>
            <w:r w:rsidR="0094013D" w:rsidRPr="00F03AC4">
              <w:rPr>
                <w:rStyle w:val="Hyperlink"/>
                <w:noProof/>
              </w:rPr>
              <w:t>AER’s determination – Transend</w:t>
            </w:r>
            <w:r w:rsidR="0094013D">
              <w:rPr>
                <w:noProof/>
                <w:webHidden/>
              </w:rPr>
              <w:tab/>
            </w:r>
            <w:r w:rsidR="0094013D">
              <w:rPr>
                <w:noProof/>
                <w:webHidden/>
              </w:rPr>
              <w:fldChar w:fldCharType="begin"/>
            </w:r>
            <w:r w:rsidR="0094013D">
              <w:rPr>
                <w:noProof/>
                <w:webHidden/>
              </w:rPr>
              <w:instrText xml:space="preserve"> PAGEREF _Toc383527672 \h </w:instrText>
            </w:r>
            <w:r w:rsidR="0094013D">
              <w:rPr>
                <w:noProof/>
                <w:webHidden/>
              </w:rPr>
            </w:r>
            <w:r w:rsidR="0094013D">
              <w:rPr>
                <w:noProof/>
                <w:webHidden/>
              </w:rPr>
              <w:fldChar w:fldCharType="separate"/>
            </w:r>
            <w:r w:rsidR="00B40E3D">
              <w:rPr>
                <w:noProof/>
                <w:webHidden/>
              </w:rPr>
              <w:t>44</w:t>
            </w:r>
            <w:r w:rsidR="0094013D">
              <w:rPr>
                <w:noProof/>
                <w:webHidden/>
              </w:rPr>
              <w:fldChar w:fldCharType="end"/>
            </w:r>
          </w:hyperlink>
        </w:p>
        <w:p w:rsidR="0094013D" w:rsidRDefault="006F2B34">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3527673" w:history="1">
            <w:r w:rsidR="0094013D" w:rsidRPr="00F03AC4">
              <w:rPr>
                <w:rStyle w:val="Hyperlink"/>
                <w:noProof/>
                <w14:scene3d>
                  <w14:camera w14:prst="orthographicFront"/>
                  <w14:lightRig w14:rig="threePt" w14:dir="t">
                    <w14:rot w14:lat="0" w14:lon="0" w14:rev="0"/>
                  </w14:lightRig>
                </w14:scene3d>
              </w:rPr>
              <w:t>C</w:t>
            </w:r>
            <w:r w:rsidR="0094013D">
              <w:rPr>
                <w:rFonts w:asciiTheme="minorHAnsi" w:eastAsiaTheme="minorEastAsia" w:hAnsiTheme="minorHAnsi" w:cstheme="minorBidi"/>
                <w:b w:val="0"/>
                <w:bCs w:val="0"/>
                <w:noProof/>
                <w:sz w:val="22"/>
                <w:szCs w:val="22"/>
                <w:lang w:eastAsia="en-AU"/>
              </w:rPr>
              <w:tab/>
            </w:r>
            <w:r w:rsidR="0092785B">
              <w:rPr>
                <w:rStyle w:val="Hyperlink"/>
                <w:noProof/>
              </w:rPr>
              <w:t>List of s</w:t>
            </w:r>
            <w:r w:rsidR="0094013D" w:rsidRPr="00F03AC4">
              <w:rPr>
                <w:rStyle w:val="Hyperlink"/>
                <w:noProof/>
              </w:rPr>
              <w:t>ubmissions</w:t>
            </w:r>
            <w:r w:rsidR="0094013D">
              <w:rPr>
                <w:noProof/>
                <w:webHidden/>
              </w:rPr>
              <w:tab/>
            </w:r>
            <w:r w:rsidR="0094013D">
              <w:rPr>
                <w:noProof/>
                <w:webHidden/>
              </w:rPr>
              <w:fldChar w:fldCharType="begin"/>
            </w:r>
            <w:r w:rsidR="0094013D">
              <w:rPr>
                <w:noProof/>
                <w:webHidden/>
              </w:rPr>
              <w:instrText xml:space="preserve"> PAGEREF _Toc383527673 \h </w:instrText>
            </w:r>
            <w:r w:rsidR="0094013D">
              <w:rPr>
                <w:noProof/>
                <w:webHidden/>
              </w:rPr>
            </w:r>
            <w:r w:rsidR="0094013D">
              <w:rPr>
                <w:noProof/>
                <w:webHidden/>
              </w:rPr>
              <w:fldChar w:fldCharType="separate"/>
            </w:r>
            <w:r w:rsidR="00B40E3D">
              <w:rPr>
                <w:noProof/>
                <w:webHidden/>
              </w:rPr>
              <w:t>48</w:t>
            </w:r>
            <w:r w:rsidR="0094013D">
              <w:rPr>
                <w:noProof/>
                <w:webHidden/>
              </w:rPr>
              <w:fldChar w:fldCharType="end"/>
            </w:r>
          </w:hyperlink>
        </w:p>
        <w:p w:rsidR="0094013D" w:rsidRDefault="006F2B34">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3527674" w:history="1">
            <w:r w:rsidR="0094013D" w:rsidRPr="00F03AC4">
              <w:rPr>
                <w:rStyle w:val="Hyperlink"/>
                <w:noProof/>
              </w:rPr>
              <w:t>D</w:t>
            </w:r>
            <w:r w:rsidR="0094013D">
              <w:rPr>
                <w:rFonts w:asciiTheme="minorHAnsi" w:eastAsiaTheme="minorEastAsia" w:hAnsiTheme="minorHAnsi" w:cstheme="minorBidi"/>
                <w:b w:val="0"/>
                <w:bCs w:val="0"/>
                <w:noProof/>
                <w:sz w:val="22"/>
                <w:szCs w:val="22"/>
                <w:lang w:eastAsia="en-AU"/>
              </w:rPr>
              <w:tab/>
            </w:r>
            <w:r w:rsidR="0094013D" w:rsidRPr="00F03AC4">
              <w:rPr>
                <w:rStyle w:val="Hyperlink"/>
                <w:noProof/>
              </w:rPr>
              <w:t>Summary of TNSPs’ transitional revenue proposals</w:t>
            </w:r>
            <w:r w:rsidR="0094013D">
              <w:rPr>
                <w:noProof/>
                <w:webHidden/>
              </w:rPr>
              <w:tab/>
            </w:r>
            <w:r w:rsidR="0094013D">
              <w:rPr>
                <w:noProof/>
                <w:webHidden/>
              </w:rPr>
              <w:fldChar w:fldCharType="begin"/>
            </w:r>
            <w:r w:rsidR="0094013D">
              <w:rPr>
                <w:noProof/>
                <w:webHidden/>
              </w:rPr>
              <w:instrText xml:space="preserve"> PAGEREF _Toc383527674 \h </w:instrText>
            </w:r>
            <w:r w:rsidR="0094013D">
              <w:rPr>
                <w:noProof/>
                <w:webHidden/>
              </w:rPr>
            </w:r>
            <w:r w:rsidR="0094013D">
              <w:rPr>
                <w:noProof/>
                <w:webHidden/>
              </w:rPr>
              <w:fldChar w:fldCharType="separate"/>
            </w:r>
            <w:r w:rsidR="00B40E3D">
              <w:rPr>
                <w:noProof/>
                <w:webHidden/>
              </w:rPr>
              <w:t>49</w:t>
            </w:r>
            <w:r w:rsidR="0094013D">
              <w:rPr>
                <w:noProof/>
                <w:webHidden/>
              </w:rPr>
              <w:fldChar w:fldCharType="end"/>
            </w:r>
          </w:hyperlink>
        </w:p>
        <w:p w:rsidR="00BF277F" w:rsidRPr="00BF277F" w:rsidRDefault="0094013D">
          <w:r>
            <w:fldChar w:fldCharType="end"/>
          </w:r>
        </w:p>
      </w:sdtContent>
    </w:sdt>
    <w:p w:rsidR="00A83E34" w:rsidRDefault="00A83E34">
      <w:pPr>
        <w:spacing w:after="0" w:line="240" w:lineRule="auto"/>
        <w:jc w:val="left"/>
      </w:pPr>
      <w:r>
        <w:br w:type="page"/>
      </w:r>
    </w:p>
    <w:p w:rsidR="00A83E34" w:rsidRDefault="00A83E34" w:rsidP="00A83E34">
      <w:pPr>
        <w:pStyle w:val="UnnumberedHeading"/>
        <w:numPr>
          <w:ilvl w:val="0"/>
          <w:numId w:val="35"/>
        </w:numPr>
      </w:pPr>
      <w:bookmarkStart w:id="2" w:name="_Toc377546633"/>
      <w:bookmarkStart w:id="3" w:name="_Toc383527651"/>
      <w:r>
        <w:lastRenderedPageBreak/>
        <w:t>Shortened forms</w:t>
      </w:r>
      <w:bookmarkEnd w:id="2"/>
      <w:bookmarkEnd w:id="3"/>
    </w:p>
    <w:tbl>
      <w:tblPr>
        <w:tblStyle w:val="AERtable-text"/>
        <w:tblpPr w:leftFromText="180" w:rightFromText="180" w:vertAnchor="text" w:tblpY="1"/>
        <w:tblW w:w="0" w:type="auto"/>
        <w:tblLook w:val="01E0" w:firstRow="1" w:lastRow="1" w:firstColumn="1" w:lastColumn="1" w:noHBand="0" w:noVBand="0"/>
      </w:tblPr>
      <w:tblGrid>
        <w:gridCol w:w="2802"/>
        <w:gridCol w:w="5726"/>
      </w:tblGrid>
      <w:tr w:rsidR="00A83E34" w:rsidRPr="00CA2AE8" w:rsidTr="00A83E34">
        <w:trPr>
          <w:cnfStyle w:val="100000000000" w:firstRow="1" w:lastRow="0" w:firstColumn="0" w:lastColumn="0" w:oddVBand="0" w:evenVBand="0" w:oddHBand="0" w:evenHBand="0" w:firstRowFirstColumn="0" w:firstRowLastColumn="0" w:lastRowFirstColumn="0" w:lastRowLastColumn="0"/>
        </w:trPr>
        <w:tc>
          <w:tcPr>
            <w:tcW w:w="2802" w:type="dxa"/>
            <w:noWrap/>
          </w:tcPr>
          <w:p w:rsidR="00A83E34" w:rsidRPr="00CA2AE8" w:rsidRDefault="00A83E34" w:rsidP="00A83E34">
            <w:pPr>
              <w:numPr>
                <w:ilvl w:val="0"/>
                <w:numId w:val="6"/>
              </w:numPr>
            </w:pPr>
            <w:r w:rsidRPr="00CA2AE8">
              <w:t>Shortened form</w:t>
            </w:r>
          </w:p>
        </w:tc>
        <w:tc>
          <w:tcPr>
            <w:tcW w:w="5726" w:type="dxa"/>
            <w:noWrap/>
          </w:tcPr>
          <w:p w:rsidR="00A83E34" w:rsidRPr="00CA2AE8" w:rsidRDefault="00A83E34" w:rsidP="00A83E34">
            <w:pPr>
              <w:numPr>
                <w:ilvl w:val="0"/>
                <w:numId w:val="6"/>
              </w:numPr>
            </w:pPr>
            <w:r w:rsidRPr="00CA2AE8">
              <w:t>Extended form</w:t>
            </w:r>
          </w:p>
        </w:tc>
      </w:tr>
      <w:tr w:rsidR="00A83E34" w:rsidRPr="00CA2AE8" w:rsidTr="00A83E34">
        <w:tc>
          <w:tcPr>
            <w:tcW w:w="2802" w:type="dxa"/>
            <w:noWrap/>
          </w:tcPr>
          <w:p w:rsidR="00A83E34" w:rsidRPr="00CA2AE8" w:rsidRDefault="00A83E34" w:rsidP="00A83E34">
            <w:pPr>
              <w:numPr>
                <w:ilvl w:val="0"/>
                <w:numId w:val="6"/>
              </w:numPr>
            </w:pPr>
            <w:r w:rsidRPr="00CA2AE8">
              <w:t>AER</w:t>
            </w:r>
          </w:p>
        </w:tc>
        <w:tc>
          <w:tcPr>
            <w:tcW w:w="5726" w:type="dxa"/>
            <w:noWrap/>
          </w:tcPr>
          <w:p w:rsidR="00A83E34" w:rsidRPr="00CA2AE8" w:rsidRDefault="00A83E34" w:rsidP="00A83E34">
            <w:pPr>
              <w:numPr>
                <w:ilvl w:val="0"/>
                <w:numId w:val="6"/>
              </w:numPr>
            </w:pPr>
            <w:r w:rsidRPr="00CA2AE8">
              <w:t>Australian Energy Regulator</w:t>
            </w:r>
          </w:p>
        </w:tc>
      </w:tr>
      <w:tr w:rsidR="00A83E34" w:rsidRPr="00CA2AE8" w:rsidTr="00A83E34">
        <w:trPr>
          <w:cnfStyle w:val="000000010000" w:firstRow="0" w:lastRow="0" w:firstColumn="0" w:lastColumn="0" w:oddVBand="0" w:evenVBand="0" w:oddHBand="0" w:evenHBand="1" w:firstRowFirstColumn="0" w:firstRowLastColumn="0" w:lastRowFirstColumn="0" w:lastRowLastColumn="0"/>
        </w:trPr>
        <w:tc>
          <w:tcPr>
            <w:tcW w:w="2802" w:type="dxa"/>
            <w:noWrap/>
          </w:tcPr>
          <w:p w:rsidR="00A83E34" w:rsidRPr="00CA2AE8" w:rsidRDefault="00A83E34" w:rsidP="00A83E34">
            <w:pPr>
              <w:numPr>
                <w:ilvl w:val="0"/>
                <w:numId w:val="6"/>
              </w:numPr>
            </w:pPr>
            <w:r w:rsidRPr="00CA2AE8">
              <w:t>capex</w:t>
            </w:r>
          </w:p>
        </w:tc>
        <w:tc>
          <w:tcPr>
            <w:tcW w:w="5726" w:type="dxa"/>
            <w:noWrap/>
          </w:tcPr>
          <w:p w:rsidR="00A83E34" w:rsidRPr="00CA2AE8" w:rsidRDefault="00A83E34" w:rsidP="00A83E34">
            <w:pPr>
              <w:numPr>
                <w:ilvl w:val="0"/>
                <w:numId w:val="6"/>
              </w:numPr>
            </w:pPr>
            <w:r w:rsidRPr="00CA2AE8">
              <w:t>capital expenditure</w:t>
            </w:r>
          </w:p>
        </w:tc>
      </w:tr>
      <w:tr w:rsidR="00BC6047" w:rsidRPr="00CA2AE8" w:rsidTr="00A83E34">
        <w:tc>
          <w:tcPr>
            <w:tcW w:w="2802" w:type="dxa"/>
            <w:noWrap/>
          </w:tcPr>
          <w:p w:rsidR="00BC6047" w:rsidRPr="00CA2AE8" w:rsidRDefault="00BC6047" w:rsidP="00A83E34">
            <w:pPr>
              <w:numPr>
                <w:ilvl w:val="0"/>
                <w:numId w:val="6"/>
              </w:numPr>
            </w:pPr>
            <w:r>
              <w:t>CESS</w:t>
            </w:r>
          </w:p>
        </w:tc>
        <w:tc>
          <w:tcPr>
            <w:tcW w:w="5726" w:type="dxa"/>
            <w:noWrap/>
          </w:tcPr>
          <w:p w:rsidR="00BC6047" w:rsidRPr="00CA2AE8" w:rsidRDefault="00BC6047" w:rsidP="00A83E34">
            <w:pPr>
              <w:numPr>
                <w:ilvl w:val="0"/>
                <w:numId w:val="6"/>
              </w:numPr>
            </w:pPr>
            <w:r>
              <w:t>Capital expenditure sharing scheme</w:t>
            </w:r>
          </w:p>
        </w:tc>
      </w:tr>
      <w:tr w:rsidR="00A83E34" w:rsidRPr="00CA2AE8" w:rsidTr="00A83E34">
        <w:trPr>
          <w:cnfStyle w:val="000000010000" w:firstRow="0" w:lastRow="0" w:firstColumn="0" w:lastColumn="0" w:oddVBand="0" w:evenVBand="0" w:oddHBand="0" w:evenHBand="1" w:firstRowFirstColumn="0" w:firstRowLastColumn="0" w:lastRowFirstColumn="0" w:lastRowLastColumn="0"/>
        </w:trPr>
        <w:tc>
          <w:tcPr>
            <w:tcW w:w="2802" w:type="dxa"/>
            <w:noWrap/>
          </w:tcPr>
          <w:p w:rsidR="00A83E34" w:rsidRPr="00CA2AE8" w:rsidRDefault="00A83E34" w:rsidP="00A83E34">
            <w:pPr>
              <w:numPr>
                <w:ilvl w:val="0"/>
                <w:numId w:val="6"/>
              </w:numPr>
            </w:pPr>
            <w:r w:rsidRPr="00CA2AE8">
              <w:t>CPI</w:t>
            </w:r>
          </w:p>
        </w:tc>
        <w:tc>
          <w:tcPr>
            <w:tcW w:w="5726" w:type="dxa"/>
            <w:noWrap/>
          </w:tcPr>
          <w:p w:rsidR="00A83E34" w:rsidRPr="00CA2AE8" w:rsidRDefault="00A83E34" w:rsidP="00A83E34">
            <w:pPr>
              <w:numPr>
                <w:ilvl w:val="0"/>
                <w:numId w:val="6"/>
              </w:numPr>
            </w:pPr>
            <w:r w:rsidRPr="00CA2AE8">
              <w:t>consumer price index</w:t>
            </w:r>
          </w:p>
        </w:tc>
      </w:tr>
      <w:tr w:rsidR="00A83E34" w:rsidRPr="00CA2AE8" w:rsidTr="00A83E34">
        <w:tc>
          <w:tcPr>
            <w:tcW w:w="2802" w:type="dxa"/>
            <w:noWrap/>
          </w:tcPr>
          <w:p w:rsidR="00A83E34" w:rsidRPr="00CA2AE8" w:rsidRDefault="00A83E34" w:rsidP="00A83E34">
            <w:pPr>
              <w:numPr>
                <w:ilvl w:val="0"/>
                <w:numId w:val="6"/>
              </w:numPr>
            </w:pPr>
            <w:r w:rsidRPr="00CA2AE8">
              <w:t>EBSS</w:t>
            </w:r>
          </w:p>
        </w:tc>
        <w:tc>
          <w:tcPr>
            <w:tcW w:w="5726" w:type="dxa"/>
            <w:noWrap/>
          </w:tcPr>
          <w:p w:rsidR="00A83E34" w:rsidRPr="00CA2AE8" w:rsidRDefault="00A83E34" w:rsidP="00A83E34">
            <w:pPr>
              <w:numPr>
                <w:ilvl w:val="0"/>
                <w:numId w:val="6"/>
              </w:numPr>
            </w:pPr>
            <w:r w:rsidRPr="00CA2AE8">
              <w:t>efficiency benefit sharing scheme</w:t>
            </w:r>
          </w:p>
        </w:tc>
      </w:tr>
      <w:tr w:rsidR="00A83E34" w:rsidRPr="00CA2AE8" w:rsidTr="00A83E34">
        <w:trPr>
          <w:cnfStyle w:val="000000010000" w:firstRow="0" w:lastRow="0" w:firstColumn="0" w:lastColumn="0" w:oddVBand="0" w:evenVBand="0" w:oddHBand="0" w:evenHBand="1" w:firstRowFirstColumn="0" w:firstRowLastColumn="0" w:lastRowFirstColumn="0" w:lastRowLastColumn="0"/>
        </w:trPr>
        <w:tc>
          <w:tcPr>
            <w:tcW w:w="2802" w:type="dxa"/>
            <w:noWrap/>
          </w:tcPr>
          <w:p w:rsidR="00A83E34" w:rsidRPr="00CA2AE8" w:rsidRDefault="00A83E34" w:rsidP="00A83E34">
            <w:pPr>
              <w:numPr>
                <w:ilvl w:val="0"/>
                <w:numId w:val="6"/>
              </w:numPr>
            </w:pPr>
            <w:r w:rsidRPr="00CA2AE8">
              <w:t>MAR</w:t>
            </w:r>
          </w:p>
        </w:tc>
        <w:tc>
          <w:tcPr>
            <w:tcW w:w="5726" w:type="dxa"/>
            <w:noWrap/>
          </w:tcPr>
          <w:p w:rsidR="00A83E34" w:rsidRPr="00CA2AE8" w:rsidRDefault="00A83E34" w:rsidP="00A83E34">
            <w:pPr>
              <w:numPr>
                <w:ilvl w:val="0"/>
                <w:numId w:val="6"/>
              </w:numPr>
            </w:pPr>
            <w:r w:rsidRPr="00CA2AE8">
              <w:t>maximum allowed revenue</w:t>
            </w:r>
          </w:p>
        </w:tc>
      </w:tr>
      <w:tr w:rsidR="00713D60" w:rsidRPr="00CA2AE8" w:rsidTr="00A83E34">
        <w:tc>
          <w:tcPr>
            <w:tcW w:w="2802" w:type="dxa"/>
            <w:noWrap/>
          </w:tcPr>
          <w:p w:rsidR="00713D60" w:rsidRPr="00CA2AE8" w:rsidRDefault="00713D60" w:rsidP="00A83E34">
            <w:pPr>
              <w:numPr>
                <w:ilvl w:val="0"/>
                <w:numId w:val="6"/>
              </w:numPr>
            </w:pPr>
            <w:r>
              <w:t>NEO</w:t>
            </w:r>
          </w:p>
        </w:tc>
        <w:tc>
          <w:tcPr>
            <w:tcW w:w="5726" w:type="dxa"/>
            <w:noWrap/>
          </w:tcPr>
          <w:p w:rsidR="00713D60" w:rsidRPr="00CA2AE8" w:rsidRDefault="00713D60" w:rsidP="00A83E34">
            <w:pPr>
              <w:numPr>
                <w:ilvl w:val="0"/>
                <w:numId w:val="6"/>
              </w:numPr>
            </w:pPr>
            <w:r>
              <w:t>National Electricity Objective</w:t>
            </w:r>
          </w:p>
        </w:tc>
      </w:tr>
      <w:tr w:rsidR="00A83E34" w:rsidRPr="00CA2AE8" w:rsidTr="00A83E34">
        <w:trPr>
          <w:cnfStyle w:val="000000010000" w:firstRow="0" w:lastRow="0" w:firstColumn="0" w:lastColumn="0" w:oddVBand="0" w:evenVBand="0" w:oddHBand="0" w:evenHBand="1" w:firstRowFirstColumn="0" w:firstRowLastColumn="0" w:lastRowFirstColumn="0" w:lastRowLastColumn="0"/>
        </w:trPr>
        <w:tc>
          <w:tcPr>
            <w:tcW w:w="2802" w:type="dxa"/>
            <w:noWrap/>
          </w:tcPr>
          <w:p w:rsidR="00A83E34" w:rsidRPr="00CA2AE8" w:rsidRDefault="00A83E34" w:rsidP="00A83E34">
            <w:pPr>
              <w:numPr>
                <w:ilvl w:val="0"/>
                <w:numId w:val="6"/>
              </w:numPr>
            </w:pPr>
            <w:r w:rsidRPr="00CA2AE8">
              <w:t>NER</w:t>
            </w:r>
          </w:p>
        </w:tc>
        <w:tc>
          <w:tcPr>
            <w:tcW w:w="5726" w:type="dxa"/>
            <w:noWrap/>
          </w:tcPr>
          <w:p w:rsidR="00A83E34" w:rsidRPr="00CA2AE8" w:rsidRDefault="00A83E34" w:rsidP="00A83E34">
            <w:pPr>
              <w:numPr>
                <w:ilvl w:val="0"/>
                <w:numId w:val="6"/>
              </w:numPr>
            </w:pPr>
            <w:r w:rsidRPr="00CA2AE8">
              <w:t>National Electricity Rules</w:t>
            </w:r>
          </w:p>
        </w:tc>
      </w:tr>
      <w:tr w:rsidR="00A83E34" w:rsidRPr="00CA2AE8" w:rsidTr="00A83E34">
        <w:tc>
          <w:tcPr>
            <w:tcW w:w="2802" w:type="dxa"/>
            <w:noWrap/>
          </w:tcPr>
          <w:p w:rsidR="00A83E34" w:rsidRPr="00CA2AE8" w:rsidRDefault="00A83E34" w:rsidP="00A83E34">
            <w:pPr>
              <w:numPr>
                <w:ilvl w:val="0"/>
                <w:numId w:val="6"/>
              </w:numPr>
            </w:pPr>
            <w:r w:rsidRPr="00CA2AE8">
              <w:t>NTSC</w:t>
            </w:r>
          </w:p>
        </w:tc>
        <w:tc>
          <w:tcPr>
            <w:tcW w:w="5726" w:type="dxa"/>
            <w:noWrap/>
          </w:tcPr>
          <w:p w:rsidR="00A83E34" w:rsidRPr="00CA2AE8" w:rsidRDefault="00A83E34" w:rsidP="00A83E34">
            <w:pPr>
              <w:numPr>
                <w:ilvl w:val="0"/>
                <w:numId w:val="6"/>
              </w:numPr>
            </w:pPr>
            <w:r w:rsidRPr="00CA2AE8">
              <w:t>negotiated transmission service criteria</w:t>
            </w:r>
          </w:p>
        </w:tc>
      </w:tr>
      <w:tr w:rsidR="00A83E34" w:rsidRPr="00CA2AE8" w:rsidTr="00A83E34">
        <w:trPr>
          <w:cnfStyle w:val="000000010000" w:firstRow="0" w:lastRow="0" w:firstColumn="0" w:lastColumn="0" w:oddVBand="0" w:evenVBand="0" w:oddHBand="0" w:evenHBand="1" w:firstRowFirstColumn="0" w:firstRowLastColumn="0" w:lastRowFirstColumn="0" w:lastRowLastColumn="0"/>
        </w:trPr>
        <w:tc>
          <w:tcPr>
            <w:tcW w:w="2802" w:type="dxa"/>
            <w:noWrap/>
          </w:tcPr>
          <w:p w:rsidR="00A83E34" w:rsidRPr="00CA2AE8" w:rsidRDefault="00A83E34" w:rsidP="00A83E34">
            <w:pPr>
              <w:numPr>
                <w:ilvl w:val="0"/>
                <w:numId w:val="6"/>
              </w:numPr>
            </w:pPr>
            <w:r w:rsidRPr="00CA2AE8">
              <w:t>opex</w:t>
            </w:r>
          </w:p>
        </w:tc>
        <w:tc>
          <w:tcPr>
            <w:tcW w:w="5726" w:type="dxa"/>
            <w:noWrap/>
          </w:tcPr>
          <w:p w:rsidR="00A83E34" w:rsidRPr="00CA2AE8" w:rsidRDefault="00A83E34" w:rsidP="00A83E34">
            <w:pPr>
              <w:numPr>
                <w:ilvl w:val="0"/>
                <w:numId w:val="6"/>
              </w:numPr>
            </w:pPr>
            <w:r w:rsidRPr="00CA2AE8">
              <w:t>operating expenditure</w:t>
            </w:r>
          </w:p>
        </w:tc>
      </w:tr>
      <w:tr w:rsidR="00A83E34" w:rsidRPr="00CA2AE8" w:rsidTr="00A83E34">
        <w:tc>
          <w:tcPr>
            <w:tcW w:w="2802" w:type="dxa"/>
            <w:noWrap/>
          </w:tcPr>
          <w:p w:rsidR="00A83E34" w:rsidRPr="00CA2AE8" w:rsidRDefault="00A83E34" w:rsidP="00A83E34">
            <w:pPr>
              <w:numPr>
                <w:ilvl w:val="0"/>
                <w:numId w:val="6"/>
              </w:numPr>
            </w:pPr>
            <w:r w:rsidRPr="00CA2AE8">
              <w:t>PTRM</w:t>
            </w:r>
          </w:p>
        </w:tc>
        <w:tc>
          <w:tcPr>
            <w:tcW w:w="5726" w:type="dxa"/>
            <w:noWrap/>
          </w:tcPr>
          <w:p w:rsidR="00A83E34" w:rsidRPr="00CA2AE8" w:rsidRDefault="00A83E34" w:rsidP="00A83E34">
            <w:pPr>
              <w:numPr>
                <w:ilvl w:val="0"/>
                <w:numId w:val="6"/>
              </w:numPr>
            </w:pPr>
            <w:r w:rsidRPr="00CA2AE8">
              <w:t>post tax revenue model</w:t>
            </w:r>
          </w:p>
        </w:tc>
      </w:tr>
      <w:tr w:rsidR="00A83E34" w:rsidRPr="00CA2AE8" w:rsidTr="00A83E34">
        <w:trPr>
          <w:cnfStyle w:val="000000010000" w:firstRow="0" w:lastRow="0" w:firstColumn="0" w:lastColumn="0" w:oddVBand="0" w:evenVBand="0" w:oddHBand="0" w:evenHBand="1" w:firstRowFirstColumn="0" w:firstRowLastColumn="0" w:lastRowFirstColumn="0" w:lastRowLastColumn="0"/>
        </w:trPr>
        <w:tc>
          <w:tcPr>
            <w:tcW w:w="2802" w:type="dxa"/>
            <w:noWrap/>
          </w:tcPr>
          <w:p w:rsidR="00A83E34" w:rsidRPr="00CA2AE8" w:rsidRDefault="00A83E34" w:rsidP="00A83E34">
            <w:pPr>
              <w:numPr>
                <w:ilvl w:val="0"/>
                <w:numId w:val="6"/>
              </w:numPr>
            </w:pPr>
            <w:r w:rsidRPr="00CA2AE8">
              <w:t>RAB</w:t>
            </w:r>
          </w:p>
        </w:tc>
        <w:tc>
          <w:tcPr>
            <w:tcW w:w="5726" w:type="dxa"/>
            <w:noWrap/>
          </w:tcPr>
          <w:p w:rsidR="00A83E34" w:rsidRPr="00CA2AE8" w:rsidRDefault="00A83E34" w:rsidP="00A83E34">
            <w:pPr>
              <w:numPr>
                <w:ilvl w:val="0"/>
                <w:numId w:val="6"/>
              </w:numPr>
            </w:pPr>
            <w:r w:rsidRPr="00CA2AE8">
              <w:t>regulatory asset base</w:t>
            </w:r>
          </w:p>
        </w:tc>
      </w:tr>
      <w:tr w:rsidR="00713D60" w:rsidRPr="00CA2AE8" w:rsidTr="00A83E34">
        <w:tc>
          <w:tcPr>
            <w:tcW w:w="2802" w:type="dxa"/>
            <w:noWrap/>
          </w:tcPr>
          <w:p w:rsidR="00713D60" w:rsidRPr="00CA2AE8" w:rsidRDefault="00713D60" w:rsidP="00A83E34">
            <w:pPr>
              <w:numPr>
                <w:ilvl w:val="0"/>
                <w:numId w:val="6"/>
              </w:numPr>
            </w:pPr>
            <w:r>
              <w:t>RPP</w:t>
            </w:r>
          </w:p>
        </w:tc>
        <w:tc>
          <w:tcPr>
            <w:tcW w:w="5726" w:type="dxa"/>
            <w:noWrap/>
          </w:tcPr>
          <w:p w:rsidR="00713D60" w:rsidRPr="00CA2AE8" w:rsidRDefault="00713D60" w:rsidP="00A83E34">
            <w:pPr>
              <w:numPr>
                <w:ilvl w:val="0"/>
                <w:numId w:val="6"/>
              </w:numPr>
            </w:pPr>
            <w:r>
              <w:t>revenue and pricing principles</w:t>
            </w:r>
          </w:p>
        </w:tc>
      </w:tr>
      <w:tr w:rsidR="00A83E34" w:rsidRPr="00CA2AE8" w:rsidTr="00A83E34">
        <w:trPr>
          <w:cnfStyle w:val="000000010000" w:firstRow="0" w:lastRow="0" w:firstColumn="0" w:lastColumn="0" w:oddVBand="0" w:evenVBand="0" w:oddHBand="0" w:evenHBand="1" w:firstRowFirstColumn="0" w:firstRowLastColumn="0" w:lastRowFirstColumn="0" w:lastRowLastColumn="0"/>
        </w:trPr>
        <w:tc>
          <w:tcPr>
            <w:tcW w:w="2802" w:type="dxa"/>
            <w:noWrap/>
          </w:tcPr>
          <w:p w:rsidR="00A83E34" w:rsidRPr="00CA2AE8" w:rsidRDefault="00A83E34" w:rsidP="00A83E34">
            <w:pPr>
              <w:numPr>
                <w:ilvl w:val="0"/>
                <w:numId w:val="6"/>
              </w:numPr>
            </w:pPr>
            <w:r w:rsidRPr="00CA2AE8">
              <w:t>STPIS</w:t>
            </w:r>
          </w:p>
        </w:tc>
        <w:tc>
          <w:tcPr>
            <w:tcW w:w="5726" w:type="dxa"/>
            <w:noWrap/>
          </w:tcPr>
          <w:p w:rsidR="00A83E34" w:rsidRPr="00CA2AE8" w:rsidRDefault="00A83E34" w:rsidP="00A83E34">
            <w:pPr>
              <w:numPr>
                <w:ilvl w:val="0"/>
                <w:numId w:val="6"/>
              </w:numPr>
            </w:pPr>
            <w:r w:rsidRPr="00CA2AE8">
              <w:t>service target performance incentive scheme</w:t>
            </w:r>
          </w:p>
        </w:tc>
      </w:tr>
      <w:tr w:rsidR="00A83E34" w:rsidRPr="00CA2AE8" w:rsidTr="00A83E34">
        <w:tc>
          <w:tcPr>
            <w:tcW w:w="2802" w:type="dxa"/>
            <w:noWrap/>
          </w:tcPr>
          <w:p w:rsidR="00A83E34" w:rsidRPr="00CA2AE8" w:rsidRDefault="00A83E34" w:rsidP="00A83E34">
            <w:pPr>
              <w:numPr>
                <w:ilvl w:val="0"/>
                <w:numId w:val="6"/>
              </w:numPr>
            </w:pPr>
            <w:r w:rsidRPr="00CA2AE8">
              <w:t>TNSP</w:t>
            </w:r>
          </w:p>
        </w:tc>
        <w:tc>
          <w:tcPr>
            <w:tcW w:w="5726" w:type="dxa"/>
            <w:noWrap/>
          </w:tcPr>
          <w:p w:rsidR="00A83E34" w:rsidRPr="00CA2AE8" w:rsidRDefault="00A83E34" w:rsidP="00A83E34">
            <w:pPr>
              <w:numPr>
                <w:ilvl w:val="0"/>
                <w:numId w:val="6"/>
              </w:numPr>
            </w:pPr>
            <w:r w:rsidRPr="00CA2AE8">
              <w:t>transmission network service provider</w:t>
            </w:r>
          </w:p>
        </w:tc>
      </w:tr>
      <w:tr w:rsidR="00147999" w:rsidRPr="00CA2AE8" w:rsidTr="00A83E34">
        <w:trPr>
          <w:cnfStyle w:val="000000010000" w:firstRow="0" w:lastRow="0" w:firstColumn="0" w:lastColumn="0" w:oddVBand="0" w:evenVBand="0" w:oddHBand="0" w:evenHBand="1" w:firstRowFirstColumn="0" w:firstRowLastColumn="0" w:lastRowFirstColumn="0" w:lastRowLastColumn="0"/>
        </w:trPr>
        <w:tc>
          <w:tcPr>
            <w:tcW w:w="2802" w:type="dxa"/>
            <w:noWrap/>
          </w:tcPr>
          <w:p w:rsidR="00147999" w:rsidRDefault="00147999" w:rsidP="00A83E34">
            <w:pPr>
              <w:numPr>
                <w:ilvl w:val="0"/>
                <w:numId w:val="6"/>
              </w:numPr>
            </w:pPr>
            <w:r>
              <w:t>Transend</w:t>
            </w:r>
          </w:p>
        </w:tc>
        <w:tc>
          <w:tcPr>
            <w:tcW w:w="5726" w:type="dxa"/>
            <w:noWrap/>
          </w:tcPr>
          <w:p w:rsidR="00147999" w:rsidRDefault="00681081" w:rsidP="00F31F22">
            <w:pPr>
              <w:numPr>
                <w:ilvl w:val="0"/>
                <w:numId w:val="6"/>
              </w:numPr>
            </w:pPr>
            <w:r>
              <w:t>Transend Networks Pty Ltd</w:t>
            </w:r>
          </w:p>
        </w:tc>
      </w:tr>
      <w:tr w:rsidR="00E7366E" w:rsidRPr="00CA2AE8" w:rsidTr="00A83E34">
        <w:tc>
          <w:tcPr>
            <w:tcW w:w="2802" w:type="dxa"/>
            <w:noWrap/>
          </w:tcPr>
          <w:p w:rsidR="00E7366E" w:rsidRPr="00CA2AE8" w:rsidRDefault="00E7366E" w:rsidP="00A83E34">
            <w:pPr>
              <w:numPr>
                <w:ilvl w:val="0"/>
                <w:numId w:val="6"/>
              </w:numPr>
            </w:pPr>
            <w:r>
              <w:t>TRP</w:t>
            </w:r>
          </w:p>
        </w:tc>
        <w:tc>
          <w:tcPr>
            <w:tcW w:w="5726" w:type="dxa"/>
            <w:noWrap/>
          </w:tcPr>
          <w:p w:rsidR="00E7366E" w:rsidRPr="00CA2AE8" w:rsidRDefault="00E7366E" w:rsidP="00F31F22">
            <w:pPr>
              <w:numPr>
                <w:ilvl w:val="0"/>
                <w:numId w:val="6"/>
              </w:numPr>
            </w:pPr>
            <w:r>
              <w:t>transitional re</w:t>
            </w:r>
            <w:r w:rsidR="00F31F22">
              <w:t>venue</w:t>
            </w:r>
            <w:r>
              <w:t xml:space="preserve"> proposal</w:t>
            </w:r>
          </w:p>
        </w:tc>
      </w:tr>
      <w:tr w:rsidR="00A83E34" w:rsidRPr="00CA2AE8" w:rsidTr="00A83E34">
        <w:trPr>
          <w:cnfStyle w:val="000000010000" w:firstRow="0" w:lastRow="0" w:firstColumn="0" w:lastColumn="0" w:oddVBand="0" w:evenVBand="0" w:oddHBand="0" w:evenHBand="1" w:firstRowFirstColumn="0" w:firstRowLastColumn="0" w:lastRowFirstColumn="0" w:lastRowLastColumn="0"/>
        </w:trPr>
        <w:tc>
          <w:tcPr>
            <w:tcW w:w="2802" w:type="dxa"/>
            <w:noWrap/>
          </w:tcPr>
          <w:p w:rsidR="00A83E34" w:rsidRPr="00CA2AE8" w:rsidRDefault="00A83E34" w:rsidP="00A83E34">
            <w:pPr>
              <w:numPr>
                <w:ilvl w:val="0"/>
                <w:numId w:val="6"/>
              </w:numPr>
            </w:pPr>
            <w:r w:rsidRPr="00CA2AE8">
              <w:t>WACC</w:t>
            </w:r>
          </w:p>
        </w:tc>
        <w:tc>
          <w:tcPr>
            <w:tcW w:w="5726" w:type="dxa"/>
            <w:noWrap/>
          </w:tcPr>
          <w:p w:rsidR="00A83E34" w:rsidRPr="00CA2AE8" w:rsidRDefault="00A83E34" w:rsidP="00A83E34">
            <w:pPr>
              <w:numPr>
                <w:ilvl w:val="0"/>
                <w:numId w:val="6"/>
              </w:numPr>
            </w:pPr>
            <w:r w:rsidRPr="00CA2AE8">
              <w:t>weighted average cost of capital</w:t>
            </w:r>
          </w:p>
        </w:tc>
      </w:tr>
    </w:tbl>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A83E34" w:rsidRDefault="00A83E34" w:rsidP="00A83E34">
      <w:pPr>
        <w:pStyle w:val="AERbodytext"/>
        <w:numPr>
          <w:ilvl w:val="0"/>
          <w:numId w:val="0"/>
        </w:numPr>
      </w:pPr>
    </w:p>
    <w:p w:rsidR="0009426E" w:rsidRDefault="0009426E">
      <w:pPr>
        <w:spacing w:after="0" w:line="240" w:lineRule="auto"/>
        <w:jc w:val="left"/>
        <w:rPr>
          <w:rFonts w:eastAsia="Times New Roman"/>
          <w:b/>
          <w:bCs/>
          <w:color w:val="E36C0A"/>
          <w:sz w:val="36"/>
          <w:szCs w:val="28"/>
        </w:rPr>
      </w:pPr>
    </w:p>
    <w:p w:rsidR="00DF636E" w:rsidRDefault="0009426E" w:rsidP="0009426E">
      <w:pPr>
        <w:pStyle w:val="Heading1"/>
      </w:pPr>
      <w:bookmarkStart w:id="4" w:name="_Ref381337148"/>
      <w:bookmarkStart w:id="5" w:name="_Toc383527652"/>
      <w:r>
        <w:lastRenderedPageBreak/>
        <w:t>Overview</w:t>
      </w:r>
      <w:bookmarkEnd w:id="4"/>
      <w:bookmarkEnd w:id="5"/>
    </w:p>
    <w:p w:rsidR="00405B0C" w:rsidRPr="00924F9B" w:rsidRDefault="00405B0C" w:rsidP="00924F9B">
      <w:pPr>
        <w:pStyle w:val="HeadingBoldBlue"/>
        <w:rPr>
          <w:rStyle w:val="AERtextbold"/>
          <w:b/>
        </w:rPr>
      </w:pPr>
      <w:r w:rsidRPr="00924F9B">
        <w:rPr>
          <w:rStyle w:val="AERtextbold"/>
          <w:b/>
        </w:rPr>
        <w:t>AER decision</w:t>
      </w:r>
    </w:p>
    <w:p w:rsidR="00405B0C" w:rsidRPr="00507584" w:rsidRDefault="00405B0C" w:rsidP="00405B0C">
      <w:pPr>
        <w:pStyle w:val="AERbodytext"/>
      </w:pPr>
      <w:r>
        <w:t xml:space="preserve">We do not approve </w:t>
      </w:r>
      <w:r w:rsidR="00C14214">
        <w:t xml:space="preserve">TransGrid and </w:t>
      </w:r>
      <w:r w:rsidR="00147999">
        <w:t>Transend Networks Pty Ltd (</w:t>
      </w:r>
      <w:proofErr w:type="spellStart"/>
      <w:r w:rsidR="00C14214">
        <w:t>Transend’s</w:t>
      </w:r>
      <w:proofErr w:type="spellEnd"/>
      <w:r w:rsidR="00147999">
        <w:t xml:space="preserve">) </w:t>
      </w:r>
      <w:r>
        <w:t xml:space="preserve">revenues as set out in </w:t>
      </w:r>
      <w:r w:rsidR="00176B2D">
        <w:t>their</w:t>
      </w:r>
      <w:r>
        <w:t xml:space="preserve"> transitional </w:t>
      </w:r>
      <w:r w:rsidR="00176B2D">
        <w:t xml:space="preserve">revenue </w:t>
      </w:r>
      <w:r>
        <w:t>proposal</w:t>
      </w:r>
      <w:r w:rsidR="00176B2D">
        <w:t>s</w:t>
      </w:r>
      <w:r>
        <w:t xml:space="preserve">. We </w:t>
      </w:r>
      <w:r w:rsidR="00BF1C48">
        <w:t>are not sat</w:t>
      </w:r>
      <w:r w:rsidR="00DF207F">
        <w:t>isfied</w:t>
      </w:r>
      <w:r>
        <w:t xml:space="preserve"> that </w:t>
      </w:r>
      <w:r w:rsidR="00BF1C48">
        <w:t xml:space="preserve">recovery of </w:t>
      </w:r>
      <w:r>
        <w:t xml:space="preserve">the proposed revenues </w:t>
      </w:r>
      <w:r w:rsidR="00BF1C48">
        <w:t xml:space="preserve">by TransGrid and Transend </w:t>
      </w:r>
      <w:r>
        <w:t xml:space="preserve">are </w:t>
      </w:r>
      <w:r w:rsidRPr="00507584">
        <w:t>reasonably likely to minimise variations in prices between the:</w:t>
      </w:r>
    </w:p>
    <w:p w:rsidR="00405B0C" w:rsidRPr="00A03B8D" w:rsidRDefault="00405B0C" w:rsidP="00A03B8D">
      <w:pPr>
        <w:numPr>
          <w:ilvl w:val="0"/>
          <w:numId w:val="2"/>
        </w:numPr>
        <w:tabs>
          <w:tab w:val="left" w:pos="357"/>
        </w:tabs>
        <w:spacing w:after="200"/>
        <w:ind w:left="357" w:hanging="357"/>
        <w:rPr>
          <w:rFonts w:eastAsia="Times New Roman"/>
          <w:szCs w:val="24"/>
        </w:rPr>
      </w:pPr>
      <w:r w:rsidRPr="00A03B8D">
        <w:rPr>
          <w:rFonts w:eastAsia="Times New Roman"/>
          <w:szCs w:val="24"/>
        </w:rPr>
        <w:t>current regulatory control period</w:t>
      </w:r>
      <w:r w:rsidR="00176B2D">
        <w:rPr>
          <w:rFonts w:eastAsia="Times New Roman"/>
          <w:szCs w:val="24"/>
        </w:rPr>
        <w:t xml:space="preserve"> (1 July 2009 to 30 June 2014)</w:t>
      </w:r>
    </w:p>
    <w:p w:rsidR="00405B0C" w:rsidRPr="00A03B8D" w:rsidRDefault="00405B0C" w:rsidP="00A03B8D">
      <w:pPr>
        <w:numPr>
          <w:ilvl w:val="0"/>
          <w:numId w:val="2"/>
        </w:numPr>
        <w:tabs>
          <w:tab w:val="left" w:pos="357"/>
        </w:tabs>
        <w:spacing w:after="200"/>
        <w:ind w:left="357" w:hanging="357"/>
        <w:rPr>
          <w:rFonts w:eastAsia="Times New Roman"/>
          <w:szCs w:val="24"/>
        </w:rPr>
      </w:pPr>
      <w:r w:rsidRPr="00A03B8D">
        <w:rPr>
          <w:rFonts w:eastAsia="Times New Roman"/>
          <w:szCs w:val="24"/>
        </w:rPr>
        <w:t>transitional regulatory control period</w:t>
      </w:r>
      <w:r w:rsidR="00176B2D">
        <w:rPr>
          <w:rFonts w:eastAsia="Times New Roman"/>
          <w:szCs w:val="24"/>
        </w:rPr>
        <w:t xml:space="preserve"> </w:t>
      </w:r>
      <w:r w:rsidR="00176B2D" w:rsidRPr="00A03B8D">
        <w:rPr>
          <w:rFonts w:eastAsia="Times New Roman"/>
          <w:szCs w:val="24"/>
        </w:rPr>
        <w:t>(1 July 2014 to 30 June 2015)</w:t>
      </w:r>
    </w:p>
    <w:p w:rsidR="00405B0C" w:rsidRPr="00A03B8D" w:rsidRDefault="00405B0C" w:rsidP="00A03B8D">
      <w:pPr>
        <w:numPr>
          <w:ilvl w:val="0"/>
          <w:numId w:val="2"/>
        </w:numPr>
        <w:tabs>
          <w:tab w:val="left" w:pos="357"/>
        </w:tabs>
        <w:spacing w:after="200"/>
        <w:ind w:left="357" w:hanging="357"/>
        <w:rPr>
          <w:rFonts w:eastAsia="Times New Roman"/>
          <w:szCs w:val="24"/>
        </w:rPr>
      </w:pPr>
      <w:r w:rsidRPr="00A03B8D">
        <w:rPr>
          <w:rFonts w:eastAsia="Times New Roman"/>
          <w:szCs w:val="24"/>
        </w:rPr>
        <w:t>subsequent regulatory control period</w:t>
      </w:r>
      <w:r w:rsidR="00176B2D">
        <w:rPr>
          <w:rFonts w:eastAsia="Times New Roman"/>
          <w:szCs w:val="24"/>
        </w:rPr>
        <w:t xml:space="preserve"> </w:t>
      </w:r>
      <w:r w:rsidR="00176B2D" w:rsidRPr="00A03B8D">
        <w:rPr>
          <w:rFonts w:eastAsia="Times New Roman"/>
          <w:szCs w:val="24"/>
        </w:rPr>
        <w:t>(1 July 2015 to 30 June 2019)</w:t>
      </w:r>
    </w:p>
    <w:p w:rsidR="00405B0C" w:rsidRPr="00A03B8D" w:rsidRDefault="00405B0C" w:rsidP="00A03B8D">
      <w:pPr>
        <w:numPr>
          <w:ilvl w:val="0"/>
          <w:numId w:val="2"/>
        </w:numPr>
        <w:tabs>
          <w:tab w:val="left" w:pos="357"/>
        </w:tabs>
        <w:spacing w:after="200"/>
        <w:ind w:left="357" w:hanging="357"/>
        <w:rPr>
          <w:rFonts w:eastAsia="Times New Roman"/>
          <w:szCs w:val="24"/>
        </w:rPr>
      </w:pPr>
      <w:proofErr w:type="gramStart"/>
      <w:r w:rsidRPr="00A03B8D">
        <w:rPr>
          <w:rFonts w:eastAsia="Times New Roman"/>
          <w:szCs w:val="24"/>
        </w:rPr>
        <w:t>the</w:t>
      </w:r>
      <w:proofErr w:type="gramEnd"/>
      <w:r w:rsidRPr="00A03B8D">
        <w:rPr>
          <w:rFonts w:eastAsia="Times New Roman"/>
          <w:szCs w:val="24"/>
        </w:rPr>
        <w:t xml:space="preserve"> regulatory years of the subsequent regulatory control period</w:t>
      </w:r>
      <w:r w:rsidR="00BF1C48">
        <w:rPr>
          <w:rFonts w:eastAsia="Times New Roman"/>
          <w:szCs w:val="24"/>
        </w:rPr>
        <w:t xml:space="preserve"> (the </w:t>
      </w:r>
      <w:r w:rsidR="00BF1C48" w:rsidRPr="0059768B">
        <w:rPr>
          <w:rFonts w:eastAsia="Times New Roman"/>
          <w:b/>
          <w:szCs w:val="24"/>
        </w:rPr>
        <w:t>price variation test</w:t>
      </w:r>
      <w:r w:rsidR="00BF1C48">
        <w:rPr>
          <w:rFonts w:eastAsia="Times New Roman"/>
          <w:szCs w:val="24"/>
        </w:rPr>
        <w:t>)</w:t>
      </w:r>
      <w:r w:rsidRPr="00A03B8D">
        <w:rPr>
          <w:rFonts w:eastAsia="Times New Roman"/>
          <w:szCs w:val="24"/>
        </w:rPr>
        <w:t>.</w:t>
      </w:r>
    </w:p>
    <w:p w:rsidR="00CB0DB5" w:rsidRPr="00CB0DB5" w:rsidRDefault="00BF1C48" w:rsidP="00636C70">
      <w:pPr>
        <w:pStyle w:val="AERbodytext"/>
      </w:pPr>
      <w:r>
        <w:t>In applying the price variation test, we</w:t>
      </w:r>
      <w:r w:rsidR="00636C70">
        <w:t xml:space="preserve"> </w:t>
      </w:r>
      <w:r w:rsidR="00CB0DB5">
        <w:t xml:space="preserve">consider that </w:t>
      </w:r>
      <w:r w:rsidR="00CB4358">
        <w:t>the revenue proposal</w:t>
      </w:r>
      <w:r w:rsidR="00CB0DB5" w:rsidRPr="00CB0DB5">
        <w:t xml:space="preserve"> </w:t>
      </w:r>
      <w:r w:rsidR="00636C70">
        <w:t xml:space="preserve">by TransGrid </w:t>
      </w:r>
      <w:r w:rsidR="00CB4358">
        <w:t>is</w:t>
      </w:r>
      <w:r w:rsidR="00636C70">
        <w:t xml:space="preserve"> </w:t>
      </w:r>
      <w:r>
        <w:t xml:space="preserve">not </w:t>
      </w:r>
      <w:r w:rsidR="00CB0DB5">
        <w:t xml:space="preserve">likely to contribute to the achievement of the </w:t>
      </w:r>
      <w:r w:rsidR="00176B2D">
        <w:t>National Electricity Objective (</w:t>
      </w:r>
      <w:r w:rsidR="00CB0DB5">
        <w:t>NEO</w:t>
      </w:r>
      <w:r w:rsidR="00176B2D">
        <w:t>)</w:t>
      </w:r>
      <w:r w:rsidR="00CB0DB5">
        <w:t xml:space="preserve"> and </w:t>
      </w:r>
      <w:r w:rsidR="00636C70">
        <w:t>are not</w:t>
      </w:r>
      <w:r w:rsidR="00CB0DB5">
        <w:t xml:space="preserve"> consistent with the revenue and pricing principles </w:t>
      </w:r>
      <w:r w:rsidR="009737E6">
        <w:t xml:space="preserve">(RPPs) </w:t>
      </w:r>
      <w:r w:rsidR="00CB0DB5">
        <w:t>in the National Electricity Law (NEL) in terms of promoting efficient investment</w:t>
      </w:r>
      <w:r w:rsidR="00CB0DB5" w:rsidRPr="00CB0DB5">
        <w:t xml:space="preserve">.  </w:t>
      </w:r>
      <w:r w:rsidR="00CB4358">
        <w:t xml:space="preserve">For Transend we consider </w:t>
      </w:r>
      <w:r w:rsidR="007B1555">
        <w:t xml:space="preserve">that the revenue proposal is </w:t>
      </w:r>
      <w:r w:rsidR="00CB4358">
        <w:t xml:space="preserve">not likely to contribute to the </w:t>
      </w:r>
      <w:r w:rsidR="007B1555">
        <w:t>achievement of the NEO to the greatest</w:t>
      </w:r>
      <w:r w:rsidR="00CB4358">
        <w:t xml:space="preserve"> degree</w:t>
      </w:r>
      <w:r w:rsidR="007B1555">
        <w:t xml:space="preserve"> and is not consistent with the RPPs in terms of promoting efficient investment.</w:t>
      </w:r>
    </w:p>
    <w:p w:rsidR="00405B0C" w:rsidRPr="0086343C" w:rsidRDefault="00405B0C" w:rsidP="00405B0C">
      <w:pPr>
        <w:pStyle w:val="AERbodytext"/>
      </w:pPr>
      <w:r>
        <w:t xml:space="preserve">Instead we have approved a lower </w:t>
      </w:r>
      <w:r w:rsidR="00843300">
        <w:t xml:space="preserve">placeholder </w:t>
      </w:r>
      <w:r w:rsidR="00176B2D">
        <w:t>maximum allowed</w:t>
      </w:r>
      <w:r>
        <w:t xml:space="preserve"> revenue </w:t>
      </w:r>
      <w:r w:rsidR="00176B2D">
        <w:t>(MAR)</w:t>
      </w:r>
      <w:r>
        <w:t xml:space="preserve"> for the transitional </w:t>
      </w:r>
      <w:r w:rsidR="00176B2D">
        <w:t>regulatory control period</w:t>
      </w:r>
      <w:r>
        <w:t xml:space="preserve">. We </w:t>
      </w:r>
      <w:r w:rsidR="00BF1C48">
        <w:t xml:space="preserve">are satisfied </w:t>
      </w:r>
      <w:r>
        <w:t>this alternative revenue allowance is more likely to minimise variations in prices across the relevant periods</w:t>
      </w:r>
      <w:r w:rsidR="00BF1C48">
        <w:t xml:space="preserve"> and years</w:t>
      </w:r>
      <w:r>
        <w:t>. Our reasons for this view are set out in this document.</w:t>
      </w:r>
      <w:r w:rsidR="008B095B">
        <w:t xml:space="preserve"> Our decisions on the other components of the determinations are also set out in this document.</w:t>
      </w:r>
    </w:p>
    <w:p w:rsidR="00CD5734" w:rsidRPr="00275AE9" w:rsidRDefault="00275AE9" w:rsidP="00295CD8">
      <w:pPr>
        <w:pStyle w:val="HeadingBoldBlue"/>
        <w:rPr>
          <w:rStyle w:val="AERtextbold"/>
          <w:b/>
          <w:i/>
        </w:rPr>
      </w:pPr>
      <w:r w:rsidRPr="00275AE9">
        <w:rPr>
          <w:rStyle w:val="AERtextbold"/>
          <w:b/>
        </w:rPr>
        <w:t>Our role</w:t>
      </w:r>
    </w:p>
    <w:p w:rsidR="00CD5734" w:rsidRDefault="00CD5734" w:rsidP="00CD5734">
      <w:pPr>
        <w:pStyle w:val="AERbodytext"/>
      </w:pPr>
      <w:r w:rsidRPr="00CD5734">
        <w:t>We, the Australian Energy Regulator (AER), are responsible for regulating the revenues of distribution and transmission network service providers (</w:t>
      </w:r>
      <w:r w:rsidR="003C7E7B">
        <w:t>DNSPs</w:t>
      </w:r>
      <w:r w:rsidRPr="00CD5734">
        <w:t xml:space="preserve"> and TNSPs) operating in the National Electricity Market (NEM). The NEL and the National Electricity Rules (NER) provide the overarching framework under which we operate.</w:t>
      </w:r>
    </w:p>
    <w:p w:rsidR="009E7564" w:rsidRPr="00F04E3B" w:rsidRDefault="009E7564" w:rsidP="009E7564">
      <w:pPr>
        <w:pStyle w:val="AERbodytext"/>
      </w:pPr>
      <w:r w:rsidRPr="00F04E3B">
        <w:t xml:space="preserve">In November 2012, the </w:t>
      </w:r>
      <w:r w:rsidR="00176B2D">
        <w:t>Australian Energy Market Commission (</w:t>
      </w:r>
      <w:r w:rsidRPr="00F04E3B">
        <w:t>AEMC</w:t>
      </w:r>
      <w:r w:rsidR="00176B2D">
        <w:t>)</w:t>
      </w:r>
      <w:r w:rsidRPr="00F04E3B">
        <w:t xml:space="preserve"> introduced major changes to the economic regulation of distribution and transmission network service providers under </w:t>
      </w:r>
      <w:r w:rsidR="00176B2D">
        <w:t>c</w:t>
      </w:r>
      <w:r w:rsidRPr="00F04E3B">
        <w:t>hapters 6 and 6A respect</w:t>
      </w:r>
      <w:r>
        <w:t xml:space="preserve">ively of the </w:t>
      </w:r>
      <w:r w:rsidR="00176B2D">
        <w:t>NER</w:t>
      </w:r>
      <w:r>
        <w:t>.</w:t>
      </w:r>
      <w:r>
        <w:rPr>
          <w:rStyle w:val="FootnoteReference"/>
        </w:rPr>
        <w:footnoteReference w:id="1"/>
      </w:r>
      <w:r w:rsidRPr="00F04E3B">
        <w:t xml:space="preserve">  </w:t>
      </w:r>
    </w:p>
    <w:p w:rsidR="00A94B4E" w:rsidRDefault="009E7564" w:rsidP="009E7564">
      <w:pPr>
        <w:pStyle w:val="AERbodytext"/>
      </w:pPr>
      <w:r w:rsidRPr="00F04E3B">
        <w:t xml:space="preserve">Prior to </w:t>
      </w:r>
      <w:r w:rsidR="00BF1C48">
        <w:t xml:space="preserve">the </w:t>
      </w:r>
      <w:r w:rsidRPr="00F04E3B">
        <w:t xml:space="preserve">making of the new rules, </w:t>
      </w:r>
      <w:r w:rsidR="003C7E7B">
        <w:t>transmission</w:t>
      </w:r>
      <w:r w:rsidRPr="00F04E3B">
        <w:t xml:space="preserve"> determinations for</w:t>
      </w:r>
      <w:r w:rsidR="00532854">
        <w:t xml:space="preserve"> </w:t>
      </w:r>
      <w:r w:rsidR="00B0384B">
        <w:t>TransGrid and Transend</w:t>
      </w:r>
      <w:r w:rsidRPr="00F04E3B">
        <w:t xml:space="preserve"> were due to commence on 1 July 2014 and would apply for a period of five years. However, to allow for the gradual introduction of the new rules, the transitional rules adopt a two stage approach for the regulation of these </w:t>
      </w:r>
      <w:r w:rsidR="00176B2D">
        <w:t>TNSPs</w:t>
      </w:r>
      <w:r w:rsidR="00A94B4E" w:rsidRPr="00F04E3B">
        <w:t xml:space="preserve"> </w:t>
      </w:r>
      <w:r w:rsidRPr="00F04E3B">
        <w:t>over the next five years</w:t>
      </w:r>
      <w:r w:rsidR="00AC6813">
        <w:t>:</w:t>
      </w:r>
      <w:r>
        <w:rPr>
          <w:rStyle w:val="FootnoteReference"/>
        </w:rPr>
        <w:footnoteReference w:id="2"/>
      </w:r>
    </w:p>
    <w:p w:rsidR="00A94B4E" w:rsidRPr="00A03B8D" w:rsidRDefault="00A03B8D" w:rsidP="00A03B8D">
      <w:pPr>
        <w:numPr>
          <w:ilvl w:val="0"/>
          <w:numId w:val="2"/>
        </w:numPr>
        <w:tabs>
          <w:tab w:val="left" w:pos="357"/>
        </w:tabs>
        <w:spacing w:after="200"/>
        <w:ind w:left="357" w:hanging="357"/>
        <w:rPr>
          <w:rFonts w:eastAsia="Times New Roman"/>
          <w:szCs w:val="24"/>
        </w:rPr>
      </w:pPr>
      <w:r>
        <w:rPr>
          <w:rFonts w:eastAsia="Times New Roman"/>
          <w:szCs w:val="24"/>
        </w:rPr>
        <w:t>t</w:t>
      </w:r>
      <w:r w:rsidR="00A94B4E" w:rsidRPr="00A03B8D">
        <w:rPr>
          <w:rFonts w:eastAsia="Times New Roman"/>
          <w:szCs w:val="24"/>
        </w:rPr>
        <w:t xml:space="preserve">he transitional regulatory control period </w:t>
      </w:r>
    </w:p>
    <w:p w:rsidR="00A94B4E" w:rsidRPr="00A03B8D" w:rsidRDefault="00A03B8D" w:rsidP="00A03B8D">
      <w:pPr>
        <w:numPr>
          <w:ilvl w:val="0"/>
          <w:numId w:val="2"/>
        </w:numPr>
        <w:tabs>
          <w:tab w:val="left" w:pos="357"/>
        </w:tabs>
        <w:spacing w:after="200"/>
        <w:ind w:left="357" w:hanging="357"/>
        <w:rPr>
          <w:rFonts w:eastAsia="Times New Roman"/>
          <w:szCs w:val="24"/>
        </w:rPr>
      </w:pPr>
      <w:proofErr w:type="gramStart"/>
      <w:r>
        <w:rPr>
          <w:rFonts w:eastAsia="Times New Roman"/>
          <w:szCs w:val="24"/>
        </w:rPr>
        <w:lastRenderedPageBreak/>
        <w:t>t</w:t>
      </w:r>
      <w:r w:rsidR="00A94B4E" w:rsidRPr="00A03B8D">
        <w:rPr>
          <w:rFonts w:eastAsia="Times New Roman"/>
          <w:szCs w:val="24"/>
        </w:rPr>
        <w:t>he</w:t>
      </w:r>
      <w:proofErr w:type="gramEnd"/>
      <w:r w:rsidR="00A94B4E" w:rsidRPr="00A03B8D">
        <w:rPr>
          <w:rFonts w:eastAsia="Times New Roman"/>
          <w:szCs w:val="24"/>
        </w:rPr>
        <w:t xml:space="preserve"> subsequent regulatory control period.</w:t>
      </w:r>
    </w:p>
    <w:p w:rsidR="009E7564" w:rsidRPr="00F04E3B" w:rsidRDefault="009E7564" w:rsidP="009E7564">
      <w:pPr>
        <w:pStyle w:val="AERbodytext"/>
      </w:pPr>
      <w:r w:rsidRPr="00F04E3B">
        <w:t xml:space="preserve">The AER is required to make a </w:t>
      </w:r>
      <w:r w:rsidR="00176B2D">
        <w:t xml:space="preserve">transmission </w:t>
      </w:r>
      <w:r w:rsidRPr="00F04E3B">
        <w:t xml:space="preserve">determination </w:t>
      </w:r>
      <w:r w:rsidR="00A94B4E">
        <w:t xml:space="preserve">for the transitional regulatory control period by 31 March 2014, </w:t>
      </w:r>
      <w:r w:rsidRPr="00F04E3B">
        <w:t>which will only apply for one year</w:t>
      </w:r>
      <w:r w:rsidR="00A94B4E">
        <w:t xml:space="preserve"> for TransGrid and Transend, respectively. </w:t>
      </w:r>
      <w:r>
        <w:t xml:space="preserve">One of the decisions we must make in this determination is whether to approve the </w:t>
      </w:r>
      <w:r w:rsidR="00B0384B" w:rsidRPr="00F04E3B">
        <w:t>TNSPs</w:t>
      </w:r>
      <w:r w:rsidR="00B0384B">
        <w:t xml:space="preserve">’ </w:t>
      </w:r>
      <w:r>
        <w:t xml:space="preserve">proposed </w:t>
      </w:r>
      <w:r w:rsidR="003C7E7B">
        <w:t xml:space="preserve">placeholder MAR </w:t>
      </w:r>
      <w:r w:rsidR="00921E56">
        <w:t>f</w:t>
      </w:r>
      <w:r>
        <w:t xml:space="preserve">or the transitional regulatory control period. </w:t>
      </w:r>
      <w:r w:rsidRPr="00F04E3B">
        <w:t>The AER will then carry out a full regulat</w:t>
      </w:r>
      <w:r w:rsidR="00B0384B">
        <w:t>ory determination process by 30 April</w:t>
      </w:r>
      <w:r w:rsidRPr="00F04E3B">
        <w:t xml:space="preserve"> 2015 to apply to the subs</w:t>
      </w:r>
      <w:r>
        <w:t xml:space="preserve">equent </w:t>
      </w:r>
      <w:r w:rsidR="00150A88">
        <w:t>regulatory control period.</w:t>
      </w:r>
      <w:r w:rsidRPr="009E7564">
        <w:t xml:space="preserve"> </w:t>
      </w:r>
      <w:r>
        <w:t xml:space="preserve">If the revenue approved </w:t>
      </w:r>
      <w:r w:rsidR="001417B8">
        <w:t xml:space="preserve">in the full regulatory determination </w:t>
      </w:r>
      <w:r>
        <w:t xml:space="preserve">for the transitional </w:t>
      </w:r>
      <w:r w:rsidR="00843300">
        <w:t>regulatory control period is</w:t>
      </w:r>
      <w:r>
        <w:t xml:space="preserve"> different to our </w:t>
      </w:r>
      <w:r w:rsidR="002907BA">
        <w:t>transitional</w:t>
      </w:r>
      <w:r>
        <w:t xml:space="preserve"> determination then a true-up will apply.</w:t>
      </w:r>
    </w:p>
    <w:p w:rsidR="009E7564" w:rsidRPr="00ED718B" w:rsidRDefault="009E7564" w:rsidP="009E7564">
      <w:pPr>
        <w:pStyle w:val="AERbodytext"/>
      </w:pPr>
      <w:r>
        <w:t>This transitional determination is not the usual complete determination that we are required to make under chapter 6</w:t>
      </w:r>
      <w:r w:rsidR="00A4010F">
        <w:t>A</w:t>
      </w:r>
      <w:r>
        <w:t xml:space="preserve"> of the NER. We are, however, required to make various decisions for this one year </w:t>
      </w:r>
      <w:r w:rsidR="00A4010F">
        <w:t xml:space="preserve">regulatory control </w:t>
      </w:r>
      <w:r>
        <w:t>period</w:t>
      </w:r>
      <w:r w:rsidR="00A4010F">
        <w:t>.</w:t>
      </w:r>
      <w:r>
        <w:t xml:space="preserve"> The decisions that the AER must make for the transitional determination are set out in this decision </w:t>
      </w:r>
      <w:r w:rsidRPr="00ED718B">
        <w:t xml:space="preserve">in </w:t>
      </w:r>
      <w:r w:rsidR="00013C43" w:rsidRPr="00ED718B">
        <w:t>a</w:t>
      </w:r>
      <w:r w:rsidR="005F0D57" w:rsidRPr="00ED718B">
        <w:t>ppendix A</w:t>
      </w:r>
      <w:r w:rsidR="00013C43" w:rsidRPr="00ED718B">
        <w:t xml:space="preserve"> for TransGrid and a</w:t>
      </w:r>
      <w:r w:rsidR="002907BA" w:rsidRPr="00ED718B">
        <w:t>ppendix B for Transend</w:t>
      </w:r>
      <w:r w:rsidRPr="00ED718B">
        <w:t>.</w:t>
      </w:r>
    </w:p>
    <w:p w:rsidR="00892117" w:rsidRDefault="00275AE9" w:rsidP="00892117">
      <w:pPr>
        <w:pStyle w:val="AERbodytext"/>
        <w:numPr>
          <w:ilvl w:val="0"/>
          <w:numId w:val="0"/>
        </w:numPr>
      </w:pPr>
      <w:r>
        <w:t xml:space="preserve">One of these decisions relates to the </w:t>
      </w:r>
      <w:r w:rsidR="00CF2C02">
        <w:t xml:space="preserve">MAR </w:t>
      </w:r>
      <w:r>
        <w:t xml:space="preserve">for the transitional year. </w:t>
      </w:r>
      <w:r w:rsidR="00A613B2">
        <w:t xml:space="preserve">We may only </w:t>
      </w:r>
      <w:r w:rsidR="00CD5734" w:rsidRPr="00CD5734">
        <w:t xml:space="preserve">approve </w:t>
      </w:r>
      <w:r w:rsidR="001417B8">
        <w:t>a</w:t>
      </w:r>
      <w:r w:rsidR="00CD5734" w:rsidRPr="00CD5734">
        <w:t xml:space="preserve"> </w:t>
      </w:r>
      <w:r w:rsidR="00B0384B" w:rsidRPr="00F04E3B">
        <w:t>TNSP</w:t>
      </w:r>
      <w:r w:rsidR="00843300">
        <w:t>’</w:t>
      </w:r>
      <w:r w:rsidR="00B0384B" w:rsidRPr="00F04E3B">
        <w:t>s</w:t>
      </w:r>
      <w:r w:rsidR="00B0384B">
        <w:t xml:space="preserve"> </w:t>
      </w:r>
      <w:r w:rsidR="00CD5734" w:rsidRPr="00CD5734">
        <w:t xml:space="preserve">proposed </w:t>
      </w:r>
      <w:r w:rsidR="00CF2C02">
        <w:t>MAR</w:t>
      </w:r>
      <w:r w:rsidR="00B2294E">
        <w:t xml:space="preserve"> </w:t>
      </w:r>
      <w:r w:rsidR="00A613B2">
        <w:t xml:space="preserve">for the transitional year if we are satisfied that </w:t>
      </w:r>
      <w:r w:rsidR="008B095B">
        <w:t>the amount is such that the recovery of it by the TNSP</w:t>
      </w:r>
      <w:r w:rsidR="00892117">
        <w:t xml:space="preserve"> </w:t>
      </w:r>
      <w:r w:rsidR="00892117" w:rsidRPr="00892117">
        <w:t>is reasonably likely to minimi</w:t>
      </w:r>
      <w:r w:rsidR="00892117">
        <w:t>se variations in prices between the</w:t>
      </w:r>
      <w:r w:rsidR="00843300">
        <w:t xml:space="preserve"> relevant regulatory control periods and years, as outline above </w:t>
      </w:r>
      <w:r w:rsidR="00843300" w:rsidRPr="00A03B8D">
        <w:t xml:space="preserve">(referred to as the </w:t>
      </w:r>
      <w:r w:rsidR="00843300" w:rsidRPr="00CB26BA">
        <w:rPr>
          <w:b/>
        </w:rPr>
        <w:t>price variation test</w:t>
      </w:r>
      <w:r w:rsidR="00843300" w:rsidRPr="00A03B8D">
        <w:t>).</w:t>
      </w:r>
      <w:r w:rsidR="004A43E9">
        <w:rPr>
          <w:rStyle w:val="FootnoteReference"/>
        </w:rPr>
        <w:footnoteReference w:id="3"/>
      </w:r>
    </w:p>
    <w:p w:rsidR="006C3AEF" w:rsidRDefault="00BF1C48" w:rsidP="006C3AEF">
      <w:pPr>
        <w:tabs>
          <w:tab w:val="left" w:pos="357"/>
        </w:tabs>
        <w:spacing w:after="200"/>
        <w:rPr>
          <w:rFonts w:eastAsia="Times New Roman"/>
          <w:szCs w:val="24"/>
        </w:rPr>
      </w:pPr>
      <w:r>
        <w:rPr>
          <w:rFonts w:eastAsia="Times New Roman"/>
          <w:szCs w:val="24"/>
        </w:rPr>
        <w:t>O</w:t>
      </w:r>
      <w:r w:rsidR="009D2474">
        <w:rPr>
          <w:rFonts w:eastAsia="Times New Roman"/>
          <w:szCs w:val="24"/>
        </w:rPr>
        <w:t>ur decision must take into account the RPPs in the NEL</w:t>
      </w:r>
      <w:r w:rsidR="006C3AEF">
        <w:rPr>
          <w:rFonts w:eastAsia="Times New Roman"/>
          <w:szCs w:val="24"/>
        </w:rPr>
        <w:t xml:space="preserve"> and we</w:t>
      </w:r>
      <w:r w:rsidR="006C3AEF" w:rsidRPr="006C3AEF">
        <w:rPr>
          <w:rFonts w:eastAsia="Times New Roman"/>
          <w:szCs w:val="24"/>
        </w:rPr>
        <w:t xml:space="preserve"> must perform </w:t>
      </w:r>
      <w:r w:rsidR="006C3AEF">
        <w:rPr>
          <w:rFonts w:eastAsia="Times New Roman"/>
          <w:szCs w:val="24"/>
        </w:rPr>
        <w:t>our</w:t>
      </w:r>
      <w:r w:rsidR="006C3AEF" w:rsidRPr="006C3AEF">
        <w:rPr>
          <w:rFonts w:eastAsia="Times New Roman"/>
          <w:szCs w:val="24"/>
        </w:rPr>
        <w:t xml:space="preserve"> function in a manner that will or is likely to</w:t>
      </w:r>
      <w:r w:rsidR="006C3AEF">
        <w:rPr>
          <w:rFonts w:eastAsia="Times New Roman"/>
          <w:szCs w:val="24"/>
        </w:rPr>
        <w:t xml:space="preserve"> </w:t>
      </w:r>
      <w:r w:rsidR="006C3AEF" w:rsidRPr="006C3AEF">
        <w:rPr>
          <w:rFonts w:eastAsia="Times New Roman"/>
          <w:szCs w:val="24"/>
        </w:rPr>
        <w:t xml:space="preserve">contribute to the achievement of the </w:t>
      </w:r>
      <w:r w:rsidR="00150FC7">
        <w:rPr>
          <w:rFonts w:eastAsia="Times New Roman"/>
          <w:szCs w:val="24"/>
        </w:rPr>
        <w:t>(NEO</w:t>
      </w:r>
      <w:r w:rsidR="001F3725">
        <w:rPr>
          <w:rFonts w:eastAsia="Times New Roman"/>
          <w:szCs w:val="24"/>
        </w:rPr>
        <w:t>)</w:t>
      </w:r>
      <w:r w:rsidR="009D2474">
        <w:rPr>
          <w:rFonts w:eastAsia="Times New Roman"/>
          <w:szCs w:val="24"/>
        </w:rPr>
        <w:t>.</w:t>
      </w:r>
      <w:r w:rsidR="00BE7F18">
        <w:rPr>
          <w:rStyle w:val="FootnoteReference"/>
          <w:rFonts w:eastAsia="Times New Roman"/>
          <w:szCs w:val="24"/>
        </w:rPr>
        <w:footnoteReference w:id="4"/>
      </w:r>
      <w:r w:rsidR="006C3AEF">
        <w:rPr>
          <w:rFonts w:eastAsia="Times New Roman"/>
          <w:szCs w:val="24"/>
        </w:rPr>
        <w:t xml:space="preserve"> </w:t>
      </w:r>
      <w:r w:rsidR="00993598">
        <w:rPr>
          <w:rFonts w:eastAsia="Times New Roman"/>
          <w:szCs w:val="24"/>
        </w:rPr>
        <w:t xml:space="preserve">Importantly, the price variation test </w:t>
      </w:r>
      <w:r w:rsidR="00993598">
        <w:t>is centred on reducing the potential for any future significant price changes for consumers.</w:t>
      </w:r>
    </w:p>
    <w:p w:rsidR="00084BBD" w:rsidRDefault="00084BBD" w:rsidP="00084BBD">
      <w:pPr>
        <w:tabs>
          <w:tab w:val="left" w:pos="357"/>
        </w:tabs>
        <w:spacing w:after="200"/>
        <w:rPr>
          <w:rFonts w:eastAsia="Times New Roman"/>
          <w:szCs w:val="24"/>
        </w:rPr>
      </w:pPr>
      <w:r>
        <w:rPr>
          <w:rFonts w:eastAsia="Times New Roman"/>
          <w:szCs w:val="24"/>
        </w:rPr>
        <w:t xml:space="preserve">Where relevant, we have set out </w:t>
      </w:r>
      <w:r w:rsidRPr="00084BBD">
        <w:rPr>
          <w:rFonts w:eastAsia="Times New Roman"/>
          <w:szCs w:val="24"/>
        </w:rPr>
        <w:t>the manner in which the constit</w:t>
      </w:r>
      <w:r>
        <w:rPr>
          <w:rFonts w:eastAsia="Times New Roman"/>
          <w:szCs w:val="24"/>
        </w:rPr>
        <w:t xml:space="preserve">uent components of the decision </w:t>
      </w:r>
      <w:r w:rsidRPr="00084BBD">
        <w:rPr>
          <w:rFonts w:eastAsia="Times New Roman"/>
          <w:szCs w:val="24"/>
        </w:rPr>
        <w:t>relate to each other</w:t>
      </w:r>
      <w:r w:rsidR="00A80D8A">
        <w:rPr>
          <w:rFonts w:eastAsia="Times New Roman"/>
          <w:szCs w:val="24"/>
        </w:rPr>
        <w:t xml:space="preserve"> in our reasons. We have indicated</w:t>
      </w:r>
      <w:r w:rsidRPr="00084BBD">
        <w:rPr>
          <w:rFonts w:eastAsia="Times New Roman"/>
          <w:szCs w:val="24"/>
        </w:rPr>
        <w:t xml:space="preserve"> the manner in which that interr</w:t>
      </w:r>
      <w:r>
        <w:rPr>
          <w:rFonts w:eastAsia="Times New Roman"/>
          <w:szCs w:val="24"/>
        </w:rPr>
        <w:t xml:space="preserve">elationship has been taken into </w:t>
      </w:r>
      <w:r w:rsidRPr="00084BBD">
        <w:rPr>
          <w:rFonts w:eastAsia="Times New Roman"/>
          <w:szCs w:val="24"/>
        </w:rPr>
        <w:t xml:space="preserve">account in </w:t>
      </w:r>
      <w:r w:rsidR="00A80D8A">
        <w:rPr>
          <w:rFonts w:eastAsia="Times New Roman"/>
          <w:szCs w:val="24"/>
        </w:rPr>
        <w:t>our</w:t>
      </w:r>
      <w:r w:rsidRPr="00084BBD">
        <w:rPr>
          <w:rFonts w:eastAsia="Times New Roman"/>
          <w:szCs w:val="24"/>
        </w:rPr>
        <w:t xml:space="preserve"> decision</w:t>
      </w:r>
      <w:r>
        <w:rPr>
          <w:rFonts w:eastAsia="Times New Roman"/>
          <w:szCs w:val="24"/>
        </w:rPr>
        <w:t>.</w:t>
      </w:r>
    </w:p>
    <w:p w:rsidR="009D2474" w:rsidRPr="00A03B8D" w:rsidRDefault="006C3AEF" w:rsidP="00084BBD">
      <w:pPr>
        <w:tabs>
          <w:tab w:val="left" w:pos="357"/>
        </w:tabs>
        <w:spacing w:after="200"/>
        <w:rPr>
          <w:rFonts w:eastAsia="Times New Roman"/>
          <w:szCs w:val="24"/>
        </w:rPr>
      </w:pPr>
      <w:r>
        <w:rPr>
          <w:rFonts w:eastAsia="Times New Roman"/>
          <w:szCs w:val="24"/>
        </w:rPr>
        <w:t>In this determination we have made</w:t>
      </w:r>
      <w:r w:rsidRPr="006C3AEF">
        <w:rPr>
          <w:rFonts w:eastAsia="Times New Roman"/>
          <w:szCs w:val="24"/>
        </w:rPr>
        <w:t xml:space="preserve"> the decision that </w:t>
      </w:r>
      <w:r>
        <w:rPr>
          <w:rFonts w:eastAsia="Times New Roman"/>
          <w:szCs w:val="24"/>
        </w:rPr>
        <w:t>we are</w:t>
      </w:r>
      <w:r w:rsidRPr="006C3AEF">
        <w:rPr>
          <w:rFonts w:eastAsia="Times New Roman"/>
          <w:szCs w:val="24"/>
        </w:rPr>
        <w:t xml:space="preserve"> satisfied w</w:t>
      </w:r>
      <w:r w:rsidR="00923896">
        <w:rPr>
          <w:rFonts w:eastAsia="Times New Roman"/>
          <w:szCs w:val="24"/>
        </w:rPr>
        <w:t>ould,</w:t>
      </w:r>
      <w:r w:rsidRPr="006C3AEF">
        <w:rPr>
          <w:rFonts w:eastAsia="Times New Roman"/>
          <w:szCs w:val="24"/>
        </w:rPr>
        <w:t xml:space="preserve"> or is likely to</w:t>
      </w:r>
      <w:r>
        <w:rPr>
          <w:rFonts w:eastAsia="Times New Roman"/>
          <w:szCs w:val="24"/>
        </w:rPr>
        <w:t xml:space="preserve"> </w:t>
      </w:r>
      <w:r w:rsidRPr="006C3AEF">
        <w:rPr>
          <w:rFonts w:eastAsia="Times New Roman"/>
          <w:szCs w:val="24"/>
        </w:rPr>
        <w:t xml:space="preserve">contribute to the achievement of the </w:t>
      </w:r>
      <w:r w:rsidR="00923896">
        <w:rPr>
          <w:rFonts w:eastAsia="Times New Roman"/>
          <w:szCs w:val="24"/>
        </w:rPr>
        <w:t>NEO</w:t>
      </w:r>
      <w:r w:rsidRPr="006C3AEF">
        <w:rPr>
          <w:rFonts w:eastAsia="Times New Roman"/>
          <w:szCs w:val="24"/>
        </w:rPr>
        <w:t xml:space="preserve"> to</w:t>
      </w:r>
      <w:r>
        <w:rPr>
          <w:rFonts w:eastAsia="Times New Roman"/>
          <w:szCs w:val="24"/>
        </w:rPr>
        <w:t xml:space="preserve"> </w:t>
      </w:r>
      <w:r w:rsidRPr="006C3AEF">
        <w:rPr>
          <w:rFonts w:eastAsia="Times New Roman"/>
          <w:szCs w:val="24"/>
        </w:rPr>
        <w:t>the greatest degree</w:t>
      </w:r>
      <w:r w:rsidR="00923896">
        <w:rPr>
          <w:rFonts w:eastAsia="Times New Roman"/>
          <w:szCs w:val="24"/>
        </w:rPr>
        <w:t>,</w:t>
      </w:r>
      <w:r w:rsidRPr="006C3AEF">
        <w:rPr>
          <w:rFonts w:eastAsia="Times New Roman"/>
          <w:szCs w:val="24"/>
        </w:rPr>
        <w:t xml:space="preserve"> </w:t>
      </w:r>
      <w:r>
        <w:rPr>
          <w:rFonts w:eastAsia="Times New Roman"/>
          <w:szCs w:val="24"/>
        </w:rPr>
        <w:t>and we have included our</w:t>
      </w:r>
      <w:r w:rsidRPr="006C3AEF">
        <w:rPr>
          <w:rFonts w:eastAsia="Times New Roman"/>
          <w:szCs w:val="24"/>
        </w:rPr>
        <w:t xml:space="preserve"> reasons as to </w:t>
      </w:r>
      <w:r>
        <w:rPr>
          <w:rFonts w:eastAsia="Times New Roman"/>
          <w:szCs w:val="24"/>
        </w:rPr>
        <w:t>why we are</w:t>
      </w:r>
      <w:r w:rsidRPr="006C3AEF">
        <w:rPr>
          <w:rFonts w:eastAsia="Times New Roman"/>
          <w:szCs w:val="24"/>
        </w:rPr>
        <w:t xml:space="preserve"> satisfied that </w:t>
      </w:r>
      <w:r>
        <w:rPr>
          <w:rFonts w:eastAsia="Times New Roman"/>
          <w:szCs w:val="24"/>
        </w:rPr>
        <w:t xml:space="preserve">our </w:t>
      </w:r>
      <w:r w:rsidRPr="006C3AEF">
        <w:rPr>
          <w:rFonts w:eastAsia="Times New Roman"/>
          <w:szCs w:val="24"/>
        </w:rPr>
        <w:t>decision is the preferable decision.</w:t>
      </w:r>
      <w:r>
        <w:rPr>
          <w:rStyle w:val="FootnoteReference"/>
          <w:rFonts w:eastAsia="Times New Roman"/>
          <w:szCs w:val="24"/>
        </w:rPr>
        <w:footnoteReference w:id="5"/>
      </w:r>
    </w:p>
    <w:p w:rsidR="00CD5734" w:rsidRPr="00295CD8" w:rsidRDefault="00275AE9" w:rsidP="00295CD8">
      <w:pPr>
        <w:pStyle w:val="HeadingBoldBlue"/>
        <w:rPr>
          <w:rStyle w:val="AERtextbold"/>
          <w:b/>
        </w:rPr>
      </w:pPr>
      <w:r w:rsidRPr="00295CD8">
        <w:rPr>
          <w:rStyle w:val="AERtextbold"/>
          <w:b/>
        </w:rPr>
        <w:t>Transitional year review process</w:t>
      </w:r>
    </w:p>
    <w:p w:rsidR="00CD5734" w:rsidRPr="00CD5734" w:rsidRDefault="00CD5734" w:rsidP="003949E0">
      <w:pPr>
        <w:pStyle w:val="AERbodytext"/>
        <w:numPr>
          <w:ilvl w:val="0"/>
          <w:numId w:val="6"/>
        </w:numPr>
      </w:pPr>
      <w:r w:rsidRPr="00CD5734">
        <w:t xml:space="preserve">The </w:t>
      </w:r>
      <w:r w:rsidR="00150A88">
        <w:t>transitional re</w:t>
      </w:r>
      <w:r w:rsidR="00793D63">
        <w:t>venue</w:t>
      </w:r>
      <w:r w:rsidR="00150A88">
        <w:t xml:space="preserve"> proposals (</w:t>
      </w:r>
      <w:r w:rsidRPr="00CD5734">
        <w:t>TRPs</w:t>
      </w:r>
      <w:r w:rsidR="00150A88">
        <w:t>)</w:t>
      </w:r>
      <w:r w:rsidRPr="00CD5734">
        <w:t xml:space="preserve"> were submitted to us on 31 January 2014 and we are required to publish our </w:t>
      </w:r>
      <w:r w:rsidR="003C7E7B">
        <w:t>transitional</w:t>
      </w:r>
      <w:r w:rsidR="003C7E7B" w:rsidRPr="00CD5734">
        <w:t xml:space="preserve"> </w:t>
      </w:r>
      <w:r w:rsidRPr="00CD5734">
        <w:t>determination</w:t>
      </w:r>
      <w:r w:rsidR="003E5800">
        <w:t>s</w:t>
      </w:r>
      <w:r w:rsidRPr="00CD5734">
        <w:t xml:space="preserve"> by 3</w:t>
      </w:r>
      <w:r w:rsidR="00B0384B">
        <w:t>1</w:t>
      </w:r>
      <w:r w:rsidRPr="00CD5734">
        <w:t xml:space="preserve"> </w:t>
      </w:r>
      <w:r w:rsidR="00B0384B">
        <w:t>March</w:t>
      </w:r>
      <w:r w:rsidRPr="00CD5734">
        <w:t xml:space="preserve"> 2014. This</w:t>
      </w:r>
      <w:r w:rsidR="00BB59CD">
        <w:t xml:space="preserve"> has been intentionally designed as a </w:t>
      </w:r>
      <w:r w:rsidR="001417B8">
        <w:t>streamlined</w:t>
      </w:r>
      <w:r w:rsidR="00BB59CD">
        <w:t xml:space="preserve"> </w:t>
      </w:r>
      <w:proofErr w:type="gramStart"/>
      <w:r w:rsidR="00BB59CD">
        <w:t>process,</w:t>
      </w:r>
      <w:proofErr w:type="gramEnd"/>
      <w:r w:rsidR="00BB59CD">
        <w:t xml:space="preserve"> with no draft decision as would normally be the case with our regulatory determinations. Consistent with this approach, the </w:t>
      </w:r>
      <w:r w:rsidRPr="00CD5734">
        <w:t xml:space="preserve">consultation period we were required to undertake for the placeholder determination is shorter than the consultation undertaken for a full determination. Submissions on the TRPs closed </w:t>
      </w:r>
      <w:r w:rsidR="00A17819">
        <w:t xml:space="preserve">on </w:t>
      </w:r>
      <w:r w:rsidR="00653DCF">
        <w:t>3 </w:t>
      </w:r>
      <w:r w:rsidRPr="00CD5734">
        <w:t xml:space="preserve">March 2014. </w:t>
      </w:r>
    </w:p>
    <w:p w:rsidR="00CD5734" w:rsidRPr="00CD5734" w:rsidRDefault="003C7E7B" w:rsidP="00CD5734">
      <w:pPr>
        <w:pStyle w:val="AERbodytext"/>
        <w:numPr>
          <w:ilvl w:val="0"/>
          <w:numId w:val="6"/>
        </w:numPr>
      </w:pPr>
      <w:r>
        <w:t>TransGrid and Transend</w:t>
      </w:r>
      <w:r w:rsidR="00CD5734" w:rsidRPr="00CD5734">
        <w:t xml:space="preserve"> were required to submit </w:t>
      </w:r>
      <w:r w:rsidR="00902768">
        <w:t xml:space="preserve">an </w:t>
      </w:r>
      <w:r w:rsidR="00A4010F">
        <w:t xml:space="preserve">indicative range of revenue requirements and other relevant information </w:t>
      </w:r>
      <w:r w:rsidR="00CD5734" w:rsidRPr="00CD5734">
        <w:t xml:space="preserve">for the purposes of this </w:t>
      </w:r>
      <w:r w:rsidR="007244CE">
        <w:t xml:space="preserve">transitional </w:t>
      </w:r>
      <w:r w:rsidR="00CD5734" w:rsidRPr="00CD5734">
        <w:t>determination.</w:t>
      </w:r>
      <w:r w:rsidR="00A4010F">
        <w:rPr>
          <w:rStyle w:val="FootnoteReference"/>
        </w:rPr>
        <w:footnoteReference w:id="6"/>
      </w:r>
      <w:r w:rsidR="00CD5734" w:rsidRPr="00CD5734">
        <w:t xml:space="preserve"> We are required to make a high level assessment of the proposed revenue estimate, having </w:t>
      </w:r>
      <w:proofErr w:type="gramStart"/>
      <w:r w:rsidR="00CD5734" w:rsidRPr="00CD5734">
        <w:t>regard</w:t>
      </w:r>
      <w:proofErr w:type="gramEnd"/>
      <w:r w:rsidR="00CD5734" w:rsidRPr="00CD5734">
        <w:t xml:space="preserve"> to the fact that it is an </w:t>
      </w:r>
      <w:r w:rsidR="00CD5734" w:rsidRPr="00CD5734">
        <w:lastRenderedPageBreak/>
        <w:t xml:space="preserve">estimate </w:t>
      </w:r>
      <w:r w:rsidR="00E2572B">
        <w:t xml:space="preserve">based on indicative inputs </w:t>
      </w:r>
      <w:r w:rsidR="00CD5734" w:rsidRPr="00CD5734">
        <w:t xml:space="preserve">and that </w:t>
      </w:r>
      <w:r w:rsidR="00E2572B">
        <w:t xml:space="preserve">any </w:t>
      </w:r>
      <w:r w:rsidR="00CD5734" w:rsidRPr="00CD5734">
        <w:t>adjustments</w:t>
      </w:r>
      <w:r w:rsidR="00E2572B">
        <w:t xml:space="preserve"> </w:t>
      </w:r>
      <w:r>
        <w:t>will be</w:t>
      </w:r>
      <w:r w:rsidR="00CD5734" w:rsidRPr="00CD5734">
        <w:t xml:space="preserve"> made </w:t>
      </w:r>
      <w:r w:rsidR="00A17819">
        <w:t xml:space="preserve">to the </w:t>
      </w:r>
      <w:r w:rsidR="00CF2C02">
        <w:t>MAR</w:t>
      </w:r>
      <w:r w:rsidR="00A17819">
        <w:t xml:space="preserve"> </w:t>
      </w:r>
      <w:r w:rsidR="00CD5734" w:rsidRPr="00CD5734">
        <w:t>in the subsequent regulatory control period.</w:t>
      </w:r>
      <w:r w:rsidR="00E2572B">
        <w:t xml:space="preserve"> Importantly, we are not required to make a determination based on </w:t>
      </w:r>
      <w:r w:rsidR="00923896">
        <w:t xml:space="preserve">a detailed assessment of </w:t>
      </w:r>
      <w:r w:rsidR="00E2572B">
        <w:t>the building block methodology.</w:t>
      </w:r>
    </w:p>
    <w:p w:rsidR="00CD5734" w:rsidRPr="00295CD8" w:rsidRDefault="00CD5734" w:rsidP="00295CD8">
      <w:pPr>
        <w:pStyle w:val="HeadingBoldBlue"/>
        <w:rPr>
          <w:rStyle w:val="AERtextbold"/>
          <w:b/>
        </w:rPr>
      </w:pPr>
      <w:r w:rsidRPr="00295CD8">
        <w:rPr>
          <w:rStyle w:val="AERtextbold"/>
          <w:b/>
        </w:rPr>
        <w:t>Our approach</w:t>
      </w:r>
      <w:r w:rsidR="00D96557">
        <w:rPr>
          <w:rStyle w:val="AERtextbold"/>
          <w:b/>
        </w:rPr>
        <w:t xml:space="preserve"> </w:t>
      </w:r>
    </w:p>
    <w:p w:rsidR="00D439C4" w:rsidRDefault="00CD5734" w:rsidP="007B4470">
      <w:pPr>
        <w:pStyle w:val="AERbodytext"/>
        <w:numPr>
          <w:ilvl w:val="0"/>
          <w:numId w:val="6"/>
        </w:numPr>
      </w:pPr>
      <w:r w:rsidRPr="00CD5734">
        <w:t xml:space="preserve">Our decision to approve or not approve </w:t>
      </w:r>
      <w:r w:rsidR="003949E0">
        <w:t xml:space="preserve">the </w:t>
      </w:r>
      <w:r w:rsidR="008B095B">
        <w:t>proposed MAR for the transitional regulatory control period</w:t>
      </w:r>
      <w:r w:rsidR="003949E0">
        <w:t xml:space="preserve"> </w:t>
      </w:r>
      <w:r w:rsidR="0040035A">
        <w:t>requires us</w:t>
      </w:r>
      <w:r w:rsidRPr="00CD5734">
        <w:t xml:space="preserve"> to form a view about </w:t>
      </w:r>
      <w:r w:rsidR="007E51C0">
        <w:t xml:space="preserve">the expected movement of </w:t>
      </w:r>
      <w:r w:rsidRPr="00CD5734">
        <w:t>prices</w:t>
      </w:r>
      <w:r w:rsidR="007E51C0">
        <w:t xml:space="preserve"> not just for the transitional year but from 2013 to 2014, 2014 to 2015 and so on until 2019. </w:t>
      </w:r>
      <w:r w:rsidR="008B095B">
        <w:t>This view</w:t>
      </w:r>
      <w:r w:rsidRPr="00CD5734">
        <w:t xml:space="preserve"> </w:t>
      </w:r>
      <w:r w:rsidR="0040035A">
        <w:t xml:space="preserve">in turn </w:t>
      </w:r>
      <w:r w:rsidR="007E51C0">
        <w:t xml:space="preserve">must necessarily </w:t>
      </w:r>
      <w:r w:rsidR="00E2572B">
        <w:t>reflect our</w:t>
      </w:r>
      <w:r w:rsidRPr="00CD5734">
        <w:t xml:space="preserve"> expectations of future revenues and demand. </w:t>
      </w:r>
    </w:p>
    <w:p w:rsidR="00D439C4" w:rsidRDefault="00CD5734" w:rsidP="007B4470">
      <w:pPr>
        <w:pStyle w:val="AERbodytext"/>
        <w:numPr>
          <w:ilvl w:val="0"/>
          <w:numId w:val="6"/>
        </w:numPr>
      </w:pPr>
      <w:r w:rsidRPr="00B14192">
        <w:t xml:space="preserve">Our expectations of future revenues are based on </w:t>
      </w:r>
      <w:r w:rsidR="00D439C4" w:rsidRPr="00B14192">
        <w:t xml:space="preserve">our assessment of the information currently available to us which includes </w:t>
      </w:r>
      <w:r w:rsidRPr="00B14192">
        <w:t xml:space="preserve">indicative </w:t>
      </w:r>
      <w:r w:rsidR="008B095B" w:rsidRPr="00B14192">
        <w:t xml:space="preserve">estimates or ranges </w:t>
      </w:r>
      <w:r w:rsidRPr="00B14192">
        <w:t xml:space="preserve">of </w:t>
      </w:r>
      <w:r w:rsidR="00F10990" w:rsidRPr="00B14192">
        <w:t xml:space="preserve">key </w:t>
      </w:r>
      <w:r w:rsidRPr="00B14192">
        <w:t xml:space="preserve">inputs </w:t>
      </w:r>
      <w:r w:rsidR="00C2157B">
        <w:t>as submitted by TransGrid and Transend</w:t>
      </w:r>
      <w:r w:rsidR="00B14192">
        <w:t>.</w:t>
      </w:r>
      <w:r w:rsidR="00F10990" w:rsidRPr="00B14192">
        <w:t xml:space="preserve"> </w:t>
      </w:r>
    </w:p>
    <w:p w:rsidR="00D67510" w:rsidRDefault="00D67510" w:rsidP="00D67510">
      <w:pPr>
        <w:pStyle w:val="AERbodytext"/>
      </w:pPr>
      <w:r>
        <w:t xml:space="preserve">In considering the various inputs used to calculate prices, we have largely relied upon the indicative inputs provided by the TNSPs to support their proposals.  We have had regard to the fact that our determination of revenue is an estimate only. An adjustment will be made to future </w:t>
      </w:r>
      <w:r w:rsidR="00DB2765">
        <w:t>MARs</w:t>
      </w:r>
      <w:r>
        <w:t xml:space="preserve"> in accordance with the transitional rules to account for the revenue we approve in this transitional year. In the absence of detailed information about particular building blocks, we are generally not able to undertake the rigorous kind of analysis that would be required to be satisfied that the TNSPs’ indicative inputs are </w:t>
      </w:r>
      <w:r w:rsidR="008A53A2">
        <w:t>accurate or inaccurate</w:t>
      </w:r>
      <w:r>
        <w:t>.</w:t>
      </w:r>
    </w:p>
    <w:p w:rsidR="00D67510" w:rsidRDefault="00D67510" w:rsidP="00D67510">
      <w:pPr>
        <w:pStyle w:val="AERbodytext"/>
      </w:pPr>
      <w:r>
        <w:t xml:space="preserve">Nevertheless, while we have used most of the inputs provided by TNSPs in making our assessment, we have paid particular attention to the indicative rate of return </w:t>
      </w:r>
      <w:r w:rsidR="00ED718B">
        <w:t xml:space="preserve">and ‘tax imputation credits’ </w:t>
      </w:r>
      <w:r w:rsidR="00614B02">
        <w:t xml:space="preserve">(gamma) </w:t>
      </w:r>
      <w:r>
        <w:t xml:space="preserve">proposed by the TNSPs in support of their proposals. Given the significance of the rate of return in calculating revenue, small changes in the rate of return can have significant implications for prices. If </w:t>
      </w:r>
      <w:r w:rsidR="00DB2765">
        <w:t xml:space="preserve">the </w:t>
      </w:r>
      <w:r>
        <w:t xml:space="preserve">TNSPs have proposed a rate of return that we consider is likely to be too high, proposed prices, based on the </w:t>
      </w:r>
      <w:r w:rsidR="00DB2765">
        <w:t xml:space="preserve">energy </w:t>
      </w:r>
      <w:r>
        <w:t xml:space="preserve">forecasts provided by TNSPs, will also be too high.  </w:t>
      </w:r>
    </w:p>
    <w:p w:rsidR="00D67510" w:rsidRDefault="00D67510" w:rsidP="00D67510">
      <w:pPr>
        <w:pStyle w:val="AERbodytext"/>
      </w:pPr>
      <w:r>
        <w:t xml:space="preserve">In considering a reasonable indicative rate of return, we have had regard to the proposals, to our own </w:t>
      </w:r>
      <w:r w:rsidR="001B565F">
        <w:t>g</w:t>
      </w:r>
      <w:r>
        <w:t xml:space="preserve">uideline, to available market information and expected market trends, and are aware that the rate of return is subject to movement. After making </w:t>
      </w:r>
      <w:r w:rsidR="00BC7B55">
        <w:t xml:space="preserve">an </w:t>
      </w:r>
      <w:r>
        <w:t xml:space="preserve">appropriate adjustment to the rate of return </w:t>
      </w:r>
      <w:r w:rsidR="00F46382">
        <w:t xml:space="preserve">and to the value of </w:t>
      </w:r>
      <w:r w:rsidR="00A84590">
        <w:t xml:space="preserve">imputation credits </w:t>
      </w:r>
      <w:r w:rsidR="00A455D0">
        <w:t>(gamma)</w:t>
      </w:r>
      <w:r w:rsidR="00A455D0">
        <w:rPr>
          <w:rStyle w:val="FootnoteReference"/>
        </w:rPr>
        <w:footnoteReference w:id="7"/>
      </w:r>
      <w:r w:rsidR="00A455D0">
        <w:t xml:space="preserve"> </w:t>
      </w:r>
      <w:r>
        <w:t xml:space="preserve">used to support the </w:t>
      </w:r>
      <w:r w:rsidR="00DB2765">
        <w:t>TNSPs’</w:t>
      </w:r>
      <w:r>
        <w:t xml:space="preserve"> proposals, we then consider the transitional </w:t>
      </w:r>
      <w:r w:rsidR="00DB2765">
        <w:t xml:space="preserve">revenue </w:t>
      </w:r>
      <w:r>
        <w:t>proposals in the context of the price variation test</w:t>
      </w:r>
      <w:r w:rsidR="004A43E9">
        <w:t xml:space="preserve"> taking into account the NEO and RPPs</w:t>
      </w:r>
      <w:r>
        <w:t>.</w:t>
      </w:r>
    </w:p>
    <w:p w:rsidR="00EF2ABC" w:rsidRDefault="00D67510" w:rsidP="00EF2ABC">
      <w:pPr>
        <w:pStyle w:val="AERbodytext"/>
      </w:pPr>
      <w:r>
        <w:t>We consider this approach should not, in any way, be taken as an indication of our assessment of the full proposals in which a true</w:t>
      </w:r>
      <w:r w:rsidR="00DB2765">
        <w:t>-</w:t>
      </w:r>
      <w:r>
        <w:t>up of revenue for the transitional regulatory control period will be conducted. The approach and conclusions in this determination are purely for the purposes of making the required assessment we must make for this transitional regulatory control period under the transitional rule</w:t>
      </w:r>
      <w:r w:rsidR="006440E5">
        <w:t>s.</w:t>
      </w:r>
    </w:p>
    <w:p w:rsidR="00CD5734" w:rsidRPr="00295CD8" w:rsidRDefault="00D6214D" w:rsidP="00295CD8">
      <w:pPr>
        <w:pStyle w:val="HeadingBoldBlue"/>
        <w:rPr>
          <w:rStyle w:val="AERtextbold"/>
          <w:b/>
        </w:rPr>
      </w:pPr>
      <w:r>
        <w:rPr>
          <w:rStyle w:val="AERtextbold"/>
          <w:b/>
        </w:rPr>
        <w:t>AER reasons</w:t>
      </w:r>
    </w:p>
    <w:p w:rsidR="00D96557" w:rsidRPr="00C6304B" w:rsidRDefault="00D96557" w:rsidP="00EF2ABC">
      <w:pPr>
        <w:pStyle w:val="AERbodytext"/>
      </w:pPr>
      <w:r w:rsidRPr="00C6304B">
        <w:t xml:space="preserve">Our reasons for not accepting the TRPs are summarised </w:t>
      </w:r>
      <w:r w:rsidR="0022499F" w:rsidRPr="00C6304B">
        <w:t>below</w:t>
      </w:r>
      <w:r w:rsidRPr="00C6304B">
        <w:t xml:space="preserve">. </w:t>
      </w:r>
      <w:r w:rsidR="0022499F" w:rsidRPr="00C6304B">
        <w:t>We have assessed whether the proposals are likely to satisfy the price variation test by considering key inputs into the proposed indicative ranges for the MAR. In particular, we have focused on the rate of return element in the MAR in the context of whether the proposa</w:t>
      </w:r>
      <w:r w:rsidR="00C6304B" w:rsidRPr="00C6304B">
        <w:t>ls are likely</w:t>
      </w:r>
      <w:r w:rsidR="0022499F" w:rsidRPr="00C6304B">
        <w:t xml:space="preserve"> to mini</w:t>
      </w:r>
      <w:r w:rsidR="00C6304B" w:rsidRPr="00C6304B">
        <w:t xml:space="preserve">mise </w:t>
      </w:r>
      <w:r w:rsidR="001056EE">
        <w:t xml:space="preserve">variations in </w:t>
      </w:r>
      <w:r w:rsidR="00C6304B" w:rsidRPr="00C6304B">
        <w:t xml:space="preserve">transmission prices over </w:t>
      </w:r>
      <w:r w:rsidR="001056EE">
        <w:t xml:space="preserve">the </w:t>
      </w:r>
      <w:r w:rsidR="001056EE">
        <w:lastRenderedPageBreak/>
        <w:t>relevant</w:t>
      </w:r>
      <w:r w:rsidR="00C6304B" w:rsidRPr="00C6304B">
        <w:t xml:space="preserve"> regulat</w:t>
      </w:r>
      <w:r w:rsidR="0022499F" w:rsidRPr="00C6304B">
        <w:t>ory control periods</w:t>
      </w:r>
      <w:r w:rsidR="001056EE">
        <w:t xml:space="preserve"> and years</w:t>
      </w:r>
      <w:r w:rsidR="00E73BC7">
        <w:t>. In line with the price variation test, this is with a view to reducing the</w:t>
      </w:r>
      <w:r w:rsidR="001056EE">
        <w:t xml:space="preserve"> potential for any future </w:t>
      </w:r>
      <w:r w:rsidR="00A07075">
        <w:t>significant price changes</w:t>
      </w:r>
      <w:r w:rsidR="0022499F" w:rsidRPr="00C6304B">
        <w:t>.</w:t>
      </w:r>
    </w:p>
    <w:p w:rsidR="00E50C09" w:rsidRPr="00D96557" w:rsidRDefault="00E50C09" w:rsidP="00EF2ABC">
      <w:pPr>
        <w:pStyle w:val="AERbodytext"/>
      </w:pPr>
      <w:r>
        <w:t>For the rate of return the service providers were required to submit an indicative range tha</w:t>
      </w:r>
      <w:r w:rsidR="00E30ED0">
        <w:t>t</w:t>
      </w:r>
      <w:r w:rsidRPr="00D96557">
        <w:t>:</w:t>
      </w:r>
      <w:r w:rsidRPr="00D96557">
        <w:rPr>
          <w:vertAlign w:val="superscript"/>
        </w:rPr>
        <w:footnoteReference w:id="8"/>
      </w:r>
    </w:p>
    <w:p w:rsidR="00E50C09" w:rsidRPr="00A03B8D" w:rsidRDefault="00E50C09" w:rsidP="00A03B8D">
      <w:pPr>
        <w:numPr>
          <w:ilvl w:val="0"/>
          <w:numId w:val="2"/>
        </w:numPr>
        <w:tabs>
          <w:tab w:val="left" w:pos="357"/>
        </w:tabs>
        <w:spacing w:after="200"/>
        <w:ind w:left="357" w:hanging="357"/>
        <w:rPr>
          <w:rFonts w:eastAsia="Times New Roman"/>
          <w:szCs w:val="24"/>
        </w:rPr>
      </w:pPr>
      <w:r w:rsidRPr="00A03B8D">
        <w:rPr>
          <w:rFonts w:eastAsia="Times New Roman"/>
          <w:szCs w:val="24"/>
        </w:rPr>
        <w:t>takes into account available market information</w:t>
      </w:r>
    </w:p>
    <w:p w:rsidR="00E50C09" w:rsidRPr="00A03B8D" w:rsidRDefault="00E50C09" w:rsidP="00A03B8D">
      <w:pPr>
        <w:numPr>
          <w:ilvl w:val="0"/>
          <w:numId w:val="2"/>
        </w:numPr>
        <w:tabs>
          <w:tab w:val="left" w:pos="357"/>
        </w:tabs>
        <w:spacing w:after="200"/>
        <w:ind w:left="357" w:hanging="357"/>
        <w:rPr>
          <w:rFonts w:eastAsia="Times New Roman"/>
          <w:szCs w:val="24"/>
        </w:rPr>
      </w:pPr>
      <w:r w:rsidRPr="00A03B8D">
        <w:rPr>
          <w:rFonts w:eastAsia="Times New Roman"/>
          <w:szCs w:val="24"/>
        </w:rPr>
        <w:t xml:space="preserve">takes into account expected market trends </w:t>
      </w:r>
    </w:p>
    <w:p w:rsidR="00E50C09" w:rsidRPr="00A03B8D" w:rsidRDefault="00E50C09" w:rsidP="00A03B8D">
      <w:pPr>
        <w:numPr>
          <w:ilvl w:val="0"/>
          <w:numId w:val="2"/>
        </w:numPr>
        <w:tabs>
          <w:tab w:val="left" w:pos="357"/>
        </w:tabs>
        <w:spacing w:after="200"/>
        <w:ind w:left="357" w:hanging="357"/>
        <w:rPr>
          <w:rFonts w:eastAsia="Times New Roman"/>
          <w:szCs w:val="24"/>
        </w:rPr>
      </w:pPr>
      <w:proofErr w:type="gramStart"/>
      <w:r w:rsidRPr="00A03B8D">
        <w:rPr>
          <w:rFonts w:eastAsia="Times New Roman"/>
          <w:szCs w:val="24"/>
        </w:rPr>
        <w:t>has</w:t>
      </w:r>
      <w:proofErr w:type="gramEnd"/>
      <w:r w:rsidRPr="00A03B8D">
        <w:rPr>
          <w:rFonts w:eastAsia="Times New Roman"/>
          <w:szCs w:val="24"/>
        </w:rPr>
        <w:t xml:space="preserve"> regard to the rate of return guideline published by the AER.</w:t>
      </w:r>
    </w:p>
    <w:p w:rsidR="001056EE" w:rsidRDefault="00D96557" w:rsidP="00EF2ABC">
      <w:pPr>
        <w:pStyle w:val="AERbodytext"/>
      </w:pPr>
      <w:r w:rsidRPr="00120C42">
        <w:t xml:space="preserve">The indicative ranges for </w:t>
      </w:r>
      <w:r w:rsidR="00DB2765">
        <w:t>rate of return</w:t>
      </w:r>
      <w:r w:rsidRPr="00120C42">
        <w:t xml:space="preserve"> parameters proposed in the TRPs are higher than</w:t>
      </w:r>
      <w:r w:rsidRPr="00E50C09">
        <w:t xml:space="preserve"> the ranges that we would have expected</w:t>
      </w:r>
      <w:r w:rsidR="00D31801">
        <w:t>.</w:t>
      </w:r>
      <w:r w:rsidR="00793D63">
        <w:t xml:space="preserve"> </w:t>
      </w:r>
      <w:r w:rsidR="00DB759E">
        <w:t>If o</w:t>
      </w:r>
      <w:r w:rsidRPr="00E50C09">
        <w:t>ur foundation model set out in our guideline had been applied</w:t>
      </w:r>
      <w:r w:rsidR="00DB759E">
        <w:t>, this would have resulted in a range outside of and lower than the ranges proposed by each of TransGrid and Transend</w:t>
      </w:r>
      <w:r w:rsidRPr="00E50C09">
        <w:t xml:space="preserve">. </w:t>
      </w:r>
    </w:p>
    <w:p w:rsidR="00D96557" w:rsidRDefault="00E3294F" w:rsidP="00EF2ABC">
      <w:pPr>
        <w:pStyle w:val="AERbodytext"/>
      </w:pPr>
      <w:r>
        <w:t>W</w:t>
      </w:r>
      <w:r w:rsidR="00D31801" w:rsidRPr="00A65536">
        <w:rPr>
          <w:rFonts w:cs="Gautami"/>
        </w:rPr>
        <w:t xml:space="preserve">e have </w:t>
      </w:r>
      <w:r w:rsidRPr="00A65536">
        <w:rPr>
          <w:rFonts w:cs="Gautami"/>
        </w:rPr>
        <w:t>been guided by</w:t>
      </w:r>
      <w:r w:rsidR="00D31801" w:rsidRPr="00A65536">
        <w:rPr>
          <w:rFonts w:cs="Gautami"/>
        </w:rPr>
        <w:t xml:space="preserve"> the methods and point estimates established in the guideline process </w:t>
      </w:r>
      <w:r w:rsidRPr="00A65536">
        <w:rPr>
          <w:rFonts w:cs="Gautami"/>
        </w:rPr>
        <w:t>in making this decision</w:t>
      </w:r>
      <w:r w:rsidR="00993598">
        <w:rPr>
          <w:rFonts w:cs="Gautami"/>
        </w:rPr>
        <w:t>,</w:t>
      </w:r>
      <w:r w:rsidR="00D31801" w:rsidRPr="00A65536">
        <w:rPr>
          <w:rFonts w:cs="Gautami"/>
        </w:rPr>
        <w:t xml:space="preserve"> given the limited scope of this transitional determination. </w:t>
      </w:r>
      <w:r w:rsidR="001056EE">
        <w:t>In general, t</w:t>
      </w:r>
      <w:r w:rsidR="00D96557" w:rsidRPr="00E50C09">
        <w:t xml:space="preserve">he rate of return guideline was published in December 2013. It was informed by extensive public consultation and based on robust engagement with consumers, service providers and other interested stakeholders. We consider the guideline encapsulates an outcome reached after careful consideration and deliberation with stakeholders across the market. Further, we consider that the approaches set out in our guideline take into account available market information and expected market trends. We therefore consider that </w:t>
      </w:r>
      <w:r w:rsidR="001056EE">
        <w:t xml:space="preserve">to the extent that we have utilised </w:t>
      </w:r>
      <w:r w:rsidR="00D96557" w:rsidRPr="00E50C09">
        <w:t xml:space="preserve">the approaches and principles </w:t>
      </w:r>
      <w:r w:rsidR="001056EE">
        <w:t>from</w:t>
      </w:r>
      <w:r w:rsidR="00D96557" w:rsidRPr="00E50C09">
        <w:t xml:space="preserve"> the guideline </w:t>
      </w:r>
      <w:r w:rsidR="001056EE">
        <w:t>in our foundation model analysis</w:t>
      </w:r>
      <w:r w:rsidR="00C12E3C">
        <w:t xml:space="preserve"> for assessing the rate of return</w:t>
      </w:r>
      <w:r w:rsidR="001056EE">
        <w:t xml:space="preserve">, this </w:t>
      </w:r>
      <w:r w:rsidR="00D96557" w:rsidRPr="00E50C09">
        <w:t>meet</w:t>
      </w:r>
      <w:r w:rsidR="001056EE">
        <w:t>s</w:t>
      </w:r>
      <w:r w:rsidR="00D96557" w:rsidRPr="00E50C09">
        <w:t xml:space="preserve"> the NER </w:t>
      </w:r>
      <w:r w:rsidR="007B1555">
        <w:t xml:space="preserve">and the NEL </w:t>
      </w:r>
      <w:r w:rsidR="00D96557" w:rsidRPr="00E50C09">
        <w:t xml:space="preserve">requirements </w:t>
      </w:r>
      <w:r w:rsidR="007B1555">
        <w:t xml:space="preserve">in that is it is </w:t>
      </w:r>
      <w:r w:rsidR="00D96557" w:rsidRPr="00E50C09">
        <w:t xml:space="preserve">most likely to result in outcomes that are in the long-term interests of consumers. </w:t>
      </w:r>
      <w:r w:rsidR="00C12E3C">
        <w:t>For the same reasons, we have adopted a value of gamma that is consistent with our rate of return guideline</w:t>
      </w:r>
      <w:r w:rsidR="00A65536">
        <w:t xml:space="preserve">. </w:t>
      </w:r>
      <w:r w:rsidR="00C12E3C">
        <w:t xml:space="preserve"> </w:t>
      </w:r>
      <w:r w:rsidR="007B7253">
        <w:t>Given this analysis, w</w:t>
      </w:r>
      <w:r w:rsidR="00E30ED0">
        <w:t xml:space="preserve">e consider that the higher indicative </w:t>
      </w:r>
      <w:r w:rsidR="00916F59">
        <w:t xml:space="preserve">rate of return </w:t>
      </w:r>
      <w:r w:rsidR="00E30ED0">
        <w:t xml:space="preserve">ranges </w:t>
      </w:r>
      <w:r w:rsidR="007B7253">
        <w:t xml:space="preserve">proposed by </w:t>
      </w:r>
      <w:r w:rsidR="00916F59">
        <w:t xml:space="preserve">both </w:t>
      </w:r>
      <w:r w:rsidR="00C2157B">
        <w:t>TransGrid and Transend</w:t>
      </w:r>
      <w:r w:rsidR="007B7253">
        <w:t xml:space="preserve"> result in higher or overstated MARs, the recovery of which would not be </w:t>
      </w:r>
      <w:r w:rsidR="00E30ED0">
        <w:t xml:space="preserve"> consistent with the price variation test</w:t>
      </w:r>
      <w:r w:rsidR="004A43E9">
        <w:t xml:space="preserve"> taking into account the NEO and RPPs. </w:t>
      </w:r>
      <w:r w:rsidR="007B7253">
        <w:t>A</w:t>
      </w:r>
      <w:r w:rsidR="00DB2765">
        <w:t>ccepting</w:t>
      </w:r>
      <w:r w:rsidR="007B7253">
        <w:t xml:space="preserve"> the proposed MARs would</w:t>
      </w:r>
      <w:r w:rsidR="0022499F">
        <w:t xml:space="preserve"> m</w:t>
      </w:r>
      <w:r w:rsidR="00E30ED0">
        <w:t>e</w:t>
      </w:r>
      <w:r w:rsidR="0022499F">
        <w:t>a</w:t>
      </w:r>
      <w:r w:rsidR="00E30ED0">
        <w:t xml:space="preserve">n that </w:t>
      </w:r>
      <w:proofErr w:type="spellStart"/>
      <w:r w:rsidR="00E30ED0">
        <w:t>TransGrid</w:t>
      </w:r>
      <w:r w:rsidR="007B7253">
        <w:t>’s</w:t>
      </w:r>
      <w:proofErr w:type="spellEnd"/>
      <w:r w:rsidR="00E30ED0">
        <w:t xml:space="preserve"> and </w:t>
      </w:r>
      <w:proofErr w:type="spellStart"/>
      <w:r w:rsidR="00E30ED0">
        <w:t>Transend’s</w:t>
      </w:r>
      <w:proofErr w:type="spellEnd"/>
      <w:r w:rsidR="00E30ED0">
        <w:t xml:space="preserve"> transmission prices are likely to be higher in the transitional and subsequent regulatory control periods</w:t>
      </w:r>
      <w:r w:rsidR="0022499F">
        <w:t xml:space="preserve"> than </w:t>
      </w:r>
      <w:r w:rsidR="00916F59">
        <w:t>is likely to be the case</w:t>
      </w:r>
      <w:r w:rsidR="001E4452">
        <w:t xml:space="preserve"> based on our rate of return analysis for the limited purpose of this determination</w:t>
      </w:r>
      <w:r w:rsidR="00E30ED0">
        <w:t>.</w:t>
      </w:r>
      <w:r w:rsidR="00916F59">
        <w:t xml:space="preserve"> </w:t>
      </w:r>
      <w:r w:rsidR="00A07075">
        <w:t xml:space="preserve">As such, </w:t>
      </w:r>
      <w:proofErr w:type="spellStart"/>
      <w:r w:rsidR="00D9456D">
        <w:t>TransGrid’s</w:t>
      </w:r>
      <w:proofErr w:type="spellEnd"/>
      <w:r w:rsidR="00D9456D">
        <w:t xml:space="preserve"> proposed MAR is</w:t>
      </w:r>
      <w:r w:rsidR="00A07075">
        <w:t xml:space="preserve"> </w:t>
      </w:r>
      <w:r w:rsidR="00D9456D">
        <w:t>not</w:t>
      </w:r>
      <w:r w:rsidR="00A07075">
        <w:t xml:space="preserve"> likely to contribute to the achievement of the NEO and </w:t>
      </w:r>
      <w:r w:rsidR="00D9456D">
        <w:t xml:space="preserve">is </w:t>
      </w:r>
      <w:r w:rsidR="00A07075">
        <w:t>not consistent with the RPPs in terms of promoting efficient investment.</w:t>
      </w:r>
      <w:r w:rsidR="00D9456D">
        <w:rPr>
          <w:rStyle w:val="FootnoteReference"/>
        </w:rPr>
        <w:footnoteReference w:id="9"/>
      </w:r>
      <w:r w:rsidR="00A07075">
        <w:t xml:space="preserve"> </w:t>
      </w:r>
      <w:r w:rsidR="00D9456D">
        <w:t xml:space="preserve">For Transend, </w:t>
      </w:r>
      <w:r w:rsidR="00FE5D8E">
        <w:t xml:space="preserve">its proposed MAR is not likely to contribute to the achievement of the NEO to the </w:t>
      </w:r>
      <w:r w:rsidR="00B40552">
        <w:t xml:space="preserve">greatest degree </w:t>
      </w:r>
      <w:r w:rsidR="00FD1C98">
        <w:t>and is not consistent with the RPPs in terms of promoting efficient investment</w:t>
      </w:r>
      <w:r w:rsidR="00FE5D8E">
        <w:t>.</w:t>
      </w:r>
      <w:r w:rsidR="00953A39">
        <w:rPr>
          <w:rStyle w:val="FootnoteReference"/>
        </w:rPr>
        <w:footnoteReference w:id="10"/>
      </w:r>
      <w:r w:rsidR="00D9456D">
        <w:t xml:space="preserve"> </w:t>
      </w:r>
      <w:r w:rsidR="001E4452">
        <w:t>Accordingly, w</w:t>
      </w:r>
      <w:r w:rsidR="00916F59">
        <w:t>e are not satisfied that the proposed MARs are reasonably likely to minimise price variations between the relevant periods and years</w:t>
      </w:r>
      <w:r w:rsidR="0002627D">
        <w:t xml:space="preserve"> because of the </w:t>
      </w:r>
      <w:r w:rsidR="00953A39">
        <w:t xml:space="preserve">extent </w:t>
      </w:r>
      <w:r w:rsidR="0002627D">
        <w:t>of this likely price difference as set out in our analysis.</w:t>
      </w:r>
      <w:r w:rsidR="00916F59">
        <w:t xml:space="preserve"> </w:t>
      </w:r>
      <w:r w:rsidR="00840D2A">
        <w:t xml:space="preserve">This has the potential to lead to a greater risk of </w:t>
      </w:r>
      <w:r w:rsidR="00953A39">
        <w:t xml:space="preserve">more </w:t>
      </w:r>
      <w:r w:rsidR="00A07075">
        <w:t>significant price changes</w:t>
      </w:r>
      <w:r w:rsidR="00840D2A">
        <w:t xml:space="preserve"> for consumers</w:t>
      </w:r>
      <w:r w:rsidR="00A07075">
        <w:t xml:space="preserve"> </w:t>
      </w:r>
      <w:r w:rsidR="000C221B">
        <w:t>contrary to the objective of</w:t>
      </w:r>
      <w:r w:rsidR="00A07075">
        <w:t xml:space="preserve"> the price variation test</w:t>
      </w:r>
      <w:r w:rsidR="000C221B">
        <w:t xml:space="preserve">, which is intended </w:t>
      </w:r>
      <w:r w:rsidR="00A07075">
        <w:t>to avoid such changes</w:t>
      </w:r>
      <w:r w:rsidR="00840D2A">
        <w:t>.</w:t>
      </w:r>
      <w:r w:rsidR="00B02724">
        <w:t xml:space="preserve">   </w:t>
      </w:r>
    </w:p>
    <w:p w:rsidR="00EF2ABC" w:rsidRDefault="00B86B6D" w:rsidP="00EF2ABC">
      <w:pPr>
        <w:pStyle w:val="AERbodytext"/>
      </w:pPr>
      <w:r>
        <w:t>Apart from the rate of return</w:t>
      </w:r>
      <w:r w:rsidR="00B40552">
        <w:t xml:space="preserve"> and the value of gamma</w:t>
      </w:r>
      <w:r>
        <w:t>, w</w:t>
      </w:r>
      <w:r w:rsidR="00916F59">
        <w:t xml:space="preserve">e undertook a preliminary review of the </w:t>
      </w:r>
      <w:r>
        <w:t xml:space="preserve">other </w:t>
      </w:r>
      <w:r w:rsidR="00916F59">
        <w:t xml:space="preserve">information </w:t>
      </w:r>
      <w:r w:rsidR="001E4452">
        <w:t>that</w:t>
      </w:r>
      <w:r w:rsidR="00C2157B">
        <w:t xml:space="preserve"> TransGrid and Transend</w:t>
      </w:r>
      <w:r w:rsidR="00916F59">
        <w:t xml:space="preserve"> </w:t>
      </w:r>
      <w:r w:rsidR="001E4452">
        <w:t xml:space="preserve">were required to submit to us including </w:t>
      </w:r>
      <w:r w:rsidR="00916F59">
        <w:t xml:space="preserve">their indicative estimates of forecast </w:t>
      </w:r>
      <w:r w:rsidR="00DB2765">
        <w:t>operating expenditure (</w:t>
      </w:r>
      <w:r w:rsidR="00916F59">
        <w:t>opex</w:t>
      </w:r>
      <w:r w:rsidR="00DB2765">
        <w:t>)</w:t>
      </w:r>
      <w:r w:rsidR="00916F59">
        <w:t xml:space="preserve"> and </w:t>
      </w:r>
      <w:r w:rsidR="00DB2765">
        <w:t>capital expenditure (</w:t>
      </w:r>
      <w:r w:rsidR="00916F59">
        <w:t>capex</w:t>
      </w:r>
      <w:r w:rsidR="00DB2765">
        <w:t>)</w:t>
      </w:r>
      <w:r w:rsidR="00916F59">
        <w:t xml:space="preserve"> </w:t>
      </w:r>
      <w:r w:rsidR="00614B02">
        <w:t xml:space="preserve">for the transitional regulatory control period </w:t>
      </w:r>
      <w:r w:rsidR="00916F59">
        <w:t>and their planned expenditure</w:t>
      </w:r>
      <w:r w:rsidR="00DB2765">
        <w:t>s</w:t>
      </w:r>
      <w:r w:rsidR="00916F59">
        <w:t xml:space="preserve"> for the years 2015</w:t>
      </w:r>
      <w:r w:rsidR="00DB2765">
        <w:t xml:space="preserve"> to 20</w:t>
      </w:r>
      <w:r w:rsidR="00916F59">
        <w:t xml:space="preserve">19. </w:t>
      </w:r>
      <w:r w:rsidR="00B67BAF">
        <w:t>W</w:t>
      </w:r>
      <w:r w:rsidR="00916F59">
        <w:t xml:space="preserve">e are not </w:t>
      </w:r>
      <w:r>
        <w:t>required to conduct</w:t>
      </w:r>
      <w:r w:rsidR="00916F59">
        <w:t xml:space="preserve"> a building block assessment for this determination. We will assess opex and capex </w:t>
      </w:r>
      <w:r w:rsidR="00D9456D">
        <w:t>as</w:t>
      </w:r>
      <w:r w:rsidR="00916F59">
        <w:t xml:space="preserve"> proposed by the </w:t>
      </w:r>
      <w:r w:rsidR="00614B02">
        <w:t>TNSPs</w:t>
      </w:r>
      <w:r w:rsidR="00916F59">
        <w:t xml:space="preserve"> </w:t>
      </w:r>
      <w:r w:rsidR="00D9456D">
        <w:t xml:space="preserve">in their revenue proposals </w:t>
      </w:r>
      <w:r w:rsidR="007C2EDD">
        <w:t xml:space="preserve">(which are yet to be received) </w:t>
      </w:r>
      <w:r w:rsidR="00D9456D">
        <w:t xml:space="preserve">for the </w:t>
      </w:r>
      <w:r w:rsidR="00D9456D">
        <w:lastRenderedPageBreak/>
        <w:t xml:space="preserve">subsequent regulatory control period </w:t>
      </w:r>
      <w:r w:rsidR="00916F59">
        <w:t xml:space="preserve">at the time of the full determination. </w:t>
      </w:r>
      <w:r w:rsidR="001E4452">
        <w:t xml:space="preserve">In this determination, </w:t>
      </w:r>
      <w:r w:rsidR="00E50C09" w:rsidRPr="0022499F">
        <w:t xml:space="preserve">for the </w:t>
      </w:r>
      <w:r w:rsidR="001E4452">
        <w:t xml:space="preserve">very </w:t>
      </w:r>
      <w:r w:rsidR="00E50C09" w:rsidRPr="0022499F">
        <w:t xml:space="preserve">limited purpose of </w:t>
      </w:r>
      <w:r w:rsidR="001E4452">
        <w:t>determining a placeholder MAR</w:t>
      </w:r>
      <w:r w:rsidR="00E50C09" w:rsidRPr="0022499F">
        <w:t xml:space="preserve">, </w:t>
      </w:r>
      <w:r w:rsidR="001E4452">
        <w:t xml:space="preserve">we </w:t>
      </w:r>
      <w:r w:rsidR="00E50C09" w:rsidRPr="0022499F">
        <w:t xml:space="preserve">have used the proposed </w:t>
      </w:r>
      <w:r w:rsidR="00D9456D">
        <w:t xml:space="preserve">indicative estimates of </w:t>
      </w:r>
      <w:r w:rsidR="00E50C09" w:rsidRPr="0022499F">
        <w:t>opex</w:t>
      </w:r>
      <w:r w:rsidR="00D9456D">
        <w:t>,</w:t>
      </w:r>
      <w:r w:rsidR="00E50C09" w:rsidRPr="0022499F">
        <w:t xml:space="preserve"> capex </w:t>
      </w:r>
      <w:r w:rsidR="00C6304B">
        <w:t xml:space="preserve">and </w:t>
      </w:r>
      <w:r w:rsidR="00D9456D">
        <w:t xml:space="preserve">the </w:t>
      </w:r>
      <w:r w:rsidR="00C6304B">
        <w:t xml:space="preserve">value of the opening regulatory asset base as </w:t>
      </w:r>
      <w:r w:rsidR="00E50C09" w:rsidRPr="0022499F">
        <w:t>inputs in our price variation test analysis</w:t>
      </w:r>
      <w:r w:rsidR="00C6304B">
        <w:t xml:space="preserve">. </w:t>
      </w:r>
      <w:r w:rsidR="000B6124">
        <w:t xml:space="preserve">We </w:t>
      </w:r>
      <w:r w:rsidR="006440E5">
        <w:t>recognise that</w:t>
      </w:r>
      <w:r w:rsidR="000B6124">
        <w:t xml:space="preserve"> these</w:t>
      </w:r>
      <w:r w:rsidR="00D9456D">
        <w:t xml:space="preserve"> inputs</w:t>
      </w:r>
      <w:r w:rsidR="000B6124">
        <w:t xml:space="preserve"> may not ultimately be reflected in the MAR approved in the full determination. However, taking into account the </w:t>
      </w:r>
      <w:r w:rsidR="00614B02">
        <w:t>RPPs</w:t>
      </w:r>
      <w:r w:rsidR="000B6124">
        <w:t xml:space="preserve">, we consider that for the purpose of the placeholder MAR, this approach will </w:t>
      </w:r>
      <w:r w:rsidR="00C2157B">
        <w:t>provide TransGrid and Transend</w:t>
      </w:r>
      <w:r w:rsidR="00F25EA9">
        <w:t xml:space="preserve"> with a reasonable opportunity </w:t>
      </w:r>
      <w:r w:rsidR="00B67BAF">
        <w:t xml:space="preserve">to recover at least the efficient costs incurred in providing </w:t>
      </w:r>
      <w:r w:rsidR="00614B02">
        <w:t xml:space="preserve">prescribed </w:t>
      </w:r>
      <w:r w:rsidR="00B67BAF">
        <w:t>services in the transitional year</w:t>
      </w:r>
      <w:r w:rsidR="0002627D">
        <w:t xml:space="preserve"> </w:t>
      </w:r>
      <w:r w:rsidR="008A53A2">
        <w:t>under this placeholder</w:t>
      </w:r>
      <w:r w:rsidR="0002627D">
        <w:t xml:space="preserve"> determination</w:t>
      </w:r>
      <w:r w:rsidR="00D9456D">
        <w:t xml:space="preserve"> </w:t>
      </w:r>
      <w:r w:rsidR="007C2EDD">
        <w:t xml:space="preserve">given </w:t>
      </w:r>
      <w:r w:rsidR="00D9456D">
        <w:t>our adjustment to the rate of return</w:t>
      </w:r>
      <w:r w:rsidR="007C2EDD">
        <w:t xml:space="preserve"> and the value of gamma</w:t>
      </w:r>
      <w:r w:rsidR="00B67BAF">
        <w:t>.</w:t>
      </w:r>
      <w:r w:rsidR="00D9456D">
        <w:rPr>
          <w:rStyle w:val="FootnoteReference"/>
        </w:rPr>
        <w:footnoteReference w:id="11"/>
      </w:r>
      <w:r w:rsidR="00B67BAF">
        <w:t xml:space="preserve"> </w:t>
      </w:r>
    </w:p>
    <w:p w:rsidR="00CD5734" w:rsidRPr="000B6124" w:rsidRDefault="00275AE9" w:rsidP="00295CD8">
      <w:pPr>
        <w:pStyle w:val="HeadingBoldBlue"/>
        <w:rPr>
          <w:rStyle w:val="AERtextbold"/>
          <w:b/>
        </w:rPr>
      </w:pPr>
      <w:r w:rsidRPr="000B6124">
        <w:rPr>
          <w:rStyle w:val="AERtextbold"/>
          <w:b/>
        </w:rPr>
        <w:t>Accept, or reject and substitute</w:t>
      </w:r>
      <w:r w:rsidR="0068391E" w:rsidRPr="000B6124">
        <w:rPr>
          <w:rStyle w:val="AERtextbold"/>
          <w:b/>
        </w:rPr>
        <w:t xml:space="preserve"> MAR</w:t>
      </w:r>
    </w:p>
    <w:p w:rsidR="00D007BB" w:rsidRDefault="00CD5734" w:rsidP="008562D0">
      <w:pPr>
        <w:pStyle w:val="AERbodytext"/>
        <w:numPr>
          <w:ilvl w:val="0"/>
          <w:numId w:val="6"/>
        </w:numPr>
      </w:pPr>
      <w:r w:rsidRPr="00CD5734">
        <w:t xml:space="preserve">We </w:t>
      </w:r>
      <w:r w:rsidR="002406B2">
        <w:t>are not satisfied</w:t>
      </w:r>
      <w:r w:rsidR="002406B2" w:rsidRPr="00CD5734">
        <w:t xml:space="preserve"> </w:t>
      </w:r>
      <w:r w:rsidRPr="00CD5734">
        <w:t xml:space="preserve">that </w:t>
      </w:r>
      <w:r w:rsidR="008562D0">
        <w:t xml:space="preserve">the MARs </w:t>
      </w:r>
      <w:r w:rsidRPr="00CD5734">
        <w:t xml:space="preserve">proposed in the respective TRPs of </w:t>
      </w:r>
      <w:r w:rsidR="0088128C" w:rsidRPr="004A43E9">
        <w:t>TransGrid</w:t>
      </w:r>
      <w:r w:rsidRPr="00CD5734">
        <w:t xml:space="preserve"> </w:t>
      </w:r>
      <w:r w:rsidR="00871A71">
        <w:t xml:space="preserve">and Transend </w:t>
      </w:r>
      <w:r w:rsidR="002136E9">
        <w:t>are such that the recovery of those amounts is reasonably likely to minimise variations in prices between the relevant periods and years</w:t>
      </w:r>
      <w:r w:rsidRPr="00CD5734">
        <w:t xml:space="preserve">. We therefore </w:t>
      </w:r>
      <w:r w:rsidR="007C6FD0">
        <w:t>do not accept</w:t>
      </w:r>
      <w:r w:rsidRPr="00CD5734">
        <w:t xml:space="preserve"> the proposed </w:t>
      </w:r>
      <w:r w:rsidR="008A4009">
        <w:t>MARs</w:t>
      </w:r>
      <w:r w:rsidR="008A4009" w:rsidRPr="00CD5734">
        <w:t xml:space="preserve"> </w:t>
      </w:r>
      <w:r w:rsidRPr="00CD5734">
        <w:t xml:space="preserve">in </w:t>
      </w:r>
      <w:proofErr w:type="spellStart"/>
      <w:r w:rsidR="008562D0">
        <w:t>TransGrid</w:t>
      </w:r>
      <w:r w:rsidR="00EE65D5">
        <w:t>’s</w:t>
      </w:r>
      <w:proofErr w:type="spellEnd"/>
      <w:r w:rsidR="008562D0">
        <w:t xml:space="preserve"> and </w:t>
      </w:r>
      <w:proofErr w:type="spellStart"/>
      <w:r w:rsidR="008562D0">
        <w:t>Transend’s</w:t>
      </w:r>
      <w:proofErr w:type="spellEnd"/>
      <w:r w:rsidR="008562D0">
        <w:t xml:space="preserve"> </w:t>
      </w:r>
      <w:r w:rsidRPr="00CD5734">
        <w:t>TRPs</w:t>
      </w:r>
      <w:r w:rsidR="002136E9">
        <w:t>. We approve instead amounts</w:t>
      </w:r>
      <w:r w:rsidR="008A4009" w:rsidRPr="00CD5734">
        <w:t xml:space="preserve"> </w:t>
      </w:r>
      <w:r w:rsidRPr="00CD5734">
        <w:t xml:space="preserve">which </w:t>
      </w:r>
      <w:r w:rsidR="002136E9">
        <w:t xml:space="preserve">we are satisfied are reasonably likely to minimise </w:t>
      </w:r>
      <w:r w:rsidR="008562D0">
        <w:t>variation</w:t>
      </w:r>
      <w:r w:rsidR="002136E9">
        <w:t>s</w:t>
      </w:r>
      <w:r w:rsidR="008562D0">
        <w:t xml:space="preserve"> in prices.  </w:t>
      </w:r>
    </w:p>
    <w:p w:rsidR="0068391E" w:rsidRDefault="008562D0" w:rsidP="0068391E">
      <w:pPr>
        <w:pStyle w:val="AERbodytext"/>
        <w:numPr>
          <w:ilvl w:val="0"/>
          <w:numId w:val="6"/>
        </w:numPr>
      </w:pPr>
      <w:r>
        <w:t>In particular, w</w:t>
      </w:r>
      <w:r w:rsidR="00D007BB">
        <w:t>e are rejecting and substituting</w:t>
      </w:r>
      <w:r w:rsidR="00D007BB" w:rsidRPr="00231D1F">
        <w:t xml:space="preserve"> </w:t>
      </w:r>
      <w:r w:rsidR="00D007BB">
        <w:t xml:space="preserve">the </w:t>
      </w:r>
      <w:r w:rsidR="00EE65D5">
        <w:t>TNSP</w:t>
      </w:r>
      <w:r w:rsidR="00D007BB">
        <w:t xml:space="preserve">s' </w:t>
      </w:r>
      <w:r w:rsidR="0068391E">
        <w:t xml:space="preserve">proposed </w:t>
      </w:r>
      <w:r>
        <w:t xml:space="preserve">indicative </w:t>
      </w:r>
      <w:r w:rsidR="0068391E">
        <w:t>MARs</w:t>
      </w:r>
      <w:r w:rsidR="00D007BB">
        <w:t xml:space="preserve"> with </w:t>
      </w:r>
      <w:r w:rsidR="00614B02">
        <w:t>those</w:t>
      </w:r>
      <w:r w:rsidR="00D007BB">
        <w:t xml:space="preserve"> </w:t>
      </w:r>
      <w:r w:rsidR="00B03695">
        <w:t xml:space="preserve">based on </w:t>
      </w:r>
      <w:r w:rsidR="00D007BB">
        <w:t>revised</w:t>
      </w:r>
      <w:r w:rsidR="0068391E">
        <w:t xml:space="preserve"> </w:t>
      </w:r>
      <w:r w:rsidR="00B03695">
        <w:t xml:space="preserve">inputs to the placeholder </w:t>
      </w:r>
      <w:r w:rsidR="00933603">
        <w:t xml:space="preserve">MARs </w:t>
      </w:r>
      <w:r w:rsidR="0068391E">
        <w:t xml:space="preserve">that has </w:t>
      </w:r>
      <w:r w:rsidR="008A4009">
        <w:t>regard to our</w:t>
      </w:r>
      <w:r w:rsidR="00D007BB">
        <w:t xml:space="preserve"> rate of return guideline</w:t>
      </w:r>
      <w:r w:rsidR="00B03695">
        <w:t xml:space="preserve"> and current available market information and trends</w:t>
      </w:r>
      <w:r w:rsidR="00D007BB">
        <w:t>.</w:t>
      </w:r>
      <w:r w:rsidR="00D007BB" w:rsidRPr="003951CC">
        <w:t xml:space="preserve"> </w:t>
      </w:r>
      <w:r w:rsidR="00D007BB">
        <w:t xml:space="preserve">The rate of return guideline was published in December 2013 and was informed by extensive public consultation and rigorous analysis and debate. </w:t>
      </w:r>
      <w:r w:rsidR="00660597">
        <w:t xml:space="preserve">In arriving at our substitute </w:t>
      </w:r>
      <w:r w:rsidR="00614B02">
        <w:t>MARs</w:t>
      </w:r>
      <w:r w:rsidR="00660597">
        <w:t>, we have also adopted a value for gamma th</w:t>
      </w:r>
      <w:r w:rsidR="007C2EDD">
        <w:t xml:space="preserve">at is </w:t>
      </w:r>
      <w:r w:rsidR="00C12E3C">
        <w:t>founded on our extensive analysis in that guideline</w:t>
      </w:r>
      <w:r w:rsidR="007C2EDD">
        <w:t>.</w:t>
      </w:r>
      <w:r w:rsidR="00A455D0">
        <w:t xml:space="preserve">  </w:t>
      </w:r>
    </w:p>
    <w:p w:rsidR="00DB55C1" w:rsidRDefault="0068391E" w:rsidP="002136E9">
      <w:pPr>
        <w:pStyle w:val="AERbodytext"/>
        <w:numPr>
          <w:ilvl w:val="0"/>
          <w:numId w:val="6"/>
        </w:numPr>
      </w:pPr>
      <w:r>
        <w:t xml:space="preserve">We consider these substitute MARs are </w:t>
      </w:r>
      <w:r w:rsidR="00D007BB">
        <w:t xml:space="preserve">reasonably likely to minimise price variations between and within </w:t>
      </w:r>
      <w:r w:rsidR="002136E9">
        <w:t xml:space="preserve">the relevant </w:t>
      </w:r>
      <w:r w:rsidR="00D007BB">
        <w:t>regulatory control periods</w:t>
      </w:r>
      <w:r w:rsidR="00DB55C1">
        <w:t xml:space="preserve"> and years</w:t>
      </w:r>
      <w:r w:rsidR="00D007BB">
        <w:t>.</w:t>
      </w:r>
      <w:r w:rsidR="004D54CA">
        <w:t xml:space="preserve"> </w:t>
      </w:r>
    </w:p>
    <w:p w:rsidR="00953A39" w:rsidRDefault="00DB55C1" w:rsidP="002136E9">
      <w:pPr>
        <w:pStyle w:val="AERbodytext"/>
        <w:numPr>
          <w:ilvl w:val="0"/>
          <w:numId w:val="6"/>
        </w:numPr>
      </w:pPr>
      <w:r>
        <w:t>Our conclusion, based on our high level analysis, takes into account in so far as is possible that the MAR is made up of several constituent components</w:t>
      </w:r>
      <w:r w:rsidR="00204B59">
        <w:t>. However,</w:t>
      </w:r>
      <w:r>
        <w:t xml:space="preserve"> we are not tasked with conducting a building block analysis </w:t>
      </w:r>
      <w:r w:rsidR="007E3A81">
        <w:t xml:space="preserve">of these components </w:t>
      </w:r>
      <w:r>
        <w:t xml:space="preserve">for this determination and decisions with respect to other components have been prescribed </w:t>
      </w:r>
      <w:r w:rsidR="00933A34">
        <w:t xml:space="preserve">or fixed </w:t>
      </w:r>
      <w:r>
        <w:t xml:space="preserve">under the transitional rules such that we are not required to exercise any </w:t>
      </w:r>
      <w:r w:rsidR="00933A34">
        <w:t>discretion</w:t>
      </w:r>
      <w:r>
        <w:t xml:space="preserve"> on those aspects. </w:t>
      </w:r>
      <w:r w:rsidR="007C2EDD">
        <w:t>The approved MARs</w:t>
      </w:r>
      <w:r>
        <w:t xml:space="preserve">, </w:t>
      </w:r>
      <w:r w:rsidR="007C2EDD">
        <w:t>with the exception of the indicative ranges for the rate of return and the value of gamma, adopts</w:t>
      </w:r>
      <w:r>
        <w:t xml:space="preserve"> all inputs into the MAR proposed by TransGrid and Transend in the knowledge that these are unassessed estimates only and the MAR will be subject to a true up. At the same time, our application of the price variation test takes into account the long</w:t>
      </w:r>
      <w:r w:rsidR="00204B59">
        <w:t>-</w:t>
      </w:r>
      <w:r>
        <w:t xml:space="preserve">term interests of consumers by applying a rate of return that </w:t>
      </w:r>
      <w:r w:rsidR="002406B2">
        <w:t>has</w:t>
      </w:r>
      <w:r>
        <w:t xml:space="preserve"> regard to our guideline</w:t>
      </w:r>
      <w:r w:rsidR="007C2EDD">
        <w:t xml:space="preserve"> </w:t>
      </w:r>
      <w:r w:rsidR="00D31801">
        <w:t xml:space="preserve">and takes into account expected market trends and available information, </w:t>
      </w:r>
      <w:r w:rsidR="007C2EDD">
        <w:t>and a value of gamma that we are satisfied is the best estimate given</w:t>
      </w:r>
      <w:r w:rsidR="009C7D71">
        <w:t xml:space="preserve"> the analysis undertaken </w:t>
      </w:r>
      <w:r w:rsidR="000C221B">
        <w:t xml:space="preserve">for </w:t>
      </w:r>
      <w:r w:rsidR="002406B2">
        <w:t>our</w:t>
      </w:r>
      <w:r w:rsidR="009C7D71">
        <w:t xml:space="preserve"> guideline</w:t>
      </w:r>
      <w:r>
        <w:t xml:space="preserve">. </w:t>
      </w:r>
      <w:r w:rsidR="007E3A81">
        <w:t>Our approved MAR recognises the</w:t>
      </w:r>
      <w:r>
        <w:t xml:space="preserve"> interrelationship between these unassessed components and </w:t>
      </w:r>
      <w:r w:rsidR="007E3A81">
        <w:t>a rate of return based on our guideline</w:t>
      </w:r>
      <w:r w:rsidR="00933A34">
        <w:t xml:space="preserve"> to the extent possible</w:t>
      </w:r>
      <w:r w:rsidR="009C7D71">
        <w:t>, and a value for gamma that is also consistent with the guideline</w:t>
      </w:r>
      <w:r w:rsidR="007E3A81">
        <w:t>. It provides TransGrid and Transend with a reasonable opportunity to recover at least efficient costs and further, is likely to contribute to the NEO by promoting efficient investment in, and the efficient operation and use of, electricity services for the long</w:t>
      </w:r>
      <w:r w:rsidR="00204B59">
        <w:t>-</w:t>
      </w:r>
      <w:r w:rsidR="007E3A81">
        <w:t xml:space="preserve">term interests of consumers </w:t>
      </w:r>
      <w:r w:rsidR="00933A34">
        <w:t>particularly</w:t>
      </w:r>
      <w:r w:rsidR="007E3A81">
        <w:t xml:space="preserve"> with respect to price. </w:t>
      </w:r>
    </w:p>
    <w:p w:rsidR="003E5800" w:rsidRPr="00026D1E" w:rsidRDefault="00191339" w:rsidP="003E5800">
      <w:pPr>
        <w:pStyle w:val="AERbodytext"/>
      </w:pPr>
      <w:r w:rsidRPr="00EE264A">
        <w:t>We note that TransGrid has an under-recovery of $71 million in its allowed MAR for 2013</w:t>
      </w:r>
      <w:r w:rsidRPr="00EE264A">
        <w:softHyphen/>
      </w:r>
      <w:r w:rsidRPr="00EE264A">
        <w:rPr>
          <w:rFonts w:hint="eastAsia"/>
        </w:rPr>
        <w:t>–</w:t>
      </w:r>
      <w:r w:rsidRPr="00EE264A">
        <w:t>14.</w:t>
      </w:r>
      <w:r>
        <w:rPr>
          <w:rStyle w:val="FootnoteReference"/>
        </w:rPr>
        <w:footnoteReference w:id="12"/>
      </w:r>
      <w:r w:rsidRPr="00955DF1">
        <w:t xml:space="preserve"> </w:t>
      </w:r>
      <w:r w:rsidRPr="00EE264A">
        <w:t xml:space="preserve">We also note that Transend has an under-recovery of $26 million and $11 million in its allowed MAR for </w:t>
      </w:r>
      <w:r w:rsidRPr="00EE264A">
        <w:lastRenderedPageBreak/>
        <w:t>2013</w:t>
      </w:r>
      <w:r w:rsidRPr="00EE264A">
        <w:rPr>
          <w:rFonts w:hint="eastAsia"/>
        </w:rPr>
        <w:t>–</w:t>
      </w:r>
      <w:r w:rsidRPr="00EE264A">
        <w:t>14 and 2012</w:t>
      </w:r>
      <w:r w:rsidRPr="00EE264A">
        <w:rPr>
          <w:rFonts w:hint="eastAsia"/>
        </w:rPr>
        <w:t>–</w:t>
      </w:r>
      <w:r w:rsidRPr="00EE264A">
        <w:t>13</w:t>
      </w:r>
      <w:r>
        <w:t>,</w:t>
      </w:r>
      <w:r w:rsidRPr="00EE264A">
        <w:t xml:space="preserve"> respectively.</w:t>
      </w:r>
      <w:r>
        <w:rPr>
          <w:rStyle w:val="FootnoteReference"/>
        </w:rPr>
        <w:footnoteReference w:id="13"/>
      </w:r>
      <w:r>
        <w:t xml:space="preserve"> </w:t>
      </w:r>
      <w:r w:rsidR="00B03695">
        <w:t>This under-recovery for TransGrid has arisen</w:t>
      </w:r>
      <w:r w:rsidR="002E4D51">
        <w:t xml:space="preserve"> a</w:t>
      </w:r>
      <w:r w:rsidR="004D54CA">
        <w:t xml:space="preserve">s a result of </w:t>
      </w:r>
      <w:r w:rsidR="00955DF1">
        <w:t>it</w:t>
      </w:r>
      <w:r w:rsidR="004D54CA">
        <w:t xml:space="preserve">s decision to adopt a </w:t>
      </w:r>
      <w:r w:rsidR="00955DF1">
        <w:t>‘</w:t>
      </w:r>
      <w:r w:rsidR="004D54CA">
        <w:t>revenue</w:t>
      </w:r>
      <w:r w:rsidR="00955DF1">
        <w:t xml:space="preserve"> </w:t>
      </w:r>
      <w:r w:rsidR="004D54CA">
        <w:t>freeze</w:t>
      </w:r>
      <w:r w:rsidR="00EE65D5">
        <w:t>’</w:t>
      </w:r>
      <w:r w:rsidR="002E4D51">
        <w:t xml:space="preserve"> in 2013</w:t>
      </w:r>
      <w:r w:rsidR="00EE65D5">
        <w:t>–</w:t>
      </w:r>
      <w:r w:rsidR="002E4D51">
        <w:t>14</w:t>
      </w:r>
      <w:r w:rsidR="004D54CA">
        <w:t xml:space="preserve">. </w:t>
      </w:r>
      <w:r w:rsidR="002406B2">
        <w:t>F</w:t>
      </w:r>
      <w:r w:rsidR="00B03695">
        <w:t xml:space="preserve">or Transend, this under-recovery has arisen due to </w:t>
      </w:r>
      <w:r w:rsidR="00955DF1">
        <w:t xml:space="preserve">its </w:t>
      </w:r>
      <w:r w:rsidR="00B03695">
        <w:t xml:space="preserve">decision to only recover </w:t>
      </w:r>
      <w:r w:rsidR="00955DF1">
        <w:t xml:space="preserve">revenue associated with </w:t>
      </w:r>
      <w:r w:rsidR="00EE65D5">
        <w:t>lower</w:t>
      </w:r>
      <w:r w:rsidR="00B03695">
        <w:t xml:space="preserve"> expenditure incurred towards the end of the current regulatory control period. </w:t>
      </w:r>
      <w:r w:rsidR="000F16FE">
        <w:t xml:space="preserve">We have no role in considering </w:t>
      </w:r>
      <w:r w:rsidR="00E52388">
        <w:t xml:space="preserve">the regulatory treatment of </w:t>
      </w:r>
      <w:r w:rsidR="000F16FE">
        <w:t>these under-recoveries</w:t>
      </w:r>
      <w:r w:rsidR="002406B2">
        <w:t>.  T</w:t>
      </w:r>
      <w:r w:rsidR="000F16FE">
        <w:t xml:space="preserve">he TNSPs are able to recover </w:t>
      </w:r>
      <w:r w:rsidR="002406B2">
        <w:t xml:space="preserve">in future years </w:t>
      </w:r>
      <w:r w:rsidR="000F16FE">
        <w:t xml:space="preserve">any shortfalls in revenue that are below the </w:t>
      </w:r>
      <w:r w:rsidR="00E02D6C">
        <w:t xml:space="preserve">approved </w:t>
      </w:r>
      <w:r w:rsidR="00D5516E">
        <w:t xml:space="preserve">MAR. </w:t>
      </w:r>
      <w:r w:rsidR="00A31794">
        <w:t>A</w:t>
      </w:r>
      <w:r w:rsidR="00B03695">
        <w:t>ny decision by TransGrid</w:t>
      </w:r>
      <w:r w:rsidR="00953A39">
        <w:t xml:space="preserve"> or Transend</w:t>
      </w:r>
      <w:r w:rsidR="00B03695">
        <w:t xml:space="preserve"> to recover </w:t>
      </w:r>
      <w:r w:rsidR="00A31794">
        <w:t xml:space="preserve">this </w:t>
      </w:r>
      <w:r w:rsidR="00EE65D5">
        <w:t xml:space="preserve">revenue </w:t>
      </w:r>
      <w:r w:rsidR="00A31794">
        <w:t>w</w:t>
      </w:r>
      <w:r w:rsidR="00B03695">
        <w:t xml:space="preserve">ould affect </w:t>
      </w:r>
      <w:r w:rsidR="00EE65D5">
        <w:t xml:space="preserve">transmission </w:t>
      </w:r>
      <w:r w:rsidR="00B03695">
        <w:t xml:space="preserve">prices for </w:t>
      </w:r>
      <w:r w:rsidR="00EE65D5">
        <w:t xml:space="preserve">its </w:t>
      </w:r>
      <w:r w:rsidR="00B03695">
        <w:t>c</w:t>
      </w:r>
      <w:r w:rsidR="00955DF1">
        <w:t>ustomers</w:t>
      </w:r>
      <w:r w:rsidR="00A31794">
        <w:t xml:space="preserve"> independently of the AER’s transitional de</w:t>
      </w:r>
      <w:r w:rsidR="00955DF1">
        <w:t>termination</w:t>
      </w:r>
      <w:r w:rsidR="00B03695">
        <w:t>.</w:t>
      </w:r>
      <w:r w:rsidDel="00191339">
        <w:rPr>
          <w:rStyle w:val="FootnoteReference"/>
        </w:rPr>
        <w:t xml:space="preserve"> </w:t>
      </w:r>
    </w:p>
    <w:p w:rsidR="007F0D5E" w:rsidRDefault="003E5800" w:rsidP="007024B8">
      <w:pPr>
        <w:pStyle w:val="AERbodytext"/>
      </w:pPr>
      <w:r>
        <w:t xml:space="preserve">Table 1.1 </w:t>
      </w:r>
      <w:r w:rsidR="007F0D5E" w:rsidRPr="00026D1E">
        <w:t xml:space="preserve">shows </w:t>
      </w:r>
      <w:proofErr w:type="spellStart"/>
      <w:r w:rsidR="007F0D5E" w:rsidRPr="00026D1E">
        <w:t>TransGrid’s</w:t>
      </w:r>
      <w:proofErr w:type="spellEnd"/>
      <w:r w:rsidR="007F0D5E" w:rsidRPr="00026D1E">
        <w:t xml:space="preserve"> proposed revenue (and price path) for the transitional regulatory control period and our substituted revenue (and price path) for the transitional regulatory control period.</w:t>
      </w:r>
    </w:p>
    <w:p w:rsidR="00C6304B" w:rsidRDefault="007F0D5E" w:rsidP="00C6304B">
      <w:pPr>
        <w:pStyle w:val="Caption"/>
      </w:pPr>
      <w:r>
        <w:t>Table 1.1</w:t>
      </w:r>
      <w:r w:rsidR="00C6304B">
        <w:t xml:space="preserve"> </w:t>
      </w:r>
      <w:r w:rsidR="00955DF1">
        <w:tab/>
      </w:r>
      <w:proofErr w:type="spellStart"/>
      <w:r w:rsidR="00C6304B">
        <w:t>TransGrid’s</w:t>
      </w:r>
      <w:proofErr w:type="spellEnd"/>
      <w:r w:rsidR="00C6304B">
        <w:t xml:space="preserve"> proposed revenue and price path and AER substituted revenue and price path</w:t>
      </w:r>
    </w:p>
    <w:tbl>
      <w:tblPr>
        <w:tblStyle w:val="AERtable-numbers"/>
        <w:tblW w:w="9206" w:type="dxa"/>
        <w:tblLook w:val="04A0" w:firstRow="1" w:lastRow="0" w:firstColumn="1" w:lastColumn="0" w:noHBand="0" w:noVBand="1"/>
      </w:tblPr>
      <w:tblGrid>
        <w:gridCol w:w="2066"/>
        <w:gridCol w:w="192"/>
        <w:gridCol w:w="1623"/>
        <w:gridCol w:w="1272"/>
        <w:gridCol w:w="1258"/>
        <w:gridCol w:w="1398"/>
        <w:gridCol w:w="1397"/>
      </w:tblGrid>
      <w:tr w:rsidR="007F0D5E" w:rsidTr="00B76674">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066" w:type="dxa"/>
            <w:noWrap/>
            <w:hideMark/>
          </w:tcPr>
          <w:p w:rsidR="007F0D5E" w:rsidRDefault="007F0D5E" w:rsidP="00B76674">
            <w:pPr>
              <w:jc w:val="right"/>
              <w:rPr>
                <w:rFonts w:eastAsia="MS PGothic" w:hint="eastAsia"/>
                <w:b w:val="0"/>
                <w:bCs/>
                <w:color w:val="000000"/>
                <w:lang w:eastAsia="en-AU"/>
              </w:rPr>
            </w:pPr>
            <w:r>
              <w:rPr>
                <w:bCs/>
                <w:color w:val="000000"/>
                <w:lang w:eastAsia="en-AU"/>
              </w:rPr>
              <w:t> </w:t>
            </w:r>
          </w:p>
        </w:tc>
        <w:tc>
          <w:tcPr>
            <w:tcW w:w="1815" w:type="dxa"/>
            <w:gridSpan w:val="2"/>
            <w:noWrap/>
            <w:hideMark/>
          </w:tcPr>
          <w:p w:rsidR="007F0D5E" w:rsidRDefault="007F0D5E" w:rsidP="00B76674">
            <w:pPr>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color w:val="000000"/>
                <w:lang w:eastAsia="en-AU"/>
              </w:rPr>
            </w:pPr>
            <w:r>
              <w:rPr>
                <w:bCs/>
                <w:color w:val="000000"/>
                <w:lang w:eastAsia="en-AU"/>
              </w:rPr>
              <w:t> </w:t>
            </w:r>
          </w:p>
        </w:tc>
        <w:tc>
          <w:tcPr>
            <w:tcW w:w="1272" w:type="dxa"/>
            <w:noWrap/>
            <w:hideMark/>
          </w:tcPr>
          <w:p w:rsidR="007F0D5E" w:rsidRDefault="007F0D5E" w:rsidP="00B76674">
            <w:pPr>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2013–14</w:t>
            </w:r>
          </w:p>
        </w:tc>
        <w:tc>
          <w:tcPr>
            <w:tcW w:w="1258" w:type="dxa"/>
            <w:noWrap/>
            <w:hideMark/>
          </w:tcPr>
          <w:p w:rsidR="007F0D5E" w:rsidRDefault="007F0D5E" w:rsidP="00B76674">
            <w:pPr>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2014–15</w:t>
            </w:r>
          </w:p>
        </w:tc>
        <w:tc>
          <w:tcPr>
            <w:tcW w:w="1398" w:type="dxa"/>
            <w:noWrap/>
            <w:hideMark/>
          </w:tcPr>
          <w:p w:rsidR="007F0D5E" w:rsidRDefault="007F0D5E" w:rsidP="00B76674">
            <w:pPr>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Change (%)</w:t>
            </w:r>
          </w:p>
        </w:tc>
        <w:tc>
          <w:tcPr>
            <w:tcW w:w="1397" w:type="dxa"/>
            <w:hideMark/>
          </w:tcPr>
          <w:p w:rsidR="007F0D5E" w:rsidRDefault="00176B2D" w:rsidP="00B76674">
            <w:pPr>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 xml:space="preserve">Difference </w:t>
            </w:r>
            <w:r w:rsidR="007F0D5E">
              <w:rPr>
                <w:bCs/>
                <w:lang w:eastAsia="en-AU"/>
              </w:rPr>
              <w:t xml:space="preserve">from proposed 2014–15 </w:t>
            </w:r>
            <w:r w:rsidR="007F0D5E">
              <w:rPr>
                <w:lang w:eastAsia="en-AU"/>
              </w:rPr>
              <w:t>(%)</w:t>
            </w:r>
          </w:p>
        </w:tc>
      </w:tr>
      <w:tr w:rsidR="007F0D5E" w:rsidTr="00B76674">
        <w:trPr>
          <w:trHeight w:val="202"/>
        </w:trPr>
        <w:tc>
          <w:tcPr>
            <w:cnfStyle w:val="001000000000" w:firstRow="0" w:lastRow="0" w:firstColumn="1" w:lastColumn="0" w:oddVBand="0" w:evenVBand="0" w:oddHBand="0" w:evenHBand="0" w:firstRowFirstColumn="0" w:firstRowLastColumn="0" w:lastRowFirstColumn="0" w:lastRowLastColumn="0"/>
            <w:tcW w:w="9206" w:type="dxa"/>
            <w:gridSpan w:val="7"/>
            <w:noWrap/>
            <w:hideMark/>
          </w:tcPr>
          <w:p w:rsidR="007F0D5E" w:rsidRDefault="007F0D5E" w:rsidP="00B76674">
            <w:pPr>
              <w:rPr>
                <w:rFonts w:ascii="Times New Roman" w:eastAsia="MS PGothic" w:hAnsi="Times New Roman"/>
                <w:color w:val="000000"/>
                <w:lang w:eastAsia="en-AU"/>
              </w:rPr>
            </w:pPr>
            <w:r>
              <w:rPr>
                <w:b/>
                <w:bCs/>
                <w:color w:val="000000"/>
                <w:lang w:eastAsia="en-AU"/>
              </w:rPr>
              <w:t>Proposed revenue and price path</w:t>
            </w:r>
          </w:p>
        </w:tc>
      </w:tr>
      <w:tr w:rsidR="007F0D5E" w:rsidTr="00B76674">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881" w:type="dxa"/>
            <w:gridSpan w:val="3"/>
            <w:noWrap/>
            <w:hideMark/>
          </w:tcPr>
          <w:p w:rsidR="007F0D5E" w:rsidRDefault="007F0D5E" w:rsidP="00B76674">
            <w:pPr>
              <w:rPr>
                <w:rFonts w:eastAsia="MS PGothic" w:hint="eastAsia"/>
                <w:color w:val="000000"/>
                <w:lang w:eastAsia="en-AU"/>
              </w:rPr>
            </w:pPr>
            <w:r>
              <w:rPr>
                <w:color w:val="000000"/>
                <w:lang w:eastAsia="en-AU"/>
              </w:rPr>
              <w:t>Revenue ($million, nominal)</w:t>
            </w:r>
          </w:p>
        </w:tc>
        <w:tc>
          <w:tcPr>
            <w:tcW w:w="1272" w:type="dxa"/>
            <w:noWrap/>
            <w:hideMark/>
          </w:tcPr>
          <w:p w:rsidR="007F0D5E" w:rsidRPr="007F0D5E" w:rsidRDefault="007F0D5E" w:rsidP="00B76674">
            <w:pPr>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vertAlign w:val="superscript"/>
                <w:lang w:eastAsia="en-AU"/>
              </w:rPr>
            </w:pPr>
            <w:r>
              <w:rPr>
                <w:color w:val="000000"/>
                <w:lang w:eastAsia="en-AU"/>
              </w:rPr>
              <w:t>863.0</w:t>
            </w:r>
            <w:r>
              <w:rPr>
                <w:color w:val="000000"/>
                <w:vertAlign w:val="superscript"/>
                <w:lang w:eastAsia="en-AU"/>
              </w:rPr>
              <w:t>(a)</w:t>
            </w:r>
          </w:p>
        </w:tc>
        <w:tc>
          <w:tcPr>
            <w:tcW w:w="1258" w:type="dxa"/>
            <w:noWrap/>
            <w:hideMark/>
          </w:tcPr>
          <w:p w:rsidR="007F0D5E" w:rsidRDefault="007F0D5E" w:rsidP="00B76674">
            <w:pPr>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929.9</w:t>
            </w:r>
          </w:p>
        </w:tc>
        <w:tc>
          <w:tcPr>
            <w:tcW w:w="1398" w:type="dxa"/>
            <w:noWrap/>
            <w:hideMark/>
          </w:tcPr>
          <w:p w:rsidR="007F0D5E" w:rsidRDefault="007F0D5E" w:rsidP="00B76674">
            <w:pPr>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7.7%</w:t>
            </w:r>
          </w:p>
        </w:tc>
        <w:tc>
          <w:tcPr>
            <w:tcW w:w="1397" w:type="dxa"/>
            <w:noWrap/>
            <w:hideMark/>
          </w:tcPr>
          <w:p w:rsidR="007F0D5E" w:rsidRDefault="007F0D5E" w:rsidP="00B76674">
            <w:pPr>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n/a</w:t>
            </w:r>
          </w:p>
        </w:tc>
      </w:tr>
      <w:tr w:rsidR="007F0D5E" w:rsidTr="00B76674">
        <w:trPr>
          <w:trHeight w:val="202"/>
        </w:trPr>
        <w:tc>
          <w:tcPr>
            <w:cnfStyle w:val="001000000000" w:firstRow="0" w:lastRow="0" w:firstColumn="1" w:lastColumn="0" w:oddVBand="0" w:evenVBand="0" w:oddHBand="0" w:evenHBand="0" w:firstRowFirstColumn="0" w:firstRowLastColumn="0" w:lastRowFirstColumn="0" w:lastRowLastColumn="0"/>
            <w:tcW w:w="3881" w:type="dxa"/>
            <w:gridSpan w:val="3"/>
            <w:noWrap/>
            <w:hideMark/>
          </w:tcPr>
          <w:p w:rsidR="007F0D5E" w:rsidRDefault="007F0D5E" w:rsidP="007F0D5E">
            <w:pPr>
              <w:rPr>
                <w:rFonts w:eastAsia="MS PGothic" w:hint="eastAsia"/>
                <w:color w:val="000000"/>
                <w:lang w:eastAsia="en-AU"/>
              </w:rPr>
            </w:pPr>
            <w:r>
              <w:rPr>
                <w:color w:val="000000"/>
                <w:lang w:eastAsia="en-AU"/>
              </w:rPr>
              <w:t>Price path</w:t>
            </w:r>
            <w:r w:rsidRPr="00814805">
              <w:rPr>
                <w:color w:val="000000"/>
                <w:lang w:eastAsia="en-AU"/>
              </w:rPr>
              <w:t xml:space="preserve"> ($/</w:t>
            </w:r>
            <w:proofErr w:type="spellStart"/>
            <w:r w:rsidRPr="00814805">
              <w:rPr>
                <w:color w:val="000000"/>
                <w:lang w:eastAsia="en-AU"/>
              </w:rPr>
              <w:t>MWh</w:t>
            </w:r>
            <w:proofErr w:type="spellEnd"/>
            <w:r w:rsidRPr="00814805">
              <w:rPr>
                <w:color w:val="000000"/>
                <w:lang w:eastAsia="en-AU"/>
              </w:rPr>
              <w:t>, nominal)</w:t>
            </w:r>
          </w:p>
        </w:tc>
        <w:tc>
          <w:tcPr>
            <w:tcW w:w="1272" w:type="dxa"/>
            <w:noWrap/>
            <w:hideMark/>
          </w:tcPr>
          <w:p w:rsidR="007F0D5E" w:rsidRDefault="007F0D5E" w:rsidP="00B76674">
            <w:pPr>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rFonts w:eastAsia="MS PGothic"/>
                <w:color w:val="000000"/>
                <w:lang w:eastAsia="en-AU"/>
              </w:rPr>
              <w:t>12.8</w:t>
            </w:r>
          </w:p>
        </w:tc>
        <w:tc>
          <w:tcPr>
            <w:tcW w:w="1258" w:type="dxa"/>
            <w:noWrap/>
            <w:hideMark/>
          </w:tcPr>
          <w:p w:rsidR="007F0D5E" w:rsidRDefault="007F0D5E" w:rsidP="00B76674">
            <w:pPr>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color w:val="000000"/>
                <w:lang w:eastAsia="en-AU"/>
              </w:rPr>
              <w:t>13.7</w:t>
            </w:r>
          </w:p>
        </w:tc>
        <w:tc>
          <w:tcPr>
            <w:tcW w:w="1398" w:type="dxa"/>
            <w:noWrap/>
            <w:hideMark/>
          </w:tcPr>
          <w:p w:rsidR="007F0D5E" w:rsidRDefault="007F0D5E" w:rsidP="00B76674">
            <w:pPr>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color w:val="000000"/>
                <w:lang w:eastAsia="en-AU"/>
              </w:rPr>
              <w:t>7.4%</w:t>
            </w:r>
          </w:p>
        </w:tc>
        <w:tc>
          <w:tcPr>
            <w:tcW w:w="1397" w:type="dxa"/>
            <w:noWrap/>
            <w:hideMark/>
          </w:tcPr>
          <w:p w:rsidR="007F0D5E" w:rsidRDefault="007F0D5E" w:rsidP="00B76674">
            <w:pPr>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color w:val="000000"/>
                <w:lang w:eastAsia="en-AU"/>
              </w:rPr>
              <w:t>n/a</w:t>
            </w:r>
          </w:p>
        </w:tc>
      </w:tr>
      <w:tr w:rsidR="007F0D5E" w:rsidTr="00B76674">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9206" w:type="dxa"/>
            <w:gridSpan w:val="7"/>
            <w:noWrap/>
            <w:hideMark/>
          </w:tcPr>
          <w:p w:rsidR="007F0D5E" w:rsidRDefault="007F0D5E" w:rsidP="00B76674">
            <w:pPr>
              <w:rPr>
                <w:rFonts w:ascii="Times New Roman" w:eastAsia="MS PGothic" w:hAnsi="Times New Roman"/>
                <w:color w:val="000000"/>
                <w:lang w:eastAsia="en-AU"/>
              </w:rPr>
            </w:pPr>
            <w:r>
              <w:rPr>
                <w:b/>
                <w:bCs/>
                <w:color w:val="000000"/>
                <w:lang w:eastAsia="en-AU"/>
              </w:rPr>
              <w:t>AER substitute revenue and price path</w:t>
            </w:r>
          </w:p>
        </w:tc>
      </w:tr>
      <w:tr w:rsidR="007F0D5E" w:rsidTr="00B76674">
        <w:trPr>
          <w:trHeight w:val="202"/>
        </w:trPr>
        <w:tc>
          <w:tcPr>
            <w:cnfStyle w:val="001000000000" w:firstRow="0" w:lastRow="0" w:firstColumn="1" w:lastColumn="0" w:oddVBand="0" w:evenVBand="0" w:oddHBand="0" w:evenHBand="0" w:firstRowFirstColumn="0" w:firstRowLastColumn="0" w:lastRowFirstColumn="0" w:lastRowLastColumn="0"/>
            <w:tcW w:w="2258" w:type="dxa"/>
            <w:gridSpan w:val="2"/>
            <w:noWrap/>
          </w:tcPr>
          <w:p w:rsidR="007F0D5E" w:rsidRDefault="007F0D5E" w:rsidP="00B76674">
            <w:pPr>
              <w:pStyle w:val="AERtabletextleft"/>
              <w:rPr>
                <w:rFonts w:eastAsia="MS PGothic" w:hint="eastAsia"/>
                <w:lang w:eastAsia="en-AU"/>
              </w:rPr>
            </w:pPr>
            <w:r>
              <w:rPr>
                <w:lang w:eastAsia="en-AU"/>
              </w:rPr>
              <w:t>Revenue ($million, nominal)</w:t>
            </w:r>
          </w:p>
        </w:tc>
        <w:tc>
          <w:tcPr>
            <w:tcW w:w="1623" w:type="dxa"/>
            <w:noWrap/>
          </w:tcPr>
          <w:p w:rsidR="007F0D5E" w:rsidRDefault="007F0D5E" w:rsidP="00B76674">
            <w:pPr>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p>
        </w:tc>
        <w:tc>
          <w:tcPr>
            <w:tcW w:w="1272" w:type="dxa"/>
            <w:noWrap/>
            <w:hideMark/>
          </w:tcPr>
          <w:p w:rsidR="007F0D5E" w:rsidRPr="007F0D5E" w:rsidRDefault="007F0D5E" w:rsidP="00B76674">
            <w:pPr>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vertAlign w:val="superscript"/>
                <w:lang w:eastAsia="en-AU"/>
              </w:rPr>
            </w:pPr>
            <w:r>
              <w:rPr>
                <w:color w:val="000000"/>
                <w:lang w:eastAsia="en-AU"/>
              </w:rPr>
              <w:t>863.0</w:t>
            </w:r>
            <w:r>
              <w:rPr>
                <w:color w:val="000000"/>
                <w:vertAlign w:val="superscript"/>
                <w:lang w:eastAsia="en-AU"/>
              </w:rPr>
              <w:t>(a)</w:t>
            </w:r>
          </w:p>
        </w:tc>
        <w:tc>
          <w:tcPr>
            <w:tcW w:w="1258" w:type="dxa"/>
            <w:noWrap/>
          </w:tcPr>
          <w:p w:rsidR="007F0D5E" w:rsidRDefault="007F0D5E" w:rsidP="00B76674">
            <w:pPr>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rFonts w:eastAsia="MS PGothic"/>
                <w:color w:val="000000"/>
                <w:lang w:eastAsia="en-AU"/>
              </w:rPr>
              <w:t>845.4</w:t>
            </w:r>
          </w:p>
        </w:tc>
        <w:tc>
          <w:tcPr>
            <w:tcW w:w="1398" w:type="dxa"/>
            <w:noWrap/>
          </w:tcPr>
          <w:p w:rsidR="007F0D5E" w:rsidRDefault="007F0D5E" w:rsidP="00B76674">
            <w:pPr>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rFonts w:eastAsia="MS PGothic"/>
                <w:color w:val="000000"/>
                <w:lang w:eastAsia="en-AU"/>
              </w:rPr>
              <w:t>–2.0%</w:t>
            </w:r>
          </w:p>
        </w:tc>
        <w:tc>
          <w:tcPr>
            <w:tcW w:w="1397" w:type="dxa"/>
            <w:noWrap/>
          </w:tcPr>
          <w:p w:rsidR="007F0D5E" w:rsidRDefault="00176B2D" w:rsidP="00B76674">
            <w:pPr>
              <w:pStyle w:val="AERtabletextleft"/>
              <w:cnfStyle w:val="000000000000" w:firstRow="0" w:lastRow="0" w:firstColumn="0" w:lastColumn="0" w:oddVBand="0" w:evenVBand="0" w:oddHBand="0" w:evenHBand="0" w:firstRowFirstColumn="0" w:firstRowLastColumn="0" w:lastRowFirstColumn="0" w:lastRowLastColumn="0"/>
              <w:rPr>
                <w:rFonts w:eastAsia="MS PGothic" w:hint="eastAsia"/>
                <w:lang w:eastAsia="en-AU"/>
              </w:rPr>
            </w:pPr>
            <w:r>
              <w:rPr>
                <w:rFonts w:eastAsia="MS PGothic"/>
                <w:lang w:eastAsia="en-AU"/>
              </w:rPr>
              <w:t>–</w:t>
            </w:r>
            <w:r w:rsidR="007F0D5E">
              <w:rPr>
                <w:rFonts w:eastAsia="MS PGothic"/>
                <w:lang w:eastAsia="en-AU"/>
              </w:rPr>
              <w:t>9.1%</w:t>
            </w:r>
          </w:p>
        </w:tc>
      </w:tr>
      <w:tr w:rsidR="007F0D5E" w:rsidTr="00B76674">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881" w:type="dxa"/>
            <w:gridSpan w:val="3"/>
            <w:noWrap/>
          </w:tcPr>
          <w:p w:rsidR="007F0D5E" w:rsidRDefault="007F0D5E" w:rsidP="00B76674">
            <w:pPr>
              <w:rPr>
                <w:rFonts w:eastAsia="MS PGothic" w:hint="eastAsia"/>
                <w:color w:val="000000"/>
                <w:lang w:eastAsia="en-AU"/>
              </w:rPr>
            </w:pPr>
            <w:r>
              <w:rPr>
                <w:color w:val="000000"/>
                <w:lang w:eastAsia="en-AU"/>
              </w:rPr>
              <w:t>Price path</w:t>
            </w:r>
            <w:r w:rsidRPr="00814805">
              <w:rPr>
                <w:color w:val="000000"/>
                <w:lang w:eastAsia="en-AU"/>
              </w:rPr>
              <w:t xml:space="preserve"> ($/</w:t>
            </w:r>
            <w:proofErr w:type="spellStart"/>
            <w:r w:rsidRPr="00814805">
              <w:rPr>
                <w:color w:val="000000"/>
                <w:lang w:eastAsia="en-AU"/>
              </w:rPr>
              <w:t>MWh</w:t>
            </w:r>
            <w:proofErr w:type="spellEnd"/>
            <w:r w:rsidRPr="00814805">
              <w:rPr>
                <w:color w:val="000000"/>
                <w:lang w:eastAsia="en-AU"/>
              </w:rPr>
              <w:t>, nominal)</w:t>
            </w:r>
          </w:p>
        </w:tc>
        <w:tc>
          <w:tcPr>
            <w:tcW w:w="1272" w:type="dxa"/>
            <w:noWrap/>
            <w:hideMark/>
          </w:tcPr>
          <w:p w:rsidR="007F0D5E" w:rsidRDefault="007F0D5E" w:rsidP="00B76674">
            <w:pPr>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12.8</w:t>
            </w:r>
          </w:p>
        </w:tc>
        <w:tc>
          <w:tcPr>
            <w:tcW w:w="1258" w:type="dxa"/>
            <w:noWrap/>
          </w:tcPr>
          <w:p w:rsidR="007F0D5E" w:rsidRDefault="007F0D5E" w:rsidP="00B76674">
            <w:pPr>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rFonts w:eastAsia="MS PGothic"/>
                <w:color w:val="000000"/>
                <w:lang w:eastAsia="en-AU"/>
              </w:rPr>
              <w:t>12.5</w:t>
            </w:r>
          </w:p>
        </w:tc>
        <w:tc>
          <w:tcPr>
            <w:tcW w:w="1398" w:type="dxa"/>
            <w:noWrap/>
          </w:tcPr>
          <w:p w:rsidR="007F0D5E" w:rsidRDefault="007F0D5E" w:rsidP="00B76674">
            <w:pPr>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rFonts w:eastAsia="MS PGothic"/>
                <w:color w:val="000000"/>
                <w:lang w:eastAsia="en-AU"/>
              </w:rPr>
              <w:t>–2.3%</w:t>
            </w:r>
          </w:p>
        </w:tc>
        <w:tc>
          <w:tcPr>
            <w:tcW w:w="1397" w:type="dxa"/>
            <w:noWrap/>
          </w:tcPr>
          <w:p w:rsidR="007F0D5E" w:rsidRDefault="00176B2D" w:rsidP="00B76674">
            <w:pPr>
              <w:pStyle w:val="AERtabletextleft"/>
              <w:cnfStyle w:val="000000010000" w:firstRow="0" w:lastRow="0" w:firstColumn="0" w:lastColumn="0" w:oddVBand="0" w:evenVBand="0" w:oddHBand="0" w:evenHBand="1" w:firstRowFirstColumn="0" w:firstRowLastColumn="0" w:lastRowFirstColumn="0" w:lastRowLastColumn="0"/>
              <w:rPr>
                <w:rFonts w:eastAsia="MS PGothic" w:hint="eastAsia"/>
                <w:lang w:eastAsia="en-AU"/>
              </w:rPr>
            </w:pPr>
            <w:r>
              <w:rPr>
                <w:rFonts w:eastAsia="MS PGothic"/>
                <w:lang w:eastAsia="en-AU"/>
              </w:rPr>
              <w:t>–</w:t>
            </w:r>
            <w:r w:rsidR="007F0D5E">
              <w:rPr>
                <w:rFonts w:eastAsia="MS PGothic"/>
                <w:lang w:eastAsia="en-AU"/>
              </w:rPr>
              <w:t>9.1%</w:t>
            </w:r>
          </w:p>
        </w:tc>
      </w:tr>
    </w:tbl>
    <w:p w:rsidR="007F0D5E" w:rsidRDefault="007F0D5E" w:rsidP="007F0D5E">
      <w:pPr>
        <w:pStyle w:val="AERtablesource"/>
      </w:pPr>
      <w:r>
        <w:t>(a)</w:t>
      </w:r>
      <w:r w:rsidRPr="00BC28CE">
        <w:t xml:space="preserve"> </w:t>
      </w:r>
      <w:r>
        <w:tab/>
        <w:t xml:space="preserve">The 2013–14 revenue reflects </w:t>
      </w:r>
      <w:proofErr w:type="spellStart"/>
      <w:r>
        <w:t>TransGrid’s</w:t>
      </w:r>
      <w:proofErr w:type="spellEnd"/>
      <w:r>
        <w:t xml:space="preserve"> estimated revenue of $863 million. </w:t>
      </w:r>
      <w:proofErr w:type="spellStart"/>
      <w:r w:rsidRPr="00BC28CE">
        <w:t>TransGrid’s</w:t>
      </w:r>
      <w:proofErr w:type="spellEnd"/>
      <w:r w:rsidRPr="00BC28CE">
        <w:t xml:space="preserve"> allowed revenue for </w:t>
      </w:r>
      <w:r>
        <w:t>2013–14</w:t>
      </w:r>
      <w:r w:rsidRPr="00BC28CE">
        <w:t xml:space="preserve"> is $934 million. </w:t>
      </w:r>
    </w:p>
    <w:p w:rsidR="0000323A" w:rsidRDefault="0000323A" w:rsidP="007024B8">
      <w:pPr>
        <w:pStyle w:val="AERbodytext"/>
      </w:pPr>
    </w:p>
    <w:p w:rsidR="0000323A" w:rsidRDefault="0000323A" w:rsidP="007024B8">
      <w:pPr>
        <w:pStyle w:val="AERbodytext"/>
      </w:pPr>
    </w:p>
    <w:p w:rsidR="0000323A" w:rsidRDefault="0000323A" w:rsidP="007024B8">
      <w:pPr>
        <w:pStyle w:val="AERbodytext"/>
      </w:pPr>
    </w:p>
    <w:p w:rsidR="0000323A" w:rsidRDefault="0000323A" w:rsidP="007024B8">
      <w:pPr>
        <w:pStyle w:val="AERbodytext"/>
      </w:pPr>
    </w:p>
    <w:p w:rsidR="0000323A" w:rsidRDefault="0000323A" w:rsidP="007024B8">
      <w:pPr>
        <w:pStyle w:val="AERbodytext"/>
      </w:pPr>
    </w:p>
    <w:p w:rsidR="0000323A" w:rsidRDefault="0000323A" w:rsidP="007024B8">
      <w:pPr>
        <w:pStyle w:val="AERbodytext"/>
      </w:pPr>
    </w:p>
    <w:p w:rsidR="0000323A" w:rsidRDefault="0000323A" w:rsidP="007024B8">
      <w:pPr>
        <w:pStyle w:val="AERbodytext"/>
      </w:pPr>
    </w:p>
    <w:p w:rsidR="0000323A" w:rsidRDefault="0000323A" w:rsidP="007024B8">
      <w:pPr>
        <w:pStyle w:val="AERbodytext"/>
      </w:pPr>
    </w:p>
    <w:p w:rsidR="0092785B" w:rsidRPr="007024B8" w:rsidRDefault="003E5800" w:rsidP="007024B8">
      <w:pPr>
        <w:pStyle w:val="AERbodytext"/>
      </w:pPr>
      <w:r>
        <w:lastRenderedPageBreak/>
        <w:t xml:space="preserve">Table 1.2 </w:t>
      </w:r>
      <w:r w:rsidR="007F0D5E" w:rsidRPr="007024B8">
        <w:t xml:space="preserve">shows </w:t>
      </w:r>
      <w:proofErr w:type="spellStart"/>
      <w:r w:rsidR="007F0D5E" w:rsidRPr="007024B8">
        <w:t>Transend’s</w:t>
      </w:r>
      <w:proofErr w:type="spellEnd"/>
      <w:r w:rsidR="007F0D5E" w:rsidRPr="007024B8">
        <w:t xml:space="preserve"> proposed revenue (and price path) for the transitional regulatory control period and our substituted revenue (and price path</w:t>
      </w:r>
      <w:r w:rsidR="00AC6813" w:rsidRPr="007024B8">
        <w:t>)</w:t>
      </w:r>
      <w:r w:rsidR="007F0D5E" w:rsidRPr="007024B8">
        <w:t xml:space="preserve"> for the transitional regulatory control period.</w:t>
      </w:r>
    </w:p>
    <w:p w:rsidR="00C6304B" w:rsidRDefault="00C6304B" w:rsidP="00C6304B">
      <w:pPr>
        <w:pStyle w:val="Caption"/>
      </w:pPr>
      <w:r>
        <w:t xml:space="preserve">Table </w:t>
      </w:r>
      <w:r w:rsidR="007F0D5E">
        <w:t>1.2</w:t>
      </w:r>
      <w:r>
        <w:t xml:space="preserve"> </w:t>
      </w:r>
      <w:r w:rsidR="007F0D5E">
        <w:tab/>
      </w:r>
      <w:proofErr w:type="spellStart"/>
      <w:r>
        <w:t>Transend’s</w:t>
      </w:r>
      <w:proofErr w:type="spellEnd"/>
      <w:r>
        <w:t xml:space="preserve"> proposed revenue and price path and AER substituted revenue and price path</w:t>
      </w:r>
    </w:p>
    <w:tbl>
      <w:tblPr>
        <w:tblStyle w:val="AERtable-numbers"/>
        <w:tblW w:w="9206" w:type="dxa"/>
        <w:tblLook w:val="04A0" w:firstRow="1" w:lastRow="0" w:firstColumn="1" w:lastColumn="0" w:noHBand="0" w:noVBand="1"/>
      </w:tblPr>
      <w:tblGrid>
        <w:gridCol w:w="2066"/>
        <w:gridCol w:w="192"/>
        <w:gridCol w:w="1623"/>
        <w:gridCol w:w="1272"/>
        <w:gridCol w:w="1258"/>
        <w:gridCol w:w="1398"/>
        <w:gridCol w:w="1397"/>
      </w:tblGrid>
      <w:tr w:rsidR="007F0D5E" w:rsidTr="00B76674">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066" w:type="dxa"/>
            <w:noWrap/>
            <w:hideMark/>
          </w:tcPr>
          <w:p w:rsidR="007F0D5E" w:rsidRDefault="007F0D5E" w:rsidP="00B76674">
            <w:pPr>
              <w:jc w:val="right"/>
              <w:rPr>
                <w:rFonts w:eastAsia="MS PGothic" w:hint="eastAsia"/>
                <w:b w:val="0"/>
                <w:bCs/>
                <w:color w:val="000000"/>
                <w:lang w:eastAsia="en-AU"/>
              </w:rPr>
            </w:pPr>
            <w:r>
              <w:rPr>
                <w:bCs/>
                <w:color w:val="000000"/>
                <w:lang w:eastAsia="en-AU"/>
              </w:rPr>
              <w:t> </w:t>
            </w:r>
          </w:p>
        </w:tc>
        <w:tc>
          <w:tcPr>
            <w:tcW w:w="1815" w:type="dxa"/>
            <w:gridSpan w:val="2"/>
            <w:noWrap/>
            <w:hideMark/>
          </w:tcPr>
          <w:p w:rsidR="007F0D5E" w:rsidRDefault="007F0D5E" w:rsidP="00B76674">
            <w:pPr>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color w:val="000000"/>
                <w:lang w:eastAsia="en-AU"/>
              </w:rPr>
            </w:pPr>
            <w:r>
              <w:rPr>
                <w:bCs/>
                <w:color w:val="000000"/>
                <w:lang w:eastAsia="en-AU"/>
              </w:rPr>
              <w:t> </w:t>
            </w:r>
          </w:p>
        </w:tc>
        <w:tc>
          <w:tcPr>
            <w:tcW w:w="1272" w:type="dxa"/>
            <w:noWrap/>
            <w:hideMark/>
          </w:tcPr>
          <w:p w:rsidR="007F0D5E" w:rsidRDefault="007F0D5E" w:rsidP="00B76674">
            <w:pPr>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2013–14</w:t>
            </w:r>
          </w:p>
        </w:tc>
        <w:tc>
          <w:tcPr>
            <w:tcW w:w="1258" w:type="dxa"/>
            <w:noWrap/>
            <w:hideMark/>
          </w:tcPr>
          <w:p w:rsidR="007F0D5E" w:rsidRDefault="007F0D5E" w:rsidP="00B76674">
            <w:pPr>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2014–15</w:t>
            </w:r>
          </w:p>
        </w:tc>
        <w:tc>
          <w:tcPr>
            <w:tcW w:w="1398" w:type="dxa"/>
            <w:noWrap/>
            <w:hideMark/>
          </w:tcPr>
          <w:p w:rsidR="007F0D5E" w:rsidRDefault="007F0D5E" w:rsidP="00B76674">
            <w:pPr>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Change (%)</w:t>
            </w:r>
          </w:p>
        </w:tc>
        <w:tc>
          <w:tcPr>
            <w:tcW w:w="1397" w:type="dxa"/>
            <w:hideMark/>
          </w:tcPr>
          <w:p w:rsidR="007F0D5E" w:rsidRDefault="00176B2D" w:rsidP="00176B2D">
            <w:pPr>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Difference</w:t>
            </w:r>
            <w:r w:rsidR="007F0D5E">
              <w:rPr>
                <w:bCs/>
                <w:lang w:eastAsia="en-AU"/>
              </w:rPr>
              <w:t xml:space="preserve"> from proposed 2014–15 </w:t>
            </w:r>
            <w:r w:rsidR="007F0D5E">
              <w:rPr>
                <w:lang w:eastAsia="en-AU"/>
              </w:rPr>
              <w:t>(%)</w:t>
            </w:r>
          </w:p>
        </w:tc>
      </w:tr>
      <w:tr w:rsidR="007F0D5E" w:rsidTr="00B76674">
        <w:trPr>
          <w:trHeight w:val="202"/>
        </w:trPr>
        <w:tc>
          <w:tcPr>
            <w:cnfStyle w:val="001000000000" w:firstRow="0" w:lastRow="0" w:firstColumn="1" w:lastColumn="0" w:oddVBand="0" w:evenVBand="0" w:oddHBand="0" w:evenHBand="0" w:firstRowFirstColumn="0" w:firstRowLastColumn="0" w:lastRowFirstColumn="0" w:lastRowLastColumn="0"/>
            <w:tcW w:w="9206" w:type="dxa"/>
            <w:gridSpan w:val="7"/>
            <w:noWrap/>
            <w:hideMark/>
          </w:tcPr>
          <w:p w:rsidR="007F0D5E" w:rsidRDefault="007F0D5E" w:rsidP="00B76674">
            <w:pPr>
              <w:rPr>
                <w:rFonts w:ascii="Times New Roman" w:eastAsia="MS PGothic" w:hAnsi="Times New Roman"/>
                <w:color w:val="000000"/>
                <w:lang w:eastAsia="en-AU"/>
              </w:rPr>
            </w:pPr>
            <w:r>
              <w:rPr>
                <w:b/>
                <w:bCs/>
                <w:color w:val="000000"/>
                <w:lang w:eastAsia="en-AU"/>
              </w:rPr>
              <w:t>Proposed revenue and price path</w:t>
            </w:r>
          </w:p>
        </w:tc>
      </w:tr>
      <w:tr w:rsidR="007F0D5E" w:rsidTr="00B76674">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881" w:type="dxa"/>
            <w:gridSpan w:val="3"/>
            <w:noWrap/>
            <w:hideMark/>
          </w:tcPr>
          <w:p w:rsidR="007F0D5E" w:rsidRDefault="007F0D5E" w:rsidP="00B76674">
            <w:pPr>
              <w:rPr>
                <w:rFonts w:eastAsia="MS PGothic" w:hint="eastAsia"/>
                <w:color w:val="000000"/>
                <w:lang w:eastAsia="en-AU"/>
              </w:rPr>
            </w:pPr>
            <w:r>
              <w:rPr>
                <w:color w:val="000000"/>
                <w:lang w:eastAsia="en-AU"/>
              </w:rPr>
              <w:t>Revenue ($million, nominal)</w:t>
            </w:r>
          </w:p>
        </w:tc>
        <w:tc>
          <w:tcPr>
            <w:tcW w:w="1272" w:type="dxa"/>
            <w:noWrap/>
            <w:hideMark/>
          </w:tcPr>
          <w:p w:rsidR="007F0D5E" w:rsidRPr="007F0D5E" w:rsidRDefault="007F0D5E" w:rsidP="00B76674">
            <w:pPr>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vertAlign w:val="superscript"/>
                <w:lang w:eastAsia="en-AU"/>
              </w:rPr>
            </w:pPr>
            <w:r>
              <w:rPr>
                <w:color w:val="000000"/>
                <w:lang w:eastAsia="en-AU"/>
              </w:rPr>
              <w:t>221.5</w:t>
            </w:r>
            <w:r>
              <w:rPr>
                <w:color w:val="000000"/>
                <w:vertAlign w:val="superscript"/>
                <w:lang w:eastAsia="en-AU"/>
              </w:rPr>
              <w:t>(a)</w:t>
            </w:r>
          </w:p>
        </w:tc>
        <w:tc>
          <w:tcPr>
            <w:tcW w:w="1258" w:type="dxa"/>
            <w:noWrap/>
            <w:hideMark/>
          </w:tcPr>
          <w:p w:rsidR="007F0D5E" w:rsidRDefault="007F0D5E" w:rsidP="00B76674">
            <w:pPr>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215.5</w:t>
            </w:r>
          </w:p>
        </w:tc>
        <w:tc>
          <w:tcPr>
            <w:tcW w:w="1398" w:type="dxa"/>
            <w:noWrap/>
            <w:hideMark/>
          </w:tcPr>
          <w:p w:rsidR="007F0D5E" w:rsidRDefault="007F0D5E" w:rsidP="00B76674">
            <w:pPr>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–2.7%</w:t>
            </w:r>
          </w:p>
        </w:tc>
        <w:tc>
          <w:tcPr>
            <w:tcW w:w="1397" w:type="dxa"/>
            <w:noWrap/>
            <w:hideMark/>
          </w:tcPr>
          <w:p w:rsidR="007F0D5E" w:rsidRDefault="007F0D5E" w:rsidP="00B76674">
            <w:pPr>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n/a</w:t>
            </w:r>
          </w:p>
        </w:tc>
      </w:tr>
      <w:tr w:rsidR="007F0D5E" w:rsidTr="00B76674">
        <w:trPr>
          <w:trHeight w:val="202"/>
        </w:trPr>
        <w:tc>
          <w:tcPr>
            <w:cnfStyle w:val="001000000000" w:firstRow="0" w:lastRow="0" w:firstColumn="1" w:lastColumn="0" w:oddVBand="0" w:evenVBand="0" w:oddHBand="0" w:evenHBand="0" w:firstRowFirstColumn="0" w:firstRowLastColumn="0" w:lastRowFirstColumn="0" w:lastRowLastColumn="0"/>
            <w:tcW w:w="3881" w:type="dxa"/>
            <w:gridSpan w:val="3"/>
            <w:noWrap/>
            <w:hideMark/>
          </w:tcPr>
          <w:p w:rsidR="007F0D5E" w:rsidRDefault="007F0D5E" w:rsidP="00882540">
            <w:pPr>
              <w:rPr>
                <w:rFonts w:eastAsia="MS PGothic" w:hint="eastAsia"/>
                <w:color w:val="000000"/>
                <w:lang w:eastAsia="en-AU"/>
              </w:rPr>
            </w:pPr>
            <w:r>
              <w:rPr>
                <w:color w:val="000000"/>
                <w:lang w:eastAsia="en-AU"/>
              </w:rPr>
              <w:t xml:space="preserve">Price path </w:t>
            </w:r>
            <w:r w:rsidRPr="00814805">
              <w:rPr>
                <w:color w:val="000000"/>
                <w:lang w:eastAsia="en-AU"/>
              </w:rPr>
              <w:t>($/</w:t>
            </w:r>
            <w:proofErr w:type="spellStart"/>
            <w:r w:rsidRPr="00814805">
              <w:rPr>
                <w:color w:val="000000"/>
                <w:lang w:eastAsia="en-AU"/>
              </w:rPr>
              <w:t>MWh</w:t>
            </w:r>
            <w:proofErr w:type="spellEnd"/>
            <w:r w:rsidRPr="00814805">
              <w:rPr>
                <w:color w:val="000000"/>
                <w:lang w:eastAsia="en-AU"/>
              </w:rPr>
              <w:t>, nominal)</w:t>
            </w:r>
          </w:p>
        </w:tc>
        <w:tc>
          <w:tcPr>
            <w:tcW w:w="1272" w:type="dxa"/>
            <w:noWrap/>
            <w:hideMark/>
          </w:tcPr>
          <w:p w:rsidR="007F0D5E" w:rsidRDefault="007F0D5E" w:rsidP="00B76674">
            <w:pPr>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rFonts w:eastAsia="MS PGothic"/>
                <w:color w:val="000000"/>
                <w:lang w:eastAsia="en-AU"/>
              </w:rPr>
              <w:t>21.5</w:t>
            </w:r>
          </w:p>
        </w:tc>
        <w:tc>
          <w:tcPr>
            <w:tcW w:w="1258" w:type="dxa"/>
            <w:noWrap/>
            <w:hideMark/>
          </w:tcPr>
          <w:p w:rsidR="007F0D5E" w:rsidRDefault="007F0D5E" w:rsidP="00B76674">
            <w:pPr>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color w:val="000000"/>
                <w:lang w:eastAsia="en-AU"/>
              </w:rPr>
              <w:t>21.1</w:t>
            </w:r>
          </w:p>
        </w:tc>
        <w:tc>
          <w:tcPr>
            <w:tcW w:w="1398" w:type="dxa"/>
            <w:noWrap/>
            <w:hideMark/>
          </w:tcPr>
          <w:p w:rsidR="007F0D5E" w:rsidRDefault="007F0D5E" w:rsidP="00B76674">
            <w:pPr>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color w:val="000000"/>
                <w:lang w:eastAsia="en-AU"/>
              </w:rPr>
              <w:t>–1.7%</w:t>
            </w:r>
          </w:p>
        </w:tc>
        <w:tc>
          <w:tcPr>
            <w:tcW w:w="1397" w:type="dxa"/>
            <w:noWrap/>
            <w:hideMark/>
          </w:tcPr>
          <w:p w:rsidR="007F0D5E" w:rsidRDefault="007F0D5E" w:rsidP="00B76674">
            <w:pPr>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color w:val="000000"/>
                <w:lang w:eastAsia="en-AU"/>
              </w:rPr>
              <w:t>n/a</w:t>
            </w:r>
          </w:p>
        </w:tc>
      </w:tr>
      <w:tr w:rsidR="007F0D5E" w:rsidTr="00B76674">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9206" w:type="dxa"/>
            <w:gridSpan w:val="7"/>
            <w:noWrap/>
            <w:hideMark/>
          </w:tcPr>
          <w:p w:rsidR="007F0D5E" w:rsidRDefault="007F0D5E" w:rsidP="00B76674">
            <w:pPr>
              <w:rPr>
                <w:rFonts w:ascii="Times New Roman" w:eastAsia="MS PGothic" w:hAnsi="Times New Roman"/>
                <w:color w:val="000000"/>
                <w:lang w:eastAsia="en-AU"/>
              </w:rPr>
            </w:pPr>
            <w:r>
              <w:rPr>
                <w:b/>
                <w:bCs/>
                <w:color w:val="000000"/>
                <w:lang w:eastAsia="en-AU"/>
              </w:rPr>
              <w:t>AER substitute revenue and price path</w:t>
            </w:r>
          </w:p>
        </w:tc>
      </w:tr>
      <w:tr w:rsidR="007F0D5E" w:rsidTr="00B76674">
        <w:trPr>
          <w:trHeight w:val="202"/>
        </w:trPr>
        <w:tc>
          <w:tcPr>
            <w:cnfStyle w:val="001000000000" w:firstRow="0" w:lastRow="0" w:firstColumn="1" w:lastColumn="0" w:oddVBand="0" w:evenVBand="0" w:oddHBand="0" w:evenHBand="0" w:firstRowFirstColumn="0" w:firstRowLastColumn="0" w:lastRowFirstColumn="0" w:lastRowLastColumn="0"/>
            <w:tcW w:w="2258" w:type="dxa"/>
            <w:gridSpan w:val="2"/>
            <w:noWrap/>
          </w:tcPr>
          <w:p w:rsidR="007F0D5E" w:rsidRDefault="007F0D5E" w:rsidP="00B76674">
            <w:pPr>
              <w:pStyle w:val="AERtabletextleft"/>
              <w:rPr>
                <w:rFonts w:eastAsia="MS PGothic" w:hint="eastAsia"/>
                <w:lang w:eastAsia="en-AU"/>
              </w:rPr>
            </w:pPr>
            <w:r>
              <w:rPr>
                <w:lang w:eastAsia="en-AU"/>
              </w:rPr>
              <w:t>Revenue ($million, nominal)</w:t>
            </w:r>
          </w:p>
        </w:tc>
        <w:tc>
          <w:tcPr>
            <w:tcW w:w="1623" w:type="dxa"/>
            <w:noWrap/>
          </w:tcPr>
          <w:p w:rsidR="007F0D5E" w:rsidRDefault="007F0D5E" w:rsidP="00B76674">
            <w:pPr>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p>
        </w:tc>
        <w:tc>
          <w:tcPr>
            <w:tcW w:w="1272" w:type="dxa"/>
            <w:noWrap/>
            <w:hideMark/>
          </w:tcPr>
          <w:p w:rsidR="007F0D5E" w:rsidRPr="007F0D5E" w:rsidRDefault="007F0D5E" w:rsidP="00B76674">
            <w:pPr>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vertAlign w:val="superscript"/>
                <w:lang w:eastAsia="en-AU"/>
              </w:rPr>
            </w:pPr>
            <w:r>
              <w:rPr>
                <w:color w:val="000000"/>
                <w:lang w:eastAsia="en-AU"/>
              </w:rPr>
              <w:t>221.5</w:t>
            </w:r>
            <w:r>
              <w:rPr>
                <w:color w:val="000000"/>
                <w:vertAlign w:val="superscript"/>
                <w:lang w:eastAsia="en-AU"/>
              </w:rPr>
              <w:t>(a)</w:t>
            </w:r>
          </w:p>
        </w:tc>
        <w:tc>
          <w:tcPr>
            <w:tcW w:w="1258" w:type="dxa"/>
            <w:noWrap/>
          </w:tcPr>
          <w:p w:rsidR="007F0D5E" w:rsidRDefault="007F0D5E" w:rsidP="00B76674">
            <w:pPr>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rFonts w:eastAsia="MS PGothic"/>
                <w:color w:val="000000"/>
                <w:lang w:eastAsia="en-AU"/>
              </w:rPr>
              <w:t>205.1</w:t>
            </w:r>
          </w:p>
        </w:tc>
        <w:tc>
          <w:tcPr>
            <w:tcW w:w="1398" w:type="dxa"/>
            <w:noWrap/>
          </w:tcPr>
          <w:p w:rsidR="007F0D5E" w:rsidRDefault="007F0D5E" w:rsidP="00B76674">
            <w:pPr>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rFonts w:eastAsia="MS PGothic"/>
                <w:color w:val="000000"/>
                <w:lang w:eastAsia="en-AU"/>
              </w:rPr>
              <w:t>–7.4%</w:t>
            </w:r>
          </w:p>
        </w:tc>
        <w:tc>
          <w:tcPr>
            <w:tcW w:w="1397" w:type="dxa"/>
            <w:noWrap/>
          </w:tcPr>
          <w:p w:rsidR="007F0D5E" w:rsidRDefault="00176B2D" w:rsidP="00B76674">
            <w:pPr>
              <w:pStyle w:val="AERtabletextleft"/>
              <w:cnfStyle w:val="000000000000" w:firstRow="0" w:lastRow="0" w:firstColumn="0" w:lastColumn="0" w:oddVBand="0" w:evenVBand="0" w:oddHBand="0" w:evenHBand="0" w:firstRowFirstColumn="0" w:firstRowLastColumn="0" w:lastRowFirstColumn="0" w:lastRowLastColumn="0"/>
              <w:rPr>
                <w:rFonts w:eastAsia="MS PGothic" w:hint="eastAsia"/>
                <w:lang w:eastAsia="en-AU"/>
              </w:rPr>
            </w:pPr>
            <w:r>
              <w:rPr>
                <w:rFonts w:eastAsia="MS PGothic"/>
                <w:lang w:eastAsia="en-AU"/>
              </w:rPr>
              <w:t>–</w:t>
            </w:r>
            <w:r w:rsidR="007F0D5E">
              <w:rPr>
                <w:rFonts w:eastAsia="MS PGothic"/>
                <w:lang w:eastAsia="en-AU"/>
              </w:rPr>
              <w:t>4.8%</w:t>
            </w:r>
          </w:p>
        </w:tc>
      </w:tr>
      <w:tr w:rsidR="007F0D5E" w:rsidTr="00B76674">
        <w:trPr>
          <w:cnfStyle w:val="000000010000" w:firstRow="0" w:lastRow="0" w:firstColumn="0" w:lastColumn="0" w:oddVBand="0" w:evenVBand="0" w:oddHBand="0" w:evenHBand="1"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881" w:type="dxa"/>
            <w:gridSpan w:val="3"/>
            <w:noWrap/>
          </w:tcPr>
          <w:p w:rsidR="007F0D5E" w:rsidRDefault="007F0D5E" w:rsidP="00882540">
            <w:pPr>
              <w:rPr>
                <w:rFonts w:eastAsia="MS PGothic" w:hint="eastAsia"/>
                <w:color w:val="000000"/>
                <w:lang w:eastAsia="en-AU"/>
              </w:rPr>
            </w:pPr>
            <w:r>
              <w:rPr>
                <w:color w:val="000000"/>
                <w:lang w:eastAsia="en-AU"/>
              </w:rPr>
              <w:t xml:space="preserve">Price path </w:t>
            </w:r>
            <w:r w:rsidRPr="00814805">
              <w:rPr>
                <w:color w:val="000000"/>
                <w:lang w:eastAsia="en-AU"/>
              </w:rPr>
              <w:t>($/</w:t>
            </w:r>
            <w:proofErr w:type="spellStart"/>
            <w:r w:rsidRPr="00814805">
              <w:rPr>
                <w:color w:val="000000"/>
                <w:lang w:eastAsia="en-AU"/>
              </w:rPr>
              <w:t>MWh</w:t>
            </w:r>
            <w:proofErr w:type="spellEnd"/>
            <w:r w:rsidRPr="00814805">
              <w:rPr>
                <w:color w:val="000000"/>
                <w:lang w:eastAsia="en-AU"/>
              </w:rPr>
              <w:t>, nominal)</w:t>
            </w:r>
          </w:p>
        </w:tc>
        <w:tc>
          <w:tcPr>
            <w:tcW w:w="1272" w:type="dxa"/>
            <w:noWrap/>
            <w:hideMark/>
          </w:tcPr>
          <w:p w:rsidR="007F0D5E" w:rsidRDefault="007F0D5E" w:rsidP="00B76674">
            <w:pPr>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21.5</w:t>
            </w:r>
          </w:p>
        </w:tc>
        <w:tc>
          <w:tcPr>
            <w:tcW w:w="1258" w:type="dxa"/>
            <w:noWrap/>
          </w:tcPr>
          <w:p w:rsidR="007F0D5E" w:rsidRDefault="007F0D5E" w:rsidP="00B76674">
            <w:pPr>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rFonts w:eastAsia="MS PGothic"/>
                <w:color w:val="000000"/>
                <w:lang w:eastAsia="en-AU"/>
              </w:rPr>
              <w:t>20.1</w:t>
            </w:r>
          </w:p>
        </w:tc>
        <w:tc>
          <w:tcPr>
            <w:tcW w:w="1398" w:type="dxa"/>
            <w:noWrap/>
          </w:tcPr>
          <w:p w:rsidR="007F0D5E" w:rsidRDefault="007F0D5E" w:rsidP="00B76674">
            <w:pPr>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rFonts w:eastAsia="MS PGothic"/>
                <w:color w:val="000000"/>
                <w:lang w:eastAsia="en-AU"/>
              </w:rPr>
              <w:t>–6.4%</w:t>
            </w:r>
          </w:p>
        </w:tc>
        <w:tc>
          <w:tcPr>
            <w:tcW w:w="1397" w:type="dxa"/>
            <w:noWrap/>
          </w:tcPr>
          <w:p w:rsidR="007F0D5E" w:rsidRDefault="00176B2D" w:rsidP="00B76674">
            <w:pPr>
              <w:pStyle w:val="AERtabletextleft"/>
              <w:cnfStyle w:val="000000010000" w:firstRow="0" w:lastRow="0" w:firstColumn="0" w:lastColumn="0" w:oddVBand="0" w:evenVBand="0" w:oddHBand="0" w:evenHBand="1" w:firstRowFirstColumn="0" w:firstRowLastColumn="0" w:lastRowFirstColumn="0" w:lastRowLastColumn="0"/>
              <w:rPr>
                <w:rFonts w:eastAsia="MS PGothic" w:hint="eastAsia"/>
                <w:lang w:eastAsia="en-AU"/>
              </w:rPr>
            </w:pPr>
            <w:r>
              <w:rPr>
                <w:rFonts w:eastAsia="MS PGothic"/>
                <w:lang w:eastAsia="en-AU"/>
              </w:rPr>
              <w:t>–</w:t>
            </w:r>
            <w:r w:rsidR="007F0D5E">
              <w:rPr>
                <w:rFonts w:eastAsia="MS PGothic"/>
                <w:lang w:eastAsia="en-AU"/>
              </w:rPr>
              <w:t>4.8%</w:t>
            </w:r>
          </w:p>
        </w:tc>
      </w:tr>
    </w:tbl>
    <w:p w:rsidR="007F0D5E" w:rsidRDefault="007F0D5E" w:rsidP="007F0D5E">
      <w:pPr>
        <w:pStyle w:val="AERtablesource"/>
      </w:pPr>
      <w:r>
        <w:t>(a)</w:t>
      </w:r>
      <w:r w:rsidRPr="007E193E">
        <w:tab/>
      </w:r>
      <w:r>
        <w:t xml:space="preserve">The 2013–14 revenue reflects </w:t>
      </w:r>
      <w:proofErr w:type="spellStart"/>
      <w:r>
        <w:t>Transend’s</w:t>
      </w:r>
      <w:proofErr w:type="spellEnd"/>
      <w:r>
        <w:t xml:space="preserve"> estimated revenue of $222 million. </w:t>
      </w:r>
      <w:proofErr w:type="spellStart"/>
      <w:r>
        <w:t>Transend’s</w:t>
      </w:r>
      <w:proofErr w:type="spellEnd"/>
      <w:r>
        <w:t xml:space="preserve"> </w:t>
      </w:r>
      <w:r w:rsidRPr="00BC28CE">
        <w:t xml:space="preserve">allowed revenue for </w:t>
      </w:r>
      <w:r w:rsidR="00EA7528">
        <w:br/>
      </w:r>
      <w:r>
        <w:t>2013–14 is $248</w:t>
      </w:r>
      <w:r w:rsidRPr="00BC28CE">
        <w:t xml:space="preserve"> million. </w:t>
      </w:r>
    </w:p>
    <w:p w:rsidR="007F0D5E" w:rsidRDefault="007F0D5E" w:rsidP="007F0D5E">
      <w:pPr>
        <w:pStyle w:val="AERbodytext"/>
        <w:numPr>
          <w:ilvl w:val="0"/>
          <w:numId w:val="0"/>
        </w:numPr>
      </w:pPr>
    </w:p>
    <w:p w:rsidR="007F0D5E" w:rsidRPr="007F0D5E" w:rsidRDefault="007F0D5E" w:rsidP="007F0D5E">
      <w:pPr>
        <w:pStyle w:val="AERbodytext"/>
        <w:numPr>
          <w:ilvl w:val="0"/>
          <w:numId w:val="0"/>
        </w:numPr>
      </w:pPr>
    </w:p>
    <w:p w:rsidR="00A42D4E" w:rsidRDefault="00D72E7B" w:rsidP="006D37A4">
      <w:pPr>
        <w:pStyle w:val="Heading1"/>
      </w:pPr>
      <w:bookmarkStart w:id="6" w:name="_Toc383527653"/>
      <w:r>
        <w:lastRenderedPageBreak/>
        <w:t>About this review</w:t>
      </w:r>
      <w:bookmarkEnd w:id="6"/>
    </w:p>
    <w:p w:rsidR="00C25B65" w:rsidRDefault="00C25B65" w:rsidP="0009426E">
      <w:pPr>
        <w:pStyle w:val="AERbodytext"/>
      </w:pPr>
      <w:r>
        <w:t xml:space="preserve">This chapter provides an overview of </w:t>
      </w:r>
      <w:r w:rsidR="0059768B">
        <w:t xml:space="preserve">TransGrid and Transend </w:t>
      </w:r>
      <w:r>
        <w:t xml:space="preserve">and an outline of the AER’s </w:t>
      </w:r>
      <w:r w:rsidR="00EE65D5">
        <w:t>review process for</w:t>
      </w:r>
      <w:r>
        <w:t xml:space="preserve"> making a transitional determination for the transitional year.</w:t>
      </w:r>
    </w:p>
    <w:p w:rsidR="00A42D4E" w:rsidRDefault="00D72E7B" w:rsidP="001224CC">
      <w:pPr>
        <w:pStyle w:val="Heading2"/>
      </w:pPr>
      <w:bookmarkStart w:id="7" w:name="_Toc374450115"/>
      <w:bookmarkStart w:id="8" w:name="_Toc374450366"/>
      <w:bookmarkStart w:id="9" w:name="_Toc374450487"/>
      <w:bookmarkStart w:id="10" w:name="_Toc374451127"/>
      <w:bookmarkStart w:id="11" w:name="_Toc383527654"/>
      <w:r>
        <w:t>Overview</w:t>
      </w:r>
      <w:bookmarkEnd w:id="7"/>
      <w:bookmarkEnd w:id="8"/>
      <w:bookmarkEnd w:id="9"/>
      <w:bookmarkEnd w:id="10"/>
      <w:bookmarkEnd w:id="11"/>
    </w:p>
    <w:p w:rsidR="0080423A" w:rsidRDefault="0068391E" w:rsidP="000D42D2">
      <w:pPr>
        <w:pStyle w:val="AERbodytext"/>
        <w:numPr>
          <w:ilvl w:val="0"/>
          <w:numId w:val="0"/>
        </w:numPr>
      </w:pPr>
      <w:r>
        <w:t>TransGrid (NSW</w:t>
      </w:r>
      <w:r w:rsidR="00EE65D5">
        <w:t>/ACT</w:t>
      </w:r>
      <w:r>
        <w:t xml:space="preserve"> TNSP) and Transend (Tas</w:t>
      </w:r>
      <w:r w:rsidR="00EE65D5">
        <w:t>manian</w:t>
      </w:r>
      <w:r>
        <w:t xml:space="preserve"> TNSP)</w:t>
      </w:r>
      <w:r w:rsidR="00FF5DC5">
        <w:t xml:space="preserve"> are</w:t>
      </w:r>
      <w:r w:rsidR="00BE0B9C">
        <w:t xml:space="preserve"> subject to a transitional determination</w:t>
      </w:r>
      <w:r w:rsidR="00FF5DC5">
        <w:t xml:space="preserve"> and therefore submitted transitional re</w:t>
      </w:r>
      <w:r w:rsidR="00EE65D5">
        <w:t>venue</w:t>
      </w:r>
      <w:r w:rsidR="00FF5DC5">
        <w:t xml:space="preserve"> proposals to the AER</w:t>
      </w:r>
      <w:r w:rsidR="00BE0B9C">
        <w:t>.</w:t>
      </w:r>
      <w:r w:rsidR="00FF5DC5">
        <w:t xml:space="preserve"> </w:t>
      </w:r>
    </w:p>
    <w:p w:rsidR="0080423A" w:rsidRDefault="0080423A" w:rsidP="007B4470">
      <w:pPr>
        <w:pStyle w:val="HeadingBoldBlue"/>
      </w:pPr>
      <w:r>
        <w:t>TransGrid</w:t>
      </w:r>
    </w:p>
    <w:p w:rsidR="0080423A" w:rsidRDefault="0080423A" w:rsidP="00C7055A">
      <w:pPr>
        <w:pStyle w:val="AERbodytext"/>
      </w:pPr>
      <w:r>
        <w:t>TransGrid is a NSW government owned corporation that owns, operates and manages the electricity transmission network</w:t>
      </w:r>
      <w:r w:rsidR="00C7055A">
        <w:t xml:space="preserve"> </w:t>
      </w:r>
      <w:r w:rsidR="00C7055A" w:rsidRPr="00C7055A">
        <w:t>in New South Wales and the Australian Capital Territory</w:t>
      </w:r>
      <w:r>
        <w:t xml:space="preserve">. </w:t>
      </w:r>
      <w:proofErr w:type="spellStart"/>
      <w:r>
        <w:t>TransGrid’s</w:t>
      </w:r>
      <w:proofErr w:type="spellEnd"/>
      <w:r>
        <w:t xml:space="preserve"> network stretches along the east coast of Australia from Queensland to Victoria, then inland to Broken Hill, making it the backbone of the NEM. It connects major generation sources in the Central Coast, Hunter Valley, Lithgow area and Snowy Mountains, and is interconnected with the Victorian and Queensland networks. </w:t>
      </w:r>
      <w:proofErr w:type="spellStart"/>
      <w:r>
        <w:t>TransGrid’s</w:t>
      </w:r>
      <w:proofErr w:type="spellEnd"/>
      <w:r>
        <w:t xml:space="preserve"> network also connects to </w:t>
      </w:r>
      <w:r w:rsidR="008A53A2">
        <w:t xml:space="preserve">four </w:t>
      </w:r>
      <w:r>
        <w:t>distribution businesses (in NSW and ACT).</w:t>
      </w:r>
      <w:r w:rsidDel="0068391E">
        <w:t xml:space="preserve"> </w:t>
      </w:r>
      <w:r w:rsidR="00DC6D5F">
        <w:t xml:space="preserve">TransGrid operates </w:t>
      </w:r>
      <w:r w:rsidR="00414E3D">
        <w:t xml:space="preserve">more than </w:t>
      </w:r>
      <w:r w:rsidR="00DC6D5F">
        <w:t>12,6</w:t>
      </w:r>
      <w:r w:rsidR="00414E3D">
        <w:t>00</w:t>
      </w:r>
      <w:r>
        <w:t xml:space="preserve"> circuit kilometres of transmission lines and cables, </w:t>
      </w:r>
      <w:r w:rsidR="00DC6D5F" w:rsidRPr="00DC6D5F">
        <w:t>along with 91 substations</w:t>
      </w:r>
      <w:r>
        <w:t>, with nominal voltages of 500 kV, 330 kV, 220 kV and 132 kV.</w:t>
      </w:r>
      <w:r w:rsidR="0056588C">
        <w:rPr>
          <w:rStyle w:val="FootnoteReference"/>
        </w:rPr>
        <w:footnoteReference w:id="14"/>
      </w:r>
      <w:r>
        <w:t xml:space="preserve"> </w:t>
      </w:r>
    </w:p>
    <w:p w:rsidR="0080423A" w:rsidRDefault="0080423A" w:rsidP="007B4470">
      <w:pPr>
        <w:pStyle w:val="HeadingBoldBlue"/>
      </w:pPr>
      <w:r>
        <w:t>Transend</w:t>
      </w:r>
    </w:p>
    <w:p w:rsidR="00DC6D5F" w:rsidRPr="00DC6D5F" w:rsidRDefault="0022587C" w:rsidP="0022587C">
      <w:pPr>
        <w:pStyle w:val="AERbodytext"/>
      </w:pPr>
      <w:r w:rsidRPr="0022587C">
        <w:t xml:space="preserve">Transend is the transmission network service provider in the Tasmanian region of the national electricity market (NEM). Transend owns, operates, maintains and manages Tasmania’s high-voltage 220 kV and 110 kV transmission network and lower-voltage 44, 33, 22, 11 and 6.6 kV connection assets that together form the transmission system. </w:t>
      </w:r>
      <w:r w:rsidR="0092451F">
        <w:t>It owns 48</w:t>
      </w:r>
      <w:r w:rsidR="00AE5CE6" w:rsidRPr="00AE5CE6">
        <w:t xml:space="preserve"> substations and eight switching stations </w:t>
      </w:r>
      <w:r w:rsidR="0092451F">
        <w:t xml:space="preserve">and </w:t>
      </w:r>
      <w:r w:rsidR="0092451F" w:rsidRPr="0092451F">
        <w:t>3</w:t>
      </w:r>
      <w:r>
        <w:t>,</w:t>
      </w:r>
      <w:r w:rsidR="0092451F" w:rsidRPr="0092451F">
        <w:t>6</w:t>
      </w:r>
      <w:r>
        <w:t>00</w:t>
      </w:r>
      <w:r w:rsidR="0092451F" w:rsidRPr="0092451F">
        <w:t xml:space="preserve"> circuit kilometres of transmission lines</w:t>
      </w:r>
      <w:r w:rsidR="00AE5CE6" w:rsidRPr="00AE5CE6">
        <w:t>.</w:t>
      </w:r>
      <w:r w:rsidR="00E42D6F">
        <w:rPr>
          <w:rStyle w:val="FootnoteReference"/>
        </w:rPr>
        <w:footnoteReference w:id="15"/>
      </w:r>
      <w:r w:rsidR="00AE5CE6" w:rsidRPr="00AE5CE6">
        <w:t xml:space="preserve"> </w:t>
      </w:r>
    </w:p>
    <w:p w:rsidR="00123399" w:rsidRDefault="00123399" w:rsidP="00123399">
      <w:pPr>
        <w:pStyle w:val="Heading2"/>
      </w:pPr>
      <w:bookmarkStart w:id="12" w:name="_Toc374450119"/>
      <w:bookmarkStart w:id="13" w:name="_Toc374450370"/>
      <w:bookmarkStart w:id="14" w:name="_Toc374450491"/>
      <w:bookmarkStart w:id="15" w:name="_Toc374451131"/>
      <w:bookmarkStart w:id="16" w:name="_Toc383527655"/>
      <w:r>
        <w:t>Review process</w:t>
      </w:r>
      <w:bookmarkEnd w:id="12"/>
      <w:bookmarkEnd w:id="13"/>
      <w:bookmarkEnd w:id="14"/>
      <w:bookmarkEnd w:id="15"/>
      <w:bookmarkEnd w:id="16"/>
    </w:p>
    <w:p w:rsidR="00123399" w:rsidRDefault="005F0D57" w:rsidP="005F0D57">
      <w:pPr>
        <w:pStyle w:val="AERbodytext"/>
      </w:pPr>
      <w:r>
        <w:t>The review process for this transitional year differs from the AER review process under a normal determination. In particular</w:t>
      </w:r>
      <w:r w:rsidR="0092785B">
        <w:t xml:space="preserve"> and as shown in table 2.1,</w:t>
      </w:r>
      <w:r>
        <w:t xml:space="preserve"> the timeframes are considerably condensed, with the review from start to finish being </w:t>
      </w:r>
      <w:r w:rsidR="0068391E" w:rsidRPr="00B02EFB">
        <w:t>two months</w:t>
      </w:r>
      <w:r>
        <w:t xml:space="preserve">. We also conducted limited stakeholder engagement, seeking submissions </w:t>
      </w:r>
      <w:r w:rsidR="00AF5163">
        <w:t xml:space="preserve">within </w:t>
      </w:r>
      <w:r>
        <w:t>20 business days</w:t>
      </w:r>
      <w:r w:rsidR="0068391E">
        <w:t>.</w:t>
      </w:r>
      <w:r>
        <w:t xml:space="preserve"> Submissions received during the review process are available on our </w:t>
      </w:r>
      <w:r w:rsidRPr="00B02EFB">
        <w:t xml:space="preserve">website. See </w:t>
      </w:r>
      <w:r w:rsidR="00EE65D5" w:rsidRPr="00B02EFB">
        <w:t>a</w:t>
      </w:r>
      <w:r w:rsidRPr="00B02EFB">
        <w:t xml:space="preserve">ppendix </w:t>
      </w:r>
      <w:r w:rsidR="00EE65D5" w:rsidRPr="00B02EFB">
        <w:t>C</w:t>
      </w:r>
      <w:r>
        <w:t xml:space="preserve"> for a full list of submissions received</w:t>
      </w:r>
      <w:r w:rsidR="0068391E">
        <w:t xml:space="preserve">. </w:t>
      </w:r>
      <w:r>
        <w:t xml:space="preserve"> </w:t>
      </w:r>
    </w:p>
    <w:p w:rsidR="005F0D57" w:rsidRDefault="005F0D57" w:rsidP="005F0D57">
      <w:pPr>
        <w:pStyle w:val="AERbodytext"/>
      </w:pPr>
      <w:r>
        <w:t xml:space="preserve">The </w:t>
      </w:r>
      <w:r w:rsidR="00917525">
        <w:t>TNSPs</w:t>
      </w:r>
      <w:r>
        <w:t xml:space="preserve"> submitted transitional re</w:t>
      </w:r>
      <w:r w:rsidR="00EE65D5">
        <w:t>venue</w:t>
      </w:r>
      <w:r>
        <w:t xml:space="preserve"> proposals to the AER on 31 January 201</w:t>
      </w:r>
      <w:r w:rsidR="0068391E">
        <w:t>4</w:t>
      </w:r>
      <w:r>
        <w:t xml:space="preserve">. </w:t>
      </w:r>
      <w:r w:rsidR="00DA2707" w:rsidRPr="00B45603">
        <w:t>In accordance with the transitional rules,</w:t>
      </w:r>
      <w:r w:rsidR="00DA2707">
        <w:t xml:space="preserve"> the </w:t>
      </w:r>
      <w:r w:rsidR="00917525">
        <w:t>TNSPs</w:t>
      </w:r>
      <w:r w:rsidR="001A439F">
        <w:t xml:space="preserve"> </w:t>
      </w:r>
      <w:r w:rsidR="00DA2707" w:rsidRPr="00B45603">
        <w:t>w</w:t>
      </w:r>
      <w:r w:rsidR="004D54CA">
        <w:t>ere</w:t>
      </w:r>
      <w:r w:rsidR="00DA2707" w:rsidRPr="00B45603">
        <w:t xml:space="preserve"> not required </w:t>
      </w:r>
      <w:r w:rsidR="001A439F">
        <w:t xml:space="preserve">in their proposals </w:t>
      </w:r>
      <w:r w:rsidR="00DA2707" w:rsidRPr="00B45603">
        <w:t xml:space="preserve">to submit the kind of information that is required for a full five year determination. Information of that kind, such as details about particular expenditure projects and demand forecasts, must be submitted as part of its proposal </w:t>
      </w:r>
      <w:r w:rsidR="00EE65D5">
        <w:t xml:space="preserve">by 31 May 2014 </w:t>
      </w:r>
      <w:r w:rsidR="00DA2707" w:rsidRPr="00B45603">
        <w:t>for the full determination for the subsequent regulatory control period.</w:t>
      </w:r>
      <w:r>
        <w:t xml:space="preserve"> A brief summary of the information contained in the proposals can be found in </w:t>
      </w:r>
      <w:r w:rsidR="00EE65D5" w:rsidRPr="00B02EFB">
        <w:t>a</w:t>
      </w:r>
      <w:r w:rsidRPr="00B02EFB">
        <w:t xml:space="preserve">ppendix </w:t>
      </w:r>
      <w:r w:rsidR="00EE65D5" w:rsidRPr="00B02EFB">
        <w:t>D</w:t>
      </w:r>
      <w:r w:rsidRPr="00B02EFB">
        <w:t>.</w:t>
      </w:r>
      <w:r>
        <w:t xml:space="preserve"> </w:t>
      </w:r>
    </w:p>
    <w:p w:rsidR="0092785B" w:rsidRDefault="0092785B">
      <w:pPr>
        <w:spacing w:after="0" w:line="240" w:lineRule="auto"/>
        <w:jc w:val="left"/>
        <w:rPr>
          <w:rFonts w:eastAsia="Times New Roman"/>
          <w:b/>
          <w:bCs/>
          <w:szCs w:val="18"/>
        </w:rPr>
      </w:pPr>
      <w:bookmarkStart w:id="17" w:name="_Ref339878574"/>
      <w:r>
        <w:br w:type="page"/>
      </w:r>
    </w:p>
    <w:p w:rsidR="00D94BDF" w:rsidRDefault="00D94BDF" w:rsidP="00D94BDF">
      <w:pPr>
        <w:pStyle w:val="Caption"/>
      </w:pPr>
      <w:proofErr w:type="gramStart"/>
      <w:r>
        <w:lastRenderedPageBreak/>
        <w:t xml:space="preserve">Table </w:t>
      </w:r>
      <w:fldSimple w:instr=" STYLEREF 1 \s ">
        <w:r w:rsidR="00B40E3D">
          <w:rPr>
            <w:noProof/>
          </w:rPr>
          <w:t>2</w:t>
        </w:r>
      </w:fldSimple>
      <w:r w:rsidR="0057113F">
        <w:t>.</w:t>
      </w:r>
      <w:proofErr w:type="gramEnd"/>
      <w:r w:rsidR="007827B4">
        <w:fldChar w:fldCharType="begin"/>
      </w:r>
      <w:r w:rsidR="007827B4">
        <w:instrText xml:space="preserve"> SEQ Table \* ARABIC \s 1 </w:instrText>
      </w:r>
      <w:r w:rsidR="007827B4">
        <w:fldChar w:fldCharType="separate"/>
      </w:r>
      <w:r w:rsidR="00B40E3D">
        <w:rPr>
          <w:noProof/>
        </w:rPr>
        <w:t>1</w:t>
      </w:r>
      <w:r w:rsidR="007827B4">
        <w:rPr>
          <w:noProof/>
        </w:rPr>
        <w:fldChar w:fldCharType="end"/>
      </w:r>
      <w:bookmarkEnd w:id="17"/>
      <w:r>
        <w:tab/>
        <w:t xml:space="preserve">Key dates in the AER's </w:t>
      </w:r>
      <w:r w:rsidR="00476D21">
        <w:t xml:space="preserve">transitional </w:t>
      </w:r>
      <w:r>
        <w:t>decision making process</w:t>
      </w:r>
    </w:p>
    <w:tbl>
      <w:tblPr>
        <w:tblStyle w:val="AERtable-text"/>
        <w:tblW w:w="0" w:type="auto"/>
        <w:tblLook w:val="04A0" w:firstRow="1" w:lastRow="0" w:firstColumn="1" w:lastColumn="0" w:noHBand="0" w:noVBand="1"/>
      </w:tblPr>
      <w:tblGrid>
        <w:gridCol w:w="5920"/>
        <w:gridCol w:w="3322"/>
      </w:tblGrid>
      <w:tr w:rsidR="00D94BDF" w:rsidTr="00D94BDF">
        <w:trPr>
          <w:cnfStyle w:val="100000000000" w:firstRow="1" w:lastRow="0" w:firstColumn="0" w:lastColumn="0" w:oddVBand="0" w:evenVBand="0" w:oddHBand="0" w:evenHBand="0" w:firstRowFirstColumn="0" w:firstRowLastColumn="0" w:lastRowFirstColumn="0" w:lastRowLastColumn="0"/>
        </w:trPr>
        <w:tc>
          <w:tcPr>
            <w:tcW w:w="5920" w:type="dxa"/>
          </w:tcPr>
          <w:p w:rsidR="00D94BDF" w:rsidRPr="00D94BDF" w:rsidRDefault="00D94BDF" w:rsidP="00476D21">
            <w:pPr>
              <w:pStyle w:val="AERbodytext"/>
              <w:numPr>
                <w:ilvl w:val="0"/>
                <w:numId w:val="6"/>
              </w:numPr>
              <w:rPr>
                <w:b w:val="0"/>
                <w:color w:val="auto"/>
                <w:sz w:val="20"/>
              </w:rPr>
            </w:pPr>
            <w:r w:rsidRPr="00D94BDF">
              <w:t>Key stages in the decision making process</w:t>
            </w:r>
          </w:p>
        </w:tc>
        <w:tc>
          <w:tcPr>
            <w:tcW w:w="3322" w:type="dxa"/>
          </w:tcPr>
          <w:p w:rsidR="00D94BDF" w:rsidRPr="00D94BDF" w:rsidRDefault="00D94BDF" w:rsidP="00476D21">
            <w:pPr>
              <w:pStyle w:val="AERbodytext"/>
              <w:numPr>
                <w:ilvl w:val="0"/>
                <w:numId w:val="6"/>
              </w:numPr>
              <w:rPr>
                <w:b w:val="0"/>
                <w:color w:val="auto"/>
                <w:sz w:val="20"/>
              </w:rPr>
            </w:pPr>
            <w:r w:rsidRPr="00D94BDF">
              <w:t>Date</w:t>
            </w:r>
          </w:p>
        </w:tc>
      </w:tr>
      <w:tr w:rsidR="00D94BDF" w:rsidTr="00D94BDF">
        <w:tc>
          <w:tcPr>
            <w:tcW w:w="5920" w:type="dxa"/>
          </w:tcPr>
          <w:p w:rsidR="00D94BDF" w:rsidRPr="002569F7" w:rsidRDefault="00D94BDF" w:rsidP="00EE65D5">
            <w:pPr>
              <w:pStyle w:val="AERtabletextleft"/>
            </w:pPr>
            <w:r>
              <w:t xml:space="preserve">Submission of </w:t>
            </w:r>
            <w:r w:rsidR="00917525" w:rsidRPr="00917525">
              <w:t>TNSP</w:t>
            </w:r>
            <w:r w:rsidR="00EE65D5">
              <w:t>’</w:t>
            </w:r>
            <w:r w:rsidR="00917525" w:rsidRPr="00917525">
              <w:t>s</w:t>
            </w:r>
            <w:r w:rsidR="00D04C24">
              <w:t xml:space="preserve"> </w:t>
            </w:r>
            <w:r w:rsidR="00151244">
              <w:t xml:space="preserve">transitional </w:t>
            </w:r>
            <w:r w:rsidR="00D241E5">
              <w:t>re</w:t>
            </w:r>
            <w:r w:rsidR="00EE65D5">
              <w:t>venue</w:t>
            </w:r>
            <w:r w:rsidR="00D241E5" w:rsidRPr="002569F7">
              <w:t xml:space="preserve"> </w:t>
            </w:r>
            <w:r w:rsidRPr="002569F7">
              <w:t>proposal to the AER</w:t>
            </w:r>
          </w:p>
        </w:tc>
        <w:tc>
          <w:tcPr>
            <w:tcW w:w="3322" w:type="dxa"/>
          </w:tcPr>
          <w:p w:rsidR="00D94BDF" w:rsidRPr="002569F7" w:rsidRDefault="00151244" w:rsidP="00151244">
            <w:pPr>
              <w:pStyle w:val="AERtabletextleft"/>
            </w:pPr>
            <w:r>
              <w:t>31</w:t>
            </w:r>
            <w:r w:rsidR="00D94BDF">
              <w:t xml:space="preserve"> </w:t>
            </w:r>
            <w:r>
              <w:t>January 2014</w:t>
            </w:r>
          </w:p>
        </w:tc>
      </w:tr>
      <w:tr w:rsidR="00D94BDF" w:rsidTr="00D94BDF">
        <w:trPr>
          <w:cnfStyle w:val="000000010000" w:firstRow="0" w:lastRow="0" w:firstColumn="0" w:lastColumn="0" w:oddVBand="0" w:evenVBand="0" w:oddHBand="0" w:evenHBand="1" w:firstRowFirstColumn="0" w:firstRowLastColumn="0" w:lastRowFirstColumn="0" w:lastRowLastColumn="0"/>
        </w:trPr>
        <w:tc>
          <w:tcPr>
            <w:tcW w:w="5920" w:type="dxa"/>
          </w:tcPr>
          <w:p w:rsidR="00D94BDF" w:rsidRPr="002569F7" w:rsidRDefault="00D94BDF" w:rsidP="00EE65D5">
            <w:pPr>
              <w:pStyle w:val="AERtabletextleft"/>
            </w:pPr>
            <w:r>
              <w:t xml:space="preserve">Publication of </w:t>
            </w:r>
            <w:r w:rsidR="00917525" w:rsidRPr="00917525">
              <w:t>TNSP</w:t>
            </w:r>
            <w:r w:rsidR="00EE65D5">
              <w:t>’</w:t>
            </w:r>
            <w:r w:rsidR="00917525" w:rsidRPr="00917525">
              <w:t xml:space="preserve">s </w:t>
            </w:r>
            <w:r w:rsidR="00D241E5">
              <w:t>transitional re</w:t>
            </w:r>
            <w:r w:rsidR="00EE65D5">
              <w:t>venue</w:t>
            </w:r>
            <w:r w:rsidRPr="00FF35EB">
              <w:t xml:space="preserve"> proposal</w:t>
            </w:r>
          </w:p>
        </w:tc>
        <w:tc>
          <w:tcPr>
            <w:tcW w:w="3322" w:type="dxa"/>
          </w:tcPr>
          <w:p w:rsidR="00D94BDF" w:rsidRPr="002569F7" w:rsidRDefault="007F32D1" w:rsidP="00151244">
            <w:pPr>
              <w:pStyle w:val="AERtabletextleft"/>
            </w:pPr>
            <w:r>
              <w:t>4</w:t>
            </w:r>
            <w:r w:rsidR="00AF4159">
              <w:t xml:space="preserve"> </w:t>
            </w:r>
            <w:r w:rsidR="00151244">
              <w:t xml:space="preserve"> February 2014</w:t>
            </w:r>
          </w:p>
        </w:tc>
      </w:tr>
      <w:tr w:rsidR="00D94BDF" w:rsidTr="00D94BDF">
        <w:tc>
          <w:tcPr>
            <w:tcW w:w="5920" w:type="dxa"/>
          </w:tcPr>
          <w:p w:rsidR="00D94BDF" w:rsidRPr="002569F7" w:rsidRDefault="00D94BDF" w:rsidP="00EE65D5">
            <w:pPr>
              <w:pStyle w:val="AERtabletextleft"/>
            </w:pPr>
            <w:r w:rsidRPr="00FF35EB">
              <w:t>Submission</w:t>
            </w:r>
            <w:r w:rsidRPr="002569F7">
              <w:t xml:space="preserve">s on </w:t>
            </w:r>
            <w:r w:rsidR="00917525" w:rsidRPr="00917525">
              <w:t>TNSP</w:t>
            </w:r>
            <w:r w:rsidR="00EE65D5">
              <w:t>’</w:t>
            </w:r>
            <w:r w:rsidR="00917525" w:rsidRPr="00917525">
              <w:t xml:space="preserve">s </w:t>
            </w:r>
            <w:r w:rsidR="00840FA1">
              <w:t>transitional re</w:t>
            </w:r>
            <w:r w:rsidR="00EE65D5">
              <w:t>venue</w:t>
            </w:r>
            <w:r w:rsidRPr="002569F7">
              <w:t xml:space="preserve"> proposal due</w:t>
            </w:r>
          </w:p>
        </w:tc>
        <w:tc>
          <w:tcPr>
            <w:tcW w:w="3322" w:type="dxa"/>
          </w:tcPr>
          <w:p w:rsidR="00D94BDF" w:rsidRPr="002569F7" w:rsidRDefault="007F32D1" w:rsidP="00151244">
            <w:pPr>
              <w:pStyle w:val="AERtabletextleft"/>
            </w:pPr>
            <w:r>
              <w:t>3</w:t>
            </w:r>
            <w:r w:rsidR="00AF4159">
              <w:t xml:space="preserve"> </w:t>
            </w:r>
            <w:r>
              <w:t>March</w:t>
            </w:r>
            <w:r w:rsidR="00151244">
              <w:t xml:space="preserve"> 2014</w:t>
            </w:r>
          </w:p>
        </w:tc>
      </w:tr>
      <w:tr w:rsidR="00D94BDF" w:rsidTr="00D94BDF">
        <w:trPr>
          <w:cnfStyle w:val="000000010000" w:firstRow="0" w:lastRow="0" w:firstColumn="0" w:lastColumn="0" w:oddVBand="0" w:evenVBand="0" w:oddHBand="0" w:evenHBand="1" w:firstRowFirstColumn="0" w:firstRowLastColumn="0" w:lastRowFirstColumn="0" w:lastRowLastColumn="0"/>
        </w:trPr>
        <w:tc>
          <w:tcPr>
            <w:tcW w:w="5920" w:type="dxa"/>
          </w:tcPr>
          <w:p w:rsidR="00D94BDF" w:rsidRPr="002569F7" w:rsidRDefault="00D94BDF" w:rsidP="00D241E5">
            <w:pPr>
              <w:pStyle w:val="AERtabletextleft"/>
            </w:pPr>
            <w:r>
              <w:t xml:space="preserve">Publication of AER </w:t>
            </w:r>
            <w:r w:rsidR="009473EA">
              <w:t>transitional</w:t>
            </w:r>
            <w:r>
              <w:t xml:space="preserve"> decision</w:t>
            </w:r>
            <w:r w:rsidRPr="002569F7">
              <w:t xml:space="preserve"> </w:t>
            </w:r>
          </w:p>
        </w:tc>
        <w:tc>
          <w:tcPr>
            <w:tcW w:w="3322" w:type="dxa"/>
          </w:tcPr>
          <w:p w:rsidR="00D94BDF" w:rsidRPr="007024B8" w:rsidRDefault="00681081" w:rsidP="00917525">
            <w:pPr>
              <w:pStyle w:val="AERtabletextleft"/>
              <w:jc w:val="both"/>
              <w:rPr>
                <w:highlight w:val="yellow"/>
              </w:rPr>
            </w:pPr>
            <w:r w:rsidRPr="00681081">
              <w:t>28</w:t>
            </w:r>
            <w:r w:rsidR="00D04C24" w:rsidRPr="00681081">
              <w:t xml:space="preserve"> </w:t>
            </w:r>
            <w:r w:rsidR="00917525" w:rsidRPr="00681081">
              <w:t>March</w:t>
            </w:r>
            <w:r w:rsidR="00D94BDF" w:rsidRPr="00681081">
              <w:t xml:space="preserve"> 201</w:t>
            </w:r>
            <w:r w:rsidR="00D04C24" w:rsidRPr="00681081">
              <w:t>4</w:t>
            </w:r>
          </w:p>
        </w:tc>
      </w:tr>
    </w:tbl>
    <w:p w:rsidR="0009294E" w:rsidRPr="0009294E" w:rsidRDefault="0025081D" w:rsidP="00C51403">
      <w:pPr>
        <w:pStyle w:val="AERbulletlistfirststyle"/>
        <w:ind w:left="357" w:hanging="357"/>
      </w:pPr>
      <w:bookmarkStart w:id="18" w:name="_Toc360024867"/>
      <w:r>
        <w:t xml:space="preserve"> </w:t>
      </w:r>
      <w:bookmarkStart w:id="19" w:name="_Toc374450122"/>
      <w:bookmarkStart w:id="20" w:name="_Toc374450373"/>
      <w:bookmarkStart w:id="21" w:name="_Toc374450494"/>
      <w:bookmarkStart w:id="22" w:name="_Toc374451134"/>
    </w:p>
    <w:p w:rsidR="00F94B44" w:rsidRDefault="00F94B44" w:rsidP="00F94B44">
      <w:pPr>
        <w:pStyle w:val="Heading3"/>
      </w:pPr>
      <w:bookmarkStart w:id="23" w:name="_Toc382573763"/>
      <w:r>
        <w:t>Protected information submitted to the AER</w:t>
      </w:r>
      <w:bookmarkEnd w:id="19"/>
      <w:bookmarkEnd w:id="20"/>
      <w:bookmarkEnd w:id="21"/>
      <w:bookmarkEnd w:id="22"/>
      <w:bookmarkEnd w:id="23"/>
    </w:p>
    <w:p w:rsidR="00F94B44" w:rsidRDefault="00F94B44" w:rsidP="00F94B44">
      <w:pPr>
        <w:pStyle w:val="AERbodytext"/>
      </w:pPr>
      <w:r>
        <w:t xml:space="preserve">We are committed to treating protected information received from </w:t>
      </w:r>
      <w:r w:rsidR="00EE65D5">
        <w:t>the TNSPs</w:t>
      </w:r>
      <w:r w:rsidR="00D241E5">
        <w:t xml:space="preserve"> </w:t>
      </w:r>
      <w:r>
        <w:t>and other stakeholders in accordance with the NEL. The NEL allows us to disclose protected information in certain circumstances.</w:t>
      </w:r>
      <w:r>
        <w:rPr>
          <w:rStyle w:val="FootnoteReference"/>
        </w:rPr>
        <w:footnoteReference w:id="16"/>
      </w:r>
      <w:r w:rsidR="00186694">
        <w:t xml:space="preserve"> </w:t>
      </w:r>
      <w:r w:rsidR="002345E7">
        <w:t xml:space="preserve">This decision contains no sensitive information. </w:t>
      </w:r>
    </w:p>
    <w:p w:rsidR="00F94B44" w:rsidRDefault="00F94B44" w:rsidP="00F94B44">
      <w:pPr>
        <w:pStyle w:val="Heading3"/>
      </w:pPr>
      <w:bookmarkStart w:id="24" w:name="_Toc374450123"/>
      <w:bookmarkStart w:id="25" w:name="_Toc374450374"/>
      <w:bookmarkStart w:id="26" w:name="_Toc374450495"/>
      <w:bookmarkStart w:id="27" w:name="_Toc374451135"/>
      <w:bookmarkStart w:id="28" w:name="_Toc382573764"/>
      <w:r>
        <w:t>Structure of this document</w:t>
      </w:r>
      <w:bookmarkEnd w:id="24"/>
      <w:bookmarkEnd w:id="25"/>
      <w:bookmarkEnd w:id="26"/>
      <w:bookmarkEnd w:id="27"/>
      <w:bookmarkEnd w:id="28"/>
    </w:p>
    <w:p w:rsidR="00F94B44" w:rsidRDefault="00F94B44" w:rsidP="00F94B44">
      <w:pPr>
        <w:pStyle w:val="AERbodytext"/>
      </w:pPr>
      <w:r w:rsidRPr="008C3ABE">
        <w:t>Th</w:t>
      </w:r>
      <w:r w:rsidR="00EE65D5">
        <w:t>e remaining part of th</w:t>
      </w:r>
      <w:r w:rsidRPr="008C3ABE">
        <w:t xml:space="preserve">is </w:t>
      </w:r>
      <w:r w:rsidR="008A209B" w:rsidRPr="008C3ABE">
        <w:t>transitional</w:t>
      </w:r>
      <w:r w:rsidR="008B1DB4" w:rsidRPr="008C3ABE">
        <w:t xml:space="preserve"> </w:t>
      </w:r>
      <w:r w:rsidR="00EE65D5">
        <w:t>determination</w:t>
      </w:r>
      <w:r w:rsidRPr="008C3ABE">
        <w:t xml:space="preserve"> is set out as follows:</w:t>
      </w:r>
    </w:p>
    <w:p w:rsidR="00B00794" w:rsidRDefault="00B00794" w:rsidP="00F94B44">
      <w:pPr>
        <w:pStyle w:val="AERbodytext"/>
      </w:pPr>
      <w:r>
        <w:t>Chapter 3: AER’s approach</w:t>
      </w:r>
    </w:p>
    <w:p w:rsidR="00B00794" w:rsidRDefault="00B00794" w:rsidP="00F94B44">
      <w:pPr>
        <w:pStyle w:val="AERbodytext"/>
      </w:pPr>
      <w:r>
        <w:t xml:space="preserve">Chapter 4: </w:t>
      </w:r>
      <w:r w:rsidR="00EE65D5">
        <w:t>R</w:t>
      </w:r>
      <w:r w:rsidR="002B6364">
        <w:t>evenue</w:t>
      </w:r>
      <w:r w:rsidR="00EE65D5">
        <w:t>s for the transitional year</w:t>
      </w:r>
    </w:p>
    <w:p w:rsidR="00B00794" w:rsidRPr="008C3ABE" w:rsidRDefault="00B00794" w:rsidP="00F94B44">
      <w:pPr>
        <w:pStyle w:val="AERbodytext"/>
      </w:pPr>
      <w:r>
        <w:t>Chapter 5:</w:t>
      </w:r>
      <w:r w:rsidR="00E11DCF">
        <w:t xml:space="preserve"> </w:t>
      </w:r>
      <w:r>
        <w:t>Other constituent decisions</w:t>
      </w:r>
      <w:r w:rsidR="00EE65D5">
        <w:t>.</w:t>
      </w:r>
    </w:p>
    <w:p w:rsidR="00AE0945" w:rsidRDefault="00AE0945" w:rsidP="00DA6833">
      <w:pPr>
        <w:pStyle w:val="Heading1"/>
      </w:pPr>
      <w:bookmarkStart w:id="29" w:name="_Ref381337206"/>
      <w:bookmarkStart w:id="30" w:name="_Ref381337221"/>
      <w:bookmarkStart w:id="31" w:name="_Toc383527656"/>
      <w:bookmarkEnd w:id="18"/>
      <w:r>
        <w:lastRenderedPageBreak/>
        <w:t>AER's approach</w:t>
      </w:r>
      <w:bookmarkEnd w:id="29"/>
      <w:bookmarkEnd w:id="30"/>
      <w:bookmarkEnd w:id="31"/>
    </w:p>
    <w:p w:rsidR="00B00794" w:rsidRPr="00B00794" w:rsidRDefault="00B00794" w:rsidP="00B00794">
      <w:pPr>
        <w:pStyle w:val="AERbodytext"/>
      </w:pPr>
      <w:r>
        <w:t xml:space="preserve">This chapter outlines the legal requirements informing the AER’s decisions and an explanation of the AER’s assessment approach. </w:t>
      </w:r>
    </w:p>
    <w:p w:rsidR="00D44499" w:rsidRDefault="00D44499" w:rsidP="007C6DB3">
      <w:pPr>
        <w:pStyle w:val="Heading2"/>
      </w:pPr>
      <w:bookmarkStart w:id="32" w:name="_Toc383527657"/>
      <w:bookmarkStart w:id="33" w:name="_Toc341686704"/>
      <w:r>
        <w:t>Assessment criteria</w:t>
      </w:r>
      <w:bookmarkEnd w:id="32"/>
    </w:p>
    <w:p w:rsidR="009C74A7" w:rsidRPr="009C74A7" w:rsidRDefault="009C74A7" w:rsidP="009C74A7">
      <w:r w:rsidRPr="009C74A7">
        <w:t>The AER must first assess whether the proposal complies with the content requirements in the transitional rules.</w:t>
      </w:r>
      <w:r w:rsidRPr="009C74A7">
        <w:rPr>
          <w:rStyle w:val="FootnoteReference"/>
        </w:rPr>
        <w:footnoteReference w:id="17"/>
      </w:r>
    </w:p>
    <w:p w:rsidR="009C74A7" w:rsidRPr="009C74A7" w:rsidRDefault="009C74A7" w:rsidP="009C74A7">
      <w:r w:rsidRPr="009C74A7">
        <w:t xml:space="preserve">The AER must then assess the substantive content of the proposal.  </w:t>
      </w:r>
    </w:p>
    <w:p w:rsidR="009C74A7" w:rsidRPr="009C74A7" w:rsidRDefault="006E3CB5" w:rsidP="009C74A7">
      <w:r>
        <w:t>Several of t</w:t>
      </w:r>
      <w:r w:rsidR="009C74A7" w:rsidRPr="009C74A7">
        <w:t>he decision</w:t>
      </w:r>
      <w:r>
        <w:t>s</w:t>
      </w:r>
      <w:r w:rsidR="009C74A7" w:rsidRPr="009C74A7">
        <w:t xml:space="preserve"> that the AER must make </w:t>
      </w:r>
      <w:r>
        <w:t>are</w:t>
      </w:r>
      <w:r w:rsidR="009C74A7" w:rsidRPr="009C74A7">
        <w:t xml:space="preserve"> fixed in the transitional rules. For example, the length of the regulatory control period and that no capital expenditure sharing scheme applies during the transitional regulatory control period are both decisions that are required to be made in the terms set out in the transitional rules and over which the AER has no discretion. In these circumstances, the AER must make the decision that is required by the transitional rules without needing to </w:t>
      </w:r>
      <w:r w:rsidR="001A439F">
        <w:t>under</w:t>
      </w:r>
      <w:r w:rsidR="009C74A7" w:rsidRPr="009C74A7">
        <w:t>take any further analysis.</w:t>
      </w:r>
    </w:p>
    <w:p w:rsidR="009C74A7" w:rsidRPr="009C74A7" w:rsidRDefault="009C74A7" w:rsidP="009C74A7">
      <w:r w:rsidRPr="009C74A7">
        <w:t>Some constituent decisions are required to take a certain form set out in the transitional rules unless they have been modified in the relevant Framework and Approach paper. This includes decisions on the application of the efficiency benefit sharing scheme</w:t>
      </w:r>
      <w:r w:rsidR="001A439F">
        <w:t xml:space="preserve"> (EBSS) and the service target performance incentive scheme (STPIS)</w:t>
      </w:r>
      <w:r w:rsidRPr="009C74A7">
        <w:t>. The AER must make a decision in this determination that reflects those requirements.</w:t>
      </w:r>
    </w:p>
    <w:p w:rsidR="009C74A7" w:rsidRPr="009C74A7" w:rsidRDefault="009C74A7" w:rsidP="009C74A7">
      <w:r w:rsidRPr="009C74A7">
        <w:t xml:space="preserve">The AER is required, however, to exercise discretion when assessing the </w:t>
      </w:r>
      <w:r w:rsidR="00EE65D5">
        <w:t xml:space="preserve">MAR </w:t>
      </w:r>
      <w:r w:rsidRPr="009C74A7">
        <w:t>proposed by the TNSP.</w:t>
      </w:r>
    </w:p>
    <w:p w:rsidR="009C74A7" w:rsidRPr="009C74A7" w:rsidRDefault="009C74A7" w:rsidP="009C74A7">
      <w:r w:rsidRPr="009C74A7">
        <w:t xml:space="preserve">The criteria applied in this assessment </w:t>
      </w:r>
      <w:r w:rsidR="00EE65D5">
        <w:t>are</w:t>
      </w:r>
      <w:r w:rsidRPr="009C74A7">
        <w:t xml:space="preserve"> different to the standard building block approach that is normally applied by us in a full determination. A complete building block assessment will occur later. By contrast, the assessment for the placeholder </w:t>
      </w:r>
      <w:r w:rsidR="00EE65D5">
        <w:t xml:space="preserve">MAR for the transitional </w:t>
      </w:r>
      <w:r w:rsidRPr="009C74A7">
        <w:t xml:space="preserve">determination is a much more limited and confined assessment both in time and scope. The AEMC explained: </w:t>
      </w:r>
    </w:p>
    <w:p w:rsidR="009C74A7" w:rsidRPr="009C74A7" w:rsidRDefault="009C74A7" w:rsidP="007C6DB3">
      <w:pPr>
        <w:pStyle w:val="AERquote"/>
      </w:pPr>
      <w:proofErr w:type="gramStart"/>
      <w:r w:rsidRPr="009C74A7">
        <w:t>…[</w:t>
      </w:r>
      <w:proofErr w:type="gramEnd"/>
      <w:r w:rsidRPr="009C74A7">
        <w:t>t]he AER [is] to apply relatively high level criteria when assessing a NSP’s proposal, rather than undertaking a detailed assessment that would usually be required [under] the rules.  Put another way, the AER is not required to justify its decision about the placeholder revenue by applying a building block model to estimate a NSP’s placeholder revenue requirements.</w:t>
      </w:r>
      <w:r w:rsidRPr="009C74A7">
        <w:rPr>
          <w:rStyle w:val="FootnoteReference"/>
        </w:rPr>
        <w:footnoteReference w:id="18"/>
      </w:r>
    </w:p>
    <w:p w:rsidR="009C74A7" w:rsidRPr="009C74A7" w:rsidRDefault="009C74A7" w:rsidP="009C74A7">
      <w:r w:rsidRPr="009C74A7">
        <w:t>We may only approve the amount proposed if we are satisfied that:</w:t>
      </w:r>
    </w:p>
    <w:p w:rsidR="009C74A7" w:rsidRPr="009C74A7" w:rsidRDefault="00EE65D5" w:rsidP="007C6DB3">
      <w:pPr>
        <w:pStyle w:val="AERquote"/>
      </w:pPr>
      <w:r>
        <w:t>…</w:t>
      </w:r>
      <w:r w:rsidR="009C74A7" w:rsidRPr="009C74A7">
        <w:t>the amount is such that recovery of it by [T</w:t>
      </w:r>
      <w:r>
        <w:t>NSP</w:t>
      </w:r>
      <w:r w:rsidR="009C74A7" w:rsidRPr="009C74A7">
        <w:t>]…is reasonably likely to minimise variations in prices between the… current regulatory control period, transitional regulatory control period and subsequent regulatory control period and between the regulatory years of the subsequent regulatory control period.</w:t>
      </w:r>
      <w:r w:rsidR="009C74A7" w:rsidRPr="009C74A7">
        <w:rPr>
          <w:rStyle w:val="FootnoteReference"/>
        </w:rPr>
        <w:footnoteReference w:id="19"/>
      </w:r>
      <w:r w:rsidR="009C74A7" w:rsidRPr="009C74A7">
        <w:t xml:space="preserve"> </w:t>
      </w:r>
    </w:p>
    <w:p w:rsidR="009C74A7" w:rsidRPr="009C74A7" w:rsidRDefault="009C74A7" w:rsidP="009C74A7">
      <w:r w:rsidRPr="009C74A7">
        <w:t>As to this requirement to minimise price variations, the AEMC noted it was desirable that the transitional rules not give rise to one-off price shocks:</w:t>
      </w:r>
    </w:p>
    <w:p w:rsidR="009C74A7" w:rsidRPr="009C74A7" w:rsidRDefault="009C74A7" w:rsidP="007C6DB3">
      <w:pPr>
        <w:pStyle w:val="AERquote"/>
      </w:pPr>
      <w:r w:rsidRPr="009C74A7">
        <w:t xml:space="preserve">Prices should not be distorted when moving from the previous rules to the new rules, unless the underlying economic costs of the NSP’s change.  The transitional arrangements seek to minimise the potential for </w:t>
      </w:r>
      <w:r w:rsidRPr="009C74A7">
        <w:lastRenderedPageBreak/>
        <w:t>one-off price shocks for consumers in this regard and therefore provide appropriate price signals to consumers.</w:t>
      </w:r>
      <w:r w:rsidRPr="009C74A7">
        <w:rPr>
          <w:rStyle w:val="FootnoteReference"/>
        </w:rPr>
        <w:footnoteReference w:id="20"/>
      </w:r>
    </w:p>
    <w:p w:rsidR="009C74A7" w:rsidRPr="009C74A7" w:rsidRDefault="009C74A7" w:rsidP="007B5FC6">
      <w:pPr>
        <w:pStyle w:val="AERbodytext"/>
      </w:pPr>
      <w:r w:rsidRPr="009C74A7">
        <w:t xml:space="preserve">In deciding whether to approve the proposed revenue proposal, we also must take into account the </w:t>
      </w:r>
      <w:r w:rsidR="00CD208B">
        <w:t>revenue and pricing principles in the NE</w:t>
      </w:r>
      <w:r w:rsidR="000C0EB2">
        <w:t>L</w:t>
      </w:r>
      <w:r w:rsidRPr="009C74A7">
        <w:t>, and perform or exercise our functions or powers in a manner that will or is likely to contribute to the achievement of the national electricity objective.</w:t>
      </w:r>
      <w:r w:rsidRPr="009C74A7">
        <w:rPr>
          <w:rStyle w:val="FootnoteReference"/>
        </w:rPr>
        <w:footnoteReference w:id="21"/>
      </w:r>
    </w:p>
    <w:p w:rsidR="009C74A7" w:rsidRPr="00D702E7" w:rsidRDefault="009C74A7" w:rsidP="007B5FC6">
      <w:pPr>
        <w:pStyle w:val="AERbodytext"/>
      </w:pPr>
      <w:r>
        <w:t xml:space="preserve">The transitional rules expressly require us to have regard to the </w:t>
      </w:r>
      <w:r w:rsidR="001255AC">
        <w:t>fact that the</w:t>
      </w:r>
      <w:r w:rsidRPr="00D702E7">
        <w:t xml:space="preserve"> </w:t>
      </w:r>
      <w:r w:rsidR="00F95DCD">
        <w:t>MAR</w:t>
      </w:r>
      <w:r w:rsidRPr="00D702E7">
        <w:t xml:space="preserve"> for the transitional regulatory control period is an estimate that is based on indicative inputs and that the determination for the subsequent regulatory control period will make an adjustment to the total </w:t>
      </w:r>
      <w:r w:rsidR="00F95DCD">
        <w:t>MAR</w:t>
      </w:r>
      <w:r w:rsidRPr="00D702E7">
        <w:t xml:space="preserve"> for the subsequent regulatory control period in accordance with the transitional rules.</w:t>
      </w:r>
    </w:p>
    <w:p w:rsidR="009C74A7" w:rsidRPr="00D702E7" w:rsidRDefault="009C74A7" w:rsidP="009C74A7">
      <w:r w:rsidRPr="00D702E7">
        <w:t>We must also have regard to</w:t>
      </w:r>
      <w:r w:rsidR="00295CD8">
        <w:t>:</w:t>
      </w:r>
    </w:p>
    <w:p w:rsidR="009C74A7" w:rsidRPr="00A03B8D" w:rsidRDefault="009C74A7" w:rsidP="00A03B8D">
      <w:pPr>
        <w:numPr>
          <w:ilvl w:val="0"/>
          <w:numId w:val="2"/>
        </w:numPr>
        <w:tabs>
          <w:tab w:val="left" w:pos="357"/>
        </w:tabs>
        <w:spacing w:after="200"/>
        <w:ind w:left="357" w:hanging="357"/>
        <w:rPr>
          <w:rFonts w:eastAsia="Times New Roman"/>
          <w:szCs w:val="24"/>
        </w:rPr>
      </w:pPr>
      <w:r w:rsidRPr="00A03B8D">
        <w:rPr>
          <w:rFonts w:eastAsia="Times New Roman"/>
          <w:szCs w:val="24"/>
        </w:rPr>
        <w:t xml:space="preserve">the information included </w:t>
      </w:r>
      <w:r w:rsidR="00295CD8" w:rsidRPr="00A03B8D">
        <w:rPr>
          <w:rFonts w:eastAsia="Times New Roman"/>
          <w:szCs w:val="24"/>
        </w:rPr>
        <w:t>in or accompanying the proposal</w:t>
      </w:r>
    </w:p>
    <w:p w:rsidR="009C74A7" w:rsidRPr="00A03B8D" w:rsidRDefault="009C74A7" w:rsidP="00A03B8D">
      <w:pPr>
        <w:numPr>
          <w:ilvl w:val="0"/>
          <w:numId w:val="2"/>
        </w:numPr>
        <w:tabs>
          <w:tab w:val="left" w:pos="357"/>
        </w:tabs>
        <w:spacing w:after="200"/>
        <w:ind w:left="357" w:hanging="357"/>
        <w:rPr>
          <w:rFonts w:eastAsia="Times New Roman"/>
          <w:szCs w:val="24"/>
        </w:rPr>
      </w:pPr>
      <w:r w:rsidRPr="00A03B8D">
        <w:rPr>
          <w:rFonts w:eastAsia="Times New Roman"/>
          <w:szCs w:val="24"/>
        </w:rPr>
        <w:t>submissions received in the course of</w:t>
      </w:r>
      <w:r w:rsidR="00295CD8" w:rsidRPr="00A03B8D">
        <w:rPr>
          <w:rFonts w:eastAsia="Times New Roman"/>
          <w:szCs w:val="24"/>
        </w:rPr>
        <w:t xml:space="preserve"> consulting on the proposal</w:t>
      </w:r>
    </w:p>
    <w:p w:rsidR="009C74A7" w:rsidRPr="009C74A7" w:rsidRDefault="009C74A7" w:rsidP="00A03B8D">
      <w:pPr>
        <w:numPr>
          <w:ilvl w:val="0"/>
          <w:numId w:val="2"/>
        </w:numPr>
        <w:tabs>
          <w:tab w:val="left" w:pos="357"/>
        </w:tabs>
        <w:spacing w:after="200"/>
        <w:ind w:left="357" w:hanging="357"/>
      </w:pPr>
      <w:proofErr w:type="gramStart"/>
      <w:r w:rsidRPr="00A03B8D">
        <w:rPr>
          <w:rFonts w:eastAsia="Times New Roman"/>
          <w:szCs w:val="24"/>
        </w:rPr>
        <w:t>analysis</w:t>
      </w:r>
      <w:proofErr w:type="gramEnd"/>
      <w:r w:rsidRPr="00A03B8D">
        <w:rPr>
          <w:rFonts w:eastAsia="Times New Roman"/>
          <w:szCs w:val="24"/>
        </w:rPr>
        <w:t xml:space="preserve"> undertaken by or for us in connection with the proposal</w:t>
      </w:r>
      <w:r w:rsidRPr="009C74A7">
        <w:t>.</w:t>
      </w:r>
      <w:r w:rsidRPr="009C74A7">
        <w:rPr>
          <w:rStyle w:val="FootnoteReference"/>
        </w:rPr>
        <w:footnoteReference w:id="22"/>
      </w:r>
    </w:p>
    <w:p w:rsidR="009C74A7" w:rsidRDefault="009C74A7" w:rsidP="009C74A7">
      <w:r>
        <w:t xml:space="preserve">If we do not approve the </w:t>
      </w:r>
      <w:r w:rsidR="00CD208B">
        <w:t xml:space="preserve">indicative MAR </w:t>
      </w:r>
      <w:r>
        <w:t xml:space="preserve">proposed for the transitional regulatory control period, then we must approve </w:t>
      </w:r>
      <w:r w:rsidR="00CD208B">
        <w:t>a MAR</w:t>
      </w:r>
      <w:r>
        <w:t xml:space="preserve"> that we are satisfied is such that the recovery of it by the affected </w:t>
      </w:r>
      <w:r w:rsidR="00F95DCD">
        <w:t>TNSP</w:t>
      </w:r>
      <w:r>
        <w:t xml:space="preserve"> is reasonably likely to minimise variations in prices between the affected TNSPs current regulatory control period, transitional regulatory control period and subsequent regulatory control period and between the </w:t>
      </w:r>
      <w:r w:rsidRPr="00BF2630">
        <w:t>regulatory years</w:t>
      </w:r>
      <w:r>
        <w:t xml:space="preserve"> of the subsequent regulatory control period.</w:t>
      </w:r>
      <w:r>
        <w:rPr>
          <w:rStyle w:val="FootnoteReference"/>
        </w:rPr>
        <w:footnoteReference w:id="23"/>
      </w:r>
    </w:p>
    <w:p w:rsidR="00AA04E8" w:rsidRDefault="009C74A7" w:rsidP="00AA04E8">
      <w:r>
        <w:t>As required by the transitional rules, our analysis is therefor</w:t>
      </w:r>
      <w:r w:rsidR="00C51403">
        <w:t xml:space="preserve">e directed at assessing the </w:t>
      </w:r>
      <w:r w:rsidR="00F95DCD">
        <w:t xml:space="preserve">MAR </w:t>
      </w:r>
      <w:r>
        <w:t xml:space="preserve">proposed by the </w:t>
      </w:r>
      <w:r w:rsidR="00093AFC">
        <w:t>TNSP</w:t>
      </w:r>
      <w:r>
        <w:t xml:space="preserve"> against the above criteria aimed at minimising price variations. </w:t>
      </w:r>
    </w:p>
    <w:p w:rsidR="00AA04E8" w:rsidRDefault="00AA04E8" w:rsidP="00AA04E8">
      <w:r w:rsidRPr="00D44499">
        <w:t>More generally, we note that in assessing the proposal we must set out the basis and rational</w:t>
      </w:r>
      <w:r w:rsidR="000C0EB2">
        <w:t>e</w:t>
      </w:r>
      <w:r w:rsidRPr="00D44499">
        <w:t xml:space="preserve"> for our decision. This must include details of any qualitative or quantitative methodologies applied by us, the values adopted by us in any calculations and formulae, details of any assumptions made by us and reasons for the making of any decisions, the giving or withholding of any approvals, and the exercise of any discretion.   </w:t>
      </w:r>
    </w:p>
    <w:p w:rsidR="006162E1" w:rsidRDefault="006162E1" w:rsidP="006162E1">
      <w:pPr>
        <w:pStyle w:val="Heading2"/>
      </w:pPr>
      <w:bookmarkStart w:id="34" w:name="_Toc383527658"/>
      <w:r>
        <w:t>Assessment approach</w:t>
      </w:r>
      <w:bookmarkEnd w:id="34"/>
    </w:p>
    <w:p w:rsidR="00933A34" w:rsidRPr="00933A34" w:rsidRDefault="009C7D71" w:rsidP="00933A34">
      <w:pPr>
        <w:numPr>
          <w:ilvl w:val="0"/>
          <w:numId w:val="6"/>
        </w:numPr>
        <w:rPr>
          <w:rFonts w:eastAsia="Times New Roman"/>
          <w:szCs w:val="24"/>
        </w:rPr>
      </w:pPr>
      <w:r>
        <w:rPr>
          <w:rFonts w:eastAsia="Times New Roman"/>
          <w:szCs w:val="24"/>
        </w:rPr>
        <w:t>Under the price variation test, o</w:t>
      </w:r>
      <w:r w:rsidR="00933A34" w:rsidRPr="00933A34">
        <w:rPr>
          <w:rFonts w:eastAsia="Times New Roman"/>
          <w:szCs w:val="24"/>
        </w:rPr>
        <w:t>ur decision to approve or not approve the proposed MAR for the transitional regulatory control period requires us to form a view about the expected movement of prices from 2013 to 2014, 2014 to 2015 and so on until 2019. This view necessarily reflect</w:t>
      </w:r>
      <w:r>
        <w:rPr>
          <w:rFonts w:eastAsia="Times New Roman"/>
          <w:szCs w:val="24"/>
        </w:rPr>
        <w:t>s</w:t>
      </w:r>
      <w:r w:rsidR="00933A34" w:rsidRPr="00933A34">
        <w:rPr>
          <w:rFonts w:eastAsia="Times New Roman"/>
          <w:szCs w:val="24"/>
        </w:rPr>
        <w:t xml:space="preserve"> our expectations of future revenues and demand. </w:t>
      </w:r>
    </w:p>
    <w:p w:rsidR="009C7D71" w:rsidRDefault="00933A34" w:rsidP="009C7D71">
      <w:pPr>
        <w:numPr>
          <w:ilvl w:val="0"/>
          <w:numId w:val="6"/>
        </w:numPr>
        <w:rPr>
          <w:rFonts w:eastAsia="Times New Roman"/>
          <w:szCs w:val="24"/>
        </w:rPr>
      </w:pPr>
      <w:r w:rsidRPr="00933A34">
        <w:rPr>
          <w:rFonts w:eastAsia="Times New Roman"/>
          <w:szCs w:val="24"/>
        </w:rPr>
        <w:t xml:space="preserve">Our expectations of future revenues are based on our assessment of the information currently available to us which includes indicative estimates or ranges of key inputs </w:t>
      </w:r>
      <w:r w:rsidR="009C7D71">
        <w:rPr>
          <w:rFonts w:eastAsia="Times New Roman"/>
          <w:szCs w:val="24"/>
        </w:rPr>
        <w:t>included in the proposals</w:t>
      </w:r>
      <w:r w:rsidRPr="00933A34">
        <w:rPr>
          <w:rFonts w:eastAsia="Times New Roman"/>
          <w:szCs w:val="24"/>
        </w:rPr>
        <w:t xml:space="preserve">. </w:t>
      </w:r>
      <w:r w:rsidR="009C7D71">
        <w:rPr>
          <w:rFonts w:eastAsia="Times New Roman"/>
          <w:szCs w:val="24"/>
        </w:rPr>
        <w:t>We have largely relied upon these proposed indicative inputs</w:t>
      </w:r>
      <w:r w:rsidR="009C7D71" w:rsidRPr="009C7D71">
        <w:rPr>
          <w:rFonts w:eastAsia="Times New Roman"/>
          <w:szCs w:val="24"/>
        </w:rPr>
        <w:t xml:space="preserve"> </w:t>
      </w:r>
      <w:r w:rsidR="009C7D71">
        <w:rPr>
          <w:rFonts w:eastAsia="Times New Roman"/>
          <w:szCs w:val="24"/>
        </w:rPr>
        <w:t>but</w:t>
      </w:r>
      <w:r w:rsidR="009C7D71" w:rsidRPr="00933A34">
        <w:rPr>
          <w:rFonts w:eastAsia="Times New Roman"/>
          <w:szCs w:val="24"/>
        </w:rPr>
        <w:t xml:space="preserve"> have paid particular attention to the indicative rate of return and ‘tax imputation credits’ </w:t>
      </w:r>
      <w:r w:rsidR="00BC7B55">
        <w:rPr>
          <w:rFonts w:eastAsia="Times New Roman"/>
          <w:szCs w:val="24"/>
        </w:rPr>
        <w:t xml:space="preserve">(gamma) </w:t>
      </w:r>
      <w:r w:rsidR="009C7D71" w:rsidRPr="00933A34">
        <w:rPr>
          <w:rFonts w:eastAsia="Times New Roman"/>
          <w:szCs w:val="24"/>
        </w:rPr>
        <w:t xml:space="preserve">proposed by the TNSPs in support of their proposals. In considering a reasonable indicative rate of return, we have had regard to the proposals, to our own </w:t>
      </w:r>
      <w:r w:rsidR="00F16E85">
        <w:rPr>
          <w:rFonts w:eastAsia="Times New Roman"/>
          <w:szCs w:val="24"/>
        </w:rPr>
        <w:t>g</w:t>
      </w:r>
      <w:r w:rsidR="009C7D71" w:rsidRPr="00933A34">
        <w:rPr>
          <w:rFonts w:eastAsia="Times New Roman"/>
          <w:szCs w:val="24"/>
        </w:rPr>
        <w:t>uideline, to available market informa</w:t>
      </w:r>
      <w:r w:rsidR="007B5FC6">
        <w:rPr>
          <w:rFonts w:eastAsia="Times New Roman"/>
          <w:szCs w:val="24"/>
        </w:rPr>
        <w:t>tion and expected market trends.</w:t>
      </w:r>
      <w:r w:rsidR="009C7D71" w:rsidRPr="00933A34">
        <w:rPr>
          <w:rFonts w:eastAsia="Times New Roman"/>
          <w:szCs w:val="24"/>
        </w:rPr>
        <w:t xml:space="preserve"> After </w:t>
      </w:r>
      <w:r w:rsidR="009C7D71" w:rsidRPr="00933A34">
        <w:rPr>
          <w:rFonts w:eastAsia="Times New Roman"/>
          <w:szCs w:val="24"/>
        </w:rPr>
        <w:lastRenderedPageBreak/>
        <w:t xml:space="preserve">making </w:t>
      </w:r>
      <w:r w:rsidR="00BC7B55">
        <w:rPr>
          <w:rFonts w:eastAsia="Times New Roman"/>
          <w:szCs w:val="24"/>
        </w:rPr>
        <w:t>an</w:t>
      </w:r>
      <w:r w:rsidR="009C7D71" w:rsidRPr="00933A34">
        <w:rPr>
          <w:rFonts w:eastAsia="Times New Roman"/>
          <w:szCs w:val="24"/>
        </w:rPr>
        <w:t xml:space="preserve"> adjustment to the rate of return </w:t>
      </w:r>
      <w:r w:rsidR="00F46382">
        <w:rPr>
          <w:rFonts w:eastAsia="Times New Roman"/>
          <w:szCs w:val="24"/>
        </w:rPr>
        <w:t xml:space="preserve">and to the value of gamma </w:t>
      </w:r>
      <w:r w:rsidR="009C7D71" w:rsidRPr="00933A34">
        <w:rPr>
          <w:rFonts w:eastAsia="Times New Roman"/>
          <w:szCs w:val="24"/>
        </w:rPr>
        <w:t xml:space="preserve">used to support the </w:t>
      </w:r>
      <w:r w:rsidR="00614B02">
        <w:rPr>
          <w:rFonts w:eastAsia="Times New Roman"/>
          <w:szCs w:val="24"/>
        </w:rPr>
        <w:t>TNSPs</w:t>
      </w:r>
      <w:r w:rsidR="009C7D71" w:rsidRPr="00933A34">
        <w:rPr>
          <w:rFonts w:eastAsia="Times New Roman"/>
          <w:szCs w:val="24"/>
        </w:rPr>
        <w:t xml:space="preserve">’ proposals, we then consider the transitional </w:t>
      </w:r>
      <w:r w:rsidR="00614B02">
        <w:rPr>
          <w:rFonts w:eastAsia="Times New Roman"/>
          <w:szCs w:val="24"/>
        </w:rPr>
        <w:t xml:space="preserve">revenue </w:t>
      </w:r>
      <w:r w:rsidR="009C7D71" w:rsidRPr="00933A34">
        <w:rPr>
          <w:rFonts w:eastAsia="Times New Roman"/>
          <w:szCs w:val="24"/>
        </w:rPr>
        <w:t>proposals in the context of the price variation test taking into account the NEO and RPPs.</w:t>
      </w:r>
    </w:p>
    <w:p w:rsidR="00BF1C48" w:rsidRDefault="00BF1C48" w:rsidP="00BF1C48">
      <w:pPr>
        <w:pStyle w:val="AERbodytext"/>
      </w:pPr>
      <w:r>
        <w:t>We consider this approach should not, in any way, be taken as an indication of our assessment of the full proposals that TransGrid and Transend have yet to submit for the purposes of the full determination. In that full determination, a true</w:t>
      </w:r>
      <w:r w:rsidR="00614B02">
        <w:t>-</w:t>
      </w:r>
      <w:r>
        <w:t xml:space="preserve">up of revenue for the transitional regulatory control period will be conducted. The approach and conclusions in this determination are purely for the </w:t>
      </w:r>
      <w:r w:rsidR="00C07BC7">
        <w:t xml:space="preserve">limited </w:t>
      </w:r>
      <w:r>
        <w:t>purposes of making the required assessment we must make for this transitional regulatory control period under the transitional rules.</w:t>
      </w:r>
    </w:p>
    <w:p w:rsidR="000C48BA" w:rsidRDefault="00065EE4" w:rsidP="006162E1">
      <w:pPr>
        <w:pStyle w:val="Heading1"/>
      </w:pPr>
      <w:bookmarkStart w:id="35" w:name="_Toc383527659"/>
      <w:bookmarkEnd w:id="33"/>
      <w:r>
        <w:lastRenderedPageBreak/>
        <w:t>R</w:t>
      </w:r>
      <w:r w:rsidR="00123766">
        <w:t>evenues</w:t>
      </w:r>
      <w:r w:rsidR="000C48BA">
        <w:t xml:space="preserve"> for the transitional year</w:t>
      </w:r>
      <w:bookmarkEnd w:id="35"/>
    </w:p>
    <w:p w:rsidR="00B00794" w:rsidRDefault="00B00794" w:rsidP="00B00794">
      <w:pPr>
        <w:pStyle w:val="AERbodytext"/>
      </w:pPr>
      <w:r>
        <w:t xml:space="preserve">This chapter </w:t>
      </w:r>
      <w:r w:rsidR="000C0EB2">
        <w:t>sets out</w:t>
      </w:r>
      <w:r>
        <w:t xml:space="preserve"> </w:t>
      </w:r>
      <w:r w:rsidR="000C0EB2">
        <w:t>the placeholder</w:t>
      </w:r>
      <w:r>
        <w:t xml:space="preserve"> </w:t>
      </w:r>
      <w:r w:rsidR="000C0EB2">
        <w:t>MAR</w:t>
      </w:r>
      <w:r w:rsidR="00DB04AF">
        <w:t xml:space="preserve"> </w:t>
      </w:r>
      <w:r>
        <w:t xml:space="preserve">for the </w:t>
      </w:r>
      <w:r w:rsidR="002B6364">
        <w:t>two TNSPs</w:t>
      </w:r>
      <w:r>
        <w:t xml:space="preserve"> for 2014</w:t>
      </w:r>
      <w:r w:rsidR="001E2AC6">
        <w:t>–</w:t>
      </w:r>
      <w:r>
        <w:t>15 and states whether we accepted, or rejected and substituted</w:t>
      </w:r>
      <w:r w:rsidR="001A439F">
        <w:t>,</w:t>
      </w:r>
      <w:r>
        <w:t xml:space="preserve"> the </w:t>
      </w:r>
      <w:r w:rsidR="002B6364">
        <w:t>TNSP</w:t>
      </w:r>
      <w:r>
        <w:t xml:space="preserve">s’ </w:t>
      </w:r>
      <w:r w:rsidR="000C0EB2">
        <w:t xml:space="preserve">transitional </w:t>
      </w:r>
      <w:r>
        <w:t>revenue proposal</w:t>
      </w:r>
      <w:r w:rsidR="00DB04AF">
        <w:t>s</w:t>
      </w:r>
      <w:r>
        <w:t xml:space="preserve">. This is followed by an explanation on how the AER reached its decision, including the key drivers of the </w:t>
      </w:r>
      <w:r w:rsidR="00DB04AF">
        <w:t>MAR</w:t>
      </w:r>
      <w:r>
        <w:t xml:space="preserve">. </w:t>
      </w:r>
    </w:p>
    <w:p w:rsidR="000C48BA" w:rsidRDefault="00D1719D" w:rsidP="000C48BA">
      <w:pPr>
        <w:pStyle w:val="Heading2"/>
      </w:pPr>
      <w:bookmarkStart w:id="36" w:name="_Toc383527660"/>
      <w:bookmarkStart w:id="37" w:name="_Toc341686705"/>
      <w:bookmarkStart w:id="38" w:name="_Toc365283238"/>
      <w:bookmarkStart w:id="39" w:name="_Toc374450126"/>
      <w:bookmarkStart w:id="40" w:name="_Toc374450377"/>
      <w:bookmarkStart w:id="41" w:name="_Toc374450498"/>
      <w:bookmarkStart w:id="42" w:name="_Toc374451138"/>
      <w:r>
        <w:t>Maximum allowed revenue</w:t>
      </w:r>
      <w:r w:rsidR="000C48BA" w:rsidRPr="00D44499">
        <w:t xml:space="preserve"> for transitional year</w:t>
      </w:r>
      <w:bookmarkEnd w:id="36"/>
    </w:p>
    <w:p w:rsidR="006F1D1D" w:rsidRDefault="006F1D1D" w:rsidP="006F1D1D">
      <w:pPr>
        <w:pStyle w:val="AERbodytext"/>
      </w:pPr>
      <w:r>
        <w:t xml:space="preserve">We do not approve </w:t>
      </w:r>
      <w:proofErr w:type="spellStart"/>
      <w:r>
        <w:t>TransGrid’s</w:t>
      </w:r>
      <w:proofErr w:type="spellEnd"/>
      <w:r>
        <w:t xml:space="preserve"> proposed MAR of $929.9 million ($ nominal) and </w:t>
      </w:r>
      <w:proofErr w:type="spellStart"/>
      <w:r>
        <w:t>Transend’s</w:t>
      </w:r>
      <w:proofErr w:type="spellEnd"/>
      <w:r>
        <w:t xml:space="preserve"> proposed MAR of $215.5 million </w:t>
      </w:r>
      <w:r w:rsidR="00F16E85">
        <w:t xml:space="preserve">($ nominal) </w:t>
      </w:r>
      <w:r>
        <w:t xml:space="preserve">for the </w:t>
      </w:r>
      <w:r w:rsidR="00CD208B">
        <w:t>transitional</w:t>
      </w:r>
      <w:r>
        <w:t xml:space="preserve"> regulatory control period. This is because </w:t>
      </w:r>
      <w:r w:rsidR="00120C42">
        <w:t xml:space="preserve">recovery of </w:t>
      </w:r>
      <w:r>
        <w:t xml:space="preserve">the </w:t>
      </w:r>
      <w:r w:rsidR="00CD208B">
        <w:t>indicative MARs</w:t>
      </w:r>
      <w:r w:rsidR="003C200B">
        <w:t xml:space="preserve"> </w:t>
      </w:r>
      <w:r>
        <w:t xml:space="preserve">proposed by TransGrid and Transend </w:t>
      </w:r>
      <w:r w:rsidR="00120C42">
        <w:t>is not reasonably likely to</w:t>
      </w:r>
      <w:r>
        <w:t xml:space="preserve"> minimise price variations between the relevant periods </w:t>
      </w:r>
      <w:r w:rsidR="0072540F">
        <w:t xml:space="preserve">and years </w:t>
      </w:r>
      <w:r>
        <w:t xml:space="preserve">as required under the </w:t>
      </w:r>
      <w:r w:rsidR="000C0EB2">
        <w:t>transitional rules</w:t>
      </w:r>
      <w:r>
        <w:t>.</w:t>
      </w:r>
      <w:r>
        <w:rPr>
          <w:rStyle w:val="FootnoteReference"/>
        </w:rPr>
        <w:footnoteReference w:id="24"/>
      </w:r>
      <w:r>
        <w:t xml:space="preserve"> Instead we have substituted a revenue allowance of $845.4 million ($ nominal) for TransGrid and $205.1 million ($ nominal) for Transend. We </w:t>
      </w:r>
      <w:r w:rsidR="00120C42">
        <w:t xml:space="preserve">are satisfied </w:t>
      </w:r>
      <w:r>
        <w:t xml:space="preserve">that our substituted revenues for TransGrid and Transend </w:t>
      </w:r>
      <w:r w:rsidR="00120C42">
        <w:t xml:space="preserve">are reasonably likely to minimise variations in price </w:t>
      </w:r>
      <w:r>
        <w:t xml:space="preserve">consistent with the requirements of the </w:t>
      </w:r>
      <w:r w:rsidR="000C0EB2">
        <w:t>transitional rules</w:t>
      </w:r>
      <w:r>
        <w:t>.</w:t>
      </w:r>
      <w:r>
        <w:rPr>
          <w:rStyle w:val="FootnoteReference"/>
        </w:rPr>
        <w:footnoteReference w:id="25"/>
      </w:r>
      <w:r>
        <w:t xml:space="preserve"> </w:t>
      </w:r>
    </w:p>
    <w:p w:rsidR="00955DF1" w:rsidRDefault="006F1D1D" w:rsidP="006F1D1D">
      <w:pPr>
        <w:pStyle w:val="AERbodytext"/>
      </w:pPr>
      <w:r w:rsidRPr="00EE264A">
        <w:t>We note that TransGrid has an under-recovery of $71 million in its allowed MAR for 2013</w:t>
      </w:r>
      <w:r w:rsidRPr="00EE264A">
        <w:softHyphen/>
      </w:r>
      <w:r w:rsidRPr="00EE264A">
        <w:rPr>
          <w:rFonts w:hint="eastAsia"/>
        </w:rPr>
        <w:t>–</w:t>
      </w:r>
      <w:r w:rsidRPr="00EE264A">
        <w:t>14.</w:t>
      </w:r>
      <w:r w:rsidR="00955DF1" w:rsidRPr="00955DF1">
        <w:t xml:space="preserve"> </w:t>
      </w:r>
      <w:r w:rsidR="00955DF1">
        <w:t>This under-recovery for TransGrid has arisen as a result of its decision to adopt a ‘revenue freeze’ in 2013–14.</w:t>
      </w:r>
      <w:r w:rsidR="007D0268">
        <w:rPr>
          <w:rStyle w:val="FootnoteReference"/>
        </w:rPr>
        <w:footnoteReference w:id="26"/>
      </w:r>
      <w:r w:rsidR="00955DF1">
        <w:t xml:space="preserve"> Any decision by TransGrid to recover this revenue would affect transmission prices for its customers independently of the AER’s transitional determination. </w:t>
      </w:r>
    </w:p>
    <w:p w:rsidR="006F1D1D" w:rsidRPr="00DB04AF" w:rsidRDefault="006F1D1D" w:rsidP="006F1D1D">
      <w:pPr>
        <w:pStyle w:val="AERbodytext"/>
      </w:pPr>
      <w:r w:rsidRPr="00EE264A">
        <w:t>We also note that Transend has an under-recovery of $26 million and $11 million in its allowed MAR for 2013</w:t>
      </w:r>
      <w:r w:rsidRPr="00EE264A">
        <w:rPr>
          <w:rFonts w:hint="eastAsia"/>
        </w:rPr>
        <w:t>–</w:t>
      </w:r>
      <w:r w:rsidRPr="00EE264A">
        <w:t>14 and 2012</w:t>
      </w:r>
      <w:r w:rsidRPr="00EE264A">
        <w:rPr>
          <w:rFonts w:hint="eastAsia"/>
        </w:rPr>
        <w:t>–</w:t>
      </w:r>
      <w:r w:rsidRPr="00EE264A">
        <w:t>13</w:t>
      </w:r>
      <w:r w:rsidR="003C200B">
        <w:t>,</w:t>
      </w:r>
      <w:r w:rsidRPr="00EE264A">
        <w:t xml:space="preserve"> respectively.</w:t>
      </w:r>
      <w:r w:rsidR="007D0268">
        <w:rPr>
          <w:rStyle w:val="FootnoteReference"/>
        </w:rPr>
        <w:footnoteReference w:id="27"/>
      </w:r>
      <w:r w:rsidR="00955DF1">
        <w:t xml:space="preserve"> This under-recovery has arisen due to a decision by Transend to only recover revenue associated with lower expenditure incurred towards the end of the current regulatory control period.</w:t>
      </w:r>
      <w:r w:rsidR="00D17D7F" w:rsidRPr="00D17D7F">
        <w:t xml:space="preserve"> </w:t>
      </w:r>
      <w:r w:rsidR="00D17D7F">
        <w:t>Any decision by Transend to recover this revenue would also affect transmission prices for its customers independently of the AER’s transitional determination.</w:t>
      </w:r>
    </w:p>
    <w:p w:rsidR="006F1D1D" w:rsidRPr="0092785B" w:rsidRDefault="006F1D1D" w:rsidP="006F1D1D">
      <w:pPr>
        <w:pStyle w:val="AERbodytext"/>
      </w:pPr>
      <w:r>
        <w:t xml:space="preserve">Our </w:t>
      </w:r>
      <w:r w:rsidRPr="00123766">
        <w:t xml:space="preserve">decision on </w:t>
      </w:r>
      <w:r>
        <w:t>the TNSPs’</w:t>
      </w:r>
      <w:r w:rsidRPr="00123766">
        <w:t xml:space="preserve"> </w:t>
      </w:r>
      <w:r>
        <w:t>MAR</w:t>
      </w:r>
      <w:r w:rsidRPr="00123766">
        <w:t xml:space="preserve"> </w:t>
      </w:r>
      <w:r>
        <w:t>for</w:t>
      </w:r>
      <w:r w:rsidRPr="00123766">
        <w:t xml:space="preserve"> the </w:t>
      </w:r>
      <w:r w:rsidR="003C200B">
        <w:t>transitional</w:t>
      </w:r>
      <w:r>
        <w:t xml:space="preserve"> regulatory control period is as set out at </w:t>
      </w:r>
      <w:r w:rsidRPr="0092785B">
        <w:fldChar w:fldCharType="begin"/>
      </w:r>
      <w:r w:rsidRPr="0092785B">
        <w:instrText xml:space="preserve"> REF _Ref382405357 \h </w:instrText>
      </w:r>
      <w:r w:rsidR="00026D1E" w:rsidRPr="0092785B">
        <w:instrText xml:space="preserve"> \* MERGEFORMAT </w:instrText>
      </w:r>
      <w:r w:rsidRPr="0092785B">
        <w:fldChar w:fldCharType="separate"/>
      </w:r>
      <w:r w:rsidR="00B40E3D">
        <w:t xml:space="preserve">Table </w:t>
      </w:r>
      <w:r w:rsidR="00B40E3D">
        <w:rPr>
          <w:noProof/>
        </w:rPr>
        <w:t>4.1</w:t>
      </w:r>
      <w:r w:rsidRPr="0092785B">
        <w:fldChar w:fldCharType="end"/>
      </w:r>
      <w:r w:rsidRPr="0092785B">
        <w:t>.</w:t>
      </w:r>
    </w:p>
    <w:p w:rsidR="006F1D1D" w:rsidRDefault="006F1D1D" w:rsidP="006F1D1D">
      <w:pPr>
        <w:pStyle w:val="Caption"/>
      </w:pPr>
      <w:bookmarkStart w:id="43" w:name="_Ref382405357"/>
      <w:bookmarkStart w:id="44" w:name="_Ref382384950"/>
      <w:proofErr w:type="gramStart"/>
      <w:r>
        <w:t xml:space="preserve">Table </w:t>
      </w:r>
      <w:fldSimple w:instr=" STYLEREF 1 \s ">
        <w:r w:rsidR="00B40E3D">
          <w:rPr>
            <w:noProof/>
          </w:rPr>
          <w:t>4</w:t>
        </w:r>
      </w:fldSimple>
      <w:r>
        <w:t>.</w:t>
      </w:r>
      <w:proofErr w:type="gramEnd"/>
      <w:r w:rsidR="007827B4">
        <w:fldChar w:fldCharType="begin"/>
      </w:r>
      <w:r w:rsidR="007827B4">
        <w:instrText xml:space="preserve"> SEQ Table \* ARABIC \s 1 </w:instrText>
      </w:r>
      <w:r w:rsidR="007827B4">
        <w:fldChar w:fldCharType="separate"/>
      </w:r>
      <w:r w:rsidR="00B40E3D">
        <w:rPr>
          <w:noProof/>
        </w:rPr>
        <w:t>1</w:t>
      </w:r>
      <w:r w:rsidR="007827B4">
        <w:rPr>
          <w:noProof/>
        </w:rPr>
        <w:fldChar w:fldCharType="end"/>
      </w:r>
      <w:bookmarkEnd w:id="43"/>
      <w:r>
        <w:t xml:space="preserve"> </w:t>
      </w:r>
      <w:r>
        <w:tab/>
        <w:t>Maximum allowed revenue for 2014–15 ($ million, nominal)</w:t>
      </w:r>
      <w:bookmarkEnd w:id="44"/>
    </w:p>
    <w:tbl>
      <w:tblPr>
        <w:tblStyle w:val="AERtable-numbers"/>
        <w:tblW w:w="9189" w:type="dxa"/>
        <w:tblLook w:val="04A0" w:firstRow="1" w:lastRow="0" w:firstColumn="1" w:lastColumn="0" w:noHBand="0" w:noVBand="1"/>
      </w:tblPr>
      <w:tblGrid>
        <w:gridCol w:w="2430"/>
        <w:gridCol w:w="2031"/>
        <w:gridCol w:w="2431"/>
        <w:gridCol w:w="2297"/>
      </w:tblGrid>
      <w:tr w:rsidR="006F1D1D" w:rsidTr="00C84DA3">
        <w:trPr>
          <w:cnfStyle w:val="100000000000" w:firstRow="1" w:lastRow="0"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2430" w:type="dxa"/>
          </w:tcPr>
          <w:p w:rsidR="006F1D1D" w:rsidRDefault="006F1D1D" w:rsidP="00C84DA3">
            <w:pPr>
              <w:pStyle w:val="AERbodytext"/>
            </w:pPr>
          </w:p>
        </w:tc>
        <w:tc>
          <w:tcPr>
            <w:tcW w:w="2031" w:type="dxa"/>
          </w:tcPr>
          <w:p w:rsidR="006F1D1D" w:rsidRDefault="006F1D1D" w:rsidP="00C84DA3">
            <w:pPr>
              <w:pStyle w:val="AERtabletextright"/>
              <w:cnfStyle w:val="100000000000" w:firstRow="1" w:lastRow="0" w:firstColumn="0" w:lastColumn="0" w:oddVBand="0" w:evenVBand="0" w:oddHBand="0" w:evenHBand="0" w:firstRowFirstColumn="0" w:firstRowLastColumn="0" w:lastRowFirstColumn="0" w:lastRowLastColumn="0"/>
            </w:pPr>
            <w:r>
              <w:t xml:space="preserve">Proposed MAR </w:t>
            </w:r>
          </w:p>
        </w:tc>
        <w:tc>
          <w:tcPr>
            <w:tcW w:w="2431" w:type="dxa"/>
          </w:tcPr>
          <w:p w:rsidR="006F1D1D" w:rsidRDefault="006F1D1D" w:rsidP="00C84DA3">
            <w:pPr>
              <w:pStyle w:val="AERtabletextright"/>
              <w:cnfStyle w:val="100000000000" w:firstRow="1" w:lastRow="0" w:firstColumn="0" w:lastColumn="0" w:oddVBand="0" w:evenVBand="0" w:oddHBand="0" w:evenHBand="0" w:firstRowFirstColumn="0" w:firstRowLastColumn="0" w:lastRowFirstColumn="0" w:lastRowLastColumn="0"/>
            </w:pPr>
            <w:r>
              <w:t xml:space="preserve">AER approved MAR </w:t>
            </w:r>
          </w:p>
        </w:tc>
        <w:tc>
          <w:tcPr>
            <w:tcW w:w="2297" w:type="dxa"/>
          </w:tcPr>
          <w:p w:rsidR="006F1D1D" w:rsidRDefault="00176B2D" w:rsidP="00C84DA3">
            <w:pPr>
              <w:pStyle w:val="AERtabletextright"/>
              <w:cnfStyle w:val="100000000000" w:firstRow="1" w:lastRow="0" w:firstColumn="0" w:lastColumn="0" w:oddVBand="0" w:evenVBand="0" w:oddHBand="0" w:evenHBand="0" w:firstRowFirstColumn="0" w:firstRowLastColumn="0" w:lastRowFirstColumn="0" w:lastRowLastColumn="0"/>
            </w:pPr>
            <w:r>
              <w:t xml:space="preserve">Difference </w:t>
            </w:r>
            <w:r w:rsidR="006F1D1D">
              <w:t>from the proposed MAR</w:t>
            </w:r>
          </w:p>
        </w:tc>
      </w:tr>
      <w:tr w:rsidR="006F1D1D" w:rsidTr="00C84DA3">
        <w:trPr>
          <w:trHeight w:val="409"/>
        </w:trPr>
        <w:tc>
          <w:tcPr>
            <w:cnfStyle w:val="001000000000" w:firstRow="0" w:lastRow="0" w:firstColumn="1" w:lastColumn="0" w:oddVBand="0" w:evenVBand="0" w:oddHBand="0" w:evenHBand="0" w:firstRowFirstColumn="0" w:firstRowLastColumn="0" w:lastRowFirstColumn="0" w:lastRowLastColumn="0"/>
            <w:tcW w:w="2430" w:type="dxa"/>
          </w:tcPr>
          <w:p w:rsidR="006F1D1D" w:rsidRDefault="006F1D1D" w:rsidP="00C84DA3">
            <w:pPr>
              <w:pStyle w:val="AERbodytext"/>
            </w:pPr>
            <w:r>
              <w:t>TransGrid</w:t>
            </w:r>
          </w:p>
        </w:tc>
        <w:tc>
          <w:tcPr>
            <w:tcW w:w="2031" w:type="dxa"/>
          </w:tcPr>
          <w:p w:rsidR="006F1D1D" w:rsidRDefault="006F1D1D" w:rsidP="00C84DA3">
            <w:pPr>
              <w:pStyle w:val="AERtabletextright"/>
              <w:cnfStyle w:val="000000000000" w:firstRow="0" w:lastRow="0" w:firstColumn="0" w:lastColumn="0" w:oddVBand="0" w:evenVBand="0" w:oddHBand="0" w:evenHBand="0" w:firstRowFirstColumn="0" w:firstRowLastColumn="0" w:lastRowFirstColumn="0" w:lastRowLastColumn="0"/>
            </w:pPr>
            <w:r>
              <w:t>929.9</w:t>
            </w:r>
          </w:p>
        </w:tc>
        <w:tc>
          <w:tcPr>
            <w:tcW w:w="2431" w:type="dxa"/>
          </w:tcPr>
          <w:p w:rsidR="006F1D1D" w:rsidRDefault="006F1D1D" w:rsidP="00C84DA3">
            <w:pPr>
              <w:pStyle w:val="AERtabletextright"/>
              <w:cnfStyle w:val="000000000000" w:firstRow="0" w:lastRow="0" w:firstColumn="0" w:lastColumn="0" w:oddVBand="0" w:evenVBand="0" w:oddHBand="0" w:evenHBand="0" w:firstRowFirstColumn="0" w:firstRowLastColumn="0" w:lastRowFirstColumn="0" w:lastRowLastColumn="0"/>
            </w:pPr>
            <w:r>
              <w:t>845.4</w:t>
            </w:r>
          </w:p>
        </w:tc>
        <w:tc>
          <w:tcPr>
            <w:tcW w:w="2297" w:type="dxa"/>
          </w:tcPr>
          <w:p w:rsidR="006F1D1D" w:rsidRDefault="00176B2D" w:rsidP="00176B2D">
            <w:pPr>
              <w:pStyle w:val="AERtabletextright"/>
              <w:cnfStyle w:val="000000000000" w:firstRow="0" w:lastRow="0" w:firstColumn="0" w:lastColumn="0" w:oddVBand="0" w:evenVBand="0" w:oddHBand="0" w:evenHBand="0" w:firstRowFirstColumn="0" w:firstRowLastColumn="0" w:lastRowFirstColumn="0" w:lastRowLastColumn="0"/>
            </w:pPr>
            <w:r>
              <w:t>–</w:t>
            </w:r>
            <w:r w:rsidR="006F1D1D">
              <w:t>84.5 (</w:t>
            </w:r>
            <w:r>
              <w:t>–</w:t>
            </w:r>
            <w:r w:rsidR="006F1D1D">
              <w:t>9.1%)</w:t>
            </w:r>
          </w:p>
        </w:tc>
      </w:tr>
      <w:tr w:rsidR="006F1D1D" w:rsidTr="00C84DA3">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2430" w:type="dxa"/>
          </w:tcPr>
          <w:p w:rsidR="006F1D1D" w:rsidRDefault="006F1D1D" w:rsidP="00C84DA3">
            <w:pPr>
              <w:pStyle w:val="AERbodytext"/>
            </w:pPr>
            <w:r>
              <w:t>Transend</w:t>
            </w:r>
          </w:p>
        </w:tc>
        <w:tc>
          <w:tcPr>
            <w:tcW w:w="2031" w:type="dxa"/>
          </w:tcPr>
          <w:p w:rsidR="006F1D1D" w:rsidRDefault="006F1D1D" w:rsidP="00C84DA3">
            <w:pPr>
              <w:pStyle w:val="AERtabletextright"/>
              <w:cnfStyle w:val="000000010000" w:firstRow="0" w:lastRow="0" w:firstColumn="0" w:lastColumn="0" w:oddVBand="0" w:evenVBand="0" w:oddHBand="0" w:evenHBand="1" w:firstRowFirstColumn="0" w:firstRowLastColumn="0" w:lastRowFirstColumn="0" w:lastRowLastColumn="0"/>
            </w:pPr>
            <w:r>
              <w:t>215.5</w:t>
            </w:r>
          </w:p>
        </w:tc>
        <w:tc>
          <w:tcPr>
            <w:tcW w:w="2431" w:type="dxa"/>
          </w:tcPr>
          <w:p w:rsidR="006F1D1D" w:rsidRDefault="006F1D1D" w:rsidP="00C84DA3">
            <w:pPr>
              <w:pStyle w:val="AERtabletextright"/>
              <w:cnfStyle w:val="000000010000" w:firstRow="0" w:lastRow="0" w:firstColumn="0" w:lastColumn="0" w:oddVBand="0" w:evenVBand="0" w:oddHBand="0" w:evenHBand="1" w:firstRowFirstColumn="0" w:firstRowLastColumn="0" w:lastRowFirstColumn="0" w:lastRowLastColumn="0"/>
            </w:pPr>
            <w:r>
              <w:t>205.1</w:t>
            </w:r>
          </w:p>
        </w:tc>
        <w:tc>
          <w:tcPr>
            <w:tcW w:w="2297" w:type="dxa"/>
          </w:tcPr>
          <w:p w:rsidR="006F1D1D" w:rsidRDefault="00176B2D" w:rsidP="00C84DA3">
            <w:pPr>
              <w:pStyle w:val="AERtabletextright"/>
              <w:cnfStyle w:val="000000010000" w:firstRow="0" w:lastRow="0" w:firstColumn="0" w:lastColumn="0" w:oddVBand="0" w:evenVBand="0" w:oddHBand="0" w:evenHBand="1" w:firstRowFirstColumn="0" w:firstRowLastColumn="0" w:lastRowFirstColumn="0" w:lastRowLastColumn="0"/>
            </w:pPr>
            <w:r>
              <w:t>–</w:t>
            </w:r>
            <w:r w:rsidR="006F1D1D">
              <w:t>10.4 (</w:t>
            </w:r>
            <w:r>
              <w:t>–</w:t>
            </w:r>
            <w:r w:rsidR="006F1D1D">
              <w:t>4.8%)</w:t>
            </w:r>
          </w:p>
        </w:tc>
      </w:tr>
    </w:tbl>
    <w:p w:rsidR="006F1D1D" w:rsidRDefault="006F1D1D" w:rsidP="006F1D1D">
      <w:pPr>
        <w:pStyle w:val="AERtablesource"/>
      </w:pPr>
      <w:r>
        <w:t xml:space="preserve">Source: </w:t>
      </w:r>
      <w:r>
        <w:tab/>
        <w:t>AER analysis.</w:t>
      </w:r>
    </w:p>
    <w:p w:rsidR="006F1D1D" w:rsidRPr="00EF314D" w:rsidRDefault="006F1D1D" w:rsidP="006F1D1D">
      <w:pPr>
        <w:pStyle w:val="AERbodytext"/>
      </w:pPr>
      <w:r>
        <w:t xml:space="preserve">Sections 4.1.1 and 4.1.2 discuss our high level assessment of </w:t>
      </w:r>
      <w:proofErr w:type="spellStart"/>
      <w:r>
        <w:t>TransGrid’s</w:t>
      </w:r>
      <w:proofErr w:type="spellEnd"/>
      <w:r>
        <w:t xml:space="preserve"> and </w:t>
      </w:r>
      <w:proofErr w:type="spellStart"/>
      <w:r>
        <w:t>Transend’s</w:t>
      </w:r>
      <w:proofErr w:type="spellEnd"/>
      <w:r>
        <w:t xml:space="preserve"> proposed </w:t>
      </w:r>
      <w:r w:rsidR="003C200B">
        <w:t>indicative MARs</w:t>
      </w:r>
      <w:r>
        <w:t xml:space="preserve"> and the reasons for our decisions</w:t>
      </w:r>
      <w:r w:rsidR="007B5FC6">
        <w:t>,</w:t>
      </w:r>
      <w:r>
        <w:t xml:space="preserve"> respectively.</w:t>
      </w:r>
    </w:p>
    <w:p w:rsidR="006F1D1D" w:rsidRDefault="006F1D1D" w:rsidP="006F1D1D">
      <w:pPr>
        <w:pStyle w:val="Heading3"/>
      </w:pPr>
      <w:bookmarkStart w:id="45" w:name="_Toc382573770"/>
      <w:r>
        <w:lastRenderedPageBreak/>
        <w:t>TransGrid</w:t>
      </w:r>
      <w:bookmarkEnd w:id="45"/>
    </w:p>
    <w:p w:rsidR="006F1D1D" w:rsidRDefault="006F1D1D" w:rsidP="006F1D1D">
      <w:pPr>
        <w:pStyle w:val="AERbodytext"/>
        <w:numPr>
          <w:ilvl w:val="0"/>
          <w:numId w:val="0"/>
        </w:numPr>
      </w:pPr>
      <w:r>
        <w:t xml:space="preserve">We do not accept </w:t>
      </w:r>
      <w:proofErr w:type="spellStart"/>
      <w:r>
        <w:t>TransGrid’s</w:t>
      </w:r>
      <w:proofErr w:type="spellEnd"/>
      <w:r>
        <w:t xml:space="preserve"> proposed MAR for the </w:t>
      </w:r>
      <w:r w:rsidR="003C200B">
        <w:t>transitional</w:t>
      </w:r>
      <w:r>
        <w:t xml:space="preserve"> regulatory control period. Instead we have substituted a MAR of $845.4 million ($ nominal). This is because after considering the key revenue drivers</w:t>
      </w:r>
      <w:r w:rsidR="00DA10E9">
        <w:t xml:space="preserve"> as an input into the </w:t>
      </w:r>
      <w:proofErr w:type="gramStart"/>
      <w:r w:rsidR="00DA10E9">
        <w:t>MAR</w:t>
      </w:r>
      <w:r>
        <w:t>,</w:t>
      </w:r>
      <w:proofErr w:type="gramEnd"/>
      <w:r>
        <w:t xml:space="preserve"> our </w:t>
      </w:r>
      <w:r w:rsidR="00DA10E9">
        <w:t xml:space="preserve">analysis indicates that the </w:t>
      </w:r>
      <w:r w:rsidR="000C0EB2">
        <w:t xml:space="preserve">proposed </w:t>
      </w:r>
      <w:r w:rsidR="00DA10E9">
        <w:t xml:space="preserve">MAR </w:t>
      </w:r>
      <w:r w:rsidR="000C0EB2">
        <w:t>is</w:t>
      </w:r>
      <w:r w:rsidR="00DA10E9">
        <w:t xml:space="preserve"> likely to be overstated.</w:t>
      </w:r>
      <w:r w:rsidR="00E02D6C">
        <w:t xml:space="preserve"> </w:t>
      </w:r>
      <w:r w:rsidR="00113456">
        <w:t>In particular, w</w:t>
      </w:r>
      <w:r w:rsidR="00764893">
        <w:t xml:space="preserve">hen factoring in a rate of return </w:t>
      </w:r>
      <w:r w:rsidR="00081FDA">
        <w:t xml:space="preserve">that has regard to </w:t>
      </w:r>
      <w:r w:rsidR="00DB759E">
        <w:t xml:space="preserve">our </w:t>
      </w:r>
      <w:r w:rsidR="00013C43">
        <w:t>r</w:t>
      </w:r>
      <w:r w:rsidR="00764893">
        <w:t xml:space="preserve">ate of </w:t>
      </w:r>
      <w:r w:rsidR="00013C43">
        <w:t>r</w:t>
      </w:r>
      <w:r w:rsidR="00764893">
        <w:t xml:space="preserve">eturn </w:t>
      </w:r>
      <w:r w:rsidR="00013C43">
        <w:t>g</w:t>
      </w:r>
      <w:r w:rsidR="00764893">
        <w:t xml:space="preserve">uideline, and taking into account available market information and expected market trends, </w:t>
      </w:r>
      <w:r>
        <w:t xml:space="preserve">we expect forecast costs to be lower than that proposed by TransGrid in relation to </w:t>
      </w:r>
      <w:r w:rsidR="000C0EB2">
        <w:t xml:space="preserve">the </w:t>
      </w:r>
      <w:r>
        <w:t xml:space="preserve">return on capital and corporate income tax, as discussed in section </w:t>
      </w:r>
      <w:r w:rsidR="00BF5E70">
        <w:t>4.2</w:t>
      </w:r>
      <w:r>
        <w:t xml:space="preserve">. </w:t>
      </w:r>
      <w:r w:rsidR="00764893">
        <w:t xml:space="preserve">We are satisfied that a MAR that incorporates a rate </w:t>
      </w:r>
      <w:r w:rsidR="00DA1A1A">
        <w:t xml:space="preserve">of </w:t>
      </w:r>
      <w:r w:rsidR="00764893">
        <w:t xml:space="preserve">return </w:t>
      </w:r>
      <w:r w:rsidR="007060C3">
        <w:t xml:space="preserve">and gamma value </w:t>
      </w:r>
      <w:r w:rsidR="00764893">
        <w:t>that more accurately has regard to these factors is reasonably likely to minimise price variations.</w:t>
      </w:r>
      <w:r w:rsidRPr="00693DD2">
        <w:t xml:space="preserve"> </w:t>
      </w:r>
      <w:r w:rsidR="00113456">
        <w:t>Given this, our assessment at the time of this transitional determination is that the MAR</w:t>
      </w:r>
      <w:r w:rsidR="00113456" w:rsidRPr="00D1719D">
        <w:t xml:space="preserve"> </w:t>
      </w:r>
      <w:r w:rsidR="00113456">
        <w:t>proposed by TransGrid is not reasonably likely to minimise variations in price</w:t>
      </w:r>
      <w:r w:rsidR="00411961">
        <w:t xml:space="preserve"> in that it is </w:t>
      </w:r>
      <w:r w:rsidR="00B40552">
        <w:t xml:space="preserve">not </w:t>
      </w:r>
      <w:r w:rsidR="00411961">
        <w:t>reducing the potential for any future significant price changes for consumers</w:t>
      </w:r>
      <w:r w:rsidR="00113456">
        <w:t xml:space="preserve">.  </w:t>
      </w:r>
    </w:p>
    <w:p w:rsidR="00955DF1" w:rsidRDefault="00113456" w:rsidP="006F1D1D">
      <w:pPr>
        <w:pStyle w:val="AERbodytext"/>
        <w:numPr>
          <w:ilvl w:val="0"/>
          <w:numId w:val="0"/>
        </w:numPr>
      </w:pPr>
      <w:r>
        <w:t>We</w:t>
      </w:r>
      <w:r w:rsidR="006F1D1D">
        <w:t xml:space="preserve"> have </w:t>
      </w:r>
      <w:r>
        <w:t xml:space="preserve">therefore </w:t>
      </w:r>
      <w:r w:rsidR="006F1D1D">
        <w:t xml:space="preserve">adjusted the proposed MAR for </w:t>
      </w:r>
      <w:r w:rsidR="0033403C">
        <w:t xml:space="preserve">the transitional regulatory control period </w:t>
      </w:r>
      <w:r w:rsidR="006F1D1D">
        <w:t xml:space="preserve">to </w:t>
      </w:r>
      <w:r w:rsidR="006F1D1D" w:rsidRPr="002504BB">
        <w:t xml:space="preserve">reflect our adjustment to </w:t>
      </w:r>
      <w:proofErr w:type="spellStart"/>
      <w:r w:rsidR="006F1D1D" w:rsidRPr="002504BB">
        <w:t>TransGrid</w:t>
      </w:r>
      <w:r w:rsidR="006F1D1D" w:rsidRPr="002504BB">
        <w:rPr>
          <w:rFonts w:hint="eastAsia"/>
        </w:rPr>
        <w:t>’</w:t>
      </w:r>
      <w:r w:rsidR="006F1D1D" w:rsidRPr="002504BB">
        <w:t>s</w:t>
      </w:r>
      <w:proofErr w:type="spellEnd"/>
      <w:r w:rsidR="006F1D1D" w:rsidRPr="002504BB">
        <w:t xml:space="preserve"> proposed rate of return and value of imputation credits (gamma) as discussed in section</w:t>
      </w:r>
      <w:r w:rsidR="006F1D1D" w:rsidRPr="00747576">
        <w:t>s</w:t>
      </w:r>
      <w:r w:rsidR="006F1D1D">
        <w:t xml:space="preserve"> </w:t>
      </w:r>
      <w:r w:rsidR="00BF5E70">
        <w:t>4.2.1</w:t>
      </w:r>
      <w:r w:rsidR="00071CBE">
        <w:t xml:space="preserve"> </w:t>
      </w:r>
      <w:r w:rsidR="006F1D1D">
        <w:t xml:space="preserve">and </w:t>
      </w:r>
      <w:r w:rsidR="00BF5E70">
        <w:t>4.2.5</w:t>
      </w:r>
      <w:r w:rsidR="0051411A">
        <w:t>,</w:t>
      </w:r>
      <w:r w:rsidR="006F1D1D">
        <w:t xml:space="preserve"> respectively. </w:t>
      </w:r>
      <w:r>
        <w:t>Accordingly</w:t>
      </w:r>
      <w:r w:rsidR="006F1D1D">
        <w:t>, we determine a MAR</w:t>
      </w:r>
      <w:r w:rsidR="006F1D1D" w:rsidRPr="00123766">
        <w:t xml:space="preserve"> </w:t>
      </w:r>
      <w:r w:rsidR="006F1D1D">
        <w:t xml:space="preserve">of </w:t>
      </w:r>
      <w:r w:rsidR="006F1D1D" w:rsidRPr="00B02039">
        <w:t>$</w:t>
      </w:r>
      <w:r w:rsidR="006F1D1D">
        <w:t xml:space="preserve">845.4 million for </w:t>
      </w:r>
      <w:r w:rsidR="00CC324B">
        <w:t>the transitional regulatory control period</w:t>
      </w:r>
      <w:r w:rsidR="006F1D1D">
        <w:t xml:space="preserve"> for TransGrid.</w:t>
      </w:r>
      <w:r w:rsidR="009831BE">
        <w:t xml:space="preserve"> </w:t>
      </w:r>
    </w:p>
    <w:p w:rsidR="00955DF1" w:rsidRDefault="00955DF1" w:rsidP="006F1D1D">
      <w:pPr>
        <w:pStyle w:val="AERbodytext"/>
        <w:numPr>
          <w:ilvl w:val="0"/>
          <w:numId w:val="0"/>
        </w:numPr>
      </w:pPr>
      <w:r>
        <w:t xml:space="preserve">We note the Major Energy Users’ submission on its concern with </w:t>
      </w:r>
      <w:proofErr w:type="spellStart"/>
      <w:r>
        <w:t>TransGrid’s</w:t>
      </w:r>
      <w:proofErr w:type="spellEnd"/>
      <w:r>
        <w:t xml:space="preserve"> smoothing approach to derive the placeholder MAR.</w:t>
      </w:r>
      <w:r>
        <w:rPr>
          <w:rStyle w:val="FootnoteReference"/>
        </w:rPr>
        <w:footnoteReference w:id="28"/>
      </w:r>
      <w:r>
        <w:t xml:space="preserve"> We agree that only the MAR for the transitional regulatory control period is being established. However, we must also consider the impact of price variations over the relevant regulatory control periods</w:t>
      </w:r>
      <w:r w:rsidR="00113456">
        <w:t xml:space="preserve"> and years</w:t>
      </w:r>
      <w:r>
        <w:t xml:space="preserve">. To this end, we consider that the smoothing approach employed by TransGrid for the subsequent regulatory control period contributes to minimising price variations. For the purposes of this transitional determination we have adopted this smoothing approach for the subsequent regulatory control period, but we have adjusted the MAR for the transitional regulatory control period. We will </w:t>
      </w:r>
      <w:r w:rsidRPr="00B53E86">
        <w:t xml:space="preserve">have to confirm </w:t>
      </w:r>
      <w:r>
        <w:t>the smoothing approach</w:t>
      </w:r>
      <w:r w:rsidRPr="00B53E86">
        <w:t xml:space="preserve"> </w:t>
      </w:r>
      <w:r>
        <w:t>for the subsequent regulatory control period as part of</w:t>
      </w:r>
      <w:r w:rsidRPr="00B53E86">
        <w:t xml:space="preserve"> the </w:t>
      </w:r>
      <w:r>
        <w:t>full determination process</w:t>
      </w:r>
      <w:r w:rsidR="00076FC7">
        <w:t xml:space="preserve">, just as we will have to consider all other elements of the full proposal before making </w:t>
      </w:r>
      <w:r w:rsidR="00DA1A1A">
        <w:t>the full</w:t>
      </w:r>
      <w:r w:rsidR="00076FC7">
        <w:t xml:space="preserve"> determination</w:t>
      </w:r>
      <w:r>
        <w:t>.</w:t>
      </w:r>
    </w:p>
    <w:p w:rsidR="00A14EE0" w:rsidRDefault="00A14EE0" w:rsidP="00A14EE0">
      <w:pPr>
        <w:pStyle w:val="AERbodytext"/>
        <w:numPr>
          <w:ilvl w:val="0"/>
          <w:numId w:val="0"/>
        </w:numPr>
      </w:pPr>
      <w:r w:rsidRPr="0092785B">
        <w:fldChar w:fldCharType="begin"/>
      </w:r>
      <w:r w:rsidRPr="0092785B">
        <w:instrText xml:space="preserve"> REF _Ref381887289 \h  \* MERGEFORMAT </w:instrText>
      </w:r>
      <w:r w:rsidRPr="0092785B">
        <w:fldChar w:fldCharType="separate"/>
      </w:r>
      <w:r w:rsidR="00B40E3D" w:rsidRPr="00E70BD4">
        <w:t xml:space="preserve">Figure </w:t>
      </w:r>
      <w:r w:rsidR="00B40E3D">
        <w:rPr>
          <w:noProof/>
        </w:rPr>
        <w:t>4.1</w:t>
      </w:r>
      <w:r w:rsidRPr="0092785B">
        <w:fldChar w:fldCharType="end"/>
      </w:r>
      <w:r w:rsidRPr="0092785B">
        <w:t xml:space="preserve"> s</w:t>
      </w:r>
      <w:r>
        <w:t xml:space="preserve">hows </w:t>
      </w:r>
      <w:proofErr w:type="spellStart"/>
      <w:r>
        <w:t>TransGrid’s</w:t>
      </w:r>
      <w:proofErr w:type="spellEnd"/>
      <w:r>
        <w:t xml:space="preserve"> price path based on its proposed MAR and the price path based on our MAR adjusted for the rate of return and gamma. We consider our adjusted MAR for TransGrid over the </w:t>
      </w:r>
      <w:r w:rsidR="00026D1E">
        <w:t>transitional</w:t>
      </w:r>
      <w:r>
        <w:t xml:space="preserve"> regulatory control period is </w:t>
      </w:r>
      <w:r w:rsidR="00BE7F18">
        <w:t xml:space="preserve">reasonably </w:t>
      </w:r>
      <w:r>
        <w:t>likely to result in a price path that minimise</w:t>
      </w:r>
      <w:r w:rsidR="00BE7F18">
        <w:t>s</w:t>
      </w:r>
      <w:r>
        <w:t xml:space="preserve"> price variations. This is because we expect its forecast costs to be lower than that proposed by TransGrid. We consider that if the reduction to the revenue is not made in this decision, then </w:t>
      </w:r>
      <w:r w:rsidR="00BE7F18">
        <w:t xml:space="preserve">any </w:t>
      </w:r>
      <w:r>
        <w:t xml:space="preserve">resulting over-recovery </w:t>
      </w:r>
      <w:r w:rsidRPr="00055EBB">
        <w:t xml:space="preserve">in the </w:t>
      </w:r>
      <w:r w:rsidR="00026D1E">
        <w:t>transitional</w:t>
      </w:r>
      <w:r>
        <w:t xml:space="preserve"> regulatory control period</w:t>
      </w:r>
      <w:r w:rsidRPr="00055EBB">
        <w:t xml:space="preserve"> </w:t>
      </w:r>
      <w:r w:rsidR="00BE7F18">
        <w:t xml:space="preserve">would be reasonably likely to </w:t>
      </w:r>
      <w:r>
        <w:t>lead to more significant</w:t>
      </w:r>
      <w:r w:rsidRPr="00055EBB">
        <w:t xml:space="preserve"> </w:t>
      </w:r>
      <w:r>
        <w:t>price variations over the relevant regulatory control periods</w:t>
      </w:r>
      <w:r w:rsidR="007F363C">
        <w:t xml:space="preserve"> and years</w:t>
      </w:r>
      <w:r w:rsidR="00D67D82">
        <w:t>. It is not likely to contribute to the achievement of the NEO and is not consistent with the RPPs in terms of promoting efficient investment.</w:t>
      </w:r>
      <w:r w:rsidR="00D67D82">
        <w:rPr>
          <w:rStyle w:val="FootnoteReference"/>
        </w:rPr>
        <w:footnoteReference w:id="29"/>
      </w:r>
    </w:p>
    <w:p w:rsidR="006F1D1D" w:rsidRDefault="006F1D1D" w:rsidP="006F1D1D">
      <w:pPr>
        <w:pStyle w:val="Caption"/>
      </w:pPr>
      <w:bookmarkStart w:id="46" w:name="_Ref381887289"/>
      <w:bookmarkStart w:id="47" w:name="_Ref382389688"/>
      <w:proofErr w:type="gramStart"/>
      <w:r w:rsidRPr="00E70BD4">
        <w:lastRenderedPageBreak/>
        <w:t xml:space="preserve">Figure </w:t>
      </w:r>
      <w:fldSimple w:instr=" STYLEREF 1 \s ">
        <w:r w:rsidR="00B40E3D">
          <w:rPr>
            <w:noProof/>
          </w:rPr>
          <w:t>4</w:t>
        </w:r>
      </w:fldSimple>
      <w:r>
        <w:t>.</w:t>
      </w:r>
      <w:proofErr w:type="gramEnd"/>
      <w:r w:rsidR="007827B4">
        <w:fldChar w:fldCharType="begin"/>
      </w:r>
      <w:r w:rsidR="007827B4">
        <w:instrText xml:space="preserve"> SEQ Figure \* ARABIC \s 1 </w:instrText>
      </w:r>
      <w:r w:rsidR="007827B4">
        <w:fldChar w:fldCharType="separate"/>
      </w:r>
      <w:r w:rsidR="00B40E3D">
        <w:rPr>
          <w:noProof/>
        </w:rPr>
        <w:t>1</w:t>
      </w:r>
      <w:r w:rsidR="007827B4">
        <w:rPr>
          <w:noProof/>
        </w:rPr>
        <w:fldChar w:fldCharType="end"/>
      </w:r>
      <w:bookmarkEnd w:id="46"/>
      <w:r w:rsidRPr="00E70BD4">
        <w:t xml:space="preserve"> </w:t>
      </w:r>
      <w:r w:rsidRPr="00E70BD4">
        <w:tab/>
        <w:t xml:space="preserve">TransGrid proposed indicative transmission price path and AER price path </w:t>
      </w:r>
      <w:r w:rsidR="0033403C">
        <w:t xml:space="preserve">after substituting proposed MAR </w:t>
      </w:r>
      <w:r w:rsidRPr="00E70BD4">
        <w:t>($/</w:t>
      </w:r>
      <w:proofErr w:type="spellStart"/>
      <w:r w:rsidRPr="00E70BD4">
        <w:t>MWh</w:t>
      </w:r>
      <w:proofErr w:type="spellEnd"/>
      <w:r w:rsidRPr="00E70BD4">
        <w:t>, nominal)</w:t>
      </w:r>
      <w:bookmarkEnd w:id="47"/>
      <w:r>
        <w:t xml:space="preserve"> </w:t>
      </w:r>
    </w:p>
    <w:p w:rsidR="006F1D1D" w:rsidRDefault="001E31A1" w:rsidP="001E31A1">
      <w:pPr>
        <w:pStyle w:val="AERbodytext"/>
        <w:spacing w:after="0"/>
      </w:pPr>
      <w:r w:rsidRPr="001E31A1">
        <w:rPr>
          <w:noProof/>
          <w:lang w:eastAsia="en-AU"/>
        </w:rPr>
        <w:drawing>
          <wp:inline distT="0" distB="0" distL="0" distR="0" wp14:anchorId="42F72479" wp14:editId="1E3F0B87">
            <wp:extent cx="5731510" cy="3861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861770"/>
                    </a:xfrm>
                    <a:prstGeom prst="rect">
                      <a:avLst/>
                    </a:prstGeom>
                    <a:noFill/>
                    <a:ln>
                      <a:noFill/>
                    </a:ln>
                  </pic:spPr>
                </pic:pic>
              </a:graphicData>
            </a:graphic>
          </wp:inline>
        </w:drawing>
      </w:r>
    </w:p>
    <w:p w:rsidR="006F1D1D" w:rsidRDefault="006F1D1D" w:rsidP="001E31A1">
      <w:pPr>
        <w:pStyle w:val="AERtablesource"/>
        <w:spacing w:after="0"/>
      </w:pPr>
      <w:r>
        <w:t>Note:</w:t>
      </w:r>
      <w:r>
        <w:tab/>
        <w:t xml:space="preserve">The 2013–14 price is calculated based on </w:t>
      </w:r>
      <w:proofErr w:type="spellStart"/>
      <w:r>
        <w:t>TransGrid’s</w:t>
      </w:r>
      <w:proofErr w:type="spellEnd"/>
      <w:r>
        <w:t xml:space="preserve"> estimated 2013–14 revenue of $863 million.</w:t>
      </w:r>
      <w:r w:rsidR="0026343B">
        <w:br/>
      </w:r>
      <w:proofErr w:type="spellStart"/>
      <w:r w:rsidR="0026343B">
        <w:t>TransGrid’s</w:t>
      </w:r>
      <w:proofErr w:type="spellEnd"/>
      <w:r w:rsidR="0026343B">
        <w:t xml:space="preserve"> proposal </w:t>
      </w:r>
      <w:r w:rsidR="0026343B" w:rsidRPr="0026343B">
        <w:t xml:space="preserve">provided a price path by dividing the annual expected MAR by the forecast annual energy delivered in New South Wales over the 2014–15 and 2016–19 regulatory control periods. </w:t>
      </w:r>
      <w:proofErr w:type="spellStart"/>
      <w:r w:rsidR="0026343B" w:rsidRPr="0026343B">
        <w:t>TransGrid’s</w:t>
      </w:r>
      <w:proofErr w:type="spellEnd"/>
      <w:r w:rsidR="0026343B" w:rsidRPr="0026343B">
        <w:t xml:space="preserve"> energy forecasts are consistent with the AEMO’s 2013 forecasts. We have adopted </w:t>
      </w:r>
      <w:proofErr w:type="spellStart"/>
      <w:r w:rsidR="0026343B" w:rsidRPr="0026343B">
        <w:t>TransGrid’s</w:t>
      </w:r>
      <w:proofErr w:type="spellEnd"/>
      <w:r w:rsidR="0026343B" w:rsidRPr="0026343B">
        <w:t xml:space="preserve"> approach and energy forecasts for the purposes of reviewing the price path for this decision.</w:t>
      </w:r>
    </w:p>
    <w:p w:rsidR="006F1D1D" w:rsidRPr="00FA0932" w:rsidRDefault="006F1D1D" w:rsidP="006F1D1D">
      <w:pPr>
        <w:pStyle w:val="AERtablesource"/>
      </w:pPr>
      <w:r>
        <w:t>Source:</w:t>
      </w:r>
      <w:r>
        <w:tab/>
        <w:t>AER analysis.</w:t>
      </w:r>
    </w:p>
    <w:p w:rsidR="00026D1E" w:rsidRDefault="00E02D6C" w:rsidP="00026D1E">
      <w:pPr>
        <w:pStyle w:val="AERbodytext"/>
        <w:numPr>
          <w:ilvl w:val="0"/>
          <w:numId w:val="0"/>
        </w:numPr>
      </w:pPr>
      <w:bookmarkStart w:id="48" w:name="_Ref381890698"/>
      <w:r>
        <w:t>Table</w:t>
      </w:r>
      <w:r w:rsidR="0059768B">
        <w:t xml:space="preserve"> 4.</w:t>
      </w:r>
      <w:r>
        <w:t>2</w:t>
      </w:r>
      <w:r w:rsidR="00026D1E" w:rsidRPr="00026D1E">
        <w:t xml:space="preserve"> shows </w:t>
      </w:r>
      <w:proofErr w:type="spellStart"/>
      <w:r w:rsidR="00026D1E" w:rsidRPr="00026D1E">
        <w:t>TransGrid’s</w:t>
      </w:r>
      <w:proofErr w:type="spellEnd"/>
      <w:r w:rsidR="00026D1E" w:rsidRPr="00026D1E">
        <w:t xml:space="preserve"> proposed revenue (and price path) for the transitional and subsequent regulatory control periods and our substituted revenue (and price path) for the transitional and subsequent regulatory control periods.</w:t>
      </w:r>
    </w:p>
    <w:p w:rsidR="00026D1E" w:rsidRDefault="00026D1E">
      <w:pPr>
        <w:spacing w:after="0" w:line="240" w:lineRule="auto"/>
        <w:jc w:val="left"/>
        <w:rPr>
          <w:rFonts w:eastAsia="Times New Roman"/>
          <w:b/>
          <w:bCs/>
          <w:szCs w:val="18"/>
        </w:rPr>
      </w:pPr>
      <w:r>
        <w:br w:type="page"/>
      </w:r>
    </w:p>
    <w:p w:rsidR="006F1D1D" w:rsidRDefault="006F1D1D" w:rsidP="006F1D1D">
      <w:pPr>
        <w:pStyle w:val="Caption"/>
      </w:pPr>
      <w:proofErr w:type="gramStart"/>
      <w:r>
        <w:lastRenderedPageBreak/>
        <w:t xml:space="preserve">Table </w:t>
      </w:r>
      <w:fldSimple w:instr=" STYLEREF 1 \s ">
        <w:r w:rsidR="00B40E3D">
          <w:rPr>
            <w:noProof/>
          </w:rPr>
          <w:t>4</w:t>
        </w:r>
      </w:fldSimple>
      <w:r>
        <w:t>.</w:t>
      </w:r>
      <w:proofErr w:type="gramEnd"/>
      <w:r w:rsidR="007827B4">
        <w:fldChar w:fldCharType="begin"/>
      </w:r>
      <w:r w:rsidR="007827B4">
        <w:instrText xml:space="preserve"> SEQ Table \* ARABIC \s 1 </w:instrText>
      </w:r>
      <w:r w:rsidR="007827B4">
        <w:fldChar w:fldCharType="separate"/>
      </w:r>
      <w:r w:rsidR="00B40E3D">
        <w:rPr>
          <w:noProof/>
        </w:rPr>
        <w:t>2</w:t>
      </w:r>
      <w:r w:rsidR="007827B4">
        <w:rPr>
          <w:noProof/>
        </w:rPr>
        <w:fldChar w:fldCharType="end"/>
      </w:r>
      <w:bookmarkEnd w:id="48"/>
      <w:r>
        <w:tab/>
      </w:r>
      <w:proofErr w:type="spellStart"/>
      <w:r>
        <w:t>TransGrid’s</w:t>
      </w:r>
      <w:proofErr w:type="spellEnd"/>
      <w:r>
        <w:t xml:space="preserve"> proposed revenue and price path and AER substituted revenue and price path</w:t>
      </w:r>
    </w:p>
    <w:tbl>
      <w:tblPr>
        <w:tblStyle w:val="AERtable-numbers"/>
        <w:tblW w:w="9260" w:type="dxa"/>
        <w:tblLook w:val="04A0" w:firstRow="1" w:lastRow="0" w:firstColumn="1" w:lastColumn="0" w:noHBand="0" w:noVBand="1"/>
      </w:tblPr>
      <w:tblGrid>
        <w:gridCol w:w="1628"/>
        <w:gridCol w:w="607"/>
        <w:gridCol w:w="954"/>
        <w:gridCol w:w="270"/>
        <w:gridCol w:w="771"/>
        <w:gridCol w:w="322"/>
        <w:gridCol w:w="677"/>
        <w:gridCol w:w="1056"/>
        <w:gridCol w:w="1056"/>
        <w:gridCol w:w="995"/>
        <w:gridCol w:w="924"/>
      </w:tblGrid>
      <w:tr w:rsidR="00026D1E" w:rsidTr="00B76674">
        <w:trPr>
          <w:cnfStyle w:val="100000000000" w:firstRow="1" w:lastRow="0" w:firstColumn="0" w:lastColumn="0" w:oddVBand="0" w:evenVBand="0" w:oddHBand="0"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1628" w:type="dxa"/>
            <w:noWrap/>
            <w:hideMark/>
          </w:tcPr>
          <w:p w:rsidR="00026D1E" w:rsidRDefault="00026D1E" w:rsidP="00B76674">
            <w:pPr>
              <w:jc w:val="right"/>
              <w:rPr>
                <w:rFonts w:eastAsia="MS PGothic" w:hint="eastAsia"/>
                <w:b w:val="0"/>
                <w:bCs/>
                <w:color w:val="000000"/>
                <w:lang w:eastAsia="en-AU"/>
              </w:rPr>
            </w:pPr>
            <w:r>
              <w:rPr>
                <w:bCs/>
                <w:color w:val="000000"/>
                <w:lang w:eastAsia="en-AU"/>
              </w:rPr>
              <w:t> </w:t>
            </w:r>
          </w:p>
        </w:tc>
        <w:tc>
          <w:tcPr>
            <w:tcW w:w="1561" w:type="dxa"/>
            <w:gridSpan w:val="2"/>
            <w:noWrap/>
            <w:hideMark/>
          </w:tcPr>
          <w:p w:rsidR="00026D1E" w:rsidRDefault="00026D1E" w:rsidP="00B76674">
            <w:pPr>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color w:val="000000"/>
                <w:lang w:eastAsia="en-AU"/>
              </w:rPr>
            </w:pPr>
            <w:r>
              <w:rPr>
                <w:bCs/>
                <w:color w:val="000000"/>
                <w:lang w:eastAsia="en-AU"/>
              </w:rPr>
              <w:t> </w:t>
            </w:r>
          </w:p>
        </w:tc>
        <w:tc>
          <w:tcPr>
            <w:tcW w:w="1041" w:type="dxa"/>
            <w:gridSpan w:val="2"/>
            <w:noWrap/>
            <w:hideMark/>
          </w:tcPr>
          <w:p w:rsidR="00026D1E" w:rsidRDefault="00026D1E" w:rsidP="00B76674">
            <w:pPr>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2013–14</w:t>
            </w:r>
          </w:p>
        </w:tc>
        <w:tc>
          <w:tcPr>
            <w:tcW w:w="999" w:type="dxa"/>
            <w:gridSpan w:val="2"/>
            <w:noWrap/>
            <w:hideMark/>
          </w:tcPr>
          <w:p w:rsidR="00026D1E" w:rsidRDefault="00026D1E" w:rsidP="00B76674">
            <w:pPr>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2014–15</w:t>
            </w:r>
          </w:p>
        </w:tc>
        <w:tc>
          <w:tcPr>
            <w:tcW w:w="1056" w:type="dxa"/>
          </w:tcPr>
          <w:p w:rsidR="00026D1E" w:rsidRDefault="00026D1E" w:rsidP="00B76674">
            <w:pPr>
              <w:jc w:val="right"/>
              <w:cnfStyle w:val="100000000000" w:firstRow="1" w:lastRow="0" w:firstColumn="0" w:lastColumn="0" w:oddVBand="0" w:evenVBand="0" w:oddHBand="0" w:evenHBand="0" w:firstRowFirstColumn="0" w:firstRowLastColumn="0" w:lastRowFirstColumn="0" w:lastRowLastColumn="0"/>
              <w:rPr>
                <w:bCs/>
                <w:lang w:eastAsia="en-AU"/>
              </w:rPr>
            </w:pPr>
            <w:r>
              <w:rPr>
                <w:bCs/>
                <w:lang w:eastAsia="en-AU"/>
              </w:rPr>
              <w:t>2015–16</w:t>
            </w:r>
          </w:p>
        </w:tc>
        <w:tc>
          <w:tcPr>
            <w:tcW w:w="1056" w:type="dxa"/>
          </w:tcPr>
          <w:p w:rsidR="00026D1E" w:rsidRDefault="00026D1E" w:rsidP="00B76674">
            <w:pPr>
              <w:jc w:val="right"/>
              <w:cnfStyle w:val="100000000000" w:firstRow="1" w:lastRow="0" w:firstColumn="0" w:lastColumn="0" w:oddVBand="0" w:evenVBand="0" w:oddHBand="0" w:evenHBand="0" w:firstRowFirstColumn="0" w:firstRowLastColumn="0" w:lastRowFirstColumn="0" w:lastRowLastColumn="0"/>
              <w:rPr>
                <w:bCs/>
                <w:lang w:eastAsia="en-AU"/>
              </w:rPr>
            </w:pPr>
            <w:r>
              <w:rPr>
                <w:bCs/>
                <w:lang w:eastAsia="en-AU"/>
              </w:rPr>
              <w:t>2016–17</w:t>
            </w:r>
          </w:p>
        </w:tc>
        <w:tc>
          <w:tcPr>
            <w:tcW w:w="995" w:type="dxa"/>
          </w:tcPr>
          <w:p w:rsidR="00026D1E" w:rsidRDefault="00026D1E" w:rsidP="00B76674">
            <w:pPr>
              <w:jc w:val="right"/>
              <w:cnfStyle w:val="100000000000" w:firstRow="1" w:lastRow="0" w:firstColumn="0" w:lastColumn="0" w:oddVBand="0" w:evenVBand="0" w:oddHBand="0" w:evenHBand="0" w:firstRowFirstColumn="0" w:firstRowLastColumn="0" w:lastRowFirstColumn="0" w:lastRowLastColumn="0"/>
              <w:rPr>
                <w:bCs/>
                <w:lang w:eastAsia="en-AU"/>
              </w:rPr>
            </w:pPr>
            <w:r>
              <w:rPr>
                <w:bCs/>
                <w:lang w:eastAsia="en-AU"/>
              </w:rPr>
              <w:t>2017–18</w:t>
            </w:r>
          </w:p>
        </w:tc>
        <w:tc>
          <w:tcPr>
            <w:tcW w:w="924" w:type="dxa"/>
          </w:tcPr>
          <w:p w:rsidR="00026D1E" w:rsidRDefault="00026D1E" w:rsidP="00B76674">
            <w:pPr>
              <w:jc w:val="right"/>
              <w:cnfStyle w:val="100000000000" w:firstRow="1" w:lastRow="0" w:firstColumn="0" w:lastColumn="0" w:oddVBand="0" w:evenVBand="0" w:oddHBand="0" w:evenHBand="0" w:firstRowFirstColumn="0" w:firstRowLastColumn="0" w:lastRowFirstColumn="0" w:lastRowLastColumn="0"/>
              <w:rPr>
                <w:bCs/>
                <w:lang w:eastAsia="en-AU"/>
              </w:rPr>
            </w:pPr>
            <w:r>
              <w:rPr>
                <w:bCs/>
                <w:lang w:eastAsia="en-AU"/>
              </w:rPr>
              <w:t>2018–19</w:t>
            </w:r>
          </w:p>
        </w:tc>
      </w:tr>
      <w:tr w:rsidR="00026D1E" w:rsidTr="00B76674">
        <w:trPr>
          <w:gridAfter w:val="5"/>
          <w:wAfter w:w="4708" w:type="dxa"/>
          <w:trHeight w:val="201"/>
        </w:trPr>
        <w:tc>
          <w:tcPr>
            <w:cnfStyle w:val="001000000000" w:firstRow="0" w:lastRow="0" w:firstColumn="1" w:lastColumn="0" w:oddVBand="0" w:evenVBand="0" w:oddHBand="0" w:evenHBand="0" w:firstRowFirstColumn="0" w:firstRowLastColumn="0" w:lastRowFirstColumn="0" w:lastRowLastColumn="0"/>
            <w:tcW w:w="3459" w:type="dxa"/>
            <w:gridSpan w:val="4"/>
          </w:tcPr>
          <w:p w:rsidR="00026D1E" w:rsidRPr="00F13AEA" w:rsidRDefault="00026D1E" w:rsidP="00B76674">
            <w:pPr>
              <w:pStyle w:val="AERtabletextleft"/>
              <w:rPr>
                <w:b/>
                <w:lang w:eastAsia="en-AU"/>
              </w:rPr>
            </w:pPr>
            <w:r w:rsidRPr="00F13AEA">
              <w:rPr>
                <w:b/>
                <w:lang w:eastAsia="en-AU"/>
              </w:rPr>
              <w:t>Proposed revenue and price path</w:t>
            </w:r>
          </w:p>
        </w:tc>
        <w:tc>
          <w:tcPr>
            <w:tcW w:w="1093" w:type="dxa"/>
            <w:gridSpan w:val="2"/>
          </w:tcPr>
          <w:p w:rsidR="00026D1E" w:rsidRDefault="00026D1E" w:rsidP="00B76674">
            <w:pPr>
              <w:jc w:val="left"/>
              <w:cnfStyle w:val="000000000000" w:firstRow="0" w:lastRow="0" w:firstColumn="0" w:lastColumn="0" w:oddVBand="0" w:evenVBand="0" w:oddHBand="0" w:evenHBand="0" w:firstRowFirstColumn="0" w:firstRowLastColumn="0" w:lastRowFirstColumn="0" w:lastRowLastColumn="0"/>
              <w:rPr>
                <w:b/>
                <w:bCs/>
                <w:color w:val="000000"/>
                <w:lang w:eastAsia="en-AU"/>
              </w:rPr>
            </w:pPr>
          </w:p>
        </w:tc>
      </w:tr>
      <w:tr w:rsidR="00026D1E" w:rsidTr="00B76674">
        <w:trPr>
          <w:cnfStyle w:val="000000010000" w:firstRow="0" w:lastRow="0" w:firstColumn="0" w:lastColumn="0" w:oddVBand="0" w:evenVBand="0" w:oddHBand="0" w:evenHBand="1"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189" w:type="dxa"/>
            <w:gridSpan w:val="3"/>
            <w:noWrap/>
            <w:hideMark/>
          </w:tcPr>
          <w:p w:rsidR="00026D1E" w:rsidRDefault="00026D1E" w:rsidP="00B76674">
            <w:pPr>
              <w:pStyle w:val="AERtabletextleft"/>
              <w:rPr>
                <w:rFonts w:eastAsia="MS PGothic" w:hint="eastAsia"/>
                <w:lang w:eastAsia="en-AU"/>
              </w:rPr>
            </w:pPr>
            <w:r>
              <w:rPr>
                <w:lang w:eastAsia="en-AU"/>
              </w:rPr>
              <w:t>Revenue ($million, nominal)</w:t>
            </w:r>
          </w:p>
        </w:tc>
        <w:tc>
          <w:tcPr>
            <w:tcW w:w="1041" w:type="dxa"/>
            <w:gridSpan w:val="2"/>
            <w:noWrap/>
            <w:hideMark/>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rPr>
                <w:rFonts w:eastAsia="MS PGothic" w:hint="eastAsia"/>
                <w:lang w:eastAsia="en-AU"/>
              </w:rPr>
            </w:pPr>
            <w:r>
              <w:rPr>
                <w:lang w:eastAsia="en-AU"/>
              </w:rPr>
              <w:t>863.0</w:t>
            </w:r>
            <w:r w:rsidRPr="00B2559D">
              <w:rPr>
                <w:rStyle w:val="AERsuperscript"/>
              </w:rPr>
              <w:t>(a)</w:t>
            </w:r>
          </w:p>
        </w:tc>
        <w:tc>
          <w:tcPr>
            <w:tcW w:w="999" w:type="dxa"/>
            <w:gridSpan w:val="2"/>
            <w:noWrap/>
            <w:hideMark/>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rPr>
                <w:rFonts w:eastAsia="MS PGothic" w:hint="eastAsia"/>
                <w:lang w:eastAsia="en-AU"/>
              </w:rPr>
            </w:pPr>
            <w:r>
              <w:rPr>
                <w:lang w:eastAsia="en-AU"/>
              </w:rPr>
              <w:t>929.9</w:t>
            </w:r>
          </w:p>
        </w:tc>
        <w:tc>
          <w:tcPr>
            <w:tcW w:w="1056" w:type="dxa"/>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Pr>
                <w:lang w:eastAsia="en-AU"/>
              </w:rPr>
              <w:t>953.3</w:t>
            </w:r>
          </w:p>
        </w:tc>
        <w:tc>
          <w:tcPr>
            <w:tcW w:w="1056" w:type="dxa"/>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Pr>
                <w:lang w:eastAsia="en-AU"/>
              </w:rPr>
              <w:t>977.4</w:t>
            </w:r>
          </w:p>
        </w:tc>
        <w:tc>
          <w:tcPr>
            <w:tcW w:w="995" w:type="dxa"/>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Pr>
                <w:lang w:eastAsia="en-AU"/>
              </w:rPr>
              <w:t>1002.1</w:t>
            </w:r>
          </w:p>
        </w:tc>
        <w:tc>
          <w:tcPr>
            <w:tcW w:w="924" w:type="dxa"/>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Pr>
                <w:lang w:eastAsia="en-AU"/>
              </w:rPr>
              <w:t>1027.4</w:t>
            </w:r>
          </w:p>
        </w:tc>
      </w:tr>
      <w:tr w:rsidR="00026D1E" w:rsidTr="00B76674">
        <w:trPr>
          <w:trHeight w:val="201"/>
        </w:trPr>
        <w:tc>
          <w:tcPr>
            <w:cnfStyle w:val="001000000000" w:firstRow="0" w:lastRow="0" w:firstColumn="1" w:lastColumn="0" w:oddVBand="0" w:evenVBand="0" w:oddHBand="0" w:evenHBand="0" w:firstRowFirstColumn="0" w:firstRowLastColumn="0" w:lastRowFirstColumn="0" w:lastRowLastColumn="0"/>
            <w:tcW w:w="3189" w:type="dxa"/>
            <w:gridSpan w:val="3"/>
            <w:noWrap/>
            <w:hideMark/>
          </w:tcPr>
          <w:p w:rsidR="00026D1E" w:rsidRDefault="00026D1E" w:rsidP="00882540">
            <w:pPr>
              <w:pStyle w:val="AERtabletextleft"/>
              <w:rPr>
                <w:rFonts w:eastAsia="MS PGothic" w:hint="eastAsia"/>
                <w:lang w:eastAsia="en-AU"/>
              </w:rPr>
            </w:pPr>
            <w:r>
              <w:rPr>
                <w:lang w:eastAsia="en-AU"/>
              </w:rPr>
              <w:t xml:space="preserve">Price path </w:t>
            </w:r>
            <w:r w:rsidRPr="00814805">
              <w:rPr>
                <w:lang w:eastAsia="en-AU"/>
              </w:rPr>
              <w:t>($/</w:t>
            </w:r>
            <w:proofErr w:type="spellStart"/>
            <w:r w:rsidRPr="00814805">
              <w:rPr>
                <w:lang w:eastAsia="en-AU"/>
              </w:rPr>
              <w:t>MWh</w:t>
            </w:r>
            <w:proofErr w:type="spellEnd"/>
            <w:r w:rsidRPr="00814805">
              <w:rPr>
                <w:lang w:eastAsia="en-AU"/>
              </w:rPr>
              <w:t>, nominal)</w:t>
            </w:r>
          </w:p>
        </w:tc>
        <w:tc>
          <w:tcPr>
            <w:tcW w:w="1041" w:type="dxa"/>
            <w:gridSpan w:val="2"/>
            <w:noWrap/>
            <w:hideMark/>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rPr>
                <w:rFonts w:eastAsia="MS PGothic" w:hint="eastAsia"/>
                <w:lang w:eastAsia="en-AU"/>
              </w:rPr>
            </w:pPr>
            <w:r>
              <w:rPr>
                <w:rFonts w:eastAsia="MS PGothic"/>
                <w:lang w:eastAsia="en-AU"/>
              </w:rPr>
              <w:t>12.8</w:t>
            </w:r>
          </w:p>
        </w:tc>
        <w:tc>
          <w:tcPr>
            <w:tcW w:w="999" w:type="dxa"/>
            <w:gridSpan w:val="2"/>
            <w:noWrap/>
            <w:hideMark/>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rPr>
                <w:rFonts w:eastAsia="MS PGothic" w:hint="eastAsia"/>
                <w:lang w:eastAsia="en-AU"/>
              </w:rPr>
            </w:pPr>
            <w:r>
              <w:rPr>
                <w:lang w:eastAsia="en-AU"/>
              </w:rPr>
              <w:t>13.7</w:t>
            </w:r>
          </w:p>
        </w:tc>
        <w:tc>
          <w:tcPr>
            <w:tcW w:w="1056" w:type="dxa"/>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Pr>
                <w:lang w:eastAsia="en-AU"/>
              </w:rPr>
              <w:t>14.0</w:t>
            </w:r>
          </w:p>
        </w:tc>
        <w:tc>
          <w:tcPr>
            <w:tcW w:w="1056" w:type="dxa"/>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Pr>
                <w:lang w:eastAsia="en-AU"/>
              </w:rPr>
              <w:t>14.3</w:t>
            </w:r>
          </w:p>
        </w:tc>
        <w:tc>
          <w:tcPr>
            <w:tcW w:w="995" w:type="dxa"/>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Pr>
                <w:lang w:eastAsia="en-AU"/>
              </w:rPr>
              <w:t>14.6</w:t>
            </w:r>
          </w:p>
        </w:tc>
        <w:tc>
          <w:tcPr>
            <w:tcW w:w="924" w:type="dxa"/>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rPr>
                <w:lang w:eastAsia="en-AU"/>
              </w:rPr>
            </w:pPr>
            <w:r>
              <w:rPr>
                <w:lang w:eastAsia="en-AU"/>
              </w:rPr>
              <w:t>14.8</w:t>
            </w:r>
          </w:p>
        </w:tc>
      </w:tr>
      <w:tr w:rsidR="00026D1E" w:rsidTr="00B76674">
        <w:trPr>
          <w:cnfStyle w:val="000000010000" w:firstRow="0" w:lastRow="0" w:firstColumn="0" w:lastColumn="0" w:oddVBand="0" w:evenVBand="0" w:oddHBand="0" w:evenHBand="1"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2235" w:type="dxa"/>
            <w:gridSpan w:val="2"/>
            <w:noWrap/>
          </w:tcPr>
          <w:p w:rsidR="00026D1E" w:rsidRPr="00654DD1" w:rsidRDefault="00026D1E" w:rsidP="00B76674">
            <w:pPr>
              <w:pStyle w:val="AERtabletextleft"/>
              <w:rPr>
                <w:lang w:eastAsia="en-AU"/>
              </w:rPr>
            </w:pPr>
            <w:r>
              <w:rPr>
                <w:lang w:eastAsia="en-AU"/>
              </w:rPr>
              <w:t xml:space="preserve">Revenue </w:t>
            </w:r>
            <w:r w:rsidRPr="00654DD1">
              <w:rPr>
                <w:lang w:eastAsia="en-AU"/>
              </w:rPr>
              <w:t>(change %)</w:t>
            </w:r>
          </w:p>
        </w:tc>
        <w:tc>
          <w:tcPr>
            <w:tcW w:w="954" w:type="dxa"/>
            <w:noWrap/>
          </w:tcPr>
          <w:p w:rsidR="00026D1E" w:rsidRDefault="00026D1E" w:rsidP="00B76674">
            <w:pPr>
              <w:cnfStyle w:val="000000010000" w:firstRow="0" w:lastRow="0" w:firstColumn="0" w:lastColumn="0" w:oddVBand="0" w:evenVBand="0" w:oddHBand="0" w:evenHBand="1" w:firstRowFirstColumn="0" w:firstRowLastColumn="0" w:lastRowFirstColumn="0" w:lastRowLastColumn="0"/>
              <w:rPr>
                <w:b/>
                <w:bCs/>
                <w:color w:val="000000"/>
                <w:lang w:eastAsia="en-AU"/>
              </w:rPr>
            </w:pPr>
          </w:p>
        </w:tc>
        <w:tc>
          <w:tcPr>
            <w:tcW w:w="1041" w:type="dxa"/>
            <w:gridSpan w:val="2"/>
            <w:noWrap/>
          </w:tcPr>
          <w:p w:rsidR="00026D1E" w:rsidRPr="00F13AEA"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F13AEA">
              <w:t>n/a</w:t>
            </w:r>
          </w:p>
        </w:tc>
        <w:tc>
          <w:tcPr>
            <w:tcW w:w="999" w:type="dxa"/>
            <w:gridSpan w:val="2"/>
            <w:noWrap/>
          </w:tcPr>
          <w:p w:rsidR="00026D1E" w:rsidRPr="00F13AEA"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F13AEA">
              <w:t>7.7</w:t>
            </w:r>
          </w:p>
        </w:tc>
        <w:tc>
          <w:tcPr>
            <w:tcW w:w="1056" w:type="dxa"/>
          </w:tcPr>
          <w:p w:rsidR="00026D1E" w:rsidRPr="00F13AEA"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F13AEA">
              <w:t>2.5</w:t>
            </w:r>
          </w:p>
        </w:tc>
        <w:tc>
          <w:tcPr>
            <w:tcW w:w="1056" w:type="dxa"/>
          </w:tcPr>
          <w:p w:rsidR="00026D1E" w:rsidRPr="00F13AEA"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F13AEA">
              <w:t>2.5</w:t>
            </w:r>
          </w:p>
        </w:tc>
        <w:tc>
          <w:tcPr>
            <w:tcW w:w="995" w:type="dxa"/>
          </w:tcPr>
          <w:p w:rsidR="00026D1E" w:rsidRPr="00F13AEA"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F13AEA">
              <w:t>2.5</w:t>
            </w:r>
          </w:p>
        </w:tc>
        <w:tc>
          <w:tcPr>
            <w:tcW w:w="924" w:type="dxa"/>
          </w:tcPr>
          <w:p w:rsidR="00026D1E" w:rsidRPr="00F13AEA"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F13AEA">
              <w:t>2.5</w:t>
            </w:r>
          </w:p>
        </w:tc>
      </w:tr>
      <w:tr w:rsidR="00026D1E" w:rsidTr="00B76674">
        <w:trPr>
          <w:trHeight w:val="201"/>
        </w:trPr>
        <w:tc>
          <w:tcPr>
            <w:cnfStyle w:val="001000000000" w:firstRow="0" w:lastRow="0" w:firstColumn="1" w:lastColumn="0" w:oddVBand="0" w:evenVBand="0" w:oddHBand="0" w:evenHBand="0" w:firstRowFirstColumn="0" w:firstRowLastColumn="0" w:lastRowFirstColumn="0" w:lastRowLastColumn="0"/>
            <w:tcW w:w="2235" w:type="dxa"/>
            <w:gridSpan w:val="2"/>
            <w:noWrap/>
          </w:tcPr>
          <w:p w:rsidR="00026D1E" w:rsidRPr="00654DD1" w:rsidRDefault="00026D1E" w:rsidP="00B76674">
            <w:pPr>
              <w:pStyle w:val="AERtabletextleft"/>
              <w:rPr>
                <w:lang w:eastAsia="en-AU"/>
              </w:rPr>
            </w:pPr>
            <w:r w:rsidRPr="00654DD1">
              <w:rPr>
                <w:lang w:eastAsia="en-AU"/>
              </w:rPr>
              <w:t>Price path (change %)</w:t>
            </w:r>
          </w:p>
        </w:tc>
        <w:tc>
          <w:tcPr>
            <w:tcW w:w="954" w:type="dxa"/>
            <w:noWrap/>
          </w:tcPr>
          <w:p w:rsidR="00026D1E" w:rsidRDefault="00026D1E" w:rsidP="00B76674">
            <w:pPr>
              <w:cnfStyle w:val="000000000000" w:firstRow="0" w:lastRow="0" w:firstColumn="0" w:lastColumn="0" w:oddVBand="0" w:evenVBand="0" w:oddHBand="0" w:evenHBand="0" w:firstRowFirstColumn="0" w:firstRowLastColumn="0" w:lastRowFirstColumn="0" w:lastRowLastColumn="0"/>
              <w:rPr>
                <w:b/>
                <w:bCs/>
                <w:color w:val="000000"/>
                <w:lang w:eastAsia="en-AU"/>
              </w:rPr>
            </w:pPr>
          </w:p>
        </w:tc>
        <w:tc>
          <w:tcPr>
            <w:tcW w:w="1041" w:type="dxa"/>
            <w:gridSpan w:val="2"/>
            <w:noWrap/>
          </w:tcPr>
          <w:p w:rsidR="00026D1E" w:rsidRPr="00F13AEA"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F13AEA">
              <w:t>n/a</w:t>
            </w:r>
          </w:p>
        </w:tc>
        <w:tc>
          <w:tcPr>
            <w:tcW w:w="999" w:type="dxa"/>
            <w:gridSpan w:val="2"/>
            <w:noWrap/>
          </w:tcPr>
          <w:p w:rsidR="00026D1E" w:rsidRPr="00F13AEA"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F13AEA">
              <w:t>7.4</w:t>
            </w:r>
          </w:p>
        </w:tc>
        <w:tc>
          <w:tcPr>
            <w:tcW w:w="1056" w:type="dxa"/>
          </w:tcPr>
          <w:p w:rsidR="00026D1E" w:rsidRPr="00F13AEA"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F13AEA">
              <w:t>2.4</w:t>
            </w:r>
          </w:p>
        </w:tc>
        <w:tc>
          <w:tcPr>
            <w:tcW w:w="1056" w:type="dxa"/>
          </w:tcPr>
          <w:p w:rsidR="00026D1E" w:rsidRPr="00F13AEA"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F13AEA">
              <w:t>2.0</w:t>
            </w:r>
          </w:p>
        </w:tc>
        <w:tc>
          <w:tcPr>
            <w:tcW w:w="995" w:type="dxa"/>
          </w:tcPr>
          <w:p w:rsidR="00026D1E" w:rsidRPr="00F13AEA"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F13AEA">
              <w:t>1.7</w:t>
            </w:r>
          </w:p>
        </w:tc>
        <w:tc>
          <w:tcPr>
            <w:tcW w:w="924" w:type="dxa"/>
          </w:tcPr>
          <w:p w:rsidR="00026D1E" w:rsidRPr="00F13AEA"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F13AEA">
              <w:t>1.4</w:t>
            </w:r>
          </w:p>
        </w:tc>
      </w:tr>
      <w:tr w:rsidR="00026D1E" w:rsidTr="00B76674">
        <w:trPr>
          <w:cnfStyle w:val="000000010000" w:firstRow="0" w:lastRow="0" w:firstColumn="0" w:lastColumn="0" w:oddVBand="0" w:evenVBand="0" w:oddHBand="0" w:evenHBand="1"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9260" w:type="dxa"/>
            <w:gridSpan w:val="11"/>
          </w:tcPr>
          <w:p w:rsidR="00026D1E" w:rsidRPr="00F13AEA" w:rsidRDefault="00026D1E" w:rsidP="00B76674">
            <w:pPr>
              <w:pStyle w:val="AERtabletextleft"/>
              <w:rPr>
                <w:b/>
                <w:lang w:eastAsia="en-AU"/>
              </w:rPr>
            </w:pPr>
            <w:r w:rsidRPr="00F13AEA">
              <w:rPr>
                <w:b/>
                <w:lang w:eastAsia="en-AU"/>
              </w:rPr>
              <w:t>AER substitute revenue and price path</w:t>
            </w:r>
          </w:p>
        </w:tc>
      </w:tr>
      <w:tr w:rsidR="00026D1E" w:rsidTr="00B76674">
        <w:trPr>
          <w:trHeight w:val="201"/>
        </w:trPr>
        <w:tc>
          <w:tcPr>
            <w:cnfStyle w:val="001000000000" w:firstRow="0" w:lastRow="0" w:firstColumn="1" w:lastColumn="0" w:oddVBand="0" w:evenVBand="0" w:oddHBand="0" w:evenHBand="0" w:firstRowFirstColumn="0" w:firstRowLastColumn="0" w:lastRowFirstColumn="0" w:lastRowLastColumn="0"/>
            <w:tcW w:w="2235" w:type="dxa"/>
            <w:gridSpan w:val="2"/>
            <w:noWrap/>
          </w:tcPr>
          <w:p w:rsidR="00026D1E" w:rsidRDefault="00026D1E" w:rsidP="00B76674">
            <w:pPr>
              <w:pStyle w:val="AERtabletextleft"/>
              <w:rPr>
                <w:rFonts w:eastAsia="MS PGothic" w:hint="eastAsia"/>
                <w:lang w:eastAsia="en-AU"/>
              </w:rPr>
            </w:pPr>
            <w:r>
              <w:rPr>
                <w:lang w:eastAsia="en-AU"/>
              </w:rPr>
              <w:t>Revenue ($million, nominal)</w:t>
            </w:r>
          </w:p>
        </w:tc>
        <w:tc>
          <w:tcPr>
            <w:tcW w:w="954" w:type="dxa"/>
            <w:noWrap/>
          </w:tcPr>
          <w:p w:rsidR="00026D1E" w:rsidRDefault="00026D1E" w:rsidP="00B76674">
            <w:pPr>
              <w:pStyle w:val="AERtabletextlef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p>
        </w:tc>
        <w:tc>
          <w:tcPr>
            <w:tcW w:w="1041" w:type="dxa"/>
            <w:gridSpan w:val="2"/>
            <w:noWrap/>
            <w:hideMark/>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rPr>
                <w:rFonts w:eastAsia="MS PGothic" w:hint="eastAsia"/>
                <w:lang w:eastAsia="en-AU"/>
              </w:rPr>
            </w:pPr>
            <w:r>
              <w:rPr>
                <w:lang w:eastAsia="en-AU"/>
              </w:rPr>
              <w:t>863.0</w:t>
            </w:r>
            <w:r w:rsidRPr="00B2559D">
              <w:rPr>
                <w:rStyle w:val="AERsuperscript"/>
              </w:rPr>
              <w:t>(a)</w:t>
            </w:r>
          </w:p>
        </w:tc>
        <w:tc>
          <w:tcPr>
            <w:tcW w:w="999" w:type="dxa"/>
            <w:gridSpan w:val="2"/>
            <w:noWrap/>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rPr>
                <w:rFonts w:eastAsia="MS PGothic" w:hint="eastAsia"/>
                <w:lang w:eastAsia="en-AU"/>
              </w:rPr>
            </w:pPr>
            <w:r>
              <w:rPr>
                <w:rFonts w:eastAsia="MS PGothic"/>
                <w:lang w:eastAsia="en-AU"/>
              </w:rPr>
              <w:t>845.4</w:t>
            </w:r>
          </w:p>
        </w:tc>
        <w:tc>
          <w:tcPr>
            <w:tcW w:w="1056" w:type="dxa"/>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rPr>
                <w:rFonts w:eastAsia="MS PGothic" w:hint="eastAsia"/>
                <w:lang w:eastAsia="en-AU"/>
              </w:rPr>
            </w:pPr>
            <w:r>
              <w:rPr>
                <w:rFonts w:eastAsia="MS PGothic"/>
                <w:lang w:eastAsia="en-AU"/>
              </w:rPr>
              <w:t>866.7</w:t>
            </w:r>
          </w:p>
        </w:tc>
        <w:tc>
          <w:tcPr>
            <w:tcW w:w="1056" w:type="dxa"/>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rPr>
                <w:rFonts w:eastAsia="MS PGothic" w:hint="eastAsia"/>
                <w:lang w:eastAsia="en-AU"/>
              </w:rPr>
            </w:pPr>
            <w:r>
              <w:rPr>
                <w:rFonts w:eastAsia="MS PGothic"/>
                <w:lang w:eastAsia="en-AU"/>
              </w:rPr>
              <w:t>888.6</w:t>
            </w:r>
          </w:p>
        </w:tc>
        <w:tc>
          <w:tcPr>
            <w:tcW w:w="995" w:type="dxa"/>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rPr>
                <w:rFonts w:eastAsia="MS PGothic" w:hint="eastAsia"/>
                <w:lang w:eastAsia="en-AU"/>
              </w:rPr>
            </w:pPr>
            <w:r>
              <w:rPr>
                <w:rFonts w:eastAsia="MS PGothic"/>
                <w:lang w:eastAsia="en-AU"/>
              </w:rPr>
              <w:t>911.1</w:t>
            </w:r>
          </w:p>
        </w:tc>
        <w:tc>
          <w:tcPr>
            <w:tcW w:w="924" w:type="dxa"/>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rPr>
                <w:rFonts w:eastAsia="MS PGothic" w:hint="eastAsia"/>
                <w:lang w:eastAsia="en-AU"/>
              </w:rPr>
            </w:pPr>
            <w:r>
              <w:rPr>
                <w:rFonts w:eastAsia="MS PGothic"/>
                <w:lang w:eastAsia="en-AU"/>
              </w:rPr>
              <w:t>934.1</w:t>
            </w:r>
          </w:p>
        </w:tc>
      </w:tr>
      <w:tr w:rsidR="00026D1E" w:rsidTr="00B76674">
        <w:trPr>
          <w:cnfStyle w:val="000000010000" w:firstRow="0" w:lastRow="0" w:firstColumn="0" w:lastColumn="0" w:oddVBand="0" w:evenVBand="0" w:oddHBand="0" w:evenHBand="1"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189" w:type="dxa"/>
            <w:gridSpan w:val="3"/>
            <w:noWrap/>
          </w:tcPr>
          <w:p w:rsidR="00026D1E" w:rsidRDefault="00026D1E" w:rsidP="00882540">
            <w:pPr>
              <w:pStyle w:val="AERtabletextleft"/>
              <w:rPr>
                <w:rFonts w:eastAsia="MS PGothic" w:hint="eastAsia"/>
                <w:color w:val="000000"/>
                <w:lang w:eastAsia="en-AU"/>
              </w:rPr>
            </w:pPr>
            <w:r>
              <w:rPr>
                <w:color w:val="000000"/>
                <w:lang w:eastAsia="en-AU"/>
              </w:rPr>
              <w:t xml:space="preserve">Price path </w:t>
            </w:r>
            <w:r w:rsidRPr="00814805">
              <w:rPr>
                <w:color w:val="000000"/>
                <w:lang w:eastAsia="en-AU"/>
              </w:rPr>
              <w:t>($/</w:t>
            </w:r>
            <w:proofErr w:type="spellStart"/>
            <w:r w:rsidRPr="00814805">
              <w:rPr>
                <w:color w:val="000000"/>
                <w:lang w:eastAsia="en-AU"/>
              </w:rPr>
              <w:t>MWh</w:t>
            </w:r>
            <w:proofErr w:type="spellEnd"/>
            <w:r w:rsidRPr="00814805">
              <w:rPr>
                <w:color w:val="000000"/>
                <w:lang w:eastAsia="en-AU"/>
              </w:rPr>
              <w:t>, nominal)</w:t>
            </w:r>
          </w:p>
        </w:tc>
        <w:tc>
          <w:tcPr>
            <w:tcW w:w="1041" w:type="dxa"/>
            <w:gridSpan w:val="2"/>
            <w:noWrap/>
            <w:hideMark/>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rPr>
                <w:rFonts w:eastAsia="MS PGothic" w:hint="eastAsia"/>
                <w:lang w:eastAsia="en-AU"/>
              </w:rPr>
            </w:pPr>
            <w:r>
              <w:rPr>
                <w:lang w:eastAsia="en-AU"/>
              </w:rPr>
              <w:t>12.8</w:t>
            </w:r>
          </w:p>
        </w:tc>
        <w:tc>
          <w:tcPr>
            <w:tcW w:w="999" w:type="dxa"/>
            <w:gridSpan w:val="2"/>
            <w:noWrap/>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rPr>
                <w:rFonts w:eastAsia="MS PGothic" w:hint="eastAsia"/>
                <w:lang w:eastAsia="en-AU"/>
              </w:rPr>
            </w:pPr>
            <w:r>
              <w:rPr>
                <w:rFonts w:eastAsia="MS PGothic"/>
                <w:lang w:eastAsia="en-AU"/>
              </w:rPr>
              <w:t>12.5</w:t>
            </w:r>
          </w:p>
        </w:tc>
        <w:tc>
          <w:tcPr>
            <w:tcW w:w="1056" w:type="dxa"/>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rPr>
                <w:rFonts w:eastAsia="MS PGothic" w:hint="eastAsia"/>
                <w:lang w:eastAsia="en-AU"/>
              </w:rPr>
            </w:pPr>
            <w:r>
              <w:rPr>
                <w:rFonts w:eastAsia="MS PGothic"/>
                <w:lang w:eastAsia="en-AU"/>
              </w:rPr>
              <w:t>12.8</w:t>
            </w:r>
          </w:p>
        </w:tc>
        <w:tc>
          <w:tcPr>
            <w:tcW w:w="1056" w:type="dxa"/>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rPr>
                <w:rFonts w:eastAsia="MS PGothic" w:hint="eastAsia"/>
                <w:lang w:eastAsia="en-AU"/>
              </w:rPr>
            </w:pPr>
            <w:r>
              <w:rPr>
                <w:rFonts w:eastAsia="MS PGothic"/>
                <w:lang w:eastAsia="en-AU"/>
              </w:rPr>
              <w:t>13.0</w:t>
            </w:r>
          </w:p>
        </w:tc>
        <w:tc>
          <w:tcPr>
            <w:tcW w:w="995" w:type="dxa"/>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rPr>
                <w:rFonts w:eastAsia="MS PGothic" w:hint="eastAsia"/>
                <w:lang w:eastAsia="en-AU"/>
              </w:rPr>
            </w:pPr>
            <w:r>
              <w:rPr>
                <w:rFonts w:eastAsia="MS PGothic"/>
                <w:lang w:eastAsia="en-AU"/>
              </w:rPr>
              <w:t>13.2</w:t>
            </w:r>
          </w:p>
        </w:tc>
        <w:tc>
          <w:tcPr>
            <w:tcW w:w="924" w:type="dxa"/>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rPr>
                <w:rFonts w:eastAsia="MS PGothic" w:hint="eastAsia"/>
                <w:lang w:eastAsia="en-AU"/>
              </w:rPr>
            </w:pPr>
            <w:r>
              <w:rPr>
                <w:rFonts w:eastAsia="MS PGothic"/>
                <w:lang w:eastAsia="en-AU"/>
              </w:rPr>
              <w:t>13.4</w:t>
            </w:r>
          </w:p>
        </w:tc>
      </w:tr>
      <w:tr w:rsidR="0004239B" w:rsidTr="00B76674">
        <w:trPr>
          <w:trHeight w:val="201"/>
        </w:trPr>
        <w:tc>
          <w:tcPr>
            <w:cnfStyle w:val="001000000000" w:firstRow="0" w:lastRow="0" w:firstColumn="1" w:lastColumn="0" w:oddVBand="0" w:evenVBand="0" w:oddHBand="0" w:evenHBand="0" w:firstRowFirstColumn="0" w:firstRowLastColumn="0" w:lastRowFirstColumn="0" w:lastRowLastColumn="0"/>
            <w:tcW w:w="3189" w:type="dxa"/>
            <w:gridSpan w:val="3"/>
            <w:noWrap/>
          </w:tcPr>
          <w:p w:rsidR="0004239B" w:rsidRPr="00654DD1" w:rsidRDefault="0004239B" w:rsidP="00B76674">
            <w:pPr>
              <w:pStyle w:val="AERtabletextleft"/>
              <w:rPr>
                <w:lang w:eastAsia="en-AU"/>
              </w:rPr>
            </w:pPr>
            <w:r>
              <w:rPr>
                <w:lang w:eastAsia="en-AU"/>
              </w:rPr>
              <w:t xml:space="preserve">Revenue </w:t>
            </w:r>
            <w:r w:rsidRPr="00654DD1">
              <w:rPr>
                <w:lang w:eastAsia="en-AU"/>
              </w:rPr>
              <w:t>(change %)</w:t>
            </w:r>
          </w:p>
        </w:tc>
        <w:tc>
          <w:tcPr>
            <w:tcW w:w="1041" w:type="dxa"/>
            <w:gridSpan w:val="2"/>
            <w:noWrap/>
          </w:tcPr>
          <w:p w:rsidR="0004239B" w:rsidRPr="00F13AEA" w:rsidRDefault="0004239B" w:rsidP="00147999">
            <w:pPr>
              <w:pStyle w:val="AERtabletextright"/>
              <w:cnfStyle w:val="000000000000" w:firstRow="0" w:lastRow="0" w:firstColumn="0" w:lastColumn="0" w:oddVBand="0" w:evenVBand="0" w:oddHBand="0" w:evenHBand="0" w:firstRowFirstColumn="0" w:firstRowLastColumn="0" w:lastRowFirstColumn="0" w:lastRowLastColumn="0"/>
            </w:pPr>
            <w:r w:rsidRPr="00F13AEA">
              <w:t>n/a</w:t>
            </w:r>
          </w:p>
        </w:tc>
        <w:tc>
          <w:tcPr>
            <w:tcW w:w="999" w:type="dxa"/>
            <w:gridSpan w:val="2"/>
            <w:noWrap/>
          </w:tcPr>
          <w:p w:rsidR="0004239B" w:rsidRDefault="0004239B" w:rsidP="00B76674">
            <w:pPr>
              <w:pStyle w:val="AERtabletextright"/>
              <w:cnfStyle w:val="000000000000" w:firstRow="0" w:lastRow="0" w:firstColumn="0" w:lastColumn="0" w:oddVBand="0" w:evenVBand="0" w:oddHBand="0" w:evenHBand="0" w:firstRowFirstColumn="0" w:firstRowLastColumn="0" w:lastRowFirstColumn="0" w:lastRowLastColumn="0"/>
              <w:rPr>
                <w:rFonts w:eastAsia="MS PGothic" w:hint="eastAsia"/>
                <w:lang w:eastAsia="en-AU"/>
              </w:rPr>
            </w:pPr>
            <w:r>
              <w:rPr>
                <w:rFonts w:eastAsia="MS PGothic"/>
                <w:lang w:eastAsia="en-AU"/>
              </w:rPr>
              <w:t>–2.0</w:t>
            </w:r>
          </w:p>
        </w:tc>
        <w:tc>
          <w:tcPr>
            <w:tcW w:w="1056" w:type="dxa"/>
          </w:tcPr>
          <w:p w:rsidR="0004239B" w:rsidRDefault="0004239B" w:rsidP="00B76674">
            <w:pPr>
              <w:pStyle w:val="AERtabletextright"/>
              <w:cnfStyle w:val="000000000000" w:firstRow="0" w:lastRow="0" w:firstColumn="0" w:lastColumn="0" w:oddVBand="0" w:evenVBand="0" w:oddHBand="0" w:evenHBand="0" w:firstRowFirstColumn="0" w:firstRowLastColumn="0" w:lastRowFirstColumn="0" w:lastRowLastColumn="0"/>
              <w:rPr>
                <w:rFonts w:eastAsia="MS PGothic" w:hint="eastAsia"/>
                <w:lang w:eastAsia="en-AU"/>
              </w:rPr>
            </w:pPr>
            <w:r>
              <w:rPr>
                <w:rFonts w:eastAsia="MS PGothic"/>
                <w:lang w:eastAsia="en-AU"/>
              </w:rPr>
              <w:t>2.5</w:t>
            </w:r>
          </w:p>
        </w:tc>
        <w:tc>
          <w:tcPr>
            <w:tcW w:w="1056" w:type="dxa"/>
          </w:tcPr>
          <w:p w:rsidR="0004239B" w:rsidRDefault="0004239B" w:rsidP="00B76674">
            <w:pPr>
              <w:pStyle w:val="AERtabletextright"/>
              <w:cnfStyle w:val="000000000000" w:firstRow="0" w:lastRow="0" w:firstColumn="0" w:lastColumn="0" w:oddVBand="0" w:evenVBand="0" w:oddHBand="0" w:evenHBand="0" w:firstRowFirstColumn="0" w:firstRowLastColumn="0" w:lastRowFirstColumn="0" w:lastRowLastColumn="0"/>
              <w:rPr>
                <w:rFonts w:eastAsia="MS PGothic" w:hint="eastAsia"/>
                <w:lang w:eastAsia="en-AU"/>
              </w:rPr>
            </w:pPr>
            <w:r>
              <w:rPr>
                <w:rFonts w:eastAsia="MS PGothic"/>
                <w:lang w:eastAsia="en-AU"/>
              </w:rPr>
              <w:t>2.5</w:t>
            </w:r>
          </w:p>
        </w:tc>
        <w:tc>
          <w:tcPr>
            <w:tcW w:w="995" w:type="dxa"/>
          </w:tcPr>
          <w:p w:rsidR="0004239B" w:rsidRDefault="0004239B" w:rsidP="00B76674">
            <w:pPr>
              <w:pStyle w:val="AERtabletextright"/>
              <w:cnfStyle w:val="000000000000" w:firstRow="0" w:lastRow="0" w:firstColumn="0" w:lastColumn="0" w:oddVBand="0" w:evenVBand="0" w:oddHBand="0" w:evenHBand="0" w:firstRowFirstColumn="0" w:firstRowLastColumn="0" w:lastRowFirstColumn="0" w:lastRowLastColumn="0"/>
              <w:rPr>
                <w:rFonts w:eastAsia="MS PGothic" w:hint="eastAsia"/>
                <w:lang w:eastAsia="en-AU"/>
              </w:rPr>
            </w:pPr>
            <w:r>
              <w:rPr>
                <w:rFonts w:eastAsia="MS PGothic"/>
                <w:lang w:eastAsia="en-AU"/>
              </w:rPr>
              <w:t>2.5</w:t>
            </w:r>
          </w:p>
        </w:tc>
        <w:tc>
          <w:tcPr>
            <w:tcW w:w="924" w:type="dxa"/>
          </w:tcPr>
          <w:p w:rsidR="0004239B" w:rsidRDefault="0004239B" w:rsidP="00B76674">
            <w:pPr>
              <w:pStyle w:val="AERtabletextright"/>
              <w:cnfStyle w:val="000000000000" w:firstRow="0" w:lastRow="0" w:firstColumn="0" w:lastColumn="0" w:oddVBand="0" w:evenVBand="0" w:oddHBand="0" w:evenHBand="0" w:firstRowFirstColumn="0" w:firstRowLastColumn="0" w:lastRowFirstColumn="0" w:lastRowLastColumn="0"/>
              <w:rPr>
                <w:rFonts w:eastAsia="MS PGothic" w:hint="eastAsia"/>
                <w:lang w:eastAsia="en-AU"/>
              </w:rPr>
            </w:pPr>
            <w:r>
              <w:rPr>
                <w:rFonts w:eastAsia="MS PGothic"/>
                <w:lang w:eastAsia="en-AU"/>
              </w:rPr>
              <w:t>2.5</w:t>
            </w:r>
          </w:p>
        </w:tc>
      </w:tr>
      <w:tr w:rsidR="0004239B" w:rsidTr="00B76674">
        <w:trPr>
          <w:cnfStyle w:val="000000010000" w:firstRow="0" w:lastRow="0" w:firstColumn="0" w:lastColumn="0" w:oddVBand="0" w:evenVBand="0" w:oddHBand="0" w:evenHBand="1"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189" w:type="dxa"/>
            <w:gridSpan w:val="3"/>
            <w:noWrap/>
          </w:tcPr>
          <w:p w:rsidR="0004239B" w:rsidRPr="00654DD1" w:rsidRDefault="0004239B" w:rsidP="00B76674">
            <w:pPr>
              <w:pStyle w:val="AERtabletextleft"/>
              <w:rPr>
                <w:lang w:eastAsia="en-AU"/>
              </w:rPr>
            </w:pPr>
            <w:r w:rsidRPr="00654DD1">
              <w:rPr>
                <w:lang w:eastAsia="en-AU"/>
              </w:rPr>
              <w:t>Price path (change %)</w:t>
            </w:r>
          </w:p>
        </w:tc>
        <w:tc>
          <w:tcPr>
            <w:tcW w:w="1041" w:type="dxa"/>
            <w:gridSpan w:val="2"/>
            <w:noWrap/>
          </w:tcPr>
          <w:p w:rsidR="0004239B" w:rsidRPr="00F13AEA" w:rsidRDefault="0004239B" w:rsidP="00147999">
            <w:pPr>
              <w:pStyle w:val="AERtabletextright"/>
              <w:cnfStyle w:val="000000010000" w:firstRow="0" w:lastRow="0" w:firstColumn="0" w:lastColumn="0" w:oddVBand="0" w:evenVBand="0" w:oddHBand="0" w:evenHBand="1" w:firstRowFirstColumn="0" w:firstRowLastColumn="0" w:lastRowFirstColumn="0" w:lastRowLastColumn="0"/>
            </w:pPr>
            <w:r w:rsidRPr="00F13AEA">
              <w:t>n/a</w:t>
            </w:r>
          </w:p>
        </w:tc>
        <w:tc>
          <w:tcPr>
            <w:tcW w:w="999" w:type="dxa"/>
            <w:gridSpan w:val="2"/>
            <w:noWrap/>
          </w:tcPr>
          <w:p w:rsidR="0004239B" w:rsidRDefault="0004239B" w:rsidP="00B76674">
            <w:pPr>
              <w:pStyle w:val="AERtabletextright"/>
              <w:cnfStyle w:val="000000010000" w:firstRow="0" w:lastRow="0" w:firstColumn="0" w:lastColumn="0" w:oddVBand="0" w:evenVBand="0" w:oddHBand="0" w:evenHBand="1" w:firstRowFirstColumn="0" w:firstRowLastColumn="0" w:lastRowFirstColumn="0" w:lastRowLastColumn="0"/>
              <w:rPr>
                <w:rFonts w:eastAsia="MS PGothic" w:hint="eastAsia"/>
                <w:lang w:eastAsia="en-AU"/>
              </w:rPr>
            </w:pPr>
            <w:r>
              <w:rPr>
                <w:rFonts w:eastAsia="MS PGothic"/>
                <w:lang w:eastAsia="en-AU"/>
              </w:rPr>
              <w:t>–2.3</w:t>
            </w:r>
          </w:p>
        </w:tc>
        <w:tc>
          <w:tcPr>
            <w:tcW w:w="1056" w:type="dxa"/>
          </w:tcPr>
          <w:p w:rsidR="0004239B" w:rsidRDefault="0004239B" w:rsidP="00B76674">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Pr>
                <w:lang w:eastAsia="en-AU"/>
              </w:rPr>
              <w:t>2.4</w:t>
            </w:r>
          </w:p>
        </w:tc>
        <w:tc>
          <w:tcPr>
            <w:tcW w:w="1056" w:type="dxa"/>
          </w:tcPr>
          <w:p w:rsidR="0004239B" w:rsidRDefault="0004239B" w:rsidP="00B76674">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Pr>
                <w:lang w:eastAsia="en-AU"/>
              </w:rPr>
              <w:t>2.0</w:t>
            </w:r>
          </w:p>
        </w:tc>
        <w:tc>
          <w:tcPr>
            <w:tcW w:w="995" w:type="dxa"/>
          </w:tcPr>
          <w:p w:rsidR="0004239B" w:rsidRDefault="0004239B" w:rsidP="00B76674">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Pr>
                <w:lang w:eastAsia="en-AU"/>
              </w:rPr>
              <w:t>1.7</w:t>
            </w:r>
          </w:p>
        </w:tc>
        <w:tc>
          <w:tcPr>
            <w:tcW w:w="924" w:type="dxa"/>
          </w:tcPr>
          <w:p w:rsidR="0004239B" w:rsidRDefault="0004239B" w:rsidP="00B76674">
            <w:pPr>
              <w:pStyle w:val="AERtabletextright"/>
              <w:cnfStyle w:val="000000010000" w:firstRow="0" w:lastRow="0" w:firstColumn="0" w:lastColumn="0" w:oddVBand="0" w:evenVBand="0" w:oddHBand="0" w:evenHBand="1" w:firstRowFirstColumn="0" w:firstRowLastColumn="0" w:lastRowFirstColumn="0" w:lastRowLastColumn="0"/>
              <w:rPr>
                <w:lang w:eastAsia="en-AU"/>
              </w:rPr>
            </w:pPr>
            <w:r>
              <w:rPr>
                <w:lang w:eastAsia="en-AU"/>
              </w:rPr>
              <w:t>1.4</w:t>
            </w:r>
          </w:p>
        </w:tc>
      </w:tr>
    </w:tbl>
    <w:p w:rsidR="00026D1E" w:rsidRDefault="00026D1E" w:rsidP="006F1D1D">
      <w:pPr>
        <w:pStyle w:val="AERtablesource"/>
      </w:pPr>
      <w:r>
        <w:t>(a)</w:t>
      </w:r>
      <w:r w:rsidR="006F1D1D" w:rsidRPr="00BC28CE">
        <w:t xml:space="preserve"> </w:t>
      </w:r>
      <w:r w:rsidR="006F1D1D">
        <w:tab/>
      </w:r>
      <w:r>
        <w:t xml:space="preserve">The 2013–14 revenue reflects </w:t>
      </w:r>
      <w:proofErr w:type="spellStart"/>
      <w:r>
        <w:t>TransGrid’s</w:t>
      </w:r>
      <w:proofErr w:type="spellEnd"/>
      <w:r>
        <w:t xml:space="preserve"> estimated revenue of $863 million. </w:t>
      </w:r>
      <w:proofErr w:type="spellStart"/>
      <w:r w:rsidR="006F1D1D" w:rsidRPr="00BC28CE">
        <w:t>TransGrid’s</w:t>
      </w:r>
      <w:proofErr w:type="spellEnd"/>
      <w:r w:rsidR="006F1D1D" w:rsidRPr="00BC28CE">
        <w:t xml:space="preserve"> allowed revenue for </w:t>
      </w:r>
      <w:r w:rsidR="006F1D1D">
        <w:t>2013–14</w:t>
      </w:r>
      <w:r w:rsidR="006F1D1D" w:rsidRPr="00BC28CE">
        <w:t xml:space="preserve"> is $934 million. </w:t>
      </w:r>
    </w:p>
    <w:p w:rsidR="006F1D1D" w:rsidRPr="004B2293" w:rsidRDefault="00026D1E" w:rsidP="006F1D1D">
      <w:pPr>
        <w:pStyle w:val="AERtablesource"/>
        <w:rPr>
          <w:bCs/>
        </w:rPr>
      </w:pPr>
      <w:r>
        <w:t>Note:</w:t>
      </w:r>
      <w:r>
        <w:tab/>
      </w:r>
      <w:r w:rsidR="006F1D1D" w:rsidRPr="00BC28CE">
        <w:t xml:space="preserve">TransGrid has </w:t>
      </w:r>
      <w:r w:rsidR="00E02D6C">
        <w:t>an</w:t>
      </w:r>
      <w:r w:rsidR="006F1D1D" w:rsidRPr="00BC28CE">
        <w:t xml:space="preserve"> under</w:t>
      </w:r>
      <w:r w:rsidR="006F1D1D">
        <w:t>-</w:t>
      </w:r>
      <w:r w:rsidR="006F1D1D" w:rsidRPr="00BC28CE">
        <w:t>recovery of $71</w:t>
      </w:r>
      <w:r w:rsidR="00013C43">
        <w:t> </w:t>
      </w:r>
      <w:r w:rsidR="006F1D1D" w:rsidRPr="00BC28CE">
        <w:t xml:space="preserve">million in </w:t>
      </w:r>
      <w:r w:rsidR="00E02D6C">
        <w:t xml:space="preserve">its allowed MAR for </w:t>
      </w:r>
      <w:r w:rsidR="006F1D1D">
        <w:t>2013–14</w:t>
      </w:r>
      <w:r w:rsidR="006F1D1D" w:rsidRPr="00BC28CE">
        <w:t xml:space="preserve">. </w:t>
      </w:r>
      <w:r w:rsidR="00013C43">
        <w:t xml:space="preserve">Any decision by TransGrid to recover this revenue would affect transmission prices for its customers independently of the AER’s transitional determination. </w:t>
      </w:r>
      <w:r w:rsidR="006F1D1D" w:rsidRPr="00BC28CE">
        <w:t xml:space="preserve">The AER’s substitute revenue in </w:t>
      </w:r>
      <w:r w:rsidR="006F1D1D">
        <w:t xml:space="preserve">this </w:t>
      </w:r>
      <w:r w:rsidR="006F1D1D" w:rsidRPr="00BC28CE">
        <w:t xml:space="preserve">table does not include recovery of any of this amount in </w:t>
      </w:r>
      <w:r w:rsidR="006F1D1D">
        <w:t>2014–15.</w:t>
      </w:r>
      <w:r w:rsidR="006F1D1D">
        <w:rPr>
          <w:bCs/>
        </w:rPr>
        <w:t xml:space="preserve"> </w:t>
      </w:r>
    </w:p>
    <w:p w:rsidR="006F1D1D" w:rsidRDefault="006F1D1D" w:rsidP="006F1D1D">
      <w:pPr>
        <w:pStyle w:val="Heading3"/>
      </w:pPr>
      <w:bookmarkStart w:id="49" w:name="_Toc382573771"/>
      <w:r>
        <w:t>Transend</w:t>
      </w:r>
      <w:bookmarkEnd w:id="49"/>
    </w:p>
    <w:p w:rsidR="006F1D1D" w:rsidRDefault="006F1D1D" w:rsidP="006F1D1D">
      <w:pPr>
        <w:pStyle w:val="AERbodytext"/>
      </w:pPr>
      <w:r w:rsidRPr="0092527F">
        <w:t xml:space="preserve">We </w:t>
      </w:r>
      <w:r w:rsidRPr="00747576">
        <w:t>do not accept</w:t>
      </w:r>
      <w:r w:rsidRPr="0092527F">
        <w:t xml:space="preserve"> </w:t>
      </w:r>
      <w:proofErr w:type="spellStart"/>
      <w:r w:rsidRPr="0092527F">
        <w:t>Transend</w:t>
      </w:r>
      <w:r w:rsidRPr="0092527F">
        <w:rPr>
          <w:rFonts w:hint="eastAsia"/>
        </w:rPr>
        <w:t>’</w:t>
      </w:r>
      <w:r w:rsidRPr="0092527F">
        <w:t>s</w:t>
      </w:r>
      <w:proofErr w:type="spellEnd"/>
      <w:r w:rsidRPr="0092527F">
        <w:t xml:space="preserve"> proposed MAR for the </w:t>
      </w:r>
      <w:r w:rsidR="00EA60CF">
        <w:t xml:space="preserve">transitional </w:t>
      </w:r>
      <w:r w:rsidRPr="0092527F">
        <w:t xml:space="preserve">regulatory control period. </w:t>
      </w:r>
      <w:r w:rsidR="00C20F73">
        <w:t xml:space="preserve">Instead we have substituted a MAR of $205.1 million ($ nominal). </w:t>
      </w:r>
      <w:r w:rsidR="00EA60CF">
        <w:t xml:space="preserve">This is because </w:t>
      </w:r>
      <w:r w:rsidR="00457696">
        <w:t xml:space="preserve">after considering </w:t>
      </w:r>
      <w:r>
        <w:t xml:space="preserve">the key revenue drivers </w:t>
      </w:r>
      <w:r w:rsidR="00457696">
        <w:t xml:space="preserve">as an input into the </w:t>
      </w:r>
      <w:proofErr w:type="gramStart"/>
      <w:r w:rsidR="00457696">
        <w:t>MAR</w:t>
      </w:r>
      <w:r w:rsidR="00CC324B">
        <w:t>,</w:t>
      </w:r>
      <w:proofErr w:type="gramEnd"/>
      <w:r w:rsidR="00457696">
        <w:t xml:space="preserve"> </w:t>
      </w:r>
      <w:r>
        <w:t xml:space="preserve">our </w:t>
      </w:r>
      <w:r w:rsidR="00457696">
        <w:t xml:space="preserve">analysis indicates </w:t>
      </w:r>
      <w:r w:rsidR="000D18CA">
        <w:t>that the propose</w:t>
      </w:r>
      <w:r w:rsidR="00CC324B">
        <w:t>d</w:t>
      </w:r>
      <w:r w:rsidR="000D18CA">
        <w:t xml:space="preserve"> MAR is likely to be overstated. </w:t>
      </w:r>
      <w:r w:rsidR="00BE7F18">
        <w:t>We note that t</w:t>
      </w:r>
      <w:r w:rsidR="00013C43">
        <w:t xml:space="preserve">he Tasmanian Small Business Council’s submission welcomed the real price reductions in </w:t>
      </w:r>
      <w:proofErr w:type="spellStart"/>
      <w:r w:rsidR="00013C43">
        <w:t>Transend’s</w:t>
      </w:r>
      <w:proofErr w:type="spellEnd"/>
      <w:r w:rsidR="00013C43">
        <w:t xml:space="preserve"> proposal, but did not accept that </w:t>
      </w:r>
      <w:r w:rsidR="00EA7528">
        <w:t>‘</w:t>
      </w:r>
      <w:r w:rsidR="00013C43">
        <w:t>Transend has gone far enough</w:t>
      </w:r>
      <w:r w:rsidR="00EA7528">
        <w:t>’</w:t>
      </w:r>
      <w:r w:rsidR="00013C43">
        <w:t>.</w:t>
      </w:r>
      <w:r w:rsidR="00013C43">
        <w:rPr>
          <w:rStyle w:val="FootnoteReference"/>
        </w:rPr>
        <w:footnoteReference w:id="30"/>
      </w:r>
    </w:p>
    <w:p w:rsidR="00A7656F" w:rsidRDefault="007F363C" w:rsidP="00A7656F">
      <w:pPr>
        <w:pStyle w:val="AERbodytext"/>
        <w:numPr>
          <w:ilvl w:val="0"/>
          <w:numId w:val="0"/>
        </w:numPr>
      </w:pPr>
      <w:r>
        <w:t>In particular, w</w:t>
      </w:r>
      <w:r w:rsidR="00A7656F">
        <w:t xml:space="preserve">hen factoring in a rate of return </w:t>
      </w:r>
      <w:r w:rsidR="00DB759E">
        <w:t>that has regard to our</w:t>
      </w:r>
      <w:r w:rsidR="00A7656F">
        <w:t xml:space="preserve"> </w:t>
      </w:r>
      <w:r w:rsidR="00013C43">
        <w:t>r</w:t>
      </w:r>
      <w:r w:rsidR="00A7656F">
        <w:t xml:space="preserve">ate of </w:t>
      </w:r>
      <w:r w:rsidR="00013C43">
        <w:t>r</w:t>
      </w:r>
      <w:r w:rsidR="00A7656F">
        <w:t xml:space="preserve">eturn </w:t>
      </w:r>
      <w:r w:rsidR="00013C43">
        <w:t>g</w:t>
      </w:r>
      <w:r w:rsidR="00A7656F">
        <w:t xml:space="preserve">uideline, and taking into account available market information and expected market trends, we expect forecast costs to be lower than that proposed by Transend in relation to the return on capital and corporate income tax, as discussed in section 4.2. We are satisfied that a MAR that incorporates a rate </w:t>
      </w:r>
      <w:r w:rsidR="00F52F4F">
        <w:t xml:space="preserve">of </w:t>
      </w:r>
      <w:r w:rsidR="00A7656F">
        <w:t xml:space="preserve">return </w:t>
      </w:r>
      <w:r w:rsidR="007060C3">
        <w:t xml:space="preserve">and gamma value </w:t>
      </w:r>
      <w:r w:rsidR="00A7656F">
        <w:t xml:space="preserve">that more accurately has regard to these factors is reasonably likely to minimise price variations. </w:t>
      </w:r>
      <w:r w:rsidR="002F726D">
        <w:t>Given this, our assessment at the time of this transitional determination is that the MAR</w:t>
      </w:r>
      <w:r w:rsidR="002F726D" w:rsidRPr="00D1719D">
        <w:t xml:space="preserve"> </w:t>
      </w:r>
      <w:r w:rsidR="002F726D">
        <w:t>proposed by Transend is not reasonably likely to minimise variations in price</w:t>
      </w:r>
      <w:r w:rsidR="00411961">
        <w:t xml:space="preserve">s, in that it is </w:t>
      </w:r>
      <w:r w:rsidR="00F527B2">
        <w:t xml:space="preserve">not </w:t>
      </w:r>
      <w:r w:rsidR="00411961">
        <w:t>reducing the potential for any future significant price changes for consumers</w:t>
      </w:r>
      <w:r w:rsidR="00A7656F">
        <w:t xml:space="preserve">. </w:t>
      </w:r>
      <w:r w:rsidR="00A7656F" w:rsidRPr="00693DD2">
        <w:t xml:space="preserve"> </w:t>
      </w:r>
    </w:p>
    <w:p w:rsidR="006F1D1D" w:rsidRDefault="002F726D" w:rsidP="006F1D1D">
      <w:pPr>
        <w:pStyle w:val="AERbodytext"/>
        <w:numPr>
          <w:ilvl w:val="0"/>
          <w:numId w:val="0"/>
        </w:numPr>
      </w:pPr>
      <w:r>
        <w:t>W</w:t>
      </w:r>
      <w:r w:rsidR="006F1D1D" w:rsidRPr="00747576">
        <w:t xml:space="preserve">e </w:t>
      </w:r>
      <w:r>
        <w:t xml:space="preserve">therefore </w:t>
      </w:r>
      <w:r w:rsidR="006F1D1D" w:rsidRPr="00747576">
        <w:t xml:space="preserve">have adjusted the proposed MAR for </w:t>
      </w:r>
      <w:r w:rsidR="000D18CA">
        <w:t>the transitional regulatory control period</w:t>
      </w:r>
      <w:r w:rsidR="006F1D1D" w:rsidRPr="00747576">
        <w:t xml:space="preserve"> to </w:t>
      </w:r>
      <w:r w:rsidR="006F1D1D" w:rsidRPr="00181FCD">
        <w:t xml:space="preserve">reflect our adjustment to </w:t>
      </w:r>
      <w:proofErr w:type="spellStart"/>
      <w:r w:rsidR="006F1D1D" w:rsidRPr="00181FCD">
        <w:t>Transend</w:t>
      </w:r>
      <w:r w:rsidR="006F1D1D" w:rsidRPr="00181FCD">
        <w:rPr>
          <w:rFonts w:hint="eastAsia"/>
        </w:rPr>
        <w:t>’</w:t>
      </w:r>
      <w:r w:rsidR="006F1D1D" w:rsidRPr="00181FCD">
        <w:t>s</w:t>
      </w:r>
      <w:proofErr w:type="spellEnd"/>
      <w:r w:rsidR="006F1D1D" w:rsidRPr="00181FCD">
        <w:t xml:space="preserve"> proposed </w:t>
      </w:r>
      <w:r w:rsidR="006F1D1D">
        <w:t xml:space="preserve">rate of return </w:t>
      </w:r>
      <w:r w:rsidR="006F1D1D" w:rsidRPr="00181FCD">
        <w:t>and gamma as discussed in section</w:t>
      </w:r>
      <w:r w:rsidR="006F1D1D">
        <w:t>s</w:t>
      </w:r>
      <w:r w:rsidR="006F1D1D" w:rsidRPr="00747576">
        <w:t xml:space="preserve"> </w:t>
      </w:r>
      <w:r w:rsidR="006F1D1D">
        <w:t>4.2</w:t>
      </w:r>
      <w:r w:rsidR="006B6CB5">
        <w:t>.1</w:t>
      </w:r>
      <w:r w:rsidR="006F1D1D">
        <w:t xml:space="preserve"> and 4.</w:t>
      </w:r>
      <w:r w:rsidR="006B6CB5">
        <w:t>2.5</w:t>
      </w:r>
      <w:r w:rsidR="000D18CA">
        <w:t>,</w:t>
      </w:r>
      <w:r w:rsidR="006F1D1D">
        <w:t xml:space="preserve"> respectively</w:t>
      </w:r>
      <w:r w:rsidR="006F1D1D" w:rsidRPr="00747576">
        <w:t xml:space="preserve">. </w:t>
      </w:r>
      <w:r>
        <w:t>Accordingly</w:t>
      </w:r>
      <w:r w:rsidR="006F1D1D" w:rsidRPr="00747576">
        <w:t xml:space="preserve">, we </w:t>
      </w:r>
      <w:r w:rsidR="006F1D1D">
        <w:t>determine a MAR</w:t>
      </w:r>
      <w:r w:rsidR="006F1D1D" w:rsidRPr="00123766">
        <w:t xml:space="preserve"> </w:t>
      </w:r>
      <w:r w:rsidR="006F1D1D">
        <w:t xml:space="preserve">of </w:t>
      </w:r>
      <w:r w:rsidR="006F1D1D" w:rsidRPr="00B02039">
        <w:t>$</w:t>
      </w:r>
      <w:r w:rsidR="006F1D1D">
        <w:t xml:space="preserve">205.1 million for </w:t>
      </w:r>
      <w:r w:rsidR="000D18CA">
        <w:t>the transitional regulatory control period</w:t>
      </w:r>
      <w:r w:rsidR="00CC324B">
        <w:t xml:space="preserve"> for Transend</w:t>
      </w:r>
      <w:r w:rsidR="006F1D1D">
        <w:t xml:space="preserve">. </w:t>
      </w:r>
    </w:p>
    <w:p w:rsidR="00013C43" w:rsidRDefault="00013C43" w:rsidP="00013C43">
      <w:pPr>
        <w:pStyle w:val="AERbodytext"/>
        <w:numPr>
          <w:ilvl w:val="0"/>
          <w:numId w:val="0"/>
        </w:numPr>
      </w:pPr>
      <w:r>
        <w:lastRenderedPageBreak/>
        <w:t xml:space="preserve">We note the Major Energy Users’ submission on its concern with </w:t>
      </w:r>
      <w:proofErr w:type="spellStart"/>
      <w:r>
        <w:t>Transend’s</w:t>
      </w:r>
      <w:proofErr w:type="spellEnd"/>
      <w:r>
        <w:t xml:space="preserve"> smoothing approach to derive the placeholder MAR.</w:t>
      </w:r>
      <w:r>
        <w:rPr>
          <w:rStyle w:val="FootnoteReference"/>
        </w:rPr>
        <w:footnoteReference w:id="31"/>
      </w:r>
      <w:r>
        <w:t xml:space="preserve"> We agree that only the MAR for the transitional regulatory control period is being established. However, we must also consider the impact of price variations over the relevant regulatory control periods</w:t>
      </w:r>
      <w:r w:rsidR="002220F0">
        <w:t xml:space="preserve"> and years</w:t>
      </w:r>
      <w:r>
        <w:t xml:space="preserve">. To this end, we consider that the smoothing approach employed by </w:t>
      </w:r>
      <w:r w:rsidR="00411961">
        <w:t xml:space="preserve">Transend </w:t>
      </w:r>
      <w:r>
        <w:t xml:space="preserve">for the subsequent regulatory control period contributes to minimising price variations. For the purposes of this transitional determination we have adopted this smoothing approach for the subsequent regulatory control period, but we have adjusted the MAR for the transitional regulatory control period. We will </w:t>
      </w:r>
      <w:r w:rsidRPr="00B53E86">
        <w:t xml:space="preserve">have to confirm </w:t>
      </w:r>
      <w:r>
        <w:t>the smoothing approach</w:t>
      </w:r>
      <w:r w:rsidRPr="00B53E86">
        <w:t xml:space="preserve"> </w:t>
      </w:r>
      <w:r>
        <w:t>for the subsequent regulatory control period as part of</w:t>
      </w:r>
      <w:r w:rsidRPr="00B53E86">
        <w:t xml:space="preserve"> the </w:t>
      </w:r>
      <w:r>
        <w:t>full determination process</w:t>
      </w:r>
      <w:r w:rsidR="00076FC7">
        <w:t xml:space="preserve">, just as we will have to consider all other elements of the full proposal before making a </w:t>
      </w:r>
      <w:r w:rsidR="00DA1A1A">
        <w:t xml:space="preserve">full </w:t>
      </w:r>
      <w:r w:rsidR="00076FC7">
        <w:t>determination</w:t>
      </w:r>
      <w:r>
        <w:t>.</w:t>
      </w:r>
    </w:p>
    <w:p w:rsidR="00026D1E" w:rsidRDefault="00026D1E" w:rsidP="00026D1E">
      <w:pPr>
        <w:pStyle w:val="AERbodytext"/>
        <w:numPr>
          <w:ilvl w:val="0"/>
          <w:numId w:val="0"/>
        </w:numPr>
      </w:pPr>
      <w:r w:rsidRPr="007024B8">
        <w:fldChar w:fldCharType="begin"/>
      </w:r>
      <w:r w:rsidRPr="007024B8">
        <w:instrText xml:space="preserve"> REF _Ref382405807 \h  \* MERGEFORMAT </w:instrText>
      </w:r>
      <w:r w:rsidRPr="007024B8">
        <w:fldChar w:fldCharType="separate"/>
      </w:r>
      <w:r w:rsidR="00B40E3D">
        <w:t xml:space="preserve">Figure </w:t>
      </w:r>
      <w:r w:rsidR="00B40E3D">
        <w:rPr>
          <w:noProof/>
        </w:rPr>
        <w:t>4.2</w:t>
      </w:r>
      <w:r w:rsidRPr="007024B8">
        <w:fldChar w:fldCharType="end"/>
      </w:r>
      <w:r>
        <w:t xml:space="preserve"> shows </w:t>
      </w:r>
      <w:proofErr w:type="spellStart"/>
      <w:r>
        <w:t>Transend’s</w:t>
      </w:r>
      <w:proofErr w:type="spellEnd"/>
      <w:r>
        <w:t xml:space="preserve"> price path based on its proposed MAR and the price path based on our adjustment to the rate of return and gamma. We consider our adjusted MAR for Transend over the transitional regulatory control period is </w:t>
      </w:r>
      <w:r w:rsidR="00BE7F18">
        <w:t xml:space="preserve">reasonably </w:t>
      </w:r>
      <w:r>
        <w:t>likely to result in a price path that minimise</w:t>
      </w:r>
      <w:r w:rsidR="00BE7F18">
        <w:t>s</w:t>
      </w:r>
      <w:r>
        <w:t xml:space="preserve"> price variations. This is because we expect its forecast costs to be lower than that proposed by Transend. We consider that if the reduction to the revenue is not made in this decision, then </w:t>
      </w:r>
      <w:r w:rsidR="00BE7F18">
        <w:t xml:space="preserve">any </w:t>
      </w:r>
      <w:r>
        <w:t xml:space="preserve">resulting over-recovery </w:t>
      </w:r>
      <w:r w:rsidRPr="00055EBB">
        <w:t xml:space="preserve">in the </w:t>
      </w:r>
      <w:r>
        <w:t>transitional regulatory control period</w:t>
      </w:r>
      <w:r w:rsidRPr="00055EBB">
        <w:t xml:space="preserve"> </w:t>
      </w:r>
      <w:r w:rsidR="00BE7F18">
        <w:t xml:space="preserve">would be reasonably likely to </w:t>
      </w:r>
      <w:r>
        <w:t>lead to more significant</w:t>
      </w:r>
      <w:r w:rsidRPr="00055EBB">
        <w:t xml:space="preserve"> </w:t>
      </w:r>
      <w:r>
        <w:t>price variations over the relevant regulatory control periods</w:t>
      </w:r>
      <w:r w:rsidR="002220F0">
        <w:t xml:space="preserve"> and years</w:t>
      </w:r>
      <w:r w:rsidR="00D67D82">
        <w:t>.</w:t>
      </w:r>
      <w:r w:rsidR="001C5BD7">
        <w:t xml:space="preserve"> </w:t>
      </w:r>
      <w:r w:rsidR="00D67D82">
        <w:t>It is not likely to contribute to the achievement of the NEO to the greatest degree and is not consistent with the RPPs in terms of promoting efficient investment.</w:t>
      </w:r>
      <w:r w:rsidR="00D67D82">
        <w:rPr>
          <w:rStyle w:val="FootnoteReference"/>
        </w:rPr>
        <w:footnoteReference w:id="32"/>
      </w:r>
      <w:r w:rsidR="00D67D82">
        <w:t xml:space="preserve"> </w:t>
      </w:r>
    </w:p>
    <w:p w:rsidR="006F1D1D" w:rsidRDefault="006F1D1D" w:rsidP="006F1D1D">
      <w:pPr>
        <w:pStyle w:val="Caption"/>
      </w:pPr>
      <w:bookmarkStart w:id="50" w:name="_Ref382405807"/>
      <w:proofErr w:type="gramStart"/>
      <w:r>
        <w:t xml:space="preserve">Figure </w:t>
      </w:r>
      <w:fldSimple w:instr=" STYLEREF 1 \s ">
        <w:r w:rsidR="00B40E3D">
          <w:rPr>
            <w:noProof/>
          </w:rPr>
          <w:t>4</w:t>
        </w:r>
      </w:fldSimple>
      <w:r>
        <w:t>.</w:t>
      </w:r>
      <w:proofErr w:type="gramEnd"/>
      <w:r w:rsidR="007827B4">
        <w:fldChar w:fldCharType="begin"/>
      </w:r>
      <w:r w:rsidR="007827B4">
        <w:instrText xml:space="preserve"> SEQ Figure \* ARABIC \s 1 </w:instrText>
      </w:r>
      <w:r w:rsidR="007827B4">
        <w:fldChar w:fldCharType="separate"/>
      </w:r>
      <w:r w:rsidR="00B40E3D">
        <w:rPr>
          <w:noProof/>
        </w:rPr>
        <w:t>2</w:t>
      </w:r>
      <w:r w:rsidR="007827B4">
        <w:rPr>
          <w:noProof/>
        </w:rPr>
        <w:fldChar w:fldCharType="end"/>
      </w:r>
      <w:bookmarkEnd w:id="50"/>
      <w:r>
        <w:tab/>
      </w:r>
      <w:proofErr w:type="spellStart"/>
      <w:r>
        <w:t>Transend’s</w:t>
      </w:r>
      <w:proofErr w:type="spellEnd"/>
      <w:r>
        <w:t xml:space="preserve"> proposed indicative price path and AER price path </w:t>
      </w:r>
      <w:r w:rsidR="000D18CA">
        <w:t xml:space="preserve">after substituting proposed MAR </w:t>
      </w:r>
      <w:r w:rsidRPr="00E70BD4">
        <w:t>($/</w:t>
      </w:r>
      <w:proofErr w:type="spellStart"/>
      <w:r w:rsidRPr="00E70BD4">
        <w:t>MWh</w:t>
      </w:r>
      <w:proofErr w:type="spellEnd"/>
      <w:r w:rsidRPr="00E70BD4">
        <w:t>, nominal)</w:t>
      </w:r>
    </w:p>
    <w:p w:rsidR="006F1D1D" w:rsidRDefault="00BF5E70" w:rsidP="00026D1E">
      <w:pPr>
        <w:pStyle w:val="AERbodytext"/>
        <w:numPr>
          <w:ilvl w:val="0"/>
          <w:numId w:val="0"/>
        </w:numPr>
        <w:spacing w:after="0"/>
      </w:pPr>
      <w:r w:rsidRPr="00BF5E70">
        <w:rPr>
          <w:noProof/>
          <w:lang w:eastAsia="en-AU"/>
        </w:rPr>
        <w:drawing>
          <wp:inline distT="0" distB="0" distL="0" distR="0" wp14:anchorId="73A9FE26" wp14:editId="5B87FC47">
            <wp:extent cx="5731510" cy="38617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861770"/>
                    </a:xfrm>
                    <a:prstGeom prst="rect">
                      <a:avLst/>
                    </a:prstGeom>
                    <a:noFill/>
                    <a:ln>
                      <a:noFill/>
                    </a:ln>
                  </pic:spPr>
                </pic:pic>
              </a:graphicData>
            </a:graphic>
          </wp:inline>
        </w:drawing>
      </w:r>
    </w:p>
    <w:p w:rsidR="006F1D1D" w:rsidRDefault="006F1D1D" w:rsidP="006F1D1D">
      <w:pPr>
        <w:pStyle w:val="AERtablesource"/>
      </w:pPr>
      <w:r w:rsidRPr="000D7567">
        <w:lastRenderedPageBreak/>
        <w:t>Note:</w:t>
      </w:r>
      <w:r w:rsidRPr="000D7567">
        <w:tab/>
        <w:t>The 2013</w:t>
      </w:r>
      <w:r w:rsidRPr="000D7567">
        <w:rPr>
          <w:rFonts w:hint="eastAsia"/>
        </w:rPr>
        <w:t>–</w:t>
      </w:r>
      <w:r w:rsidRPr="000D7567">
        <w:t xml:space="preserve">14 price is calculated based on </w:t>
      </w:r>
      <w:proofErr w:type="spellStart"/>
      <w:r w:rsidRPr="000D7567">
        <w:t>Transend</w:t>
      </w:r>
      <w:r w:rsidRPr="000D7567">
        <w:rPr>
          <w:rFonts w:hint="eastAsia"/>
        </w:rPr>
        <w:t>’</w:t>
      </w:r>
      <w:r w:rsidRPr="000D7567">
        <w:t>s</w:t>
      </w:r>
      <w:proofErr w:type="spellEnd"/>
      <w:r w:rsidRPr="000D7567">
        <w:t xml:space="preserve"> estimated 2013</w:t>
      </w:r>
      <w:r w:rsidRPr="000D7567">
        <w:rPr>
          <w:rFonts w:hint="eastAsia"/>
        </w:rPr>
        <w:t>–</w:t>
      </w:r>
      <w:r w:rsidRPr="000D7567">
        <w:t>14 revenue of $221</w:t>
      </w:r>
      <w:r>
        <w:t>.5</w:t>
      </w:r>
      <w:r w:rsidRPr="000D7567">
        <w:t xml:space="preserve"> million.</w:t>
      </w:r>
      <w:r w:rsidR="00720128">
        <w:br/>
      </w:r>
      <w:r w:rsidR="00720128" w:rsidRPr="00720128">
        <w:t xml:space="preserve">We note that </w:t>
      </w:r>
      <w:proofErr w:type="spellStart"/>
      <w:r w:rsidR="00720128" w:rsidRPr="00720128">
        <w:t>Transend’s</w:t>
      </w:r>
      <w:proofErr w:type="spellEnd"/>
      <w:r w:rsidR="00720128" w:rsidRPr="00720128">
        <w:t xml:space="preserve"> proposal provided a price path by dividing the annual expected MAR by the forecast annual energy delivered in Tasmania over the 2014–15 and 2016–19 regulatory control periods. </w:t>
      </w:r>
      <w:proofErr w:type="spellStart"/>
      <w:r w:rsidR="00720128" w:rsidRPr="00720128">
        <w:t>Transend’s</w:t>
      </w:r>
      <w:proofErr w:type="spellEnd"/>
      <w:r w:rsidR="00720128" w:rsidRPr="00720128">
        <w:t xml:space="preserve"> energy forecasts are consistent with the AEMO’s 2013 forecasts. We have adopted </w:t>
      </w:r>
      <w:proofErr w:type="spellStart"/>
      <w:r w:rsidR="00720128" w:rsidRPr="00720128">
        <w:t>Transend’s</w:t>
      </w:r>
      <w:proofErr w:type="spellEnd"/>
      <w:r w:rsidR="00720128" w:rsidRPr="00720128">
        <w:t xml:space="preserve"> approach and energy forecasts for the purposes of reviewing the price path for this decision.</w:t>
      </w:r>
    </w:p>
    <w:p w:rsidR="006F1D1D" w:rsidRPr="00FA0932" w:rsidRDefault="006F1D1D" w:rsidP="006F1D1D">
      <w:pPr>
        <w:pStyle w:val="AERtablesource"/>
      </w:pPr>
      <w:r>
        <w:t>Source:</w:t>
      </w:r>
      <w:r>
        <w:tab/>
        <w:t>AER analysis.</w:t>
      </w:r>
    </w:p>
    <w:p w:rsidR="00026D1E" w:rsidRPr="00BF5E70" w:rsidRDefault="00E02D6C" w:rsidP="00BF5E70">
      <w:pPr>
        <w:pStyle w:val="AERbodytext"/>
        <w:numPr>
          <w:ilvl w:val="0"/>
          <w:numId w:val="0"/>
        </w:numPr>
      </w:pPr>
      <w:bookmarkStart w:id="51" w:name="_Ref382406137"/>
      <w:r>
        <w:t xml:space="preserve">Table 4.3 </w:t>
      </w:r>
      <w:r w:rsidR="00026D1E" w:rsidRPr="00026D1E">
        <w:t xml:space="preserve">shows </w:t>
      </w:r>
      <w:proofErr w:type="spellStart"/>
      <w:r w:rsidR="00026D1E" w:rsidRPr="00026D1E">
        <w:t>Transend’s</w:t>
      </w:r>
      <w:proofErr w:type="spellEnd"/>
      <w:r w:rsidR="00026D1E" w:rsidRPr="00026D1E">
        <w:t xml:space="preserve"> proposed revenue (and price path) for the transitional and subsequent regulatory control periods and our substituted revenue (and price path</w:t>
      </w:r>
      <w:r w:rsidR="00921FA1">
        <w:t>)</w:t>
      </w:r>
      <w:r w:rsidR="00026D1E" w:rsidRPr="00026D1E">
        <w:t xml:space="preserve"> for the transitional and subsequent regulatory control periods.</w:t>
      </w:r>
    </w:p>
    <w:p w:rsidR="006F1D1D" w:rsidRDefault="006F1D1D" w:rsidP="006F1D1D">
      <w:pPr>
        <w:pStyle w:val="Caption"/>
      </w:pPr>
      <w:proofErr w:type="gramStart"/>
      <w:r>
        <w:t xml:space="preserve">Table </w:t>
      </w:r>
      <w:fldSimple w:instr=" STYLEREF 1 \s ">
        <w:r w:rsidR="00B40E3D">
          <w:rPr>
            <w:noProof/>
          </w:rPr>
          <w:t>4</w:t>
        </w:r>
      </w:fldSimple>
      <w:r>
        <w:t>.</w:t>
      </w:r>
      <w:proofErr w:type="gramEnd"/>
      <w:r w:rsidR="007827B4">
        <w:fldChar w:fldCharType="begin"/>
      </w:r>
      <w:r w:rsidR="007827B4">
        <w:instrText xml:space="preserve"> SEQ Table \* ARABIC \s 1 </w:instrText>
      </w:r>
      <w:r w:rsidR="007827B4">
        <w:fldChar w:fldCharType="separate"/>
      </w:r>
      <w:r w:rsidR="00B40E3D">
        <w:rPr>
          <w:noProof/>
        </w:rPr>
        <w:t>3</w:t>
      </w:r>
      <w:r w:rsidR="007827B4">
        <w:rPr>
          <w:noProof/>
        </w:rPr>
        <w:fldChar w:fldCharType="end"/>
      </w:r>
      <w:bookmarkEnd w:id="51"/>
      <w:r>
        <w:tab/>
      </w:r>
      <w:proofErr w:type="spellStart"/>
      <w:r>
        <w:t>Transend’s</w:t>
      </w:r>
      <w:proofErr w:type="spellEnd"/>
      <w:r>
        <w:t xml:space="preserve"> proposed revenue and price path and AER substituted revenue and price path</w:t>
      </w:r>
    </w:p>
    <w:tbl>
      <w:tblPr>
        <w:tblStyle w:val="AERtable-numbers"/>
        <w:tblW w:w="9260" w:type="dxa"/>
        <w:tblLook w:val="04A0" w:firstRow="1" w:lastRow="0" w:firstColumn="1" w:lastColumn="0" w:noHBand="0" w:noVBand="1"/>
      </w:tblPr>
      <w:tblGrid>
        <w:gridCol w:w="1628"/>
        <w:gridCol w:w="607"/>
        <w:gridCol w:w="954"/>
        <w:gridCol w:w="270"/>
        <w:gridCol w:w="771"/>
        <w:gridCol w:w="322"/>
        <w:gridCol w:w="677"/>
        <w:gridCol w:w="1056"/>
        <w:gridCol w:w="1056"/>
        <w:gridCol w:w="995"/>
        <w:gridCol w:w="924"/>
      </w:tblGrid>
      <w:tr w:rsidR="00026D1E" w:rsidTr="00B76674">
        <w:trPr>
          <w:cnfStyle w:val="100000000000" w:firstRow="1" w:lastRow="0" w:firstColumn="0" w:lastColumn="0" w:oddVBand="0" w:evenVBand="0" w:oddHBand="0"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1628" w:type="dxa"/>
            <w:noWrap/>
            <w:hideMark/>
          </w:tcPr>
          <w:p w:rsidR="00026D1E" w:rsidRDefault="00026D1E" w:rsidP="00B76674">
            <w:pPr>
              <w:jc w:val="right"/>
              <w:rPr>
                <w:rFonts w:eastAsia="MS PGothic" w:hint="eastAsia"/>
                <w:b w:val="0"/>
                <w:bCs/>
                <w:color w:val="000000"/>
                <w:lang w:eastAsia="en-AU"/>
              </w:rPr>
            </w:pPr>
            <w:r>
              <w:rPr>
                <w:bCs/>
                <w:color w:val="000000"/>
                <w:lang w:eastAsia="en-AU"/>
              </w:rPr>
              <w:t> </w:t>
            </w:r>
          </w:p>
        </w:tc>
        <w:tc>
          <w:tcPr>
            <w:tcW w:w="1561" w:type="dxa"/>
            <w:gridSpan w:val="2"/>
            <w:noWrap/>
            <w:hideMark/>
          </w:tcPr>
          <w:p w:rsidR="00026D1E" w:rsidRDefault="00026D1E" w:rsidP="00B76674">
            <w:pPr>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color w:val="000000"/>
                <w:lang w:eastAsia="en-AU"/>
              </w:rPr>
            </w:pPr>
            <w:r>
              <w:rPr>
                <w:bCs/>
                <w:color w:val="000000"/>
                <w:lang w:eastAsia="en-AU"/>
              </w:rPr>
              <w:t> </w:t>
            </w:r>
          </w:p>
        </w:tc>
        <w:tc>
          <w:tcPr>
            <w:tcW w:w="1041" w:type="dxa"/>
            <w:gridSpan w:val="2"/>
            <w:noWrap/>
            <w:hideMark/>
          </w:tcPr>
          <w:p w:rsidR="00026D1E" w:rsidRDefault="00026D1E" w:rsidP="00B76674">
            <w:pPr>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2013–14</w:t>
            </w:r>
          </w:p>
        </w:tc>
        <w:tc>
          <w:tcPr>
            <w:tcW w:w="999" w:type="dxa"/>
            <w:gridSpan w:val="2"/>
            <w:noWrap/>
            <w:hideMark/>
          </w:tcPr>
          <w:p w:rsidR="00026D1E" w:rsidRDefault="00026D1E" w:rsidP="00B76674">
            <w:pPr>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2014–15</w:t>
            </w:r>
          </w:p>
        </w:tc>
        <w:tc>
          <w:tcPr>
            <w:tcW w:w="1056" w:type="dxa"/>
          </w:tcPr>
          <w:p w:rsidR="00026D1E" w:rsidRDefault="00026D1E" w:rsidP="00B76674">
            <w:pPr>
              <w:jc w:val="right"/>
              <w:cnfStyle w:val="100000000000" w:firstRow="1" w:lastRow="0" w:firstColumn="0" w:lastColumn="0" w:oddVBand="0" w:evenVBand="0" w:oddHBand="0" w:evenHBand="0" w:firstRowFirstColumn="0" w:firstRowLastColumn="0" w:lastRowFirstColumn="0" w:lastRowLastColumn="0"/>
              <w:rPr>
                <w:bCs/>
                <w:lang w:eastAsia="en-AU"/>
              </w:rPr>
            </w:pPr>
            <w:r>
              <w:rPr>
                <w:bCs/>
                <w:lang w:eastAsia="en-AU"/>
              </w:rPr>
              <w:t>2015–16</w:t>
            </w:r>
          </w:p>
        </w:tc>
        <w:tc>
          <w:tcPr>
            <w:tcW w:w="1056" w:type="dxa"/>
          </w:tcPr>
          <w:p w:rsidR="00026D1E" w:rsidRDefault="00026D1E" w:rsidP="00B76674">
            <w:pPr>
              <w:jc w:val="right"/>
              <w:cnfStyle w:val="100000000000" w:firstRow="1" w:lastRow="0" w:firstColumn="0" w:lastColumn="0" w:oddVBand="0" w:evenVBand="0" w:oddHBand="0" w:evenHBand="0" w:firstRowFirstColumn="0" w:firstRowLastColumn="0" w:lastRowFirstColumn="0" w:lastRowLastColumn="0"/>
              <w:rPr>
                <w:bCs/>
                <w:lang w:eastAsia="en-AU"/>
              </w:rPr>
            </w:pPr>
            <w:r>
              <w:rPr>
                <w:bCs/>
                <w:lang w:eastAsia="en-AU"/>
              </w:rPr>
              <w:t>2016–17</w:t>
            </w:r>
          </w:p>
        </w:tc>
        <w:tc>
          <w:tcPr>
            <w:tcW w:w="995" w:type="dxa"/>
          </w:tcPr>
          <w:p w:rsidR="00026D1E" w:rsidRDefault="00026D1E" w:rsidP="00B76674">
            <w:pPr>
              <w:jc w:val="right"/>
              <w:cnfStyle w:val="100000000000" w:firstRow="1" w:lastRow="0" w:firstColumn="0" w:lastColumn="0" w:oddVBand="0" w:evenVBand="0" w:oddHBand="0" w:evenHBand="0" w:firstRowFirstColumn="0" w:firstRowLastColumn="0" w:lastRowFirstColumn="0" w:lastRowLastColumn="0"/>
              <w:rPr>
                <w:bCs/>
                <w:lang w:eastAsia="en-AU"/>
              </w:rPr>
            </w:pPr>
            <w:r>
              <w:rPr>
                <w:bCs/>
                <w:lang w:eastAsia="en-AU"/>
              </w:rPr>
              <w:t>2017–18</w:t>
            </w:r>
          </w:p>
        </w:tc>
        <w:tc>
          <w:tcPr>
            <w:tcW w:w="924" w:type="dxa"/>
          </w:tcPr>
          <w:p w:rsidR="00026D1E" w:rsidRDefault="00026D1E" w:rsidP="00B76674">
            <w:pPr>
              <w:jc w:val="right"/>
              <w:cnfStyle w:val="100000000000" w:firstRow="1" w:lastRow="0" w:firstColumn="0" w:lastColumn="0" w:oddVBand="0" w:evenVBand="0" w:oddHBand="0" w:evenHBand="0" w:firstRowFirstColumn="0" w:firstRowLastColumn="0" w:lastRowFirstColumn="0" w:lastRowLastColumn="0"/>
              <w:rPr>
                <w:bCs/>
                <w:lang w:eastAsia="en-AU"/>
              </w:rPr>
            </w:pPr>
            <w:r>
              <w:rPr>
                <w:bCs/>
                <w:lang w:eastAsia="en-AU"/>
              </w:rPr>
              <w:t>2018–19</w:t>
            </w:r>
          </w:p>
        </w:tc>
      </w:tr>
      <w:tr w:rsidR="00026D1E" w:rsidTr="00B76674">
        <w:trPr>
          <w:gridAfter w:val="5"/>
          <w:wAfter w:w="4708" w:type="dxa"/>
          <w:trHeight w:val="201"/>
        </w:trPr>
        <w:tc>
          <w:tcPr>
            <w:cnfStyle w:val="001000000000" w:firstRow="0" w:lastRow="0" w:firstColumn="1" w:lastColumn="0" w:oddVBand="0" w:evenVBand="0" w:oddHBand="0" w:evenHBand="0" w:firstRowFirstColumn="0" w:firstRowLastColumn="0" w:lastRowFirstColumn="0" w:lastRowLastColumn="0"/>
            <w:tcW w:w="3459" w:type="dxa"/>
            <w:gridSpan w:val="4"/>
          </w:tcPr>
          <w:p w:rsidR="00026D1E" w:rsidRPr="009533AF" w:rsidRDefault="00026D1E" w:rsidP="00B76674">
            <w:pPr>
              <w:pStyle w:val="AERtabletextleft"/>
              <w:rPr>
                <w:b/>
                <w:lang w:eastAsia="en-AU"/>
              </w:rPr>
            </w:pPr>
            <w:r w:rsidRPr="009533AF">
              <w:rPr>
                <w:b/>
                <w:lang w:eastAsia="en-AU"/>
              </w:rPr>
              <w:t>Proposed revenue and price path</w:t>
            </w:r>
          </w:p>
        </w:tc>
        <w:tc>
          <w:tcPr>
            <w:tcW w:w="1093" w:type="dxa"/>
            <w:gridSpan w:val="2"/>
          </w:tcPr>
          <w:p w:rsidR="00026D1E" w:rsidRDefault="00026D1E" w:rsidP="00B76674">
            <w:pPr>
              <w:jc w:val="left"/>
              <w:cnfStyle w:val="000000000000" w:firstRow="0" w:lastRow="0" w:firstColumn="0" w:lastColumn="0" w:oddVBand="0" w:evenVBand="0" w:oddHBand="0" w:evenHBand="0" w:firstRowFirstColumn="0" w:firstRowLastColumn="0" w:lastRowFirstColumn="0" w:lastRowLastColumn="0"/>
              <w:rPr>
                <w:b/>
                <w:bCs/>
                <w:color w:val="000000"/>
                <w:lang w:eastAsia="en-AU"/>
              </w:rPr>
            </w:pPr>
          </w:p>
        </w:tc>
      </w:tr>
      <w:tr w:rsidR="00026D1E" w:rsidTr="00B76674">
        <w:trPr>
          <w:cnfStyle w:val="000000010000" w:firstRow="0" w:lastRow="0" w:firstColumn="0" w:lastColumn="0" w:oddVBand="0" w:evenVBand="0" w:oddHBand="0" w:evenHBand="1"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189" w:type="dxa"/>
            <w:gridSpan w:val="3"/>
            <w:noWrap/>
            <w:hideMark/>
          </w:tcPr>
          <w:p w:rsidR="00026D1E" w:rsidRDefault="00026D1E" w:rsidP="00B76674">
            <w:pPr>
              <w:pStyle w:val="AERtabletextleft"/>
              <w:rPr>
                <w:rFonts w:eastAsia="MS PGothic" w:hint="eastAsia"/>
                <w:lang w:eastAsia="en-AU"/>
              </w:rPr>
            </w:pPr>
            <w:r>
              <w:rPr>
                <w:lang w:eastAsia="en-AU"/>
              </w:rPr>
              <w:t>Revenue ($million, nominal)</w:t>
            </w:r>
          </w:p>
        </w:tc>
        <w:tc>
          <w:tcPr>
            <w:tcW w:w="1041" w:type="dxa"/>
            <w:gridSpan w:val="2"/>
            <w:noWrap/>
            <w:hideMark/>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sidRPr="00814C4E">
              <w:t>221.5</w:t>
            </w:r>
            <w:r w:rsidRPr="00B2559D">
              <w:rPr>
                <w:rStyle w:val="AERsuperscript"/>
              </w:rPr>
              <w:t>(a)</w:t>
            </w:r>
          </w:p>
        </w:tc>
        <w:tc>
          <w:tcPr>
            <w:tcW w:w="999" w:type="dxa"/>
            <w:gridSpan w:val="2"/>
            <w:noWrap/>
            <w:hideMark/>
          </w:tcPr>
          <w:p w:rsidR="00026D1E" w:rsidRPr="00814C4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814C4E">
              <w:t xml:space="preserve">        215.5 </w:t>
            </w:r>
          </w:p>
        </w:tc>
        <w:tc>
          <w:tcPr>
            <w:tcW w:w="1056" w:type="dxa"/>
          </w:tcPr>
          <w:p w:rsidR="00026D1E" w:rsidRPr="00814C4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814C4E">
              <w:t xml:space="preserve"> 219.7 </w:t>
            </w:r>
          </w:p>
        </w:tc>
        <w:tc>
          <w:tcPr>
            <w:tcW w:w="1056" w:type="dxa"/>
          </w:tcPr>
          <w:p w:rsidR="00026D1E" w:rsidRPr="00814C4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814C4E">
              <w:t xml:space="preserve">         224.1 </w:t>
            </w:r>
          </w:p>
        </w:tc>
        <w:tc>
          <w:tcPr>
            <w:tcW w:w="995" w:type="dxa"/>
          </w:tcPr>
          <w:p w:rsidR="00026D1E" w:rsidRPr="00814C4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814C4E">
              <w:t xml:space="preserve">       228.6 </w:t>
            </w:r>
          </w:p>
        </w:tc>
        <w:tc>
          <w:tcPr>
            <w:tcW w:w="924" w:type="dxa"/>
          </w:tcPr>
          <w:p w:rsidR="00026D1E" w:rsidRPr="00814C4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814C4E">
              <w:t xml:space="preserve">     233.1 </w:t>
            </w:r>
          </w:p>
        </w:tc>
      </w:tr>
      <w:tr w:rsidR="00026D1E" w:rsidTr="00B76674">
        <w:trPr>
          <w:trHeight w:val="201"/>
        </w:trPr>
        <w:tc>
          <w:tcPr>
            <w:cnfStyle w:val="001000000000" w:firstRow="0" w:lastRow="0" w:firstColumn="1" w:lastColumn="0" w:oddVBand="0" w:evenVBand="0" w:oddHBand="0" w:evenHBand="0" w:firstRowFirstColumn="0" w:firstRowLastColumn="0" w:lastRowFirstColumn="0" w:lastRowLastColumn="0"/>
            <w:tcW w:w="3189" w:type="dxa"/>
            <w:gridSpan w:val="3"/>
            <w:noWrap/>
            <w:hideMark/>
          </w:tcPr>
          <w:p w:rsidR="00026D1E" w:rsidRDefault="00026D1E" w:rsidP="00B76674">
            <w:pPr>
              <w:pStyle w:val="AERtabletextleft"/>
              <w:rPr>
                <w:rFonts w:eastAsia="MS PGothic" w:hint="eastAsia"/>
                <w:lang w:eastAsia="en-AU"/>
              </w:rPr>
            </w:pPr>
            <w:r>
              <w:rPr>
                <w:lang w:eastAsia="en-AU"/>
              </w:rPr>
              <w:t xml:space="preserve">Price path </w:t>
            </w:r>
            <w:r w:rsidRPr="00814805">
              <w:rPr>
                <w:lang w:eastAsia="en-AU"/>
              </w:rPr>
              <w:t>($/</w:t>
            </w:r>
            <w:proofErr w:type="spellStart"/>
            <w:r w:rsidRPr="00814805">
              <w:rPr>
                <w:lang w:eastAsia="en-AU"/>
              </w:rPr>
              <w:t>MWh</w:t>
            </w:r>
            <w:proofErr w:type="spellEnd"/>
            <w:r w:rsidRPr="00814805">
              <w:rPr>
                <w:lang w:eastAsia="en-AU"/>
              </w:rPr>
              <w:t>, nominal)</w:t>
            </w:r>
          </w:p>
        </w:tc>
        <w:tc>
          <w:tcPr>
            <w:tcW w:w="1041" w:type="dxa"/>
            <w:gridSpan w:val="2"/>
            <w:noWrap/>
            <w:hideMark/>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t xml:space="preserve">   21.5 </w:t>
            </w:r>
          </w:p>
        </w:tc>
        <w:tc>
          <w:tcPr>
            <w:tcW w:w="999" w:type="dxa"/>
            <w:gridSpan w:val="2"/>
            <w:noWrap/>
            <w:hideMark/>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t xml:space="preserve">          21.1 </w:t>
            </w:r>
          </w:p>
        </w:tc>
        <w:tc>
          <w:tcPr>
            <w:tcW w:w="1056" w:type="dxa"/>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t xml:space="preserve">          22.0 </w:t>
            </w:r>
          </w:p>
        </w:tc>
        <w:tc>
          <w:tcPr>
            <w:tcW w:w="1056" w:type="dxa"/>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t xml:space="preserve">          22.6 </w:t>
            </w:r>
          </w:p>
        </w:tc>
        <w:tc>
          <w:tcPr>
            <w:tcW w:w="995" w:type="dxa"/>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t xml:space="preserve">          23.0 </w:t>
            </w:r>
          </w:p>
        </w:tc>
        <w:tc>
          <w:tcPr>
            <w:tcW w:w="924" w:type="dxa"/>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t xml:space="preserve">       23.1 </w:t>
            </w:r>
          </w:p>
        </w:tc>
      </w:tr>
      <w:tr w:rsidR="00026D1E" w:rsidTr="00B76674">
        <w:trPr>
          <w:cnfStyle w:val="000000010000" w:firstRow="0" w:lastRow="0" w:firstColumn="0" w:lastColumn="0" w:oddVBand="0" w:evenVBand="0" w:oddHBand="0" w:evenHBand="1"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2235" w:type="dxa"/>
            <w:gridSpan w:val="2"/>
            <w:noWrap/>
          </w:tcPr>
          <w:p w:rsidR="00026D1E" w:rsidRPr="00654DD1" w:rsidRDefault="00026D1E" w:rsidP="00B76674">
            <w:pPr>
              <w:pStyle w:val="AERtabletextleft"/>
              <w:rPr>
                <w:lang w:eastAsia="en-AU"/>
              </w:rPr>
            </w:pPr>
            <w:r>
              <w:rPr>
                <w:lang w:eastAsia="en-AU"/>
              </w:rPr>
              <w:t xml:space="preserve">Revenue </w:t>
            </w:r>
            <w:r w:rsidRPr="00654DD1">
              <w:rPr>
                <w:lang w:eastAsia="en-AU"/>
              </w:rPr>
              <w:t>(change %)</w:t>
            </w:r>
          </w:p>
        </w:tc>
        <w:tc>
          <w:tcPr>
            <w:tcW w:w="954" w:type="dxa"/>
            <w:noWrap/>
          </w:tcPr>
          <w:p w:rsidR="00026D1E" w:rsidRDefault="00026D1E" w:rsidP="00B76674">
            <w:pPr>
              <w:cnfStyle w:val="000000010000" w:firstRow="0" w:lastRow="0" w:firstColumn="0" w:lastColumn="0" w:oddVBand="0" w:evenVBand="0" w:oddHBand="0" w:evenHBand="1" w:firstRowFirstColumn="0" w:firstRowLastColumn="0" w:lastRowFirstColumn="0" w:lastRowLastColumn="0"/>
              <w:rPr>
                <w:b/>
                <w:bCs/>
                <w:color w:val="000000"/>
                <w:lang w:eastAsia="en-AU"/>
              </w:rPr>
            </w:pPr>
          </w:p>
        </w:tc>
        <w:tc>
          <w:tcPr>
            <w:tcW w:w="1041" w:type="dxa"/>
            <w:gridSpan w:val="2"/>
            <w:noWrap/>
          </w:tcPr>
          <w:p w:rsidR="00026D1E" w:rsidRDefault="00026D1E" w:rsidP="00B76674">
            <w:pPr>
              <w:jc w:val="right"/>
              <w:cnfStyle w:val="000000010000" w:firstRow="0" w:lastRow="0" w:firstColumn="0" w:lastColumn="0" w:oddVBand="0" w:evenVBand="0" w:oddHBand="0" w:evenHBand="1" w:firstRowFirstColumn="0" w:firstRowLastColumn="0" w:lastRowFirstColumn="0" w:lastRowLastColumn="0"/>
              <w:rPr>
                <w:color w:val="000000"/>
                <w:lang w:eastAsia="en-AU"/>
              </w:rPr>
            </w:pPr>
            <w:r>
              <w:rPr>
                <w:color w:val="000000"/>
                <w:lang w:eastAsia="en-AU"/>
              </w:rPr>
              <w:t>n/a</w:t>
            </w:r>
          </w:p>
        </w:tc>
        <w:tc>
          <w:tcPr>
            <w:tcW w:w="999" w:type="dxa"/>
            <w:gridSpan w:val="2"/>
            <w:noWrap/>
            <w:vAlign w:val="top"/>
          </w:tcPr>
          <w:p w:rsidR="00026D1E" w:rsidRPr="00FA588D"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t>–</w:t>
            </w:r>
            <w:r w:rsidRPr="00FA588D">
              <w:t>2.7</w:t>
            </w:r>
          </w:p>
        </w:tc>
        <w:tc>
          <w:tcPr>
            <w:tcW w:w="1056" w:type="dxa"/>
            <w:vAlign w:val="top"/>
          </w:tcPr>
          <w:p w:rsidR="00026D1E" w:rsidRPr="00FA588D"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FA588D">
              <w:t>2.0</w:t>
            </w:r>
          </w:p>
        </w:tc>
        <w:tc>
          <w:tcPr>
            <w:tcW w:w="1056" w:type="dxa"/>
            <w:vAlign w:val="top"/>
          </w:tcPr>
          <w:p w:rsidR="00026D1E" w:rsidRPr="00FA588D"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FA588D">
              <w:t>2.0</w:t>
            </w:r>
          </w:p>
        </w:tc>
        <w:tc>
          <w:tcPr>
            <w:tcW w:w="995" w:type="dxa"/>
            <w:vAlign w:val="top"/>
          </w:tcPr>
          <w:p w:rsidR="00026D1E" w:rsidRPr="00FA588D"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FA588D">
              <w:t>2.0</w:t>
            </w:r>
          </w:p>
        </w:tc>
        <w:tc>
          <w:tcPr>
            <w:tcW w:w="924" w:type="dxa"/>
            <w:vAlign w:val="top"/>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FA588D">
              <w:t>2.0</w:t>
            </w:r>
          </w:p>
        </w:tc>
      </w:tr>
      <w:tr w:rsidR="00026D1E" w:rsidTr="00B76674">
        <w:trPr>
          <w:trHeight w:val="201"/>
        </w:trPr>
        <w:tc>
          <w:tcPr>
            <w:cnfStyle w:val="001000000000" w:firstRow="0" w:lastRow="0" w:firstColumn="1" w:lastColumn="0" w:oddVBand="0" w:evenVBand="0" w:oddHBand="0" w:evenHBand="0" w:firstRowFirstColumn="0" w:firstRowLastColumn="0" w:lastRowFirstColumn="0" w:lastRowLastColumn="0"/>
            <w:tcW w:w="2235" w:type="dxa"/>
            <w:gridSpan w:val="2"/>
            <w:noWrap/>
          </w:tcPr>
          <w:p w:rsidR="00026D1E" w:rsidRPr="00654DD1" w:rsidRDefault="00026D1E" w:rsidP="00B76674">
            <w:pPr>
              <w:pStyle w:val="AERtabletextleft"/>
              <w:rPr>
                <w:bCs/>
                <w:color w:val="000000"/>
                <w:lang w:eastAsia="en-AU"/>
              </w:rPr>
            </w:pPr>
            <w:r w:rsidRPr="00654DD1">
              <w:rPr>
                <w:bCs/>
                <w:color w:val="000000"/>
                <w:lang w:eastAsia="en-AU"/>
              </w:rPr>
              <w:t>Price path (change %)</w:t>
            </w:r>
          </w:p>
        </w:tc>
        <w:tc>
          <w:tcPr>
            <w:tcW w:w="954" w:type="dxa"/>
            <w:noWrap/>
          </w:tcPr>
          <w:p w:rsidR="00026D1E" w:rsidRDefault="00026D1E" w:rsidP="00B76674">
            <w:pPr>
              <w:cnfStyle w:val="000000000000" w:firstRow="0" w:lastRow="0" w:firstColumn="0" w:lastColumn="0" w:oddVBand="0" w:evenVBand="0" w:oddHBand="0" w:evenHBand="0" w:firstRowFirstColumn="0" w:firstRowLastColumn="0" w:lastRowFirstColumn="0" w:lastRowLastColumn="0"/>
              <w:rPr>
                <w:b/>
                <w:bCs/>
                <w:color w:val="000000"/>
                <w:lang w:eastAsia="en-AU"/>
              </w:rPr>
            </w:pPr>
          </w:p>
        </w:tc>
        <w:tc>
          <w:tcPr>
            <w:tcW w:w="1041" w:type="dxa"/>
            <w:gridSpan w:val="2"/>
            <w:noWrap/>
          </w:tcPr>
          <w:p w:rsidR="00026D1E" w:rsidRDefault="00026D1E" w:rsidP="00B76674">
            <w:pPr>
              <w:jc w:val="right"/>
              <w:cnfStyle w:val="000000000000" w:firstRow="0" w:lastRow="0" w:firstColumn="0" w:lastColumn="0" w:oddVBand="0" w:evenVBand="0" w:oddHBand="0" w:evenHBand="0" w:firstRowFirstColumn="0" w:firstRowLastColumn="0" w:lastRowFirstColumn="0" w:lastRowLastColumn="0"/>
              <w:rPr>
                <w:color w:val="000000"/>
                <w:lang w:eastAsia="en-AU"/>
              </w:rPr>
            </w:pPr>
            <w:r>
              <w:rPr>
                <w:color w:val="000000"/>
                <w:lang w:eastAsia="en-AU"/>
              </w:rPr>
              <w:t>n/a</w:t>
            </w:r>
          </w:p>
        </w:tc>
        <w:tc>
          <w:tcPr>
            <w:tcW w:w="999" w:type="dxa"/>
            <w:gridSpan w:val="2"/>
            <w:noWrap/>
            <w:vAlign w:val="top"/>
          </w:tcPr>
          <w:p w:rsidR="00026D1E" w:rsidRPr="002931D2"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t>–</w:t>
            </w:r>
            <w:r w:rsidRPr="002931D2">
              <w:t>1.7</w:t>
            </w:r>
          </w:p>
        </w:tc>
        <w:tc>
          <w:tcPr>
            <w:tcW w:w="1056" w:type="dxa"/>
            <w:vAlign w:val="top"/>
          </w:tcPr>
          <w:p w:rsidR="00026D1E" w:rsidRPr="002931D2"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2931D2">
              <w:t>4.3</w:t>
            </w:r>
          </w:p>
        </w:tc>
        <w:tc>
          <w:tcPr>
            <w:tcW w:w="1056" w:type="dxa"/>
            <w:vAlign w:val="top"/>
          </w:tcPr>
          <w:p w:rsidR="00026D1E" w:rsidRPr="002931D2"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2931D2">
              <w:t>2.4</w:t>
            </w:r>
          </w:p>
        </w:tc>
        <w:tc>
          <w:tcPr>
            <w:tcW w:w="995" w:type="dxa"/>
            <w:vAlign w:val="top"/>
          </w:tcPr>
          <w:p w:rsidR="00026D1E" w:rsidRPr="002931D2"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2931D2">
              <w:t>1.7</w:t>
            </w:r>
          </w:p>
        </w:tc>
        <w:tc>
          <w:tcPr>
            <w:tcW w:w="924" w:type="dxa"/>
            <w:vAlign w:val="top"/>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2931D2">
              <w:t>0.6</w:t>
            </w:r>
          </w:p>
        </w:tc>
      </w:tr>
      <w:tr w:rsidR="00026D1E" w:rsidTr="00B76674">
        <w:trPr>
          <w:cnfStyle w:val="000000010000" w:firstRow="0" w:lastRow="0" w:firstColumn="0" w:lastColumn="0" w:oddVBand="0" w:evenVBand="0" w:oddHBand="0" w:evenHBand="1"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9260" w:type="dxa"/>
            <w:gridSpan w:val="11"/>
          </w:tcPr>
          <w:p w:rsidR="00026D1E" w:rsidRPr="009533AF" w:rsidRDefault="00026D1E" w:rsidP="00B76674">
            <w:pPr>
              <w:pStyle w:val="AERtabletextleft"/>
              <w:rPr>
                <w:b/>
                <w:lang w:eastAsia="en-AU"/>
              </w:rPr>
            </w:pPr>
            <w:r w:rsidRPr="009533AF">
              <w:rPr>
                <w:b/>
                <w:lang w:eastAsia="en-AU"/>
              </w:rPr>
              <w:t>AER substitute revenue and price path</w:t>
            </w:r>
          </w:p>
        </w:tc>
      </w:tr>
      <w:tr w:rsidR="00026D1E" w:rsidTr="00B76674">
        <w:trPr>
          <w:trHeight w:val="201"/>
        </w:trPr>
        <w:tc>
          <w:tcPr>
            <w:cnfStyle w:val="001000000000" w:firstRow="0" w:lastRow="0" w:firstColumn="1" w:lastColumn="0" w:oddVBand="0" w:evenVBand="0" w:oddHBand="0" w:evenHBand="0" w:firstRowFirstColumn="0" w:firstRowLastColumn="0" w:lastRowFirstColumn="0" w:lastRowLastColumn="0"/>
            <w:tcW w:w="2235" w:type="dxa"/>
            <w:gridSpan w:val="2"/>
            <w:noWrap/>
          </w:tcPr>
          <w:p w:rsidR="00026D1E" w:rsidRDefault="00026D1E" w:rsidP="00B76674">
            <w:pPr>
              <w:pStyle w:val="AERtabletextleft"/>
              <w:rPr>
                <w:rFonts w:eastAsia="MS PGothic" w:hint="eastAsia"/>
                <w:lang w:eastAsia="en-AU"/>
              </w:rPr>
            </w:pPr>
            <w:r>
              <w:rPr>
                <w:lang w:eastAsia="en-AU"/>
              </w:rPr>
              <w:t>Revenue ($million, nominal)</w:t>
            </w:r>
          </w:p>
        </w:tc>
        <w:tc>
          <w:tcPr>
            <w:tcW w:w="954" w:type="dxa"/>
            <w:noWrap/>
          </w:tcPr>
          <w:p w:rsidR="00026D1E" w:rsidRDefault="00026D1E" w:rsidP="00B76674">
            <w:pPr>
              <w:pStyle w:val="AERtabletextlef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p>
        </w:tc>
        <w:tc>
          <w:tcPr>
            <w:tcW w:w="1041" w:type="dxa"/>
            <w:gridSpan w:val="2"/>
            <w:noWrap/>
            <w:vAlign w:val="top"/>
            <w:hideMark/>
          </w:tcPr>
          <w:p w:rsidR="00026D1E" w:rsidRPr="005F36DC"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5F36DC">
              <w:t xml:space="preserve"> 221.5</w:t>
            </w:r>
            <w:r w:rsidRPr="009533AF">
              <w:rPr>
                <w:rStyle w:val="AERsuperscript"/>
              </w:rPr>
              <w:t>(a)</w:t>
            </w:r>
            <w:r w:rsidRPr="005F36DC">
              <w:t xml:space="preserve"> </w:t>
            </w:r>
          </w:p>
        </w:tc>
        <w:tc>
          <w:tcPr>
            <w:tcW w:w="999" w:type="dxa"/>
            <w:gridSpan w:val="2"/>
            <w:noWrap/>
            <w:vAlign w:val="top"/>
          </w:tcPr>
          <w:p w:rsidR="00026D1E" w:rsidRPr="005F36DC"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5F36DC">
              <w:t xml:space="preserve"> 205.1 </w:t>
            </w:r>
          </w:p>
        </w:tc>
        <w:tc>
          <w:tcPr>
            <w:tcW w:w="1056" w:type="dxa"/>
            <w:vAlign w:val="top"/>
          </w:tcPr>
          <w:p w:rsidR="00026D1E" w:rsidRPr="005F36DC"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5F36DC">
              <w:t xml:space="preserve"> 209.2 </w:t>
            </w:r>
          </w:p>
        </w:tc>
        <w:tc>
          <w:tcPr>
            <w:tcW w:w="1056" w:type="dxa"/>
            <w:vAlign w:val="top"/>
          </w:tcPr>
          <w:p w:rsidR="00026D1E" w:rsidRPr="005F36DC"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5F36DC">
              <w:t xml:space="preserve"> 213.3 </w:t>
            </w:r>
          </w:p>
        </w:tc>
        <w:tc>
          <w:tcPr>
            <w:tcW w:w="995" w:type="dxa"/>
            <w:vAlign w:val="top"/>
          </w:tcPr>
          <w:p w:rsidR="00026D1E" w:rsidRPr="005F36DC"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5F36DC">
              <w:t xml:space="preserve"> 217.6 </w:t>
            </w:r>
          </w:p>
        </w:tc>
        <w:tc>
          <w:tcPr>
            <w:tcW w:w="924" w:type="dxa"/>
            <w:vAlign w:val="top"/>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5F36DC">
              <w:t xml:space="preserve"> 221.9 </w:t>
            </w:r>
          </w:p>
        </w:tc>
      </w:tr>
      <w:tr w:rsidR="00026D1E" w:rsidTr="00B76674">
        <w:trPr>
          <w:cnfStyle w:val="000000010000" w:firstRow="0" w:lastRow="0" w:firstColumn="0" w:lastColumn="0" w:oddVBand="0" w:evenVBand="0" w:oddHBand="0" w:evenHBand="1"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189" w:type="dxa"/>
            <w:gridSpan w:val="3"/>
            <w:noWrap/>
          </w:tcPr>
          <w:p w:rsidR="00026D1E" w:rsidRDefault="00026D1E" w:rsidP="00882540">
            <w:pPr>
              <w:pStyle w:val="AERtabletextleft"/>
              <w:rPr>
                <w:rFonts w:eastAsia="MS PGothic" w:hint="eastAsia"/>
                <w:color w:val="000000"/>
                <w:lang w:eastAsia="en-AU"/>
              </w:rPr>
            </w:pPr>
            <w:r>
              <w:rPr>
                <w:color w:val="000000"/>
                <w:lang w:eastAsia="en-AU"/>
              </w:rPr>
              <w:t>Price path</w:t>
            </w:r>
            <w:r w:rsidRPr="00814805">
              <w:rPr>
                <w:color w:val="000000"/>
                <w:lang w:eastAsia="en-AU"/>
              </w:rPr>
              <w:t xml:space="preserve"> ($/</w:t>
            </w:r>
            <w:proofErr w:type="spellStart"/>
            <w:r w:rsidRPr="00814805">
              <w:rPr>
                <w:color w:val="000000"/>
                <w:lang w:eastAsia="en-AU"/>
              </w:rPr>
              <w:t>MWh</w:t>
            </w:r>
            <w:proofErr w:type="spellEnd"/>
            <w:r w:rsidRPr="00814805">
              <w:rPr>
                <w:color w:val="000000"/>
                <w:lang w:eastAsia="en-AU"/>
              </w:rPr>
              <w:t>, nominal)</w:t>
            </w:r>
          </w:p>
        </w:tc>
        <w:tc>
          <w:tcPr>
            <w:tcW w:w="1041" w:type="dxa"/>
            <w:gridSpan w:val="2"/>
            <w:noWrap/>
            <w:vAlign w:val="top"/>
            <w:hideMark/>
          </w:tcPr>
          <w:p w:rsidR="00026D1E" w:rsidRPr="007A3BBD"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7A3BBD">
              <w:t xml:space="preserve"> 21.5 </w:t>
            </w:r>
          </w:p>
        </w:tc>
        <w:tc>
          <w:tcPr>
            <w:tcW w:w="999" w:type="dxa"/>
            <w:gridSpan w:val="2"/>
            <w:noWrap/>
            <w:vAlign w:val="top"/>
          </w:tcPr>
          <w:p w:rsidR="00026D1E" w:rsidRPr="007A3BBD"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7A3BBD">
              <w:t xml:space="preserve"> 20.1 </w:t>
            </w:r>
          </w:p>
        </w:tc>
        <w:tc>
          <w:tcPr>
            <w:tcW w:w="1056" w:type="dxa"/>
            <w:vAlign w:val="top"/>
          </w:tcPr>
          <w:p w:rsidR="00026D1E" w:rsidRPr="007A3BBD"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7A3BBD">
              <w:t xml:space="preserve"> 21.0 </w:t>
            </w:r>
          </w:p>
        </w:tc>
        <w:tc>
          <w:tcPr>
            <w:tcW w:w="1056" w:type="dxa"/>
            <w:vAlign w:val="top"/>
          </w:tcPr>
          <w:p w:rsidR="00026D1E" w:rsidRPr="007A3BBD"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7A3BBD">
              <w:t xml:space="preserve"> 21.5 </w:t>
            </w:r>
          </w:p>
        </w:tc>
        <w:tc>
          <w:tcPr>
            <w:tcW w:w="995" w:type="dxa"/>
            <w:vAlign w:val="top"/>
          </w:tcPr>
          <w:p w:rsidR="00026D1E" w:rsidRPr="007A3BBD"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7A3BBD">
              <w:t xml:space="preserve"> 21.9 </w:t>
            </w:r>
          </w:p>
        </w:tc>
        <w:tc>
          <w:tcPr>
            <w:tcW w:w="924" w:type="dxa"/>
            <w:vAlign w:val="top"/>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7A3BBD">
              <w:t xml:space="preserve"> 22.0 </w:t>
            </w:r>
          </w:p>
        </w:tc>
      </w:tr>
      <w:tr w:rsidR="00026D1E" w:rsidTr="00B76674">
        <w:trPr>
          <w:trHeight w:val="201"/>
        </w:trPr>
        <w:tc>
          <w:tcPr>
            <w:cnfStyle w:val="001000000000" w:firstRow="0" w:lastRow="0" w:firstColumn="1" w:lastColumn="0" w:oddVBand="0" w:evenVBand="0" w:oddHBand="0" w:evenHBand="0" w:firstRowFirstColumn="0" w:firstRowLastColumn="0" w:lastRowFirstColumn="0" w:lastRowLastColumn="0"/>
            <w:tcW w:w="3189" w:type="dxa"/>
            <w:gridSpan w:val="3"/>
            <w:noWrap/>
          </w:tcPr>
          <w:p w:rsidR="00026D1E" w:rsidRPr="00654DD1" w:rsidRDefault="00026D1E" w:rsidP="00B76674">
            <w:pPr>
              <w:pStyle w:val="AERtabletextleft"/>
              <w:rPr>
                <w:bCs/>
                <w:color w:val="000000"/>
                <w:lang w:eastAsia="en-AU"/>
              </w:rPr>
            </w:pPr>
            <w:r>
              <w:rPr>
                <w:bCs/>
                <w:color w:val="000000"/>
                <w:lang w:eastAsia="en-AU"/>
              </w:rPr>
              <w:t xml:space="preserve">Revenue </w:t>
            </w:r>
            <w:r w:rsidRPr="00654DD1">
              <w:rPr>
                <w:bCs/>
                <w:color w:val="000000"/>
                <w:lang w:eastAsia="en-AU"/>
              </w:rPr>
              <w:t>(change %)</w:t>
            </w:r>
          </w:p>
        </w:tc>
        <w:tc>
          <w:tcPr>
            <w:tcW w:w="1041" w:type="dxa"/>
            <w:gridSpan w:val="2"/>
            <w:noWrap/>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rPr>
                <w:color w:val="000000"/>
                <w:lang w:eastAsia="en-AU"/>
              </w:rPr>
            </w:pPr>
          </w:p>
        </w:tc>
        <w:tc>
          <w:tcPr>
            <w:tcW w:w="999" w:type="dxa"/>
            <w:gridSpan w:val="2"/>
            <w:noWrap/>
            <w:vAlign w:val="top"/>
          </w:tcPr>
          <w:p w:rsidR="00026D1E" w:rsidRPr="005B1B04"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t>–</w:t>
            </w:r>
            <w:r w:rsidRPr="005B1B04">
              <w:t>7.4</w:t>
            </w:r>
          </w:p>
        </w:tc>
        <w:tc>
          <w:tcPr>
            <w:tcW w:w="1056" w:type="dxa"/>
            <w:vAlign w:val="top"/>
          </w:tcPr>
          <w:p w:rsidR="00026D1E" w:rsidRPr="005B1B04"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5B1B04">
              <w:t>2.0</w:t>
            </w:r>
          </w:p>
        </w:tc>
        <w:tc>
          <w:tcPr>
            <w:tcW w:w="1056" w:type="dxa"/>
            <w:vAlign w:val="top"/>
          </w:tcPr>
          <w:p w:rsidR="00026D1E" w:rsidRPr="005B1B04"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5B1B04">
              <w:t>2.0</w:t>
            </w:r>
          </w:p>
        </w:tc>
        <w:tc>
          <w:tcPr>
            <w:tcW w:w="995" w:type="dxa"/>
            <w:vAlign w:val="top"/>
          </w:tcPr>
          <w:p w:rsidR="00026D1E" w:rsidRPr="005B1B04"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5B1B04">
              <w:t>2.0</w:t>
            </w:r>
          </w:p>
        </w:tc>
        <w:tc>
          <w:tcPr>
            <w:tcW w:w="924" w:type="dxa"/>
            <w:vAlign w:val="top"/>
          </w:tcPr>
          <w:p w:rsidR="00026D1E" w:rsidRDefault="00026D1E" w:rsidP="00B76674">
            <w:pPr>
              <w:pStyle w:val="AERtabletextright"/>
              <w:cnfStyle w:val="000000000000" w:firstRow="0" w:lastRow="0" w:firstColumn="0" w:lastColumn="0" w:oddVBand="0" w:evenVBand="0" w:oddHBand="0" w:evenHBand="0" w:firstRowFirstColumn="0" w:firstRowLastColumn="0" w:lastRowFirstColumn="0" w:lastRowLastColumn="0"/>
            </w:pPr>
            <w:r w:rsidRPr="005B1B04">
              <w:t>2.0</w:t>
            </w:r>
          </w:p>
        </w:tc>
      </w:tr>
      <w:tr w:rsidR="00026D1E" w:rsidTr="00B76674">
        <w:trPr>
          <w:cnfStyle w:val="000000010000" w:firstRow="0" w:lastRow="0" w:firstColumn="0" w:lastColumn="0" w:oddVBand="0" w:evenVBand="0" w:oddHBand="0" w:evenHBand="1"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3189" w:type="dxa"/>
            <w:gridSpan w:val="3"/>
            <w:noWrap/>
          </w:tcPr>
          <w:p w:rsidR="00026D1E" w:rsidRPr="00654DD1" w:rsidRDefault="00026D1E" w:rsidP="00B76674">
            <w:pPr>
              <w:pStyle w:val="AERtabletextleft"/>
              <w:rPr>
                <w:bCs/>
                <w:color w:val="000000"/>
                <w:lang w:eastAsia="en-AU"/>
              </w:rPr>
            </w:pPr>
            <w:r w:rsidRPr="00654DD1">
              <w:rPr>
                <w:bCs/>
                <w:color w:val="000000"/>
                <w:lang w:eastAsia="en-AU"/>
              </w:rPr>
              <w:t>Price path (change %)</w:t>
            </w:r>
          </w:p>
        </w:tc>
        <w:tc>
          <w:tcPr>
            <w:tcW w:w="1041" w:type="dxa"/>
            <w:gridSpan w:val="2"/>
            <w:noWrap/>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rPr>
                <w:color w:val="000000"/>
                <w:lang w:eastAsia="en-AU"/>
              </w:rPr>
            </w:pPr>
          </w:p>
        </w:tc>
        <w:tc>
          <w:tcPr>
            <w:tcW w:w="999" w:type="dxa"/>
            <w:gridSpan w:val="2"/>
            <w:noWrap/>
            <w:vAlign w:val="top"/>
          </w:tcPr>
          <w:p w:rsidR="00026D1E" w:rsidRPr="00682AC1"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t>–</w:t>
            </w:r>
            <w:r w:rsidRPr="00682AC1">
              <w:t>6.4</w:t>
            </w:r>
          </w:p>
        </w:tc>
        <w:tc>
          <w:tcPr>
            <w:tcW w:w="1056" w:type="dxa"/>
            <w:vAlign w:val="top"/>
          </w:tcPr>
          <w:p w:rsidR="00026D1E" w:rsidRPr="00682AC1"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682AC1">
              <w:t>4.3</w:t>
            </w:r>
          </w:p>
        </w:tc>
        <w:tc>
          <w:tcPr>
            <w:tcW w:w="1056" w:type="dxa"/>
            <w:vAlign w:val="top"/>
          </w:tcPr>
          <w:p w:rsidR="00026D1E" w:rsidRPr="00682AC1"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682AC1">
              <w:t>2.4</w:t>
            </w:r>
          </w:p>
        </w:tc>
        <w:tc>
          <w:tcPr>
            <w:tcW w:w="995" w:type="dxa"/>
            <w:vAlign w:val="top"/>
          </w:tcPr>
          <w:p w:rsidR="00026D1E" w:rsidRPr="00682AC1"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682AC1">
              <w:t>1.7</w:t>
            </w:r>
          </w:p>
        </w:tc>
        <w:tc>
          <w:tcPr>
            <w:tcW w:w="924" w:type="dxa"/>
            <w:vAlign w:val="top"/>
          </w:tcPr>
          <w:p w:rsidR="00026D1E" w:rsidRDefault="00026D1E" w:rsidP="00B76674">
            <w:pPr>
              <w:pStyle w:val="AERtabletextright"/>
              <w:cnfStyle w:val="000000010000" w:firstRow="0" w:lastRow="0" w:firstColumn="0" w:lastColumn="0" w:oddVBand="0" w:evenVBand="0" w:oddHBand="0" w:evenHBand="1" w:firstRowFirstColumn="0" w:firstRowLastColumn="0" w:lastRowFirstColumn="0" w:lastRowLastColumn="0"/>
            </w:pPr>
            <w:r w:rsidRPr="00682AC1">
              <w:t>0.6</w:t>
            </w:r>
          </w:p>
        </w:tc>
      </w:tr>
    </w:tbl>
    <w:p w:rsidR="00026D1E" w:rsidRDefault="00026D1E" w:rsidP="006F1D1D">
      <w:pPr>
        <w:pStyle w:val="AERtablesource"/>
      </w:pPr>
      <w:r>
        <w:t>(a)</w:t>
      </w:r>
      <w:r w:rsidR="006F1D1D" w:rsidRPr="007E193E">
        <w:tab/>
      </w:r>
      <w:r>
        <w:t xml:space="preserve">The 2013–14 revenue reflects </w:t>
      </w:r>
      <w:proofErr w:type="spellStart"/>
      <w:r>
        <w:t>Transend’s</w:t>
      </w:r>
      <w:proofErr w:type="spellEnd"/>
      <w:r>
        <w:t xml:space="preserve"> estimated revenue of $222 million. </w:t>
      </w:r>
      <w:proofErr w:type="spellStart"/>
      <w:r>
        <w:t>Transend’s</w:t>
      </w:r>
      <w:proofErr w:type="spellEnd"/>
      <w:r>
        <w:t xml:space="preserve"> </w:t>
      </w:r>
      <w:r w:rsidRPr="00BC28CE">
        <w:t xml:space="preserve">allowed revenue for </w:t>
      </w:r>
      <w:r>
        <w:t>2013–14 is $248</w:t>
      </w:r>
      <w:r w:rsidRPr="00BC28CE">
        <w:t xml:space="preserve"> million. </w:t>
      </w:r>
    </w:p>
    <w:p w:rsidR="006F1D1D" w:rsidRPr="006F1D1D" w:rsidRDefault="00026D1E" w:rsidP="006F1D1D">
      <w:pPr>
        <w:pStyle w:val="AERtablesource"/>
      </w:pPr>
      <w:r>
        <w:t xml:space="preserve">Note: </w:t>
      </w:r>
      <w:r>
        <w:tab/>
      </w:r>
      <w:r w:rsidR="006F1D1D" w:rsidRPr="00991D0E">
        <w:t>Transend has an under-recovery of $26 million and $11 million in its allowed MAR for 2013</w:t>
      </w:r>
      <w:r w:rsidR="006F1D1D" w:rsidRPr="00991D0E">
        <w:rPr>
          <w:rFonts w:hint="eastAsia"/>
        </w:rPr>
        <w:t>–</w:t>
      </w:r>
      <w:r w:rsidR="006F1D1D" w:rsidRPr="00991D0E">
        <w:t>14 and 2012</w:t>
      </w:r>
      <w:r w:rsidR="006F1D1D" w:rsidRPr="00991D0E">
        <w:rPr>
          <w:rFonts w:hint="eastAsia"/>
        </w:rPr>
        <w:t>–</w:t>
      </w:r>
      <w:r w:rsidR="006F1D1D" w:rsidRPr="00991D0E">
        <w:t>13</w:t>
      </w:r>
      <w:r w:rsidR="00921FA1">
        <w:t>,</w:t>
      </w:r>
      <w:r w:rsidR="006F1D1D" w:rsidRPr="00991D0E">
        <w:t xml:space="preserve"> respectively. </w:t>
      </w:r>
    </w:p>
    <w:p w:rsidR="000C48BA" w:rsidRDefault="000C48BA" w:rsidP="000C48BA">
      <w:pPr>
        <w:pStyle w:val="Heading2"/>
      </w:pPr>
      <w:bookmarkStart w:id="52" w:name="_Toc383527661"/>
      <w:bookmarkStart w:id="53" w:name="_Ref383532018"/>
      <w:bookmarkEnd w:id="37"/>
      <w:bookmarkEnd w:id="38"/>
      <w:bookmarkEnd w:id="39"/>
      <w:bookmarkEnd w:id="40"/>
      <w:bookmarkEnd w:id="41"/>
      <w:bookmarkEnd w:id="42"/>
      <w:r>
        <w:t xml:space="preserve">Key </w:t>
      </w:r>
      <w:r w:rsidR="0057058E">
        <w:t xml:space="preserve">components and </w:t>
      </w:r>
      <w:r>
        <w:t>drivers</w:t>
      </w:r>
      <w:r w:rsidR="00123766">
        <w:t xml:space="preserve"> of</w:t>
      </w:r>
      <w:r w:rsidR="001255AC">
        <w:t xml:space="preserve"> the </w:t>
      </w:r>
      <w:r w:rsidR="00D813A1">
        <w:t>maximum allowed revenue</w:t>
      </w:r>
      <w:bookmarkEnd w:id="52"/>
      <w:bookmarkEnd w:id="53"/>
      <w:r w:rsidR="00123766">
        <w:t xml:space="preserve"> </w:t>
      </w:r>
    </w:p>
    <w:p w:rsidR="0057058E" w:rsidRDefault="0057058E" w:rsidP="0057058E">
      <w:pPr>
        <w:pStyle w:val="AERbodytext"/>
        <w:numPr>
          <w:ilvl w:val="0"/>
          <w:numId w:val="0"/>
        </w:numPr>
      </w:pPr>
      <w:r>
        <w:t xml:space="preserve">The </w:t>
      </w:r>
      <w:r w:rsidR="006E32F9">
        <w:t xml:space="preserve">annual </w:t>
      </w:r>
      <w:r>
        <w:t xml:space="preserve">MAR </w:t>
      </w:r>
      <w:r w:rsidR="006E32F9">
        <w:t xml:space="preserve">for a regulatory control period </w:t>
      </w:r>
      <w:r>
        <w:t>is built up from various revenue components. These components include return on capital, regulatory depreciation, operating expen</w:t>
      </w:r>
      <w:r w:rsidR="006E32F9">
        <w:t>diture (opex)</w:t>
      </w:r>
      <w:r w:rsidR="007E7A25">
        <w:t>,</w:t>
      </w:r>
      <w:r>
        <w:t xml:space="preserve"> </w:t>
      </w:r>
      <w:r w:rsidR="006E32F9">
        <w:t xml:space="preserve">cost of corporate income </w:t>
      </w:r>
      <w:r>
        <w:t xml:space="preserve">tax and rewards/penalties of certain schemes (such as the </w:t>
      </w:r>
      <w:r w:rsidR="006E32F9">
        <w:t>efficiency benefit sharing scheme (</w:t>
      </w:r>
      <w:r>
        <w:t>EBSS)</w:t>
      </w:r>
      <w:r w:rsidR="006E32F9">
        <w:t xml:space="preserve"> for opex)</w:t>
      </w:r>
      <w:r>
        <w:t>. In most cases, these revenue components depend on other inputs or drivers</w:t>
      </w:r>
      <w:r w:rsidR="000734DA">
        <w:t>. In particular:</w:t>
      </w:r>
    </w:p>
    <w:p w:rsidR="0057058E" w:rsidRPr="000734DA" w:rsidRDefault="0057058E" w:rsidP="000734DA">
      <w:pPr>
        <w:numPr>
          <w:ilvl w:val="0"/>
          <w:numId w:val="2"/>
        </w:numPr>
        <w:tabs>
          <w:tab w:val="left" w:pos="357"/>
        </w:tabs>
        <w:spacing w:after="200"/>
        <w:ind w:left="357" w:hanging="357"/>
        <w:rPr>
          <w:rFonts w:eastAsia="Times New Roman"/>
          <w:szCs w:val="24"/>
        </w:rPr>
      </w:pPr>
      <w:r w:rsidRPr="000734DA">
        <w:rPr>
          <w:rFonts w:eastAsia="Times New Roman"/>
          <w:szCs w:val="24"/>
        </w:rPr>
        <w:t>The return on capital depends on the size of the regulatory asset bas</w:t>
      </w:r>
      <w:r w:rsidR="00E0707F" w:rsidRPr="000734DA">
        <w:rPr>
          <w:rFonts w:eastAsia="Times New Roman"/>
          <w:szCs w:val="24"/>
        </w:rPr>
        <w:t xml:space="preserve">e (RAB) and the rate of return or </w:t>
      </w:r>
      <w:r w:rsidR="006E32F9" w:rsidRPr="000734DA">
        <w:rPr>
          <w:rFonts w:eastAsia="Times New Roman"/>
          <w:szCs w:val="24"/>
        </w:rPr>
        <w:t>weighted average cost of capital (</w:t>
      </w:r>
      <w:r w:rsidRPr="000734DA">
        <w:rPr>
          <w:rFonts w:eastAsia="Times New Roman"/>
          <w:szCs w:val="24"/>
        </w:rPr>
        <w:t>WACC</w:t>
      </w:r>
      <w:r w:rsidR="006E32F9" w:rsidRPr="000734DA">
        <w:rPr>
          <w:rFonts w:eastAsia="Times New Roman"/>
          <w:szCs w:val="24"/>
        </w:rPr>
        <w:t>)</w:t>
      </w:r>
      <w:r w:rsidR="00E0707F" w:rsidRPr="000734DA">
        <w:rPr>
          <w:rFonts w:eastAsia="Times New Roman"/>
          <w:szCs w:val="24"/>
        </w:rPr>
        <w:t xml:space="preserve">. </w:t>
      </w:r>
      <w:r w:rsidRPr="000734DA">
        <w:rPr>
          <w:rFonts w:eastAsia="Times New Roman"/>
          <w:szCs w:val="24"/>
        </w:rPr>
        <w:t xml:space="preserve">The RAB in turn depends on the </w:t>
      </w:r>
      <w:r w:rsidR="006E32F9" w:rsidRPr="000734DA">
        <w:rPr>
          <w:rFonts w:eastAsia="Times New Roman"/>
          <w:szCs w:val="24"/>
        </w:rPr>
        <w:t xml:space="preserve">forecast </w:t>
      </w:r>
      <w:r w:rsidRPr="000734DA">
        <w:rPr>
          <w:rFonts w:eastAsia="Times New Roman"/>
          <w:szCs w:val="24"/>
        </w:rPr>
        <w:t>capex allowance approved going forward and the amount actually spent in the past.</w:t>
      </w:r>
      <w:r w:rsidR="00FA3C73" w:rsidRPr="000734DA">
        <w:rPr>
          <w:rFonts w:eastAsia="Times New Roman"/>
          <w:szCs w:val="24"/>
        </w:rPr>
        <w:t xml:space="preserve"> The RAB is also indexed for inflation. </w:t>
      </w:r>
      <w:r w:rsidR="00E0707F" w:rsidRPr="000734DA">
        <w:rPr>
          <w:rFonts w:eastAsia="Times New Roman"/>
          <w:szCs w:val="24"/>
        </w:rPr>
        <w:t xml:space="preserve">The WACC also in turn depends on various drivers such as the </w:t>
      </w:r>
      <w:r w:rsidR="004E6405">
        <w:rPr>
          <w:rFonts w:eastAsia="Times New Roman"/>
          <w:szCs w:val="24"/>
        </w:rPr>
        <w:t>return on debt</w:t>
      </w:r>
      <w:r w:rsidR="00E0707F" w:rsidRPr="000734DA">
        <w:rPr>
          <w:rFonts w:eastAsia="Times New Roman"/>
          <w:szCs w:val="24"/>
        </w:rPr>
        <w:t xml:space="preserve"> and </w:t>
      </w:r>
      <w:r w:rsidR="004E6405">
        <w:rPr>
          <w:rFonts w:eastAsia="Times New Roman"/>
          <w:szCs w:val="24"/>
        </w:rPr>
        <w:t>return on equity</w:t>
      </w:r>
      <w:r w:rsidR="006E32F9" w:rsidRPr="000734DA">
        <w:rPr>
          <w:rFonts w:eastAsia="Times New Roman"/>
          <w:szCs w:val="24"/>
        </w:rPr>
        <w:t>,</w:t>
      </w:r>
      <w:r w:rsidR="00E0707F" w:rsidRPr="000734DA">
        <w:rPr>
          <w:rFonts w:eastAsia="Times New Roman"/>
          <w:szCs w:val="24"/>
        </w:rPr>
        <w:t xml:space="preserve"> and specific parameters such as the risk free rate.</w:t>
      </w:r>
    </w:p>
    <w:p w:rsidR="0057058E" w:rsidRPr="000734DA" w:rsidRDefault="0057058E" w:rsidP="000734DA">
      <w:pPr>
        <w:numPr>
          <w:ilvl w:val="0"/>
          <w:numId w:val="2"/>
        </w:numPr>
        <w:tabs>
          <w:tab w:val="left" w:pos="357"/>
        </w:tabs>
        <w:spacing w:after="200"/>
        <w:ind w:left="357" w:hanging="357"/>
        <w:rPr>
          <w:rFonts w:eastAsia="Times New Roman"/>
          <w:szCs w:val="24"/>
        </w:rPr>
      </w:pPr>
      <w:r w:rsidRPr="000734DA">
        <w:rPr>
          <w:rFonts w:eastAsia="Times New Roman"/>
          <w:szCs w:val="24"/>
        </w:rPr>
        <w:t xml:space="preserve">Regulatory depreciation </w:t>
      </w:r>
      <w:r w:rsidR="00F04D74" w:rsidRPr="000734DA">
        <w:rPr>
          <w:rFonts w:eastAsia="Times New Roman"/>
          <w:szCs w:val="24"/>
        </w:rPr>
        <w:t xml:space="preserve">(or return of capital) </w:t>
      </w:r>
      <w:r w:rsidRPr="000734DA">
        <w:rPr>
          <w:rFonts w:eastAsia="Times New Roman"/>
          <w:szCs w:val="24"/>
        </w:rPr>
        <w:t xml:space="preserve">depends on the RAB (and </w:t>
      </w:r>
      <w:r w:rsidR="008B516F" w:rsidRPr="000734DA">
        <w:rPr>
          <w:rFonts w:eastAsia="Times New Roman"/>
          <w:szCs w:val="24"/>
        </w:rPr>
        <w:t xml:space="preserve">in turn </w:t>
      </w:r>
      <w:r w:rsidRPr="000734DA">
        <w:rPr>
          <w:rFonts w:eastAsia="Times New Roman"/>
          <w:szCs w:val="24"/>
        </w:rPr>
        <w:t xml:space="preserve">capex) and the useful lives of the assets, which determine over how many years the </w:t>
      </w:r>
      <w:proofErr w:type="gramStart"/>
      <w:r w:rsidRPr="000734DA">
        <w:rPr>
          <w:rFonts w:eastAsia="Times New Roman"/>
          <w:szCs w:val="24"/>
        </w:rPr>
        <w:t>capex</w:t>
      </w:r>
      <w:proofErr w:type="gramEnd"/>
      <w:r w:rsidRPr="000734DA">
        <w:rPr>
          <w:rFonts w:eastAsia="Times New Roman"/>
          <w:szCs w:val="24"/>
        </w:rPr>
        <w:t xml:space="preserve"> will be recovered. Because the RAB and WACC both include components for inflation, regulatory depreciation </w:t>
      </w:r>
      <w:r w:rsidRPr="000734DA">
        <w:rPr>
          <w:rFonts w:eastAsia="Times New Roman"/>
          <w:szCs w:val="24"/>
        </w:rPr>
        <w:lastRenderedPageBreak/>
        <w:t>includes an offsetting inflation adjustment</w:t>
      </w:r>
      <w:r w:rsidR="006E32F9" w:rsidRPr="000734DA">
        <w:rPr>
          <w:rFonts w:eastAsia="Times New Roman"/>
          <w:szCs w:val="24"/>
        </w:rPr>
        <w:t>. This is to avoid the double counting of</w:t>
      </w:r>
      <w:r w:rsidRPr="000734DA">
        <w:rPr>
          <w:rFonts w:eastAsia="Times New Roman"/>
          <w:szCs w:val="24"/>
        </w:rPr>
        <w:t xml:space="preserve"> inflation </w:t>
      </w:r>
      <w:r w:rsidR="006E32F9" w:rsidRPr="000734DA">
        <w:rPr>
          <w:rFonts w:eastAsia="Times New Roman"/>
          <w:szCs w:val="24"/>
        </w:rPr>
        <w:t>when</w:t>
      </w:r>
      <w:r w:rsidRPr="000734DA">
        <w:rPr>
          <w:rFonts w:eastAsia="Times New Roman"/>
          <w:szCs w:val="24"/>
        </w:rPr>
        <w:t xml:space="preserve"> </w:t>
      </w:r>
      <w:r w:rsidR="006E32F9" w:rsidRPr="000734DA">
        <w:rPr>
          <w:rFonts w:eastAsia="Times New Roman"/>
          <w:szCs w:val="24"/>
        </w:rPr>
        <w:t xml:space="preserve">calculating </w:t>
      </w:r>
      <w:r w:rsidRPr="000734DA">
        <w:rPr>
          <w:rFonts w:eastAsia="Times New Roman"/>
          <w:szCs w:val="24"/>
        </w:rPr>
        <w:t>total revenues.</w:t>
      </w:r>
    </w:p>
    <w:p w:rsidR="0057058E" w:rsidRPr="000734DA" w:rsidRDefault="0057058E" w:rsidP="000734DA">
      <w:pPr>
        <w:numPr>
          <w:ilvl w:val="0"/>
          <w:numId w:val="2"/>
        </w:numPr>
        <w:tabs>
          <w:tab w:val="left" w:pos="357"/>
        </w:tabs>
        <w:spacing w:after="200"/>
        <w:ind w:left="357" w:hanging="357"/>
        <w:rPr>
          <w:rFonts w:eastAsia="Times New Roman"/>
          <w:szCs w:val="24"/>
        </w:rPr>
      </w:pPr>
      <w:r w:rsidRPr="000734DA">
        <w:rPr>
          <w:rFonts w:eastAsia="Times New Roman"/>
          <w:szCs w:val="24"/>
        </w:rPr>
        <w:t>Ope</w:t>
      </w:r>
      <w:r w:rsidR="006E32F9" w:rsidRPr="000734DA">
        <w:rPr>
          <w:rFonts w:eastAsia="Times New Roman"/>
          <w:szCs w:val="24"/>
        </w:rPr>
        <w:t>x</w:t>
      </w:r>
      <w:r w:rsidRPr="000734DA">
        <w:rPr>
          <w:rFonts w:eastAsia="Times New Roman"/>
          <w:szCs w:val="24"/>
        </w:rPr>
        <w:t xml:space="preserve"> depend</w:t>
      </w:r>
      <w:r w:rsidR="006E32F9" w:rsidRPr="000734DA">
        <w:rPr>
          <w:rFonts w:eastAsia="Times New Roman"/>
          <w:szCs w:val="24"/>
        </w:rPr>
        <w:t>s</w:t>
      </w:r>
      <w:r w:rsidRPr="000734DA">
        <w:rPr>
          <w:rFonts w:eastAsia="Times New Roman"/>
          <w:szCs w:val="24"/>
        </w:rPr>
        <w:t xml:space="preserve"> on the various sources of operating expenses, </w:t>
      </w:r>
      <w:r w:rsidR="006E32F9" w:rsidRPr="000734DA">
        <w:rPr>
          <w:rFonts w:eastAsia="Times New Roman"/>
          <w:szCs w:val="24"/>
        </w:rPr>
        <w:t>including the size of the RAB</w:t>
      </w:r>
      <w:r w:rsidRPr="000734DA">
        <w:rPr>
          <w:rFonts w:eastAsia="Times New Roman"/>
          <w:szCs w:val="24"/>
        </w:rPr>
        <w:t>.</w:t>
      </w:r>
    </w:p>
    <w:p w:rsidR="0057058E" w:rsidRPr="000734DA" w:rsidRDefault="006E32F9" w:rsidP="000734DA">
      <w:pPr>
        <w:numPr>
          <w:ilvl w:val="0"/>
          <w:numId w:val="2"/>
        </w:numPr>
        <w:tabs>
          <w:tab w:val="left" w:pos="357"/>
        </w:tabs>
        <w:spacing w:after="200"/>
        <w:ind w:left="357" w:hanging="357"/>
        <w:rPr>
          <w:rFonts w:eastAsia="Times New Roman"/>
          <w:szCs w:val="24"/>
        </w:rPr>
      </w:pPr>
      <w:r w:rsidRPr="000734DA">
        <w:rPr>
          <w:rFonts w:eastAsia="Times New Roman"/>
          <w:szCs w:val="24"/>
        </w:rPr>
        <w:t>T</w:t>
      </w:r>
      <w:r w:rsidR="0057058E" w:rsidRPr="000734DA">
        <w:rPr>
          <w:rFonts w:eastAsia="Times New Roman"/>
          <w:szCs w:val="24"/>
        </w:rPr>
        <w:t xml:space="preserve">he </w:t>
      </w:r>
      <w:r w:rsidRPr="000734DA">
        <w:rPr>
          <w:rFonts w:eastAsia="Times New Roman"/>
          <w:szCs w:val="24"/>
        </w:rPr>
        <w:t xml:space="preserve">cost of corporate income </w:t>
      </w:r>
      <w:r w:rsidR="0057058E" w:rsidRPr="000734DA">
        <w:rPr>
          <w:rFonts w:eastAsia="Times New Roman"/>
          <w:szCs w:val="24"/>
        </w:rPr>
        <w:t>tax depend</w:t>
      </w:r>
      <w:r w:rsidR="008B516F" w:rsidRPr="000734DA">
        <w:rPr>
          <w:rFonts w:eastAsia="Times New Roman"/>
          <w:szCs w:val="24"/>
        </w:rPr>
        <w:t>s</w:t>
      </w:r>
      <w:r w:rsidR="0057058E" w:rsidRPr="000734DA">
        <w:rPr>
          <w:rFonts w:eastAsia="Times New Roman"/>
          <w:szCs w:val="24"/>
        </w:rPr>
        <w:t xml:space="preserve"> on</w:t>
      </w:r>
      <w:r w:rsidR="00223BE0" w:rsidRPr="000734DA">
        <w:rPr>
          <w:rFonts w:eastAsia="Times New Roman"/>
          <w:szCs w:val="24"/>
        </w:rPr>
        <w:t xml:space="preserve"> </w:t>
      </w:r>
      <w:r w:rsidR="008B516F" w:rsidRPr="000734DA">
        <w:rPr>
          <w:rFonts w:eastAsia="Times New Roman"/>
          <w:szCs w:val="24"/>
        </w:rPr>
        <w:t xml:space="preserve">the </w:t>
      </w:r>
      <w:r w:rsidR="00223BE0" w:rsidRPr="000734DA">
        <w:rPr>
          <w:rFonts w:eastAsia="Times New Roman"/>
          <w:szCs w:val="24"/>
        </w:rPr>
        <w:t>tax rate and</w:t>
      </w:r>
      <w:r w:rsidR="0057058E" w:rsidRPr="000734DA">
        <w:rPr>
          <w:rFonts w:eastAsia="Times New Roman"/>
          <w:szCs w:val="24"/>
        </w:rPr>
        <w:t xml:space="preserve"> all the inputs that determine the level of total revenue (including any rewards/penalties from schemes). It also depends, in particular, on the size of </w:t>
      </w:r>
      <w:r w:rsidR="00223BE0" w:rsidRPr="000734DA">
        <w:rPr>
          <w:rFonts w:eastAsia="Times New Roman"/>
          <w:szCs w:val="24"/>
        </w:rPr>
        <w:t xml:space="preserve">offsetting </w:t>
      </w:r>
      <w:r w:rsidR="0057058E" w:rsidRPr="000734DA">
        <w:rPr>
          <w:rFonts w:eastAsia="Times New Roman"/>
          <w:szCs w:val="24"/>
        </w:rPr>
        <w:t>tax expenses (including tax depreciation) and the expected use of imputation credits by investors (gamma).</w:t>
      </w:r>
    </w:p>
    <w:p w:rsidR="0057058E" w:rsidRPr="000734DA" w:rsidRDefault="0057058E" w:rsidP="000734DA">
      <w:pPr>
        <w:numPr>
          <w:ilvl w:val="0"/>
          <w:numId w:val="2"/>
        </w:numPr>
        <w:tabs>
          <w:tab w:val="left" w:pos="357"/>
        </w:tabs>
        <w:spacing w:after="200"/>
        <w:ind w:left="357" w:hanging="357"/>
        <w:rPr>
          <w:rFonts w:eastAsia="Times New Roman"/>
          <w:szCs w:val="24"/>
        </w:rPr>
      </w:pPr>
      <w:r w:rsidRPr="000734DA">
        <w:rPr>
          <w:rFonts w:eastAsia="Times New Roman"/>
          <w:szCs w:val="24"/>
        </w:rPr>
        <w:t xml:space="preserve">Scheme rewards/penalties depend on the particulars of the scheme, </w:t>
      </w:r>
      <w:r w:rsidR="006E32F9" w:rsidRPr="000734DA">
        <w:rPr>
          <w:rFonts w:eastAsia="Times New Roman"/>
          <w:szCs w:val="24"/>
        </w:rPr>
        <w:t>including the actual performance of the TNSP measured under the scheme</w:t>
      </w:r>
      <w:r w:rsidRPr="000734DA">
        <w:rPr>
          <w:rFonts w:eastAsia="Times New Roman"/>
          <w:szCs w:val="24"/>
        </w:rPr>
        <w:t>.</w:t>
      </w:r>
    </w:p>
    <w:p w:rsidR="00FA3C73" w:rsidRDefault="006E32F9" w:rsidP="0057058E">
      <w:pPr>
        <w:pStyle w:val="AERbodytext"/>
        <w:numPr>
          <w:ilvl w:val="0"/>
          <w:numId w:val="0"/>
        </w:numPr>
      </w:pPr>
      <w:r w:rsidRPr="00D13D2C">
        <w:t>Figure</w:t>
      </w:r>
      <w:r w:rsidR="0057058E" w:rsidRPr="00D13D2C">
        <w:t xml:space="preserve"> </w:t>
      </w:r>
      <w:r w:rsidR="00013C43" w:rsidRPr="00D13D2C">
        <w:t>4.3</w:t>
      </w:r>
      <w:r w:rsidR="0057058E">
        <w:t xml:space="preserve"> shows the relative size of these five revenue components for TransGrid and Transend based on their transitional </w:t>
      </w:r>
      <w:r>
        <w:t xml:space="preserve">revenue </w:t>
      </w:r>
      <w:r w:rsidR="0057058E">
        <w:t>proposals</w:t>
      </w:r>
      <w:r w:rsidR="00FA3C73">
        <w:t xml:space="preserve"> for the </w:t>
      </w:r>
      <w:r w:rsidR="00EA60CF">
        <w:t xml:space="preserve">transitional and subsequent </w:t>
      </w:r>
      <w:r w:rsidR="00FA3C73">
        <w:t xml:space="preserve">regulatory </w:t>
      </w:r>
      <w:r>
        <w:t xml:space="preserve">control </w:t>
      </w:r>
      <w:r w:rsidR="00FA3C73">
        <w:t>period</w:t>
      </w:r>
      <w:r>
        <w:t>s</w:t>
      </w:r>
      <w:r w:rsidR="0057058E">
        <w:t>.</w:t>
      </w:r>
      <w:r w:rsidR="00C61066">
        <w:t xml:space="preserve"> The return on capital (and its drivers such as RAB, capex and rate of return) </w:t>
      </w:r>
      <w:r w:rsidR="00CD1A94">
        <w:t>makes up the largest</w:t>
      </w:r>
      <w:r w:rsidR="00C61066">
        <w:t xml:space="preserve"> proportion of total revenue</w:t>
      </w:r>
      <w:r w:rsidR="00CD1A94">
        <w:t xml:space="preserve"> at over 5</w:t>
      </w:r>
      <w:r w:rsidR="001E1A71">
        <w:t>5</w:t>
      </w:r>
      <w:r w:rsidR="00CD1A94">
        <w:t xml:space="preserve"> per cent. Opex makes up the next largest proportion at over 20 per cent and regulatory depreciation (and its drivers such as RAB, capex and useful asset lives) makes up over 10 per cent of total revenue. The remaining components of tax and scheme rewards/penalties make up less than 10 per cent of total revenue.</w:t>
      </w:r>
    </w:p>
    <w:p w:rsidR="00FA3C73" w:rsidRDefault="008B516F" w:rsidP="00720128">
      <w:pPr>
        <w:pStyle w:val="Caption"/>
      </w:pPr>
      <w:proofErr w:type="gramStart"/>
      <w:r>
        <w:t xml:space="preserve">Figure </w:t>
      </w:r>
      <w:r w:rsidR="00013C43">
        <w:t>4.</w:t>
      </w:r>
      <w:proofErr w:type="gramEnd"/>
      <w:r w:rsidR="007827B4">
        <w:fldChar w:fldCharType="begin"/>
      </w:r>
      <w:r w:rsidR="007827B4">
        <w:instrText xml:space="preserve"> SEQ Figure \* ARABIC </w:instrText>
      </w:r>
      <w:r w:rsidR="007827B4">
        <w:fldChar w:fldCharType="separate"/>
      </w:r>
      <w:r w:rsidR="00B40E3D">
        <w:rPr>
          <w:noProof/>
        </w:rPr>
        <w:t>3</w:t>
      </w:r>
      <w:r w:rsidR="007827B4">
        <w:rPr>
          <w:noProof/>
        </w:rPr>
        <w:fldChar w:fldCharType="end"/>
      </w:r>
      <w:r>
        <w:t xml:space="preserve"> </w:t>
      </w:r>
      <w:r w:rsidR="00140F20">
        <w:tab/>
      </w:r>
      <w:r w:rsidR="00FA3C73" w:rsidRPr="00A7656F">
        <w:t>The relative size of the revenue components</w:t>
      </w:r>
    </w:p>
    <w:p w:rsidR="0057058E" w:rsidRDefault="00F46D0A" w:rsidP="00720128">
      <w:pPr>
        <w:pStyle w:val="AERbodytext"/>
        <w:numPr>
          <w:ilvl w:val="0"/>
          <w:numId w:val="0"/>
        </w:numPr>
        <w:spacing w:after="0"/>
      </w:pPr>
      <w:r w:rsidRPr="00F46D0A">
        <w:rPr>
          <w:noProof/>
          <w:lang w:eastAsia="en-AU"/>
        </w:rPr>
        <w:drawing>
          <wp:inline distT="0" distB="0" distL="0" distR="0" wp14:anchorId="1FAA156C" wp14:editId="5B04820F">
            <wp:extent cx="5731510" cy="285189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851899"/>
                    </a:xfrm>
                    <a:prstGeom prst="rect">
                      <a:avLst/>
                    </a:prstGeom>
                    <a:noFill/>
                    <a:ln>
                      <a:noFill/>
                    </a:ln>
                  </pic:spPr>
                </pic:pic>
              </a:graphicData>
            </a:graphic>
          </wp:inline>
        </w:drawing>
      </w:r>
    </w:p>
    <w:p w:rsidR="0057058E" w:rsidRDefault="00D07A14" w:rsidP="00720128">
      <w:pPr>
        <w:pStyle w:val="AERtablesource"/>
      </w:pPr>
      <w:r w:rsidRPr="0092785B">
        <w:t>Source:</w:t>
      </w:r>
      <w:r w:rsidRPr="0092785B">
        <w:tab/>
      </w:r>
      <w:r w:rsidR="0092785B" w:rsidRPr="0092785B">
        <w:t>AER analysis</w:t>
      </w:r>
      <w:r w:rsidR="00D13D2C">
        <w:t>, using proposed revenue figures for 2014–19</w:t>
      </w:r>
      <w:r w:rsidR="0092785B" w:rsidRPr="0092785B">
        <w:t>.</w:t>
      </w:r>
    </w:p>
    <w:p w:rsidR="00D07A14" w:rsidRPr="006E32F9" w:rsidRDefault="00D07A14" w:rsidP="00D07A14">
      <w:pPr>
        <w:pStyle w:val="AERbodytext"/>
        <w:numPr>
          <w:ilvl w:val="0"/>
          <w:numId w:val="0"/>
        </w:numPr>
      </w:pPr>
      <w:r>
        <w:t xml:space="preserve">The following sections </w:t>
      </w:r>
      <w:r w:rsidR="002F726D">
        <w:t>set out our</w:t>
      </w:r>
      <w:r>
        <w:t xml:space="preserve"> views of these key components based on a high level assessment of the </w:t>
      </w:r>
      <w:r w:rsidR="002F726D">
        <w:t xml:space="preserve">limited information available to us at this time, including the </w:t>
      </w:r>
      <w:r>
        <w:t>transitional revenue proposals of TransGrid and Transend</w:t>
      </w:r>
      <w:r w:rsidR="007E7A25">
        <w:t>.</w:t>
      </w:r>
    </w:p>
    <w:p w:rsidR="00EB649E" w:rsidRDefault="006E32F9" w:rsidP="007B4470">
      <w:pPr>
        <w:pStyle w:val="Heading3"/>
      </w:pPr>
      <w:bookmarkStart w:id="54" w:name="_Ref383532043"/>
      <w:r>
        <w:t>Rate of return</w:t>
      </w:r>
      <w:bookmarkEnd w:id="54"/>
    </w:p>
    <w:p w:rsidR="006B787F" w:rsidRPr="006B787F" w:rsidRDefault="006B787F" w:rsidP="006B787F">
      <w:pPr>
        <w:pStyle w:val="AERbodytext"/>
      </w:pPr>
      <w:r w:rsidRPr="006B787F">
        <w:t>TransGrid proposed an indicative rate of return range from 8.8</w:t>
      </w:r>
      <w:r w:rsidR="00140F20">
        <w:rPr>
          <w:rFonts w:cs="Gautami"/>
        </w:rPr>
        <w:t xml:space="preserve"> to </w:t>
      </w:r>
      <w:r w:rsidRPr="006B787F">
        <w:t>9.5 per cent. This range included:</w:t>
      </w:r>
      <w:r w:rsidRPr="006B787F">
        <w:rPr>
          <w:vertAlign w:val="superscript"/>
        </w:rPr>
        <w:footnoteReference w:id="33"/>
      </w:r>
    </w:p>
    <w:p w:rsidR="006B787F" w:rsidRPr="00013C43" w:rsidRDefault="004E6405" w:rsidP="00013C43">
      <w:pPr>
        <w:numPr>
          <w:ilvl w:val="0"/>
          <w:numId w:val="2"/>
        </w:numPr>
        <w:tabs>
          <w:tab w:val="left" w:pos="357"/>
        </w:tabs>
        <w:spacing w:after="200"/>
        <w:ind w:left="357" w:hanging="357"/>
        <w:rPr>
          <w:rFonts w:eastAsia="Times New Roman"/>
          <w:szCs w:val="24"/>
        </w:rPr>
      </w:pPr>
      <w:r>
        <w:rPr>
          <w:rFonts w:eastAsia="Times New Roman"/>
          <w:szCs w:val="24"/>
        </w:rPr>
        <w:lastRenderedPageBreak/>
        <w:t>Return on debt</w:t>
      </w:r>
      <w:r w:rsidR="00013C43">
        <w:rPr>
          <w:rFonts w:eastAsia="Times New Roman"/>
          <w:szCs w:val="24"/>
        </w:rPr>
        <w:t xml:space="preserve"> </w:t>
      </w:r>
      <w:r w:rsidR="006B787F" w:rsidRPr="00013C43">
        <w:rPr>
          <w:rFonts w:eastAsia="Times New Roman"/>
          <w:szCs w:val="24"/>
        </w:rPr>
        <w:t xml:space="preserve">– 7.4 per cent, based on an immediate transition to a portfolio </w:t>
      </w:r>
      <w:r>
        <w:rPr>
          <w:rFonts w:eastAsia="Times New Roman"/>
          <w:szCs w:val="24"/>
        </w:rPr>
        <w:t>return on debt</w:t>
      </w:r>
      <w:r w:rsidR="006B787F" w:rsidRPr="00013C43">
        <w:rPr>
          <w:rFonts w:eastAsia="Times New Roman"/>
          <w:szCs w:val="24"/>
        </w:rPr>
        <w:t xml:space="preserve"> approach. </w:t>
      </w:r>
    </w:p>
    <w:p w:rsidR="006B787F" w:rsidRPr="00013C43" w:rsidRDefault="004E6405" w:rsidP="00013C43">
      <w:pPr>
        <w:numPr>
          <w:ilvl w:val="0"/>
          <w:numId w:val="2"/>
        </w:numPr>
        <w:tabs>
          <w:tab w:val="left" w:pos="357"/>
        </w:tabs>
        <w:spacing w:after="200"/>
        <w:ind w:left="357" w:hanging="357"/>
        <w:rPr>
          <w:rFonts w:eastAsia="Times New Roman"/>
          <w:szCs w:val="24"/>
        </w:rPr>
      </w:pPr>
      <w:r>
        <w:rPr>
          <w:rFonts w:eastAsia="Times New Roman"/>
          <w:szCs w:val="24"/>
        </w:rPr>
        <w:t>Return on equity</w:t>
      </w:r>
      <w:r w:rsidR="00013C43">
        <w:rPr>
          <w:rFonts w:eastAsia="Times New Roman"/>
          <w:szCs w:val="24"/>
        </w:rPr>
        <w:t xml:space="preserve"> </w:t>
      </w:r>
      <w:r w:rsidR="006B787F" w:rsidRPr="00013C43">
        <w:rPr>
          <w:rFonts w:eastAsia="Times New Roman"/>
          <w:szCs w:val="24"/>
        </w:rPr>
        <w:t>– 10.7 per cent, based on a multiple model approach.</w:t>
      </w:r>
    </w:p>
    <w:p w:rsidR="006B787F" w:rsidRPr="00013C43" w:rsidRDefault="006B787F" w:rsidP="00013C43">
      <w:pPr>
        <w:pStyle w:val="AERbulletlistfirststyle"/>
      </w:pPr>
      <w:r w:rsidRPr="00013C43">
        <w:t xml:space="preserve">TransGrid did not propose any specific sub-parameters for either the </w:t>
      </w:r>
      <w:r w:rsidR="004E6405">
        <w:t>return on debt</w:t>
      </w:r>
      <w:r w:rsidRPr="00013C43">
        <w:t xml:space="preserve"> or </w:t>
      </w:r>
      <w:r w:rsidR="004E6405">
        <w:t>return on equity</w:t>
      </w:r>
      <w:r w:rsidRPr="00013C43">
        <w:t xml:space="preserve">. Rather, it presented total </w:t>
      </w:r>
      <w:r w:rsidR="004E6405">
        <w:t>return on debt</w:t>
      </w:r>
      <w:r w:rsidRPr="00013C43">
        <w:t xml:space="preserve"> and </w:t>
      </w:r>
      <w:r w:rsidR="004E6405">
        <w:t>return on equity</w:t>
      </w:r>
      <w:r w:rsidRPr="00013C43">
        <w:t xml:space="preserve"> estimates. </w:t>
      </w:r>
    </w:p>
    <w:p w:rsidR="006B787F" w:rsidRPr="006B787F" w:rsidRDefault="006B787F" w:rsidP="006B787F">
      <w:pPr>
        <w:pStyle w:val="AERbodytext"/>
      </w:pPr>
      <w:r w:rsidRPr="006B787F">
        <w:t>Transend proposed an indicative rate of return range from 8.2</w:t>
      </w:r>
      <w:r w:rsidRPr="006B787F">
        <w:rPr>
          <w:rFonts w:cs="Gautami"/>
        </w:rPr>
        <w:t>–</w:t>
      </w:r>
      <w:r w:rsidRPr="006B787F">
        <w:t>9.3 per cent. This range included:</w:t>
      </w:r>
      <w:r w:rsidRPr="006B787F">
        <w:rPr>
          <w:vertAlign w:val="superscript"/>
        </w:rPr>
        <w:footnoteReference w:id="34"/>
      </w:r>
    </w:p>
    <w:p w:rsidR="006B787F" w:rsidRPr="00013C43" w:rsidRDefault="004E6405" w:rsidP="00013C43">
      <w:pPr>
        <w:numPr>
          <w:ilvl w:val="0"/>
          <w:numId w:val="2"/>
        </w:numPr>
        <w:tabs>
          <w:tab w:val="left" w:pos="357"/>
        </w:tabs>
        <w:spacing w:after="200"/>
        <w:ind w:left="357" w:hanging="357"/>
        <w:rPr>
          <w:rFonts w:eastAsia="Times New Roman"/>
          <w:szCs w:val="24"/>
        </w:rPr>
      </w:pPr>
      <w:r>
        <w:rPr>
          <w:rFonts w:eastAsia="Times New Roman"/>
          <w:szCs w:val="24"/>
        </w:rPr>
        <w:t>Return on debt</w:t>
      </w:r>
      <w:r w:rsidR="00013C43">
        <w:rPr>
          <w:rFonts w:eastAsia="Times New Roman"/>
          <w:szCs w:val="24"/>
        </w:rPr>
        <w:t xml:space="preserve"> </w:t>
      </w:r>
      <w:r w:rsidR="006B787F" w:rsidRPr="00013C43">
        <w:rPr>
          <w:rFonts w:eastAsia="Times New Roman"/>
          <w:szCs w:val="24"/>
        </w:rPr>
        <w:t>– 7.7 per cent, calculated using the RBA’s published yield for 10 year BBB rated corporate bonds.</w:t>
      </w:r>
    </w:p>
    <w:p w:rsidR="006B787F" w:rsidRPr="00013C43" w:rsidRDefault="004E6405" w:rsidP="00013C43">
      <w:pPr>
        <w:numPr>
          <w:ilvl w:val="0"/>
          <w:numId w:val="2"/>
        </w:numPr>
        <w:tabs>
          <w:tab w:val="left" w:pos="357"/>
        </w:tabs>
        <w:spacing w:after="200"/>
        <w:ind w:left="357" w:hanging="357"/>
        <w:rPr>
          <w:rFonts w:eastAsia="Times New Roman"/>
          <w:szCs w:val="24"/>
        </w:rPr>
      </w:pPr>
      <w:r>
        <w:rPr>
          <w:rFonts w:eastAsia="Times New Roman"/>
          <w:szCs w:val="24"/>
        </w:rPr>
        <w:t>Return on equity</w:t>
      </w:r>
      <w:r w:rsidR="00013C43">
        <w:rPr>
          <w:rFonts w:eastAsia="Times New Roman"/>
          <w:szCs w:val="24"/>
        </w:rPr>
        <w:t xml:space="preserve"> </w:t>
      </w:r>
      <w:r w:rsidR="00140F20">
        <w:rPr>
          <w:rFonts w:eastAsia="Times New Roman"/>
          <w:szCs w:val="24"/>
        </w:rPr>
        <w:t xml:space="preserve">– 9.4 to </w:t>
      </w:r>
      <w:r w:rsidR="006B787F" w:rsidRPr="00013C43">
        <w:rPr>
          <w:rFonts w:eastAsia="Times New Roman"/>
          <w:szCs w:val="24"/>
        </w:rPr>
        <w:t>12.2 per cent, based on a limited application of the Guideline foundation model approach in estimating the return on equity for the transitional regulatory control period.</w:t>
      </w:r>
      <w:r w:rsidR="006B787F" w:rsidRPr="00140F20">
        <w:rPr>
          <w:rFonts w:eastAsia="Times New Roman"/>
          <w:szCs w:val="24"/>
          <w:vertAlign w:val="superscript"/>
        </w:rPr>
        <w:footnoteReference w:id="35"/>
      </w:r>
      <w:r w:rsidR="006B787F" w:rsidRPr="00140F20">
        <w:rPr>
          <w:rFonts w:eastAsia="Times New Roman"/>
          <w:szCs w:val="24"/>
          <w:vertAlign w:val="superscript"/>
        </w:rPr>
        <w:t xml:space="preserve"> </w:t>
      </w:r>
      <w:r w:rsidR="006B787F" w:rsidRPr="00013C43">
        <w:rPr>
          <w:rFonts w:eastAsia="Times New Roman"/>
          <w:szCs w:val="24"/>
        </w:rPr>
        <w:t>Specifically, Transend proposed values and</w:t>
      </w:r>
      <w:r w:rsidR="00140F20">
        <w:rPr>
          <w:rFonts w:eastAsia="Times New Roman"/>
          <w:szCs w:val="24"/>
        </w:rPr>
        <w:t xml:space="preserve">/or ranges for equity beta (0.8 to </w:t>
      </w:r>
      <w:r w:rsidR="006B787F" w:rsidRPr="00013C43">
        <w:rPr>
          <w:rFonts w:eastAsia="Times New Roman"/>
          <w:szCs w:val="24"/>
        </w:rPr>
        <w:t>1.0) and the</w:t>
      </w:r>
      <w:r w:rsidR="00140F20">
        <w:rPr>
          <w:rFonts w:eastAsia="Times New Roman"/>
          <w:szCs w:val="24"/>
        </w:rPr>
        <w:t xml:space="preserve"> market risk premium (MRP) (6.5 to </w:t>
      </w:r>
      <w:r w:rsidR="006B787F" w:rsidRPr="00013C43">
        <w:rPr>
          <w:rFonts w:eastAsia="Times New Roman"/>
          <w:szCs w:val="24"/>
        </w:rPr>
        <w:t>8.1 per cent).</w:t>
      </w:r>
    </w:p>
    <w:p w:rsidR="006B787F" w:rsidRPr="006B787F" w:rsidRDefault="006B787F" w:rsidP="006B787F">
      <w:pPr>
        <w:pStyle w:val="AERbodytext"/>
      </w:pPr>
      <w:r w:rsidRPr="006B787F">
        <w:t>We have considered whether TransGrid and Transend have satisfactorily addressed the requirements in the NER. Specifically, the TNSPs are required to submit an indicative rate of return range which:</w:t>
      </w:r>
      <w:r w:rsidRPr="006B787F">
        <w:rPr>
          <w:vertAlign w:val="superscript"/>
        </w:rPr>
        <w:footnoteReference w:id="36"/>
      </w:r>
    </w:p>
    <w:p w:rsidR="006B787F" w:rsidRPr="00013C43" w:rsidRDefault="006B787F" w:rsidP="00013C43">
      <w:pPr>
        <w:numPr>
          <w:ilvl w:val="0"/>
          <w:numId w:val="2"/>
        </w:numPr>
        <w:tabs>
          <w:tab w:val="left" w:pos="357"/>
        </w:tabs>
        <w:spacing w:after="200"/>
        <w:ind w:left="357" w:hanging="357"/>
        <w:rPr>
          <w:rFonts w:eastAsia="Times New Roman"/>
          <w:szCs w:val="24"/>
        </w:rPr>
      </w:pPr>
      <w:r w:rsidRPr="00013C43">
        <w:rPr>
          <w:rFonts w:eastAsia="Times New Roman"/>
          <w:szCs w:val="24"/>
        </w:rPr>
        <w:t>takes into account available market information</w:t>
      </w:r>
    </w:p>
    <w:p w:rsidR="006B787F" w:rsidRPr="00013C43" w:rsidRDefault="006B787F" w:rsidP="00013C43">
      <w:pPr>
        <w:numPr>
          <w:ilvl w:val="0"/>
          <w:numId w:val="2"/>
        </w:numPr>
        <w:tabs>
          <w:tab w:val="left" w:pos="357"/>
        </w:tabs>
        <w:spacing w:after="200"/>
        <w:ind w:left="357" w:hanging="357"/>
        <w:rPr>
          <w:rFonts w:eastAsia="Times New Roman"/>
          <w:szCs w:val="24"/>
        </w:rPr>
      </w:pPr>
      <w:r w:rsidRPr="00013C43">
        <w:rPr>
          <w:rFonts w:eastAsia="Times New Roman"/>
          <w:szCs w:val="24"/>
        </w:rPr>
        <w:t xml:space="preserve">takes into account expected market trends </w:t>
      </w:r>
    </w:p>
    <w:p w:rsidR="006B787F" w:rsidRPr="00013C43" w:rsidRDefault="006B787F" w:rsidP="00013C43">
      <w:pPr>
        <w:numPr>
          <w:ilvl w:val="0"/>
          <w:numId w:val="2"/>
        </w:numPr>
        <w:tabs>
          <w:tab w:val="left" w:pos="357"/>
        </w:tabs>
        <w:spacing w:after="200"/>
        <w:ind w:left="357" w:hanging="357"/>
        <w:rPr>
          <w:rFonts w:eastAsia="Times New Roman"/>
          <w:szCs w:val="24"/>
        </w:rPr>
      </w:pPr>
      <w:proofErr w:type="gramStart"/>
      <w:r w:rsidRPr="00013C43">
        <w:rPr>
          <w:rFonts w:eastAsia="Times New Roman"/>
          <w:szCs w:val="24"/>
        </w:rPr>
        <w:t>has</w:t>
      </w:r>
      <w:proofErr w:type="gramEnd"/>
      <w:r w:rsidRPr="00013C43">
        <w:rPr>
          <w:rFonts w:eastAsia="Times New Roman"/>
          <w:szCs w:val="24"/>
        </w:rPr>
        <w:t xml:space="preserve"> regard to the rate of return guideline published by the AER.</w:t>
      </w:r>
    </w:p>
    <w:p w:rsidR="002F726D" w:rsidRDefault="006B787F" w:rsidP="006B787F">
      <w:pPr>
        <w:tabs>
          <w:tab w:val="left" w:pos="357"/>
        </w:tabs>
        <w:spacing w:after="200"/>
        <w:rPr>
          <w:rFonts w:eastAsia="Times New Roman" w:cs="Gautami"/>
          <w:szCs w:val="24"/>
        </w:rPr>
      </w:pPr>
      <w:r w:rsidRPr="006B787F">
        <w:rPr>
          <w:rFonts w:eastAsia="Times New Roman" w:cs="Gautami"/>
          <w:szCs w:val="24"/>
        </w:rPr>
        <w:t>Much of the information the service providers submitted relies on information that was before the AER during the guideline process.</w:t>
      </w:r>
      <w:r w:rsidRPr="006B787F">
        <w:rPr>
          <w:rFonts w:eastAsia="Times New Roman" w:cs="Gautami"/>
          <w:szCs w:val="24"/>
          <w:vertAlign w:val="superscript"/>
        </w:rPr>
        <w:footnoteReference w:id="37"/>
      </w:r>
      <w:r w:rsidRPr="006B787F">
        <w:rPr>
          <w:rFonts w:eastAsia="Times New Roman" w:cs="Gautami"/>
          <w:szCs w:val="24"/>
        </w:rPr>
        <w:t xml:space="preserve"> Our guideline was made taking into account this and other information and expected market trends and was published in December 2013. Nonetheless, the </w:t>
      </w:r>
      <w:r w:rsidR="00F31F22">
        <w:rPr>
          <w:rFonts w:eastAsia="Times New Roman" w:cs="Gautami"/>
          <w:szCs w:val="24"/>
        </w:rPr>
        <w:t>TNSPs</w:t>
      </w:r>
      <w:r w:rsidRPr="006B787F">
        <w:rPr>
          <w:rFonts w:eastAsia="Times New Roman" w:cs="Gautami"/>
          <w:szCs w:val="24"/>
        </w:rPr>
        <w:t xml:space="preserve"> have proposed departures from the guideline</w:t>
      </w:r>
      <w:r w:rsidR="003E671C">
        <w:rPr>
          <w:rFonts w:eastAsia="Times New Roman" w:cs="Gautami"/>
          <w:szCs w:val="24"/>
        </w:rPr>
        <w:t>, the details of which are set out below</w:t>
      </w:r>
      <w:r w:rsidRPr="006B787F">
        <w:rPr>
          <w:rFonts w:eastAsia="Times New Roman" w:cs="Gautami"/>
          <w:szCs w:val="24"/>
        </w:rPr>
        <w:t xml:space="preserve">. </w:t>
      </w:r>
    </w:p>
    <w:p w:rsidR="006B787F" w:rsidRPr="006B787F" w:rsidRDefault="003E671C" w:rsidP="006B787F">
      <w:pPr>
        <w:tabs>
          <w:tab w:val="left" w:pos="357"/>
        </w:tabs>
        <w:spacing w:after="200"/>
        <w:rPr>
          <w:rFonts w:eastAsia="Times New Roman" w:cs="Gautami"/>
          <w:szCs w:val="24"/>
        </w:rPr>
      </w:pPr>
      <w:r>
        <w:rPr>
          <w:rFonts w:eastAsia="Times New Roman" w:cs="Gautami"/>
          <w:szCs w:val="24"/>
        </w:rPr>
        <w:t>The AER received a number of submissions that generally advocated a rate of return estimate based on the AER’s guideline</w:t>
      </w:r>
      <w:r w:rsidR="006B787F" w:rsidRPr="006B787F">
        <w:rPr>
          <w:rFonts w:eastAsia="Times New Roman" w:cs="Gautami"/>
          <w:szCs w:val="24"/>
        </w:rPr>
        <w:t>:</w:t>
      </w:r>
    </w:p>
    <w:p w:rsidR="006B787F" w:rsidRPr="006B787F" w:rsidRDefault="002220F0" w:rsidP="006B787F">
      <w:pPr>
        <w:numPr>
          <w:ilvl w:val="0"/>
          <w:numId w:val="2"/>
        </w:numPr>
        <w:tabs>
          <w:tab w:val="left" w:pos="357"/>
        </w:tabs>
        <w:spacing w:after="200"/>
        <w:ind w:left="357" w:hanging="357"/>
        <w:rPr>
          <w:rFonts w:eastAsia="Times New Roman"/>
          <w:szCs w:val="24"/>
        </w:rPr>
      </w:pPr>
      <w:r>
        <w:rPr>
          <w:rFonts w:eastAsia="Times New Roman"/>
          <w:szCs w:val="24"/>
        </w:rPr>
        <w:t>T</w:t>
      </w:r>
      <w:r w:rsidR="006B787F" w:rsidRPr="006B787F">
        <w:rPr>
          <w:rFonts w:eastAsia="Times New Roman"/>
          <w:szCs w:val="24"/>
        </w:rPr>
        <w:t xml:space="preserve">he Major Energy Users (MEU) submitted that for the transitional year, the WACC should be based on the current approach as applied most recently to SP </w:t>
      </w:r>
      <w:proofErr w:type="spellStart"/>
      <w:r w:rsidR="006B787F" w:rsidRPr="006B787F">
        <w:rPr>
          <w:rFonts w:eastAsia="Times New Roman"/>
          <w:szCs w:val="24"/>
        </w:rPr>
        <w:t>AusNet</w:t>
      </w:r>
      <w:proofErr w:type="spellEnd"/>
      <w:r w:rsidR="006B787F" w:rsidRPr="006B787F">
        <w:rPr>
          <w:rFonts w:eastAsia="Times New Roman"/>
          <w:szCs w:val="24"/>
        </w:rPr>
        <w:t>.</w:t>
      </w:r>
      <w:r w:rsidR="006B787F" w:rsidRPr="006B787F">
        <w:rPr>
          <w:rFonts w:eastAsia="Times New Roman" w:cs="Gautami"/>
          <w:szCs w:val="24"/>
          <w:vertAlign w:val="superscript"/>
        </w:rPr>
        <w:footnoteReference w:id="38"/>
      </w:r>
      <w:r w:rsidR="006B787F" w:rsidRPr="006B787F">
        <w:rPr>
          <w:rFonts w:eastAsia="Times New Roman"/>
          <w:szCs w:val="24"/>
        </w:rPr>
        <w:t xml:space="preserve"> Further, the MEU submitted it was concerned that the service providers have combined estimates from the old and new WACC </w:t>
      </w:r>
      <w:r w:rsidR="004B3297">
        <w:rPr>
          <w:rFonts w:eastAsia="Times New Roman"/>
          <w:szCs w:val="24"/>
        </w:rPr>
        <w:t xml:space="preserve">(weighted average cost of capital) </w:t>
      </w:r>
      <w:r w:rsidR="006B787F" w:rsidRPr="006B787F">
        <w:rPr>
          <w:rFonts w:eastAsia="Times New Roman"/>
          <w:szCs w:val="24"/>
        </w:rPr>
        <w:t>approaches in a way that results in an increased WACC.</w:t>
      </w:r>
      <w:r w:rsidR="006B787F" w:rsidRPr="006B787F">
        <w:rPr>
          <w:rFonts w:eastAsia="Times New Roman"/>
          <w:szCs w:val="24"/>
          <w:vertAlign w:val="superscript"/>
        </w:rPr>
        <w:footnoteReference w:id="39"/>
      </w:r>
    </w:p>
    <w:p w:rsidR="006B787F" w:rsidRPr="006B787F" w:rsidRDefault="002220F0" w:rsidP="006B787F">
      <w:pPr>
        <w:numPr>
          <w:ilvl w:val="0"/>
          <w:numId w:val="2"/>
        </w:numPr>
        <w:tabs>
          <w:tab w:val="left" w:pos="357"/>
        </w:tabs>
        <w:spacing w:after="200"/>
        <w:ind w:left="357" w:hanging="357"/>
        <w:rPr>
          <w:rFonts w:eastAsia="Times New Roman"/>
          <w:szCs w:val="24"/>
        </w:rPr>
      </w:pPr>
      <w:r>
        <w:rPr>
          <w:rFonts w:eastAsia="Times New Roman"/>
          <w:szCs w:val="24"/>
        </w:rPr>
        <w:t>T</w:t>
      </w:r>
      <w:r w:rsidR="006B787F" w:rsidRPr="006B787F">
        <w:rPr>
          <w:rFonts w:eastAsia="Times New Roman"/>
          <w:szCs w:val="24"/>
        </w:rPr>
        <w:t xml:space="preserve">he Tasmanian Small Business Council submitted that it supported the use of the AER’s guideline estimates of the equity beta (0.7) to determine </w:t>
      </w:r>
      <w:proofErr w:type="spellStart"/>
      <w:r w:rsidR="006B787F" w:rsidRPr="006B787F">
        <w:rPr>
          <w:rFonts w:eastAsia="Times New Roman"/>
          <w:szCs w:val="24"/>
        </w:rPr>
        <w:t>Transend’s</w:t>
      </w:r>
      <w:proofErr w:type="spellEnd"/>
      <w:r w:rsidR="006B787F" w:rsidRPr="006B787F">
        <w:rPr>
          <w:rFonts w:eastAsia="Times New Roman"/>
          <w:szCs w:val="24"/>
        </w:rPr>
        <w:t xml:space="preserve"> transitional revenue.</w:t>
      </w:r>
      <w:r w:rsidR="006B787F" w:rsidRPr="006B787F">
        <w:rPr>
          <w:rFonts w:eastAsia="Times New Roman"/>
          <w:szCs w:val="24"/>
          <w:vertAlign w:val="superscript"/>
        </w:rPr>
        <w:footnoteReference w:id="40"/>
      </w:r>
    </w:p>
    <w:p w:rsidR="00E77297" w:rsidRPr="002220F0" w:rsidRDefault="006B787F" w:rsidP="002220F0">
      <w:pPr>
        <w:numPr>
          <w:ilvl w:val="0"/>
          <w:numId w:val="2"/>
        </w:numPr>
        <w:tabs>
          <w:tab w:val="left" w:pos="357"/>
        </w:tabs>
        <w:spacing w:after="200"/>
        <w:ind w:left="357" w:hanging="357"/>
        <w:rPr>
          <w:rFonts w:eastAsia="Times New Roman"/>
          <w:szCs w:val="24"/>
        </w:rPr>
      </w:pPr>
      <w:r w:rsidRPr="002220F0">
        <w:rPr>
          <w:rFonts w:eastAsia="Times New Roman"/>
          <w:szCs w:val="24"/>
        </w:rPr>
        <w:lastRenderedPageBreak/>
        <w:t>The Public Interest Advocacy Centre (PIAC), while only directly addressing the distribution proposals, ‘strongly objected’ to proposed departures from the rate of return guideline and supported the application of guideline parameters and approaches in the transitional determination. In particular, the PIAC note that the guideline process included a comprehensive consultation process with a broad range of stakeholders, where</w:t>
      </w:r>
      <w:r w:rsidR="003E671C" w:rsidRPr="002220F0">
        <w:rPr>
          <w:rFonts w:eastAsia="Times New Roman"/>
          <w:szCs w:val="24"/>
        </w:rPr>
        <w:t>as</w:t>
      </w:r>
      <w:r w:rsidRPr="002220F0">
        <w:rPr>
          <w:rFonts w:eastAsia="Times New Roman"/>
          <w:szCs w:val="24"/>
        </w:rPr>
        <w:t xml:space="preserve"> the proposed departures have not been submitted to the same level of rigorous analysis.</w:t>
      </w:r>
      <w:r w:rsidRPr="002220F0">
        <w:rPr>
          <w:rFonts w:eastAsia="Times New Roman"/>
          <w:szCs w:val="24"/>
          <w:vertAlign w:val="superscript"/>
        </w:rPr>
        <w:footnoteReference w:id="41"/>
      </w:r>
      <w:r w:rsidR="00E77297" w:rsidRPr="002220F0">
        <w:rPr>
          <w:rFonts w:eastAsia="Times New Roman"/>
          <w:szCs w:val="24"/>
        </w:rPr>
        <w:t xml:space="preserve"> Further, on specific parameters, the PIAC made submissions also relevant to the transitional proposals. In particular, it submitted that:</w:t>
      </w:r>
    </w:p>
    <w:p w:rsidR="00E77297" w:rsidRPr="00E77297" w:rsidRDefault="00E77297" w:rsidP="002220F0">
      <w:pPr>
        <w:pStyle w:val="AERbulletlistsecondstyle"/>
      </w:pPr>
      <w:r w:rsidRPr="00E77297">
        <w:t>we should continue to set the risk free rate as specified in the rate of return guideline, and not using long term historical averages</w:t>
      </w:r>
      <w:r w:rsidRPr="00E77297">
        <w:rPr>
          <w:vertAlign w:val="superscript"/>
        </w:rPr>
        <w:footnoteReference w:id="42"/>
      </w:r>
      <w:r w:rsidRPr="00E77297">
        <w:t xml:space="preserve"> </w:t>
      </w:r>
    </w:p>
    <w:p w:rsidR="00E77297" w:rsidRPr="00E77297" w:rsidRDefault="00E77297" w:rsidP="002220F0">
      <w:pPr>
        <w:pStyle w:val="AERbulletlistsecondstyle"/>
      </w:pPr>
      <w:proofErr w:type="gramStart"/>
      <w:r w:rsidRPr="00E77297">
        <w:t>an</w:t>
      </w:r>
      <w:proofErr w:type="gramEnd"/>
      <w:r w:rsidRPr="00E77297">
        <w:t xml:space="preserve"> equity beta of 0.7 overstates the non-diversifiable risks of an efficient benchmark Australian regulated network company, in light of the supportive regulatory regime. However, while the PIAC accepts the AER’s conclusio</w:t>
      </w:r>
      <w:r w:rsidR="00013C43">
        <w:t>n, it recommends the adoption o</w:t>
      </w:r>
      <w:r w:rsidRPr="00E77297">
        <w:t>f a value no higher than 0.7</w:t>
      </w:r>
      <w:r w:rsidRPr="00E77297">
        <w:rPr>
          <w:vertAlign w:val="superscript"/>
        </w:rPr>
        <w:footnoteReference w:id="43"/>
      </w:r>
    </w:p>
    <w:p w:rsidR="006B787F" w:rsidRPr="00E77297" w:rsidRDefault="00E77297" w:rsidP="002220F0">
      <w:pPr>
        <w:pStyle w:val="AERbulletlistsecondstyle"/>
      </w:pPr>
      <w:proofErr w:type="gramStart"/>
      <w:r w:rsidRPr="00E77297">
        <w:t>we</w:t>
      </w:r>
      <w:proofErr w:type="gramEnd"/>
      <w:r w:rsidRPr="00E77297">
        <w:t xml:space="preserve"> should apply the transition to the trailing average </w:t>
      </w:r>
      <w:r w:rsidR="004E6405">
        <w:t>return on debt</w:t>
      </w:r>
      <w:r w:rsidRPr="00E77297">
        <w:t xml:space="preserve"> approach, as set out in the rate of return guideline. Further, the PIAC submitted that an immediate transition to the portfolio </w:t>
      </w:r>
      <w:r w:rsidR="004E6405">
        <w:t>return on debt</w:t>
      </w:r>
      <w:r w:rsidRPr="00E77297">
        <w:t xml:space="preserve"> would result in an unequitable sharing of risks between consumers and service providers.</w:t>
      </w:r>
      <w:r w:rsidRPr="00E77297">
        <w:rPr>
          <w:vertAlign w:val="superscript"/>
        </w:rPr>
        <w:footnoteReference w:id="44"/>
      </w:r>
    </w:p>
    <w:p w:rsidR="006B787F" w:rsidRPr="006B787F" w:rsidRDefault="006B787F" w:rsidP="006B787F">
      <w:pPr>
        <w:tabs>
          <w:tab w:val="left" w:pos="357"/>
        </w:tabs>
        <w:spacing w:after="200"/>
        <w:rPr>
          <w:rFonts w:eastAsia="Times New Roman" w:cs="Gautami"/>
          <w:szCs w:val="24"/>
        </w:rPr>
      </w:pPr>
      <w:r w:rsidRPr="006B787F">
        <w:rPr>
          <w:rFonts w:eastAsia="Times New Roman" w:cs="Gautami"/>
          <w:szCs w:val="24"/>
        </w:rPr>
        <w:t xml:space="preserve">Specifically, TransGrid </w:t>
      </w:r>
      <w:r w:rsidR="006E3E79">
        <w:rPr>
          <w:rFonts w:eastAsia="Times New Roman" w:cs="Gautami"/>
          <w:szCs w:val="24"/>
        </w:rPr>
        <w:t xml:space="preserve">rejected the foundation model in the rate of return guideline and </w:t>
      </w:r>
      <w:r w:rsidRPr="006B787F">
        <w:rPr>
          <w:rFonts w:eastAsia="Times New Roman" w:cs="Gautami"/>
          <w:szCs w:val="24"/>
        </w:rPr>
        <w:t>submitted it is:</w:t>
      </w:r>
    </w:p>
    <w:p w:rsidR="006B787F" w:rsidRPr="006B787F" w:rsidRDefault="006B787F" w:rsidP="006B787F">
      <w:pPr>
        <w:tabs>
          <w:tab w:val="num" w:pos="709"/>
        </w:tabs>
        <w:spacing w:after="160"/>
        <w:ind w:left="709" w:right="720"/>
        <w:rPr>
          <w:rFonts w:eastAsia="Times New Roman"/>
          <w:color w:val="000000"/>
          <w:sz w:val="16"/>
          <w:szCs w:val="24"/>
        </w:rPr>
      </w:pPr>
      <w:r w:rsidRPr="006B787F">
        <w:rPr>
          <w:rFonts w:eastAsia="Times New Roman"/>
          <w:color w:val="000000"/>
          <w:sz w:val="16"/>
          <w:szCs w:val="24"/>
        </w:rPr>
        <w:tab/>
        <w:t>…still undertaking analysis to support the rate of return elements of the full revenue proposal. Nevertheless, this transitional proposal provides the AER and all interested stakeholders with a clear guide on the approach TransGrid believes best fits the National Electricity Objective, the revenue and pricing principles, the NER and the rate of return objective.</w:t>
      </w:r>
      <w:r w:rsidRPr="006B787F">
        <w:rPr>
          <w:rFonts w:eastAsia="Times New Roman" w:cs="Gautami"/>
          <w:color w:val="000000"/>
          <w:sz w:val="16"/>
          <w:szCs w:val="24"/>
          <w:vertAlign w:val="superscript"/>
        </w:rPr>
        <w:footnoteReference w:id="45"/>
      </w:r>
      <w:r w:rsidRPr="006B787F">
        <w:rPr>
          <w:rFonts w:eastAsia="Times New Roman"/>
          <w:color w:val="000000"/>
          <w:sz w:val="16"/>
          <w:szCs w:val="24"/>
        </w:rPr>
        <w:t xml:space="preserve">  </w:t>
      </w:r>
    </w:p>
    <w:p w:rsidR="006E3E79" w:rsidRPr="006E3E79" w:rsidRDefault="006E3E79" w:rsidP="00CD4260">
      <w:pPr>
        <w:pStyle w:val="AERbodytext"/>
      </w:pPr>
      <w:proofErr w:type="spellStart"/>
      <w:r>
        <w:t>Transend’s</w:t>
      </w:r>
      <w:proofErr w:type="spellEnd"/>
      <w:r>
        <w:t xml:space="preserve"> proposal submitted that it supported a limited application of the guideline foundation model and that its estimate for the return on debt was consistent with the guideline approach</w:t>
      </w:r>
      <w:r w:rsidR="00F31F22">
        <w:t xml:space="preserve">. </w:t>
      </w:r>
      <w:r w:rsidR="00CD4260" w:rsidRPr="00CD4260">
        <w:t>However, it includes parameters, such as the equity beta (0.91), which substantially depart</w:t>
      </w:r>
      <w:r w:rsidR="007024B8">
        <w:t>s</w:t>
      </w:r>
      <w:r w:rsidR="00CD4260" w:rsidRPr="00CD4260">
        <w:t xml:space="preserve"> from the guideline point estimate (0.7).</w:t>
      </w:r>
      <w:r w:rsidR="00C14214">
        <w:rPr>
          <w:rStyle w:val="FootnoteReference"/>
        </w:rPr>
        <w:footnoteReference w:id="46"/>
      </w:r>
      <w:r w:rsidR="00C14214">
        <w:t xml:space="preserve"> </w:t>
      </w:r>
      <w:r>
        <w:t xml:space="preserve"> </w:t>
      </w:r>
    </w:p>
    <w:p w:rsidR="00E77297" w:rsidRPr="00E77297" w:rsidRDefault="006B787F" w:rsidP="00E77297">
      <w:pPr>
        <w:pStyle w:val="AERbodytext"/>
      </w:pPr>
      <w:r w:rsidRPr="006B787F">
        <w:rPr>
          <w:rFonts w:cs="Gautami"/>
        </w:rPr>
        <w:t xml:space="preserve">In contrast, we </w:t>
      </w:r>
      <w:r w:rsidR="009E31D3">
        <w:rPr>
          <w:rFonts w:cs="Gautami"/>
        </w:rPr>
        <w:t xml:space="preserve">have adopted </w:t>
      </w:r>
      <w:r w:rsidR="00F31F22">
        <w:rPr>
          <w:rFonts w:cs="Gautami"/>
        </w:rPr>
        <w:t xml:space="preserve">the </w:t>
      </w:r>
      <w:r w:rsidR="009E31D3">
        <w:rPr>
          <w:rFonts w:cs="Gautami"/>
        </w:rPr>
        <w:t xml:space="preserve">foundation model combined with some updated market information and market trends. This approach is generally consistent with submissions received from stakeholders. </w:t>
      </w:r>
      <w:r w:rsidRPr="006B787F">
        <w:rPr>
          <w:rFonts w:cs="Gautami"/>
        </w:rPr>
        <w:t xml:space="preserve">Our reasons for </w:t>
      </w:r>
      <w:r w:rsidR="009E31D3">
        <w:rPr>
          <w:rFonts w:cs="Gautami"/>
        </w:rPr>
        <w:t xml:space="preserve">relying on the rate of return guideline </w:t>
      </w:r>
      <w:r w:rsidRPr="006B787F">
        <w:rPr>
          <w:rFonts w:cs="Gautami"/>
        </w:rPr>
        <w:t xml:space="preserve">are set out extensively in the </w:t>
      </w:r>
      <w:r w:rsidR="00E77297">
        <w:rPr>
          <w:rFonts w:cs="Gautami"/>
        </w:rPr>
        <w:t xml:space="preserve">guideline explanatory statement, </w:t>
      </w:r>
      <w:r w:rsidR="00E77297" w:rsidRPr="00E77297">
        <w:t>but in summary:</w:t>
      </w:r>
    </w:p>
    <w:p w:rsidR="00E77297" w:rsidRPr="00E77297" w:rsidRDefault="00E77297" w:rsidP="00E77297">
      <w:pPr>
        <w:numPr>
          <w:ilvl w:val="0"/>
          <w:numId w:val="2"/>
        </w:numPr>
        <w:tabs>
          <w:tab w:val="left" w:pos="357"/>
        </w:tabs>
        <w:spacing w:after="200"/>
        <w:ind w:left="357" w:hanging="357"/>
        <w:rPr>
          <w:rFonts w:eastAsia="Times New Roman"/>
          <w:szCs w:val="24"/>
        </w:rPr>
      </w:pPr>
      <w:r w:rsidRPr="00E77297">
        <w:rPr>
          <w:rFonts w:eastAsia="Times New Roman"/>
          <w:szCs w:val="24"/>
        </w:rPr>
        <w:t>we rigorously and consistently assessed a wide range of information that could inform rate of return calculations, including relevant data and recent market trends</w:t>
      </w:r>
      <w:r w:rsidR="00AC1A6B">
        <w:rPr>
          <w:rFonts w:eastAsia="Times New Roman"/>
          <w:szCs w:val="24"/>
        </w:rPr>
        <w:t xml:space="preserve"> and how this might be relevant to expected market trends</w:t>
      </w:r>
    </w:p>
    <w:p w:rsidR="00E77297" w:rsidRPr="00E77297" w:rsidRDefault="00E77297" w:rsidP="00E77297">
      <w:pPr>
        <w:numPr>
          <w:ilvl w:val="0"/>
          <w:numId w:val="2"/>
        </w:numPr>
        <w:tabs>
          <w:tab w:val="left" w:pos="357"/>
        </w:tabs>
        <w:spacing w:after="200"/>
        <w:ind w:left="357" w:hanging="357"/>
        <w:rPr>
          <w:rFonts w:eastAsia="Times New Roman"/>
          <w:szCs w:val="24"/>
        </w:rPr>
      </w:pPr>
      <w:proofErr w:type="gramStart"/>
      <w:r w:rsidRPr="00E77297">
        <w:rPr>
          <w:rFonts w:eastAsia="Times New Roman"/>
          <w:szCs w:val="24"/>
        </w:rPr>
        <w:t>we</w:t>
      </w:r>
      <w:proofErr w:type="gramEnd"/>
      <w:r w:rsidRPr="00E77297">
        <w:rPr>
          <w:rFonts w:eastAsia="Times New Roman"/>
          <w:szCs w:val="24"/>
        </w:rPr>
        <w:t xml:space="preserve"> consulted widely with stakeholders, including consumers, to give us confidence that the final positions satisfied the NEO.</w:t>
      </w:r>
    </w:p>
    <w:p w:rsidR="006B787F" w:rsidRPr="006B787F" w:rsidRDefault="004E6405" w:rsidP="007024B8">
      <w:pPr>
        <w:pStyle w:val="AERbodytext"/>
        <w:rPr>
          <w:rFonts w:cs="Gautami"/>
        </w:rPr>
      </w:pPr>
      <w:r>
        <w:lastRenderedPageBreak/>
        <w:t xml:space="preserve">Due to the nature of the transitional review and the task set out in the NER, we have </w:t>
      </w:r>
      <w:r w:rsidR="0051411A">
        <w:t xml:space="preserve">had regard to </w:t>
      </w:r>
      <w:r>
        <w:t>the rate of return guideline to the extent possible. Specifically, we have applied the value of imputation credits</w:t>
      </w:r>
      <w:r w:rsidR="0051411A">
        <w:t xml:space="preserve"> set out in the guideline</w:t>
      </w:r>
      <w:r>
        <w:t xml:space="preserve">. Similarly, we have </w:t>
      </w:r>
      <w:r w:rsidR="0051411A">
        <w:t>had regard to</w:t>
      </w:r>
      <w:r w:rsidR="00C14214">
        <w:t xml:space="preserve"> </w:t>
      </w:r>
      <w:r>
        <w:t xml:space="preserve">the guideline approach to estimate the return on debt, although we have yet to finalise selection of a third party data provider as specified in the guideline. As identified </w:t>
      </w:r>
      <w:r w:rsidR="00AB188C">
        <w:t>below</w:t>
      </w:r>
      <w:r>
        <w:t xml:space="preserve">, we have </w:t>
      </w:r>
      <w:r w:rsidR="00F31F22">
        <w:t>taken account of</w:t>
      </w:r>
      <w:r>
        <w:t xml:space="preserve"> the RBA data series for the purposes of th</w:t>
      </w:r>
      <w:r w:rsidR="00F31F22">
        <w:t>is</w:t>
      </w:r>
      <w:r>
        <w:t xml:space="preserve"> transitional determination. To estimate the return on equity, we have primarily relied on application of the foundation model. </w:t>
      </w:r>
      <w:r w:rsidR="00CD4260">
        <w:t>T</w:t>
      </w:r>
      <w:r>
        <w:t xml:space="preserve">here are other sources of information that </w:t>
      </w:r>
      <w:r w:rsidR="00016E9C">
        <w:t xml:space="preserve">will need to be considered in applying the </w:t>
      </w:r>
      <w:r>
        <w:t xml:space="preserve">guideline </w:t>
      </w:r>
      <w:r w:rsidR="00CD4260">
        <w:t>during</w:t>
      </w:r>
      <w:r w:rsidR="00206AE3">
        <w:t xml:space="preserve"> the</w:t>
      </w:r>
      <w:r w:rsidR="00016E9C">
        <w:t xml:space="preserve"> </w:t>
      </w:r>
      <w:r w:rsidR="00206AE3">
        <w:t>full</w:t>
      </w:r>
      <w:r w:rsidR="00016E9C">
        <w:t xml:space="preserve"> determination </w:t>
      </w:r>
      <w:r>
        <w:t>process</w:t>
      </w:r>
      <w:r w:rsidR="00CD4260">
        <w:t>.</w:t>
      </w:r>
      <w:r>
        <w:t xml:space="preserve"> </w:t>
      </w:r>
      <w:r w:rsidR="006B787F" w:rsidRPr="006B787F">
        <w:rPr>
          <w:rFonts w:cs="Gautami"/>
        </w:rPr>
        <w:t>Employing the approach set out in the guideline we have developed an indicative range to compare against the proposals submitted by TransGrid and Transend. We developed our indicative range by undertaking the following high level steps:</w:t>
      </w:r>
    </w:p>
    <w:p w:rsidR="006B787F" w:rsidRPr="006B787F" w:rsidRDefault="006B787F" w:rsidP="006B787F">
      <w:pPr>
        <w:pStyle w:val="AERbulletlistfirststyle"/>
      </w:pPr>
      <w:r w:rsidRPr="006B787F">
        <w:t xml:space="preserve">Our high level estimate of the </w:t>
      </w:r>
      <w:r w:rsidR="004E6405">
        <w:t>return on equity</w:t>
      </w:r>
      <w:r w:rsidRPr="006B787F">
        <w:t xml:space="preserve"> based on the foundation model specified in the guideline is 8.9</w:t>
      </w:r>
      <w:r w:rsidR="00013C43">
        <w:t xml:space="preserve"> per cent</w:t>
      </w:r>
      <w:r w:rsidRPr="006B787F">
        <w:t>.</w:t>
      </w:r>
      <w:r w:rsidRPr="006B787F">
        <w:rPr>
          <w:vertAlign w:val="superscript"/>
        </w:rPr>
        <w:footnoteReference w:id="47"/>
      </w:r>
      <w:r w:rsidRPr="006B787F">
        <w:t xml:space="preserve"> Whilst the CAPM is only one of a number of sources of evidence that we will use to estimate the </w:t>
      </w:r>
      <w:r w:rsidR="004E6405">
        <w:t>return on equity</w:t>
      </w:r>
      <w:r w:rsidRPr="006B787F">
        <w:t>, it is the foundation model and is likely to be significant in determining the final estimate. Our high level estimate is made up of:</w:t>
      </w:r>
    </w:p>
    <w:p w:rsidR="006B787F" w:rsidRPr="00013C43" w:rsidRDefault="006B787F" w:rsidP="00013C43">
      <w:pPr>
        <w:numPr>
          <w:ilvl w:val="0"/>
          <w:numId w:val="2"/>
        </w:numPr>
        <w:tabs>
          <w:tab w:val="left" w:pos="357"/>
        </w:tabs>
        <w:spacing w:after="200"/>
        <w:ind w:left="357" w:hanging="357"/>
        <w:rPr>
          <w:rFonts w:eastAsia="Times New Roman"/>
          <w:szCs w:val="24"/>
        </w:rPr>
      </w:pPr>
      <w:r w:rsidRPr="00013C43">
        <w:rPr>
          <w:rFonts w:eastAsia="Times New Roman"/>
          <w:szCs w:val="24"/>
        </w:rPr>
        <w:t>Risk free rate—4.3, based on 10 year commonwealth government security (CGS) yields over a recent 20 day averaging period</w:t>
      </w:r>
      <w:r w:rsidR="00E77297" w:rsidRPr="00013C43">
        <w:rPr>
          <w:rFonts w:eastAsia="Times New Roman"/>
          <w:szCs w:val="24"/>
        </w:rPr>
        <w:t xml:space="preserve"> starting in mid-December 2013.</w:t>
      </w:r>
      <w:r w:rsidR="00E77297" w:rsidRPr="00013C43">
        <w:rPr>
          <w:rFonts w:eastAsia="Times New Roman"/>
          <w:szCs w:val="24"/>
          <w:vertAlign w:val="superscript"/>
        </w:rPr>
        <w:footnoteReference w:id="48"/>
      </w:r>
      <w:r w:rsidR="00E77297" w:rsidRPr="00013C43">
        <w:rPr>
          <w:rFonts w:eastAsia="Times New Roman"/>
          <w:szCs w:val="24"/>
          <w:vertAlign w:val="superscript"/>
        </w:rPr>
        <w:t xml:space="preserve"> </w:t>
      </w:r>
      <w:r w:rsidR="00E77297" w:rsidRPr="00013C43">
        <w:rPr>
          <w:rFonts w:eastAsia="Times New Roman"/>
          <w:szCs w:val="24"/>
        </w:rPr>
        <w:t>This was close to the publication of the rate of return guideline, and gives us confidence the estimates are consistent with the same market conditions. However, we also note that the risk free rate has slightly decreased since this time.</w:t>
      </w:r>
      <w:r w:rsidR="00E77297" w:rsidRPr="00013C43">
        <w:rPr>
          <w:rFonts w:eastAsia="Times New Roman"/>
          <w:szCs w:val="24"/>
          <w:vertAlign w:val="superscript"/>
        </w:rPr>
        <w:footnoteReference w:id="49"/>
      </w:r>
    </w:p>
    <w:p w:rsidR="006B787F" w:rsidRPr="00013C43" w:rsidRDefault="006B787F" w:rsidP="00013C43">
      <w:pPr>
        <w:numPr>
          <w:ilvl w:val="0"/>
          <w:numId w:val="2"/>
        </w:numPr>
        <w:tabs>
          <w:tab w:val="left" w:pos="357"/>
        </w:tabs>
        <w:spacing w:after="200"/>
        <w:ind w:left="357" w:hanging="357"/>
        <w:rPr>
          <w:rFonts w:eastAsia="Times New Roman"/>
          <w:szCs w:val="24"/>
        </w:rPr>
      </w:pPr>
      <w:r w:rsidRPr="00013C43">
        <w:rPr>
          <w:rFonts w:eastAsia="Times New Roman"/>
          <w:szCs w:val="24"/>
        </w:rPr>
        <w:t>Market risk premium—6.5, based on the rate of return guideline point estimate.</w:t>
      </w:r>
      <w:r w:rsidRPr="00013C43">
        <w:rPr>
          <w:rFonts w:eastAsia="Times New Roman"/>
          <w:szCs w:val="24"/>
          <w:vertAlign w:val="superscript"/>
        </w:rPr>
        <w:footnoteReference w:id="50"/>
      </w:r>
    </w:p>
    <w:p w:rsidR="006B787F" w:rsidRPr="00013C43" w:rsidRDefault="006B787F" w:rsidP="00013C43">
      <w:pPr>
        <w:numPr>
          <w:ilvl w:val="0"/>
          <w:numId w:val="2"/>
        </w:numPr>
        <w:tabs>
          <w:tab w:val="left" w:pos="357"/>
        </w:tabs>
        <w:spacing w:after="200"/>
        <w:ind w:left="357" w:hanging="357"/>
        <w:rPr>
          <w:rFonts w:eastAsia="Times New Roman"/>
          <w:szCs w:val="24"/>
        </w:rPr>
      </w:pPr>
      <w:r w:rsidRPr="00013C43">
        <w:rPr>
          <w:rFonts w:eastAsia="Times New Roman"/>
          <w:szCs w:val="24"/>
        </w:rPr>
        <w:t>Equity beta—0.7, based on the rate of return guideline point estimate.</w:t>
      </w:r>
      <w:r w:rsidRPr="00013C43">
        <w:rPr>
          <w:rFonts w:eastAsia="Times New Roman"/>
          <w:szCs w:val="24"/>
          <w:vertAlign w:val="superscript"/>
        </w:rPr>
        <w:footnoteReference w:id="51"/>
      </w:r>
    </w:p>
    <w:p w:rsidR="006B787F" w:rsidRPr="00013C43" w:rsidRDefault="006B787F" w:rsidP="00013C43">
      <w:pPr>
        <w:numPr>
          <w:ilvl w:val="0"/>
          <w:numId w:val="2"/>
        </w:numPr>
        <w:tabs>
          <w:tab w:val="left" w:pos="357"/>
        </w:tabs>
        <w:spacing w:after="200"/>
        <w:ind w:left="357" w:hanging="357"/>
        <w:rPr>
          <w:rFonts w:eastAsia="Times New Roman"/>
          <w:szCs w:val="24"/>
        </w:rPr>
      </w:pPr>
      <w:r w:rsidRPr="00013C43">
        <w:rPr>
          <w:rFonts w:eastAsia="Times New Roman"/>
          <w:szCs w:val="24"/>
        </w:rPr>
        <w:t xml:space="preserve">A </w:t>
      </w:r>
      <w:r w:rsidR="004E6405">
        <w:rPr>
          <w:rFonts w:eastAsia="Times New Roman"/>
          <w:szCs w:val="24"/>
        </w:rPr>
        <w:t>return on debt</w:t>
      </w:r>
      <w:r w:rsidRPr="00013C43">
        <w:rPr>
          <w:rFonts w:eastAsia="Times New Roman"/>
          <w:szCs w:val="24"/>
        </w:rPr>
        <w:t xml:space="preserve"> between 6.7 and 7.5</w:t>
      </w:r>
      <w:r w:rsidR="00140F20">
        <w:rPr>
          <w:rFonts w:eastAsia="Times New Roman"/>
          <w:szCs w:val="24"/>
        </w:rPr>
        <w:t xml:space="preserve"> per cent</w:t>
      </w:r>
      <w:r w:rsidRPr="00013C43">
        <w:rPr>
          <w:rFonts w:eastAsia="Times New Roman"/>
          <w:szCs w:val="24"/>
        </w:rPr>
        <w:t xml:space="preserve">. The lower estimate in this range is based on the 7 year Bloomberg BBB rate fair value curve over </w:t>
      </w:r>
      <w:r w:rsidR="00E77297" w:rsidRPr="00013C43">
        <w:rPr>
          <w:rFonts w:eastAsia="Times New Roman"/>
          <w:szCs w:val="24"/>
        </w:rPr>
        <w:t xml:space="preserve">the same </w:t>
      </w:r>
      <w:r w:rsidRPr="00013C43">
        <w:rPr>
          <w:rFonts w:eastAsia="Times New Roman"/>
          <w:szCs w:val="24"/>
        </w:rPr>
        <w:t>recent 20 day averaging period, extrapolated to 10 years with paired bonds.</w:t>
      </w:r>
      <w:r w:rsidRPr="00013C43">
        <w:rPr>
          <w:rFonts w:eastAsia="Times New Roman"/>
          <w:szCs w:val="24"/>
          <w:vertAlign w:val="superscript"/>
        </w:rPr>
        <w:footnoteReference w:id="52"/>
      </w:r>
      <w:r w:rsidRPr="00013C43">
        <w:rPr>
          <w:rFonts w:eastAsia="Times New Roman"/>
          <w:szCs w:val="24"/>
          <w:vertAlign w:val="superscript"/>
        </w:rPr>
        <w:t xml:space="preserve"> </w:t>
      </w:r>
      <w:r w:rsidRPr="00013C43">
        <w:rPr>
          <w:rFonts w:eastAsia="Times New Roman"/>
          <w:szCs w:val="24"/>
        </w:rPr>
        <w:t>The upper estimate in the range is based on the R</w:t>
      </w:r>
      <w:r w:rsidR="00013C43">
        <w:rPr>
          <w:rFonts w:eastAsia="Times New Roman"/>
          <w:szCs w:val="24"/>
        </w:rPr>
        <w:t xml:space="preserve">BA’s 10 year </w:t>
      </w:r>
      <w:r w:rsidR="004E6405">
        <w:rPr>
          <w:rFonts w:eastAsia="Times New Roman"/>
          <w:szCs w:val="24"/>
        </w:rPr>
        <w:t>return on debt</w:t>
      </w:r>
      <w:r w:rsidR="00013C43">
        <w:rPr>
          <w:rFonts w:eastAsia="Times New Roman"/>
          <w:szCs w:val="24"/>
        </w:rPr>
        <w:t xml:space="preserve"> yield</w:t>
      </w:r>
      <w:r w:rsidRPr="00013C43">
        <w:rPr>
          <w:rFonts w:eastAsia="Times New Roman"/>
          <w:szCs w:val="24"/>
        </w:rPr>
        <w:t>.</w:t>
      </w:r>
      <w:r w:rsidRPr="00013C43">
        <w:rPr>
          <w:rFonts w:eastAsia="Times New Roman"/>
          <w:szCs w:val="24"/>
          <w:vertAlign w:val="superscript"/>
        </w:rPr>
        <w:footnoteReference w:id="53"/>
      </w:r>
      <w:r w:rsidRPr="00013C43">
        <w:rPr>
          <w:rFonts w:eastAsia="Times New Roman"/>
          <w:szCs w:val="24"/>
        </w:rPr>
        <w:t xml:space="preserve"> We are currently reviewing available data sources to estimate the </w:t>
      </w:r>
      <w:r w:rsidR="004E6405">
        <w:rPr>
          <w:rFonts w:eastAsia="Times New Roman"/>
          <w:szCs w:val="24"/>
        </w:rPr>
        <w:t>return on debt</w:t>
      </w:r>
      <w:r w:rsidRPr="00013C43">
        <w:rPr>
          <w:rFonts w:eastAsia="Times New Roman"/>
          <w:szCs w:val="24"/>
        </w:rPr>
        <w:t xml:space="preserve">. In particular, we will assess their suitability for determining the </w:t>
      </w:r>
      <w:r w:rsidR="004E6405">
        <w:rPr>
          <w:rFonts w:eastAsia="Times New Roman"/>
          <w:szCs w:val="24"/>
        </w:rPr>
        <w:t>return on debt</w:t>
      </w:r>
      <w:r w:rsidRPr="00013C43">
        <w:rPr>
          <w:rFonts w:eastAsia="Times New Roman"/>
          <w:szCs w:val="24"/>
        </w:rPr>
        <w:t xml:space="preserve"> for regulated service providers.</w:t>
      </w:r>
    </w:p>
    <w:p w:rsidR="006B787F" w:rsidRPr="00013C43" w:rsidRDefault="006B787F" w:rsidP="00013C43">
      <w:pPr>
        <w:numPr>
          <w:ilvl w:val="0"/>
          <w:numId w:val="2"/>
        </w:numPr>
        <w:tabs>
          <w:tab w:val="left" w:pos="357"/>
        </w:tabs>
        <w:spacing w:after="200"/>
        <w:ind w:left="357" w:hanging="357"/>
        <w:rPr>
          <w:rFonts w:eastAsia="Times New Roman"/>
          <w:szCs w:val="24"/>
        </w:rPr>
      </w:pPr>
      <w:r w:rsidRPr="00013C43">
        <w:rPr>
          <w:rFonts w:eastAsia="Times New Roman"/>
          <w:szCs w:val="24"/>
        </w:rPr>
        <w:t xml:space="preserve">Combined, this </w:t>
      </w:r>
      <w:r w:rsidR="004E6405">
        <w:rPr>
          <w:rFonts w:eastAsia="Times New Roman"/>
          <w:szCs w:val="24"/>
        </w:rPr>
        <w:t>return on debt</w:t>
      </w:r>
      <w:r w:rsidRPr="00013C43">
        <w:rPr>
          <w:rFonts w:eastAsia="Times New Roman"/>
          <w:szCs w:val="24"/>
        </w:rPr>
        <w:t xml:space="preserve"> and </w:t>
      </w:r>
      <w:r w:rsidR="004E6405">
        <w:rPr>
          <w:rFonts w:eastAsia="Times New Roman"/>
          <w:szCs w:val="24"/>
        </w:rPr>
        <w:t>return on equity</w:t>
      </w:r>
      <w:r w:rsidRPr="00013C43">
        <w:rPr>
          <w:rFonts w:eastAsia="Times New Roman"/>
          <w:szCs w:val="24"/>
        </w:rPr>
        <w:t xml:space="preserve"> produces a WACC range of 7.6 to 8.1</w:t>
      </w:r>
      <w:r w:rsidR="00013C43">
        <w:rPr>
          <w:rFonts w:eastAsia="Times New Roman"/>
          <w:szCs w:val="24"/>
        </w:rPr>
        <w:t xml:space="preserve"> per cent</w:t>
      </w:r>
      <w:r w:rsidRPr="00013C43">
        <w:rPr>
          <w:rFonts w:eastAsia="Times New Roman"/>
          <w:szCs w:val="24"/>
        </w:rPr>
        <w:t>.</w:t>
      </w:r>
    </w:p>
    <w:p w:rsidR="006B787F" w:rsidRPr="006B787F" w:rsidRDefault="006B787F" w:rsidP="006B787F">
      <w:pPr>
        <w:pStyle w:val="AERbodytext"/>
      </w:pPr>
      <w:r w:rsidRPr="006B787F">
        <w:t>In order to minimise the risk of future price variations, we have applied a WACC of 8.1</w:t>
      </w:r>
      <w:r w:rsidR="00013C43">
        <w:t xml:space="preserve"> per cent</w:t>
      </w:r>
      <w:r w:rsidRPr="006B787F">
        <w:t>,</w:t>
      </w:r>
      <w:r w:rsidRPr="006B787F">
        <w:rPr>
          <w:vertAlign w:val="superscript"/>
        </w:rPr>
        <w:footnoteReference w:id="54"/>
      </w:r>
      <w:r w:rsidRPr="006B787F">
        <w:t xml:space="preserve"> which is the top of our indicative range. This estimate process is not a full application of the rate of return guideline, which is not possible in the timeframe of the transitional review. However, it does give priority to sources of evidence and point estimates that we </w:t>
      </w:r>
      <w:r w:rsidR="00AC1A6B">
        <w:t xml:space="preserve">consider are appropriate for this high </w:t>
      </w:r>
      <w:r w:rsidR="00AC1A6B">
        <w:lastRenderedPageBreak/>
        <w:t>level</w:t>
      </w:r>
      <w:r w:rsidRPr="006B787F">
        <w:t xml:space="preserve"> process. While we recognise that the final WACC estimate could be higher or lower than this estimate, we have taken account of current market conditions in preparing this estimate. </w:t>
      </w:r>
    </w:p>
    <w:p w:rsidR="006B787F" w:rsidRPr="006B787F" w:rsidRDefault="006B787F" w:rsidP="006B787F">
      <w:pPr>
        <w:rPr>
          <w:rFonts w:eastAsia="Times New Roman"/>
          <w:szCs w:val="24"/>
        </w:rPr>
      </w:pPr>
      <w:r w:rsidRPr="006B787F">
        <w:rPr>
          <w:rFonts w:eastAsia="Times New Roman"/>
          <w:szCs w:val="24"/>
        </w:rPr>
        <w:t xml:space="preserve">Based on this, our analysis indicates that </w:t>
      </w:r>
      <w:proofErr w:type="spellStart"/>
      <w:r w:rsidRPr="006B787F">
        <w:rPr>
          <w:rFonts w:eastAsia="Times New Roman"/>
          <w:szCs w:val="24"/>
        </w:rPr>
        <w:t>TransGrid’s</w:t>
      </w:r>
      <w:proofErr w:type="spellEnd"/>
      <w:r w:rsidRPr="006B787F">
        <w:rPr>
          <w:rFonts w:eastAsia="Times New Roman"/>
          <w:szCs w:val="24"/>
        </w:rPr>
        <w:t xml:space="preserve"> and </w:t>
      </w:r>
      <w:proofErr w:type="spellStart"/>
      <w:r w:rsidRPr="006B787F">
        <w:rPr>
          <w:rFonts w:eastAsia="Times New Roman"/>
          <w:szCs w:val="24"/>
        </w:rPr>
        <w:t>Transend’s</w:t>
      </w:r>
      <w:proofErr w:type="spellEnd"/>
      <w:r w:rsidRPr="006B787F">
        <w:rPr>
          <w:rFonts w:eastAsia="Times New Roman"/>
          <w:szCs w:val="24"/>
        </w:rPr>
        <w:t xml:space="preserve"> proposed rate of return ranges are overstated. Further, we consider that the proposed ranges do not appropriately take into account the available market information and expected market trends reflected in recent debt market data and in the </w:t>
      </w:r>
      <w:r w:rsidR="004E6405">
        <w:rPr>
          <w:rFonts w:eastAsia="Times New Roman"/>
          <w:szCs w:val="24"/>
        </w:rPr>
        <w:t>return on equity</w:t>
      </w:r>
      <w:r w:rsidRPr="006B787F">
        <w:rPr>
          <w:rFonts w:eastAsia="Times New Roman"/>
          <w:szCs w:val="24"/>
        </w:rPr>
        <w:t xml:space="preserve"> analysis set out in the rate of return guideline. Comparing the upper bound of our range (8.1</w:t>
      </w:r>
      <w:r w:rsidR="00140F20">
        <w:rPr>
          <w:rFonts w:eastAsia="Times New Roman"/>
          <w:szCs w:val="24"/>
        </w:rPr>
        <w:t xml:space="preserve"> per cent</w:t>
      </w:r>
      <w:r w:rsidRPr="006B787F">
        <w:rPr>
          <w:rFonts w:eastAsia="Times New Roman"/>
          <w:szCs w:val="24"/>
        </w:rPr>
        <w:t>) to the point estimates applied by TransGrid and Transend to develop the transitional year revenue requirements (8.90 per cent and 8.43 per</w:t>
      </w:r>
      <w:r w:rsidR="00140F20">
        <w:rPr>
          <w:rFonts w:eastAsia="Times New Roman"/>
          <w:szCs w:val="24"/>
        </w:rPr>
        <w:t xml:space="preserve"> </w:t>
      </w:r>
      <w:r w:rsidRPr="006B787F">
        <w:rPr>
          <w:rFonts w:eastAsia="Times New Roman"/>
          <w:szCs w:val="24"/>
        </w:rPr>
        <w:t xml:space="preserve">cent) suggests the service providers have overstated the rate of return by </w:t>
      </w:r>
      <w:r w:rsidR="003E671C">
        <w:rPr>
          <w:rFonts w:eastAsia="Times New Roman"/>
          <w:szCs w:val="24"/>
        </w:rPr>
        <w:t>approximately</w:t>
      </w:r>
      <w:r w:rsidR="003E671C" w:rsidRPr="006B787F">
        <w:rPr>
          <w:rFonts w:eastAsia="Times New Roman"/>
          <w:szCs w:val="24"/>
        </w:rPr>
        <w:t xml:space="preserve"> </w:t>
      </w:r>
      <w:r w:rsidRPr="006B787F">
        <w:rPr>
          <w:rFonts w:eastAsia="Times New Roman"/>
          <w:szCs w:val="24"/>
        </w:rPr>
        <w:t>80 basis points and 30 basis points</w:t>
      </w:r>
      <w:r w:rsidR="00016E9C">
        <w:rPr>
          <w:rFonts w:eastAsia="Times New Roman"/>
          <w:szCs w:val="24"/>
        </w:rPr>
        <w:t>,</w:t>
      </w:r>
      <w:r w:rsidR="009C6AB3">
        <w:rPr>
          <w:rFonts w:eastAsia="Times New Roman"/>
          <w:szCs w:val="24"/>
        </w:rPr>
        <w:t xml:space="preserve"> respectively</w:t>
      </w:r>
      <w:r w:rsidRPr="006B787F">
        <w:rPr>
          <w:rFonts w:eastAsia="Times New Roman"/>
          <w:szCs w:val="24"/>
        </w:rPr>
        <w:t>.</w:t>
      </w:r>
    </w:p>
    <w:p w:rsidR="00EB649E" w:rsidRDefault="00DA6E48" w:rsidP="00720128">
      <w:pPr>
        <w:pStyle w:val="Heading3"/>
      </w:pPr>
      <w:r>
        <w:t>Opening regulatory asset base</w:t>
      </w:r>
    </w:p>
    <w:p w:rsidR="00B53C42" w:rsidRPr="00C83184" w:rsidRDefault="00B53C42" w:rsidP="00B53C42">
      <w:pPr>
        <w:pStyle w:val="AERbodytext"/>
        <w:rPr>
          <w:b/>
        </w:rPr>
      </w:pPr>
      <w:r w:rsidRPr="00F46D0A">
        <w:fldChar w:fldCharType="begin"/>
      </w:r>
      <w:r w:rsidRPr="00F46D0A">
        <w:instrText xml:space="preserve"> REF _Ref381775054 \h  \* MERGEFORMAT </w:instrText>
      </w:r>
      <w:r w:rsidRPr="00F46D0A">
        <w:fldChar w:fldCharType="separate"/>
      </w:r>
      <w:r w:rsidR="00B40E3D" w:rsidRPr="005644DE">
        <w:t xml:space="preserve">Table </w:t>
      </w:r>
      <w:r w:rsidR="00B40E3D">
        <w:rPr>
          <w:noProof/>
        </w:rPr>
        <w:t>4</w:t>
      </w:r>
      <w:r w:rsidRPr="00F46D0A">
        <w:fldChar w:fldCharType="end"/>
      </w:r>
      <w:r w:rsidR="00140F20" w:rsidRPr="00F46D0A">
        <w:t>.4</w:t>
      </w:r>
      <w:r w:rsidRPr="00F46D0A">
        <w:t xml:space="preserve"> </w:t>
      </w:r>
      <w:r w:rsidRPr="00B7514E">
        <w:t>presents an overview of the</w:t>
      </w:r>
      <w:r w:rsidR="001E1A71">
        <w:t xml:space="preserve"> proposed</w:t>
      </w:r>
      <w:r w:rsidRPr="00B7514E">
        <w:t xml:space="preserve"> </w:t>
      </w:r>
      <w:r w:rsidR="001E1A71">
        <w:t xml:space="preserve">indicative </w:t>
      </w:r>
      <w:r w:rsidRPr="00B7514E">
        <w:t>opening RAB</w:t>
      </w:r>
      <w:r w:rsidR="001E1A71">
        <w:t>s</w:t>
      </w:r>
      <w:r w:rsidRPr="00B7514E">
        <w:t xml:space="preserve"> for TransGrid and Transend as at 1 July 2014. It</w:t>
      </w:r>
      <w:r>
        <w:t xml:space="preserve"> compares the </w:t>
      </w:r>
      <w:r w:rsidR="001E1A71">
        <w:t>projected</w:t>
      </w:r>
      <w:r>
        <w:t xml:space="preserve"> RAB</w:t>
      </w:r>
      <w:r w:rsidR="001E1A71">
        <w:t>s</w:t>
      </w:r>
      <w:r>
        <w:t xml:space="preserve"> from the </w:t>
      </w:r>
      <w:r w:rsidR="001E1A71">
        <w:t>2009</w:t>
      </w:r>
      <w:r>
        <w:t xml:space="preserve"> AER </w:t>
      </w:r>
      <w:r w:rsidR="001E1A71">
        <w:t>transmission</w:t>
      </w:r>
      <w:r>
        <w:t xml:space="preserve"> determination</w:t>
      </w:r>
      <w:r w:rsidR="001E1A71">
        <w:t>s</w:t>
      </w:r>
      <w:r>
        <w:t xml:space="preserve"> against the </w:t>
      </w:r>
      <w:r w:rsidR="001E1A71">
        <w:t xml:space="preserve">proposed opening </w:t>
      </w:r>
      <w:r>
        <w:t xml:space="preserve">RAB </w:t>
      </w:r>
      <w:r w:rsidR="001E1A71">
        <w:t>values</w:t>
      </w:r>
      <w:r>
        <w:t xml:space="preserve"> included in each TRP (reflecting actual cap</w:t>
      </w:r>
      <w:r w:rsidR="001E1A71">
        <w:t>ex</w:t>
      </w:r>
      <w:r>
        <w:t xml:space="preserve"> over the 2009–13 period and estimates for 2013</w:t>
      </w:r>
      <w:r w:rsidR="001E1A71">
        <w:t>–</w:t>
      </w:r>
      <w:r>
        <w:t>14</w:t>
      </w:r>
      <w:r w:rsidR="001E1A71">
        <w:t>, actual depreciation and CPI outcomes</w:t>
      </w:r>
      <w:r>
        <w:t>). T</w:t>
      </w:r>
      <w:r w:rsidRPr="00B7514E">
        <w:t>he proposed opening RAB</w:t>
      </w:r>
      <w:r w:rsidR="001E1A71">
        <w:t>s</w:t>
      </w:r>
      <w:r w:rsidRPr="00B7514E">
        <w:t xml:space="preserve"> at the start of the transitional regulatory control period </w:t>
      </w:r>
      <w:r>
        <w:t>for TransGrid and Transend are 6.8</w:t>
      </w:r>
      <w:r w:rsidR="001E1A71">
        <w:t xml:space="preserve"> per cent</w:t>
      </w:r>
      <w:r>
        <w:t xml:space="preserve"> and 4.8</w:t>
      </w:r>
      <w:r w:rsidR="001E1A71">
        <w:t xml:space="preserve"> per cent</w:t>
      </w:r>
      <w:r>
        <w:t xml:space="preserve"> below</w:t>
      </w:r>
      <w:r w:rsidRPr="00B7514E">
        <w:t xml:space="preserve"> the </w:t>
      </w:r>
      <w:r w:rsidR="001E1A71">
        <w:t>projected values</w:t>
      </w:r>
      <w:r w:rsidR="004B3297">
        <w:t>,</w:t>
      </w:r>
      <w:r>
        <w:t xml:space="preserve"> respectively</w:t>
      </w:r>
      <w:r w:rsidRPr="00B7514E">
        <w:t xml:space="preserve">. The primary reason for the lower RABs is that </w:t>
      </w:r>
      <w:r w:rsidR="001E1A71">
        <w:t xml:space="preserve">actual </w:t>
      </w:r>
      <w:r w:rsidRPr="00B7514E">
        <w:t>cap</w:t>
      </w:r>
      <w:r w:rsidR="001E1A71">
        <w:t>ex</w:t>
      </w:r>
      <w:r w:rsidRPr="00B7514E">
        <w:t xml:space="preserve"> </w:t>
      </w:r>
      <w:r>
        <w:t xml:space="preserve">over the </w:t>
      </w:r>
      <w:r w:rsidR="00581457">
        <w:t>current</w:t>
      </w:r>
      <w:r>
        <w:t xml:space="preserve"> regulatory control period </w:t>
      </w:r>
      <w:r w:rsidRPr="00B7514E">
        <w:t>was lower than forecast.</w:t>
      </w:r>
    </w:p>
    <w:p w:rsidR="00EF46F9" w:rsidRPr="00EF46F9" w:rsidRDefault="00EF46F9" w:rsidP="00EF46F9">
      <w:pPr>
        <w:pStyle w:val="AERbodytext"/>
        <w:numPr>
          <w:ilvl w:val="0"/>
          <w:numId w:val="0"/>
        </w:numPr>
        <w:rPr>
          <w:b/>
        </w:rPr>
      </w:pPr>
      <w:r>
        <w:t xml:space="preserve">We have undertaken a high level review of the proposed inputs in the AER's roll forward model (RFM) used to determine the opening RAB and found that they generally conform to our expectations. For the </w:t>
      </w:r>
      <w:r w:rsidR="00055D07">
        <w:t xml:space="preserve">limited </w:t>
      </w:r>
      <w:r>
        <w:t>purposes of this transitional determination, we have adopted the TNSPs’ proposed opening RABs for assessing the transitional revenue estimate. Nonetheless,</w:t>
      </w:r>
      <w:r w:rsidRPr="00B53E86">
        <w:t xml:space="preserve"> </w:t>
      </w:r>
      <w:r>
        <w:t xml:space="preserve">we will </w:t>
      </w:r>
      <w:r w:rsidRPr="00B53E86">
        <w:t xml:space="preserve">have to </w:t>
      </w:r>
      <w:r w:rsidR="00055D07">
        <w:t>review</w:t>
      </w:r>
      <w:r w:rsidR="00055D07" w:rsidRPr="00B53E86">
        <w:t xml:space="preserve"> </w:t>
      </w:r>
      <w:r>
        <w:t>these opening RABs</w:t>
      </w:r>
      <w:r w:rsidRPr="00B53E86">
        <w:t xml:space="preserve"> for the </w:t>
      </w:r>
      <w:r>
        <w:t>full determination process.</w:t>
      </w:r>
    </w:p>
    <w:p w:rsidR="00B53C42" w:rsidRPr="005644DE" w:rsidRDefault="00B53C42" w:rsidP="00720128">
      <w:pPr>
        <w:pStyle w:val="Caption"/>
      </w:pPr>
      <w:bookmarkStart w:id="55" w:name="_Ref381775054"/>
      <w:r w:rsidRPr="005644DE">
        <w:t xml:space="preserve">Table </w:t>
      </w:r>
      <w:fldSimple w:instr=" SEQ Table \* ARABIC ">
        <w:r w:rsidR="00B40E3D">
          <w:rPr>
            <w:noProof/>
          </w:rPr>
          <w:t>4</w:t>
        </w:r>
      </w:fldSimple>
      <w:bookmarkEnd w:id="55"/>
      <w:r w:rsidR="00140F20">
        <w:rPr>
          <w:noProof/>
        </w:rPr>
        <w:t>.4</w:t>
      </w:r>
      <w:r w:rsidRPr="005644DE">
        <w:t xml:space="preserve"> </w:t>
      </w:r>
      <w:r w:rsidR="00140F20">
        <w:tab/>
      </w:r>
      <w:r w:rsidR="00E26E3A">
        <w:t>Proposed o</w:t>
      </w:r>
      <w:r w:rsidRPr="005644DE">
        <w:t xml:space="preserve">pening RAB as at 1 July 2014 </w:t>
      </w:r>
      <w:r w:rsidR="00E26E3A">
        <w:t>in</w:t>
      </w:r>
      <w:r w:rsidRPr="005644DE">
        <w:t xml:space="preserve"> comparison </w:t>
      </w:r>
      <w:r w:rsidR="00E26E3A">
        <w:t>with</w:t>
      </w:r>
      <w:r w:rsidRPr="005644DE">
        <w:t xml:space="preserve"> </w:t>
      </w:r>
      <w:r w:rsidR="00E26E3A">
        <w:t>projection</w:t>
      </w:r>
      <w:r w:rsidRPr="005644DE">
        <w:t xml:space="preserve"> ($m, nominal)</w:t>
      </w:r>
    </w:p>
    <w:tbl>
      <w:tblPr>
        <w:tblStyle w:val="AERtable-numbers"/>
        <w:tblW w:w="9171" w:type="dxa"/>
        <w:tblLayout w:type="fixed"/>
        <w:tblLook w:val="04A0" w:firstRow="1" w:lastRow="0" w:firstColumn="1" w:lastColumn="0" w:noHBand="0" w:noVBand="1"/>
      </w:tblPr>
      <w:tblGrid>
        <w:gridCol w:w="2157"/>
        <w:gridCol w:w="802"/>
        <w:gridCol w:w="2070"/>
        <w:gridCol w:w="2071"/>
        <w:gridCol w:w="2071"/>
      </w:tblGrid>
      <w:tr w:rsidR="0095270F" w:rsidTr="00876B3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157" w:type="dxa"/>
            <w:noWrap/>
            <w:hideMark/>
          </w:tcPr>
          <w:p w:rsidR="0095270F" w:rsidRDefault="0095270F" w:rsidP="0095270F">
            <w:pPr>
              <w:jc w:val="right"/>
              <w:rPr>
                <w:rFonts w:eastAsia="MS PGothic" w:hint="eastAsia"/>
                <w:b w:val="0"/>
                <w:bCs/>
                <w:color w:val="000000"/>
                <w:lang w:eastAsia="en-AU"/>
              </w:rPr>
            </w:pPr>
            <w:r>
              <w:rPr>
                <w:bCs/>
                <w:color w:val="000000"/>
                <w:lang w:eastAsia="en-AU"/>
              </w:rPr>
              <w:t> </w:t>
            </w:r>
          </w:p>
        </w:tc>
        <w:tc>
          <w:tcPr>
            <w:tcW w:w="802" w:type="dxa"/>
            <w:noWrap/>
            <w:hideMark/>
          </w:tcPr>
          <w:p w:rsidR="0095270F" w:rsidRDefault="0095270F" w:rsidP="0095270F">
            <w:pPr>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color w:val="000000"/>
                <w:lang w:eastAsia="en-AU"/>
              </w:rPr>
            </w:pPr>
            <w:r>
              <w:rPr>
                <w:bCs/>
                <w:color w:val="000000"/>
                <w:lang w:eastAsia="en-AU"/>
              </w:rPr>
              <w:t> </w:t>
            </w:r>
          </w:p>
        </w:tc>
        <w:tc>
          <w:tcPr>
            <w:tcW w:w="2070" w:type="dxa"/>
            <w:noWrap/>
            <w:hideMark/>
          </w:tcPr>
          <w:p w:rsidR="0095270F" w:rsidRDefault="0095270F" w:rsidP="0095270F">
            <w:pPr>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Projection</w:t>
            </w:r>
          </w:p>
        </w:tc>
        <w:tc>
          <w:tcPr>
            <w:tcW w:w="2071" w:type="dxa"/>
            <w:noWrap/>
            <w:hideMark/>
          </w:tcPr>
          <w:p w:rsidR="0095270F" w:rsidRDefault="0095270F" w:rsidP="0095270F">
            <w:pPr>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Actual</w:t>
            </w:r>
          </w:p>
        </w:tc>
        <w:tc>
          <w:tcPr>
            <w:tcW w:w="2071" w:type="dxa"/>
            <w:noWrap/>
            <w:hideMark/>
          </w:tcPr>
          <w:p w:rsidR="0095270F" w:rsidRDefault="0095270F" w:rsidP="0095270F">
            <w:pPr>
              <w:jc w:val="right"/>
              <w:cnfStyle w:val="100000000000" w:firstRow="1" w:lastRow="0" w:firstColumn="0" w:lastColumn="0" w:oddVBand="0" w:evenVBand="0" w:oddHBand="0" w:evenHBand="0" w:firstRowFirstColumn="0" w:firstRowLastColumn="0" w:lastRowFirstColumn="0" w:lastRowLastColumn="0"/>
              <w:rPr>
                <w:rFonts w:eastAsia="MS PGothic" w:hint="eastAsia"/>
                <w:b w:val="0"/>
                <w:bCs/>
                <w:lang w:eastAsia="en-AU"/>
              </w:rPr>
            </w:pPr>
            <w:r>
              <w:rPr>
                <w:bCs/>
                <w:lang w:eastAsia="en-AU"/>
              </w:rPr>
              <w:t>Difference (%)</w:t>
            </w:r>
          </w:p>
        </w:tc>
      </w:tr>
      <w:tr w:rsidR="0095270F" w:rsidTr="00876B36">
        <w:trPr>
          <w:trHeight w:val="216"/>
        </w:trPr>
        <w:tc>
          <w:tcPr>
            <w:cnfStyle w:val="001000000000" w:firstRow="0" w:lastRow="0" w:firstColumn="1" w:lastColumn="0" w:oddVBand="0" w:evenVBand="0" w:oddHBand="0" w:evenHBand="0" w:firstRowFirstColumn="0" w:firstRowLastColumn="0" w:lastRowFirstColumn="0" w:lastRowLastColumn="0"/>
            <w:tcW w:w="2959" w:type="dxa"/>
            <w:gridSpan w:val="2"/>
            <w:noWrap/>
            <w:hideMark/>
          </w:tcPr>
          <w:p w:rsidR="0095270F" w:rsidRDefault="0095270F" w:rsidP="0095270F">
            <w:pPr>
              <w:rPr>
                <w:rFonts w:eastAsia="MS PGothic" w:hint="eastAsia"/>
                <w:color w:val="000000"/>
                <w:lang w:eastAsia="en-AU"/>
              </w:rPr>
            </w:pPr>
            <w:r>
              <w:rPr>
                <w:color w:val="000000"/>
                <w:lang w:eastAsia="en-AU"/>
              </w:rPr>
              <w:t>TransGrid</w:t>
            </w:r>
          </w:p>
        </w:tc>
        <w:tc>
          <w:tcPr>
            <w:tcW w:w="2070" w:type="dxa"/>
            <w:noWrap/>
            <w:hideMark/>
          </w:tcPr>
          <w:p w:rsidR="0095270F" w:rsidRDefault="00A14EE0" w:rsidP="0095270F">
            <w:pPr>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color w:val="000000"/>
                <w:lang w:eastAsia="en-AU"/>
              </w:rPr>
              <w:t>6549</w:t>
            </w:r>
          </w:p>
        </w:tc>
        <w:tc>
          <w:tcPr>
            <w:tcW w:w="2071" w:type="dxa"/>
            <w:noWrap/>
            <w:hideMark/>
          </w:tcPr>
          <w:p w:rsidR="0095270F" w:rsidRDefault="00A14EE0" w:rsidP="0095270F">
            <w:pPr>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color w:val="000000"/>
                <w:lang w:eastAsia="en-AU"/>
              </w:rPr>
              <w:t>6104</w:t>
            </w:r>
          </w:p>
        </w:tc>
        <w:tc>
          <w:tcPr>
            <w:tcW w:w="2071" w:type="dxa"/>
            <w:noWrap/>
            <w:hideMark/>
          </w:tcPr>
          <w:p w:rsidR="0095270F" w:rsidRDefault="0095270F" w:rsidP="00A14EE0">
            <w:pPr>
              <w:jc w:val="right"/>
              <w:cnfStyle w:val="000000000000" w:firstRow="0" w:lastRow="0" w:firstColumn="0" w:lastColumn="0" w:oddVBand="0" w:evenVBand="0" w:oddHBand="0" w:evenHBand="0" w:firstRowFirstColumn="0" w:firstRowLastColumn="0" w:lastRowFirstColumn="0" w:lastRowLastColumn="0"/>
              <w:rPr>
                <w:rFonts w:eastAsia="MS PGothic" w:hint="eastAsia"/>
                <w:color w:val="000000"/>
                <w:lang w:eastAsia="en-AU"/>
              </w:rPr>
            </w:pPr>
            <w:r>
              <w:rPr>
                <w:color w:val="000000"/>
                <w:lang w:eastAsia="en-AU"/>
              </w:rPr>
              <w:t>–</w:t>
            </w:r>
            <w:r w:rsidR="00A14EE0">
              <w:rPr>
                <w:color w:val="000000"/>
                <w:lang w:eastAsia="en-AU"/>
              </w:rPr>
              <w:t>6.8</w:t>
            </w:r>
            <w:r>
              <w:rPr>
                <w:color w:val="000000"/>
                <w:lang w:eastAsia="en-AU"/>
              </w:rPr>
              <w:t>%</w:t>
            </w:r>
          </w:p>
        </w:tc>
      </w:tr>
      <w:tr w:rsidR="0095270F" w:rsidTr="00876B36">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959" w:type="dxa"/>
            <w:gridSpan w:val="2"/>
            <w:noWrap/>
            <w:hideMark/>
          </w:tcPr>
          <w:p w:rsidR="0095270F" w:rsidRDefault="0095270F" w:rsidP="0095270F">
            <w:pPr>
              <w:rPr>
                <w:rFonts w:eastAsia="MS PGothic" w:hint="eastAsia"/>
                <w:color w:val="000000"/>
                <w:lang w:eastAsia="en-AU"/>
              </w:rPr>
            </w:pPr>
            <w:r>
              <w:rPr>
                <w:color w:val="000000"/>
                <w:lang w:eastAsia="en-AU"/>
              </w:rPr>
              <w:t>Transend</w:t>
            </w:r>
          </w:p>
        </w:tc>
        <w:tc>
          <w:tcPr>
            <w:tcW w:w="2070" w:type="dxa"/>
            <w:noWrap/>
            <w:hideMark/>
          </w:tcPr>
          <w:p w:rsidR="0095270F" w:rsidRDefault="00A14EE0" w:rsidP="0095270F">
            <w:pPr>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rFonts w:eastAsia="MS PGothic"/>
                <w:color w:val="000000"/>
                <w:lang w:eastAsia="en-AU"/>
              </w:rPr>
              <w:t>1489</w:t>
            </w:r>
          </w:p>
        </w:tc>
        <w:tc>
          <w:tcPr>
            <w:tcW w:w="2071" w:type="dxa"/>
            <w:noWrap/>
            <w:hideMark/>
          </w:tcPr>
          <w:p w:rsidR="0095270F" w:rsidRDefault="00A14EE0" w:rsidP="0095270F">
            <w:pPr>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1417</w:t>
            </w:r>
          </w:p>
        </w:tc>
        <w:tc>
          <w:tcPr>
            <w:tcW w:w="2071" w:type="dxa"/>
            <w:noWrap/>
            <w:hideMark/>
          </w:tcPr>
          <w:p w:rsidR="0095270F" w:rsidRDefault="00A14EE0" w:rsidP="0095270F">
            <w:pPr>
              <w:jc w:val="right"/>
              <w:cnfStyle w:val="000000010000" w:firstRow="0" w:lastRow="0" w:firstColumn="0" w:lastColumn="0" w:oddVBand="0" w:evenVBand="0" w:oddHBand="0" w:evenHBand="1" w:firstRowFirstColumn="0" w:firstRowLastColumn="0" w:lastRowFirstColumn="0" w:lastRowLastColumn="0"/>
              <w:rPr>
                <w:rFonts w:eastAsia="MS PGothic" w:hint="eastAsia"/>
                <w:color w:val="000000"/>
                <w:lang w:eastAsia="en-AU"/>
              </w:rPr>
            </w:pPr>
            <w:r>
              <w:rPr>
                <w:color w:val="000000"/>
                <w:lang w:eastAsia="en-AU"/>
              </w:rPr>
              <w:t>–4.8</w:t>
            </w:r>
            <w:r w:rsidR="0095270F">
              <w:rPr>
                <w:color w:val="000000"/>
                <w:lang w:eastAsia="en-AU"/>
              </w:rPr>
              <w:t>%</w:t>
            </w:r>
          </w:p>
        </w:tc>
      </w:tr>
    </w:tbl>
    <w:p w:rsidR="007436A4" w:rsidRPr="00ED6FA3" w:rsidRDefault="007436A4" w:rsidP="00720128">
      <w:pPr>
        <w:pStyle w:val="AERtablesource"/>
      </w:pPr>
      <w:bookmarkStart w:id="56" w:name="_Ref379554812"/>
      <w:r w:rsidRPr="00720128">
        <w:t>Source: TransGrid TRP, Transend TRP and AER analysis.</w:t>
      </w:r>
    </w:p>
    <w:p w:rsidR="00B53C42" w:rsidRPr="00B7514E" w:rsidRDefault="00B53C42" w:rsidP="00B53C42">
      <w:pPr>
        <w:pStyle w:val="AERbodytext"/>
      </w:pPr>
      <w:r w:rsidRPr="00F46D0A">
        <w:fldChar w:fldCharType="begin"/>
      </w:r>
      <w:r w:rsidRPr="00F46D0A">
        <w:instrText xml:space="preserve"> REF _Ref381775066 \h  \* MERGEFORMAT </w:instrText>
      </w:r>
      <w:r w:rsidRPr="00F46D0A">
        <w:fldChar w:fldCharType="separate"/>
      </w:r>
      <w:r w:rsidR="00B40E3D" w:rsidRPr="005644DE">
        <w:t xml:space="preserve">Figure </w:t>
      </w:r>
      <w:r w:rsidR="00B40E3D">
        <w:t>4</w:t>
      </w:r>
      <w:r w:rsidRPr="00F46D0A">
        <w:fldChar w:fldCharType="end"/>
      </w:r>
      <w:r w:rsidR="00140F20" w:rsidRPr="00F46D0A">
        <w:t>.4</w:t>
      </w:r>
      <w:r w:rsidRPr="00F46D0A">
        <w:t xml:space="preserve"> </w:t>
      </w:r>
      <w:r w:rsidRPr="00B7514E">
        <w:t xml:space="preserve">shows the growth in </w:t>
      </w:r>
      <w:proofErr w:type="spellStart"/>
      <w:r w:rsidRPr="00B7514E">
        <w:t>TransGrid’s</w:t>
      </w:r>
      <w:proofErr w:type="spellEnd"/>
      <w:r w:rsidRPr="00B7514E">
        <w:t xml:space="preserve"> RAB from 2009 to 2019. At the commencement of the </w:t>
      </w:r>
      <w:r w:rsidR="00581457">
        <w:t>current</w:t>
      </w:r>
      <w:r w:rsidRPr="00B7514E">
        <w:t xml:space="preserve"> regulatory control period, </w:t>
      </w:r>
      <w:proofErr w:type="spellStart"/>
      <w:r w:rsidRPr="00B7514E">
        <w:t>TranGrid’s</w:t>
      </w:r>
      <w:proofErr w:type="spellEnd"/>
      <w:r w:rsidRPr="00B7514E">
        <w:t xml:space="preserve"> opening RAB was $4,218 million</w:t>
      </w:r>
      <w:r>
        <w:t xml:space="preserve"> (nominal)</w:t>
      </w:r>
      <w:r w:rsidRPr="00B7514E">
        <w:t>. Based on the TRP, the opening RAB as at 1 July 2014 is $6,104 million</w:t>
      </w:r>
      <w:r>
        <w:t xml:space="preserve"> (nominal). This compares to a</w:t>
      </w:r>
      <w:r w:rsidR="00E26E3A">
        <w:t xml:space="preserve"> </w:t>
      </w:r>
      <w:r>
        <w:t>RAB at 1</w:t>
      </w:r>
      <w:r w:rsidR="00C415B8">
        <w:t> </w:t>
      </w:r>
      <w:r>
        <w:t>July 2014 of $6,549 million (nominal)</w:t>
      </w:r>
      <w:r w:rsidR="00E26E3A">
        <w:t>, as projected in the 2009 transmission determination</w:t>
      </w:r>
      <w:r>
        <w:t>.</w:t>
      </w:r>
      <w:r w:rsidRPr="00B7514E">
        <w:t xml:space="preserve"> </w:t>
      </w:r>
      <w:r>
        <w:t>T</w:t>
      </w:r>
      <w:r w:rsidRPr="00B7514E">
        <w:t xml:space="preserve">he closing RAB </w:t>
      </w:r>
      <w:r w:rsidR="00E26E3A">
        <w:t>at</w:t>
      </w:r>
      <w:r w:rsidRPr="00B7514E">
        <w:t xml:space="preserve"> 30 June 2019 is pro</w:t>
      </w:r>
      <w:r w:rsidR="00FC3F30">
        <w:t>posed</w:t>
      </w:r>
      <w:r w:rsidRPr="00B7514E">
        <w:t xml:space="preserve"> to be $7,604 million</w:t>
      </w:r>
      <w:r w:rsidR="00E26E3A">
        <w:t xml:space="preserve"> (nominal)</w:t>
      </w:r>
      <w:r>
        <w:t>, representing an average annual growth rate of 4.5</w:t>
      </w:r>
      <w:r w:rsidR="00E26E3A">
        <w:t xml:space="preserve"> per cent</w:t>
      </w:r>
      <w:r w:rsidRPr="00B7514E">
        <w:t>.</w:t>
      </w:r>
      <w:r w:rsidR="00AA3970" w:rsidRPr="00AA3970">
        <w:t xml:space="preserve"> </w:t>
      </w:r>
      <w:r w:rsidR="00AA3970">
        <w:t xml:space="preserve">This closing RAB is largely driven by the proposed forecast capex as discussed </w:t>
      </w:r>
      <w:r w:rsidR="00A05319">
        <w:t>below</w:t>
      </w:r>
      <w:r w:rsidR="00AA3970">
        <w:t>.</w:t>
      </w:r>
    </w:p>
    <w:p w:rsidR="00B53C42" w:rsidRPr="005644DE" w:rsidRDefault="00B53C42" w:rsidP="00720128">
      <w:pPr>
        <w:pStyle w:val="Caption"/>
      </w:pPr>
      <w:bookmarkStart w:id="57" w:name="_Ref381775066"/>
      <w:r w:rsidRPr="005644DE">
        <w:lastRenderedPageBreak/>
        <w:t xml:space="preserve">Figure </w:t>
      </w:r>
      <w:fldSimple w:instr=" SEQ Figure \* ARABIC ">
        <w:r w:rsidR="00B40E3D">
          <w:rPr>
            <w:noProof/>
          </w:rPr>
          <w:t>4</w:t>
        </w:r>
      </w:fldSimple>
      <w:bookmarkEnd w:id="56"/>
      <w:bookmarkEnd w:id="57"/>
      <w:r w:rsidR="00140F20">
        <w:rPr>
          <w:noProof/>
        </w:rPr>
        <w:t>.4</w:t>
      </w:r>
      <w:r w:rsidRPr="005644DE">
        <w:t xml:space="preserve"> </w:t>
      </w:r>
      <w:r w:rsidR="00140F20">
        <w:tab/>
      </w:r>
      <w:proofErr w:type="spellStart"/>
      <w:r>
        <w:t>TransGrid</w:t>
      </w:r>
      <w:r w:rsidRPr="005644DE">
        <w:t>’s</w:t>
      </w:r>
      <w:proofErr w:type="spellEnd"/>
      <w:r w:rsidRPr="005644DE">
        <w:t xml:space="preserve"> </w:t>
      </w:r>
      <w:r w:rsidR="002220F0">
        <w:t xml:space="preserve">opening </w:t>
      </w:r>
      <w:r w:rsidRPr="005644DE">
        <w:t>RAB from 2009–19 ($m, nominal)</w:t>
      </w:r>
    </w:p>
    <w:p w:rsidR="00B53C42" w:rsidRDefault="00C415B8" w:rsidP="00720128">
      <w:pPr>
        <w:spacing w:after="0"/>
      </w:pPr>
      <w:r>
        <w:rPr>
          <w:noProof/>
          <w:lang w:eastAsia="en-AU"/>
        </w:rPr>
        <w:drawing>
          <wp:inline distT="0" distB="0" distL="0" distR="0" wp14:anchorId="48D8FFC4" wp14:editId="47D8E436">
            <wp:extent cx="5121275" cy="3060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1275" cy="3060700"/>
                    </a:xfrm>
                    <a:prstGeom prst="rect">
                      <a:avLst/>
                    </a:prstGeom>
                    <a:noFill/>
                  </pic:spPr>
                </pic:pic>
              </a:graphicData>
            </a:graphic>
          </wp:inline>
        </w:drawing>
      </w:r>
    </w:p>
    <w:p w:rsidR="00E26E3A" w:rsidRPr="00ED6FA3" w:rsidRDefault="00E26E3A" w:rsidP="00720128">
      <w:pPr>
        <w:pStyle w:val="AERtablesource"/>
      </w:pPr>
      <w:r w:rsidRPr="00ED6FA3">
        <w:t>Source:</w:t>
      </w:r>
      <w:r w:rsidRPr="00ED6FA3">
        <w:tab/>
      </w:r>
      <w:r w:rsidR="007436A4" w:rsidRPr="007436A4">
        <w:t>TransGrid TRP and AER analysis.</w:t>
      </w:r>
    </w:p>
    <w:p w:rsidR="00B53C42" w:rsidRPr="00B7514E" w:rsidRDefault="00B53C42" w:rsidP="00B53C42">
      <w:pPr>
        <w:pStyle w:val="AERbodytext"/>
      </w:pPr>
      <w:r w:rsidRPr="00F46D0A">
        <w:fldChar w:fldCharType="begin"/>
      </w:r>
      <w:r w:rsidRPr="00F46D0A">
        <w:instrText xml:space="preserve"> REF _Ref381775342 \h  \* MERGEFORMAT </w:instrText>
      </w:r>
      <w:r w:rsidRPr="00F46D0A">
        <w:fldChar w:fldCharType="separate"/>
      </w:r>
      <w:r w:rsidR="00B40E3D" w:rsidRPr="005644DE">
        <w:t xml:space="preserve">Figure </w:t>
      </w:r>
      <w:r w:rsidR="00B40E3D">
        <w:t>4.5</w:t>
      </w:r>
      <w:r w:rsidRPr="00F46D0A">
        <w:fldChar w:fldCharType="end"/>
      </w:r>
      <w:r w:rsidRPr="00917940">
        <w:t xml:space="preserve"> shows the growth in </w:t>
      </w:r>
      <w:proofErr w:type="spellStart"/>
      <w:r w:rsidRPr="00917940">
        <w:t>Trans</w:t>
      </w:r>
      <w:r>
        <w:t>end</w:t>
      </w:r>
      <w:r w:rsidRPr="00917940">
        <w:t>’s</w:t>
      </w:r>
      <w:proofErr w:type="spellEnd"/>
      <w:r w:rsidRPr="00917940">
        <w:t xml:space="preserve"> RAB from 2009 to 2019. At the commencement of the</w:t>
      </w:r>
      <w:r w:rsidRPr="00B7514E">
        <w:t xml:space="preserve"> </w:t>
      </w:r>
      <w:r w:rsidR="00581457">
        <w:t>current</w:t>
      </w:r>
      <w:r w:rsidRPr="00B7514E">
        <w:t xml:space="preserve"> </w:t>
      </w:r>
      <w:r>
        <w:t xml:space="preserve">regulatory control period, </w:t>
      </w:r>
      <w:proofErr w:type="spellStart"/>
      <w:r>
        <w:t>Transend</w:t>
      </w:r>
      <w:r w:rsidRPr="00B7514E">
        <w:t>’s</w:t>
      </w:r>
      <w:proofErr w:type="spellEnd"/>
      <w:r w:rsidRPr="00B7514E">
        <w:t xml:space="preserve"> opening RAB was $</w:t>
      </w:r>
      <w:r>
        <w:t>951</w:t>
      </w:r>
      <w:r w:rsidRPr="00B7514E">
        <w:t xml:space="preserve"> million</w:t>
      </w:r>
      <w:r>
        <w:t xml:space="preserve"> (nominal)</w:t>
      </w:r>
      <w:r w:rsidRPr="00B7514E">
        <w:t>. Based on the TRP, the opening RAB as at 1 July 2014 is $</w:t>
      </w:r>
      <w:r>
        <w:t>1,417</w:t>
      </w:r>
      <w:r w:rsidRPr="00B7514E">
        <w:t xml:space="preserve"> million</w:t>
      </w:r>
      <w:r>
        <w:t xml:space="preserve"> (nominal). This compares to a RAB at 1 July 2014 of $1,489 million (nominal)</w:t>
      </w:r>
      <w:r w:rsidR="00E26E3A">
        <w:t>, as projected in the 2009 determination</w:t>
      </w:r>
      <w:r>
        <w:t>.</w:t>
      </w:r>
      <w:r w:rsidRPr="00B7514E">
        <w:t xml:space="preserve"> </w:t>
      </w:r>
      <w:r>
        <w:t>T</w:t>
      </w:r>
      <w:r w:rsidRPr="00B7514E">
        <w:t xml:space="preserve">he closing RAB </w:t>
      </w:r>
      <w:r w:rsidR="00E26E3A">
        <w:t>at</w:t>
      </w:r>
      <w:r w:rsidRPr="00B7514E">
        <w:t xml:space="preserve"> 30 June 2019 is pro</w:t>
      </w:r>
      <w:r w:rsidR="00FC3F30">
        <w:t>posed</w:t>
      </w:r>
      <w:r w:rsidRPr="00B7514E">
        <w:t xml:space="preserve"> to be $</w:t>
      </w:r>
      <w:r>
        <w:t>1,599</w:t>
      </w:r>
      <w:r w:rsidRPr="00B7514E">
        <w:t xml:space="preserve"> million</w:t>
      </w:r>
      <w:r w:rsidR="00E26E3A">
        <w:t xml:space="preserve"> (nominal)</w:t>
      </w:r>
      <w:r>
        <w:t>, representing an average annual growth rate of 2.4</w:t>
      </w:r>
      <w:r w:rsidR="00E26E3A">
        <w:t xml:space="preserve"> per cent</w:t>
      </w:r>
      <w:r w:rsidRPr="00B7514E">
        <w:t>.</w:t>
      </w:r>
      <w:r w:rsidR="00BA7DA8">
        <w:t xml:space="preserve"> </w:t>
      </w:r>
    </w:p>
    <w:p w:rsidR="00B53C42" w:rsidRPr="005644DE" w:rsidRDefault="00B53C42" w:rsidP="00720128">
      <w:pPr>
        <w:pStyle w:val="Caption"/>
      </w:pPr>
      <w:bookmarkStart w:id="58" w:name="_Ref381775342"/>
      <w:proofErr w:type="gramStart"/>
      <w:r w:rsidRPr="005644DE">
        <w:t xml:space="preserve">Figure </w:t>
      </w:r>
      <w:r w:rsidR="00140F20">
        <w:t>4.</w:t>
      </w:r>
      <w:proofErr w:type="gramEnd"/>
      <w:r w:rsidR="007827B4">
        <w:fldChar w:fldCharType="begin"/>
      </w:r>
      <w:r w:rsidR="007827B4">
        <w:instrText xml:space="preserve"> SEQ Figure \* ARABIC </w:instrText>
      </w:r>
      <w:r w:rsidR="007827B4">
        <w:fldChar w:fldCharType="separate"/>
      </w:r>
      <w:r w:rsidR="00B40E3D">
        <w:rPr>
          <w:noProof/>
        </w:rPr>
        <w:t>5</w:t>
      </w:r>
      <w:r w:rsidR="007827B4">
        <w:rPr>
          <w:noProof/>
        </w:rPr>
        <w:fldChar w:fldCharType="end"/>
      </w:r>
      <w:bookmarkEnd w:id="58"/>
      <w:r w:rsidRPr="005644DE">
        <w:t xml:space="preserve"> </w:t>
      </w:r>
      <w:r w:rsidR="00140F20">
        <w:tab/>
      </w:r>
      <w:proofErr w:type="spellStart"/>
      <w:r>
        <w:t>Transend</w:t>
      </w:r>
      <w:r w:rsidRPr="005644DE">
        <w:t>’s</w:t>
      </w:r>
      <w:proofErr w:type="spellEnd"/>
      <w:r w:rsidRPr="005644DE">
        <w:t xml:space="preserve"> </w:t>
      </w:r>
      <w:r w:rsidR="002220F0">
        <w:t xml:space="preserve">opening </w:t>
      </w:r>
      <w:r w:rsidRPr="005644DE">
        <w:t>RAB from 2009–19 ($m, nominal)</w:t>
      </w:r>
    </w:p>
    <w:p w:rsidR="00B53C42" w:rsidRDefault="00C415B8" w:rsidP="00720128">
      <w:pPr>
        <w:spacing w:after="0"/>
      </w:pPr>
      <w:r>
        <w:rPr>
          <w:noProof/>
          <w:lang w:eastAsia="en-AU"/>
        </w:rPr>
        <w:drawing>
          <wp:inline distT="0" distB="0" distL="0" distR="0" wp14:anchorId="5863A186" wp14:editId="01386501">
            <wp:extent cx="5121275" cy="3060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1275" cy="3060700"/>
                    </a:xfrm>
                    <a:prstGeom prst="rect">
                      <a:avLst/>
                    </a:prstGeom>
                    <a:noFill/>
                  </pic:spPr>
                </pic:pic>
              </a:graphicData>
            </a:graphic>
          </wp:inline>
        </w:drawing>
      </w:r>
    </w:p>
    <w:p w:rsidR="007436A4" w:rsidRPr="00257D3E" w:rsidRDefault="007436A4" w:rsidP="007436A4">
      <w:pPr>
        <w:pStyle w:val="AERtablesource"/>
      </w:pPr>
      <w:r w:rsidRPr="00257D3E">
        <w:t>Source:</w:t>
      </w:r>
      <w:r w:rsidRPr="00257D3E">
        <w:tab/>
      </w:r>
      <w:r w:rsidRPr="007436A4">
        <w:t>Transend TRP and AER analysis.</w:t>
      </w:r>
    </w:p>
    <w:p w:rsidR="00EB649E" w:rsidRDefault="00150A88" w:rsidP="007B4470">
      <w:pPr>
        <w:pStyle w:val="Heading3"/>
      </w:pPr>
      <w:r>
        <w:lastRenderedPageBreak/>
        <w:t xml:space="preserve">Operating and capital </w:t>
      </w:r>
      <w:r w:rsidR="00140F20">
        <w:t>e</w:t>
      </w:r>
      <w:r>
        <w:t>xpenditure</w:t>
      </w:r>
    </w:p>
    <w:p w:rsidR="00636D39" w:rsidRDefault="00636D39" w:rsidP="00EE4A98">
      <w:pPr>
        <w:pStyle w:val="AERbulletlistfirststyle"/>
        <w:rPr>
          <w:rFonts w:ascii="Arial" w:hAnsi="Arial" w:cs="Arial"/>
        </w:rPr>
      </w:pPr>
      <w:r>
        <w:t xml:space="preserve">For the limited purposes of this determination, we have adopted </w:t>
      </w:r>
      <w:proofErr w:type="spellStart"/>
      <w:r>
        <w:t>Transend’s</w:t>
      </w:r>
      <w:proofErr w:type="spellEnd"/>
      <w:r>
        <w:t xml:space="preserve"> and </w:t>
      </w:r>
      <w:proofErr w:type="spellStart"/>
      <w:r>
        <w:t>TransGrid’s</w:t>
      </w:r>
      <w:proofErr w:type="spellEnd"/>
      <w:r>
        <w:t xml:space="preserve"> indicative opex and capex proposals as inputs into the placeholder MAR for each business. We have taken this approach given the AEMC</w:t>
      </w:r>
      <w:r w:rsidR="00411961">
        <w:t xml:space="preserve"> </w:t>
      </w:r>
      <w:r>
        <w:t>only intended for this review to be a high level assessment</w:t>
      </w:r>
      <w:r w:rsidR="00F527B2">
        <w:t xml:space="preserve"> as provided for in the transitional rules</w:t>
      </w:r>
      <w:r>
        <w:t>. This high level assessment is consistent with the limited information including indicative estimates only that the TNSPs were required to provide in their transitional proposals, and the time we had to assess these proposals. A more detailed review of opex and capex was not required and not possible.</w:t>
      </w:r>
    </w:p>
    <w:p w:rsidR="00636D39" w:rsidRDefault="00636D39" w:rsidP="00636D39">
      <w:pPr>
        <w:pStyle w:val="AERbodytext"/>
      </w:pPr>
      <w:r>
        <w:t>We are only required to conduct a full buildin</w:t>
      </w:r>
      <w:r w:rsidR="00BC4B0E">
        <w:t xml:space="preserve">g block assessment of </w:t>
      </w:r>
      <w:proofErr w:type="spellStart"/>
      <w:r w:rsidR="00BC4B0E">
        <w:t>TransGrid</w:t>
      </w:r>
      <w:proofErr w:type="spellEnd"/>
      <w:r w:rsidR="00BC4B0E">
        <w:t xml:space="preserve"> and </w:t>
      </w:r>
      <w:proofErr w:type="spellStart"/>
      <w:r w:rsidR="00BC4B0E">
        <w:t>Transend</w:t>
      </w:r>
      <w:r>
        <w:t>’s</w:t>
      </w:r>
      <w:proofErr w:type="spellEnd"/>
      <w:r>
        <w:t xml:space="preserve"> opex and capex once we have received their full proposals that they are yet to submit for the purpose of the full determination. At that point in time, we will conduct a d</w:t>
      </w:r>
      <w:r w:rsidR="00BC4B0E">
        <w:t xml:space="preserve">etailed assessment of </w:t>
      </w:r>
      <w:proofErr w:type="spellStart"/>
      <w:r w:rsidR="00BC4B0E">
        <w:t>TransGrid</w:t>
      </w:r>
      <w:proofErr w:type="spellEnd"/>
      <w:r w:rsidR="00BC4B0E">
        <w:t xml:space="preserve"> and </w:t>
      </w:r>
      <w:proofErr w:type="spellStart"/>
      <w:r w:rsidR="00BC4B0E">
        <w:t>Transen</w:t>
      </w:r>
      <w:r>
        <w:t>d’s</w:t>
      </w:r>
      <w:proofErr w:type="spellEnd"/>
      <w:r>
        <w:t xml:space="preserve"> forecast opex and capex using the approach outlined in our expenditure forecasting assessment guideline. We will have regard to all the relevant information in undertaking this assessment including </w:t>
      </w:r>
      <w:r w:rsidR="00BC4B0E">
        <w:t>information provided by TransGrid and Transend</w:t>
      </w:r>
      <w:r>
        <w:t>, stakeholder submissions, and comments from the Consumer Challenge Panel. As part of this process, the AER will apply a range of assessment techniques to test the prudency and efficiency o</w:t>
      </w:r>
      <w:r w:rsidR="00BC4B0E">
        <w:t xml:space="preserve">f </w:t>
      </w:r>
      <w:proofErr w:type="spellStart"/>
      <w:r w:rsidR="00BC4B0E">
        <w:t>TransGrid</w:t>
      </w:r>
      <w:proofErr w:type="spellEnd"/>
      <w:r w:rsidR="00BC4B0E">
        <w:t xml:space="preserve"> and </w:t>
      </w:r>
      <w:proofErr w:type="spellStart"/>
      <w:r w:rsidR="00BC4B0E">
        <w:t>Transen</w:t>
      </w:r>
      <w:r>
        <w:t>d’s</w:t>
      </w:r>
      <w:proofErr w:type="spellEnd"/>
      <w:r>
        <w:t xml:space="preserve"> proposals.</w:t>
      </w:r>
      <w:r w:rsidRPr="00636D39">
        <w:t xml:space="preserve"> </w:t>
      </w:r>
      <w:r w:rsidRPr="00B02EFB">
        <w:t xml:space="preserve">Accordingly, </w:t>
      </w:r>
      <w:r>
        <w:t xml:space="preserve">we have used these proposals for the </w:t>
      </w:r>
      <w:r w:rsidR="00F527B2">
        <w:t xml:space="preserve">limited </w:t>
      </w:r>
      <w:r>
        <w:t>purpose of applying the price variation test.</w:t>
      </w:r>
    </w:p>
    <w:p w:rsidR="00636D39" w:rsidRDefault="00636D39" w:rsidP="00636D39">
      <w:pPr>
        <w:pStyle w:val="AERbodytext"/>
      </w:pPr>
      <w:r>
        <w:t xml:space="preserve">Any difference between </w:t>
      </w:r>
      <w:r w:rsidR="00F31F22">
        <w:t>the</w:t>
      </w:r>
      <w:r>
        <w:t xml:space="preserve"> opex </w:t>
      </w:r>
      <w:r w:rsidR="00F31F22">
        <w:t xml:space="preserve">adopted for the purposes of this decision </w:t>
      </w:r>
      <w:r>
        <w:t>and our allowance for opex determined after our detailed assessment will be reflected in regulated revenues f</w:t>
      </w:r>
      <w:r w:rsidR="00F31F22">
        <w:t>or the subsequent regulatory control period</w:t>
      </w:r>
      <w:r>
        <w:t>.</w:t>
      </w:r>
      <w:r w:rsidRPr="007B4470">
        <w:t xml:space="preserve"> </w:t>
      </w:r>
    </w:p>
    <w:p w:rsidR="00636D39" w:rsidRPr="00A35561" w:rsidRDefault="00636D39" w:rsidP="00636D39">
      <w:pPr>
        <w:pStyle w:val="AERbodytext"/>
      </w:pPr>
      <w:r w:rsidRPr="00150A88">
        <w:t>For the transitional proposals we do not need to review the TNSPs</w:t>
      </w:r>
      <w:r>
        <w:t>’</w:t>
      </w:r>
      <w:r w:rsidRPr="007B4470">
        <w:t xml:space="preserve"> forecast capex for </w:t>
      </w:r>
      <w:r>
        <w:t>the transitional</w:t>
      </w:r>
      <w:r w:rsidRPr="007B4470">
        <w:t xml:space="preserve"> </w:t>
      </w:r>
      <w:r>
        <w:t xml:space="preserve">regulatory control period </w:t>
      </w:r>
      <w:r w:rsidRPr="007B4470">
        <w:t>as this does not impact on the revenue estimate for that year.</w:t>
      </w:r>
      <w:r w:rsidRPr="007B4470">
        <w:rPr>
          <w:rStyle w:val="FootnoteReference"/>
        </w:rPr>
        <w:footnoteReference w:id="55"/>
      </w:r>
      <w:r w:rsidRPr="007B4470">
        <w:t xml:space="preserve"> </w:t>
      </w:r>
    </w:p>
    <w:p w:rsidR="00636D39" w:rsidRDefault="00636D39" w:rsidP="00636D39">
      <w:pPr>
        <w:pStyle w:val="AERbodytext"/>
      </w:pPr>
      <w:r>
        <w:t>Appendix D provides a brief summary of:</w:t>
      </w:r>
    </w:p>
    <w:p w:rsidR="00636D39" w:rsidRPr="00E02D6C" w:rsidRDefault="00BC4B0E" w:rsidP="00E02D6C">
      <w:pPr>
        <w:numPr>
          <w:ilvl w:val="0"/>
          <w:numId w:val="2"/>
        </w:numPr>
        <w:tabs>
          <w:tab w:val="left" w:pos="357"/>
        </w:tabs>
        <w:spacing w:after="200"/>
        <w:ind w:left="357" w:hanging="357"/>
        <w:rPr>
          <w:rFonts w:eastAsia="Times New Roman"/>
          <w:szCs w:val="24"/>
        </w:rPr>
      </w:pPr>
      <w:proofErr w:type="spellStart"/>
      <w:r>
        <w:rPr>
          <w:rFonts w:eastAsia="Times New Roman"/>
          <w:szCs w:val="24"/>
        </w:rPr>
        <w:t>TransGrid</w:t>
      </w:r>
      <w:proofErr w:type="spellEnd"/>
      <w:r>
        <w:rPr>
          <w:rFonts w:eastAsia="Times New Roman"/>
          <w:szCs w:val="24"/>
        </w:rPr>
        <w:t xml:space="preserve"> and </w:t>
      </w:r>
      <w:proofErr w:type="spellStart"/>
      <w:r>
        <w:rPr>
          <w:rFonts w:eastAsia="Times New Roman"/>
          <w:szCs w:val="24"/>
        </w:rPr>
        <w:t>Transen</w:t>
      </w:r>
      <w:r w:rsidR="00636D39" w:rsidRPr="00E02D6C">
        <w:rPr>
          <w:rFonts w:eastAsia="Times New Roman"/>
          <w:szCs w:val="24"/>
        </w:rPr>
        <w:t>d’s</w:t>
      </w:r>
      <w:proofErr w:type="spellEnd"/>
      <w:r w:rsidR="00636D39" w:rsidRPr="00E02D6C">
        <w:rPr>
          <w:rFonts w:eastAsia="Times New Roman"/>
          <w:szCs w:val="24"/>
        </w:rPr>
        <w:t xml:space="preserve"> </w:t>
      </w:r>
      <w:r>
        <w:rPr>
          <w:rFonts w:eastAsia="Times New Roman"/>
          <w:szCs w:val="24"/>
        </w:rPr>
        <w:t xml:space="preserve">opex performance in the current regulatory control period, and their indicative proposed </w:t>
      </w:r>
      <w:r w:rsidR="00636D39" w:rsidRPr="00E02D6C">
        <w:rPr>
          <w:rFonts w:eastAsia="Times New Roman"/>
          <w:szCs w:val="24"/>
        </w:rPr>
        <w:t>forecast opex for the transitional and subsequent regulatory control periods.</w:t>
      </w:r>
    </w:p>
    <w:p w:rsidR="00150A88" w:rsidRDefault="00BC4B0E" w:rsidP="007024B8">
      <w:pPr>
        <w:numPr>
          <w:ilvl w:val="0"/>
          <w:numId w:val="2"/>
        </w:numPr>
        <w:tabs>
          <w:tab w:val="left" w:pos="357"/>
        </w:tabs>
        <w:spacing w:after="200"/>
        <w:ind w:left="357" w:hanging="357"/>
      </w:pPr>
      <w:proofErr w:type="spellStart"/>
      <w:r>
        <w:rPr>
          <w:rFonts w:eastAsia="Times New Roman"/>
          <w:szCs w:val="24"/>
        </w:rPr>
        <w:t>TransGrid</w:t>
      </w:r>
      <w:proofErr w:type="spellEnd"/>
      <w:r>
        <w:rPr>
          <w:rFonts w:eastAsia="Times New Roman"/>
          <w:szCs w:val="24"/>
        </w:rPr>
        <w:t xml:space="preserve"> and </w:t>
      </w:r>
      <w:proofErr w:type="spellStart"/>
      <w:r>
        <w:rPr>
          <w:rFonts w:eastAsia="Times New Roman"/>
          <w:szCs w:val="24"/>
        </w:rPr>
        <w:t>Transend’s</w:t>
      </w:r>
      <w:proofErr w:type="spellEnd"/>
      <w:r w:rsidR="00636D39" w:rsidRPr="00E02D6C">
        <w:rPr>
          <w:rFonts w:eastAsia="Times New Roman"/>
          <w:szCs w:val="24"/>
        </w:rPr>
        <w:t xml:space="preserve"> capex performance in the current regulatory control period, and their indicative proposed forecast capex for the transitional and subsequent regulatory control periods.</w:t>
      </w:r>
      <w:r w:rsidR="00150A88">
        <w:t xml:space="preserve"> </w:t>
      </w:r>
    </w:p>
    <w:p w:rsidR="001C7C23" w:rsidRDefault="001C7C23" w:rsidP="00720128">
      <w:pPr>
        <w:pStyle w:val="Heading3"/>
      </w:pPr>
      <w:r>
        <w:t>Regulatory depreciation</w:t>
      </w:r>
    </w:p>
    <w:p w:rsidR="001C7C23" w:rsidRDefault="001C7C23" w:rsidP="001C7C23">
      <w:pPr>
        <w:pStyle w:val="AERbodytext"/>
      </w:pPr>
      <w:r>
        <w:t>The TNSPs provided indicative estimates for</w:t>
      </w:r>
      <w:r w:rsidR="002C2869">
        <w:t xml:space="preserve"> their</w:t>
      </w:r>
      <w:r>
        <w:t xml:space="preserve"> forecast</w:t>
      </w:r>
      <w:r w:rsidR="002C2869">
        <w:t>s</w:t>
      </w:r>
      <w:r>
        <w:t xml:space="preserve"> </w:t>
      </w:r>
      <w:r w:rsidR="002C2869">
        <w:t xml:space="preserve">of </w:t>
      </w:r>
      <w:r>
        <w:t>regulatory depreciation. We do not propose any adjustment to these amounts at this time. A significant driver of regulatory depreciation is the RAB</w:t>
      </w:r>
      <w:r w:rsidR="002C2869">
        <w:t>. As discussed in section 4.2.</w:t>
      </w:r>
      <w:r w:rsidR="00EF46F9">
        <w:t>2</w:t>
      </w:r>
      <w:r w:rsidR="002C2869">
        <w:t>, we are not making any</w:t>
      </w:r>
      <w:r>
        <w:t xml:space="preserve"> changes</w:t>
      </w:r>
      <w:r w:rsidR="002C2869">
        <w:t xml:space="preserve"> to the proposed RAB </w:t>
      </w:r>
      <w:r>
        <w:t>for th</w:t>
      </w:r>
      <w:r w:rsidR="002C2869">
        <w:t>e purposes of this transitional determination</w:t>
      </w:r>
      <w:r>
        <w:t xml:space="preserve"> for either TNSP. The </w:t>
      </w:r>
      <w:r w:rsidR="002C2869">
        <w:t xml:space="preserve">proposed </w:t>
      </w:r>
      <w:r>
        <w:t xml:space="preserve">asset lives used in the calculation </w:t>
      </w:r>
      <w:r w:rsidR="002C2869">
        <w:t xml:space="preserve">of regulatory depreciation </w:t>
      </w:r>
      <w:r>
        <w:t>by each TNSP are</w:t>
      </w:r>
      <w:r w:rsidR="002C2869">
        <w:t xml:space="preserve"> generally</w:t>
      </w:r>
      <w:r>
        <w:t xml:space="preserve"> consistent with what we </w:t>
      </w:r>
      <w:r w:rsidR="00DF193E">
        <w:t>would expect</w:t>
      </w:r>
      <w:r>
        <w:t xml:space="preserve"> based on previous decisions on the lives of different types of assets and the timing of actual capex</w:t>
      </w:r>
      <w:r w:rsidR="002C2869">
        <w:t xml:space="preserve">. For the </w:t>
      </w:r>
      <w:r w:rsidR="00875D97">
        <w:t xml:space="preserve">limited </w:t>
      </w:r>
      <w:r w:rsidR="002C2869">
        <w:t>purposes of this transitional determination, we have adopted the TNSPs’ proposed asset lives for assessing the transitional revenue estimate. Nonetheless,</w:t>
      </w:r>
      <w:r w:rsidR="002C2869" w:rsidRPr="00B53E86">
        <w:t xml:space="preserve"> </w:t>
      </w:r>
      <w:r w:rsidR="002C2869">
        <w:t xml:space="preserve">we will </w:t>
      </w:r>
      <w:r w:rsidR="002C2869" w:rsidRPr="00B53E86">
        <w:t xml:space="preserve">have to </w:t>
      </w:r>
      <w:r w:rsidR="00875D97">
        <w:t>review</w:t>
      </w:r>
      <w:r w:rsidR="00875D97" w:rsidRPr="00B53E86">
        <w:t xml:space="preserve"> </w:t>
      </w:r>
      <w:r w:rsidR="002C2869">
        <w:t>these asset lives</w:t>
      </w:r>
      <w:r w:rsidR="002C2869" w:rsidRPr="00B53E86">
        <w:t xml:space="preserve"> for the </w:t>
      </w:r>
      <w:r w:rsidR="002C2869">
        <w:t>full determination process.</w:t>
      </w:r>
    </w:p>
    <w:p w:rsidR="0022640A" w:rsidRDefault="0022640A" w:rsidP="00720128">
      <w:pPr>
        <w:pStyle w:val="Heading3"/>
      </w:pPr>
      <w:bookmarkStart w:id="59" w:name="_Ref383532060"/>
      <w:r>
        <w:lastRenderedPageBreak/>
        <w:t>C</w:t>
      </w:r>
      <w:r w:rsidR="002C2869">
        <w:t>ost of c</w:t>
      </w:r>
      <w:r>
        <w:t>orporate income tax</w:t>
      </w:r>
      <w:bookmarkEnd w:id="59"/>
    </w:p>
    <w:p w:rsidR="00CA63F4" w:rsidRDefault="0022640A" w:rsidP="00BB03C9">
      <w:pPr>
        <w:pStyle w:val="AERbodytext"/>
      </w:pPr>
      <w:r>
        <w:t xml:space="preserve">The </w:t>
      </w:r>
      <w:r w:rsidR="002C2869">
        <w:t xml:space="preserve">cost of </w:t>
      </w:r>
      <w:r>
        <w:t xml:space="preserve">corporate income tax building block is calculated in the </w:t>
      </w:r>
      <w:r w:rsidR="002C2869">
        <w:t>AER’s post-tax revenue model (</w:t>
      </w:r>
      <w:r>
        <w:t>PTRM</w:t>
      </w:r>
      <w:r w:rsidR="002C2869">
        <w:t>)</w:t>
      </w:r>
      <w:r>
        <w:t xml:space="preserve"> and is affected by </w:t>
      </w:r>
      <w:r w:rsidR="00CA63F4">
        <w:t>all</w:t>
      </w:r>
      <w:r>
        <w:t xml:space="preserve"> inputs. </w:t>
      </w:r>
      <w:r w:rsidR="00CA63F4">
        <w:t>In terms of key inputs into the tax calculation, the TNSPs have used the AER’s RFM to determine the</w:t>
      </w:r>
      <w:r w:rsidR="002C2869">
        <w:t>ir</w:t>
      </w:r>
      <w:r w:rsidR="00CA63F4">
        <w:t xml:space="preserve"> opening tax asset base</w:t>
      </w:r>
      <w:r w:rsidR="002C2869">
        <w:t>s</w:t>
      </w:r>
      <w:r w:rsidR="00CA63F4">
        <w:t xml:space="preserve"> and remaining tax asset lives. We also project similar tax asset base</w:t>
      </w:r>
      <w:r w:rsidR="002C2869">
        <w:t>s</w:t>
      </w:r>
      <w:r w:rsidR="00CA63F4">
        <w:t xml:space="preserve"> </w:t>
      </w:r>
      <w:r w:rsidR="002C2869">
        <w:t>using the RFM</w:t>
      </w:r>
      <w:r w:rsidR="00CA63F4">
        <w:t xml:space="preserve"> and remaining </w:t>
      </w:r>
      <w:r w:rsidR="002C2869">
        <w:t xml:space="preserve">tax </w:t>
      </w:r>
      <w:r w:rsidR="00CA63F4">
        <w:t xml:space="preserve">asset lives consistent with the TNSPs’ proposals. </w:t>
      </w:r>
      <w:r w:rsidR="002C2869">
        <w:t xml:space="preserve">For the </w:t>
      </w:r>
      <w:r w:rsidR="002220F0">
        <w:t xml:space="preserve">limited </w:t>
      </w:r>
      <w:r w:rsidR="002C2869">
        <w:t>purposes of this transitional determination, we have adopted the TNSPs’ proposed opening tax asset bases for assessing the transitional revenue estimate. Nonetheless,</w:t>
      </w:r>
      <w:r w:rsidR="002C2869" w:rsidRPr="00B53E86">
        <w:t xml:space="preserve"> </w:t>
      </w:r>
      <w:r w:rsidR="002C2869">
        <w:t xml:space="preserve">we will </w:t>
      </w:r>
      <w:r w:rsidR="002C2869" w:rsidRPr="00B53E86">
        <w:t xml:space="preserve">have to </w:t>
      </w:r>
      <w:r w:rsidR="00875D97">
        <w:t>review</w:t>
      </w:r>
      <w:r w:rsidR="00875D97" w:rsidRPr="00B53E86">
        <w:t xml:space="preserve"> </w:t>
      </w:r>
      <w:r w:rsidR="002C2869">
        <w:t>these inputs</w:t>
      </w:r>
      <w:r w:rsidR="002C2869" w:rsidRPr="00B53E86">
        <w:t xml:space="preserve"> for the </w:t>
      </w:r>
      <w:r w:rsidR="002C2869">
        <w:t>full determination process.</w:t>
      </w:r>
    </w:p>
    <w:p w:rsidR="00875D97" w:rsidRDefault="00920603" w:rsidP="00BB03C9">
      <w:pPr>
        <w:pStyle w:val="AERbodytext"/>
      </w:pPr>
      <w:proofErr w:type="spellStart"/>
      <w:r>
        <w:t>TransGrid</w:t>
      </w:r>
      <w:r w:rsidR="002C2869">
        <w:t>’s</w:t>
      </w:r>
      <w:proofErr w:type="spellEnd"/>
      <w:r w:rsidR="00BB03C9">
        <w:t xml:space="preserve"> proposed corporate </w:t>
      </w:r>
      <w:r w:rsidR="002C2869">
        <w:t xml:space="preserve">income </w:t>
      </w:r>
      <w:r w:rsidR="00BB03C9">
        <w:t xml:space="preserve">tax allowance for the </w:t>
      </w:r>
      <w:r w:rsidR="002220F0">
        <w:t>transitional and subsequent</w:t>
      </w:r>
      <w:r w:rsidR="00BB03C9">
        <w:t xml:space="preserve"> regulatory control period</w:t>
      </w:r>
      <w:r w:rsidR="00875D97">
        <w:t>s</w:t>
      </w:r>
      <w:r w:rsidR="00BB03C9">
        <w:t xml:space="preserve"> </w:t>
      </w:r>
      <w:r w:rsidR="002C2869">
        <w:t>is</w:t>
      </w:r>
      <w:r w:rsidR="00BB03C9">
        <w:t xml:space="preserve"> significantly higher than in the 2009</w:t>
      </w:r>
      <w:r w:rsidR="002C2869">
        <w:t>–</w:t>
      </w:r>
      <w:r w:rsidR="00BB03C9">
        <w:t xml:space="preserve">14 regulatory control </w:t>
      </w:r>
      <w:proofErr w:type="gramStart"/>
      <w:r w:rsidR="00BB03C9">
        <w:t>period</w:t>
      </w:r>
      <w:proofErr w:type="gramEnd"/>
      <w:r w:rsidR="00BB03C9">
        <w:t xml:space="preserve">. Higher revenues (in particular efficiency </w:t>
      </w:r>
      <w:r w:rsidR="0092290A">
        <w:t>rewards</w:t>
      </w:r>
      <w:r w:rsidR="0072468E">
        <w:t xml:space="preserve"> under the EBSS</w:t>
      </w:r>
      <w:r w:rsidR="00BB03C9">
        <w:rPr>
          <w:rStyle w:val="FootnoteReference"/>
        </w:rPr>
        <w:footnoteReference w:id="56"/>
      </w:r>
      <w:r w:rsidR="00BB03C9">
        <w:t xml:space="preserve">) and a lower gamma of 0.25 largely </w:t>
      </w:r>
      <w:r w:rsidR="00CA63F4">
        <w:t>explain</w:t>
      </w:r>
      <w:r w:rsidR="00BB03C9">
        <w:t xml:space="preserve"> the increase in proposed corporate tax allowance.</w:t>
      </w:r>
      <w:r w:rsidR="0022640A">
        <w:t xml:space="preserve"> </w:t>
      </w:r>
    </w:p>
    <w:p w:rsidR="0022640A" w:rsidRDefault="00CA63F4" w:rsidP="00BB03C9">
      <w:pPr>
        <w:pStyle w:val="AERbodytext"/>
      </w:pPr>
      <w:proofErr w:type="spellStart"/>
      <w:r>
        <w:t>Trans</w:t>
      </w:r>
      <w:r w:rsidR="00BB03C9">
        <w:t>end’s</w:t>
      </w:r>
      <w:proofErr w:type="spellEnd"/>
      <w:r w:rsidR="00BB03C9">
        <w:t xml:space="preserve"> </w:t>
      </w:r>
      <w:r w:rsidR="00BB03C9" w:rsidRPr="00BB03C9">
        <w:t xml:space="preserve">proposed corporate </w:t>
      </w:r>
      <w:r w:rsidR="002C2869">
        <w:t xml:space="preserve">income </w:t>
      </w:r>
      <w:r w:rsidR="00BB03C9" w:rsidRPr="00BB03C9">
        <w:t xml:space="preserve">tax allowance for the </w:t>
      </w:r>
      <w:r w:rsidR="002220F0">
        <w:t>transitional and subsequent</w:t>
      </w:r>
      <w:r w:rsidR="00BB03C9" w:rsidRPr="00BB03C9">
        <w:t xml:space="preserve"> regulatory control period</w:t>
      </w:r>
      <w:r w:rsidR="00875D97">
        <w:t>s</w:t>
      </w:r>
      <w:r w:rsidR="00BB03C9" w:rsidRPr="00BB03C9">
        <w:t xml:space="preserve"> </w:t>
      </w:r>
      <w:r w:rsidR="002C2869">
        <w:t>is</w:t>
      </w:r>
      <w:r w:rsidR="00BB03C9" w:rsidRPr="00BB03C9">
        <w:t xml:space="preserve"> </w:t>
      </w:r>
      <w:r w:rsidR="00BB03C9">
        <w:t>similar to th</w:t>
      </w:r>
      <w:r w:rsidR="002C2869">
        <w:t>at</w:t>
      </w:r>
      <w:r w:rsidR="00BB03C9" w:rsidRPr="00BB03C9">
        <w:t xml:space="preserve"> in the </w:t>
      </w:r>
      <w:r w:rsidR="00581457">
        <w:t>current</w:t>
      </w:r>
      <w:r w:rsidR="00BB03C9" w:rsidRPr="00BB03C9">
        <w:t xml:space="preserve"> regulatory control period</w:t>
      </w:r>
      <w:r w:rsidR="00BB03C9">
        <w:t xml:space="preserve">, despite Transend </w:t>
      </w:r>
      <w:r>
        <w:t xml:space="preserve">proposing a </w:t>
      </w:r>
      <w:r w:rsidR="0092290A">
        <w:t xml:space="preserve">lower </w:t>
      </w:r>
      <w:r>
        <w:t>gamma of 0.25</w:t>
      </w:r>
      <w:r w:rsidR="00BB03C9" w:rsidRPr="00BB03C9">
        <w:t>.</w:t>
      </w:r>
    </w:p>
    <w:p w:rsidR="00875D97" w:rsidRDefault="002C2869" w:rsidP="0022640A">
      <w:pPr>
        <w:pStyle w:val="AERbodytext"/>
      </w:pPr>
      <w:r>
        <w:t>T</w:t>
      </w:r>
      <w:r w:rsidR="0022640A">
        <w:t xml:space="preserve">he TNSPs </w:t>
      </w:r>
      <w:r w:rsidR="00CA63F4">
        <w:t xml:space="preserve">adopted </w:t>
      </w:r>
      <w:r>
        <w:t xml:space="preserve">a </w:t>
      </w:r>
      <w:r w:rsidR="0022640A">
        <w:t>value of 0.25 for gamma</w:t>
      </w:r>
      <w:r>
        <w:t xml:space="preserve">. </w:t>
      </w:r>
      <w:r w:rsidRPr="00F46D33">
        <w:t xml:space="preserve">Both </w:t>
      </w:r>
      <w:r>
        <w:t>TNSPs</w:t>
      </w:r>
      <w:r w:rsidRPr="00F46D33">
        <w:t xml:space="preserve"> based their proposals on material that was before the AER during the guideline process. </w:t>
      </w:r>
      <w:r w:rsidR="00DF193E">
        <w:t>For Transend, this includes the Australian Competition Tribunal’s decision on gamma.</w:t>
      </w:r>
      <w:r w:rsidR="00DF193E">
        <w:rPr>
          <w:rStyle w:val="FootnoteReference"/>
        </w:rPr>
        <w:footnoteReference w:id="57"/>
      </w:r>
    </w:p>
    <w:p w:rsidR="00DF193E" w:rsidRDefault="00DF193E" w:rsidP="0022640A">
      <w:pPr>
        <w:pStyle w:val="AERbodytext"/>
      </w:pPr>
      <w:r>
        <w:t xml:space="preserve">We note the material that both TransGrid and Transend have relied upon to support their gamma values. This was information that the AER took into account when making its rate of return guideline.  Our assessment of this information is included in our reasoning for our guideline. </w:t>
      </w:r>
      <w:r w:rsidR="00875D97" w:rsidRPr="00F46D33">
        <w:t>In contrast</w:t>
      </w:r>
      <w:r>
        <w:t xml:space="preserve"> to the proposals submitted by TransGrid and Transend</w:t>
      </w:r>
      <w:r w:rsidR="00875D97" w:rsidRPr="00F46D33">
        <w:t xml:space="preserve">, we set out in the rate of return guideline that our estimate of the value of </w:t>
      </w:r>
      <w:r w:rsidR="00875D97">
        <w:t>gamma</w:t>
      </w:r>
      <w:r w:rsidR="00875D97" w:rsidRPr="00F46D33">
        <w:t xml:space="preserve"> is 0.5</w:t>
      </w:r>
      <w:r>
        <w:t xml:space="preserve"> taking into account the information available to us</w:t>
      </w:r>
      <w:r w:rsidR="00875D97" w:rsidRPr="00F46D33">
        <w:t xml:space="preserve">. </w:t>
      </w:r>
    </w:p>
    <w:p w:rsidR="00DF193E" w:rsidRDefault="00DF193E" w:rsidP="0022640A">
      <w:pPr>
        <w:pStyle w:val="AERbodytext"/>
      </w:pPr>
      <w:r>
        <w:t xml:space="preserve">For this </w:t>
      </w:r>
      <w:r w:rsidR="00B03F01">
        <w:t xml:space="preserve">transitional </w:t>
      </w:r>
      <w:r>
        <w:t xml:space="preserve">determination, we have also taken into account the submission of </w:t>
      </w:r>
      <w:r w:rsidR="00581457">
        <w:t>t</w:t>
      </w:r>
      <w:r w:rsidR="00140F20" w:rsidRPr="00140F20">
        <w:t xml:space="preserve">he Tasmanian Small Business Council </w:t>
      </w:r>
      <w:r>
        <w:t>which supports</w:t>
      </w:r>
      <w:r w:rsidR="00140F20" w:rsidRPr="00140F20">
        <w:t xml:space="preserve"> the use of the gamma value of 0.5 as set out in the AER’s guideline.</w:t>
      </w:r>
      <w:r w:rsidR="00140F20" w:rsidRPr="00140F20">
        <w:rPr>
          <w:rStyle w:val="FootnoteReference"/>
        </w:rPr>
        <w:footnoteReference w:id="58"/>
      </w:r>
      <w:r w:rsidR="00140F20" w:rsidRPr="00140F20">
        <w:t xml:space="preserve"> </w:t>
      </w:r>
    </w:p>
    <w:p w:rsidR="0022640A" w:rsidRDefault="002C2869" w:rsidP="0022640A">
      <w:pPr>
        <w:pStyle w:val="AERbodytext"/>
      </w:pPr>
      <w:r w:rsidRPr="00F46D33">
        <w:t>Th</w:t>
      </w:r>
      <w:r>
        <w:t>e use of our estimate</w:t>
      </w:r>
      <w:r w:rsidRPr="00F46D33">
        <w:t xml:space="preserve"> reduces the proposed cost of corporate</w:t>
      </w:r>
      <w:r>
        <w:t xml:space="preserve"> income</w:t>
      </w:r>
      <w:r w:rsidRPr="00F46D33">
        <w:t xml:space="preserve"> tax by 50 per cent. </w:t>
      </w:r>
      <w:r>
        <w:t>W</w:t>
      </w:r>
      <w:r w:rsidRPr="00F46D33">
        <w:t>e consider that the cost</w:t>
      </w:r>
      <w:r>
        <w:t>s</w:t>
      </w:r>
      <w:r w:rsidRPr="00F46D33">
        <w:t xml:space="preserve"> of corporate</w:t>
      </w:r>
      <w:r>
        <w:t xml:space="preserve"> income</w:t>
      </w:r>
      <w:r w:rsidRPr="00F46D33">
        <w:t xml:space="preserve"> tax </w:t>
      </w:r>
      <w:r>
        <w:t xml:space="preserve">in the transitional revenue proposals </w:t>
      </w:r>
      <w:r w:rsidRPr="00F46D33">
        <w:t>are overstated</w:t>
      </w:r>
      <w:r w:rsidR="00130C92">
        <w:t xml:space="preserve"> based on the extensive analysis in our rate of return guideline</w:t>
      </w:r>
      <w:r w:rsidRPr="00F46D33">
        <w:t>.</w:t>
      </w:r>
      <w:r w:rsidR="0022640A">
        <w:t xml:space="preserve"> We </w:t>
      </w:r>
      <w:r>
        <w:t xml:space="preserve">therefore </w:t>
      </w:r>
      <w:r w:rsidR="0022640A">
        <w:t xml:space="preserve">consider </w:t>
      </w:r>
      <w:r w:rsidR="00B755FB">
        <w:t xml:space="preserve">that for the purposes of this high level assessment in this determination, </w:t>
      </w:r>
      <w:r w:rsidR="0022640A">
        <w:t xml:space="preserve">the </w:t>
      </w:r>
      <w:r>
        <w:t xml:space="preserve">value of </w:t>
      </w:r>
      <w:r w:rsidR="0022640A">
        <w:t>gamma should be change</w:t>
      </w:r>
      <w:r w:rsidR="00CA63F4">
        <w:t>d</w:t>
      </w:r>
      <w:r w:rsidR="0022640A">
        <w:t xml:space="preserve"> to 0.5</w:t>
      </w:r>
      <w:r>
        <w:t xml:space="preserve"> for this transitional determination</w:t>
      </w:r>
      <w:r w:rsidR="0022640A">
        <w:t xml:space="preserve">. </w:t>
      </w:r>
    </w:p>
    <w:p w:rsidR="001C7C23" w:rsidRPr="009B4BA1" w:rsidRDefault="001C7C23" w:rsidP="001C7C23">
      <w:pPr>
        <w:pStyle w:val="AERbodytext"/>
      </w:pPr>
    </w:p>
    <w:p w:rsidR="00B45603" w:rsidRPr="00B45603" w:rsidRDefault="000C48BA" w:rsidP="006162E1">
      <w:pPr>
        <w:pStyle w:val="Heading1"/>
      </w:pPr>
      <w:bookmarkStart w:id="60" w:name="_Toc383527662"/>
      <w:r>
        <w:lastRenderedPageBreak/>
        <w:t>Other constituent decisions</w:t>
      </w:r>
      <w:bookmarkEnd w:id="60"/>
      <w:r w:rsidR="006162E1">
        <w:t xml:space="preserve"> </w:t>
      </w:r>
    </w:p>
    <w:p w:rsidR="003B1E13" w:rsidRDefault="003B1E13" w:rsidP="004B4471">
      <w:pPr>
        <w:pStyle w:val="Heading2"/>
      </w:pPr>
      <w:bookmarkStart w:id="61" w:name="_Toc383527663"/>
      <w:r>
        <w:t>Ap</w:t>
      </w:r>
      <w:r w:rsidR="00AA2E12">
        <w:t>plication of the EBSS in the transitional regulatory control period</w:t>
      </w:r>
      <w:bookmarkEnd w:id="61"/>
    </w:p>
    <w:p w:rsidR="0084612B" w:rsidRPr="001B1309" w:rsidRDefault="008A1E50" w:rsidP="0084612B">
      <w:pPr>
        <w:pStyle w:val="AERbodytext"/>
        <w:rPr>
          <w:rFonts w:eastAsiaTheme="minorHAnsi"/>
        </w:rPr>
      </w:pPr>
      <w:r w:rsidRPr="001B1309">
        <w:rPr>
          <w:rFonts w:eastAsiaTheme="minorHAnsi"/>
        </w:rPr>
        <w:t>As part of our Better Regulation program we consulted on and published version 2 of the E</w:t>
      </w:r>
      <w:r w:rsidR="001B1309" w:rsidRPr="001B1309">
        <w:rPr>
          <w:rFonts w:eastAsiaTheme="minorHAnsi"/>
        </w:rPr>
        <w:t>fficiency Benefit Sharing Scheme (EB</w:t>
      </w:r>
      <w:r w:rsidRPr="001B1309">
        <w:rPr>
          <w:rFonts w:eastAsiaTheme="minorHAnsi"/>
        </w:rPr>
        <w:t>SS</w:t>
      </w:r>
      <w:r w:rsidR="001B1309" w:rsidRPr="001B1309">
        <w:rPr>
          <w:rFonts w:eastAsiaTheme="minorHAnsi"/>
        </w:rPr>
        <w:t>)</w:t>
      </w:r>
      <w:r w:rsidRPr="001B1309">
        <w:rPr>
          <w:rFonts w:eastAsiaTheme="minorHAnsi"/>
        </w:rPr>
        <w:t>.</w:t>
      </w:r>
      <w:r w:rsidR="001B1309">
        <w:rPr>
          <w:rFonts w:eastAsiaTheme="minorHAnsi"/>
        </w:rPr>
        <w:t xml:space="preserve"> </w:t>
      </w:r>
      <w:r w:rsidR="0084612B" w:rsidRPr="001B1309">
        <w:rPr>
          <w:rFonts w:eastAsiaTheme="minorHAnsi"/>
        </w:rPr>
        <w:t>The operating expenditure efficiency benefit sharing scheme (EBSS) aims to provide a continuous incentive for TNSPs</w:t>
      </w:r>
      <w:r w:rsidR="0084612B" w:rsidRPr="0075554A">
        <w:rPr>
          <w:rFonts w:eastAsiaTheme="minorHAnsi"/>
        </w:rPr>
        <w:t xml:space="preserve"> to pursue efficiency improvements in opex, and provide for a fair sharing of these between TNSPs and netwo</w:t>
      </w:r>
      <w:r w:rsidR="0084612B" w:rsidRPr="001B1309">
        <w:rPr>
          <w:rFonts w:eastAsiaTheme="minorHAnsi"/>
        </w:rPr>
        <w:t xml:space="preserve">rk users. Consumers benefit from improved efficiencies through lower regulated prices in the future. </w:t>
      </w:r>
    </w:p>
    <w:p w:rsidR="0084612B" w:rsidRPr="00322B8B" w:rsidRDefault="0061239C" w:rsidP="0061239C">
      <w:pPr>
        <w:pStyle w:val="AERbodytext"/>
        <w:rPr>
          <w:rFonts w:eastAsiaTheme="minorHAnsi"/>
        </w:rPr>
      </w:pPr>
      <w:r w:rsidRPr="0061239C">
        <w:rPr>
          <w:rFonts w:eastAsiaTheme="minorHAnsi"/>
        </w:rPr>
        <w:t>In accordance with the Framework and Approach p</w:t>
      </w:r>
      <w:r>
        <w:rPr>
          <w:rFonts w:eastAsiaTheme="minorHAnsi"/>
        </w:rPr>
        <w:t xml:space="preserve">aper, the EBSS that applied to </w:t>
      </w:r>
      <w:r w:rsidR="00367F60">
        <w:rPr>
          <w:rFonts w:eastAsiaTheme="minorHAnsi"/>
        </w:rPr>
        <w:t xml:space="preserve">TransGrid </w:t>
      </w:r>
      <w:r>
        <w:rPr>
          <w:rFonts w:eastAsiaTheme="minorHAnsi"/>
        </w:rPr>
        <w:t xml:space="preserve">and </w:t>
      </w:r>
      <w:r w:rsidRPr="0061239C">
        <w:rPr>
          <w:rFonts w:eastAsiaTheme="minorHAnsi"/>
        </w:rPr>
        <w:t>Transend in the current regulatory control period will apply in the transitional regulatory control period but modifi</w:t>
      </w:r>
      <w:r>
        <w:rPr>
          <w:rFonts w:eastAsiaTheme="minorHAnsi"/>
        </w:rPr>
        <w:t>ed to be in the terms of the version 2</w:t>
      </w:r>
      <w:r w:rsidRPr="0061239C">
        <w:rPr>
          <w:rFonts w:eastAsiaTheme="minorHAnsi"/>
        </w:rPr>
        <w:t xml:space="preserve"> EBSS as if the transitional regulatory control period were the first year of the subsequent regulatory control period.</w:t>
      </w:r>
      <w:r w:rsidR="00367F60">
        <w:rPr>
          <w:rStyle w:val="FootnoteReference"/>
          <w:rFonts w:eastAsiaTheme="minorHAnsi"/>
        </w:rPr>
        <w:footnoteReference w:id="59"/>
      </w:r>
      <w:r>
        <w:rPr>
          <w:rFonts w:eastAsiaTheme="minorHAnsi"/>
        </w:rPr>
        <w:t xml:space="preserve"> </w:t>
      </w:r>
    </w:p>
    <w:p w:rsidR="00FB682F" w:rsidRDefault="00FB682F" w:rsidP="004B4471">
      <w:pPr>
        <w:pStyle w:val="Heading2"/>
      </w:pPr>
      <w:bookmarkStart w:id="62" w:name="_Toc383527664"/>
      <w:r>
        <w:t>Application of the STPIS in the transitional regulatory control period</w:t>
      </w:r>
      <w:bookmarkEnd w:id="62"/>
    </w:p>
    <w:p w:rsidR="0084612B" w:rsidRDefault="0084612B" w:rsidP="0084612B">
      <w:pPr>
        <w:pStyle w:val="AERbodytext"/>
      </w:pPr>
      <w:r>
        <w:t>Our national service target performance incentive scheme (STPIS) provides a financial incentive to TNSPs to maintain and improve service performance. The STPIS aims to safeguard service quality for customers that may otherwise be affected as TNSPs seek out cost efficiencies</w:t>
      </w:r>
      <w:r w:rsidR="001B1309">
        <w:t xml:space="preserve"> at the expense of service quality</w:t>
      </w:r>
      <w:r>
        <w:t xml:space="preserve">. </w:t>
      </w:r>
    </w:p>
    <w:p w:rsidR="00367F60" w:rsidRDefault="00367F60" w:rsidP="0084612B">
      <w:pPr>
        <w:pStyle w:val="AERbodytext"/>
      </w:pPr>
      <w:r>
        <w:t>In accordance with the transitional rules, we will apply to TransGrid and Transend for the transitional regulatory control period the STPIS that applied to each in the current regulatory control period subject to the modifications set out in the Framework and Approach Paper.</w:t>
      </w:r>
      <w:r w:rsidRPr="00367F60">
        <w:rPr>
          <w:rFonts w:eastAsiaTheme="minorHAnsi"/>
          <w:szCs w:val="20"/>
          <w:vertAlign w:val="superscript"/>
        </w:rPr>
        <w:footnoteReference w:id="60"/>
      </w:r>
      <w:r w:rsidR="00A84590" w:rsidRPr="00A84590">
        <w:rPr>
          <w:rFonts w:eastAsia="Calibri"/>
          <w:bCs/>
          <w:szCs w:val="20"/>
        </w:rPr>
        <w:t xml:space="preserve"> To the extent that the MAR changes as a result of the full determination, any corresponding change in the application of the STPIS will be reflected in the full determination.</w:t>
      </w:r>
      <w:r w:rsidR="00A84590">
        <w:rPr>
          <w:rStyle w:val="FootnoteReference"/>
          <w:rFonts w:eastAsia="Calibri"/>
          <w:bCs/>
          <w:szCs w:val="20"/>
        </w:rPr>
        <w:footnoteReference w:id="61"/>
      </w:r>
    </w:p>
    <w:p w:rsidR="0084612B" w:rsidRDefault="00367F60" w:rsidP="0084612B">
      <w:pPr>
        <w:pStyle w:val="AERbodytext"/>
      </w:pPr>
      <w:r>
        <w:t>Accordingly, f</w:t>
      </w:r>
      <w:r w:rsidR="0084612B">
        <w:t>or the transitional regulatory control period we will:</w:t>
      </w:r>
    </w:p>
    <w:p w:rsidR="0084612B" w:rsidRPr="00D15C87" w:rsidRDefault="0084612B" w:rsidP="00D15C87">
      <w:pPr>
        <w:numPr>
          <w:ilvl w:val="0"/>
          <w:numId w:val="2"/>
        </w:numPr>
        <w:tabs>
          <w:tab w:val="left" w:pos="357"/>
        </w:tabs>
        <w:spacing w:after="200"/>
        <w:ind w:left="357" w:hanging="357"/>
        <w:rPr>
          <w:rFonts w:eastAsia="Times New Roman"/>
          <w:szCs w:val="24"/>
        </w:rPr>
      </w:pPr>
      <w:r w:rsidRPr="00D15C87">
        <w:rPr>
          <w:rFonts w:eastAsia="Times New Roman"/>
          <w:szCs w:val="24"/>
        </w:rPr>
        <w:t xml:space="preserve">continue to apply the service component of version 2 of the STPIS to TransGrid </w:t>
      </w:r>
      <w:r w:rsidR="001B1309" w:rsidRPr="00D15C87">
        <w:rPr>
          <w:rFonts w:eastAsia="Times New Roman"/>
          <w:szCs w:val="24"/>
        </w:rPr>
        <w:t xml:space="preserve">and Transend </w:t>
      </w:r>
      <w:r w:rsidRPr="00D15C87">
        <w:rPr>
          <w:rFonts w:eastAsia="Times New Roman"/>
          <w:szCs w:val="24"/>
        </w:rPr>
        <w:t xml:space="preserve">such that the existing values and parameters </w:t>
      </w:r>
      <w:r w:rsidR="001B1309" w:rsidRPr="00D15C87">
        <w:rPr>
          <w:rFonts w:eastAsia="Times New Roman"/>
          <w:szCs w:val="24"/>
        </w:rPr>
        <w:t xml:space="preserve">in their current determinations </w:t>
      </w:r>
      <w:r w:rsidRPr="00D15C87">
        <w:rPr>
          <w:rFonts w:eastAsia="Times New Roman"/>
          <w:szCs w:val="24"/>
        </w:rPr>
        <w:t>will apply</w:t>
      </w:r>
    </w:p>
    <w:p w:rsidR="0084612B" w:rsidRPr="00D15C87" w:rsidRDefault="0084612B" w:rsidP="00D15C87">
      <w:pPr>
        <w:numPr>
          <w:ilvl w:val="0"/>
          <w:numId w:val="2"/>
        </w:numPr>
        <w:tabs>
          <w:tab w:val="left" w:pos="357"/>
        </w:tabs>
        <w:spacing w:after="200"/>
        <w:ind w:left="357" w:hanging="357"/>
        <w:rPr>
          <w:rFonts w:eastAsia="Times New Roman"/>
          <w:szCs w:val="24"/>
        </w:rPr>
      </w:pPr>
      <w:proofErr w:type="gramStart"/>
      <w:r w:rsidRPr="00D15C87">
        <w:rPr>
          <w:rFonts w:eastAsia="Times New Roman"/>
          <w:szCs w:val="24"/>
        </w:rPr>
        <w:t>modify</w:t>
      </w:r>
      <w:proofErr w:type="gramEnd"/>
      <w:r w:rsidRPr="00D15C87">
        <w:rPr>
          <w:rFonts w:eastAsia="Times New Roman"/>
          <w:szCs w:val="24"/>
        </w:rPr>
        <w:t xml:space="preserve"> the STPIS to apply the Market Impact Component (MIC) and Network Capability Component (NCC) of version 4 of the STPIS to TransGrid</w:t>
      </w:r>
      <w:r w:rsidR="001B1309" w:rsidRPr="00D15C87">
        <w:rPr>
          <w:rFonts w:eastAsia="Times New Roman"/>
          <w:szCs w:val="24"/>
        </w:rPr>
        <w:t xml:space="preserve"> and Transend</w:t>
      </w:r>
      <w:r w:rsidRPr="00D15C87">
        <w:rPr>
          <w:rFonts w:eastAsia="Times New Roman"/>
          <w:szCs w:val="24"/>
        </w:rPr>
        <w:t>.</w:t>
      </w:r>
    </w:p>
    <w:p w:rsidR="0084612B" w:rsidRDefault="0084612B" w:rsidP="007B4470">
      <w:pPr>
        <w:pStyle w:val="Heading3"/>
      </w:pPr>
      <w:bookmarkStart w:id="63" w:name="_Toc382573781"/>
      <w:r>
        <w:t>Service component</w:t>
      </w:r>
      <w:bookmarkEnd w:id="63"/>
    </w:p>
    <w:p w:rsidR="0084612B" w:rsidRPr="00A7656F" w:rsidRDefault="0084612B" w:rsidP="0084612B">
      <w:pPr>
        <w:pStyle w:val="AERbodytext"/>
      </w:pPr>
      <w:r>
        <w:t xml:space="preserve">We will </w:t>
      </w:r>
      <w:r w:rsidRPr="00F828EC">
        <w:t xml:space="preserve">apply the service component of version 2 of the STPIS to </w:t>
      </w:r>
      <w:r w:rsidRPr="00A7656F">
        <w:t xml:space="preserve">TransGrid </w:t>
      </w:r>
      <w:r w:rsidR="00812C26" w:rsidRPr="00A7656F">
        <w:t>and Transend</w:t>
      </w:r>
      <w:r w:rsidR="00812C26">
        <w:t xml:space="preserve"> </w:t>
      </w:r>
      <w:r w:rsidRPr="00F828EC">
        <w:t>such that the existing values and parameters will apply in the transitional regulatory year.</w:t>
      </w:r>
      <w:r>
        <w:t xml:space="preserve"> </w:t>
      </w:r>
      <w:r w:rsidR="00812C26">
        <w:fldChar w:fldCharType="begin"/>
      </w:r>
      <w:r w:rsidR="00812C26">
        <w:instrText xml:space="preserve"> REF _Ref381694844 \h </w:instrText>
      </w:r>
      <w:r w:rsidR="00812C26">
        <w:fldChar w:fldCharType="separate"/>
      </w:r>
      <w:r w:rsidR="00B40E3D">
        <w:t xml:space="preserve">Table </w:t>
      </w:r>
      <w:r w:rsidR="00B40E3D">
        <w:rPr>
          <w:noProof/>
        </w:rPr>
        <w:t>5</w:t>
      </w:r>
      <w:r w:rsidR="00B40E3D">
        <w:t>.</w:t>
      </w:r>
      <w:r w:rsidR="00B40E3D">
        <w:rPr>
          <w:noProof/>
        </w:rPr>
        <w:t>1</w:t>
      </w:r>
      <w:r w:rsidR="00812C26">
        <w:fldChar w:fldCharType="end"/>
      </w:r>
      <w:r w:rsidR="00D74801">
        <w:t xml:space="preserve"> </w:t>
      </w:r>
      <w:r w:rsidR="00812C26">
        <w:t xml:space="preserve">and </w:t>
      </w:r>
      <w:r w:rsidR="00812C26">
        <w:fldChar w:fldCharType="begin"/>
      </w:r>
      <w:r w:rsidR="00812C26">
        <w:instrText xml:space="preserve"> REF _Ref381268011 \h </w:instrText>
      </w:r>
      <w:r w:rsidR="00812C26">
        <w:fldChar w:fldCharType="separate"/>
      </w:r>
      <w:r w:rsidR="00B40E3D">
        <w:t xml:space="preserve">Table </w:t>
      </w:r>
      <w:r w:rsidR="00B40E3D">
        <w:rPr>
          <w:noProof/>
        </w:rPr>
        <w:t>5</w:t>
      </w:r>
      <w:r w:rsidR="00B40E3D">
        <w:t>.</w:t>
      </w:r>
      <w:r w:rsidR="00B40E3D">
        <w:rPr>
          <w:noProof/>
        </w:rPr>
        <w:t>2</w:t>
      </w:r>
      <w:r w:rsidR="00812C26">
        <w:fldChar w:fldCharType="end"/>
      </w:r>
      <w:r w:rsidR="00812C26">
        <w:t xml:space="preserve"> set</w:t>
      </w:r>
      <w:r>
        <w:t xml:space="preserve"> out </w:t>
      </w:r>
      <w:r w:rsidR="00812C26">
        <w:t xml:space="preserve">the </w:t>
      </w:r>
      <w:r>
        <w:t xml:space="preserve">performance targets, caps and collars for each parameter to be applied </w:t>
      </w:r>
      <w:r w:rsidR="00812C26">
        <w:t xml:space="preserve">for </w:t>
      </w:r>
      <w:r w:rsidR="00812C26" w:rsidRPr="00A7656F">
        <w:t xml:space="preserve">TransGrid and Transend respectively, </w:t>
      </w:r>
      <w:r w:rsidRPr="00A7656F">
        <w:t xml:space="preserve">in the transitional year. </w:t>
      </w:r>
    </w:p>
    <w:p w:rsidR="0084612B" w:rsidRDefault="0084612B" w:rsidP="0084612B">
      <w:pPr>
        <w:pStyle w:val="Caption"/>
      </w:pPr>
      <w:bookmarkStart w:id="64" w:name="_Ref381694844"/>
      <w:proofErr w:type="gramStart"/>
      <w:r>
        <w:lastRenderedPageBreak/>
        <w:t xml:space="preserve">Table </w:t>
      </w:r>
      <w:fldSimple w:instr=" STYLEREF 1 \s ">
        <w:r w:rsidR="00B40E3D">
          <w:rPr>
            <w:noProof/>
          </w:rPr>
          <w:t>5</w:t>
        </w:r>
      </w:fldSimple>
      <w:r>
        <w:t>.</w:t>
      </w:r>
      <w:proofErr w:type="gramEnd"/>
      <w:r w:rsidR="007827B4">
        <w:fldChar w:fldCharType="begin"/>
      </w:r>
      <w:r w:rsidR="007827B4">
        <w:instrText xml:space="preserve"> SEQ Table \* ARABIC \s 1 </w:instrText>
      </w:r>
      <w:r w:rsidR="007827B4">
        <w:fldChar w:fldCharType="separate"/>
      </w:r>
      <w:r w:rsidR="00B40E3D">
        <w:rPr>
          <w:noProof/>
        </w:rPr>
        <w:t>1</w:t>
      </w:r>
      <w:r w:rsidR="007827B4">
        <w:rPr>
          <w:noProof/>
        </w:rPr>
        <w:fldChar w:fldCharType="end"/>
      </w:r>
      <w:bookmarkEnd w:id="64"/>
      <w:r>
        <w:tab/>
        <w:t xml:space="preserve">AER’s transitional decision for </w:t>
      </w:r>
      <w:r w:rsidRPr="00A7656F">
        <w:t>TransGrid</w:t>
      </w:r>
      <w:r>
        <w:t xml:space="preserve"> on parameter values for the service component of the STPIS</w:t>
      </w:r>
    </w:p>
    <w:tbl>
      <w:tblPr>
        <w:tblStyle w:val="AERtable-numbers"/>
        <w:tblW w:w="0" w:type="auto"/>
        <w:tblLook w:val="04A0" w:firstRow="1" w:lastRow="0" w:firstColumn="1" w:lastColumn="0" w:noHBand="0" w:noVBand="1"/>
      </w:tblPr>
      <w:tblGrid>
        <w:gridCol w:w="2802"/>
        <w:gridCol w:w="1503"/>
        <w:gridCol w:w="1646"/>
        <w:gridCol w:w="1645"/>
        <w:gridCol w:w="1646"/>
      </w:tblGrid>
      <w:tr w:rsidR="0084612B" w:rsidTr="007024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4612B" w:rsidRDefault="0084612B" w:rsidP="00D9669E">
            <w:pPr>
              <w:pStyle w:val="AERbodytext"/>
              <w:numPr>
                <w:ilvl w:val="0"/>
                <w:numId w:val="0"/>
              </w:numPr>
            </w:pPr>
          </w:p>
        </w:tc>
        <w:tc>
          <w:tcPr>
            <w:tcW w:w="1503" w:type="dxa"/>
          </w:tcPr>
          <w:p w:rsidR="0084612B" w:rsidRDefault="0084612B" w:rsidP="00D9669E">
            <w:pPr>
              <w:pStyle w:val="AERtabletextright"/>
              <w:cnfStyle w:val="100000000000" w:firstRow="1" w:lastRow="0" w:firstColumn="0" w:lastColumn="0" w:oddVBand="0" w:evenVBand="0" w:oddHBand="0" w:evenHBand="0" w:firstRowFirstColumn="0" w:firstRowLastColumn="0" w:lastRowFirstColumn="0" w:lastRowLastColumn="0"/>
            </w:pPr>
            <w:r>
              <w:t>Collar</w:t>
            </w:r>
          </w:p>
        </w:tc>
        <w:tc>
          <w:tcPr>
            <w:tcW w:w="1646" w:type="dxa"/>
          </w:tcPr>
          <w:p w:rsidR="0084612B" w:rsidRDefault="0084612B" w:rsidP="00D9669E">
            <w:pPr>
              <w:pStyle w:val="AERtabletextright"/>
              <w:cnfStyle w:val="100000000000" w:firstRow="1" w:lastRow="0" w:firstColumn="0" w:lastColumn="0" w:oddVBand="0" w:evenVBand="0" w:oddHBand="0" w:evenHBand="0" w:firstRowFirstColumn="0" w:firstRowLastColumn="0" w:lastRowFirstColumn="0" w:lastRowLastColumn="0"/>
            </w:pPr>
            <w:r>
              <w:t>Target</w:t>
            </w:r>
          </w:p>
        </w:tc>
        <w:tc>
          <w:tcPr>
            <w:tcW w:w="1645" w:type="dxa"/>
          </w:tcPr>
          <w:p w:rsidR="0084612B" w:rsidRDefault="0084612B" w:rsidP="00D9669E">
            <w:pPr>
              <w:pStyle w:val="AERtabletextright"/>
              <w:cnfStyle w:val="100000000000" w:firstRow="1" w:lastRow="0" w:firstColumn="0" w:lastColumn="0" w:oddVBand="0" w:evenVBand="0" w:oddHBand="0" w:evenHBand="0" w:firstRowFirstColumn="0" w:firstRowLastColumn="0" w:lastRowFirstColumn="0" w:lastRowLastColumn="0"/>
            </w:pPr>
            <w:r>
              <w:t>Cap</w:t>
            </w:r>
          </w:p>
        </w:tc>
        <w:tc>
          <w:tcPr>
            <w:tcW w:w="1646" w:type="dxa"/>
          </w:tcPr>
          <w:p w:rsidR="00D16FCA" w:rsidRDefault="0084612B" w:rsidP="00D9669E">
            <w:pPr>
              <w:pStyle w:val="AERtabletextright"/>
              <w:cnfStyle w:val="100000000000" w:firstRow="1" w:lastRow="0" w:firstColumn="0" w:lastColumn="0" w:oddVBand="0" w:evenVBand="0" w:oddHBand="0" w:evenHBand="0" w:firstRowFirstColumn="0" w:firstRowLastColumn="0" w:lastRowFirstColumn="0" w:lastRowLastColumn="0"/>
            </w:pPr>
            <w:r>
              <w:t xml:space="preserve">Weighting </w:t>
            </w:r>
          </w:p>
          <w:p w:rsidR="0084612B" w:rsidRDefault="0084612B" w:rsidP="00D9669E">
            <w:pPr>
              <w:pStyle w:val="AERtabletextright"/>
              <w:cnfStyle w:val="100000000000" w:firstRow="1" w:lastRow="0" w:firstColumn="0" w:lastColumn="0" w:oddVBand="0" w:evenVBand="0" w:oddHBand="0" w:evenHBand="0" w:firstRowFirstColumn="0" w:firstRowLastColumn="0" w:lastRowFirstColumn="0" w:lastRowLastColumn="0"/>
            </w:pPr>
            <w:r>
              <w:t>(% of MAR)</w:t>
            </w:r>
          </w:p>
        </w:tc>
      </w:tr>
      <w:tr w:rsidR="0084612B" w:rsidRPr="00230EF1" w:rsidTr="007024B8">
        <w:tc>
          <w:tcPr>
            <w:cnfStyle w:val="001000000000" w:firstRow="0" w:lastRow="0" w:firstColumn="1" w:lastColumn="0" w:oddVBand="0" w:evenVBand="0" w:oddHBand="0" w:evenHBand="0" w:firstRowFirstColumn="0" w:firstRowLastColumn="0" w:lastRowFirstColumn="0" w:lastRowLastColumn="0"/>
            <w:tcW w:w="2802" w:type="dxa"/>
            <w:vAlign w:val="top"/>
          </w:tcPr>
          <w:p w:rsidR="0084612B" w:rsidRPr="003D28A7" w:rsidRDefault="0084612B" w:rsidP="00D9669E">
            <w:pPr>
              <w:rPr>
                <w:i/>
              </w:rPr>
            </w:pPr>
            <w:r w:rsidRPr="003D28A7">
              <w:rPr>
                <w:i/>
              </w:rPr>
              <w:t>Transmission circuit availability</w:t>
            </w:r>
            <w:r w:rsidR="00D16FCA">
              <w:rPr>
                <w:i/>
              </w:rPr>
              <w:t xml:space="preserve"> (%)</w:t>
            </w:r>
            <w:r w:rsidRPr="003D28A7">
              <w:rPr>
                <w:i/>
              </w:rPr>
              <w:t xml:space="preserve"> </w:t>
            </w:r>
          </w:p>
        </w:tc>
        <w:tc>
          <w:tcPr>
            <w:tcW w:w="1503" w:type="dxa"/>
            <w:vAlign w:val="top"/>
          </w:tcPr>
          <w:p w:rsidR="0084612B" w:rsidRPr="00230EF1" w:rsidRDefault="0084612B" w:rsidP="00D9669E">
            <w:pPr>
              <w:cnfStyle w:val="000000000000" w:firstRow="0" w:lastRow="0" w:firstColumn="0" w:lastColumn="0" w:oddVBand="0" w:evenVBand="0" w:oddHBand="0" w:evenHBand="0" w:firstRowFirstColumn="0" w:firstRowLastColumn="0" w:lastRowFirstColumn="0" w:lastRowLastColumn="0"/>
            </w:pPr>
          </w:p>
        </w:tc>
        <w:tc>
          <w:tcPr>
            <w:tcW w:w="1646" w:type="dxa"/>
          </w:tcPr>
          <w:p w:rsidR="0084612B" w:rsidRPr="00230EF1"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p>
        </w:tc>
        <w:tc>
          <w:tcPr>
            <w:tcW w:w="1645" w:type="dxa"/>
          </w:tcPr>
          <w:p w:rsidR="0084612B" w:rsidRPr="00230EF1"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p>
        </w:tc>
        <w:tc>
          <w:tcPr>
            <w:tcW w:w="1646" w:type="dxa"/>
          </w:tcPr>
          <w:p w:rsidR="0084612B" w:rsidRPr="00230EF1"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p>
        </w:tc>
      </w:tr>
      <w:tr w:rsidR="0084612B" w:rsidTr="00702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4612B" w:rsidRDefault="0084612B" w:rsidP="00D9669E">
            <w:pPr>
              <w:pStyle w:val="AERtabletextleft"/>
            </w:pPr>
            <w:r w:rsidRPr="00DC1638">
              <w:t>Transmission line availability</w:t>
            </w:r>
          </w:p>
        </w:tc>
        <w:tc>
          <w:tcPr>
            <w:tcW w:w="1503"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rsidRPr="0059768B">
              <w:t>99.05</w:t>
            </w:r>
          </w:p>
        </w:tc>
        <w:tc>
          <w:tcPr>
            <w:tcW w:w="1646"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99.26</w:t>
            </w:r>
          </w:p>
        </w:tc>
        <w:tc>
          <w:tcPr>
            <w:tcW w:w="1645"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99.36</w:t>
            </w:r>
          </w:p>
        </w:tc>
        <w:tc>
          <w:tcPr>
            <w:tcW w:w="1646"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0.20</w:t>
            </w:r>
          </w:p>
        </w:tc>
      </w:tr>
      <w:tr w:rsidR="0084612B" w:rsidTr="007024B8">
        <w:tc>
          <w:tcPr>
            <w:cnfStyle w:val="001000000000" w:firstRow="0" w:lastRow="0" w:firstColumn="1" w:lastColumn="0" w:oddVBand="0" w:evenVBand="0" w:oddHBand="0" w:evenHBand="0" w:firstRowFirstColumn="0" w:firstRowLastColumn="0" w:lastRowFirstColumn="0" w:lastRowLastColumn="0"/>
            <w:tcW w:w="2802" w:type="dxa"/>
          </w:tcPr>
          <w:p w:rsidR="0084612B" w:rsidRDefault="0084612B" w:rsidP="00D9669E">
            <w:pPr>
              <w:pStyle w:val="AERtabletextleft"/>
            </w:pPr>
            <w:r w:rsidRPr="00DC1638">
              <w:t>Transformer availability</w:t>
            </w:r>
          </w:p>
        </w:tc>
        <w:tc>
          <w:tcPr>
            <w:tcW w:w="1503"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97.33</w:t>
            </w:r>
          </w:p>
        </w:tc>
        <w:tc>
          <w:tcPr>
            <w:tcW w:w="1646"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98.61</w:t>
            </w:r>
          </w:p>
        </w:tc>
        <w:tc>
          <w:tcPr>
            <w:tcW w:w="1645"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98.89</w:t>
            </w:r>
          </w:p>
        </w:tc>
        <w:tc>
          <w:tcPr>
            <w:tcW w:w="1646"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0.15</w:t>
            </w:r>
          </w:p>
        </w:tc>
      </w:tr>
      <w:tr w:rsidR="0084612B" w:rsidTr="00702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4612B" w:rsidRDefault="0084612B" w:rsidP="00D9669E">
            <w:pPr>
              <w:pStyle w:val="AERtabletextleft"/>
            </w:pPr>
            <w:r w:rsidRPr="00DC1638">
              <w:t>Reactive plant availability</w:t>
            </w:r>
          </w:p>
        </w:tc>
        <w:tc>
          <w:tcPr>
            <w:tcW w:w="1503"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98.65</w:t>
            </w:r>
          </w:p>
        </w:tc>
        <w:tc>
          <w:tcPr>
            <w:tcW w:w="1646"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99.12</w:t>
            </w:r>
          </w:p>
        </w:tc>
        <w:tc>
          <w:tcPr>
            <w:tcW w:w="1645"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99.33</w:t>
            </w:r>
          </w:p>
        </w:tc>
        <w:tc>
          <w:tcPr>
            <w:tcW w:w="1646"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0.10</w:t>
            </w:r>
          </w:p>
        </w:tc>
      </w:tr>
      <w:tr w:rsidR="0084612B" w:rsidRPr="003D28A7" w:rsidTr="007024B8">
        <w:tc>
          <w:tcPr>
            <w:cnfStyle w:val="001000000000" w:firstRow="0" w:lastRow="0" w:firstColumn="1" w:lastColumn="0" w:oddVBand="0" w:evenVBand="0" w:oddHBand="0" w:evenHBand="0" w:firstRowFirstColumn="0" w:firstRowLastColumn="0" w:lastRowFirstColumn="0" w:lastRowLastColumn="0"/>
            <w:tcW w:w="2802" w:type="dxa"/>
          </w:tcPr>
          <w:p w:rsidR="0084612B" w:rsidRPr="003D28A7" w:rsidRDefault="0084612B" w:rsidP="00D9669E">
            <w:pPr>
              <w:rPr>
                <w:i/>
              </w:rPr>
            </w:pPr>
            <w:r w:rsidRPr="003D28A7">
              <w:rPr>
                <w:i/>
              </w:rPr>
              <w:t>Loss of supply event frequency (No.)</w:t>
            </w:r>
          </w:p>
        </w:tc>
        <w:tc>
          <w:tcPr>
            <w:tcW w:w="1503" w:type="dxa"/>
          </w:tcPr>
          <w:p w:rsidR="0084612B" w:rsidRPr="003D28A7" w:rsidRDefault="0084612B" w:rsidP="00D9669E">
            <w:pPr>
              <w:pStyle w:val="AERtabletextright"/>
              <w:cnfStyle w:val="000000000000" w:firstRow="0" w:lastRow="0" w:firstColumn="0" w:lastColumn="0" w:oddVBand="0" w:evenVBand="0" w:oddHBand="0" w:evenHBand="0" w:firstRowFirstColumn="0" w:firstRowLastColumn="0" w:lastRowFirstColumn="0" w:lastRowLastColumn="0"/>
              <w:rPr>
                <w:i/>
              </w:rPr>
            </w:pPr>
          </w:p>
        </w:tc>
        <w:tc>
          <w:tcPr>
            <w:tcW w:w="1646" w:type="dxa"/>
          </w:tcPr>
          <w:p w:rsidR="0084612B" w:rsidRPr="003D28A7" w:rsidRDefault="0084612B" w:rsidP="00D9669E">
            <w:pPr>
              <w:pStyle w:val="AERtabletextright"/>
              <w:cnfStyle w:val="000000000000" w:firstRow="0" w:lastRow="0" w:firstColumn="0" w:lastColumn="0" w:oddVBand="0" w:evenVBand="0" w:oddHBand="0" w:evenHBand="0" w:firstRowFirstColumn="0" w:firstRowLastColumn="0" w:lastRowFirstColumn="0" w:lastRowLastColumn="0"/>
              <w:rPr>
                <w:i/>
              </w:rPr>
            </w:pPr>
          </w:p>
        </w:tc>
        <w:tc>
          <w:tcPr>
            <w:tcW w:w="1645" w:type="dxa"/>
          </w:tcPr>
          <w:p w:rsidR="0084612B" w:rsidRPr="003D28A7" w:rsidRDefault="0084612B" w:rsidP="00D9669E">
            <w:pPr>
              <w:pStyle w:val="AERtabletextright"/>
              <w:cnfStyle w:val="000000000000" w:firstRow="0" w:lastRow="0" w:firstColumn="0" w:lastColumn="0" w:oddVBand="0" w:evenVBand="0" w:oddHBand="0" w:evenHBand="0" w:firstRowFirstColumn="0" w:firstRowLastColumn="0" w:lastRowFirstColumn="0" w:lastRowLastColumn="0"/>
              <w:rPr>
                <w:i/>
              </w:rPr>
            </w:pPr>
          </w:p>
        </w:tc>
        <w:tc>
          <w:tcPr>
            <w:tcW w:w="1646" w:type="dxa"/>
          </w:tcPr>
          <w:p w:rsidR="0084612B" w:rsidRPr="003D28A7" w:rsidRDefault="0084612B" w:rsidP="00D9669E">
            <w:pPr>
              <w:pStyle w:val="AERtabletextright"/>
              <w:cnfStyle w:val="000000000000" w:firstRow="0" w:lastRow="0" w:firstColumn="0" w:lastColumn="0" w:oddVBand="0" w:evenVBand="0" w:oddHBand="0" w:evenHBand="0" w:firstRowFirstColumn="0" w:firstRowLastColumn="0" w:lastRowFirstColumn="0" w:lastRowLastColumn="0"/>
              <w:rPr>
                <w:i/>
              </w:rPr>
            </w:pPr>
          </w:p>
        </w:tc>
      </w:tr>
      <w:tr w:rsidR="0084612B" w:rsidTr="00702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4612B" w:rsidRDefault="0084612B" w:rsidP="00D9669E">
            <w:pPr>
              <w:pStyle w:val="AERtabletextleft"/>
            </w:pPr>
            <w:r w:rsidRPr="00230EF1">
              <w:t>&gt;0.05 (x) system minutes</w:t>
            </w:r>
          </w:p>
        </w:tc>
        <w:tc>
          <w:tcPr>
            <w:tcW w:w="1503"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7</w:t>
            </w:r>
          </w:p>
        </w:tc>
        <w:tc>
          <w:tcPr>
            <w:tcW w:w="1646"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4</w:t>
            </w:r>
          </w:p>
        </w:tc>
        <w:tc>
          <w:tcPr>
            <w:tcW w:w="1645"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2</w:t>
            </w:r>
          </w:p>
        </w:tc>
        <w:tc>
          <w:tcPr>
            <w:tcW w:w="1646"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0.25</w:t>
            </w:r>
          </w:p>
        </w:tc>
      </w:tr>
      <w:tr w:rsidR="0084612B" w:rsidTr="007024B8">
        <w:tc>
          <w:tcPr>
            <w:cnfStyle w:val="001000000000" w:firstRow="0" w:lastRow="0" w:firstColumn="1" w:lastColumn="0" w:oddVBand="0" w:evenVBand="0" w:oddHBand="0" w:evenHBand="0" w:firstRowFirstColumn="0" w:firstRowLastColumn="0" w:lastRowFirstColumn="0" w:lastRowLastColumn="0"/>
            <w:tcW w:w="2802" w:type="dxa"/>
          </w:tcPr>
          <w:p w:rsidR="0084612B" w:rsidRDefault="0084612B" w:rsidP="00D9669E">
            <w:pPr>
              <w:pStyle w:val="AERtabletextleft"/>
            </w:pPr>
            <w:r w:rsidRPr="00230EF1">
              <w:t>&gt;0.25 (y) system minutes</w:t>
            </w:r>
          </w:p>
        </w:tc>
        <w:tc>
          <w:tcPr>
            <w:tcW w:w="1503"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2</w:t>
            </w:r>
          </w:p>
        </w:tc>
        <w:tc>
          <w:tcPr>
            <w:tcW w:w="1646"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1</w:t>
            </w:r>
          </w:p>
        </w:tc>
        <w:tc>
          <w:tcPr>
            <w:tcW w:w="1645"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0</w:t>
            </w:r>
          </w:p>
        </w:tc>
        <w:tc>
          <w:tcPr>
            <w:tcW w:w="1646"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0.10</w:t>
            </w:r>
          </w:p>
        </w:tc>
      </w:tr>
      <w:tr w:rsidR="0084612B" w:rsidRPr="003D28A7" w:rsidTr="00702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4612B" w:rsidRPr="003D28A7" w:rsidRDefault="0084612B" w:rsidP="00D9669E">
            <w:pPr>
              <w:pStyle w:val="AERtabletextleft"/>
              <w:rPr>
                <w:rStyle w:val="AERtextbold"/>
                <w:b w:val="0"/>
                <w:i/>
              </w:rPr>
            </w:pPr>
            <w:r w:rsidRPr="003D28A7">
              <w:rPr>
                <w:rStyle w:val="AERtextbold"/>
                <w:b w:val="0"/>
                <w:i/>
              </w:rPr>
              <w:t>Average outage duration</w:t>
            </w:r>
            <w:r w:rsidR="00D16FCA">
              <w:rPr>
                <w:rStyle w:val="AERtextbold"/>
                <w:b w:val="0"/>
                <w:i/>
              </w:rPr>
              <w:t xml:space="preserve"> (minutes) </w:t>
            </w:r>
          </w:p>
        </w:tc>
        <w:tc>
          <w:tcPr>
            <w:tcW w:w="1503" w:type="dxa"/>
          </w:tcPr>
          <w:p w:rsidR="0084612B" w:rsidRPr="003D28A7" w:rsidRDefault="0084612B" w:rsidP="00D9669E">
            <w:pPr>
              <w:pStyle w:val="AERtabletextright"/>
              <w:cnfStyle w:val="000000010000" w:firstRow="0" w:lastRow="0" w:firstColumn="0" w:lastColumn="0" w:oddVBand="0" w:evenVBand="0" w:oddHBand="0" w:evenHBand="1" w:firstRowFirstColumn="0" w:firstRowLastColumn="0" w:lastRowFirstColumn="0" w:lastRowLastColumn="0"/>
              <w:rPr>
                <w:i/>
              </w:rPr>
            </w:pPr>
          </w:p>
        </w:tc>
        <w:tc>
          <w:tcPr>
            <w:tcW w:w="1646" w:type="dxa"/>
          </w:tcPr>
          <w:p w:rsidR="0084612B" w:rsidRPr="003D28A7" w:rsidRDefault="0084612B" w:rsidP="00D9669E">
            <w:pPr>
              <w:pStyle w:val="AERtabletextright"/>
              <w:cnfStyle w:val="000000010000" w:firstRow="0" w:lastRow="0" w:firstColumn="0" w:lastColumn="0" w:oddVBand="0" w:evenVBand="0" w:oddHBand="0" w:evenHBand="1" w:firstRowFirstColumn="0" w:firstRowLastColumn="0" w:lastRowFirstColumn="0" w:lastRowLastColumn="0"/>
              <w:rPr>
                <w:i/>
              </w:rPr>
            </w:pPr>
          </w:p>
        </w:tc>
        <w:tc>
          <w:tcPr>
            <w:tcW w:w="1645" w:type="dxa"/>
          </w:tcPr>
          <w:p w:rsidR="0084612B" w:rsidRPr="003D28A7" w:rsidRDefault="0084612B" w:rsidP="00D9669E">
            <w:pPr>
              <w:pStyle w:val="AERtabletextright"/>
              <w:cnfStyle w:val="000000010000" w:firstRow="0" w:lastRow="0" w:firstColumn="0" w:lastColumn="0" w:oddVBand="0" w:evenVBand="0" w:oddHBand="0" w:evenHBand="1" w:firstRowFirstColumn="0" w:firstRowLastColumn="0" w:lastRowFirstColumn="0" w:lastRowLastColumn="0"/>
              <w:rPr>
                <w:i/>
              </w:rPr>
            </w:pPr>
          </w:p>
        </w:tc>
        <w:tc>
          <w:tcPr>
            <w:tcW w:w="1646" w:type="dxa"/>
          </w:tcPr>
          <w:p w:rsidR="0084612B" w:rsidRPr="003D28A7" w:rsidRDefault="0084612B" w:rsidP="00D9669E">
            <w:pPr>
              <w:pStyle w:val="AERtabletextright"/>
              <w:cnfStyle w:val="000000010000" w:firstRow="0" w:lastRow="0" w:firstColumn="0" w:lastColumn="0" w:oddVBand="0" w:evenVBand="0" w:oddHBand="0" w:evenHBand="1" w:firstRowFirstColumn="0" w:firstRowLastColumn="0" w:lastRowFirstColumn="0" w:lastRowLastColumn="0"/>
              <w:rPr>
                <w:i/>
              </w:rPr>
            </w:pPr>
          </w:p>
        </w:tc>
      </w:tr>
      <w:tr w:rsidR="0084612B" w:rsidTr="007024B8">
        <w:tc>
          <w:tcPr>
            <w:cnfStyle w:val="001000000000" w:firstRow="0" w:lastRow="0" w:firstColumn="1" w:lastColumn="0" w:oddVBand="0" w:evenVBand="0" w:oddHBand="0" w:evenHBand="0" w:firstRowFirstColumn="0" w:firstRowLastColumn="0" w:lastRowFirstColumn="0" w:lastRowLastColumn="0"/>
            <w:tcW w:w="2802" w:type="dxa"/>
          </w:tcPr>
          <w:p w:rsidR="0084612B" w:rsidRDefault="0084612B" w:rsidP="00D9669E">
            <w:pPr>
              <w:pStyle w:val="AERtabletextleft"/>
            </w:pPr>
            <w:r>
              <w:t>Total</w:t>
            </w:r>
          </w:p>
        </w:tc>
        <w:tc>
          <w:tcPr>
            <w:tcW w:w="1503"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999</w:t>
            </w:r>
          </w:p>
        </w:tc>
        <w:tc>
          <w:tcPr>
            <w:tcW w:w="1646"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824</w:t>
            </w:r>
          </w:p>
        </w:tc>
        <w:tc>
          <w:tcPr>
            <w:tcW w:w="1645"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649</w:t>
            </w:r>
          </w:p>
        </w:tc>
        <w:tc>
          <w:tcPr>
            <w:tcW w:w="1646"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0.20</w:t>
            </w:r>
          </w:p>
        </w:tc>
      </w:tr>
    </w:tbl>
    <w:p w:rsidR="0084612B" w:rsidRDefault="0084612B" w:rsidP="0084612B">
      <w:pPr>
        <w:pStyle w:val="AERtablesource"/>
      </w:pPr>
      <w:r>
        <w:t xml:space="preserve">Source: </w:t>
      </w:r>
      <w:r w:rsidR="00D74801">
        <w:t xml:space="preserve">AER, </w:t>
      </w:r>
      <w:r w:rsidRPr="00D53288">
        <w:rPr>
          <w:i/>
        </w:rPr>
        <w:t xml:space="preserve">TransGrid </w:t>
      </w:r>
      <w:r w:rsidR="00D74801" w:rsidRPr="00D53288">
        <w:rPr>
          <w:i/>
        </w:rPr>
        <w:t xml:space="preserve">Transmission </w:t>
      </w:r>
      <w:r w:rsidRPr="00D53288">
        <w:rPr>
          <w:i/>
        </w:rPr>
        <w:t xml:space="preserve">Determination </w:t>
      </w:r>
      <w:r w:rsidR="00D74801" w:rsidRPr="00D53288">
        <w:rPr>
          <w:i/>
        </w:rPr>
        <w:t>2009–10 to 2013–14</w:t>
      </w:r>
      <w:r>
        <w:t>, table 4</w:t>
      </w:r>
      <w:r w:rsidR="007D20C1">
        <w:t>, 28 April 2009</w:t>
      </w:r>
      <w:r w:rsidR="00876B36">
        <w:t>, p. 3</w:t>
      </w:r>
      <w:r w:rsidR="007D20C1">
        <w:t>.</w:t>
      </w:r>
    </w:p>
    <w:p w:rsidR="0084612B" w:rsidRDefault="0084612B" w:rsidP="0084612B">
      <w:pPr>
        <w:pStyle w:val="Caption"/>
      </w:pPr>
      <w:bookmarkStart w:id="65" w:name="_Ref381268011"/>
      <w:proofErr w:type="gramStart"/>
      <w:r>
        <w:t xml:space="preserve">Table </w:t>
      </w:r>
      <w:fldSimple w:instr=" STYLEREF 1 \s ">
        <w:r w:rsidR="00B40E3D">
          <w:rPr>
            <w:noProof/>
          </w:rPr>
          <w:t>5</w:t>
        </w:r>
      </w:fldSimple>
      <w:r>
        <w:t>.</w:t>
      </w:r>
      <w:proofErr w:type="gramEnd"/>
      <w:r w:rsidR="007827B4">
        <w:fldChar w:fldCharType="begin"/>
      </w:r>
      <w:r w:rsidR="007827B4">
        <w:instrText xml:space="preserve"> SEQ Table \* ARABIC \s 1 </w:instrText>
      </w:r>
      <w:r w:rsidR="007827B4">
        <w:fldChar w:fldCharType="separate"/>
      </w:r>
      <w:r w:rsidR="00B40E3D">
        <w:rPr>
          <w:noProof/>
        </w:rPr>
        <w:t>2</w:t>
      </w:r>
      <w:r w:rsidR="007827B4">
        <w:rPr>
          <w:noProof/>
        </w:rPr>
        <w:fldChar w:fldCharType="end"/>
      </w:r>
      <w:bookmarkEnd w:id="65"/>
      <w:r>
        <w:tab/>
        <w:t xml:space="preserve">AER’s transitional decision for </w:t>
      </w:r>
      <w:r w:rsidRPr="00A7656F">
        <w:t>Transend</w:t>
      </w:r>
      <w:r>
        <w:t xml:space="preserve"> on parameter values for the service component of the STPIS</w:t>
      </w:r>
    </w:p>
    <w:tbl>
      <w:tblPr>
        <w:tblStyle w:val="AERtable-numbers"/>
        <w:tblW w:w="0" w:type="auto"/>
        <w:tblLook w:val="04A0" w:firstRow="1" w:lastRow="0" w:firstColumn="1" w:lastColumn="0" w:noHBand="0" w:noVBand="1"/>
      </w:tblPr>
      <w:tblGrid>
        <w:gridCol w:w="2802"/>
        <w:gridCol w:w="1503"/>
        <w:gridCol w:w="1646"/>
        <w:gridCol w:w="1645"/>
        <w:gridCol w:w="1646"/>
      </w:tblGrid>
      <w:tr w:rsidR="0084612B" w:rsidTr="007024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4612B" w:rsidRDefault="0084612B" w:rsidP="00D9669E">
            <w:pPr>
              <w:pStyle w:val="AERbodytext"/>
              <w:numPr>
                <w:ilvl w:val="0"/>
                <w:numId w:val="0"/>
              </w:numPr>
            </w:pPr>
          </w:p>
        </w:tc>
        <w:tc>
          <w:tcPr>
            <w:tcW w:w="1503" w:type="dxa"/>
          </w:tcPr>
          <w:p w:rsidR="0084612B" w:rsidRDefault="0084612B" w:rsidP="00D9669E">
            <w:pPr>
              <w:pStyle w:val="AERtabletextright"/>
              <w:cnfStyle w:val="100000000000" w:firstRow="1" w:lastRow="0" w:firstColumn="0" w:lastColumn="0" w:oddVBand="0" w:evenVBand="0" w:oddHBand="0" w:evenHBand="0" w:firstRowFirstColumn="0" w:firstRowLastColumn="0" w:lastRowFirstColumn="0" w:lastRowLastColumn="0"/>
            </w:pPr>
            <w:r>
              <w:t>Collar</w:t>
            </w:r>
          </w:p>
        </w:tc>
        <w:tc>
          <w:tcPr>
            <w:tcW w:w="1646" w:type="dxa"/>
          </w:tcPr>
          <w:p w:rsidR="0084612B" w:rsidRDefault="0084612B" w:rsidP="00D9669E">
            <w:pPr>
              <w:pStyle w:val="AERtabletextright"/>
              <w:cnfStyle w:val="100000000000" w:firstRow="1" w:lastRow="0" w:firstColumn="0" w:lastColumn="0" w:oddVBand="0" w:evenVBand="0" w:oddHBand="0" w:evenHBand="0" w:firstRowFirstColumn="0" w:firstRowLastColumn="0" w:lastRowFirstColumn="0" w:lastRowLastColumn="0"/>
            </w:pPr>
            <w:r>
              <w:t>Target</w:t>
            </w:r>
          </w:p>
        </w:tc>
        <w:tc>
          <w:tcPr>
            <w:tcW w:w="1645" w:type="dxa"/>
          </w:tcPr>
          <w:p w:rsidR="0084612B" w:rsidRDefault="0084612B" w:rsidP="00D9669E">
            <w:pPr>
              <w:pStyle w:val="AERtabletextright"/>
              <w:cnfStyle w:val="100000000000" w:firstRow="1" w:lastRow="0" w:firstColumn="0" w:lastColumn="0" w:oddVBand="0" w:evenVBand="0" w:oddHBand="0" w:evenHBand="0" w:firstRowFirstColumn="0" w:firstRowLastColumn="0" w:lastRowFirstColumn="0" w:lastRowLastColumn="0"/>
            </w:pPr>
            <w:r>
              <w:t>Cap</w:t>
            </w:r>
          </w:p>
        </w:tc>
        <w:tc>
          <w:tcPr>
            <w:tcW w:w="1646" w:type="dxa"/>
          </w:tcPr>
          <w:p w:rsidR="00D16FCA" w:rsidRDefault="0084612B" w:rsidP="00D9669E">
            <w:pPr>
              <w:pStyle w:val="AERtabletextright"/>
              <w:cnfStyle w:val="100000000000" w:firstRow="1" w:lastRow="0" w:firstColumn="0" w:lastColumn="0" w:oddVBand="0" w:evenVBand="0" w:oddHBand="0" w:evenHBand="0" w:firstRowFirstColumn="0" w:firstRowLastColumn="0" w:lastRowFirstColumn="0" w:lastRowLastColumn="0"/>
            </w:pPr>
            <w:r>
              <w:t xml:space="preserve">Weighting </w:t>
            </w:r>
          </w:p>
          <w:p w:rsidR="0084612B" w:rsidRDefault="0084612B" w:rsidP="00D9669E">
            <w:pPr>
              <w:pStyle w:val="AERtabletextright"/>
              <w:cnfStyle w:val="100000000000" w:firstRow="1" w:lastRow="0" w:firstColumn="0" w:lastColumn="0" w:oddVBand="0" w:evenVBand="0" w:oddHBand="0" w:evenHBand="0" w:firstRowFirstColumn="0" w:firstRowLastColumn="0" w:lastRowFirstColumn="0" w:lastRowLastColumn="0"/>
            </w:pPr>
            <w:r>
              <w:t>(% of MAR)</w:t>
            </w:r>
          </w:p>
        </w:tc>
      </w:tr>
      <w:tr w:rsidR="0084612B" w:rsidRPr="00230EF1" w:rsidTr="00D16FCA">
        <w:tc>
          <w:tcPr>
            <w:cnfStyle w:val="001000000000" w:firstRow="0" w:lastRow="0" w:firstColumn="1" w:lastColumn="0" w:oddVBand="0" w:evenVBand="0" w:oddHBand="0" w:evenHBand="0" w:firstRowFirstColumn="0" w:firstRowLastColumn="0" w:lastRowFirstColumn="0" w:lastRowLastColumn="0"/>
            <w:tcW w:w="2802" w:type="dxa"/>
            <w:vAlign w:val="top"/>
          </w:tcPr>
          <w:p w:rsidR="0084612B" w:rsidRPr="003D28A7" w:rsidRDefault="00D16FCA" w:rsidP="00D9669E">
            <w:pPr>
              <w:rPr>
                <w:i/>
              </w:rPr>
            </w:pPr>
            <w:r w:rsidRPr="003D28A7">
              <w:rPr>
                <w:i/>
              </w:rPr>
              <w:t>Transmission</w:t>
            </w:r>
            <w:r>
              <w:rPr>
                <w:i/>
              </w:rPr>
              <w:t xml:space="preserve"> c</w:t>
            </w:r>
            <w:r w:rsidR="0084612B" w:rsidRPr="003D28A7">
              <w:rPr>
                <w:i/>
              </w:rPr>
              <w:t>ircuit availability</w:t>
            </w:r>
            <w:r w:rsidR="009175CB">
              <w:rPr>
                <w:i/>
              </w:rPr>
              <w:t xml:space="preserve"> (%)</w:t>
            </w:r>
            <w:r w:rsidR="0084612B" w:rsidRPr="003D28A7">
              <w:rPr>
                <w:i/>
              </w:rPr>
              <w:t xml:space="preserve"> </w:t>
            </w:r>
          </w:p>
        </w:tc>
        <w:tc>
          <w:tcPr>
            <w:tcW w:w="1503" w:type="dxa"/>
            <w:vAlign w:val="top"/>
          </w:tcPr>
          <w:p w:rsidR="0084612B" w:rsidRPr="00230EF1" w:rsidRDefault="0084612B" w:rsidP="00D9669E">
            <w:pPr>
              <w:cnfStyle w:val="000000000000" w:firstRow="0" w:lastRow="0" w:firstColumn="0" w:lastColumn="0" w:oddVBand="0" w:evenVBand="0" w:oddHBand="0" w:evenHBand="0" w:firstRowFirstColumn="0" w:firstRowLastColumn="0" w:lastRowFirstColumn="0" w:lastRowLastColumn="0"/>
            </w:pPr>
          </w:p>
        </w:tc>
        <w:tc>
          <w:tcPr>
            <w:tcW w:w="1646" w:type="dxa"/>
          </w:tcPr>
          <w:p w:rsidR="0084612B" w:rsidRPr="00230EF1"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p>
        </w:tc>
        <w:tc>
          <w:tcPr>
            <w:tcW w:w="1645" w:type="dxa"/>
          </w:tcPr>
          <w:p w:rsidR="0084612B" w:rsidRPr="00230EF1"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p>
        </w:tc>
        <w:tc>
          <w:tcPr>
            <w:tcW w:w="1646" w:type="dxa"/>
          </w:tcPr>
          <w:p w:rsidR="0084612B" w:rsidRPr="00D53288" w:rsidRDefault="0084612B" w:rsidP="00D9669E">
            <w:pPr>
              <w:pStyle w:val="AERtabletextright"/>
              <w:cnfStyle w:val="000000000000" w:firstRow="0" w:lastRow="0" w:firstColumn="0" w:lastColumn="0" w:oddVBand="0" w:evenVBand="0" w:oddHBand="0" w:evenHBand="0" w:firstRowFirstColumn="0" w:firstRowLastColumn="0" w:lastRowFirstColumn="0" w:lastRowLastColumn="0"/>
              <w:rPr>
                <w:i/>
              </w:rPr>
            </w:pPr>
          </w:p>
        </w:tc>
      </w:tr>
      <w:tr w:rsidR="0084612B" w:rsidTr="00702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4612B" w:rsidRDefault="0084612B" w:rsidP="00D9669E">
            <w:pPr>
              <w:pStyle w:val="AERtabletextleft"/>
            </w:pPr>
            <w:r>
              <w:t>Transmission circuit availability</w:t>
            </w:r>
          </w:p>
          <w:p w:rsidR="0084612B" w:rsidRDefault="0084612B" w:rsidP="00D9669E">
            <w:pPr>
              <w:pStyle w:val="AERtabletextleft"/>
            </w:pPr>
            <w:r>
              <w:t>(critical)</w:t>
            </w:r>
          </w:p>
        </w:tc>
        <w:tc>
          <w:tcPr>
            <w:tcW w:w="1503"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rsidRPr="0059768B">
              <w:t>97.90</w:t>
            </w:r>
          </w:p>
        </w:tc>
        <w:tc>
          <w:tcPr>
            <w:tcW w:w="1646"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99.13</w:t>
            </w:r>
          </w:p>
        </w:tc>
        <w:tc>
          <w:tcPr>
            <w:tcW w:w="1645"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99.75</w:t>
            </w:r>
          </w:p>
        </w:tc>
        <w:tc>
          <w:tcPr>
            <w:tcW w:w="1646"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0.20</w:t>
            </w:r>
          </w:p>
        </w:tc>
      </w:tr>
      <w:tr w:rsidR="0084612B" w:rsidTr="007024B8">
        <w:tc>
          <w:tcPr>
            <w:cnfStyle w:val="001000000000" w:firstRow="0" w:lastRow="0" w:firstColumn="1" w:lastColumn="0" w:oddVBand="0" w:evenVBand="0" w:oddHBand="0" w:evenHBand="0" w:firstRowFirstColumn="0" w:firstRowLastColumn="0" w:lastRowFirstColumn="0" w:lastRowLastColumn="0"/>
            <w:tcW w:w="2802" w:type="dxa"/>
          </w:tcPr>
          <w:p w:rsidR="0084612B" w:rsidRDefault="0084612B" w:rsidP="00D9669E">
            <w:pPr>
              <w:pStyle w:val="AERtabletextleft"/>
            </w:pPr>
            <w:r w:rsidRPr="008E4A8E">
              <w:t>Transmission circuit availability (non</w:t>
            </w:r>
            <w:r w:rsidR="00304AD5">
              <w:t>-</w:t>
            </w:r>
            <w:r w:rsidRPr="008E4A8E">
              <w:t>critical)</w:t>
            </w:r>
          </w:p>
        </w:tc>
        <w:tc>
          <w:tcPr>
            <w:tcW w:w="1503"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98.48</w:t>
            </w:r>
          </w:p>
        </w:tc>
        <w:tc>
          <w:tcPr>
            <w:tcW w:w="1646"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98.97</w:t>
            </w:r>
          </w:p>
        </w:tc>
        <w:tc>
          <w:tcPr>
            <w:tcW w:w="1645"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99.47</w:t>
            </w:r>
          </w:p>
        </w:tc>
        <w:tc>
          <w:tcPr>
            <w:tcW w:w="1646"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0.10</w:t>
            </w:r>
          </w:p>
        </w:tc>
      </w:tr>
      <w:tr w:rsidR="0084612B" w:rsidTr="00702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4612B" w:rsidRDefault="0084612B" w:rsidP="00D9669E">
            <w:pPr>
              <w:pStyle w:val="AERtabletextleft"/>
            </w:pPr>
            <w:r w:rsidRPr="00CD1E4F">
              <w:t>Transformer circuit availability</w:t>
            </w:r>
          </w:p>
        </w:tc>
        <w:tc>
          <w:tcPr>
            <w:tcW w:w="1503"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98.67</w:t>
            </w:r>
          </w:p>
        </w:tc>
        <w:tc>
          <w:tcPr>
            <w:tcW w:w="1646"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99.28</w:t>
            </w:r>
          </w:p>
        </w:tc>
        <w:tc>
          <w:tcPr>
            <w:tcW w:w="1645"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99.90</w:t>
            </w:r>
          </w:p>
        </w:tc>
        <w:tc>
          <w:tcPr>
            <w:tcW w:w="1646"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0.15</w:t>
            </w:r>
          </w:p>
        </w:tc>
      </w:tr>
      <w:tr w:rsidR="0084612B" w:rsidRPr="003D28A7" w:rsidTr="007024B8">
        <w:tc>
          <w:tcPr>
            <w:cnfStyle w:val="001000000000" w:firstRow="0" w:lastRow="0" w:firstColumn="1" w:lastColumn="0" w:oddVBand="0" w:evenVBand="0" w:oddHBand="0" w:evenHBand="0" w:firstRowFirstColumn="0" w:firstRowLastColumn="0" w:lastRowFirstColumn="0" w:lastRowLastColumn="0"/>
            <w:tcW w:w="2802" w:type="dxa"/>
          </w:tcPr>
          <w:p w:rsidR="0084612B" w:rsidRPr="003D28A7" w:rsidRDefault="0084612B" w:rsidP="00D9669E">
            <w:pPr>
              <w:rPr>
                <w:i/>
              </w:rPr>
            </w:pPr>
            <w:r w:rsidRPr="003D28A7">
              <w:rPr>
                <w:i/>
              </w:rPr>
              <w:t>Loss of supply event frequency (No.)</w:t>
            </w:r>
          </w:p>
        </w:tc>
        <w:tc>
          <w:tcPr>
            <w:tcW w:w="1503" w:type="dxa"/>
          </w:tcPr>
          <w:p w:rsidR="0084612B" w:rsidRPr="003D28A7" w:rsidRDefault="0084612B" w:rsidP="00D9669E">
            <w:pPr>
              <w:pStyle w:val="AERtabletextright"/>
              <w:cnfStyle w:val="000000000000" w:firstRow="0" w:lastRow="0" w:firstColumn="0" w:lastColumn="0" w:oddVBand="0" w:evenVBand="0" w:oddHBand="0" w:evenHBand="0" w:firstRowFirstColumn="0" w:firstRowLastColumn="0" w:lastRowFirstColumn="0" w:lastRowLastColumn="0"/>
              <w:rPr>
                <w:i/>
              </w:rPr>
            </w:pPr>
          </w:p>
        </w:tc>
        <w:tc>
          <w:tcPr>
            <w:tcW w:w="1646" w:type="dxa"/>
          </w:tcPr>
          <w:p w:rsidR="0084612B" w:rsidRPr="003D28A7" w:rsidRDefault="0084612B" w:rsidP="00D9669E">
            <w:pPr>
              <w:pStyle w:val="AERtabletextright"/>
              <w:cnfStyle w:val="000000000000" w:firstRow="0" w:lastRow="0" w:firstColumn="0" w:lastColumn="0" w:oddVBand="0" w:evenVBand="0" w:oddHBand="0" w:evenHBand="0" w:firstRowFirstColumn="0" w:firstRowLastColumn="0" w:lastRowFirstColumn="0" w:lastRowLastColumn="0"/>
              <w:rPr>
                <w:i/>
              </w:rPr>
            </w:pPr>
          </w:p>
        </w:tc>
        <w:tc>
          <w:tcPr>
            <w:tcW w:w="1645" w:type="dxa"/>
          </w:tcPr>
          <w:p w:rsidR="0084612B" w:rsidRPr="003D28A7" w:rsidRDefault="0084612B" w:rsidP="00D9669E">
            <w:pPr>
              <w:pStyle w:val="AERtabletextright"/>
              <w:cnfStyle w:val="000000000000" w:firstRow="0" w:lastRow="0" w:firstColumn="0" w:lastColumn="0" w:oddVBand="0" w:evenVBand="0" w:oddHBand="0" w:evenHBand="0" w:firstRowFirstColumn="0" w:firstRowLastColumn="0" w:lastRowFirstColumn="0" w:lastRowLastColumn="0"/>
              <w:rPr>
                <w:i/>
              </w:rPr>
            </w:pPr>
          </w:p>
        </w:tc>
        <w:tc>
          <w:tcPr>
            <w:tcW w:w="1646" w:type="dxa"/>
          </w:tcPr>
          <w:p w:rsidR="0084612B" w:rsidRPr="009175C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rPr>
                <w:i/>
              </w:rPr>
            </w:pPr>
          </w:p>
        </w:tc>
      </w:tr>
      <w:tr w:rsidR="0084612B" w:rsidTr="00702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4612B" w:rsidRDefault="0084612B" w:rsidP="00D9669E">
            <w:pPr>
              <w:pStyle w:val="AERtabletextleft"/>
            </w:pPr>
            <w:r>
              <w:t>&gt;0.1</w:t>
            </w:r>
            <w:r w:rsidRPr="00230EF1">
              <w:t xml:space="preserve"> (x) system minutes</w:t>
            </w:r>
          </w:p>
        </w:tc>
        <w:tc>
          <w:tcPr>
            <w:tcW w:w="1503"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21</w:t>
            </w:r>
          </w:p>
        </w:tc>
        <w:tc>
          <w:tcPr>
            <w:tcW w:w="1646"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15</w:t>
            </w:r>
          </w:p>
        </w:tc>
        <w:tc>
          <w:tcPr>
            <w:tcW w:w="1645"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9</w:t>
            </w:r>
          </w:p>
        </w:tc>
        <w:tc>
          <w:tcPr>
            <w:tcW w:w="1646"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0.20</w:t>
            </w:r>
          </w:p>
        </w:tc>
      </w:tr>
      <w:tr w:rsidR="0084612B" w:rsidTr="007024B8">
        <w:tc>
          <w:tcPr>
            <w:cnfStyle w:val="001000000000" w:firstRow="0" w:lastRow="0" w:firstColumn="1" w:lastColumn="0" w:oddVBand="0" w:evenVBand="0" w:oddHBand="0" w:evenHBand="0" w:firstRowFirstColumn="0" w:firstRowLastColumn="0" w:lastRowFirstColumn="0" w:lastRowLastColumn="0"/>
            <w:tcW w:w="2802" w:type="dxa"/>
          </w:tcPr>
          <w:p w:rsidR="0084612B" w:rsidRDefault="0084612B" w:rsidP="00D9669E">
            <w:pPr>
              <w:pStyle w:val="AERtabletextleft"/>
            </w:pPr>
            <w:r>
              <w:t>&gt;1.0</w:t>
            </w:r>
            <w:r w:rsidRPr="00230EF1">
              <w:t xml:space="preserve"> (y) system minutes</w:t>
            </w:r>
          </w:p>
        </w:tc>
        <w:tc>
          <w:tcPr>
            <w:tcW w:w="1503"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4</w:t>
            </w:r>
          </w:p>
        </w:tc>
        <w:tc>
          <w:tcPr>
            <w:tcW w:w="1646"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2</w:t>
            </w:r>
          </w:p>
        </w:tc>
        <w:tc>
          <w:tcPr>
            <w:tcW w:w="1645"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0</w:t>
            </w:r>
          </w:p>
        </w:tc>
        <w:tc>
          <w:tcPr>
            <w:tcW w:w="1646"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0.35</w:t>
            </w:r>
          </w:p>
        </w:tc>
      </w:tr>
      <w:tr w:rsidR="0084612B" w:rsidRPr="003D28A7" w:rsidTr="00702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4612B" w:rsidRPr="003D28A7" w:rsidRDefault="0084612B" w:rsidP="00D9669E">
            <w:pPr>
              <w:pStyle w:val="AERtabletextleft"/>
              <w:rPr>
                <w:rStyle w:val="AERtextbold"/>
                <w:b w:val="0"/>
                <w:i/>
              </w:rPr>
            </w:pPr>
            <w:r w:rsidRPr="003D28A7">
              <w:rPr>
                <w:rStyle w:val="AERtextbold"/>
                <w:b w:val="0"/>
                <w:i/>
              </w:rPr>
              <w:t>Average outage duration</w:t>
            </w:r>
            <w:r w:rsidR="009175CB">
              <w:rPr>
                <w:rStyle w:val="AERtextbold"/>
                <w:b w:val="0"/>
                <w:i/>
              </w:rPr>
              <w:t xml:space="preserve"> (minutes)</w:t>
            </w:r>
          </w:p>
        </w:tc>
        <w:tc>
          <w:tcPr>
            <w:tcW w:w="1503" w:type="dxa"/>
          </w:tcPr>
          <w:p w:rsidR="0084612B" w:rsidRPr="003D28A7" w:rsidRDefault="0084612B" w:rsidP="00D9669E">
            <w:pPr>
              <w:pStyle w:val="AERtabletextright"/>
              <w:cnfStyle w:val="000000010000" w:firstRow="0" w:lastRow="0" w:firstColumn="0" w:lastColumn="0" w:oddVBand="0" w:evenVBand="0" w:oddHBand="0" w:evenHBand="1" w:firstRowFirstColumn="0" w:firstRowLastColumn="0" w:lastRowFirstColumn="0" w:lastRowLastColumn="0"/>
              <w:rPr>
                <w:i/>
              </w:rPr>
            </w:pPr>
          </w:p>
        </w:tc>
        <w:tc>
          <w:tcPr>
            <w:tcW w:w="1646" w:type="dxa"/>
          </w:tcPr>
          <w:p w:rsidR="0084612B" w:rsidRPr="003D28A7" w:rsidRDefault="0084612B" w:rsidP="00D9669E">
            <w:pPr>
              <w:pStyle w:val="AERtabletextright"/>
              <w:cnfStyle w:val="000000010000" w:firstRow="0" w:lastRow="0" w:firstColumn="0" w:lastColumn="0" w:oddVBand="0" w:evenVBand="0" w:oddHBand="0" w:evenHBand="1" w:firstRowFirstColumn="0" w:firstRowLastColumn="0" w:lastRowFirstColumn="0" w:lastRowLastColumn="0"/>
              <w:rPr>
                <w:i/>
              </w:rPr>
            </w:pPr>
          </w:p>
        </w:tc>
        <w:tc>
          <w:tcPr>
            <w:tcW w:w="1645" w:type="dxa"/>
          </w:tcPr>
          <w:p w:rsidR="0084612B" w:rsidRPr="003D28A7" w:rsidRDefault="0084612B" w:rsidP="00D9669E">
            <w:pPr>
              <w:pStyle w:val="AERtabletextright"/>
              <w:cnfStyle w:val="000000010000" w:firstRow="0" w:lastRow="0" w:firstColumn="0" w:lastColumn="0" w:oddVBand="0" w:evenVBand="0" w:oddHBand="0" w:evenHBand="1" w:firstRowFirstColumn="0" w:firstRowLastColumn="0" w:lastRowFirstColumn="0" w:lastRowLastColumn="0"/>
              <w:rPr>
                <w:i/>
              </w:rPr>
            </w:pPr>
          </w:p>
        </w:tc>
        <w:tc>
          <w:tcPr>
            <w:tcW w:w="1646" w:type="dxa"/>
          </w:tcPr>
          <w:p w:rsidR="0084612B" w:rsidRPr="003D28A7" w:rsidRDefault="0084612B" w:rsidP="00D9669E">
            <w:pPr>
              <w:pStyle w:val="AERtabletextright"/>
              <w:cnfStyle w:val="000000010000" w:firstRow="0" w:lastRow="0" w:firstColumn="0" w:lastColumn="0" w:oddVBand="0" w:evenVBand="0" w:oddHBand="0" w:evenHBand="1" w:firstRowFirstColumn="0" w:firstRowLastColumn="0" w:lastRowFirstColumn="0" w:lastRowLastColumn="0"/>
              <w:rPr>
                <w:i/>
              </w:rPr>
            </w:pPr>
          </w:p>
        </w:tc>
      </w:tr>
      <w:tr w:rsidR="0084612B" w:rsidTr="007024B8">
        <w:tc>
          <w:tcPr>
            <w:cnfStyle w:val="001000000000" w:firstRow="0" w:lastRow="0" w:firstColumn="1" w:lastColumn="0" w:oddVBand="0" w:evenVBand="0" w:oddHBand="0" w:evenHBand="0" w:firstRowFirstColumn="0" w:firstRowLastColumn="0" w:lastRowFirstColumn="0" w:lastRowLastColumn="0"/>
            <w:tcW w:w="2802" w:type="dxa"/>
          </w:tcPr>
          <w:p w:rsidR="0084612B" w:rsidRDefault="0084612B" w:rsidP="00D9669E">
            <w:pPr>
              <w:pStyle w:val="AERtabletextleft"/>
            </w:pPr>
            <w:r w:rsidRPr="005C1C53">
              <w:t>Transmission Lines</w:t>
            </w:r>
          </w:p>
        </w:tc>
        <w:tc>
          <w:tcPr>
            <w:tcW w:w="1503"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259</w:t>
            </w:r>
          </w:p>
        </w:tc>
        <w:tc>
          <w:tcPr>
            <w:tcW w:w="1646"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326</w:t>
            </w:r>
          </w:p>
        </w:tc>
        <w:tc>
          <w:tcPr>
            <w:tcW w:w="1645"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124</w:t>
            </w:r>
          </w:p>
        </w:tc>
        <w:tc>
          <w:tcPr>
            <w:tcW w:w="1646" w:type="dxa"/>
          </w:tcPr>
          <w:p w:rsidR="0084612B" w:rsidRDefault="0084612B" w:rsidP="00D9669E">
            <w:pPr>
              <w:pStyle w:val="AERtabletextright"/>
              <w:cnfStyle w:val="000000000000" w:firstRow="0" w:lastRow="0" w:firstColumn="0" w:lastColumn="0" w:oddVBand="0" w:evenVBand="0" w:oddHBand="0" w:evenHBand="0" w:firstRowFirstColumn="0" w:firstRowLastColumn="0" w:lastRowFirstColumn="0" w:lastRowLastColumn="0"/>
            </w:pPr>
            <w:r>
              <w:t>0.0</w:t>
            </w:r>
          </w:p>
        </w:tc>
      </w:tr>
      <w:tr w:rsidR="0084612B" w:rsidTr="00702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84612B" w:rsidRDefault="0084612B" w:rsidP="00D9669E">
            <w:pPr>
              <w:pStyle w:val="AERtabletextleft"/>
            </w:pPr>
            <w:r w:rsidRPr="005C1C53">
              <w:t>Transformers</w:t>
            </w:r>
          </w:p>
        </w:tc>
        <w:tc>
          <w:tcPr>
            <w:tcW w:w="1503"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1428</w:t>
            </w:r>
          </w:p>
        </w:tc>
        <w:tc>
          <w:tcPr>
            <w:tcW w:w="1646"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712</w:t>
            </w:r>
          </w:p>
        </w:tc>
        <w:tc>
          <w:tcPr>
            <w:tcW w:w="1645"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354</w:t>
            </w:r>
          </w:p>
        </w:tc>
        <w:tc>
          <w:tcPr>
            <w:tcW w:w="1646" w:type="dxa"/>
          </w:tcPr>
          <w:p w:rsidR="0084612B" w:rsidRDefault="0084612B" w:rsidP="00D9669E">
            <w:pPr>
              <w:pStyle w:val="AERtabletextright"/>
              <w:cnfStyle w:val="000000010000" w:firstRow="0" w:lastRow="0" w:firstColumn="0" w:lastColumn="0" w:oddVBand="0" w:evenVBand="0" w:oddHBand="0" w:evenHBand="1" w:firstRowFirstColumn="0" w:firstRowLastColumn="0" w:lastRowFirstColumn="0" w:lastRowLastColumn="0"/>
            </w:pPr>
            <w:r>
              <w:t>0.0</w:t>
            </w:r>
          </w:p>
        </w:tc>
      </w:tr>
    </w:tbl>
    <w:p w:rsidR="0084612B" w:rsidRDefault="0084612B" w:rsidP="0084612B">
      <w:pPr>
        <w:pStyle w:val="AERtablesource"/>
      </w:pPr>
      <w:r>
        <w:t xml:space="preserve">Source: </w:t>
      </w:r>
      <w:r w:rsidR="009175CB">
        <w:t xml:space="preserve">AER, </w:t>
      </w:r>
      <w:r w:rsidRPr="00D53288">
        <w:rPr>
          <w:i/>
        </w:rPr>
        <w:t xml:space="preserve">Transend </w:t>
      </w:r>
      <w:r w:rsidR="009175CB" w:rsidRPr="00D53288">
        <w:rPr>
          <w:i/>
        </w:rPr>
        <w:t xml:space="preserve">Transmission </w:t>
      </w:r>
      <w:r w:rsidRPr="00D53288">
        <w:rPr>
          <w:i/>
        </w:rPr>
        <w:t xml:space="preserve">Determination </w:t>
      </w:r>
      <w:r w:rsidR="009175CB" w:rsidRPr="00D53288">
        <w:rPr>
          <w:i/>
        </w:rPr>
        <w:t>2009–10 to 2013–14</w:t>
      </w:r>
      <w:r w:rsidR="00BC4B0E">
        <w:t>, table 4</w:t>
      </w:r>
      <w:r w:rsidR="009175CB">
        <w:t>, 14 October 2009</w:t>
      </w:r>
      <w:r w:rsidR="00A26B05">
        <w:t>, p. 3</w:t>
      </w:r>
      <w:r w:rsidR="009175CB">
        <w:t>.</w:t>
      </w:r>
    </w:p>
    <w:p w:rsidR="0084612B" w:rsidRDefault="0084612B" w:rsidP="007B4470">
      <w:pPr>
        <w:pStyle w:val="Heading3"/>
      </w:pPr>
      <w:bookmarkStart w:id="66" w:name="_Toc382573782"/>
      <w:r>
        <w:lastRenderedPageBreak/>
        <w:t>Market impact component</w:t>
      </w:r>
      <w:bookmarkEnd w:id="66"/>
    </w:p>
    <w:p w:rsidR="002A5BED" w:rsidRDefault="002A5BED" w:rsidP="002A5BED">
      <w:pPr>
        <w:pStyle w:val="AERbodytext"/>
      </w:pPr>
      <w:r>
        <w:t xml:space="preserve">Under version 4 of the </w:t>
      </w:r>
      <w:r w:rsidR="00582A20">
        <w:t xml:space="preserve">STPIS, </w:t>
      </w:r>
      <w:r>
        <w:t xml:space="preserve"> for the first half of the transitional year (1 July 2014 to 31 December 2014):</w:t>
      </w:r>
    </w:p>
    <w:p w:rsidR="002A5BED" w:rsidRPr="00D15C87" w:rsidRDefault="002A5BED" w:rsidP="00D15C87">
      <w:pPr>
        <w:numPr>
          <w:ilvl w:val="0"/>
          <w:numId w:val="2"/>
        </w:numPr>
        <w:tabs>
          <w:tab w:val="left" w:pos="357"/>
        </w:tabs>
        <w:spacing w:after="200"/>
        <w:ind w:left="357" w:hanging="357"/>
        <w:rPr>
          <w:rFonts w:eastAsia="Times New Roman"/>
          <w:szCs w:val="24"/>
        </w:rPr>
      </w:pPr>
      <w:r w:rsidRPr="00D15C87">
        <w:rPr>
          <w:rFonts w:eastAsia="Times New Roman"/>
          <w:szCs w:val="24"/>
        </w:rPr>
        <w:t xml:space="preserve">the </w:t>
      </w:r>
      <w:r w:rsidR="00582A20" w:rsidRPr="00D15C87">
        <w:rPr>
          <w:rFonts w:eastAsia="Times New Roman"/>
          <w:szCs w:val="24"/>
        </w:rPr>
        <w:t xml:space="preserve">market impact parameter target </w:t>
      </w:r>
      <w:r w:rsidRPr="00D15C87">
        <w:rPr>
          <w:rFonts w:eastAsia="Times New Roman"/>
          <w:szCs w:val="24"/>
        </w:rPr>
        <w:t>is the average of the TNSPs’ 2011, 2012 and 2013 annual performance</w:t>
      </w:r>
    </w:p>
    <w:p w:rsidR="00582A20" w:rsidRPr="00D15C87" w:rsidRDefault="002A5BED" w:rsidP="00D15C87">
      <w:pPr>
        <w:numPr>
          <w:ilvl w:val="0"/>
          <w:numId w:val="2"/>
        </w:numPr>
        <w:tabs>
          <w:tab w:val="left" w:pos="357"/>
        </w:tabs>
        <w:spacing w:after="200"/>
        <w:ind w:left="357" w:hanging="357"/>
        <w:rPr>
          <w:rFonts w:eastAsia="Times New Roman"/>
          <w:szCs w:val="24"/>
        </w:rPr>
      </w:pPr>
      <w:r w:rsidRPr="00D15C87">
        <w:rPr>
          <w:rFonts w:eastAsia="Times New Roman"/>
          <w:szCs w:val="24"/>
        </w:rPr>
        <w:t xml:space="preserve"> </w:t>
      </w:r>
      <w:proofErr w:type="gramStart"/>
      <w:r w:rsidRPr="00D15C87">
        <w:rPr>
          <w:rFonts w:eastAsia="Times New Roman"/>
          <w:szCs w:val="24"/>
        </w:rPr>
        <w:t>the</w:t>
      </w:r>
      <w:proofErr w:type="gramEnd"/>
      <w:r w:rsidRPr="00D15C87">
        <w:rPr>
          <w:rFonts w:eastAsia="Times New Roman"/>
          <w:szCs w:val="24"/>
        </w:rPr>
        <w:t xml:space="preserve"> performance measure is the average of 2013 and 2014 annual performance.</w:t>
      </w:r>
      <w:r w:rsidR="001B1309" w:rsidRPr="00D15C87">
        <w:rPr>
          <w:rFonts w:eastAsia="Times New Roman"/>
          <w:szCs w:val="24"/>
        </w:rPr>
        <w:t xml:space="preserve"> </w:t>
      </w:r>
      <w:r w:rsidR="0084612B" w:rsidRPr="00D15C87">
        <w:rPr>
          <w:rFonts w:eastAsia="Times New Roman"/>
          <w:szCs w:val="24"/>
        </w:rPr>
        <w:t xml:space="preserve"> </w:t>
      </w:r>
    </w:p>
    <w:p w:rsidR="00582A20" w:rsidRDefault="00C614A3" w:rsidP="00582A20">
      <w:pPr>
        <w:pStyle w:val="AERbulletlistfirststyle"/>
      </w:pPr>
      <w:r w:rsidRPr="00C614A3">
        <w:t xml:space="preserve">The performance measure for the second half of the transitional year (1 January 2015 to 30 June 2015) </w:t>
      </w:r>
      <w:r w:rsidR="00EC0EAE">
        <w:t xml:space="preserve">together with the period 1 July 2015 to 31 December 2015 </w:t>
      </w:r>
      <w:r w:rsidRPr="00C614A3">
        <w:t>will be determined in early 2016 when the performance of the 2015 calendar year is calculated. For 2015</w:t>
      </w:r>
      <w:r w:rsidR="00582A20">
        <w:t>:</w:t>
      </w:r>
    </w:p>
    <w:p w:rsidR="00582A20" w:rsidRPr="00D15C87" w:rsidRDefault="00582A20" w:rsidP="00D15C87">
      <w:pPr>
        <w:numPr>
          <w:ilvl w:val="0"/>
          <w:numId w:val="2"/>
        </w:numPr>
        <w:tabs>
          <w:tab w:val="left" w:pos="357"/>
        </w:tabs>
        <w:spacing w:after="200"/>
        <w:ind w:left="357" w:hanging="357"/>
        <w:rPr>
          <w:rFonts w:eastAsia="Times New Roman"/>
          <w:szCs w:val="24"/>
        </w:rPr>
      </w:pPr>
      <w:r w:rsidRPr="00D15C87">
        <w:rPr>
          <w:rFonts w:eastAsia="Times New Roman"/>
          <w:szCs w:val="24"/>
        </w:rPr>
        <w:t>the market impact parameter target is the average of the TNSPs’ 2012, 2013 and 2014 annual performance</w:t>
      </w:r>
    </w:p>
    <w:p w:rsidR="00582A20" w:rsidRPr="00D15C87" w:rsidRDefault="00582A20" w:rsidP="00D15C87">
      <w:pPr>
        <w:numPr>
          <w:ilvl w:val="0"/>
          <w:numId w:val="2"/>
        </w:numPr>
        <w:tabs>
          <w:tab w:val="left" w:pos="357"/>
        </w:tabs>
        <w:spacing w:after="200"/>
        <w:ind w:left="357" w:hanging="357"/>
        <w:rPr>
          <w:rFonts w:eastAsia="Times New Roman"/>
          <w:szCs w:val="24"/>
        </w:rPr>
      </w:pPr>
      <w:proofErr w:type="gramStart"/>
      <w:r w:rsidRPr="00D15C87">
        <w:rPr>
          <w:rFonts w:eastAsia="Times New Roman"/>
          <w:szCs w:val="24"/>
        </w:rPr>
        <w:t>the</w:t>
      </w:r>
      <w:proofErr w:type="gramEnd"/>
      <w:r w:rsidRPr="00D15C87">
        <w:rPr>
          <w:rFonts w:eastAsia="Times New Roman"/>
          <w:szCs w:val="24"/>
        </w:rPr>
        <w:t xml:space="preserve"> performance measure is the average of 2014 and 2015 annual performance.</w:t>
      </w:r>
    </w:p>
    <w:p w:rsidR="00582A20" w:rsidRDefault="00582A20" w:rsidP="00997BF7">
      <w:pPr>
        <w:pStyle w:val="AERbodytext"/>
      </w:pPr>
      <w:r w:rsidRPr="00582A20">
        <w:t xml:space="preserve">The </w:t>
      </w:r>
      <w:r w:rsidR="00297F93">
        <w:t xml:space="preserve">2011, 2012 and </w:t>
      </w:r>
      <w:r w:rsidRPr="00582A20">
        <w:t>2013 market impact performance data was requested via the R</w:t>
      </w:r>
      <w:r w:rsidR="00997BF7">
        <w:t xml:space="preserve">egulatory </w:t>
      </w:r>
      <w:r w:rsidRPr="00582A20">
        <w:t>I</w:t>
      </w:r>
      <w:r w:rsidR="00997BF7">
        <w:t xml:space="preserve">nformation </w:t>
      </w:r>
      <w:r w:rsidRPr="00582A20">
        <w:t>N</w:t>
      </w:r>
      <w:r w:rsidR="00997BF7">
        <w:t>otice</w:t>
      </w:r>
      <w:r w:rsidRPr="00582A20">
        <w:t xml:space="preserve"> process, and </w:t>
      </w:r>
      <w:r w:rsidR="009249C9">
        <w:t xml:space="preserve">is </w:t>
      </w:r>
      <w:r w:rsidRPr="00582A20">
        <w:t>due</w:t>
      </w:r>
      <w:r>
        <w:t xml:space="preserve"> to be submitted on 31 May 2014, </w:t>
      </w:r>
      <w:r w:rsidRPr="00582A20">
        <w:t xml:space="preserve">after which it will be validated and confirmed </w:t>
      </w:r>
      <w:r>
        <w:t>in our full determination.</w:t>
      </w:r>
      <w:r w:rsidRPr="00582A20">
        <w:t xml:space="preserve"> </w:t>
      </w:r>
      <w:r w:rsidR="009249C9">
        <w:t>T</w:t>
      </w:r>
      <w:r w:rsidRPr="00582A20">
        <w:t xml:space="preserve">he MIC </w:t>
      </w:r>
      <w:r w:rsidR="009249C9">
        <w:t xml:space="preserve">performance measure for </w:t>
      </w:r>
      <w:r w:rsidR="009249C9" w:rsidRPr="00582A20">
        <w:t xml:space="preserve">2014 </w:t>
      </w:r>
      <w:r w:rsidR="009249C9">
        <w:t xml:space="preserve">will be determined after the </w:t>
      </w:r>
      <w:r w:rsidRPr="00582A20">
        <w:t>market impact performance data has been validated (in April 2015).</w:t>
      </w:r>
    </w:p>
    <w:p w:rsidR="0084612B" w:rsidRDefault="0084612B" w:rsidP="007B4470">
      <w:pPr>
        <w:pStyle w:val="Heading3"/>
      </w:pPr>
      <w:bookmarkStart w:id="67" w:name="_Toc382573783"/>
      <w:r>
        <w:t>Network capability component</w:t>
      </w:r>
      <w:bookmarkEnd w:id="67"/>
    </w:p>
    <w:p w:rsidR="001B1309" w:rsidRDefault="001B1309" w:rsidP="001B1309">
      <w:pPr>
        <w:pStyle w:val="AERbodytext"/>
        <w:numPr>
          <w:ilvl w:val="0"/>
          <w:numId w:val="6"/>
        </w:numPr>
      </w:pPr>
      <w:r>
        <w:t>The network capability component (NCC) was introduced in version 4 of the STPIS. It promotes the NEO by incentivising TNSPs to identify and implement low cost incremental changes to their networks that deliver substantial benefits to consumers. It does this by requiring TNSPs to reveal their existing network capability and identify low cost projects that will:</w:t>
      </w:r>
    </w:p>
    <w:p w:rsidR="001B1309" w:rsidRPr="00D15C87" w:rsidRDefault="001B1309" w:rsidP="00D15C87">
      <w:pPr>
        <w:numPr>
          <w:ilvl w:val="0"/>
          <w:numId w:val="2"/>
        </w:numPr>
        <w:tabs>
          <w:tab w:val="left" w:pos="357"/>
        </w:tabs>
        <w:spacing w:after="200"/>
        <w:ind w:left="357" w:hanging="357"/>
        <w:rPr>
          <w:rFonts w:eastAsia="Times New Roman"/>
          <w:szCs w:val="24"/>
        </w:rPr>
      </w:pPr>
      <w:r w:rsidRPr="00D15C87">
        <w:rPr>
          <w:rFonts w:eastAsia="Times New Roman"/>
          <w:szCs w:val="24"/>
        </w:rPr>
        <w:t xml:space="preserve">improve network capability when most valued by customers or </w:t>
      </w:r>
    </w:p>
    <w:p w:rsidR="001B1309" w:rsidRDefault="001B1309" w:rsidP="00D15C87">
      <w:pPr>
        <w:numPr>
          <w:ilvl w:val="0"/>
          <w:numId w:val="2"/>
        </w:numPr>
        <w:tabs>
          <w:tab w:val="left" w:pos="357"/>
        </w:tabs>
        <w:spacing w:after="200"/>
        <w:ind w:left="357" w:hanging="357"/>
        <w:rPr>
          <w:rFonts w:eastAsia="Times New Roman"/>
          <w:szCs w:val="24"/>
        </w:rPr>
      </w:pPr>
      <w:proofErr w:type="gramStart"/>
      <w:r w:rsidRPr="00D15C87">
        <w:rPr>
          <w:rFonts w:eastAsia="Times New Roman"/>
          <w:szCs w:val="24"/>
        </w:rPr>
        <w:t>improve</w:t>
      </w:r>
      <w:proofErr w:type="gramEnd"/>
      <w:r w:rsidRPr="00D15C87">
        <w:rPr>
          <w:rFonts w:eastAsia="Times New Roman"/>
          <w:szCs w:val="24"/>
        </w:rPr>
        <w:t xml:space="preserve"> wholesale market outcomes at least cost.</w:t>
      </w:r>
    </w:p>
    <w:p w:rsidR="00632BAF" w:rsidRPr="00D15C87" w:rsidRDefault="0059768B" w:rsidP="005276B7">
      <w:pPr>
        <w:pStyle w:val="AERbodytext"/>
      </w:pPr>
      <w:r>
        <w:t>Improved wholesale market outcomes should ultimately be passed onto consumers through reduced wholesale energy costs.</w:t>
      </w:r>
      <w:r w:rsidR="00997BF7">
        <w:t xml:space="preserve"> </w:t>
      </w:r>
      <w:r w:rsidR="00632BAF">
        <w:t>The MEU has raised a number of concerns about the NCC in particular that the expected benefit does not have to be measured on completion to ensure that the benefit has actually been achieved.</w:t>
      </w:r>
      <w:r w:rsidR="00632BAF" w:rsidRPr="00632BAF">
        <w:rPr>
          <w:rFonts w:eastAsia="Calibri" w:cs="Gautami"/>
          <w:szCs w:val="20"/>
          <w:vertAlign w:val="superscript"/>
        </w:rPr>
        <w:footnoteReference w:id="62"/>
      </w:r>
      <w:r w:rsidR="00632BAF">
        <w:t xml:space="preserve"> We note these concerns.  It is important to recognise, however, that under the STPIS, the target should of itself result in a material benefit to consumers, if accepted by AEMO and if the priority project is approved by the AER.  Also, where a priority improvement target has not been achieved, we can reduce any incentive payments to a TNSP taking into account a number of factors, including whether there has been an improvement in network capability resulting in a material benefit.   Importantly, a target is taken not to have been achieved if the target has been achieved through network augmentation or replacement of existing network assets with a capital cost greater than outlined in the TNSP’s proposal.</w:t>
      </w:r>
      <w:r w:rsidR="00632BAF" w:rsidRPr="00632BAF">
        <w:rPr>
          <w:rFonts w:eastAsia="Calibri"/>
          <w:szCs w:val="20"/>
          <w:vertAlign w:val="superscript"/>
        </w:rPr>
        <w:t xml:space="preserve"> </w:t>
      </w:r>
      <w:r w:rsidR="00632BAF" w:rsidRPr="00632BAF">
        <w:rPr>
          <w:rFonts w:eastAsia="Calibri"/>
          <w:szCs w:val="20"/>
          <w:vertAlign w:val="superscript"/>
        </w:rPr>
        <w:footnoteReference w:id="63"/>
      </w:r>
      <w:r w:rsidR="00632BAF">
        <w:t xml:space="preserve"> </w:t>
      </w:r>
    </w:p>
    <w:p w:rsidR="0084612B" w:rsidRDefault="0084612B" w:rsidP="0084612B">
      <w:pPr>
        <w:pStyle w:val="AERbodytext"/>
        <w:numPr>
          <w:ilvl w:val="0"/>
          <w:numId w:val="0"/>
        </w:numPr>
      </w:pPr>
      <w:r>
        <w:t xml:space="preserve">We accept </w:t>
      </w:r>
      <w:proofErr w:type="spellStart"/>
      <w:r w:rsidRPr="00A7656F">
        <w:t>TransGrid’s</w:t>
      </w:r>
      <w:proofErr w:type="spellEnd"/>
      <w:r>
        <w:t xml:space="preserve"> proposed priority projects and improvement t</w:t>
      </w:r>
      <w:r w:rsidR="00704065">
        <w:t xml:space="preserve">argets as set out in its </w:t>
      </w:r>
      <w:r>
        <w:t xml:space="preserve">network capability incentive parameter action plan (NCIPAP) because they meet the requirements of the </w:t>
      </w:r>
      <w:r>
        <w:lastRenderedPageBreak/>
        <w:t xml:space="preserve">STPIS. We considered AEMO’s review of the NCIPAP when making our decision. </w:t>
      </w:r>
      <w:r>
        <w:fldChar w:fldCharType="begin"/>
      </w:r>
      <w:r>
        <w:instrText xml:space="preserve"> REF _Ref381268372 \h </w:instrText>
      </w:r>
      <w:r>
        <w:fldChar w:fldCharType="separate"/>
      </w:r>
      <w:r w:rsidR="00B40E3D">
        <w:t xml:space="preserve">Table </w:t>
      </w:r>
      <w:r w:rsidR="00B40E3D">
        <w:rPr>
          <w:noProof/>
        </w:rPr>
        <w:t>5</w:t>
      </w:r>
      <w:r w:rsidR="00B40E3D">
        <w:t>.</w:t>
      </w:r>
      <w:r w:rsidR="00B40E3D">
        <w:rPr>
          <w:noProof/>
        </w:rPr>
        <w:t>3</w:t>
      </w:r>
      <w:r>
        <w:fldChar w:fldCharType="end"/>
      </w:r>
      <w:r>
        <w:t xml:space="preserve"> sets out our decision on </w:t>
      </w:r>
      <w:proofErr w:type="spellStart"/>
      <w:r>
        <w:t>TransGrid’s</w:t>
      </w:r>
      <w:proofErr w:type="spellEnd"/>
      <w:r>
        <w:t xml:space="preserve"> priority projects and project rankings.</w:t>
      </w:r>
      <w:r w:rsidR="005276B7">
        <w:t xml:space="preserve">  </w:t>
      </w:r>
    </w:p>
    <w:p w:rsidR="0084612B" w:rsidRDefault="0084612B" w:rsidP="009A6F2C">
      <w:pPr>
        <w:pStyle w:val="Caption"/>
      </w:pPr>
      <w:r>
        <w:t xml:space="preserve"> </w:t>
      </w:r>
      <w:bookmarkStart w:id="68" w:name="_Ref381268372"/>
      <w:proofErr w:type="gramStart"/>
      <w:r>
        <w:t xml:space="preserve">Table </w:t>
      </w:r>
      <w:fldSimple w:instr=" STYLEREF 1 \s ">
        <w:r w:rsidR="00B40E3D">
          <w:rPr>
            <w:noProof/>
          </w:rPr>
          <w:t>5</w:t>
        </w:r>
      </w:fldSimple>
      <w:r>
        <w:t>.</w:t>
      </w:r>
      <w:proofErr w:type="gramEnd"/>
      <w:r w:rsidR="007827B4">
        <w:fldChar w:fldCharType="begin"/>
      </w:r>
      <w:r w:rsidR="007827B4">
        <w:instrText xml:space="preserve"> SEQ Table \* ARABIC \s 1 </w:instrText>
      </w:r>
      <w:r w:rsidR="007827B4">
        <w:fldChar w:fldCharType="separate"/>
      </w:r>
      <w:r w:rsidR="00B40E3D">
        <w:rPr>
          <w:noProof/>
        </w:rPr>
        <w:t>3</w:t>
      </w:r>
      <w:r w:rsidR="007827B4">
        <w:rPr>
          <w:noProof/>
        </w:rPr>
        <w:fldChar w:fldCharType="end"/>
      </w:r>
      <w:bookmarkEnd w:id="68"/>
      <w:r>
        <w:tab/>
        <w:t xml:space="preserve">AER’s transitional decision on </w:t>
      </w:r>
      <w:proofErr w:type="spellStart"/>
      <w:r w:rsidRPr="00A7656F">
        <w:t>TransGrid’s</w:t>
      </w:r>
      <w:proofErr w:type="spellEnd"/>
      <w:r w:rsidRPr="00A7656F">
        <w:t xml:space="preserve"> n</w:t>
      </w:r>
      <w:r>
        <w:t>etwork capability priority projects ($ 000s, 2013–14)</w:t>
      </w:r>
    </w:p>
    <w:tbl>
      <w:tblPr>
        <w:tblStyle w:val="AERtable-text"/>
        <w:tblW w:w="0" w:type="auto"/>
        <w:tblLook w:val="04A0" w:firstRow="1" w:lastRow="0" w:firstColumn="1" w:lastColumn="0" w:noHBand="0" w:noVBand="1"/>
      </w:tblPr>
      <w:tblGrid>
        <w:gridCol w:w="848"/>
        <w:gridCol w:w="5510"/>
        <w:gridCol w:w="915"/>
        <w:gridCol w:w="965"/>
        <w:gridCol w:w="1004"/>
      </w:tblGrid>
      <w:tr w:rsidR="0084612B" w:rsidTr="00D9669E">
        <w:trPr>
          <w:cnfStyle w:val="100000000000" w:firstRow="1" w:lastRow="0" w:firstColumn="0" w:lastColumn="0" w:oddVBand="0" w:evenVBand="0" w:oddHBand="0" w:evenHBand="0" w:firstRowFirstColumn="0" w:firstRowLastColumn="0" w:lastRowFirstColumn="0" w:lastRowLastColumn="0"/>
        </w:trPr>
        <w:tc>
          <w:tcPr>
            <w:tcW w:w="674" w:type="dxa"/>
          </w:tcPr>
          <w:p w:rsidR="0084612B" w:rsidRDefault="00A5564D" w:rsidP="00D9669E">
            <w:pPr>
              <w:pStyle w:val="AERbodytext"/>
            </w:pPr>
            <w:r>
              <w:t xml:space="preserve">Project </w:t>
            </w:r>
            <w:r w:rsidR="0084612B">
              <w:t>Rank</w:t>
            </w:r>
            <w:r>
              <w:t>ing</w:t>
            </w:r>
          </w:p>
        </w:tc>
        <w:tc>
          <w:tcPr>
            <w:tcW w:w="5655" w:type="dxa"/>
          </w:tcPr>
          <w:p w:rsidR="0084612B" w:rsidRDefault="0084612B" w:rsidP="00D9669E">
            <w:pPr>
              <w:pStyle w:val="AERbodytext"/>
            </w:pPr>
            <w:r>
              <w:t>Project circuit / injection point</w:t>
            </w:r>
          </w:p>
        </w:tc>
        <w:tc>
          <w:tcPr>
            <w:tcW w:w="922" w:type="dxa"/>
          </w:tcPr>
          <w:p w:rsidR="0084612B" w:rsidRDefault="0084612B" w:rsidP="007024B8">
            <w:pPr>
              <w:pStyle w:val="AERbodytext"/>
              <w:jc w:val="right"/>
              <w:rPr>
                <w:b w:val="0"/>
                <w:color w:val="auto"/>
                <w:sz w:val="20"/>
              </w:rPr>
            </w:pPr>
            <w:r>
              <w:t>Capex</w:t>
            </w:r>
          </w:p>
        </w:tc>
        <w:tc>
          <w:tcPr>
            <w:tcW w:w="977" w:type="dxa"/>
          </w:tcPr>
          <w:p w:rsidR="0084612B" w:rsidRDefault="0084612B" w:rsidP="007024B8">
            <w:pPr>
              <w:pStyle w:val="AERbodytext"/>
              <w:jc w:val="right"/>
              <w:rPr>
                <w:b w:val="0"/>
                <w:color w:val="auto"/>
                <w:sz w:val="20"/>
              </w:rPr>
            </w:pPr>
            <w:r>
              <w:t>Opex</w:t>
            </w:r>
          </w:p>
        </w:tc>
        <w:tc>
          <w:tcPr>
            <w:tcW w:w="1014" w:type="dxa"/>
          </w:tcPr>
          <w:p w:rsidR="0084612B" w:rsidRDefault="0084612B" w:rsidP="007024B8">
            <w:pPr>
              <w:pStyle w:val="AERbodytext"/>
              <w:jc w:val="right"/>
              <w:rPr>
                <w:b w:val="0"/>
                <w:color w:val="auto"/>
                <w:sz w:val="20"/>
              </w:rPr>
            </w:pPr>
            <w:r>
              <w:t>Total</w:t>
            </w:r>
          </w:p>
        </w:tc>
      </w:tr>
      <w:tr w:rsidR="0084612B" w:rsidTr="00D9669E">
        <w:tc>
          <w:tcPr>
            <w:tcW w:w="674" w:type="dxa"/>
          </w:tcPr>
          <w:p w:rsidR="0084612B" w:rsidRDefault="0084612B" w:rsidP="00D9669E">
            <w:pPr>
              <w:pStyle w:val="AERbodytext"/>
            </w:pPr>
            <w:r>
              <w:t>1</w:t>
            </w:r>
          </w:p>
        </w:tc>
        <w:tc>
          <w:tcPr>
            <w:tcW w:w="5655" w:type="dxa"/>
          </w:tcPr>
          <w:p w:rsidR="0084612B" w:rsidRDefault="0084612B" w:rsidP="00D9669E">
            <w:pPr>
              <w:pStyle w:val="AERtabletextleft"/>
            </w:pPr>
            <w:r w:rsidRPr="00FB5FC7">
              <w:t>Current Transformer Secondary Ratios</w:t>
            </w:r>
            <w:r>
              <w:t xml:space="preserve"> - </w:t>
            </w:r>
            <w:r w:rsidRPr="002B6F8D">
              <w:t>Queensland – New South Wales Interconnector</w:t>
            </w:r>
          </w:p>
        </w:tc>
        <w:tc>
          <w:tcPr>
            <w:tcW w:w="922" w:type="dxa"/>
          </w:tcPr>
          <w:p w:rsidR="0084612B" w:rsidRDefault="0084612B" w:rsidP="007024B8">
            <w:pPr>
              <w:pStyle w:val="AERtabletextleft"/>
              <w:jc w:val="right"/>
            </w:pPr>
            <w:r>
              <w:t>55</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55</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84612B" w:rsidP="00D9669E">
            <w:pPr>
              <w:pStyle w:val="AERbodytext"/>
            </w:pPr>
            <w:r>
              <w:t>2</w:t>
            </w:r>
          </w:p>
        </w:tc>
        <w:tc>
          <w:tcPr>
            <w:tcW w:w="5655" w:type="dxa"/>
          </w:tcPr>
          <w:p w:rsidR="0084612B" w:rsidRDefault="0084612B" w:rsidP="00D9669E">
            <w:pPr>
              <w:pStyle w:val="AERtabletextleft"/>
            </w:pPr>
            <w:r w:rsidRPr="00FB5FC7">
              <w:t>Terminal Equipment Upgrades</w:t>
            </w:r>
            <w:r>
              <w:t xml:space="preserve"> - </w:t>
            </w:r>
            <w:r w:rsidRPr="00FB5FC7">
              <w:t xml:space="preserve">67 &amp; 68 Murray – Dederang </w:t>
            </w:r>
            <w:proofErr w:type="spellStart"/>
            <w:r w:rsidRPr="00FB5FC7">
              <w:t>Switchbays</w:t>
            </w:r>
            <w:proofErr w:type="spellEnd"/>
          </w:p>
        </w:tc>
        <w:tc>
          <w:tcPr>
            <w:tcW w:w="922" w:type="dxa"/>
          </w:tcPr>
          <w:p w:rsidR="0084612B" w:rsidRDefault="0084612B" w:rsidP="007024B8">
            <w:pPr>
              <w:pStyle w:val="AERtabletextleft"/>
              <w:jc w:val="right"/>
            </w:pPr>
            <w:r>
              <w:t>360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360</w:t>
            </w:r>
          </w:p>
        </w:tc>
      </w:tr>
      <w:tr w:rsidR="0084612B" w:rsidTr="00D9669E">
        <w:tc>
          <w:tcPr>
            <w:tcW w:w="674" w:type="dxa"/>
          </w:tcPr>
          <w:p w:rsidR="0084612B" w:rsidRDefault="0084612B" w:rsidP="00D9669E">
            <w:pPr>
              <w:pStyle w:val="AERbodytext"/>
            </w:pPr>
            <w:r>
              <w:t>3</w:t>
            </w:r>
          </w:p>
        </w:tc>
        <w:tc>
          <w:tcPr>
            <w:tcW w:w="5655" w:type="dxa"/>
          </w:tcPr>
          <w:p w:rsidR="0084612B" w:rsidRDefault="0084612B" w:rsidP="00D9669E">
            <w:pPr>
              <w:pStyle w:val="AERtabletextleft"/>
            </w:pPr>
            <w:r w:rsidRPr="00FB5FC7">
              <w:t>Protection &amp; Metering Upgrades</w:t>
            </w:r>
            <w:r>
              <w:t xml:space="preserve"> - </w:t>
            </w:r>
            <w:r w:rsidRPr="00FB5FC7">
              <w:t>993 Line Protection &amp; Metering Upgrade</w:t>
            </w:r>
          </w:p>
        </w:tc>
        <w:tc>
          <w:tcPr>
            <w:tcW w:w="922" w:type="dxa"/>
          </w:tcPr>
          <w:p w:rsidR="0084612B" w:rsidRDefault="0084612B" w:rsidP="007024B8">
            <w:pPr>
              <w:pStyle w:val="AERtabletextleft"/>
              <w:jc w:val="right"/>
            </w:pPr>
            <w:r>
              <w:t>90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90</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84612B" w:rsidP="00D9669E">
            <w:pPr>
              <w:pStyle w:val="AERbodytext"/>
            </w:pPr>
            <w:r>
              <w:t>4</w:t>
            </w:r>
          </w:p>
        </w:tc>
        <w:tc>
          <w:tcPr>
            <w:tcW w:w="5655" w:type="dxa"/>
          </w:tcPr>
          <w:p w:rsidR="0084612B" w:rsidRDefault="0084612B" w:rsidP="00D9669E">
            <w:pPr>
              <w:pStyle w:val="AERtabletextleft"/>
            </w:pPr>
            <w:r w:rsidRPr="00FB5FC7">
              <w:t>Dynamic Line Ratings &amp; Transmission Line Uprating</w:t>
            </w:r>
            <w:r>
              <w:t xml:space="preserve"> - </w:t>
            </w:r>
            <w:r w:rsidRPr="00FB5FC7">
              <w:t>83 Liddell – Muswellbrook, 84 Liddell – Tamworth 330, 85 &amp; 86 Tamworth 330 – Armidale &amp; 88 Muswellbrook – Tamworth 330 330kV Lines</w:t>
            </w:r>
          </w:p>
        </w:tc>
        <w:tc>
          <w:tcPr>
            <w:tcW w:w="922" w:type="dxa"/>
          </w:tcPr>
          <w:p w:rsidR="0084612B" w:rsidRDefault="0084612B" w:rsidP="007024B8">
            <w:pPr>
              <w:pStyle w:val="AERtabletextleft"/>
              <w:jc w:val="right"/>
            </w:pPr>
            <w:r>
              <w:t>1,100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1,100</w:t>
            </w:r>
          </w:p>
        </w:tc>
      </w:tr>
      <w:tr w:rsidR="0084612B" w:rsidTr="00D9669E">
        <w:tc>
          <w:tcPr>
            <w:tcW w:w="674" w:type="dxa"/>
          </w:tcPr>
          <w:p w:rsidR="0084612B" w:rsidRDefault="0084612B" w:rsidP="00D9669E">
            <w:pPr>
              <w:pStyle w:val="AERbodytext"/>
            </w:pPr>
            <w:r>
              <w:t>5</w:t>
            </w:r>
          </w:p>
        </w:tc>
        <w:tc>
          <w:tcPr>
            <w:tcW w:w="5655" w:type="dxa"/>
          </w:tcPr>
          <w:p w:rsidR="0084612B" w:rsidRDefault="0084612B" w:rsidP="00D9669E">
            <w:pPr>
              <w:pStyle w:val="AERtabletextleft"/>
            </w:pPr>
            <w:r w:rsidRPr="00FB5FC7">
              <w:t>Protection &amp; Metering Upgrades</w:t>
            </w:r>
            <w:r>
              <w:t xml:space="preserve"> - </w:t>
            </w:r>
            <w:r w:rsidRPr="00FB5FC7">
              <w:t>99P Line Protection &amp; Metering Upgrade</w:t>
            </w:r>
          </w:p>
        </w:tc>
        <w:tc>
          <w:tcPr>
            <w:tcW w:w="922" w:type="dxa"/>
          </w:tcPr>
          <w:p w:rsidR="0084612B" w:rsidRDefault="0084612B" w:rsidP="007024B8">
            <w:pPr>
              <w:pStyle w:val="AERtabletextleft"/>
              <w:jc w:val="right"/>
            </w:pPr>
            <w:r>
              <w:t>50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50</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84612B" w:rsidP="00D9669E">
            <w:pPr>
              <w:pStyle w:val="AERbodytext"/>
            </w:pPr>
            <w:r>
              <w:t>6</w:t>
            </w:r>
          </w:p>
        </w:tc>
        <w:tc>
          <w:tcPr>
            <w:tcW w:w="5655" w:type="dxa"/>
          </w:tcPr>
          <w:p w:rsidR="0084612B" w:rsidRDefault="0084612B" w:rsidP="00D9669E">
            <w:pPr>
              <w:pStyle w:val="AERtabletextleft"/>
            </w:pPr>
            <w:r w:rsidRPr="00FB5FC7">
              <w:t>Dynamic Line Ratings &amp; Transmission Line Uprating</w:t>
            </w:r>
            <w:r>
              <w:t xml:space="preserve"> - </w:t>
            </w:r>
            <w:r w:rsidRPr="00FB5FC7">
              <w:t>65 Murray – Upper Tumut &amp; 66 Murray – Lower Tumut 330kV Lines</w:t>
            </w:r>
          </w:p>
        </w:tc>
        <w:tc>
          <w:tcPr>
            <w:tcW w:w="922" w:type="dxa"/>
          </w:tcPr>
          <w:p w:rsidR="0084612B" w:rsidRDefault="0084612B" w:rsidP="007024B8">
            <w:pPr>
              <w:pStyle w:val="AERtabletextleft"/>
              <w:jc w:val="right"/>
            </w:pPr>
            <w:r>
              <w:t>400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400</w:t>
            </w:r>
          </w:p>
        </w:tc>
      </w:tr>
      <w:tr w:rsidR="0084612B" w:rsidTr="00D9669E">
        <w:tc>
          <w:tcPr>
            <w:tcW w:w="674" w:type="dxa"/>
          </w:tcPr>
          <w:p w:rsidR="0084612B" w:rsidRDefault="0084612B" w:rsidP="00D9669E">
            <w:pPr>
              <w:pStyle w:val="AERbodytext"/>
            </w:pPr>
            <w:r>
              <w:t>7</w:t>
            </w:r>
          </w:p>
        </w:tc>
        <w:tc>
          <w:tcPr>
            <w:tcW w:w="5655" w:type="dxa"/>
          </w:tcPr>
          <w:p w:rsidR="0084612B" w:rsidRDefault="0084612B" w:rsidP="00D9669E">
            <w:pPr>
              <w:pStyle w:val="AERtabletextleft"/>
            </w:pPr>
            <w:r w:rsidRPr="00FB5FC7">
              <w:t>Control Schemes</w:t>
            </w:r>
            <w:r>
              <w:t xml:space="preserve"> - </w:t>
            </w:r>
            <w:r w:rsidRPr="00FB5FC7">
              <w:t xml:space="preserve">Extension of </w:t>
            </w:r>
            <w:proofErr w:type="spellStart"/>
            <w:r w:rsidRPr="00FB5FC7">
              <w:t>Directlink</w:t>
            </w:r>
            <w:proofErr w:type="spellEnd"/>
            <w:r w:rsidRPr="00FB5FC7">
              <w:t xml:space="preserve"> Tripping Scheme</w:t>
            </w:r>
          </w:p>
        </w:tc>
        <w:tc>
          <w:tcPr>
            <w:tcW w:w="922" w:type="dxa"/>
          </w:tcPr>
          <w:p w:rsidR="0084612B" w:rsidRDefault="0084612B" w:rsidP="007024B8">
            <w:pPr>
              <w:pStyle w:val="AERtabletextleft"/>
              <w:jc w:val="right"/>
            </w:pPr>
            <w:r>
              <w:t>600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600</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84612B" w:rsidP="00D9669E">
            <w:pPr>
              <w:pStyle w:val="AERbodytext"/>
            </w:pPr>
            <w:r>
              <w:t>8</w:t>
            </w:r>
          </w:p>
        </w:tc>
        <w:tc>
          <w:tcPr>
            <w:tcW w:w="5655" w:type="dxa"/>
          </w:tcPr>
          <w:p w:rsidR="0084612B" w:rsidRDefault="0084612B" w:rsidP="00D9669E">
            <w:pPr>
              <w:pStyle w:val="AERtabletextleft"/>
            </w:pPr>
            <w:r w:rsidRPr="00FB5FC7">
              <w:t>Protection Changes</w:t>
            </w:r>
            <w:r>
              <w:t xml:space="preserve"> - </w:t>
            </w:r>
            <w:r w:rsidRPr="00FB5FC7">
              <w:t>976 Line Configuration &amp; Protection Changes</w:t>
            </w:r>
          </w:p>
        </w:tc>
        <w:tc>
          <w:tcPr>
            <w:tcW w:w="922" w:type="dxa"/>
          </w:tcPr>
          <w:p w:rsidR="0084612B" w:rsidRDefault="0084612B" w:rsidP="007024B8">
            <w:pPr>
              <w:pStyle w:val="AERtabletextleft"/>
              <w:jc w:val="right"/>
            </w:pPr>
            <w:r>
              <w:t>110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110</w:t>
            </w:r>
          </w:p>
        </w:tc>
      </w:tr>
      <w:tr w:rsidR="0084612B" w:rsidTr="00D9669E">
        <w:tc>
          <w:tcPr>
            <w:tcW w:w="674" w:type="dxa"/>
          </w:tcPr>
          <w:p w:rsidR="0084612B" w:rsidRDefault="0084612B" w:rsidP="00D9669E">
            <w:pPr>
              <w:pStyle w:val="AERbodytext"/>
            </w:pPr>
            <w:r>
              <w:t>9</w:t>
            </w:r>
          </w:p>
        </w:tc>
        <w:tc>
          <w:tcPr>
            <w:tcW w:w="5655" w:type="dxa"/>
          </w:tcPr>
          <w:p w:rsidR="0084612B" w:rsidRDefault="0084612B" w:rsidP="00D9669E">
            <w:pPr>
              <w:pStyle w:val="AERtabletextleft"/>
            </w:pPr>
            <w:r w:rsidRPr="005E75BA">
              <w:t>Terminal Equipment Upgrades</w:t>
            </w:r>
            <w:r>
              <w:t xml:space="preserve"> - </w:t>
            </w:r>
            <w:r w:rsidRPr="005E75BA">
              <w:t xml:space="preserve">94E Mt Piper 132 – Wallerawang 132 </w:t>
            </w:r>
            <w:proofErr w:type="spellStart"/>
            <w:r w:rsidRPr="005E75BA">
              <w:t>Switchbays</w:t>
            </w:r>
            <w:proofErr w:type="spellEnd"/>
          </w:p>
        </w:tc>
        <w:tc>
          <w:tcPr>
            <w:tcW w:w="922" w:type="dxa"/>
          </w:tcPr>
          <w:p w:rsidR="0084612B" w:rsidRDefault="0084612B" w:rsidP="007024B8">
            <w:pPr>
              <w:pStyle w:val="AERtabletextleft"/>
              <w:jc w:val="right"/>
            </w:pPr>
            <w:r>
              <w:t>50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50</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84612B" w:rsidP="00D9669E">
            <w:pPr>
              <w:pStyle w:val="AERbodytext"/>
            </w:pPr>
            <w:r>
              <w:t>10</w:t>
            </w:r>
          </w:p>
        </w:tc>
        <w:tc>
          <w:tcPr>
            <w:tcW w:w="5655" w:type="dxa"/>
          </w:tcPr>
          <w:p w:rsidR="0084612B" w:rsidRDefault="0084612B" w:rsidP="00D9669E">
            <w:pPr>
              <w:pStyle w:val="AERtabletextleft"/>
            </w:pPr>
            <w:r w:rsidRPr="005E75BA">
              <w:t>Dynamic Line Ratings &amp; Transmission Line Uprating</w:t>
            </w:r>
            <w:r>
              <w:t xml:space="preserve"> - </w:t>
            </w:r>
            <w:r w:rsidRPr="005E75BA">
              <w:t>Northern 132kV System</w:t>
            </w:r>
          </w:p>
        </w:tc>
        <w:tc>
          <w:tcPr>
            <w:tcW w:w="922" w:type="dxa"/>
          </w:tcPr>
          <w:p w:rsidR="0084612B" w:rsidRDefault="0084612B" w:rsidP="007024B8">
            <w:pPr>
              <w:pStyle w:val="AERtabletextleft"/>
              <w:jc w:val="right"/>
            </w:pPr>
            <w:r>
              <w:t>1,000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1,000</w:t>
            </w:r>
          </w:p>
        </w:tc>
      </w:tr>
      <w:tr w:rsidR="0084612B" w:rsidTr="00D9669E">
        <w:tc>
          <w:tcPr>
            <w:tcW w:w="674" w:type="dxa"/>
          </w:tcPr>
          <w:p w:rsidR="0084612B" w:rsidRDefault="0084612B" w:rsidP="00D9669E">
            <w:pPr>
              <w:pStyle w:val="AERbodytext"/>
            </w:pPr>
            <w:r>
              <w:t>11</w:t>
            </w:r>
          </w:p>
        </w:tc>
        <w:tc>
          <w:tcPr>
            <w:tcW w:w="5655" w:type="dxa"/>
          </w:tcPr>
          <w:p w:rsidR="0084612B" w:rsidRDefault="0084612B" w:rsidP="00D9669E">
            <w:pPr>
              <w:pStyle w:val="AERtabletextleft"/>
            </w:pPr>
            <w:r w:rsidRPr="005E75BA">
              <w:t>Dynamic Line Ratings &amp; Transmission Line Uprating</w:t>
            </w:r>
            <w:r>
              <w:t xml:space="preserve"> - </w:t>
            </w:r>
            <w:r w:rsidRPr="005E75BA">
              <w:t>Snowy – Yass &amp; Canberra 330kV Lines</w:t>
            </w:r>
          </w:p>
        </w:tc>
        <w:tc>
          <w:tcPr>
            <w:tcW w:w="922" w:type="dxa"/>
          </w:tcPr>
          <w:p w:rsidR="0084612B" w:rsidRDefault="0084612B" w:rsidP="007024B8">
            <w:pPr>
              <w:pStyle w:val="AERtabletextleft"/>
              <w:jc w:val="right"/>
            </w:pPr>
            <w:r>
              <w:t>1,400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1,400</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84612B" w:rsidP="00D9669E">
            <w:pPr>
              <w:pStyle w:val="AERbodytext"/>
            </w:pPr>
            <w:r>
              <w:t>12</w:t>
            </w:r>
          </w:p>
        </w:tc>
        <w:tc>
          <w:tcPr>
            <w:tcW w:w="5655" w:type="dxa"/>
          </w:tcPr>
          <w:p w:rsidR="0084612B" w:rsidRDefault="0084612B" w:rsidP="00D9669E">
            <w:pPr>
              <w:pStyle w:val="AERtabletextleft"/>
            </w:pPr>
            <w:r w:rsidRPr="005E75BA">
              <w:t>Control Schemes</w:t>
            </w:r>
            <w:r>
              <w:t xml:space="preserve"> - </w:t>
            </w:r>
            <w:r w:rsidRPr="005E75BA">
              <w:t>Northern Reactive Plant Control Scheme</w:t>
            </w:r>
          </w:p>
        </w:tc>
        <w:tc>
          <w:tcPr>
            <w:tcW w:w="922" w:type="dxa"/>
          </w:tcPr>
          <w:p w:rsidR="0084612B" w:rsidRDefault="0084612B" w:rsidP="007024B8">
            <w:pPr>
              <w:pStyle w:val="AERtabletextleft"/>
              <w:jc w:val="right"/>
            </w:pPr>
            <w:r>
              <w:t>524</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524</w:t>
            </w:r>
          </w:p>
        </w:tc>
      </w:tr>
      <w:tr w:rsidR="0084612B" w:rsidTr="00D9669E">
        <w:tc>
          <w:tcPr>
            <w:tcW w:w="674" w:type="dxa"/>
          </w:tcPr>
          <w:p w:rsidR="0084612B" w:rsidRDefault="0084612B" w:rsidP="00D9669E">
            <w:pPr>
              <w:pStyle w:val="AERbodytext"/>
            </w:pPr>
            <w:r>
              <w:t>13</w:t>
            </w:r>
          </w:p>
        </w:tc>
        <w:tc>
          <w:tcPr>
            <w:tcW w:w="5655" w:type="dxa"/>
          </w:tcPr>
          <w:p w:rsidR="0084612B" w:rsidRDefault="0084612B" w:rsidP="00D9669E">
            <w:pPr>
              <w:pStyle w:val="AERtabletextleft"/>
            </w:pPr>
            <w:r w:rsidRPr="005E75BA">
              <w:t>Dynamic Line Ratings &amp; Transmission Line Uprating</w:t>
            </w:r>
            <w:r>
              <w:t xml:space="preserve"> - </w:t>
            </w:r>
            <w:r w:rsidRPr="005E75BA">
              <w:t xml:space="preserve">4 &amp; 5 Yass – Marulan, 9 Yass – Canberra, 61 Yass – </w:t>
            </w:r>
            <w:proofErr w:type="spellStart"/>
            <w:r w:rsidRPr="005E75BA">
              <w:t>Bannaby</w:t>
            </w:r>
            <w:proofErr w:type="spellEnd"/>
            <w:r w:rsidRPr="005E75BA">
              <w:t xml:space="preserve"> &amp; 39 </w:t>
            </w:r>
            <w:proofErr w:type="spellStart"/>
            <w:r w:rsidRPr="005E75BA">
              <w:t>Bannaby</w:t>
            </w:r>
            <w:proofErr w:type="spellEnd"/>
            <w:r w:rsidRPr="005E75BA">
              <w:t xml:space="preserve"> – Sydney West 330kV Lines</w:t>
            </w:r>
          </w:p>
        </w:tc>
        <w:tc>
          <w:tcPr>
            <w:tcW w:w="922" w:type="dxa"/>
          </w:tcPr>
          <w:p w:rsidR="0084612B" w:rsidRDefault="0084612B" w:rsidP="007024B8">
            <w:pPr>
              <w:pStyle w:val="AERtabletextleft"/>
              <w:jc w:val="right"/>
            </w:pPr>
            <w:r>
              <w:t>2,600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2,600</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84612B" w:rsidP="00D9669E">
            <w:pPr>
              <w:pStyle w:val="AERbodytext"/>
            </w:pPr>
            <w:r>
              <w:t>14</w:t>
            </w:r>
          </w:p>
        </w:tc>
        <w:tc>
          <w:tcPr>
            <w:tcW w:w="5655" w:type="dxa"/>
          </w:tcPr>
          <w:p w:rsidR="0084612B" w:rsidRDefault="0084612B" w:rsidP="00D9669E">
            <w:pPr>
              <w:pStyle w:val="AERtabletextleft"/>
            </w:pPr>
            <w:r w:rsidRPr="005E75BA">
              <w:t>Dynamic Line Ratings &amp; Transmission Line Uprating</w:t>
            </w:r>
            <w:r>
              <w:t xml:space="preserve"> - </w:t>
            </w:r>
            <w:r w:rsidRPr="005E75BA">
              <w:t>969 Tamworth 330 – Gunnedah 132kV Line</w:t>
            </w:r>
          </w:p>
        </w:tc>
        <w:tc>
          <w:tcPr>
            <w:tcW w:w="922" w:type="dxa"/>
          </w:tcPr>
          <w:p w:rsidR="0084612B" w:rsidRDefault="0084612B" w:rsidP="007024B8">
            <w:pPr>
              <w:pStyle w:val="AERtabletextleft"/>
              <w:jc w:val="right"/>
            </w:pPr>
            <w:r>
              <w:t>300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300</w:t>
            </w:r>
          </w:p>
        </w:tc>
      </w:tr>
      <w:tr w:rsidR="0084612B" w:rsidTr="00D9669E">
        <w:tc>
          <w:tcPr>
            <w:tcW w:w="674" w:type="dxa"/>
          </w:tcPr>
          <w:p w:rsidR="0084612B" w:rsidRDefault="0084612B" w:rsidP="00D9669E">
            <w:pPr>
              <w:pStyle w:val="AERbodytext"/>
            </w:pPr>
            <w:r>
              <w:t>15</w:t>
            </w:r>
          </w:p>
        </w:tc>
        <w:tc>
          <w:tcPr>
            <w:tcW w:w="5655" w:type="dxa"/>
          </w:tcPr>
          <w:p w:rsidR="0084612B" w:rsidRDefault="0084612B" w:rsidP="00D9669E">
            <w:pPr>
              <w:pStyle w:val="AERtabletextleft"/>
            </w:pPr>
            <w:r w:rsidRPr="005E75BA">
              <w:t>Terminal Equipment Upgrades</w:t>
            </w:r>
            <w:r>
              <w:t xml:space="preserve"> - </w:t>
            </w:r>
            <w:r w:rsidRPr="005E75BA">
              <w:t>81 &amp; 82 Liddell – Newcastle &amp; Tomago Lines</w:t>
            </w:r>
          </w:p>
        </w:tc>
        <w:tc>
          <w:tcPr>
            <w:tcW w:w="922" w:type="dxa"/>
          </w:tcPr>
          <w:p w:rsidR="0084612B" w:rsidRDefault="0084612B" w:rsidP="007024B8">
            <w:pPr>
              <w:pStyle w:val="AERtabletextleft"/>
              <w:jc w:val="right"/>
            </w:pPr>
            <w:r>
              <w:t>600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600</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84612B" w:rsidP="00D9669E">
            <w:pPr>
              <w:pStyle w:val="AERbodytext"/>
            </w:pPr>
            <w:r>
              <w:t>16</w:t>
            </w:r>
          </w:p>
        </w:tc>
        <w:tc>
          <w:tcPr>
            <w:tcW w:w="5655" w:type="dxa"/>
          </w:tcPr>
          <w:p w:rsidR="0084612B" w:rsidRDefault="0084612B" w:rsidP="00D9669E">
            <w:pPr>
              <w:pStyle w:val="AERtabletextleft"/>
            </w:pPr>
            <w:r w:rsidRPr="005E75BA">
              <w:t>Capacitor Banks</w:t>
            </w:r>
            <w:r>
              <w:t xml:space="preserve"> - </w:t>
            </w:r>
            <w:r w:rsidRPr="005E75BA">
              <w:t>Beryl Capacitor Bank</w:t>
            </w:r>
          </w:p>
        </w:tc>
        <w:tc>
          <w:tcPr>
            <w:tcW w:w="922" w:type="dxa"/>
          </w:tcPr>
          <w:p w:rsidR="0084612B" w:rsidRDefault="0084612B" w:rsidP="007024B8">
            <w:pPr>
              <w:pStyle w:val="AERtabletextleft"/>
              <w:jc w:val="right"/>
            </w:pPr>
            <w:r>
              <w:t>1,900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1,900</w:t>
            </w:r>
          </w:p>
        </w:tc>
      </w:tr>
      <w:tr w:rsidR="0084612B" w:rsidTr="00D9669E">
        <w:tc>
          <w:tcPr>
            <w:tcW w:w="674" w:type="dxa"/>
          </w:tcPr>
          <w:p w:rsidR="0084612B" w:rsidRDefault="0084612B" w:rsidP="00D9669E">
            <w:pPr>
              <w:pStyle w:val="AERbodytext"/>
            </w:pPr>
            <w:r>
              <w:t>17</w:t>
            </w:r>
          </w:p>
        </w:tc>
        <w:tc>
          <w:tcPr>
            <w:tcW w:w="5655" w:type="dxa"/>
          </w:tcPr>
          <w:p w:rsidR="0084612B" w:rsidRDefault="0084612B" w:rsidP="00D9669E">
            <w:pPr>
              <w:pStyle w:val="AERtabletextleft"/>
            </w:pPr>
            <w:r w:rsidRPr="005E75BA">
              <w:t>Travelling Wave Fault Location</w:t>
            </w:r>
            <w:r>
              <w:t xml:space="preserve"> - </w:t>
            </w:r>
            <w:r w:rsidRPr="005E75BA">
              <w:t>Snowy Lines</w:t>
            </w:r>
          </w:p>
        </w:tc>
        <w:tc>
          <w:tcPr>
            <w:tcW w:w="922" w:type="dxa"/>
          </w:tcPr>
          <w:p w:rsidR="0084612B" w:rsidRDefault="0084612B" w:rsidP="007024B8">
            <w:pPr>
              <w:pStyle w:val="AERtabletextleft"/>
              <w:jc w:val="right"/>
            </w:pPr>
            <w:r>
              <w:t>2,211</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2,211</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84612B" w:rsidP="00D9669E">
            <w:pPr>
              <w:pStyle w:val="AERbodytext"/>
            </w:pPr>
            <w:r>
              <w:t>18</w:t>
            </w:r>
          </w:p>
        </w:tc>
        <w:tc>
          <w:tcPr>
            <w:tcW w:w="5655" w:type="dxa"/>
          </w:tcPr>
          <w:p w:rsidR="0084612B" w:rsidRDefault="0084612B" w:rsidP="00D9669E">
            <w:pPr>
              <w:pStyle w:val="AERtabletextleft"/>
            </w:pPr>
            <w:r w:rsidRPr="005E75BA">
              <w:t>Travelling Wave Fault Location</w:t>
            </w:r>
            <w:r>
              <w:t xml:space="preserve"> - </w:t>
            </w:r>
            <w:r w:rsidRPr="005E75BA">
              <w:t>North Western 132kV System</w:t>
            </w:r>
          </w:p>
        </w:tc>
        <w:tc>
          <w:tcPr>
            <w:tcW w:w="922" w:type="dxa"/>
          </w:tcPr>
          <w:p w:rsidR="0084612B" w:rsidRDefault="0084612B" w:rsidP="007024B8">
            <w:pPr>
              <w:pStyle w:val="AERtabletextleft"/>
              <w:jc w:val="right"/>
            </w:pPr>
            <w:r>
              <w:t>877</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877</w:t>
            </w:r>
          </w:p>
        </w:tc>
      </w:tr>
      <w:tr w:rsidR="0084612B" w:rsidTr="00D9669E">
        <w:tc>
          <w:tcPr>
            <w:tcW w:w="674" w:type="dxa"/>
          </w:tcPr>
          <w:p w:rsidR="0084612B" w:rsidRDefault="0084612B" w:rsidP="00D9669E">
            <w:pPr>
              <w:pStyle w:val="AERbodytext"/>
            </w:pPr>
            <w:r>
              <w:lastRenderedPageBreak/>
              <w:t>19</w:t>
            </w:r>
          </w:p>
        </w:tc>
        <w:tc>
          <w:tcPr>
            <w:tcW w:w="5655" w:type="dxa"/>
          </w:tcPr>
          <w:p w:rsidR="0084612B" w:rsidRDefault="0084612B" w:rsidP="00D9669E">
            <w:pPr>
              <w:pStyle w:val="AERtabletextleft"/>
            </w:pPr>
            <w:r w:rsidRPr="00675320">
              <w:t>Travelling Wave Fault Location</w:t>
            </w:r>
            <w:r>
              <w:t xml:space="preserve"> - </w:t>
            </w:r>
            <w:r w:rsidRPr="00675320">
              <w:t>Northern 330kV Lines</w:t>
            </w:r>
          </w:p>
        </w:tc>
        <w:tc>
          <w:tcPr>
            <w:tcW w:w="922" w:type="dxa"/>
          </w:tcPr>
          <w:p w:rsidR="0084612B" w:rsidRDefault="0084612B" w:rsidP="007024B8">
            <w:pPr>
              <w:pStyle w:val="AERtabletextleft"/>
              <w:jc w:val="right"/>
            </w:pPr>
            <w:r>
              <w:t>1,895</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1,895</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84612B" w:rsidP="00D9669E">
            <w:pPr>
              <w:pStyle w:val="AERbodytext"/>
            </w:pPr>
            <w:r>
              <w:t>20</w:t>
            </w:r>
          </w:p>
        </w:tc>
        <w:tc>
          <w:tcPr>
            <w:tcW w:w="5655" w:type="dxa"/>
          </w:tcPr>
          <w:p w:rsidR="0084612B" w:rsidRDefault="0084612B" w:rsidP="00D9669E">
            <w:pPr>
              <w:pStyle w:val="AERtabletextleft"/>
            </w:pPr>
            <w:r w:rsidRPr="00675320">
              <w:t>Travelling Wave Fault Location</w:t>
            </w:r>
            <w:r>
              <w:t xml:space="preserve"> - </w:t>
            </w:r>
            <w:r w:rsidRPr="00675320">
              <w:t>Far North Coast 132kV System</w:t>
            </w:r>
          </w:p>
        </w:tc>
        <w:tc>
          <w:tcPr>
            <w:tcW w:w="922" w:type="dxa"/>
          </w:tcPr>
          <w:p w:rsidR="0084612B" w:rsidRDefault="0084612B" w:rsidP="007024B8">
            <w:pPr>
              <w:pStyle w:val="AERtabletextleft"/>
              <w:jc w:val="right"/>
            </w:pPr>
            <w:r>
              <w:t>890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890</w:t>
            </w:r>
          </w:p>
        </w:tc>
      </w:tr>
      <w:tr w:rsidR="0084612B" w:rsidTr="00D9669E">
        <w:tc>
          <w:tcPr>
            <w:tcW w:w="674" w:type="dxa"/>
          </w:tcPr>
          <w:p w:rsidR="0084612B" w:rsidRDefault="0084612B" w:rsidP="00D9669E">
            <w:pPr>
              <w:pStyle w:val="AERbodytext"/>
            </w:pPr>
            <w:r>
              <w:t>21</w:t>
            </w:r>
          </w:p>
        </w:tc>
        <w:tc>
          <w:tcPr>
            <w:tcW w:w="5655" w:type="dxa"/>
          </w:tcPr>
          <w:p w:rsidR="0084612B" w:rsidRDefault="0084612B" w:rsidP="00D9669E">
            <w:pPr>
              <w:pStyle w:val="AERtabletextleft"/>
            </w:pPr>
            <w:r w:rsidRPr="00675320">
              <w:t>Quality of Supply</w:t>
            </w:r>
            <w:r>
              <w:t xml:space="preserve"> - </w:t>
            </w:r>
            <w:r w:rsidRPr="00675320">
              <w:t>Point-on-Wave Switching for 132kV Capacitor Banks</w:t>
            </w:r>
          </w:p>
        </w:tc>
        <w:tc>
          <w:tcPr>
            <w:tcW w:w="922" w:type="dxa"/>
          </w:tcPr>
          <w:p w:rsidR="0084612B" w:rsidRDefault="0084612B" w:rsidP="007024B8">
            <w:pPr>
              <w:pStyle w:val="AERtabletextleft"/>
              <w:jc w:val="right"/>
            </w:pPr>
            <w:r>
              <w:t>631</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631</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84612B" w:rsidP="00D9669E">
            <w:pPr>
              <w:pStyle w:val="AERbodytext"/>
            </w:pPr>
            <w:r>
              <w:t>22</w:t>
            </w:r>
          </w:p>
        </w:tc>
        <w:tc>
          <w:tcPr>
            <w:tcW w:w="5655" w:type="dxa"/>
          </w:tcPr>
          <w:p w:rsidR="0084612B" w:rsidRDefault="0084612B" w:rsidP="00D9669E">
            <w:pPr>
              <w:pStyle w:val="AERtabletextleft"/>
            </w:pPr>
            <w:r w:rsidRPr="00675320">
              <w:t>Quality of Supply</w:t>
            </w:r>
            <w:r>
              <w:t xml:space="preserve"> - </w:t>
            </w:r>
            <w:r w:rsidRPr="00675320">
              <w:t>Point-on-Wave Switching for 66kV &amp; Below Capacitor Banks</w:t>
            </w:r>
          </w:p>
        </w:tc>
        <w:tc>
          <w:tcPr>
            <w:tcW w:w="922" w:type="dxa"/>
          </w:tcPr>
          <w:p w:rsidR="0084612B" w:rsidRDefault="0084612B" w:rsidP="007024B8">
            <w:pPr>
              <w:pStyle w:val="AERtabletextleft"/>
              <w:jc w:val="right"/>
            </w:pPr>
            <w:r>
              <w:t>4,500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4,500</w:t>
            </w:r>
          </w:p>
        </w:tc>
      </w:tr>
      <w:tr w:rsidR="0084612B" w:rsidTr="00D9669E">
        <w:tc>
          <w:tcPr>
            <w:tcW w:w="674" w:type="dxa"/>
          </w:tcPr>
          <w:p w:rsidR="0084612B" w:rsidRDefault="0084612B" w:rsidP="00D9669E">
            <w:pPr>
              <w:pStyle w:val="AERbodytext"/>
            </w:pPr>
            <w:r>
              <w:t>23</w:t>
            </w:r>
          </w:p>
        </w:tc>
        <w:tc>
          <w:tcPr>
            <w:tcW w:w="5655" w:type="dxa"/>
          </w:tcPr>
          <w:p w:rsidR="0084612B" w:rsidRDefault="0084612B" w:rsidP="00D9669E">
            <w:pPr>
              <w:pStyle w:val="AERtabletextleft"/>
            </w:pPr>
            <w:r w:rsidRPr="00675320">
              <w:t>Research Projects</w:t>
            </w:r>
            <w:r>
              <w:t xml:space="preserve"> - </w:t>
            </w:r>
            <w:r w:rsidRPr="00675320">
              <w:t>Behaviour of Residential Solar During System Events</w:t>
            </w:r>
          </w:p>
        </w:tc>
        <w:tc>
          <w:tcPr>
            <w:tcW w:w="922" w:type="dxa"/>
          </w:tcPr>
          <w:p w:rsidR="0084612B" w:rsidRDefault="0084612B" w:rsidP="007024B8">
            <w:pPr>
              <w:pStyle w:val="AERtabletextleft"/>
              <w:jc w:val="right"/>
            </w:pPr>
            <w:r>
              <w:t>1,850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1,850</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84612B" w:rsidP="00D9669E">
            <w:pPr>
              <w:pStyle w:val="AERbodytext"/>
            </w:pPr>
            <w:r>
              <w:t>24</w:t>
            </w:r>
          </w:p>
        </w:tc>
        <w:tc>
          <w:tcPr>
            <w:tcW w:w="5655" w:type="dxa"/>
          </w:tcPr>
          <w:p w:rsidR="0084612B" w:rsidRDefault="0084612B" w:rsidP="00D9669E">
            <w:pPr>
              <w:pStyle w:val="AERtabletextleft"/>
            </w:pPr>
            <w:r w:rsidRPr="00675320">
              <w:t>Travelling Wave Fault Location</w:t>
            </w:r>
            <w:r>
              <w:t xml:space="preserve"> - </w:t>
            </w:r>
            <w:r w:rsidRPr="00675320">
              <w:t>Southern 330kV Network</w:t>
            </w:r>
          </w:p>
        </w:tc>
        <w:tc>
          <w:tcPr>
            <w:tcW w:w="922" w:type="dxa"/>
          </w:tcPr>
          <w:p w:rsidR="0084612B" w:rsidRDefault="0084612B" w:rsidP="007024B8">
            <w:pPr>
              <w:pStyle w:val="AERtabletextleft"/>
              <w:jc w:val="right"/>
            </w:pPr>
            <w:r>
              <w:t>1,347</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1,347</w:t>
            </w:r>
          </w:p>
        </w:tc>
      </w:tr>
      <w:tr w:rsidR="0084612B" w:rsidTr="00D9669E">
        <w:tc>
          <w:tcPr>
            <w:tcW w:w="674" w:type="dxa"/>
          </w:tcPr>
          <w:p w:rsidR="0084612B" w:rsidRDefault="0084612B" w:rsidP="00D9669E">
            <w:pPr>
              <w:pStyle w:val="AERbodytext"/>
            </w:pPr>
            <w:r>
              <w:t>25</w:t>
            </w:r>
          </w:p>
        </w:tc>
        <w:tc>
          <w:tcPr>
            <w:tcW w:w="5655" w:type="dxa"/>
          </w:tcPr>
          <w:p w:rsidR="0084612B" w:rsidRDefault="0084612B" w:rsidP="00D9669E">
            <w:pPr>
              <w:pStyle w:val="AERtabletextleft"/>
            </w:pPr>
            <w:r w:rsidRPr="00675320">
              <w:t>Travelling Wave Fault Location</w:t>
            </w:r>
            <w:r>
              <w:t xml:space="preserve"> - </w:t>
            </w:r>
            <w:r w:rsidRPr="00675320">
              <w:t>Western 220kV Network</w:t>
            </w:r>
          </w:p>
        </w:tc>
        <w:tc>
          <w:tcPr>
            <w:tcW w:w="922" w:type="dxa"/>
          </w:tcPr>
          <w:p w:rsidR="0084612B" w:rsidRDefault="0084612B" w:rsidP="007024B8">
            <w:pPr>
              <w:pStyle w:val="AERtabletextleft"/>
              <w:jc w:val="right"/>
            </w:pPr>
            <w:r>
              <w:t>877</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877</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84612B" w:rsidP="00D9669E">
            <w:pPr>
              <w:pStyle w:val="AERbodytext"/>
            </w:pPr>
            <w:r>
              <w:t>26</w:t>
            </w:r>
          </w:p>
        </w:tc>
        <w:tc>
          <w:tcPr>
            <w:tcW w:w="5655" w:type="dxa"/>
          </w:tcPr>
          <w:p w:rsidR="0084612B" w:rsidRDefault="0084612B" w:rsidP="00D9669E">
            <w:pPr>
              <w:pStyle w:val="AERtabletextleft"/>
            </w:pPr>
            <w:r w:rsidRPr="00675320">
              <w:t>Remote Information</w:t>
            </w:r>
            <w:r>
              <w:t xml:space="preserve"> - </w:t>
            </w:r>
            <w:r w:rsidRPr="00675320">
              <w:t>Remote Interrogation of Protection Relays</w:t>
            </w:r>
          </w:p>
        </w:tc>
        <w:tc>
          <w:tcPr>
            <w:tcW w:w="922" w:type="dxa"/>
          </w:tcPr>
          <w:p w:rsidR="0084612B" w:rsidRDefault="0084612B" w:rsidP="007024B8">
            <w:pPr>
              <w:pStyle w:val="AERtabletextleft"/>
              <w:jc w:val="right"/>
            </w:pPr>
            <w:r>
              <w:t>1000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1,000</w:t>
            </w:r>
          </w:p>
        </w:tc>
      </w:tr>
      <w:tr w:rsidR="0084612B" w:rsidTr="00D9669E">
        <w:tc>
          <w:tcPr>
            <w:tcW w:w="674" w:type="dxa"/>
          </w:tcPr>
          <w:p w:rsidR="0084612B" w:rsidRDefault="0084612B" w:rsidP="00D9669E">
            <w:pPr>
              <w:pStyle w:val="AERbodytext"/>
            </w:pPr>
            <w:r>
              <w:t>27</w:t>
            </w:r>
          </w:p>
        </w:tc>
        <w:tc>
          <w:tcPr>
            <w:tcW w:w="5655" w:type="dxa"/>
          </w:tcPr>
          <w:p w:rsidR="0084612B" w:rsidRDefault="0084612B" w:rsidP="00D9669E">
            <w:pPr>
              <w:pStyle w:val="AERtabletextleft"/>
            </w:pPr>
            <w:r w:rsidRPr="00675320">
              <w:t>Communications</w:t>
            </w:r>
            <w:r>
              <w:t xml:space="preserve"> - </w:t>
            </w:r>
            <w:r w:rsidRPr="00675320">
              <w:t>Communications to Albury, ANM &amp; Hume Substations</w:t>
            </w:r>
          </w:p>
        </w:tc>
        <w:tc>
          <w:tcPr>
            <w:tcW w:w="922" w:type="dxa"/>
          </w:tcPr>
          <w:p w:rsidR="0084612B" w:rsidRDefault="0084612B" w:rsidP="007024B8">
            <w:pPr>
              <w:pStyle w:val="AERtabletextleft"/>
              <w:jc w:val="right"/>
            </w:pPr>
            <w:r>
              <w:t>4,200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4,200</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84612B" w:rsidP="00D9669E">
            <w:pPr>
              <w:pStyle w:val="AERbodytext"/>
            </w:pPr>
            <w:r>
              <w:t>28</w:t>
            </w:r>
          </w:p>
        </w:tc>
        <w:tc>
          <w:tcPr>
            <w:tcW w:w="5655" w:type="dxa"/>
          </w:tcPr>
          <w:p w:rsidR="0084612B" w:rsidRDefault="0084612B" w:rsidP="00D9669E">
            <w:pPr>
              <w:pStyle w:val="AERtabletextleft"/>
            </w:pPr>
            <w:r w:rsidRPr="00675320">
              <w:t>Research Projects</w:t>
            </w:r>
            <w:r>
              <w:t xml:space="preserve"> - </w:t>
            </w:r>
            <w:r w:rsidRPr="00675320">
              <w:t>Energy Storage</w:t>
            </w:r>
          </w:p>
        </w:tc>
        <w:tc>
          <w:tcPr>
            <w:tcW w:w="922" w:type="dxa"/>
          </w:tcPr>
          <w:p w:rsidR="0084612B" w:rsidRDefault="0084612B" w:rsidP="007024B8">
            <w:pPr>
              <w:pStyle w:val="AERtabletextleft"/>
              <w:jc w:val="right"/>
            </w:pPr>
            <w:r>
              <w:t>4,900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4,900</w:t>
            </w:r>
          </w:p>
        </w:tc>
      </w:tr>
      <w:tr w:rsidR="0084612B" w:rsidTr="00D9669E">
        <w:tc>
          <w:tcPr>
            <w:tcW w:w="674" w:type="dxa"/>
          </w:tcPr>
          <w:p w:rsidR="0084612B" w:rsidRPr="00997BF7" w:rsidRDefault="0084612B" w:rsidP="00D9669E">
            <w:pPr>
              <w:pStyle w:val="AERbodytext"/>
              <w:rPr>
                <w:b/>
              </w:rPr>
            </w:pPr>
            <w:r w:rsidRPr="00997BF7">
              <w:rPr>
                <w:b/>
              </w:rPr>
              <w:t>Total</w:t>
            </w:r>
          </w:p>
        </w:tc>
        <w:tc>
          <w:tcPr>
            <w:tcW w:w="5655" w:type="dxa"/>
          </w:tcPr>
          <w:p w:rsidR="0084612B" w:rsidRPr="00997BF7" w:rsidRDefault="0084612B" w:rsidP="00D9669E">
            <w:pPr>
              <w:pStyle w:val="AERbodytext"/>
              <w:rPr>
                <w:b/>
              </w:rPr>
            </w:pPr>
          </w:p>
        </w:tc>
        <w:tc>
          <w:tcPr>
            <w:tcW w:w="922" w:type="dxa"/>
          </w:tcPr>
          <w:p w:rsidR="0084612B" w:rsidRPr="00997BF7" w:rsidRDefault="00A90193" w:rsidP="007024B8">
            <w:pPr>
              <w:pStyle w:val="AERbodytext"/>
              <w:jc w:val="right"/>
              <w:rPr>
                <w:b/>
                <w:sz w:val="20"/>
              </w:rPr>
            </w:pPr>
            <w:r w:rsidRPr="00997BF7">
              <w:rPr>
                <w:b/>
              </w:rPr>
              <w:t>36,317</w:t>
            </w:r>
          </w:p>
        </w:tc>
        <w:tc>
          <w:tcPr>
            <w:tcW w:w="977" w:type="dxa"/>
          </w:tcPr>
          <w:p w:rsidR="0084612B" w:rsidRPr="00997BF7" w:rsidRDefault="0084612B" w:rsidP="007024B8">
            <w:pPr>
              <w:pStyle w:val="AERbodytext"/>
              <w:jc w:val="right"/>
              <w:rPr>
                <w:b/>
                <w:sz w:val="20"/>
              </w:rPr>
            </w:pPr>
          </w:p>
        </w:tc>
        <w:tc>
          <w:tcPr>
            <w:tcW w:w="1014" w:type="dxa"/>
          </w:tcPr>
          <w:p w:rsidR="0084612B" w:rsidRPr="00997BF7" w:rsidRDefault="00A90193" w:rsidP="007024B8">
            <w:pPr>
              <w:pStyle w:val="AERbodytext"/>
              <w:jc w:val="right"/>
              <w:rPr>
                <w:b/>
                <w:sz w:val="20"/>
              </w:rPr>
            </w:pPr>
            <w:r w:rsidRPr="00997BF7">
              <w:rPr>
                <w:b/>
              </w:rPr>
              <w:t>36,317</w:t>
            </w:r>
          </w:p>
        </w:tc>
      </w:tr>
    </w:tbl>
    <w:p w:rsidR="0084612B" w:rsidRDefault="0017052D" w:rsidP="00D53288">
      <w:pPr>
        <w:pStyle w:val="AERtablesource"/>
      </w:pPr>
      <w:r>
        <w:t xml:space="preserve">Source: </w:t>
      </w:r>
      <w:r>
        <w:tab/>
      </w:r>
      <w:r>
        <w:rPr>
          <w:szCs w:val="16"/>
        </w:rPr>
        <w:t xml:space="preserve">TransGrid, </w:t>
      </w:r>
      <w:r>
        <w:rPr>
          <w:i/>
          <w:iCs/>
          <w:szCs w:val="16"/>
        </w:rPr>
        <w:t>Transitional revenue proposal 2014/15, Appendix NCIPAP</w:t>
      </w:r>
      <w:r>
        <w:rPr>
          <w:szCs w:val="16"/>
        </w:rPr>
        <w:t xml:space="preserve">, 31 January 2014. </w:t>
      </w:r>
      <w:proofErr w:type="gramStart"/>
      <w:r>
        <w:rPr>
          <w:szCs w:val="16"/>
        </w:rPr>
        <w:t>AEMO,</w:t>
      </w:r>
      <w:r w:rsidR="003321A4">
        <w:rPr>
          <w:szCs w:val="16"/>
        </w:rPr>
        <w:t xml:space="preserve"> </w:t>
      </w:r>
      <w:r>
        <w:rPr>
          <w:i/>
          <w:iCs/>
          <w:szCs w:val="16"/>
        </w:rPr>
        <w:t xml:space="preserve">AEMO endorsement of </w:t>
      </w:r>
      <w:r w:rsidR="000D06AB">
        <w:rPr>
          <w:i/>
          <w:iCs/>
          <w:szCs w:val="16"/>
        </w:rPr>
        <w:t>TransGrid</w:t>
      </w:r>
      <w:r>
        <w:rPr>
          <w:i/>
          <w:iCs/>
          <w:szCs w:val="16"/>
        </w:rPr>
        <w:t xml:space="preserve"> Network Capability Incentive Parameter Action Plan (NCIPAP)</w:t>
      </w:r>
      <w:r w:rsidR="000D06AB">
        <w:rPr>
          <w:i/>
          <w:iCs/>
          <w:szCs w:val="16"/>
        </w:rPr>
        <w:t xml:space="preserve"> for</w:t>
      </w:r>
      <w:r>
        <w:rPr>
          <w:i/>
          <w:iCs/>
          <w:szCs w:val="16"/>
        </w:rPr>
        <w:t xml:space="preserve"> </w:t>
      </w:r>
      <w:r w:rsidR="000D06AB">
        <w:rPr>
          <w:i/>
          <w:iCs/>
          <w:szCs w:val="16"/>
        </w:rPr>
        <w:t xml:space="preserve">1 July </w:t>
      </w:r>
      <w:r>
        <w:rPr>
          <w:i/>
          <w:iCs/>
          <w:szCs w:val="16"/>
        </w:rPr>
        <w:t>2014</w:t>
      </w:r>
      <w:r w:rsidR="003321A4">
        <w:rPr>
          <w:i/>
          <w:iCs/>
          <w:szCs w:val="16"/>
        </w:rPr>
        <w:t xml:space="preserve"> </w:t>
      </w:r>
      <w:r>
        <w:rPr>
          <w:i/>
          <w:iCs/>
          <w:szCs w:val="16"/>
        </w:rPr>
        <w:t>–</w:t>
      </w:r>
      <w:r w:rsidR="000D06AB">
        <w:rPr>
          <w:i/>
          <w:iCs/>
          <w:szCs w:val="16"/>
        </w:rPr>
        <w:t xml:space="preserve"> 30 June 2019</w:t>
      </w:r>
      <w:r>
        <w:rPr>
          <w:i/>
          <w:iCs/>
          <w:szCs w:val="16"/>
        </w:rPr>
        <w:t xml:space="preserve">, </w:t>
      </w:r>
      <w:r w:rsidR="000D06AB">
        <w:rPr>
          <w:szCs w:val="16"/>
        </w:rPr>
        <w:t>4</w:t>
      </w:r>
      <w:r>
        <w:rPr>
          <w:szCs w:val="16"/>
        </w:rPr>
        <w:t xml:space="preserve"> </w:t>
      </w:r>
      <w:r w:rsidR="000D06AB">
        <w:rPr>
          <w:szCs w:val="16"/>
        </w:rPr>
        <w:t>February 2014</w:t>
      </w:r>
      <w:r>
        <w:rPr>
          <w:szCs w:val="16"/>
        </w:rPr>
        <w:t>.</w:t>
      </w:r>
      <w:proofErr w:type="gramEnd"/>
      <w:r>
        <w:rPr>
          <w:szCs w:val="16"/>
        </w:rPr>
        <w:t xml:space="preserve"> </w:t>
      </w:r>
    </w:p>
    <w:p w:rsidR="003D5832" w:rsidRDefault="003D5832" w:rsidP="003D5832">
      <w:pPr>
        <w:pStyle w:val="HeadingBoldBlue"/>
      </w:pPr>
      <w:r>
        <w:t>Transend</w:t>
      </w:r>
    </w:p>
    <w:p w:rsidR="0041017E" w:rsidRDefault="0084612B" w:rsidP="0041017E">
      <w:pPr>
        <w:pStyle w:val="AERbodytext"/>
        <w:numPr>
          <w:ilvl w:val="0"/>
          <w:numId w:val="0"/>
        </w:numPr>
      </w:pPr>
      <w:r>
        <w:t xml:space="preserve">We do not accept </w:t>
      </w:r>
      <w:proofErr w:type="spellStart"/>
      <w:r w:rsidRPr="00A7656F">
        <w:t>Transend's</w:t>
      </w:r>
      <w:proofErr w:type="spellEnd"/>
      <w:r w:rsidRPr="00A7656F">
        <w:t xml:space="preserve"> p</w:t>
      </w:r>
      <w:r>
        <w:t xml:space="preserve">roposed </w:t>
      </w:r>
      <w:r w:rsidRPr="001E60E9">
        <w:t xml:space="preserve">priority projects and improvement targets </w:t>
      </w:r>
      <w:r w:rsidRPr="007C560A">
        <w:t>set out in its network capability incentive parameter acti</w:t>
      </w:r>
      <w:r>
        <w:t xml:space="preserve">on plan (NCIPAP) because they do not comply with the requirements in clause 5.2 of the STPIS. Specifically, </w:t>
      </w:r>
      <w:proofErr w:type="spellStart"/>
      <w:r>
        <w:t>Transend’s</w:t>
      </w:r>
      <w:proofErr w:type="spellEnd"/>
      <w:r>
        <w:t xml:space="preserve"> proposed total expenditure of the priority projects is greater than 1 per cent of its maximum allowed revenue proposed in its transitional regulatory proposal, </w:t>
      </w:r>
      <w:r w:rsidRPr="00CA1CCA">
        <w:t xml:space="preserve">which is not consistent with </w:t>
      </w:r>
      <w:r w:rsidR="00FA74ED" w:rsidRPr="00FA74ED">
        <w:t xml:space="preserve">clause 5.2(b) </w:t>
      </w:r>
      <w:r w:rsidR="00FA74ED">
        <w:t xml:space="preserve">of </w:t>
      </w:r>
      <w:r w:rsidRPr="00CA1CCA">
        <w:t>the STPIS which only allows for up to 1</w:t>
      </w:r>
      <w:r w:rsidR="007B64A1">
        <w:t xml:space="preserve"> per cent</w:t>
      </w:r>
      <w:r w:rsidRPr="00CA1CCA">
        <w:t xml:space="preserve"> of proposed MAR</w:t>
      </w:r>
      <w:r>
        <w:t xml:space="preserve">. </w:t>
      </w:r>
      <w:r w:rsidR="0039039A">
        <w:t xml:space="preserve"> The Tasmanian Small Business Council submits that </w:t>
      </w:r>
      <w:r w:rsidR="00283627">
        <w:t>the AER needs to carefully assess the proposed projects to ensure that it is robust and capable of delivering the benefits claimed and the costs identified. F</w:t>
      </w:r>
      <w:r w:rsidR="00671C0C">
        <w:t>or example</w:t>
      </w:r>
      <w:r w:rsidR="00283627">
        <w:t>, the Council comments that Transend has provided no det</w:t>
      </w:r>
      <w:r w:rsidR="00BC6047">
        <w:t>ails about benefits and costs, o</w:t>
      </w:r>
      <w:r w:rsidR="00283627">
        <w:t>r how they have been calculated.</w:t>
      </w:r>
      <w:r w:rsidR="00AC3474">
        <w:rPr>
          <w:rStyle w:val="FootnoteReference"/>
        </w:rPr>
        <w:footnoteReference w:id="64"/>
      </w:r>
      <w:r w:rsidR="00283627">
        <w:t xml:space="preserve"> We agree that the proposed projects should be carefully scrutinised in terms of net benefits to consumers. In accordance with the STPIS we are mindful that these projects have been endorsed by AEMO which has assessed these </w:t>
      </w:r>
      <w:r w:rsidR="00A53A12">
        <w:t xml:space="preserve">priority improvement </w:t>
      </w:r>
      <w:r w:rsidR="00283627">
        <w:t>projects.</w:t>
      </w:r>
    </w:p>
    <w:p w:rsidR="0084612B" w:rsidRDefault="0084612B" w:rsidP="0041017E">
      <w:pPr>
        <w:pStyle w:val="AERbodytext"/>
        <w:numPr>
          <w:ilvl w:val="0"/>
          <w:numId w:val="0"/>
        </w:numPr>
      </w:pPr>
      <w:r>
        <w:t xml:space="preserve">We </w:t>
      </w:r>
      <w:r w:rsidR="00355442">
        <w:t xml:space="preserve">have </w:t>
      </w:r>
      <w:r>
        <w:t xml:space="preserve">removed </w:t>
      </w:r>
      <w:r w:rsidR="00A5564D">
        <w:t xml:space="preserve">two </w:t>
      </w:r>
      <w:r w:rsidR="00977766">
        <w:t xml:space="preserve">proposed </w:t>
      </w:r>
      <w:r w:rsidRPr="007C560A">
        <w:t>project</w:t>
      </w:r>
      <w:r>
        <w:t xml:space="preserve">s </w:t>
      </w:r>
      <w:r w:rsidRPr="007C560A">
        <w:t xml:space="preserve">(the </w:t>
      </w:r>
      <w:r>
        <w:t>c</w:t>
      </w:r>
      <w:r w:rsidRPr="007C560A">
        <w:t xml:space="preserve">ontinued operation </w:t>
      </w:r>
      <w:r w:rsidR="00BC6047">
        <w:t>and</w:t>
      </w:r>
      <w:r w:rsidR="00BC6047" w:rsidRPr="007C560A">
        <w:t xml:space="preserve"> </w:t>
      </w:r>
      <w:r w:rsidRPr="007C560A">
        <w:t>maintenance of existing transmission line dynamic rating systems</w:t>
      </w:r>
      <w:r w:rsidR="00355442">
        <w:t xml:space="preserve"> - the whole network</w:t>
      </w:r>
      <w:r w:rsidR="00A5564D">
        <w:t>,</w:t>
      </w:r>
      <w:r w:rsidR="00355442">
        <w:t xml:space="preserve"> </w:t>
      </w:r>
      <w:r w:rsidR="00A5564D">
        <w:t xml:space="preserve">and </w:t>
      </w:r>
      <w:r>
        <w:t>m</w:t>
      </w:r>
      <w:r w:rsidRPr="007C560A">
        <w:t>aintenance of prescribed special protection schemes</w:t>
      </w:r>
      <w:r w:rsidR="00355442">
        <w:t xml:space="preserve"> – various circuits and connection sites across the network</w:t>
      </w:r>
      <w:r w:rsidRPr="007C560A">
        <w:t xml:space="preserve">) from </w:t>
      </w:r>
      <w:proofErr w:type="spellStart"/>
      <w:r w:rsidR="003D5832">
        <w:t>Transend’s</w:t>
      </w:r>
      <w:proofErr w:type="spellEnd"/>
      <w:r w:rsidR="003D5832">
        <w:t xml:space="preserve"> proposed </w:t>
      </w:r>
      <w:r w:rsidRPr="007C560A">
        <w:t>NCIPAP</w:t>
      </w:r>
      <w:r w:rsidR="002D4752">
        <w:t>. This is</w:t>
      </w:r>
      <w:r w:rsidRPr="007C560A">
        <w:t xml:space="preserve"> </w:t>
      </w:r>
      <w:r w:rsidRPr="0041017E">
        <w:t>because</w:t>
      </w:r>
      <w:r w:rsidR="002D4752" w:rsidRPr="0041017E">
        <w:t xml:space="preserve"> </w:t>
      </w:r>
      <w:r w:rsidR="0041017E" w:rsidRPr="0041017E">
        <w:t>t</w:t>
      </w:r>
      <w:r w:rsidRPr="007C560A">
        <w:t>he scheme only allo</w:t>
      </w:r>
      <w:r>
        <w:t>ws for NCC projects that improve</w:t>
      </w:r>
      <w:r w:rsidRPr="007C560A">
        <w:t xml:space="preserve"> network capability. </w:t>
      </w:r>
      <w:r>
        <w:t>Th</w:t>
      </w:r>
      <w:r w:rsidR="007B64A1">
        <w:t xml:space="preserve">e two </w:t>
      </w:r>
      <w:r w:rsidR="00977766">
        <w:t xml:space="preserve">proposed </w:t>
      </w:r>
      <w:r w:rsidR="007B64A1">
        <w:t xml:space="preserve">projects </w:t>
      </w:r>
      <w:r w:rsidR="00671C0C">
        <w:t xml:space="preserve">that we have removed instead </w:t>
      </w:r>
      <w:r w:rsidR="007B64A1">
        <w:t xml:space="preserve">relate to the continued operation and maintenance of existing </w:t>
      </w:r>
      <w:r w:rsidRPr="007C560A">
        <w:t xml:space="preserve">network capability. </w:t>
      </w:r>
      <w:r>
        <w:t xml:space="preserve">Those projects do not </w:t>
      </w:r>
      <w:r w:rsidRPr="007C560A">
        <w:t xml:space="preserve">improve, through operational </w:t>
      </w:r>
      <w:r w:rsidRPr="007C560A">
        <w:lastRenderedPageBreak/>
        <w:t>and/or minor capital expenditure, the network capability for some of the circuits or injection points</w:t>
      </w:r>
      <w:r>
        <w:t>, as required under the scheme.</w:t>
      </w:r>
    </w:p>
    <w:p w:rsidR="0084612B" w:rsidRDefault="0084612B" w:rsidP="00024118">
      <w:pPr>
        <w:pStyle w:val="AERbodytext"/>
      </w:pPr>
      <w:r>
        <w:t xml:space="preserve">Those projects </w:t>
      </w:r>
      <w:r w:rsidR="00671C0C">
        <w:t xml:space="preserve">also </w:t>
      </w:r>
      <w:r w:rsidRPr="00911859">
        <w:t>have not been endorsed by the AEMO</w:t>
      </w:r>
      <w:r>
        <w:t>, as required under the scheme.</w:t>
      </w:r>
      <w:r w:rsidR="002F11D2">
        <w:rPr>
          <w:rStyle w:val="FootnoteReference"/>
        </w:rPr>
        <w:footnoteReference w:id="65"/>
      </w:r>
    </w:p>
    <w:p w:rsidR="0084612B" w:rsidRDefault="0084612B" w:rsidP="0084612B">
      <w:pPr>
        <w:pStyle w:val="AERbodytext"/>
        <w:numPr>
          <w:ilvl w:val="0"/>
          <w:numId w:val="0"/>
        </w:numPr>
      </w:pPr>
      <w:r>
        <w:t>Notwithstanding the issues</w:t>
      </w:r>
      <w:r w:rsidR="002D4752">
        <w:t xml:space="preserve"> with these projects</w:t>
      </w:r>
      <w:r>
        <w:t xml:space="preserve">, we consider </w:t>
      </w:r>
      <w:r w:rsidR="002D4752">
        <w:t>they</w:t>
      </w:r>
      <w:r w:rsidRPr="008675CE">
        <w:t xml:space="preserve"> are examples of good historical practice by </w:t>
      </w:r>
      <w:r w:rsidR="00977766">
        <w:t>Transend</w:t>
      </w:r>
      <w:r w:rsidR="00977766" w:rsidRPr="008675CE">
        <w:t xml:space="preserve"> </w:t>
      </w:r>
      <w:r w:rsidRPr="008675CE">
        <w:t>to maximise the capability of assets</w:t>
      </w:r>
      <w:r w:rsidR="007B64A1">
        <w:t xml:space="preserve">. </w:t>
      </w:r>
      <w:r w:rsidRPr="008675CE">
        <w:t xml:space="preserve"> </w:t>
      </w:r>
      <w:r w:rsidR="007B64A1">
        <w:t>T</w:t>
      </w:r>
      <w:r w:rsidRPr="008675CE">
        <w:t xml:space="preserve">he AER may </w:t>
      </w:r>
      <w:r w:rsidR="00302FCA">
        <w:t xml:space="preserve">consider broadening the scope of this component in terms of </w:t>
      </w:r>
      <w:r w:rsidRPr="008675CE">
        <w:t>how to incentivise TNSPs to maintain existing capability in its next review of the Transmission STPIS in 2015.</w:t>
      </w:r>
    </w:p>
    <w:p w:rsidR="00355442" w:rsidRDefault="007656EE" w:rsidP="0084612B">
      <w:pPr>
        <w:pStyle w:val="AERbodytext"/>
        <w:numPr>
          <w:ilvl w:val="0"/>
          <w:numId w:val="0"/>
        </w:numPr>
      </w:pPr>
      <w:r>
        <w:t>E</w:t>
      </w:r>
      <w:r w:rsidRPr="00CA1CCA">
        <w:t>xcl</w:t>
      </w:r>
      <w:r>
        <w:t>uding</w:t>
      </w:r>
      <w:r w:rsidRPr="00CA1CCA">
        <w:t xml:space="preserve"> </w:t>
      </w:r>
      <w:r w:rsidR="00A5564D">
        <w:t xml:space="preserve">the above-mentioned two </w:t>
      </w:r>
      <w:r w:rsidRPr="00CA1CCA">
        <w:t>projects from the NCIP</w:t>
      </w:r>
      <w:r>
        <w:t xml:space="preserve">AP reduces the total expenditure </w:t>
      </w:r>
      <w:r w:rsidRPr="00CA1CCA">
        <w:t>to around 1</w:t>
      </w:r>
      <w:r>
        <w:t>.4</w:t>
      </w:r>
      <w:r w:rsidR="007B64A1">
        <w:t xml:space="preserve"> per cent</w:t>
      </w:r>
      <w:r>
        <w:t xml:space="preserve"> of </w:t>
      </w:r>
      <w:proofErr w:type="spellStart"/>
      <w:r>
        <w:t>Transend’s</w:t>
      </w:r>
      <w:proofErr w:type="spellEnd"/>
      <w:r>
        <w:t xml:space="preserve"> proposed MAR in the TRP, which is still above the 1 </w:t>
      </w:r>
      <w:r w:rsidR="00302FCA">
        <w:t>per cent</w:t>
      </w:r>
      <w:r>
        <w:t xml:space="preserve"> </w:t>
      </w:r>
      <w:r w:rsidR="00A5564D">
        <w:t xml:space="preserve">of its </w:t>
      </w:r>
      <w:r>
        <w:t>proposed MAR</w:t>
      </w:r>
      <w:r w:rsidR="00A5564D" w:rsidRPr="00A5564D">
        <w:t xml:space="preserve"> </w:t>
      </w:r>
      <w:r w:rsidR="00A5564D">
        <w:t>as required by the scheme</w:t>
      </w:r>
      <w:r>
        <w:t>. As a result w</w:t>
      </w:r>
      <w:r w:rsidR="0084612B">
        <w:t xml:space="preserve">e have </w:t>
      </w:r>
      <w:r>
        <w:t xml:space="preserve">also </w:t>
      </w:r>
      <w:r w:rsidR="0084612B">
        <w:t xml:space="preserve">removed </w:t>
      </w:r>
      <w:r w:rsidR="00671C0C">
        <w:t xml:space="preserve">three </w:t>
      </w:r>
      <w:r w:rsidR="00A5564D">
        <w:t xml:space="preserve">additional </w:t>
      </w:r>
      <w:r w:rsidR="0084612B">
        <w:t>projects</w:t>
      </w:r>
      <w:r w:rsidR="00A5564D">
        <w:t xml:space="preserve"> as detailed below:</w:t>
      </w:r>
      <w:r w:rsidR="004A1A76">
        <w:t xml:space="preserve"> </w:t>
      </w:r>
    </w:p>
    <w:p w:rsidR="00355442" w:rsidRPr="00D15C87" w:rsidRDefault="00355442" w:rsidP="00D15C87">
      <w:pPr>
        <w:numPr>
          <w:ilvl w:val="0"/>
          <w:numId w:val="2"/>
        </w:numPr>
        <w:tabs>
          <w:tab w:val="left" w:pos="357"/>
        </w:tabs>
        <w:spacing w:after="200"/>
        <w:ind w:left="357" w:hanging="357"/>
        <w:rPr>
          <w:rFonts w:eastAsia="Times New Roman"/>
          <w:szCs w:val="24"/>
        </w:rPr>
      </w:pPr>
      <w:r w:rsidRPr="00D15C87">
        <w:rPr>
          <w:rFonts w:eastAsia="Times New Roman"/>
          <w:szCs w:val="24"/>
        </w:rPr>
        <w:t xml:space="preserve">Installation of modern fault location functionality for more accurate fault location on the identified circuits - Palmerston-Hadspen No 1 &amp; 2, Palmerston-Sheffield and Sheffield-Burnie No 1 220 kV transmission circuits), </w:t>
      </w:r>
    </w:p>
    <w:p w:rsidR="00355442" w:rsidRPr="00D15C87" w:rsidRDefault="00355442" w:rsidP="00D15C87">
      <w:pPr>
        <w:numPr>
          <w:ilvl w:val="0"/>
          <w:numId w:val="2"/>
        </w:numPr>
        <w:tabs>
          <w:tab w:val="left" w:pos="357"/>
        </w:tabs>
        <w:spacing w:after="200"/>
        <w:ind w:left="357" w:hanging="357"/>
        <w:rPr>
          <w:rFonts w:eastAsia="Times New Roman"/>
          <w:szCs w:val="24"/>
        </w:rPr>
      </w:pPr>
      <w:r w:rsidRPr="00D15C87">
        <w:rPr>
          <w:rFonts w:eastAsia="Times New Roman"/>
          <w:szCs w:val="24"/>
        </w:rPr>
        <w:t xml:space="preserve">Install a second 110 kV bus coupler dead tank circuit breaker in series with the existing bus coupler circuit breaker - Chapel Street Substation), </w:t>
      </w:r>
    </w:p>
    <w:p w:rsidR="00355442" w:rsidRPr="00D15C87" w:rsidRDefault="00355442" w:rsidP="00D15C87">
      <w:pPr>
        <w:numPr>
          <w:ilvl w:val="0"/>
          <w:numId w:val="2"/>
        </w:numPr>
        <w:tabs>
          <w:tab w:val="left" w:pos="357"/>
        </w:tabs>
        <w:spacing w:after="200"/>
        <w:ind w:left="357" w:hanging="357"/>
        <w:rPr>
          <w:rFonts w:eastAsia="Times New Roman"/>
          <w:szCs w:val="24"/>
        </w:rPr>
      </w:pPr>
      <w:r w:rsidRPr="00D15C87">
        <w:rPr>
          <w:rFonts w:eastAsia="Times New Roman"/>
          <w:szCs w:val="24"/>
        </w:rPr>
        <w:t xml:space="preserve">George Town Substation replacement of 220 kV </w:t>
      </w:r>
      <w:proofErr w:type="spellStart"/>
      <w:r w:rsidRPr="00D15C87">
        <w:rPr>
          <w:rFonts w:eastAsia="Times New Roman"/>
          <w:szCs w:val="24"/>
        </w:rPr>
        <w:t>disconnectors</w:t>
      </w:r>
      <w:proofErr w:type="spellEnd"/>
      <w:r w:rsidRPr="00D15C87">
        <w:rPr>
          <w:rFonts w:eastAsia="Times New Roman"/>
          <w:szCs w:val="24"/>
        </w:rPr>
        <w:t xml:space="preserve"> with remotely operable </w:t>
      </w:r>
      <w:proofErr w:type="spellStart"/>
      <w:r w:rsidRPr="00D15C87">
        <w:rPr>
          <w:rFonts w:eastAsia="Times New Roman"/>
          <w:szCs w:val="24"/>
        </w:rPr>
        <w:t>disconnectors</w:t>
      </w:r>
      <w:proofErr w:type="spellEnd"/>
      <w:r w:rsidRPr="00D15C87">
        <w:rPr>
          <w:rFonts w:eastAsia="Times New Roman"/>
          <w:szCs w:val="24"/>
        </w:rPr>
        <w:t>)</w:t>
      </w:r>
      <w:r w:rsidR="00302FCA" w:rsidRPr="00D15C87">
        <w:rPr>
          <w:rFonts w:eastAsia="Times New Roman"/>
          <w:szCs w:val="24"/>
        </w:rPr>
        <w:t>.</w:t>
      </w:r>
    </w:p>
    <w:p w:rsidR="00671C0C" w:rsidRDefault="007656EE" w:rsidP="0084612B">
      <w:pPr>
        <w:pStyle w:val="AERbodytext"/>
        <w:numPr>
          <w:ilvl w:val="0"/>
          <w:numId w:val="0"/>
        </w:numPr>
      </w:pPr>
      <w:r>
        <w:t xml:space="preserve">We have removed those projects </w:t>
      </w:r>
      <w:r w:rsidR="00355442">
        <w:t xml:space="preserve">according to </w:t>
      </w:r>
      <w:r w:rsidR="000B0CD4">
        <w:t xml:space="preserve">the </w:t>
      </w:r>
      <w:r w:rsidR="00355442">
        <w:t>AEMO</w:t>
      </w:r>
      <w:r w:rsidR="000B0CD4">
        <w:t>’s project ranking</w:t>
      </w:r>
      <w:r w:rsidR="00A5564D">
        <w:t xml:space="preserve">. Those projects have the lowest project ranking and the longest </w:t>
      </w:r>
      <w:r w:rsidR="000B0CD4">
        <w:t>payback period, and therefore</w:t>
      </w:r>
      <w:r w:rsidR="00D10B62">
        <w:t xml:space="preserve"> the lowest </w:t>
      </w:r>
      <w:r w:rsidR="000B0CD4">
        <w:t>value for money provided for electricity customers</w:t>
      </w:r>
      <w:r>
        <w:t>.</w:t>
      </w:r>
      <w:r w:rsidR="00EC08FC">
        <w:rPr>
          <w:rStyle w:val="FootnoteReference"/>
        </w:rPr>
        <w:footnoteReference w:id="66"/>
      </w:r>
      <w:r>
        <w:t xml:space="preserve"> </w:t>
      </w:r>
    </w:p>
    <w:p w:rsidR="0084612B" w:rsidRDefault="0084612B" w:rsidP="0084612B">
      <w:pPr>
        <w:pStyle w:val="AERbodytext"/>
        <w:numPr>
          <w:ilvl w:val="0"/>
          <w:numId w:val="0"/>
        </w:numPr>
      </w:pPr>
      <w:r>
        <w:fldChar w:fldCharType="begin"/>
      </w:r>
      <w:r>
        <w:instrText xml:space="preserve"> REF _Ref381268372 \h </w:instrText>
      </w:r>
      <w:r>
        <w:fldChar w:fldCharType="separate"/>
      </w:r>
      <w:r w:rsidR="00B40E3D">
        <w:t xml:space="preserve">Table </w:t>
      </w:r>
      <w:r w:rsidR="00B40E3D">
        <w:rPr>
          <w:noProof/>
        </w:rPr>
        <w:t>5</w:t>
      </w:r>
      <w:r w:rsidR="00B40E3D">
        <w:t>.</w:t>
      </w:r>
      <w:r w:rsidR="00B40E3D">
        <w:rPr>
          <w:noProof/>
        </w:rPr>
        <w:t>3</w:t>
      </w:r>
      <w:r>
        <w:fldChar w:fldCharType="end"/>
      </w:r>
      <w:r>
        <w:t xml:space="preserve"> sets out our decision on </w:t>
      </w:r>
      <w:proofErr w:type="spellStart"/>
      <w:r>
        <w:t>Transend’s</w:t>
      </w:r>
      <w:proofErr w:type="spellEnd"/>
      <w:r>
        <w:t xml:space="preserve"> priority projects and project rankings. </w:t>
      </w:r>
    </w:p>
    <w:p w:rsidR="0084612B" w:rsidRDefault="0084612B" w:rsidP="0084612B">
      <w:pPr>
        <w:pStyle w:val="Caption"/>
      </w:pPr>
      <w:bookmarkStart w:id="69" w:name="_Ref381370313"/>
      <w:proofErr w:type="gramStart"/>
      <w:r>
        <w:t xml:space="preserve">Table </w:t>
      </w:r>
      <w:fldSimple w:instr=" STYLEREF 1 \s ">
        <w:r w:rsidR="00B40E3D">
          <w:rPr>
            <w:noProof/>
          </w:rPr>
          <w:t>5</w:t>
        </w:r>
      </w:fldSimple>
      <w:r>
        <w:t>.</w:t>
      </w:r>
      <w:proofErr w:type="gramEnd"/>
      <w:r w:rsidR="007827B4">
        <w:fldChar w:fldCharType="begin"/>
      </w:r>
      <w:r w:rsidR="007827B4">
        <w:instrText xml:space="preserve"> SEQ Table \* ARABIC \s 1 </w:instrText>
      </w:r>
      <w:r w:rsidR="007827B4">
        <w:fldChar w:fldCharType="separate"/>
      </w:r>
      <w:r w:rsidR="00B40E3D">
        <w:rPr>
          <w:noProof/>
        </w:rPr>
        <w:t>4</w:t>
      </w:r>
      <w:r w:rsidR="007827B4">
        <w:rPr>
          <w:noProof/>
        </w:rPr>
        <w:fldChar w:fldCharType="end"/>
      </w:r>
      <w:bookmarkEnd w:id="69"/>
      <w:r>
        <w:tab/>
        <w:t xml:space="preserve">AER’s transitional decision on </w:t>
      </w:r>
      <w:proofErr w:type="spellStart"/>
      <w:r w:rsidRPr="00A7656F">
        <w:t>Transend’s</w:t>
      </w:r>
      <w:proofErr w:type="spellEnd"/>
      <w:r>
        <w:t xml:space="preserve"> network capability priority projects ($ 000s, 2013–14)</w:t>
      </w:r>
    </w:p>
    <w:tbl>
      <w:tblPr>
        <w:tblStyle w:val="AERtable-text"/>
        <w:tblW w:w="0" w:type="auto"/>
        <w:tblLook w:val="04A0" w:firstRow="1" w:lastRow="0" w:firstColumn="1" w:lastColumn="0" w:noHBand="0" w:noVBand="1"/>
      </w:tblPr>
      <w:tblGrid>
        <w:gridCol w:w="848"/>
        <w:gridCol w:w="5510"/>
        <w:gridCol w:w="915"/>
        <w:gridCol w:w="965"/>
        <w:gridCol w:w="1004"/>
      </w:tblGrid>
      <w:tr w:rsidR="0084612B" w:rsidTr="00D9669E">
        <w:trPr>
          <w:cnfStyle w:val="100000000000" w:firstRow="1" w:lastRow="0" w:firstColumn="0" w:lastColumn="0" w:oddVBand="0" w:evenVBand="0" w:oddHBand="0" w:evenHBand="0" w:firstRowFirstColumn="0" w:firstRowLastColumn="0" w:lastRowFirstColumn="0" w:lastRowLastColumn="0"/>
        </w:trPr>
        <w:tc>
          <w:tcPr>
            <w:tcW w:w="674" w:type="dxa"/>
          </w:tcPr>
          <w:p w:rsidR="0084612B" w:rsidRDefault="00A5564D" w:rsidP="00D9669E">
            <w:pPr>
              <w:pStyle w:val="AERbodytext"/>
            </w:pPr>
            <w:r>
              <w:t xml:space="preserve">Project </w:t>
            </w:r>
            <w:r w:rsidR="0084612B">
              <w:t>Rank</w:t>
            </w:r>
            <w:r>
              <w:t>ing</w:t>
            </w:r>
          </w:p>
        </w:tc>
        <w:tc>
          <w:tcPr>
            <w:tcW w:w="5655" w:type="dxa"/>
          </w:tcPr>
          <w:p w:rsidR="0084612B" w:rsidRDefault="0084612B" w:rsidP="00D9669E">
            <w:pPr>
              <w:pStyle w:val="AERbodytext"/>
            </w:pPr>
            <w:r>
              <w:t>Project circuit / injection point</w:t>
            </w:r>
          </w:p>
        </w:tc>
        <w:tc>
          <w:tcPr>
            <w:tcW w:w="922" w:type="dxa"/>
          </w:tcPr>
          <w:p w:rsidR="0084612B" w:rsidRDefault="0084612B" w:rsidP="007024B8">
            <w:pPr>
              <w:pStyle w:val="AERbodytext"/>
              <w:jc w:val="right"/>
              <w:rPr>
                <w:b w:val="0"/>
                <w:color w:val="auto"/>
                <w:sz w:val="20"/>
              </w:rPr>
            </w:pPr>
            <w:r>
              <w:t>Capex</w:t>
            </w:r>
          </w:p>
        </w:tc>
        <w:tc>
          <w:tcPr>
            <w:tcW w:w="977" w:type="dxa"/>
          </w:tcPr>
          <w:p w:rsidR="0084612B" w:rsidRDefault="0084612B" w:rsidP="007024B8">
            <w:pPr>
              <w:pStyle w:val="AERbodytext"/>
              <w:jc w:val="right"/>
              <w:rPr>
                <w:b w:val="0"/>
                <w:color w:val="auto"/>
                <w:sz w:val="20"/>
              </w:rPr>
            </w:pPr>
            <w:r>
              <w:t>Opex</w:t>
            </w:r>
          </w:p>
        </w:tc>
        <w:tc>
          <w:tcPr>
            <w:tcW w:w="1014" w:type="dxa"/>
          </w:tcPr>
          <w:p w:rsidR="0084612B" w:rsidRDefault="0084612B" w:rsidP="007024B8">
            <w:pPr>
              <w:pStyle w:val="AERbodytext"/>
              <w:jc w:val="right"/>
              <w:rPr>
                <w:b w:val="0"/>
                <w:color w:val="auto"/>
                <w:sz w:val="20"/>
              </w:rPr>
            </w:pPr>
            <w:r>
              <w:t>Total</w:t>
            </w:r>
          </w:p>
        </w:tc>
      </w:tr>
      <w:tr w:rsidR="0084612B" w:rsidTr="00D9669E">
        <w:tc>
          <w:tcPr>
            <w:tcW w:w="674" w:type="dxa"/>
          </w:tcPr>
          <w:p w:rsidR="0084612B" w:rsidRDefault="007656EE" w:rsidP="00D9669E">
            <w:pPr>
              <w:pStyle w:val="AERbodytext"/>
            </w:pPr>
            <w:r>
              <w:t>1</w:t>
            </w:r>
          </w:p>
        </w:tc>
        <w:tc>
          <w:tcPr>
            <w:tcW w:w="5655" w:type="dxa"/>
          </w:tcPr>
          <w:p w:rsidR="0084612B" w:rsidRDefault="0084612B" w:rsidP="00D9669E">
            <w:pPr>
              <w:pStyle w:val="AERtabletextleft"/>
            </w:pPr>
            <w:r w:rsidRPr="00AF7BA8">
              <w:t>Fifteen minute transient ratings for transmission lines</w:t>
            </w:r>
            <w:r>
              <w:t xml:space="preserve"> - </w:t>
            </w:r>
            <w:r w:rsidRPr="00AF7BA8">
              <w:t>All transmission lines that are currently controlled through AEMO's generation dispatch</w:t>
            </w:r>
          </w:p>
        </w:tc>
        <w:tc>
          <w:tcPr>
            <w:tcW w:w="922" w:type="dxa"/>
          </w:tcPr>
          <w:p w:rsidR="0084612B" w:rsidRDefault="0084612B" w:rsidP="007024B8">
            <w:pPr>
              <w:pStyle w:val="AERtabletextleft"/>
              <w:jc w:val="right"/>
            </w:pPr>
            <w:r w:rsidRPr="00AF7BA8">
              <w:t>40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rsidRPr="00AF7BA8">
              <w:t>40</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7656EE" w:rsidP="00D9669E">
            <w:pPr>
              <w:pStyle w:val="AERbodytext"/>
            </w:pPr>
            <w:r>
              <w:t>2</w:t>
            </w:r>
          </w:p>
        </w:tc>
        <w:tc>
          <w:tcPr>
            <w:tcW w:w="5655" w:type="dxa"/>
          </w:tcPr>
          <w:p w:rsidR="0084612B" w:rsidRDefault="0084612B" w:rsidP="00D9669E">
            <w:pPr>
              <w:pStyle w:val="AERtabletextleft"/>
            </w:pPr>
            <w:r w:rsidRPr="00AF7BA8">
              <w:t>Dynamic rating of Knights Road supply transformers</w:t>
            </w:r>
            <w:r>
              <w:t xml:space="preserve"> - </w:t>
            </w:r>
            <w:r w:rsidRPr="00AF7BA8">
              <w:t>Knights Road Substation</w:t>
            </w:r>
          </w:p>
        </w:tc>
        <w:tc>
          <w:tcPr>
            <w:tcW w:w="922" w:type="dxa"/>
          </w:tcPr>
          <w:p w:rsidR="0084612B" w:rsidRDefault="0084612B" w:rsidP="007024B8">
            <w:pPr>
              <w:pStyle w:val="AERtabletextleft"/>
              <w:jc w:val="right"/>
            </w:pPr>
            <w:r w:rsidRPr="00AF7BA8">
              <w:t>150</w:t>
            </w:r>
          </w:p>
        </w:tc>
        <w:tc>
          <w:tcPr>
            <w:tcW w:w="977" w:type="dxa"/>
          </w:tcPr>
          <w:p w:rsidR="0084612B" w:rsidRDefault="0084612B" w:rsidP="007024B8">
            <w:pPr>
              <w:pStyle w:val="AERtabletextleft"/>
              <w:jc w:val="right"/>
            </w:pPr>
            <w:r>
              <w:t>16</w:t>
            </w:r>
          </w:p>
        </w:tc>
        <w:tc>
          <w:tcPr>
            <w:tcW w:w="1014" w:type="dxa"/>
          </w:tcPr>
          <w:p w:rsidR="0084612B" w:rsidRDefault="0084612B" w:rsidP="007024B8">
            <w:pPr>
              <w:pStyle w:val="AERtabletextleft"/>
              <w:jc w:val="right"/>
            </w:pPr>
            <w:r>
              <w:t>166</w:t>
            </w:r>
          </w:p>
        </w:tc>
      </w:tr>
      <w:tr w:rsidR="0084612B" w:rsidTr="00D9669E">
        <w:tc>
          <w:tcPr>
            <w:tcW w:w="674" w:type="dxa"/>
          </w:tcPr>
          <w:p w:rsidR="0084612B" w:rsidRDefault="007656EE" w:rsidP="00D9669E">
            <w:pPr>
              <w:pStyle w:val="AERbodytext"/>
            </w:pPr>
            <w:r>
              <w:t>3</w:t>
            </w:r>
          </w:p>
        </w:tc>
        <w:tc>
          <w:tcPr>
            <w:tcW w:w="5655" w:type="dxa"/>
          </w:tcPr>
          <w:p w:rsidR="0084612B" w:rsidRDefault="0084612B" w:rsidP="00D9669E">
            <w:pPr>
              <w:pStyle w:val="AERtabletextleft"/>
            </w:pPr>
            <w:r w:rsidRPr="00AF7BA8">
              <w:t>Dynamic rating of Boyer Substation supply transformers</w:t>
            </w:r>
            <w:r>
              <w:t xml:space="preserve"> - </w:t>
            </w:r>
            <w:r w:rsidRPr="00AF7BA8">
              <w:t>Boyer Substation</w:t>
            </w:r>
          </w:p>
        </w:tc>
        <w:tc>
          <w:tcPr>
            <w:tcW w:w="922" w:type="dxa"/>
          </w:tcPr>
          <w:p w:rsidR="0084612B" w:rsidRDefault="0084612B" w:rsidP="007024B8">
            <w:pPr>
              <w:pStyle w:val="AERtabletextleft"/>
              <w:jc w:val="right"/>
            </w:pPr>
            <w:r>
              <w:t>180</w:t>
            </w:r>
          </w:p>
        </w:tc>
        <w:tc>
          <w:tcPr>
            <w:tcW w:w="977" w:type="dxa"/>
          </w:tcPr>
          <w:p w:rsidR="0084612B" w:rsidRDefault="0084612B" w:rsidP="007024B8">
            <w:pPr>
              <w:pStyle w:val="AERtabletextleft"/>
              <w:jc w:val="right"/>
            </w:pPr>
            <w:r>
              <w:t>20</w:t>
            </w:r>
          </w:p>
        </w:tc>
        <w:tc>
          <w:tcPr>
            <w:tcW w:w="1014" w:type="dxa"/>
          </w:tcPr>
          <w:p w:rsidR="0084612B" w:rsidRDefault="0084612B" w:rsidP="007024B8">
            <w:pPr>
              <w:pStyle w:val="AERtabletextleft"/>
              <w:jc w:val="right"/>
            </w:pPr>
            <w:r>
              <w:t>200</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7656EE" w:rsidP="00D9669E">
            <w:pPr>
              <w:pStyle w:val="AERbodytext"/>
            </w:pPr>
            <w:r>
              <w:t>4</w:t>
            </w:r>
          </w:p>
        </w:tc>
        <w:tc>
          <w:tcPr>
            <w:tcW w:w="5655" w:type="dxa"/>
          </w:tcPr>
          <w:p w:rsidR="0084612B" w:rsidRDefault="0084612B" w:rsidP="00D9669E">
            <w:pPr>
              <w:pStyle w:val="AERtabletextleft"/>
            </w:pPr>
            <w:r w:rsidRPr="006D5241">
              <w:t>Installation of new line fault indicators</w:t>
            </w:r>
            <w:r>
              <w:t xml:space="preserve"> - </w:t>
            </w:r>
            <w:r w:rsidRPr="006D5241">
              <w:t>Farrell-</w:t>
            </w:r>
            <w:proofErr w:type="spellStart"/>
            <w:r w:rsidRPr="006D5241">
              <w:t>Que</w:t>
            </w:r>
            <w:proofErr w:type="spellEnd"/>
            <w:r w:rsidRPr="006D5241">
              <w:t>-Savage River-Hampshire, Farrell-Rosebery-Queenstown, Norwood-Scottsdale-Derby and Lindisfarne-Sorell-Triabunna 110 kV transmission circuits</w:t>
            </w:r>
          </w:p>
        </w:tc>
        <w:tc>
          <w:tcPr>
            <w:tcW w:w="922" w:type="dxa"/>
          </w:tcPr>
          <w:p w:rsidR="0084612B" w:rsidRDefault="0084612B" w:rsidP="007024B8">
            <w:pPr>
              <w:pStyle w:val="AERtabletextleft"/>
              <w:jc w:val="right"/>
            </w:pPr>
            <w:r>
              <w:t>230</w:t>
            </w:r>
          </w:p>
        </w:tc>
        <w:tc>
          <w:tcPr>
            <w:tcW w:w="977" w:type="dxa"/>
          </w:tcPr>
          <w:p w:rsidR="0084612B" w:rsidRDefault="0084612B" w:rsidP="007024B8">
            <w:pPr>
              <w:pStyle w:val="AERtabletextleft"/>
              <w:jc w:val="right"/>
            </w:pPr>
            <w:r>
              <w:t>19</w:t>
            </w:r>
          </w:p>
        </w:tc>
        <w:tc>
          <w:tcPr>
            <w:tcW w:w="1014" w:type="dxa"/>
          </w:tcPr>
          <w:p w:rsidR="0084612B" w:rsidRDefault="0084612B" w:rsidP="007024B8">
            <w:pPr>
              <w:pStyle w:val="AERtabletextleft"/>
              <w:jc w:val="right"/>
            </w:pPr>
            <w:r>
              <w:t>249</w:t>
            </w:r>
          </w:p>
        </w:tc>
      </w:tr>
      <w:tr w:rsidR="0084612B" w:rsidTr="00D9669E">
        <w:tc>
          <w:tcPr>
            <w:tcW w:w="674" w:type="dxa"/>
          </w:tcPr>
          <w:p w:rsidR="0084612B" w:rsidRDefault="007656EE" w:rsidP="00D9669E">
            <w:pPr>
              <w:pStyle w:val="AERbodytext"/>
            </w:pPr>
            <w:r>
              <w:lastRenderedPageBreak/>
              <w:t>5</w:t>
            </w:r>
          </w:p>
        </w:tc>
        <w:tc>
          <w:tcPr>
            <w:tcW w:w="5655" w:type="dxa"/>
          </w:tcPr>
          <w:p w:rsidR="0084612B" w:rsidRDefault="0084612B" w:rsidP="00D9669E">
            <w:pPr>
              <w:pStyle w:val="AERtabletextleft"/>
            </w:pPr>
            <w:r w:rsidRPr="00266018">
              <w:t>Review and optimisation of Operational Margins for Transend limit equations</w:t>
            </w:r>
            <w:r>
              <w:t xml:space="preserve"> - </w:t>
            </w:r>
            <w:r w:rsidRPr="00266018">
              <w:t>All transmission circuits whose flow is controlled by AEMO constraint equations</w:t>
            </w:r>
          </w:p>
        </w:tc>
        <w:tc>
          <w:tcPr>
            <w:tcW w:w="922" w:type="dxa"/>
          </w:tcPr>
          <w:p w:rsidR="0084612B" w:rsidRDefault="0084612B" w:rsidP="007024B8">
            <w:pPr>
              <w:pStyle w:val="AERtabletextleft"/>
              <w:jc w:val="right"/>
            </w:pPr>
            <w:r>
              <w:t>0</w:t>
            </w:r>
          </w:p>
        </w:tc>
        <w:tc>
          <w:tcPr>
            <w:tcW w:w="977" w:type="dxa"/>
          </w:tcPr>
          <w:p w:rsidR="0084612B" w:rsidRDefault="0084612B" w:rsidP="007024B8">
            <w:pPr>
              <w:pStyle w:val="AERtabletextleft"/>
              <w:jc w:val="right"/>
            </w:pPr>
            <w:r>
              <w:t>35</w:t>
            </w:r>
          </w:p>
        </w:tc>
        <w:tc>
          <w:tcPr>
            <w:tcW w:w="1014" w:type="dxa"/>
          </w:tcPr>
          <w:p w:rsidR="0084612B" w:rsidRDefault="0084612B" w:rsidP="007024B8">
            <w:pPr>
              <w:pStyle w:val="AERtabletextleft"/>
              <w:jc w:val="right"/>
            </w:pPr>
            <w:r>
              <w:t>35</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7656EE" w:rsidP="00D9669E">
            <w:pPr>
              <w:pStyle w:val="AERbodytext"/>
            </w:pPr>
            <w:r>
              <w:t>6</w:t>
            </w:r>
          </w:p>
        </w:tc>
        <w:tc>
          <w:tcPr>
            <w:tcW w:w="5655" w:type="dxa"/>
          </w:tcPr>
          <w:p w:rsidR="0084612B" w:rsidRDefault="0084612B" w:rsidP="00D9669E">
            <w:pPr>
              <w:pStyle w:val="AERtabletextleft"/>
            </w:pPr>
            <w:r w:rsidRPr="00266018">
              <w:t>Line fault indicator (LFI) remote communications</w:t>
            </w:r>
            <w:r>
              <w:t xml:space="preserve"> - </w:t>
            </w:r>
            <w:r w:rsidRPr="00266018">
              <w:t>Palmerston-Avoca and Knights Road-Huon River-</w:t>
            </w:r>
            <w:proofErr w:type="spellStart"/>
            <w:r w:rsidRPr="00266018">
              <w:t>Kermandie</w:t>
            </w:r>
            <w:proofErr w:type="spellEnd"/>
            <w:r w:rsidRPr="00266018">
              <w:t xml:space="preserve"> 110kV transmission circuits</w:t>
            </w:r>
          </w:p>
        </w:tc>
        <w:tc>
          <w:tcPr>
            <w:tcW w:w="922" w:type="dxa"/>
          </w:tcPr>
          <w:p w:rsidR="0084612B" w:rsidRDefault="0084612B" w:rsidP="007024B8">
            <w:pPr>
              <w:pStyle w:val="AERtabletextleft"/>
              <w:jc w:val="right"/>
            </w:pPr>
            <w:r>
              <w:t>60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60</w:t>
            </w:r>
          </w:p>
        </w:tc>
      </w:tr>
      <w:tr w:rsidR="0084612B" w:rsidTr="00D9669E">
        <w:tc>
          <w:tcPr>
            <w:tcW w:w="674" w:type="dxa"/>
          </w:tcPr>
          <w:p w:rsidR="0084612B" w:rsidRDefault="007656EE" w:rsidP="00D9669E">
            <w:pPr>
              <w:pStyle w:val="AERbodytext"/>
            </w:pPr>
            <w:r>
              <w:t>7</w:t>
            </w:r>
          </w:p>
        </w:tc>
        <w:tc>
          <w:tcPr>
            <w:tcW w:w="5655" w:type="dxa"/>
          </w:tcPr>
          <w:p w:rsidR="0084612B" w:rsidRDefault="0084612B" w:rsidP="00D9669E">
            <w:pPr>
              <w:pStyle w:val="AERtabletextleft"/>
            </w:pPr>
            <w:r w:rsidRPr="00266018">
              <w:t>George Town automatic voltage control scheme (GTAVCS) 2.0</w:t>
            </w:r>
            <w:r>
              <w:t xml:space="preserve"> - </w:t>
            </w:r>
            <w:proofErr w:type="spellStart"/>
            <w:r w:rsidRPr="00266018">
              <w:t>Basslink</w:t>
            </w:r>
            <w:proofErr w:type="spellEnd"/>
            <w:r w:rsidRPr="00266018">
              <w:t xml:space="preserve"> Tasmania-Victoria interconnector</w:t>
            </w:r>
          </w:p>
        </w:tc>
        <w:tc>
          <w:tcPr>
            <w:tcW w:w="922" w:type="dxa"/>
          </w:tcPr>
          <w:p w:rsidR="0084612B" w:rsidRDefault="0084612B" w:rsidP="007024B8">
            <w:pPr>
              <w:pStyle w:val="AERtabletextleft"/>
              <w:jc w:val="right"/>
            </w:pPr>
            <w:r>
              <w:t>480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480</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7656EE" w:rsidP="00D9669E">
            <w:pPr>
              <w:pStyle w:val="AERbodytext"/>
            </w:pPr>
            <w:r>
              <w:t>8</w:t>
            </w:r>
          </w:p>
        </w:tc>
        <w:tc>
          <w:tcPr>
            <w:tcW w:w="5655" w:type="dxa"/>
          </w:tcPr>
          <w:p w:rsidR="0084612B" w:rsidRDefault="0084612B" w:rsidP="00D9669E">
            <w:pPr>
              <w:pStyle w:val="AERtabletextleft"/>
            </w:pPr>
            <w:r w:rsidRPr="00266018">
              <w:t>Dynamic rating of all 220/110 kV network transformers</w:t>
            </w:r>
            <w:r>
              <w:t xml:space="preserve"> - </w:t>
            </w:r>
            <w:r w:rsidRPr="00266018">
              <w:t>All 220/110kV network transformers</w:t>
            </w:r>
          </w:p>
        </w:tc>
        <w:tc>
          <w:tcPr>
            <w:tcW w:w="922" w:type="dxa"/>
          </w:tcPr>
          <w:p w:rsidR="0084612B" w:rsidRDefault="0084612B" w:rsidP="007024B8">
            <w:pPr>
              <w:pStyle w:val="AERtabletextleft"/>
              <w:jc w:val="right"/>
            </w:pPr>
            <w:r>
              <w:t>900</w:t>
            </w:r>
          </w:p>
        </w:tc>
        <w:tc>
          <w:tcPr>
            <w:tcW w:w="977" w:type="dxa"/>
          </w:tcPr>
          <w:p w:rsidR="0084612B" w:rsidRDefault="0084612B" w:rsidP="007024B8">
            <w:pPr>
              <w:pStyle w:val="AERtabletextleft"/>
              <w:jc w:val="right"/>
            </w:pPr>
            <w:r>
              <w:t>58</w:t>
            </w:r>
          </w:p>
        </w:tc>
        <w:tc>
          <w:tcPr>
            <w:tcW w:w="1014" w:type="dxa"/>
          </w:tcPr>
          <w:p w:rsidR="0084612B" w:rsidRDefault="0084612B" w:rsidP="007024B8">
            <w:pPr>
              <w:pStyle w:val="AERtabletextleft"/>
              <w:jc w:val="right"/>
            </w:pPr>
            <w:r>
              <w:t>958</w:t>
            </w:r>
          </w:p>
        </w:tc>
      </w:tr>
      <w:tr w:rsidR="0084612B" w:rsidTr="00D9669E">
        <w:tc>
          <w:tcPr>
            <w:tcW w:w="674" w:type="dxa"/>
          </w:tcPr>
          <w:p w:rsidR="0084612B" w:rsidRDefault="007656EE" w:rsidP="00D9669E">
            <w:pPr>
              <w:pStyle w:val="AERbodytext"/>
            </w:pPr>
            <w:r>
              <w:t>9</w:t>
            </w:r>
          </w:p>
        </w:tc>
        <w:tc>
          <w:tcPr>
            <w:tcW w:w="5655" w:type="dxa"/>
          </w:tcPr>
          <w:p w:rsidR="0084612B" w:rsidRDefault="0084612B" w:rsidP="00D9669E">
            <w:pPr>
              <w:pStyle w:val="AERtabletextleft"/>
            </w:pPr>
            <w:r w:rsidRPr="00266018">
              <w:t>Restring P1 bay conductor at Palmerston Substation</w:t>
            </w:r>
            <w:r>
              <w:t xml:space="preserve"> - </w:t>
            </w:r>
            <w:r w:rsidRPr="00266018">
              <w:t>Waddamana-Palmerston No 2 110kV transmission circuit</w:t>
            </w:r>
          </w:p>
        </w:tc>
        <w:tc>
          <w:tcPr>
            <w:tcW w:w="922" w:type="dxa"/>
          </w:tcPr>
          <w:p w:rsidR="0084612B" w:rsidRDefault="0084612B" w:rsidP="007024B8">
            <w:pPr>
              <w:pStyle w:val="AERtabletextleft"/>
              <w:jc w:val="right"/>
            </w:pPr>
            <w:r>
              <w:t>50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50</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7656EE" w:rsidP="00D9669E">
            <w:pPr>
              <w:pStyle w:val="AERbodytext"/>
            </w:pPr>
            <w:r>
              <w:t>10</w:t>
            </w:r>
          </w:p>
        </w:tc>
        <w:tc>
          <w:tcPr>
            <w:tcW w:w="5655" w:type="dxa"/>
          </w:tcPr>
          <w:p w:rsidR="0084612B" w:rsidRDefault="0084612B" w:rsidP="00D9669E">
            <w:pPr>
              <w:pStyle w:val="AERtabletextleft"/>
            </w:pPr>
            <w:r w:rsidRPr="00266018">
              <w:t xml:space="preserve">Replace </w:t>
            </w:r>
            <w:proofErr w:type="spellStart"/>
            <w:r w:rsidRPr="00266018">
              <w:t>disconnectors</w:t>
            </w:r>
            <w:proofErr w:type="spellEnd"/>
            <w:r w:rsidRPr="00266018">
              <w:t>, CT and bay conductor to achieve line rating increase and reduce market constraints</w:t>
            </w:r>
            <w:r>
              <w:t xml:space="preserve"> - </w:t>
            </w:r>
            <w:r w:rsidRPr="00266018">
              <w:t>Sheffield-George Town 220 kV transmission line</w:t>
            </w:r>
          </w:p>
        </w:tc>
        <w:tc>
          <w:tcPr>
            <w:tcW w:w="922" w:type="dxa"/>
          </w:tcPr>
          <w:p w:rsidR="0084612B" w:rsidRDefault="0084612B" w:rsidP="007024B8">
            <w:pPr>
              <w:pStyle w:val="AERtabletextleft"/>
              <w:jc w:val="right"/>
            </w:pPr>
            <w:r>
              <w:t>1120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1120</w:t>
            </w:r>
          </w:p>
        </w:tc>
      </w:tr>
      <w:tr w:rsidR="0084612B" w:rsidTr="00D9669E">
        <w:tc>
          <w:tcPr>
            <w:tcW w:w="674" w:type="dxa"/>
          </w:tcPr>
          <w:p w:rsidR="0084612B" w:rsidRDefault="007656EE" w:rsidP="00D9669E">
            <w:pPr>
              <w:pStyle w:val="AERbodytext"/>
            </w:pPr>
            <w:r>
              <w:t>11</w:t>
            </w:r>
          </w:p>
        </w:tc>
        <w:tc>
          <w:tcPr>
            <w:tcW w:w="5655" w:type="dxa"/>
          </w:tcPr>
          <w:p w:rsidR="0084612B" w:rsidRDefault="0084612B" w:rsidP="00D9669E">
            <w:pPr>
              <w:pStyle w:val="AERtabletextleft"/>
            </w:pPr>
            <w:r w:rsidRPr="00266018">
              <w:t>Weather station telemetry renewal</w:t>
            </w:r>
            <w:r>
              <w:t xml:space="preserve"> - </w:t>
            </w:r>
            <w:r w:rsidRPr="00266018">
              <w:t>Weather stations at Creek Road, Chapel Street, Devonport, Trevallyn, Hadspen, Sheffield, and Farrell substations</w:t>
            </w:r>
          </w:p>
        </w:tc>
        <w:tc>
          <w:tcPr>
            <w:tcW w:w="922" w:type="dxa"/>
          </w:tcPr>
          <w:p w:rsidR="0084612B" w:rsidRDefault="0084612B" w:rsidP="007024B8">
            <w:pPr>
              <w:pStyle w:val="AERtabletextleft"/>
              <w:jc w:val="right"/>
            </w:pPr>
            <w:r>
              <w:t>1050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1050</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7656EE" w:rsidP="00D9669E">
            <w:pPr>
              <w:pStyle w:val="AERbodytext"/>
            </w:pPr>
            <w:r>
              <w:t>12</w:t>
            </w:r>
          </w:p>
        </w:tc>
        <w:tc>
          <w:tcPr>
            <w:tcW w:w="5655" w:type="dxa"/>
          </w:tcPr>
          <w:p w:rsidR="0084612B" w:rsidRDefault="0084612B" w:rsidP="00D9669E">
            <w:pPr>
              <w:pStyle w:val="AERtabletextleft"/>
            </w:pPr>
            <w:r w:rsidRPr="00266018">
              <w:t>Upgrade of dead end fittings</w:t>
            </w:r>
            <w:r>
              <w:t xml:space="preserve"> on selected transmission lines - </w:t>
            </w:r>
            <w:r w:rsidRPr="00266018">
              <w:t>Liapootah-Waddamana-Palmerston No 1, Liapootah-Cluny-Repulse-Chapel Street No 1, Liapootah-Chapel Street No 2 and George Town-</w:t>
            </w:r>
            <w:proofErr w:type="spellStart"/>
            <w:r w:rsidRPr="00266018">
              <w:t>Comalco</w:t>
            </w:r>
            <w:proofErr w:type="spellEnd"/>
            <w:r w:rsidRPr="00266018">
              <w:t xml:space="preserve"> No 4 &amp; 5 220 kV transmission circuits. Hadspen-Norwood No 1 &amp; 2 110 kV transmission circuits.</w:t>
            </w:r>
          </w:p>
        </w:tc>
        <w:tc>
          <w:tcPr>
            <w:tcW w:w="922" w:type="dxa"/>
          </w:tcPr>
          <w:p w:rsidR="0084612B" w:rsidRDefault="0084612B" w:rsidP="007024B8">
            <w:pPr>
              <w:pStyle w:val="AERtabletextleft"/>
              <w:jc w:val="right"/>
            </w:pPr>
            <w:r>
              <w:t>840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840</w:t>
            </w:r>
          </w:p>
        </w:tc>
      </w:tr>
      <w:tr w:rsidR="0084612B" w:rsidTr="00D9669E">
        <w:tc>
          <w:tcPr>
            <w:tcW w:w="674" w:type="dxa"/>
          </w:tcPr>
          <w:p w:rsidR="0084612B" w:rsidRDefault="007656EE" w:rsidP="00D9669E">
            <w:pPr>
              <w:pStyle w:val="AERbodytext"/>
            </w:pPr>
            <w:r>
              <w:t>13</w:t>
            </w:r>
          </w:p>
        </w:tc>
        <w:tc>
          <w:tcPr>
            <w:tcW w:w="5655" w:type="dxa"/>
          </w:tcPr>
          <w:p w:rsidR="0084612B" w:rsidRDefault="0084612B" w:rsidP="00D9669E">
            <w:pPr>
              <w:pStyle w:val="AERtabletextleft"/>
            </w:pPr>
            <w:r w:rsidRPr="00266018">
              <w:t>Installation of second 220 kV bus coupler circuit breaker at Farrell Substation</w:t>
            </w:r>
            <w:r>
              <w:t xml:space="preserve"> - </w:t>
            </w:r>
            <w:r w:rsidRPr="00266018">
              <w:t>Farrell Substation</w:t>
            </w:r>
          </w:p>
        </w:tc>
        <w:tc>
          <w:tcPr>
            <w:tcW w:w="922" w:type="dxa"/>
          </w:tcPr>
          <w:p w:rsidR="0084612B" w:rsidRDefault="0084612B" w:rsidP="007024B8">
            <w:pPr>
              <w:pStyle w:val="AERtabletextleft"/>
              <w:jc w:val="right"/>
            </w:pPr>
            <w:r>
              <w:t>665</w:t>
            </w:r>
          </w:p>
        </w:tc>
        <w:tc>
          <w:tcPr>
            <w:tcW w:w="977" w:type="dxa"/>
          </w:tcPr>
          <w:p w:rsidR="0084612B" w:rsidRDefault="0084612B" w:rsidP="007024B8">
            <w:pPr>
              <w:pStyle w:val="AERtabletextleft"/>
              <w:jc w:val="right"/>
            </w:pPr>
            <w:r>
              <w:t>120</w:t>
            </w:r>
          </w:p>
        </w:tc>
        <w:tc>
          <w:tcPr>
            <w:tcW w:w="1014" w:type="dxa"/>
          </w:tcPr>
          <w:p w:rsidR="0084612B" w:rsidRDefault="0084612B" w:rsidP="007024B8">
            <w:pPr>
              <w:pStyle w:val="AERtabletextleft"/>
              <w:jc w:val="right"/>
            </w:pPr>
            <w:r>
              <w:t>785</w:t>
            </w: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7656EE" w:rsidP="00D9669E">
            <w:pPr>
              <w:pStyle w:val="AERbodytext"/>
            </w:pPr>
            <w:r>
              <w:t>14</w:t>
            </w:r>
          </w:p>
        </w:tc>
        <w:tc>
          <w:tcPr>
            <w:tcW w:w="5655" w:type="dxa"/>
          </w:tcPr>
          <w:p w:rsidR="0084612B" w:rsidRDefault="0084612B" w:rsidP="00D9669E">
            <w:pPr>
              <w:pStyle w:val="AERtabletextleft"/>
            </w:pPr>
            <w:r w:rsidRPr="00266018">
              <w:t xml:space="preserve">Castle Forbes Bay Tee Switching Station </w:t>
            </w:r>
            <w:proofErr w:type="spellStart"/>
            <w:r w:rsidRPr="00266018">
              <w:t>disconnector</w:t>
            </w:r>
            <w:proofErr w:type="spellEnd"/>
            <w:r w:rsidRPr="00266018">
              <w:t xml:space="preserve"> upgrade</w:t>
            </w:r>
            <w:r>
              <w:t xml:space="preserve"> - </w:t>
            </w:r>
            <w:r w:rsidRPr="00BB6A36">
              <w:t>Castle Forbes Bay Tee Switching Station</w:t>
            </w:r>
          </w:p>
        </w:tc>
        <w:tc>
          <w:tcPr>
            <w:tcW w:w="922" w:type="dxa"/>
          </w:tcPr>
          <w:p w:rsidR="0084612B" w:rsidRDefault="0084612B" w:rsidP="007024B8">
            <w:pPr>
              <w:pStyle w:val="AERtabletextleft"/>
              <w:jc w:val="right"/>
            </w:pPr>
            <w:r>
              <w:t>250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250</w:t>
            </w:r>
          </w:p>
        </w:tc>
      </w:tr>
      <w:tr w:rsidR="0084612B" w:rsidTr="00D9669E">
        <w:tc>
          <w:tcPr>
            <w:tcW w:w="674" w:type="dxa"/>
          </w:tcPr>
          <w:p w:rsidR="0084612B" w:rsidRDefault="007656EE" w:rsidP="00D9669E">
            <w:pPr>
              <w:pStyle w:val="AERbodytext"/>
            </w:pPr>
            <w:r>
              <w:t>15</w:t>
            </w:r>
          </w:p>
        </w:tc>
        <w:tc>
          <w:tcPr>
            <w:tcW w:w="5655" w:type="dxa"/>
          </w:tcPr>
          <w:p w:rsidR="0084612B" w:rsidRDefault="0084612B" w:rsidP="00D9669E">
            <w:pPr>
              <w:pStyle w:val="AERtabletextleft"/>
            </w:pPr>
            <w:r w:rsidRPr="00BB6A36">
              <w:t>Transmission line surge diverter installation and tower footing earthing improvements</w:t>
            </w:r>
            <w:r>
              <w:t xml:space="preserve"> - </w:t>
            </w:r>
            <w:r w:rsidRPr="00BB6A36">
              <w:t>Sheffield-Farrell 1 &amp; 2, Farrell-Reece 1 &amp; 2, Farrell-John Butters 220kV and Farrell-Rosebery-Queenstown 110 kV transmission circuits</w:t>
            </w:r>
          </w:p>
        </w:tc>
        <w:tc>
          <w:tcPr>
            <w:tcW w:w="922" w:type="dxa"/>
          </w:tcPr>
          <w:p w:rsidR="0084612B" w:rsidRDefault="0084612B" w:rsidP="007024B8">
            <w:pPr>
              <w:pStyle w:val="AERtabletextleft"/>
              <w:jc w:val="right"/>
            </w:pPr>
            <w:r>
              <w:t>550</w:t>
            </w:r>
          </w:p>
        </w:tc>
        <w:tc>
          <w:tcPr>
            <w:tcW w:w="977" w:type="dxa"/>
          </w:tcPr>
          <w:p w:rsidR="0084612B" w:rsidRDefault="0084612B" w:rsidP="007024B8">
            <w:pPr>
              <w:pStyle w:val="AERtabletextleft"/>
              <w:jc w:val="right"/>
            </w:pPr>
          </w:p>
        </w:tc>
        <w:tc>
          <w:tcPr>
            <w:tcW w:w="1014" w:type="dxa"/>
          </w:tcPr>
          <w:p w:rsidR="0084612B" w:rsidRDefault="0084612B" w:rsidP="007024B8">
            <w:pPr>
              <w:pStyle w:val="AERtabletextleft"/>
              <w:jc w:val="right"/>
            </w:pPr>
            <w:r>
              <w:t>550</w:t>
            </w:r>
          </w:p>
          <w:p w:rsidR="0084612B" w:rsidRDefault="0084612B" w:rsidP="007024B8">
            <w:pPr>
              <w:pStyle w:val="AERtabletextleft"/>
              <w:jc w:val="right"/>
            </w:pPr>
          </w:p>
        </w:tc>
      </w:tr>
      <w:tr w:rsidR="0084612B" w:rsidTr="00D9669E">
        <w:trPr>
          <w:cnfStyle w:val="000000010000" w:firstRow="0" w:lastRow="0" w:firstColumn="0" w:lastColumn="0" w:oddVBand="0" w:evenVBand="0" w:oddHBand="0" w:evenHBand="1" w:firstRowFirstColumn="0" w:firstRowLastColumn="0" w:lastRowFirstColumn="0" w:lastRowLastColumn="0"/>
        </w:trPr>
        <w:tc>
          <w:tcPr>
            <w:tcW w:w="674" w:type="dxa"/>
          </w:tcPr>
          <w:p w:rsidR="0084612B" w:rsidRDefault="007656EE" w:rsidP="00D9669E">
            <w:pPr>
              <w:pStyle w:val="AERbodytext"/>
            </w:pPr>
            <w:r>
              <w:t>16</w:t>
            </w:r>
          </w:p>
        </w:tc>
        <w:tc>
          <w:tcPr>
            <w:tcW w:w="5655" w:type="dxa"/>
          </w:tcPr>
          <w:p w:rsidR="0084612B" w:rsidRDefault="0084612B" w:rsidP="00D9669E">
            <w:pPr>
              <w:pStyle w:val="AERtabletextleft"/>
            </w:pPr>
            <w:r w:rsidRPr="00BB6A36">
              <w:t>Substandard spans verification and rectification</w:t>
            </w:r>
            <w:r>
              <w:t xml:space="preserve"> – </w:t>
            </w:r>
            <w:r w:rsidRPr="00BB6A36">
              <w:t>Multiple</w:t>
            </w:r>
            <w:r>
              <w:t xml:space="preserve"> </w:t>
            </w:r>
          </w:p>
        </w:tc>
        <w:tc>
          <w:tcPr>
            <w:tcW w:w="922" w:type="dxa"/>
          </w:tcPr>
          <w:p w:rsidR="0084612B" w:rsidRDefault="0084612B" w:rsidP="007024B8">
            <w:pPr>
              <w:pStyle w:val="AERtabletextleft"/>
              <w:jc w:val="right"/>
            </w:pPr>
            <w:r>
              <w:t>3720</w:t>
            </w:r>
          </w:p>
        </w:tc>
        <w:tc>
          <w:tcPr>
            <w:tcW w:w="977" w:type="dxa"/>
          </w:tcPr>
          <w:p w:rsidR="0084612B" w:rsidRDefault="0084612B" w:rsidP="007024B8">
            <w:pPr>
              <w:pStyle w:val="AERtabletextleft"/>
              <w:jc w:val="right"/>
            </w:pPr>
            <w:r>
              <w:t>0</w:t>
            </w:r>
          </w:p>
        </w:tc>
        <w:tc>
          <w:tcPr>
            <w:tcW w:w="1014" w:type="dxa"/>
          </w:tcPr>
          <w:p w:rsidR="0084612B" w:rsidRDefault="0084612B" w:rsidP="007024B8">
            <w:pPr>
              <w:pStyle w:val="AERtabletextleft"/>
              <w:jc w:val="right"/>
            </w:pPr>
            <w:r>
              <w:t>3720</w:t>
            </w:r>
          </w:p>
        </w:tc>
      </w:tr>
      <w:tr w:rsidR="0084612B" w:rsidRPr="00EE7FB5" w:rsidTr="00D9669E">
        <w:tc>
          <w:tcPr>
            <w:tcW w:w="674" w:type="dxa"/>
          </w:tcPr>
          <w:p w:rsidR="0084612B" w:rsidRPr="00EE7FB5" w:rsidRDefault="0084612B" w:rsidP="00D9669E">
            <w:pPr>
              <w:pStyle w:val="AERbodytext"/>
              <w:rPr>
                <w:b/>
              </w:rPr>
            </w:pPr>
            <w:r w:rsidRPr="00EE7FB5">
              <w:rPr>
                <w:b/>
              </w:rPr>
              <w:t>Total</w:t>
            </w:r>
          </w:p>
        </w:tc>
        <w:tc>
          <w:tcPr>
            <w:tcW w:w="5655" w:type="dxa"/>
          </w:tcPr>
          <w:p w:rsidR="0084612B" w:rsidRPr="00EE7FB5" w:rsidRDefault="0084612B" w:rsidP="00D9669E">
            <w:pPr>
              <w:pStyle w:val="AERbodytext"/>
              <w:rPr>
                <w:b/>
              </w:rPr>
            </w:pPr>
          </w:p>
        </w:tc>
        <w:tc>
          <w:tcPr>
            <w:tcW w:w="922" w:type="dxa"/>
          </w:tcPr>
          <w:p w:rsidR="0084612B" w:rsidRPr="00EE7FB5" w:rsidRDefault="0084612B" w:rsidP="007024B8">
            <w:pPr>
              <w:pStyle w:val="AERbodytext"/>
              <w:jc w:val="right"/>
              <w:rPr>
                <w:b/>
                <w:sz w:val="20"/>
              </w:rPr>
            </w:pPr>
            <w:r w:rsidRPr="00EE7FB5">
              <w:rPr>
                <w:b/>
              </w:rPr>
              <w:t>10</w:t>
            </w:r>
            <w:r w:rsidR="00302FCA">
              <w:rPr>
                <w:b/>
              </w:rPr>
              <w:t>,</w:t>
            </w:r>
            <w:r w:rsidRPr="00EE7FB5">
              <w:rPr>
                <w:b/>
              </w:rPr>
              <w:t>285</w:t>
            </w:r>
          </w:p>
        </w:tc>
        <w:tc>
          <w:tcPr>
            <w:tcW w:w="977" w:type="dxa"/>
          </w:tcPr>
          <w:p w:rsidR="0084612B" w:rsidRPr="00EE7FB5" w:rsidRDefault="0084612B" w:rsidP="007024B8">
            <w:pPr>
              <w:pStyle w:val="AERbodytext"/>
              <w:numPr>
                <w:ilvl w:val="0"/>
                <w:numId w:val="0"/>
              </w:numPr>
              <w:jc w:val="right"/>
              <w:rPr>
                <w:b/>
                <w:sz w:val="20"/>
              </w:rPr>
            </w:pPr>
            <w:r w:rsidRPr="00EE7FB5">
              <w:rPr>
                <w:b/>
              </w:rPr>
              <w:t>268</w:t>
            </w:r>
          </w:p>
        </w:tc>
        <w:tc>
          <w:tcPr>
            <w:tcW w:w="1014" w:type="dxa"/>
          </w:tcPr>
          <w:p w:rsidR="0084612B" w:rsidRPr="00EE7FB5" w:rsidRDefault="0084612B" w:rsidP="007024B8">
            <w:pPr>
              <w:pStyle w:val="AERbodytext"/>
              <w:jc w:val="right"/>
              <w:rPr>
                <w:b/>
                <w:sz w:val="20"/>
              </w:rPr>
            </w:pPr>
            <w:r w:rsidRPr="00EE7FB5">
              <w:rPr>
                <w:b/>
              </w:rPr>
              <w:t>10,553</w:t>
            </w:r>
          </w:p>
        </w:tc>
      </w:tr>
    </w:tbl>
    <w:p w:rsidR="00DC2529" w:rsidRDefault="00DC2529" w:rsidP="00DC2529">
      <w:pPr>
        <w:pStyle w:val="AERtablesource"/>
      </w:pPr>
      <w:r>
        <w:t xml:space="preserve">Source: </w:t>
      </w:r>
      <w:r>
        <w:tab/>
      </w:r>
      <w:r>
        <w:rPr>
          <w:szCs w:val="16"/>
        </w:rPr>
        <w:t xml:space="preserve">Transend, </w:t>
      </w:r>
      <w:r>
        <w:rPr>
          <w:i/>
          <w:iCs/>
          <w:szCs w:val="16"/>
        </w:rPr>
        <w:t>Transitional revenue proposal 1 July 2014 – 30 June 15, Appendix 1 – Network capability incentive parameter action plan</w:t>
      </w:r>
      <w:r>
        <w:rPr>
          <w:szCs w:val="16"/>
        </w:rPr>
        <w:t xml:space="preserve">, 31 January 2014. </w:t>
      </w:r>
      <w:proofErr w:type="gramStart"/>
      <w:r>
        <w:rPr>
          <w:szCs w:val="16"/>
        </w:rPr>
        <w:t xml:space="preserve">AEMO, </w:t>
      </w:r>
      <w:r>
        <w:rPr>
          <w:i/>
          <w:iCs/>
          <w:szCs w:val="16"/>
        </w:rPr>
        <w:t xml:space="preserve">AEMO endorsement of Transend Network Capability Incentive Parameter Action Plan (NCIPAP) for 1 July 2014 – 30 June 2019, </w:t>
      </w:r>
      <w:r>
        <w:rPr>
          <w:szCs w:val="16"/>
        </w:rPr>
        <w:t>4 February 2014.</w:t>
      </w:r>
      <w:proofErr w:type="gramEnd"/>
      <w:r>
        <w:rPr>
          <w:szCs w:val="16"/>
        </w:rPr>
        <w:t xml:space="preserve"> </w:t>
      </w:r>
    </w:p>
    <w:p w:rsidR="00FB682F" w:rsidRDefault="00FB682F" w:rsidP="0084612B">
      <w:pPr>
        <w:pStyle w:val="Heading2"/>
      </w:pPr>
      <w:bookmarkStart w:id="70" w:name="_Toc383527665"/>
      <w:r>
        <w:t xml:space="preserve">Application of the </w:t>
      </w:r>
      <w:r w:rsidR="00A83E34">
        <w:t>CESS</w:t>
      </w:r>
      <w:r w:rsidR="0084612B" w:rsidRPr="0084612B">
        <w:t xml:space="preserve"> </w:t>
      </w:r>
      <w:r>
        <w:t>in the transitional regulatory control period</w:t>
      </w:r>
      <w:bookmarkEnd w:id="70"/>
    </w:p>
    <w:p w:rsidR="00D241E5" w:rsidRDefault="00D241E5" w:rsidP="00D241E5">
      <w:pPr>
        <w:pStyle w:val="AERbodytext"/>
      </w:pPr>
      <w:r w:rsidRPr="00D241E5">
        <w:t xml:space="preserve">The capital expenditure sharing scheme (CESS) provides financial rewards for </w:t>
      </w:r>
      <w:r w:rsidR="0069513B">
        <w:t>TNSP</w:t>
      </w:r>
      <w:r>
        <w:t>s</w:t>
      </w:r>
      <w:r w:rsidRPr="00D241E5">
        <w:t xml:space="preserve"> whose capex becomes more efficient and financial penalties for those that become less efficient.</w:t>
      </w:r>
      <w:r>
        <w:t xml:space="preserve"> </w:t>
      </w:r>
      <w:r w:rsidRPr="00D241E5">
        <w:t>The CESS approximates efficiency gains and efficiency losses by calculating the difference between forecast and actual capex. It shares these gains or losses between distributors and network users.</w:t>
      </w:r>
      <w:r>
        <w:t xml:space="preserve"> </w:t>
      </w:r>
      <w:r w:rsidRPr="00D241E5">
        <w:t>Consumers benefit from improved efficiency through lower regulated prices.</w:t>
      </w:r>
    </w:p>
    <w:p w:rsidR="00D241E5" w:rsidRPr="00D241E5" w:rsidRDefault="00D241E5" w:rsidP="00D241E5">
      <w:pPr>
        <w:pStyle w:val="AERbodytext"/>
        <w:numPr>
          <w:ilvl w:val="0"/>
          <w:numId w:val="6"/>
        </w:numPr>
      </w:pPr>
      <w:r w:rsidRPr="00D241E5">
        <w:lastRenderedPageBreak/>
        <w:t xml:space="preserve">The transitional rules specify </w:t>
      </w:r>
      <w:r w:rsidR="0084612B">
        <w:t>that no CESS applies to the NSW/</w:t>
      </w:r>
      <w:r w:rsidR="00671C0C">
        <w:t>ACT and Tasmanian</w:t>
      </w:r>
      <w:r w:rsidR="0084612B">
        <w:t xml:space="preserve"> TNSPs</w:t>
      </w:r>
      <w:r w:rsidR="0080239C">
        <w:t xml:space="preserve"> </w:t>
      </w:r>
      <w:r w:rsidRPr="00D241E5">
        <w:t>for the transiti</w:t>
      </w:r>
      <w:r>
        <w:t>onal regulatory control period.</w:t>
      </w:r>
      <w:r>
        <w:rPr>
          <w:rStyle w:val="FootnoteReference"/>
        </w:rPr>
        <w:footnoteReference w:id="67"/>
      </w:r>
      <w:r w:rsidR="000033C8">
        <w:t xml:space="preserve"> </w:t>
      </w:r>
    </w:p>
    <w:p w:rsidR="00D241E5" w:rsidRPr="00D241E5" w:rsidRDefault="00D241E5" w:rsidP="00D241E5">
      <w:pPr>
        <w:pStyle w:val="AERbodytext"/>
        <w:numPr>
          <w:ilvl w:val="0"/>
          <w:numId w:val="6"/>
        </w:numPr>
      </w:pPr>
      <w:r>
        <w:t>Our transitional decision therefore is that no</w:t>
      </w:r>
      <w:r w:rsidRPr="00D241E5">
        <w:t xml:space="preserve"> CESS</w:t>
      </w:r>
      <w:r>
        <w:t xml:space="preserve"> will apply</w:t>
      </w:r>
      <w:r w:rsidRPr="00D241E5">
        <w:t xml:space="preserve"> in the transitional regulatory control period </w:t>
      </w:r>
      <w:r w:rsidR="0080239C" w:rsidRPr="00A7656F">
        <w:t>to</w:t>
      </w:r>
      <w:r w:rsidR="000033C8" w:rsidRPr="00A7656F">
        <w:t xml:space="preserve"> TransGrid or Transend</w:t>
      </w:r>
      <w:r>
        <w:t>.</w:t>
      </w:r>
      <w:r w:rsidR="0084612B" w:rsidRPr="0084612B">
        <w:t xml:space="preserve"> </w:t>
      </w:r>
    </w:p>
    <w:p w:rsidR="00FB682F" w:rsidRDefault="00FB682F" w:rsidP="004B4471">
      <w:pPr>
        <w:pStyle w:val="Heading2"/>
      </w:pPr>
      <w:bookmarkStart w:id="71" w:name="_Toc383527666"/>
      <w:r>
        <w:t>Application of the small</w:t>
      </w:r>
      <w:r w:rsidR="0080239C">
        <w:t>-</w:t>
      </w:r>
      <w:r>
        <w:t>scale incentive scheme in the transitional regulatory control period</w:t>
      </w:r>
      <w:bookmarkEnd w:id="71"/>
    </w:p>
    <w:p w:rsidR="0080239C" w:rsidRDefault="0080239C" w:rsidP="000C48BA">
      <w:pPr>
        <w:pStyle w:val="AERbodytext"/>
        <w:numPr>
          <w:ilvl w:val="0"/>
          <w:numId w:val="6"/>
        </w:numPr>
      </w:pPr>
      <w:r w:rsidRPr="0080239C">
        <w:t xml:space="preserve">The rules state that we may develop </w:t>
      </w:r>
      <w:r>
        <w:t>a small-scale incentive scheme</w:t>
      </w:r>
      <w:r w:rsidR="00671C0C">
        <w:t xml:space="preserve"> or schemes</w:t>
      </w:r>
      <w:r>
        <w:t>.</w:t>
      </w:r>
      <w:r>
        <w:rPr>
          <w:rStyle w:val="FootnoteReference"/>
        </w:rPr>
        <w:footnoteReference w:id="68"/>
      </w:r>
      <w:r w:rsidRPr="0080239C">
        <w:t xml:space="preserve"> We have not developed </w:t>
      </w:r>
      <w:r w:rsidR="00671C0C">
        <w:t>any such</w:t>
      </w:r>
      <w:r w:rsidR="00671C0C" w:rsidRPr="0080239C">
        <w:t xml:space="preserve"> </w:t>
      </w:r>
      <w:r w:rsidRPr="0080239C">
        <w:t xml:space="preserve">scheme. </w:t>
      </w:r>
      <w:r w:rsidR="00E41E33">
        <w:t>In addition, t</w:t>
      </w:r>
      <w:r w:rsidR="00E41E33" w:rsidRPr="00D241E5">
        <w:t xml:space="preserve">he transitional rules specify </w:t>
      </w:r>
      <w:r w:rsidR="00E41E33">
        <w:t xml:space="preserve">that no small-scale incentive scheme applies to the </w:t>
      </w:r>
      <w:r w:rsidR="00D9669E">
        <w:t>NSW/TAS TNSPs</w:t>
      </w:r>
      <w:r w:rsidR="00D9669E" w:rsidRPr="00D241E5">
        <w:t xml:space="preserve"> </w:t>
      </w:r>
      <w:r w:rsidR="00E41E33" w:rsidRPr="00D241E5">
        <w:t>for the transiti</w:t>
      </w:r>
      <w:r w:rsidR="00E41E33">
        <w:t>onal regulatory control period.</w:t>
      </w:r>
      <w:r w:rsidR="00E41E33">
        <w:rPr>
          <w:rStyle w:val="FootnoteReference"/>
        </w:rPr>
        <w:footnoteReference w:id="69"/>
      </w:r>
    </w:p>
    <w:p w:rsidR="00D9669E" w:rsidRDefault="0080239C" w:rsidP="00AD52D5">
      <w:pPr>
        <w:pStyle w:val="AERbodytext"/>
        <w:numPr>
          <w:ilvl w:val="0"/>
          <w:numId w:val="0"/>
        </w:numPr>
      </w:pPr>
      <w:r w:rsidRPr="0080239C">
        <w:t>Our transitional</w:t>
      </w:r>
      <w:r>
        <w:t xml:space="preserve"> decision therefore is that no small-scale incentive scheme</w:t>
      </w:r>
      <w:r w:rsidRPr="0080239C">
        <w:t xml:space="preserve"> will apply in the transitional regulatory control period to</w:t>
      </w:r>
      <w:r w:rsidR="00B97B1F">
        <w:t xml:space="preserve"> </w:t>
      </w:r>
      <w:r w:rsidR="00B97B1F" w:rsidRPr="00A7656F">
        <w:t>TransGrid or Transend</w:t>
      </w:r>
      <w:r w:rsidR="00B97B1F">
        <w:t>.</w:t>
      </w:r>
    </w:p>
    <w:p w:rsidR="00D9669E" w:rsidRDefault="00D9669E" w:rsidP="00AD52D5">
      <w:pPr>
        <w:pStyle w:val="Heading2"/>
      </w:pPr>
      <w:bookmarkStart w:id="72" w:name="_Toc381348757"/>
      <w:bookmarkStart w:id="73" w:name="_Toc383527667"/>
      <w:r>
        <w:t>Pass through event</w:t>
      </w:r>
      <w:bookmarkEnd w:id="72"/>
      <w:bookmarkEnd w:id="73"/>
    </w:p>
    <w:p w:rsidR="00E37B1D" w:rsidRPr="00746677" w:rsidRDefault="00E37B1D" w:rsidP="00E37B1D">
      <w:pPr>
        <w:pStyle w:val="AERbodytext"/>
      </w:pPr>
      <w:r>
        <w:rPr>
          <w:szCs w:val="20"/>
        </w:rPr>
        <w:t>Cost pass through arrangements provide for adjustments to the allowed revenue if a non-controllable predefined event occurs that leads to a material change in a TNSP’s costs.</w:t>
      </w:r>
    </w:p>
    <w:p w:rsidR="00D9669E" w:rsidRPr="00746677" w:rsidRDefault="00D9669E" w:rsidP="00D9669E">
      <w:pPr>
        <w:pStyle w:val="AERbodytext"/>
      </w:pPr>
      <w:r>
        <w:rPr>
          <w:szCs w:val="20"/>
        </w:rPr>
        <w:t>TransGrid proposes the following events should be treated as pass through events providing their cost exceeds the materiality threshold defined in the Rules:</w:t>
      </w:r>
      <w:r w:rsidRPr="00F547C4">
        <w:rPr>
          <w:vertAlign w:val="superscript"/>
        </w:rPr>
        <w:t xml:space="preserve"> </w:t>
      </w:r>
      <w:r w:rsidRPr="00C623F4">
        <w:rPr>
          <w:vertAlign w:val="superscript"/>
        </w:rPr>
        <w:footnoteReference w:id="70"/>
      </w:r>
    </w:p>
    <w:p w:rsidR="00D9669E" w:rsidRPr="00D15C87" w:rsidRDefault="00D9669E" w:rsidP="00D15C87">
      <w:pPr>
        <w:numPr>
          <w:ilvl w:val="0"/>
          <w:numId w:val="2"/>
        </w:numPr>
        <w:tabs>
          <w:tab w:val="left" w:pos="357"/>
        </w:tabs>
        <w:spacing w:after="200"/>
        <w:ind w:left="357" w:hanging="357"/>
        <w:rPr>
          <w:rFonts w:eastAsia="Times New Roman"/>
          <w:szCs w:val="24"/>
        </w:rPr>
      </w:pPr>
      <w:r w:rsidRPr="00D15C87">
        <w:rPr>
          <w:rFonts w:eastAsia="Times New Roman"/>
          <w:szCs w:val="24"/>
        </w:rPr>
        <w:t>Insurance cap event</w:t>
      </w:r>
    </w:p>
    <w:p w:rsidR="00D9669E" w:rsidRPr="00D15C87" w:rsidRDefault="00D9669E" w:rsidP="00D15C87">
      <w:pPr>
        <w:numPr>
          <w:ilvl w:val="0"/>
          <w:numId w:val="2"/>
        </w:numPr>
        <w:tabs>
          <w:tab w:val="left" w:pos="357"/>
        </w:tabs>
        <w:spacing w:after="200"/>
        <w:ind w:left="357" w:hanging="357"/>
        <w:rPr>
          <w:rFonts w:eastAsia="Times New Roman"/>
          <w:szCs w:val="24"/>
        </w:rPr>
      </w:pPr>
      <w:r w:rsidRPr="00D15C87">
        <w:rPr>
          <w:rFonts w:eastAsia="Times New Roman"/>
          <w:szCs w:val="24"/>
        </w:rPr>
        <w:t>Terrorism event</w:t>
      </w:r>
    </w:p>
    <w:p w:rsidR="00D9669E" w:rsidRPr="00D15C87" w:rsidRDefault="00D9669E" w:rsidP="00D15C87">
      <w:pPr>
        <w:numPr>
          <w:ilvl w:val="0"/>
          <w:numId w:val="2"/>
        </w:numPr>
        <w:tabs>
          <w:tab w:val="left" w:pos="357"/>
        </w:tabs>
        <w:spacing w:after="200"/>
        <w:ind w:left="357" w:hanging="357"/>
        <w:rPr>
          <w:rFonts w:eastAsia="Times New Roman"/>
          <w:szCs w:val="24"/>
        </w:rPr>
      </w:pPr>
      <w:r w:rsidRPr="00D15C87">
        <w:rPr>
          <w:rFonts w:eastAsia="Times New Roman"/>
          <w:szCs w:val="24"/>
        </w:rPr>
        <w:t>Insurer default</w:t>
      </w:r>
    </w:p>
    <w:p w:rsidR="00D9669E" w:rsidRPr="00D15C87" w:rsidRDefault="00D9669E" w:rsidP="00D15C87">
      <w:pPr>
        <w:numPr>
          <w:ilvl w:val="0"/>
          <w:numId w:val="2"/>
        </w:numPr>
        <w:tabs>
          <w:tab w:val="left" w:pos="357"/>
        </w:tabs>
        <w:spacing w:after="200"/>
        <w:ind w:left="357" w:hanging="357"/>
        <w:rPr>
          <w:rFonts w:eastAsia="Times New Roman"/>
          <w:szCs w:val="24"/>
        </w:rPr>
      </w:pPr>
      <w:r w:rsidRPr="00D15C87">
        <w:rPr>
          <w:rFonts w:eastAsia="Times New Roman"/>
          <w:szCs w:val="24"/>
        </w:rPr>
        <w:t>Cyber-related external attack</w:t>
      </w:r>
    </w:p>
    <w:p w:rsidR="00D9669E" w:rsidRPr="00D15C87" w:rsidRDefault="00D9669E" w:rsidP="00D15C87">
      <w:pPr>
        <w:numPr>
          <w:ilvl w:val="0"/>
          <w:numId w:val="2"/>
        </w:numPr>
        <w:tabs>
          <w:tab w:val="left" w:pos="357"/>
        </w:tabs>
        <w:spacing w:after="200"/>
        <w:ind w:left="357" w:hanging="357"/>
        <w:rPr>
          <w:rFonts w:eastAsia="Times New Roman"/>
          <w:szCs w:val="24"/>
        </w:rPr>
      </w:pPr>
      <w:r w:rsidRPr="00D15C87">
        <w:rPr>
          <w:rFonts w:eastAsia="Times New Roman"/>
          <w:szCs w:val="24"/>
        </w:rPr>
        <w:t>Gradual environmental contamination event</w:t>
      </w:r>
      <w:r w:rsidR="0075554A" w:rsidRPr="00D15C87">
        <w:rPr>
          <w:rFonts w:eastAsia="Times New Roman"/>
          <w:szCs w:val="24"/>
        </w:rPr>
        <w:t>.</w:t>
      </w:r>
    </w:p>
    <w:p w:rsidR="0075554A" w:rsidRPr="00746677" w:rsidRDefault="0075554A" w:rsidP="0075554A">
      <w:pPr>
        <w:pStyle w:val="AERbodytext"/>
      </w:pPr>
      <w:r>
        <w:rPr>
          <w:szCs w:val="20"/>
        </w:rPr>
        <w:t>Transend proposes the following events should be treated as pass through events providing their cost exceeds the materiality threshold defined in the Rules:</w:t>
      </w:r>
      <w:r w:rsidR="00EE180B" w:rsidRPr="00C623F4">
        <w:rPr>
          <w:vertAlign w:val="superscript"/>
        </w:rPr>
        <w:footnoteReference w:id="71"/>
      </w:r>
      <w:r w:rsidRPr="00F547C4">
        <w:rPr>
          <w:vertAlign w:val="superscript"/>
        </w:rPr>
        <w:t xml:space="preserve"> </w:t>
      </w:r>
    </w:p>
    <w:p w:rsidR="0075554A" w:rsidRPr="00D15C87" w:rsidRDefault="0075554A" w:rsidP="00D15C87">
      <w:pPr>
        <w:numPr>
          <w:ilvl w:val="0"/>
          <w:numId w:val="2"/>
        </w:numPr>
        <w:tabs>
          <w:tab w:val="left" w:pos="357"/>
        </w:tabs>
        <w:spacing w:after="200"/>
        <w:ind w:left="357" w:hanging="357"/>
        <w:rPr>
          <w:rFonts w:eastAsia="Times New Roman"/>
          <w:szCs w:val="24"/>
        </w:rPr>
      </w:pPr>
      <w:r w:rsidRPr="00D15C87">
        <w:rPr>
          <w:rFonts w:eastAsia="Times New Roman"/>
          <w:szCs w:val="24"/>
        </w:rPr>
        <w:t>Natural disaster event</w:t>
      </w:r>
    </w:p>
    <w:p w:rsidR="0075554A" w:rsidRPr="00D15C87" w:rsidRDefault="0075554A" w:rsidP="00D15C87">
      <w:pPr>
        <w:numPr>
          <w:ilvl w:val="0"/>
          <w:numId w:val="2"/>
        </w:numPr>
        <w:tabs>
          <w:tab w:val="left" w:pos="357"/>
        </w:tabs>
        <w:spacing w:after="200"/>
        <w:ind w:left="357" w:hanging="357"/>
        <w:rPr>
          <w:rFonts w:eastAsia="Times New Roman"/>
          <w:szCs w:val="24"/>
        </w:rPr>
      </w:pPr>
      <w:r w:rsidRPr="00D15C87">
        <w:rPr>
          <w:rFonts w:eastAsia="Times New Roman"/>
          <w:szCs w:val="24"/>
        </w:rPr>
        <w:t>Insurance cap event.</w:t>
      </w:r>
    </w:p>
    <w:p w:rsidR="00671C0C" w:rsidRDefault="0039039A" w:rsidP="00D9669E">
      <w:pPr>
        <w:pStyle w:val="AERbodytext"/>
      </w:pPr>
      <w:r>
        <w:t>The Tasmanian Small Business Council does not support these proposals on the basis that Transend</w:t>
      </w:r>
      <w:r w:rsidR="00671C0C">
        <w:t>,</w:t>
      </w:r>
      <w:r>
        <w:t xml:space="preserve"> amongst other reasons, </w:t>
      </w:r>
      <w:r w:rsidR="00671C0C">
        <w:t xml:space="preserve">should </w:t>
      </w:r>
      <w:r>
        <w:t>be encouraged to manage the impact of these risks.</w:t>
      </w:r>
      <w:r>
        <w:rPr>
          <w:rStyle w:val="FootnoteReference"/>
        </w:rPr>
        <w:footnoteReference w:id="72"/>
      </w:r>
      <w:r>
        <w:t xml:space="preserve"> </w:t>
      </w:r>
    </w:p>
    <w:p w:rsidR="00D9669E" w:rsidRPr="00C720D7" w:rsidRDefault="00671C0C" w:rsidP="00D9669E">
      <w:pPr>
        <w:pStyle w:val="AERbodytext"/>
      </w:pPr>
      <w:r>
        <w:t>While we note this submission, c</w:t>
      </w:r>
      <w:r w:rsidR="00D9669E">
        <w:t>lause 11.58.3(a</w:t>
      </w:r>
      <w:proofErr w:type="gramStart"/>
      <w:r w:rsidR="00D9669E">
        <w:t>)(</w:t>
      </w:r>
      <w:proofErr w:type="gramEnd"/>
      <w:r w:rsidR="00D9669E">
        <w:t xml:space="preserve">4) of the rules prescribes that for transmission the “terrorism event” will be the additional pass through event that is to apply for the transitional regulatory </w:t>
      </w:r>
      <w:r w:rsidR="00D9669E">
        <w:lastRenderedPageBreak/>
        <w:t>control period.</w:t>
      </w:r>
      <w:r w:rsidR="00D9669E" w:rsidRPr="00C623F4">
        <w:rPr>
          <w:vertAlign w:val="superscript"/>
        </w:rPr>
        <w:footnoteReference w:id="73"/>
      </w:r>
      <w:r w:rsidR="00D9669E">
        <w:t xml:space="preserve"> </w:t>
      </w:r>
      <w:r w:rsidR="0075554A">
        <w:t xml:space="preserve"> Further, the AEMC as part of the transitional rules has omitted the ability for a TNSP to nominate pass through events that have not already been approved in its current determination</w:t>
      </w:r>
      <w:r w:rsidR="00F14237">
        <w:t>.</w:t>
      </w:r>
      <w:r w:rsidR="00F14237" w:rsidRPr="00C623F4">
        <w:rPr>
          <w:vertAlign w:val="superscript"/>
        </w:rPr>
        <w:footnoteReference w:id="74"/>
      </w:r>
      <w:r w:rsidR="0075554A">
        <w:t xml:space="preserve">  </w:t>
      </w:r>
      <w:r w:rsidR="00D9669E">
        <w:t xml:space="preserve">Therefore we </w:t>
      </w:r>
      <w:r>
        <w:t xml:space="preserve">are not able to </w:t>
      </w:r>
      <w:r w:rsidR="007E1191">
        <w:t>approve</w:t>
      </w:r>
      <w:r>
        <w:t xml:space="preserve"> any additional pass through events other than the terrorism event</w:t>
      </w:r>
      <w:r w:rsidR="007E1191">
        <w:t xml:space="preserve"> for the transitional regulatory control period</w:t>
      </w:r>
      <w:r>
        <w:t xml:space="preserve">.  </w:t>
      </w:r>
      <w:r w:rsidR="007E1191">
        <w:t>Accordingly, we approve the terrorism event for both TransGrid and Transend in accordance with clause 11.58.3(a</w:t>
      </w:r>
      <w:proofErr w:type="gramStart"/>
      <w:r w:rsidR="007E1191">
        <w:t>)(</w:t>
      </w:r>
      <w:proofErr w:type="gramEnd"/>
      <w:r w:rsidR="007E1191">
        <w:t>4) and</w:t>
      </w:r>
      <w:r>
        <w:t xml:space="preserve"> </w:t>
      </w:r>
      <w:r w:rsidR="00D9669E">
        <w:t xml:space="preserve">do not approve </w:t>
      </w:r>
      <w:r w:rsidR="007E1191">
        <w:rPr>
          <w:szCs w:val="20"/>
        </w:rPr>
        <w:t>the other nominated</w:t>
      </w:r>
      <w:r w:rsidR="0075554A">
        <w:rPr>
          <w:szCs w:val="20"/>
        </w:rPr>
        <w:t xml:space="preserve"> </w:t>
      </w:r>
      <w:r w:rsidR="00D9669E">
        <w:rPr>
          <w:szCs w:val="20"/>
        </w:rPr>
        <w:t xml:space="preserve">events </w:t>
      </w:r>
      <w:r w:rsidR="007E1191">
        <w:rPr>
          <w:szCs w:val="20"/>
        </w:rPr>
        <w:t>proposed by TransGrid and Transend</w:t>
      </w:r>
      <w:r w:rsidR="00EE6DAA">
        <w:rPr>
          <w:szCs w:val="20"/>
        </w:rPr>
        <w:t>.</w:t>
      </w:r>
    </w:p>
    <w:p w:rsidR="00D9669E" w:rsidRDefault="00D9669E" w:rsidP="00AD52D5">
      <w:pPr>
        <w:pStyle w:val="Heading2"/>
      </w:pPr>
      <w:bookmarkStart w:id="74" w:name="_Toc381348758"/>
      <w:bookmarkStart w:id="75" w:name="_Toc383527668"/>
      <w:r>
        <w:t>Negotiating framework</w:t>
      </w:r>
      <w:bookmarkEnd w:id="74"/>
      <w:bookmarkEnd w:id="75"/>
    </w:p>
    <w:p w:rsidR="00D9669E" w:rsidRPr="00C720D7" w:rsidRDefault="00D9669E" w:rsidP="00D9669E">
      <w:pPr>
        <w:pStyle w:val="AERbodytext"/>
      </w:pPr>
      <w:r>
        <w:t>In accordance with clause 11.58.3(a</w:t>
      </w:r>
      <w:proofErr w:type="gramStart"/>
      <w:r>
        <w:t>)(</w:t>
      </w:r>
      <w:proofErr w:type="gramEnd"/>
      <w:r>
        <w:t xml:space="preserve">5) of the rules, we </w:t>
      </w:r>
      <w:r w:rsidRPr="00C720D7">
        <w:t>approve</w:t>
      </w:r>
      <w:r>
        <w:t xml:space="preserve"> </w:t>
      </w:r>
      <w:r w:rsidRPr="00C720D7">
        <w:t xml:space="preserve">the </w:t>
      </w:r>
      <w:r>
        <w:t>n</w:t>
      </w:r>
      <w:r w:rsidRPr="00BF335D">
        <w:t>egotiating framework</w:t>
      </w:r>
      <w:r>
        <w:t xml:space="preserve"> </w:t>
      </w:r>
      <w:r w:rsidRPr="00C720D7">
        <w:t>w</w:t>
      </w:r>
      <w:r>
        <w:t xml:space="preserve">hich was approved as part of </w:t>
      </w:r>
      <w:r w:rsidR="00EC6FE2">
        <w:t xml:space="preserve">the </w:t>
      </w:r>
      <w:r w:rsidRPr="00C720D7">
        <w:t xml:space="preserve">transmission determination </w:t>
      </w:r>
      <w:r w:rsidR="00EC6FE2">
        <w:t>for TransGrid and Transend</w:t>
      </w:r>
      <w:r w:rsidR="00EC6FE2" w:rsidRPr="00C720D7">
        <w:t xml:space="preserve"> </w:t>
      </w:r>
      <w:r w:rsidRPr="00C720D7">
        <w:t>for the current</w:t>
      </w:r>
      <w:r>
        <w:t xml:space="preserve"> regulatory control period to be applied to </w:t>
      </w:r>
      <w:r w:rsidR="008203CD">
        <w:t xml:space="preserve">the </w:t>
      </w:r>
      <w:r>
        <w:t>transitional regulatory control period.</w:t>
      </w:r>
      <w:r w:rsidRPr="00C623F4">
        <w:rPr>
          <w:vertAlign w:val="superscript"/>
        </w:rPr>
        <w:footnoteReference w:id="75"/>
      </w:r>
      <w:r>
        <w:t xml:space="preserve"> </w:t>
      </w:r>
    </w:p>
    <w:p w:rsidR="00D9669E" w:rsidRPr="00406C17" w:rsidRDefault="00D9669E" w:rsidP="00AD52D5">
      <w:pPr>
        <w:pStyle w:val="Heading2"/>
      </w:pPr>
      <w:bookmarkStart w:id="76" w:name="_Toc381348759"/>
      <w:bookmarkStart w:id="77" w:name="_Toc383527669"/>
      <w:r>
        <w:t>Negotiated transmission service criteria</w:t>
      </w:r>
      <w:bookmarkEnd w:id="76"/>
      <w:bookmarkEnd w:id="77"/>
    </w:p>
    <w:p w:rsidR="00D9669E" w:rsidRPr="00C720D7" w:rsidRDefault="00D9669E" w:rsidP="00D9669E">
      <w:pPr>
        <w:pStyle w:val="AERbodytext"/>
      </w:pPr>
      <w:r>
        <w:t>In accordance with clause 11.58.3(a</w:t>
      </w:r>
      <w:proofErr w:type="gramStart"/>
      <w:r>
        <w:t>)(</w:t>
      </w:r>
      <w:proofErr w:type="gramEnd"/>
      <w:r>
        <w:t xml:space="preserve">6) of the rules, we </w:t>
      </w:r>
      <w:r w:rsidRPr="00C720D7">
        <w:t>approve</w:t>
      </w:r>
      <w:r>
        <w:t xml:space="preserve"> </w:t>
      </w:r>
      <w:r w:rsidRPr="00C720D7">
        <w:t xml:space="preserve">the </w:t>
      </w:r>
      <w:r>
        <w:t>n</w:t>
      </w:r>
      <w:r w:rsidRPr="00BF335D">
        <w:t>egotiated transmission service criteria</w:t>
      </w:r>
      <w:r>
        <w:t xml:space="preserve"> </w:t>
      </w:r>
      <w:r w:rsidRPr="00C720D7">
        <w:t>w</w:t>
      </w:r>
      <w:r>
        <w:t xml:space="preserve">hich was approved as part of </w:t>
      </w:r>
      <w:r w:rsidR="001A096E">
        <w:t xml:space="preserve">the </w:t>
      </w:r>
      <w:r w:rsidRPr="00C720D7">
        <w:t>transmission determination</w:t>
      </w:r>
      <w:r w:rsidR="001A096E">
        <w:t xml:space="preserve"> for</w:t>
      </w:r>
      <w:r w:rsidRPr="00C720D7">
        <w:t xml:space="preserve"> </w:t>
      </w:r>
      <w:r w:rsidR="001A096E">
        <w:t>TransGrid and Transend</w:t>
      </w:r>
      <w:r w:rsidR="001A096E" w:rsidRPr="00C720D7">
        <w:t xml:space="preserve"> </w:t>
      </w:r>
      <w:r w:rsidRPr="00C720D7">
        <w:t>for the current</w:t>
      </w:r>
      <w:r>
        <w:t xml:space="preserve"> regulatory control period to be applied to </w:t>
      </w:r>
      <w:r w:rsidR="008203CD">
        <w:t xml:space="preserve">the </w:t>
      </w:r>
      <w:r>
        <w:t>transitional regulatory control period.</w:t>
      </w:r>
      <w:r w:rsidRPr="00C623F4">
        <w:rPr>
          <w:vertAlign w:val="superscript"/>
        </w:rPr>
        <w:footnoteReference w:id="76"/>
      </w:r>
      <w:r>
        <w:t xml:space="preserve"> </w:t>
      </w:r>
    </w:p>
    <w:p w:rsidR="00D9669E" w:rsidRDefault="00D9669E" w:rsidP="00AD52D5">
      <w:pPr>
        <w:pStyle w:val="Heading2"/>
      </w:pPr>
      <w:bookmarkStart w:id="78" w:name="_Toc381348760"/>
      <w:bookmarkStart w:id="79" w:name="_Toc383527670"/>
      <w:r>
        <w:t>Pricing methodology</w:t>
      </w:r>
      <w:bookmarkEnd w:id="78"/>
      <w:bookmarkEnd w:id="79"/>
    </w:p>
    <w:p w:rsidR="00D9669E" w:rsidRPr="00C720D7" w:rsidRDefault="00D9669E" w:rsidP="00D9669E">
      <w:pPr>
        <w:pStyle w:val="AERbodytext"/>
      </w:pPr>
      <w:r>
        <w:t>In accordance with clause 11.58.3(a</w:t>
      </w:r>
      <w:proofErr w:type="gramStart"/>
      <w:r>
        <w:t>)(</w:t>
      </w:r>
      <w:proofErr w:type="gramEnd"/>
      <w:r>
        <w:t xml:space="preserve">7) of the rules, we </w:t>
      </w:r>
      <w:r w:rsidRPr="00C720D7">
        <w:t>approve</w:t>
      </w:r>
      <w:r>
        <w:t xml:space="preserve"> </w:t>
      </w:r>
      <w:r w:rsidRPr="00C720D7">
        <w:t>the pricing methodology w</w:t>
      </w:r>
      <w:r w:rsidR="001A096E">
        <w:t>hich was approved as part of the</w:t>
      </w:r>
      <w:r w:rsidRPr="00C720D7">
        <w:t xml:space="preserve"> transmission determination </w:t>
      </w:r>
      <w:r w:rsidR="001A096E">
        <w:t>for</w:t>
      </w:r>
      <w:r w:rsidR="001A096E" w:rsidRPr="00C720D7">
        <w:t xml:space="preserve"> </w:t>
      </w:r>
      <w:r w:rsidR="001A096E">
        <w:t>TransGrid and Transend,</w:t>
      </w:r>
      <w:r w:rsidR="001A096E" w:rsidRPr="00C720D7">
        <w:t xml:space="preserve"> </w:t>
      </w:r>
      <w:r w:rsidRPr="00C720D7">
        <w:t>for the current</w:t>
      </w:r>
      <w:r>
        <w:t xml:space="preserve"> regulatory control period to be applied to </w:t>
      </w:r>
      <w:r w:rsidR="008203CD">
        <w:t xml:space="preserve">the </w:t>
      </w:r>
      <w:r>
        <w:t>transitional regulatory control period.</w:t>
      </w:r>
      <w:r w:rsidRPr="00C623F4">
        <w:rPr>
          <w:vertAlign w:val="superscript"/>
        </w:rPr>
        <w:footnoteReference w:id="77"/>
      </w:r>
      <w:r>
        <w:t xml:space="preserve"> </w:t>
      </w:r>
    </w:p>
    <w:p w:rsidR="00D9669E" w:rsidRPr="00406C17" w:rsidRDefault="00D9669E" w:rsidP="00D9669E">
      <w:pPr>
        <w:pStyle w:val="AERbodytext"/>
      </w:pPr>
    </w:p>
    <w:p w:rsidR="00E736F9" w:rsidRDefault="00AF6577" w:rsidP="00E736F9">
      <w:pPr>
        <w:pStyle w:val="Heading7"/>
        <w:numPr>
          <w:ilvl w:val="4"/>
          <w:numId w:val="31"/>
        </w:numPr>
      </w:pPr>
      <w:bookmarkStart w:id="80" w:name="_Toc383527671"/>
      <w:r>
        <w:lastRenderedPageBreak/>
        <w:t>AER’s d</w:t>
      </w:r>
      <w:r w:rsidR="00E736F9">
        <w:t xml:space="preserve">etermination </w:t>
      </w:r>
      <w:r w:rsidR="00B318E7">
        <w:t>–</w:t>
      </w:r>
      <w:r w:rsidR="00E736F9">
        <w:t xml:space="preserve"> TransGrid</w:t>
      </w:r>
      <w:bookmarkEnd w:id="80"/>
    </w:p>
    <w:p w:rsidR="00E736F9" w:rsidRPr="008A3631" w:rsidRDefault="00E736F9" w:rsidP="00E736F9">
      <w:pPr>
        <w:pStyle w:val="Heading8"/>
        <w:numPr>
          <w:ilvl w:val="5"/>
          <w:numId w:val="31"/>
        </w:numPr>
        <w:rPr>
          <w:rStyle w:val="AERtextbold"/>
          <w:b/>
        </w:rPr>
      </w:pPr>
      <w:r w:rsidRPr="008A3631">
        <w:rPr>
          <w:rStyle w:val="AERtextbold"/>
          <w:b/>
        </w:rPr>
        <w:t>Commencement and length of regulatory control period</w:t>
      </w:r>
    </w:p>
    <w:p w:rsidR="00A7656F" w:rsidRPr="00A7656F" w:rsidRDefault="00A7656F" w:rsidP="00A7656F">
      <w:pPr>
        <w:pStyle w:val="AERbodytext"/>
        <w:numPr>
          <w:ilvl w:val="0"/>
          <w:numId w:val="0"/>
        </w:numPr>
      </w:pPr>
      <w:r>
        <w:t xml:space="preserve">The AER </w:t>
      </w:r>
      <w:r w:rsidR="008203CD">
        <w:t xml:space="preserve">determines </w:t>
      </w:r>
      <w:r>
        <w:t>that the transitional regulatory control period will be one year, commencing on 1 July 2014 and ending on 30 June 2015.</w:t>
      </w:r>
    </w:p>
    <w:p w:rsidR="00E736F9" w:rsidRPr="008A3631" w:rsidRDefault="00E736F9" w:rsidP="00E736F9">
      <w:pPr>
        <w:pStyle w:val="Heading8"/>
        <w:numPr>
          <w:ilvl w:val="5"/>
          <w:numId w:val="31"/>
        </w:numPr>
        <w:rPr>
          <w:rStyle w:val="AERtextbold"/>
          <w:b/>
        </w:rPr>
      </w:pPr>
      <w:r w:rsidRPr="008A3631">
        <w:rPr>
          <w:rStyle w:val="AERtextbold"/>
          <w:b/>
        </w:rPr>
        <w:t>Method for calculating total revenue cap</w:t>
      </w:r>
    </w:p>
    <w:p w:rsidR="00E736F9" w:rsidRDefault="00E736F9" w:rsidP="00E736F9">
      <w:pPr>
        <w:pStyle w:val="AERbodytext"/>
      </w:pPr>
      <w:r>
        <w:t xml:space="preserve">The AER </w:t>
      </w:r>
      <w:r w:rsidR="008203CD">
        <w:t>determines</w:t>
      </w:r>
      <w:r w:rsidR="008203CD" w:rsidDel="008203CD">
        <w:t xml:space="preserve"> </w:t>
      </w:r>
      <w:r>
        <w:t>an estimated total MAR of $</w:t>
      </w:r>
      <w:r w:rsidR="00AF6577">
        <w:t>845.4</w:t>
      </w:r>
      <w:r>
        <w:t xml:space="preserve"> million ($ nominal) for TransGrid for the 2014–15 transitional regulatory control period as shown in </w:t>
      </w:r>
      <w:r>
        <w:fldChar w:fldCharType="begin"/>
      </w:r>
      <w:r>
        <w:instrText xml:space="preserve"> REF _Ref378335263 \h </w:instrText>
      </w:r>
      <w:r>
        <w:fldChar w:fldCharType="separate"/>
      </w:r>
      <w:r w:rsidR="00B40E3D">
        <w:t xml:space="preserve">Table </w:t>
      </w:r>
      <w:r w:rsidR="00B40E3D">
        <w:rPr>
          <w:noProof/>
        </w:rPr>
        <w:t>A</w:t>
      </w:r>
      <w:r w:rsidR="00B40E3D">
        <w:t>.</w:t>
      </w:r>
      <w:r w:rsidR="00B40E3D">
        <w:rPr>
          <w:noProof/>
        </w:rPr>
        <w:t>1</w:t>
      </w:r>
      <w:r>
        <w:fldChar w:fldCharType="end"/>
      </w:r>
      <w:r>
        <w:t>.</w:t>
      </w:r>
      <w:r>
        <w:rPr>
          <w:color w:val="1F497D"/>
        </w:rPr>
        <w:t xml:space="preserve"> </w:t>
      </w:r>
      <w:r w:rsidRPr="00662AE7">
        <w:t xml:space="preserve">The estimated total </w:t>
      </w:r>
      <w:r>
        <w:t>MAR</w:t>
      </w:r>
      <w:r w:rsidRPr="00662AE7">
        <w:t xml:space="preserve"> is also known as the total revenue cap</w:t>
      </w:r>
      <w:r w:rsidR="00B318E7">
        <w:t>.</w:t>
      </w:r>
    </w:p>
    <w:p w:rsidR="00E736F9" w:rsidRDefault="00E736F9" w:rsidP="00E736F9">
      <w:pPr>
        <w:pStyle w:val="Caption"/>
      </w:pPr>
      <w:bookmarkStart w:id="81" w:name="_Ref378335263"/>
      <w:bookmarkStart w:id="82" w:name="_Ref378335243"/>
      <w:r>
        <w:t xml:space="preserve">Table </w:t>
      </w:r>
      <w:fldSimple w:instr=" STYLEREF 7 \s ">
        <w:r w:rsidR="00B40E3D">
          <w:rPr>
            <w:noProof/>
          </w:rPr>
          <w:t>A</w:t>
        </w:r>
      </w:fldSimple>
      <w:r>
        <w:t>.</w:t>
      </w:r>
      <w:fldSimple w:instr=" SEQ ATable \* ARABIC \s 7 ">
        <w:r w:rsidR="00B40E3D">
          <w:rPr>
            <w:noProof/>
          </w:rPr>
          <w:t>1</w:t>
        </w:r>
      </w:fldSimple>
      <w:bookmarkEnd w:id="81"/>
      <w:r>
        <w:tab/>
      </w:r>
      <w:r w:rsidRPr="005F7A1E">
        <w:t>AER</w:t>
      </w:r>
      <w:r>
        <w:t xml:space="preserve"> final determination on </w:t>
      </w:r>
      <w:proofErr w:type="spellStart"/>
      <w:r>
        <w:t>TransGrid’s</w:t>
      </w:r>
      <w:proofErr w:type="spellEnd"/>
      <w:r w:rsidRPr="005F7A1E">
        <w:t xml:space="preserve"> annual </w:t>
      </w:r>
      <w:r>
        <w:t>expected</w:t>
      </w:r>
      <w:r w:rsidRPr="005F7A1E">
        <w:t xml:space="preserve"> maximum allowed revenue ($</w:t>
      </w:r>
      <w:r>
        <w:t xml:space="preserve"> </w:t>
      </w:r>
      <w:r w:rsidRPr="005F7A1E">
        <w:t>m</w:t>
      </w:r>
      <w:r>
        <w:t>illion</w:t>
      </w:r>
      <w:r w:rsidRPr="005F7A1E">
        <w:t>, nominal)</w:t>
      </w:r>
      <w:bookmarkEnd w:id="82"/>
    </w:p>
    <w:tbl>
      <w:tblPr>
        <w:tblStyle w:val="AERtable-numbers"/>
        <w:tblW w:w="0" w:type="auto"/>
        <w:tblLook w:val="04A0" w:firstRow="1" w:lastRow="0" w:firstColumn="1" w:lastColumn="0" w:noHBand="0" w:noVBand="1"/>
      </w:tblPr>
      <w:tblGrid>
        <w:gridCol w:w="3454"/>
        <w:gridCol w:w="1424"/>
        <w:gridCol w:w="1424"/>
        <w:gridCol w:w="1424"/>
        <w:gridCol w:w="1424"/>
      </w:tblGrid>
      <w:tr w:rsidR="00E736F9" w:rsidTr="003C7E7B">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3454" w:type="dxa"/>
          </w:tcPr>
          <w:p w:rsidR="00E736F9" w:rsidRPr="00CA2AE8" w:rsidRDefault="00E736F9" w:rsidP="003C7E7B">
            <w:pPr>
              <w:pStyle w:val="AERtabletextright"/>
            </w:pPr>
          </w:p>
        </w:tc>
        <w:tc>
          <w:tcPr>
            <w:tcW w:w="1424" w:type="dxa"/>
          </w:tcPr>
          <w:p w:rsidR="00E736F9" w:rsidRPr="00CA2AE8"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r w:rsidRPr="00CA2AE8">
              <w:t>2014–15</w:t>
            </w:r>
          </w:p>
        </w:tc>
        <w:tc>
          <w:tcPr>
            <w:tcW w:w="1424" w:type="dxa"/>
          </w:tcPr>
          <w:p w:rsidR="00E736F9" w:rsidRPr="00CA2AE8"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p>
        </w:tc>
        <w:tc>
          <w:tcPr>
            <w:tcW w:w="1424" w:type="dxa"/>
          </w:tcPr>
          <w:p w:rsidR="00E736F9" w:rsidRPr="00CA2AE8"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p>
        </w:tc>
        <w:tc>
          <w:tcPr>
            <w:tcW w:w="1424" w:type="dxa"/>
          </w:tcPr>
          <w:p w:rsidR="00E736F9" w:rsidRPr="00CA2AE8"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r w:rsidRPr="00CA2AE8">
              <w:t>Total</w:t>
            </w:r>
          </w:p>
        </w:tc>
      </w:tr>
      <w:tr w:rsidR="00E736F9" w:rsidTr="003C7E7B">
        <w:trPr>
          <w:trHeight w:val="469"/>
        </w:trPr>
        <w:tc>
          <w:tcPr>
            <w:cnfStyle w:val="001000000000" w:firstRow="0" w:lastRow="0" w:firstColumn="1" w:lastColumn="0" w:oddVBand="0" w:evenVBand="0" w:oddHBand="0" w:evenHBand="0" w:firstRowFirstColumn="0" w:firstRowLastColumn="0" w:lastRowFirstColumn="0" w:lastRowLastColumn="0"/>
            <w:tcW w:w="3454" w:type="dxa"/>
          </w:tcPr>
          <w:p w:rsidR="00E736F9" w:rsidRDefault="00E736F9" w:rsidP="003C7E7B">
            <w:pPr>
              <w:pStyle w:val="AERtabletextleft"/>
            </w:pPr>
            <w:r>
              <w:t>Expected MAR (smoothed)</w:t>
            </w:r>
          </w:p>
        </w:tc>
        <w:tc>
          <w:tcPr>
            <w:tcW w:w="1424" w:type="dxa"/>
          </w:tcPr>
          <w:p w:rsidR="00E736F9" w:rsidRPr="00DF71F6" w:rsidRDefault="00AF6577" w:rsidP="003C7E7B">
            <w:pPr>
              <w:pStyle w:val="AERtabletextright"/>
              <w:cnfStyle w:val="000000000000" w:firstRow="0" w:lastRow="0" w:firstColumn="0" w:lastColumn="0" w:oddVBand="0" w:evenVBand="0" w:oddHBand="0" w:evenHBand="0" w:firstRowFirstColumn="0" w:firstRowLastColumn="0" w:lastRowFirstColumn="0" w:lastRowLastColumn="0"/>
            </w:pPr>
            <w:r>
              <w:t>845.4</w:t>
            </w:r>
          </w:p>
        </w:tc>
        <w:tc>
          <w:tcPr>
            <w:tcW w:w="1424" w:type="dxa"/>
          </w:tcPr>
          <w:p w:rsidR="00E736F9" w:rsidRPr="00DF71F6" w:rsidRDefault="00E736F9" w:rsidP="003C7E7B">
            <w:pPr>
              <w:pStyle w:val="AERtabletextright"/>
              <w:cnfStyle w:val="000000000000" w:firstRow="0" w:lastRow="0" w:firstColumn="0" w:lastColumn="0" w:oddVBand="0" w:evenVBand="0" w:oddHBand="0" w:evenHBand="0" w:firstRowFirstColumn="0" w:firstRowLastColumn="0" w:lastRowFirstColumn="0" w:lastRowLastColumn="0"/>
            </w:pPr>
          </w:p>
        </w:tc>
        <w:tc>
          <w:tcPr>
            <w:tcW w:w="1424" w:type="dxa"/>
          </w:tcPr>
          <w:p w:rsidR="00E736F9" w:rsidRPr="00DF71F6" w:rsidRDefault="00E736F9" w:rsidP="003C7E7B">
            <w:pPr>
              <w:pStyle w:val="AERtabletextright"/>
              <w:cnfStyle w:val="000000000000" w:firstRow="0" w:lastRow="0" w:firstColumn="0" w:lastColumn="0" w:oddVBand="0" w:evenVBand="0" w:oddHBand="0" w:evenHBand="0" w:firstRowFirstColumn="0" w:firstRowLastColumn="0" w:lastRowFirstColumn="0" w:lastRowLastColumn="0"/>
            </w:pPr>
          </w:p>
        </w:tc>
        <w:tc>
          <w:tcPr>
            <w:tcW w:w="1424" w:type="dxa"/>
          </w:tcPr>
          <w:p w:rsidR="00E736F9" w:rsidRPr="00342793" w:rsidRDefault="00AF6577" w:rsidP="003C7E7B">
            <w:pPr>
              <w:pStyle w:val="AERtabletextright"/>
              <w:cnfStyle w:val="000000000000" w:firstRow="0" w:lastRow="0" w:firstColumn="0" w:lastColumn="0" w:oddVBand="0" w:evenVBand="0" w:oddHBand="0" w:evenHBand="0" w:firstRowFirstColumn="0" w:firstRowLastColumn="0" w:lastRowFirstColumn="0" w:lastRowLastColumn="0"/>
            </w:pPr>
            <w:r>
              <w:t>845.4</w:t>
            </w:r>
          </w:p>
        </w:tc>
      </w:tr>
    </w:tbl>
    <w:p w:rsidR="00E736F9" w:rsidRDefault="00E736F9" w:rsidP="00E736F9">
      <w:pPr>
        <w:pStyle w:val="AERtablesource"/>
      </w:pPr>
      <w:r>
        <w:t xml:space="preserve">Source: </w:t>
      </w:r>
      <w:r>
        <w:tab/>
        <w:t>AER analysis.</w:t>
      </w:r>
    </w:p>
    <w:p w:rsidR="00E736F9" w:rsidRPr="008A3631" w:rsidRDefault="007E1191" w:rsidP="00E736F9">
      <w:pPr>
        <w:pStyle w:val="Heading8"/>
        <w:numPr>
          <w:ilvl w:val="5"/>
          <w:numId w:val="31"/>
        </w:numPr>
        <w:rPr>
          <w:rStyle w:val="AERtextbold"/>
          <w:b/>
        </w:rPr>
      </w:pPr>
      <w:r>
        <w:rPr>
          <w:rStyle w:val="AERtextbold"/>
          <w:b/>
        </w:rPr>
        <w:t xml:space="preserve">Service </w:t>
      </w:r>
      <w:r w:rsidR="0024403B">
        <w:rPr>
          <w:rStyle w:val="AERtextbold"/>
          <w:b/>
        </w:rPr>
        <w:t>t</w:t>
      </w:r>
      <w:r>
        <w:rPr>
          <w:rStyle w:val="AERtextbold"/>
          <w:b/>
        </w:rPr>
        <w:t xml:space="preserve">arget </w:t>
      </w:r>
      <w:r w:rsidR="0024403B">
        <w:rPr>
          <w:rStyle w:val="AERtextbold"/>
          <w:b/>
        </w:rPr>
        <w:t>p</w:t>
      </w:r>
      <w:r w:rsidR="0024403B" w:rsidRPr="008A3631">
        <w:rPr>
          <w:rStyle w:val="AERtextbold"/>
          <w:b/>
        </w:rPr>
        <w:t xml:space="preserve">erformance </w:t>
      </w:r>
      <w:r w:rsidR="00E736F9" w:rsidRPr="008A3631">
        <w:rPr>
          <w:rStyle w:val="AERtextbold"/>
          <w:b/>
        </w:rPr>
        <w:t>incentive scheme parameters</w:t>
      </w:r>
    </w:p>
    <w:p w:rsidR="00E736F9" w:rsidRPr="008D265C" w:rsidRDefault="00E736F9" w:rsidP="00E736F9">
      <w:pPr>
        <w:pStyle w:val="AERbodytext"/>
        <w:numPr>
          <w:ilvl w:val="0"/>
          <w:numId w:val="6"/>
        </w:numPr>
      </w:pPr>
      <w:r w:rsidRPr="008D265C">
        <w:t xml:space="preserve">The AER </w:t>
      </w:r>
      <w:r w:rsidR="008203CD">
        <w:t>determines</w:t>
      </w:r>
      <w:r w:rsidR="008203CD" w:rsidRPr="008D265C" w:rsidDel="008203CD">
        <w:t xml:space="preserve"> </w:t>
      </w:r>
      <w:r w:rsidRPr="008D265C">
        <w:t xml:space="preserve">the values for the performance targets, caps, collars and weightings for each of the parameters for the service component of the </w:t>
      </w:r>
      <w:r>
        <w:t>service target performance incentive scheme (</w:t>
      </w:r>
      <w:r w:rsidRPr="008D265C">
        <w:t>STPIS</w:t>
      </w:r>
      <w:r>
        <w:t>)</w:t>
      </w:r>
      <w:r w:rsidRPr="008D265C">
        <w:t xml:space="preserve"> applicable to </w:t>
      </w:r>
      <w:r>
        <w:t>TransGrid</w:t>
      </w:r>
      <w:r w:rsidRPr="008D265C">
        <w:t xml:space="preserve"> for the </w:t>
      </w:r>
      <w:r>
        <w:t>2014–15</w:t>
      </w:r>
      <w:r w:rsidRPr="008D265C">
        <w:t xml:space="preserve"> </w:t>
      </w:r>
      <w:r>
        <w:t>transitional regulatory control period</w:t>
      </w:r>
      <w:r w:rsidR="007E1191">
        <w:t xml:space="preserve"> are those</w:t>
      </w:r>
      <w:r w:rsidRPr="008D265C">
        <w:t xml:space="preserve"> shown in </w:t>
      </w:r>
      <w:r>
        <w:fldChar w:fldCharType="begin"/>
      </w:r>
      <w:r>
        <w:instrText xml:space="preserve"> REF _Ref382483584 \h </w:instrText>
      </w:r>
      <w:r>
        <w:fldChar w:fldCharType="separate"/>
      </w:r>
      <w:r w:rsidR="00B40E3D">
        <w:t xml:space="preserve">Table </w:t>
      </w:r>
      <w:r w:rsidR="00B40E3D">
        <w:rPr>
          <w:noProof/>
        </w:rPr>
        <w:t>A</w:t>
      </w:r>
      <w:r w:rsidR="00B40E3D">
        <w:t>.</w:t>
      </w:r>
      <w:r w:rsidR="00B40E3D">
        <w:rPr>
          <w:noProof/>
        </w:rPr>
        <w:t>2</w:t>
      </w:r>
      <w:r>
        <w:fldChar w:fldCharType="end"/>
      </w:r>
      <w:r>
        <w:t xml:space="preserve">. </w:t>
      </w:r>
    </w:p>
    <w:p w:rsidR="00E736F9" w:rsidRPr="001D52B3" w:rsidRDefault="00E736F9" w:rsidP="00E736F9">
      <w:pPr>
        <w:pStyle w:val="Caption"/>
      </w:pPr>
      <w:bookmarkStart w:id="83" w:name="_Ref382483584"/>
      <w:r>
        <w:t xml:space="preserve">Table </w:t>
      </w:r>
      <w:fldSimple w:instr=" STYLEREF 7 \s ">
        <w:r w:rsidR="00B40E3D">
          <w:rPr>
            <w:noProof/>
          </w:rPr>
          <w:t>A</w:t>
        </w:r>
      </w:fldSimple>
      <w:r>
        <w:t>.</w:t>
      </w:r>
      <w:fldSimple w:instr=" SEQ ATable \* ARABIC \s 7 ">
        <w:r w:rsidR="00B40E3D">
          <w:rPr>
            <w:noProof/>
          </w:rPr>
          <w:t>2</w:t>
        </w:r>
      </w:fldSimple>
      <w:bookmarkEnd w:id="83"/>
      <w:r>
        <w:tab/>
        <w:t>TransGrid service component performance targets, caps, collars and weightings to apply for the 2014–15 transitional regulatory control period</w:t>
      </w:r>
    </w:p>
    <w:tbl>
      <w:tblPr>
        <w:tblStyle w:val="AERtable-numbers"/>
        <w:tblW w:w="9258" w:type="dxa"/>
        <w:tblLook w:val="04A0" w:firstRow="1" w:lastRow="0" w:firstColumn="1" w:lastColumn="0" w:noHBand="0" w:noVBand="1"/>
      </w:tblPr>
      <w:tblGrid>
        <w:gridCol w:w="2825"/>
        <w:gridCol w:w="1487"/>
        <w:gridCol w:w="1649"/>
        <w:gridCol w:w="1648"/>
        <w:gridCol w:w="1649"/>
      </w:tblGrid>
      <w:tr w:rsidR="00E736F9" w:rsidTr="007024B8">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2825" w:type="dxa"/>
          </w:tcPr>
          <w:p w:rsidR="00E736F9" w:rsidRDefault="00E736F9" w:rsidP="003C7E7B">
            <w:pPr>
              <w:pStyle w:val="AERbodytext"/>
              <w:numPr>
                <w:ilvl w:val="0"/>
                <w:numId w:val="0"/>
              </w:numPr>
            </w:pPr>
          </w:p>
        </w:tc>
        <w:tc>
          <w:tcPr>
            <w:tcW w:w="1487" w:type="dxa"/>
          </w:tcPr>
          <w:p w:rsidR="00E736F9"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r>
              <w:t>Collar</w:t>
            </w:r>
          </w:p>
        </w:tc>
        <w:tc>
          <w:tcPr>
            <w:tcW w:w="1649" w:type="dxa"/>
          </w:tcPr>
          <w:p w:rsidR="00E736F9"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r>
              <w:t>Target</w:t>
            </w:r>
          </w:p>
        </w:tc>
        <w:tc>
          <w:tcPr>
            <w:tcW w:w="1648" w:type="dxa"/>
          </w:tcPr>
          <w:p w:rsidR="00E736F9"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r>
              <w:t>Cap</w:t>
            </w:r>
          </w:p>
        </w:tc>
        <w:tc>
          <w:tcPr>
            <w:tcW w:w="1649" w:type="dxa"/>
          </w:tcPr>
          <w:p w:rsidR="00D16FCA"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r>
              <w:t xml:space="preserve">Weighting </w:t>
            </w:r>
          </w:p>
          <w:p w:rsidR="00E736F9"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r>
              <w:t>(% of MAR)</w:t>
            </w:r>
          </w:p>
        </w:tc>
      </w:tr>
      <w:tr w:rsidR="00E736F9" w:rsidRPr="00230EF1" w:rsidTr="007024B8">
        <w:trPr>
          <w:trHeight w:val="506"/>
        </w:trPr>
        <w:tc>
          <w:tcPr>
            <w:cnfStyle w:val="001000000000" w:firstRow="0" w:lastRow="0" w:firstColumn="1" w:lastColumn="0" w:oddVBand="0" w:evenVBand="0" w:oddHBand="0" w:evenHBand="0" w:firstRowFirstColumn="0" w:firstRowLastColumn="0" w:lastRowFirstColumn="0" w:lastRowLastColumn="0"/>
            <w:tcW w:w="2825" w:type="dxa"/>
            <w:vAlign w:val="top"/>
          </w:tcPr>
          <w:p w:rsidR="00E736F9" w:rsidRPr="003D28A7" w:rsidRDefault="00E736F9" w:rsidP="007024B8">
            <w:pPr>
              <w:jc w:val="left"/>
              <w:rPr>
                <w:i/>
                <w:sz w:val="20"/>
              </w:rPr>
            </w:pPr>
            <w:r w:rsidRPr="003D28A7">
              <w:rPr>
                <w:i/>
              </w:rPr>
              <w:t>Transmission circuit availability</w:t>
            </w:r>
            <w:r w:rsidR="00D16FCA">
              <w:rPr>
                <w:i/>
              </w:rPr>
              <w:t xml:space="preserve"> (%)</w:t>
            </w:r>
            <w:r w:rsidRPr="003D28A7">
              <w:rPr>
                <w:i/>
              </w:rPr>
              <w:t xml:space="preserve"> </w:t>
            </w:r>
          </w:p>
        </w:tc>
        <w:tc>
          <w:tcPr>
            <w:tcW w:w="1487" w:type="dxa"/>
            <w:vAlign w:val="top"/>
          </w:tcPr>
          <w:p w:rsidR="00E736F9" w:rsidRPr="00230EF1" w:rsidRDefault="00E736F9" w:rsidP="003C7E7B">
            <w:pPr>
              <w:cnfStyle w:val="000000000000" w:firstRow="0" w:lastRow="0" w:firstColumn="0" w:lastColumn="0" w:oddVBand="0" w:evenVBand="0" w:oddHBand="0" w:evenHBand="0" w:firstRowFirstColumn="0" w:firstRowLastColumn="0" w:lastRowFirstColumn="0" w:lastRowLastColumn="0"/>
            </w:pPr>
          </w:p>
        </w:tc>
        <w:tc>
          <w:tcPr>
            <w:tcW w:w="1649" w:type="dxa"/>
          </w:tcPr>
          <w:p w:rsidR="00E736F9" w:rsidRPr="00230EF1" w:rsidRDefault="00E736F9" w:rsidP="003C7E7B">
            <w:pPr>
              <w:pStyle w:val="AERtabletextright"/>
              <w:cnfStyle w:val="000000000000" w:firstRow="0" w:lastRow="0" w:firstColumn="0" w:lastColumn="0" w:oddVBand="0" w:evenVBand="0" w:oddHBand="0" w:evenHBand="0" w:firstRowFirstColumn="0" w:firstRowLastColumn="0" w:lastRowFirstColumn="0" w:lastRowLastColumn="0"/>
            </w:pPr>
          </w:p>
        </w:tc>
        <w:tc>
          <w:tcPr>
            <w:tcW w:w="1648" w:type="dxa"/>
          </w:tcPr>
          <w:p w:rsidR="00E736F9" w:rsidRPr="00230EF1" w:rsidRDefault="00E736F9" w:rsidP="003C7E7B">
            <w:pPr>
              <w:pStyle w:val="AERtabletextright"/>
              <w:cnfStyle w:val="000000000000" w:firstRow="0" w:lastRow="0" w:firstColumn="0" w:lastColumn="0" w:oddVBand="0" w:evenVBand="0" w:oddHBand="0" w:evenHBand="0" w:firstRowFirstColumn="0" w:firstRowLastColumn="0" w:lastRowFirstColumn="0" w:lastRowLastColumn="0"/>
            </w:pPr>
          </w:p>
        </w:tc>
        <w:tc>
          <w:tcPr>
            <w:tcW w:w="1649" w:type="dxa"/>
          </w:tcPr>
          <w:p w:rsidR="00E736F9" w:rsidRPr="00230EF1" w:rsidRDefault="00E736F9" w:rsidP="003C7E7B">
            <w:pPr>
              <w:pStyle w:val="AERtabletextright"/>
              <w:cnfStyle w:val="000000000000" w:firstRow="0" w:lastRow="0" w:firstColumn="0" w:lastColumn="0" w:oddVBand="0" w:evenVBand="0" w:oddHBand="0" w:evenHBand="0" w:firstRowFirstColumn="0" w:firstRowLastColumn="0" w:lastRowFirstColumn="0" w:lastRowLastColumn="0"/>
            </w:pPr>
          </w:p>
        </w:tc>
      </w:tr>
      <w:tr w:rsidR="00E736F9" w:rsidTr="007024B8">
        <w:trPr>
          <w:cnfStyle w:val="000000010000" w:firstRow="0" w:lastRow="0" w:firstColumn="0" w:lastColumn="0" w:oddVBand="0" w:evenVBand="0" w:oddHBand="0" w:evenHBand="1"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25" w:type="dxa"/>
          </w:tcPr>
          <w:p w:rsidR="00E736F9" w:rsidRDefault="00E736F9" w:rsidP="00A26B05">
            <w:pPr>
              <w:pStyle w:val="AERtabletextleft"/>
            </w:pPr>
            <w:r w:rsidRPr="00DC1638">
              <w:t>Transmission line availability</w:t>
            </w:r>
          </w:p>
        </w:tc>
        <w:tc>
          <w:tcPr>
            <w:tcW w:w="1487" w:type="dxa"/>
          </w:tcPr>
          <w:p w:rsidR="00E736F9" w:rsidRPr="00A26B05" w:rsidRDefault="00E736F9" w:rsidP="00A26B05">
            <w:pPr>
              <w:pStyle w:val="AERtabletextright"/>
              <w:cnfStyle w:val="000000010000" w:firstRow="0" w:lastRow="0" w:firstColumn="0" w:lastColumn="0" w:oddVBand="0" w:evenVBand="0" w:oddHBand="0" w:evenHBand="1" w:firstRowFirstColumn="0" w:firstRowLastColumn="0" w:lastRowFirstColumn="0" w:lastRowLastColumn="0"/>
            </w:pPr>
            <w:r w:rsidRPr="007024B8">
              <w:t>99.05</w:t>
            </w:r>
          </w:p>
        </w:tc>
        <w:tc>
          <w:tcPr>
            <w:tcW w:w="1649" w:type="dxa"/>
          </w:tcPr>
          <w:p w:rsidR="00E736F9" w:rsidRPr="00002307" w:rsidRDefault="00E736F9" w:rsidP="00002307">
            <w:pPr>
              <w:pStyle w:val="AERtabletextright"/>
              <w:cnfStyle w:val="000000010000" w:firstRow="0" w:lastRow="0" w:firstColumn="0" w:lastColumn="0" w:oddVBand="0" w:evenVBand="0" w:oddHBand="0" w:evenHBand="1" w:firstRowFirstColumn="0" w:firstRowLastColumn="0" w:lastRowFirstColumn="0" w:lastRowLastColumn="0"/>
            </w:pPr>
            <w:r w:rsidRPr="00002307">
              <w:t>99.26</w:t>
            </w:r>
          </w:p>
        </w:tc>
        <w:tc>
          <w:tcPr>
            <w:tcW w:w="1648" w:type="dxa"/>
          </w:tcPr>
          <w:p w:rsidR="00E736F9" w:rsidRPr="00A26B05" w:rsidRDefault="00E736F9">
            <w:pPr>
              <w:pStyle w:val="AERtabletextright"/>
              <w:cnfStyle w:val="000000010000" w:firstRow="0" w:lastRow="0" w:firstColumn="0" w:lastColumn="0" w:oddVBand="0" w:evenVBand="0" w:oddHBand="0" w:evenHBand="1" w:firstRowFirstColumn="0" w:firstRowLastColumn="0" w:lastRowFirstColumn="0" w:lastRowLastColumn="0"/>
            </w:pPr>
            <w:r w:rsidRPr="00A26B05">
              <w:t>99.36</w:t>
            </w:r>
          </w:p>
        </w:tc>
        <w:tc>
          <w:tcPr>
            <w:tcW w:w="1649" w:type="dxa"/>
          </w:tcPr>
          <w:p w:rsidR="00E736F9" w:rsidRPr="00A26B05" w:rsidRDefault="00E736F9">
            <w:pPr>
              <w:pStyle w:val="AERtabletextright"/>
              <w:cnfStyle w:val="000000010000" w:firstRow="0" w:lastRow="0" w:firstColumn="0" w:lastColumn="0" w:oddVBand="0" w:evenVBand="0" w:oddHBand="0" w:evenHBand="1" w:firstRowFirstColumn="0" w:firstRowLastColumn="0" w:lastRowFirstColumn="0" w:lastRowLastColumn="0"/>
            </w:pPr>
            <w:r w:rsidRPr="00A26B05">
              <w:t>0.20</w:t>
            </w:r>
          </w:p>
        </w:tc>
      </w:tr>
      <w:tr w:rsidR="00E736F9" w:rsidTr="007024B8">
        <w:trPr>
          <w:trHeight w:val="373"/>
        </w:trPr>
        <w:tc>
          <w:tcPr>
            <w:cnfStyle w:val="001000000000" w:firstRow="0" w:lastRow="0" w:firstColumn="1" w:lastColumn="0" w:oddVBand="0" w:evenVBand="0" w:oddHBand="0" w:evenHBand="0" w:firstRowFirstColumn="0" w:firstRowLastColumn="0" w:lastRowFirstColumn="0" w:lastRowLastColumn="0"/>
            <w:tcW w:w="2825" w:type="dxa"/>
          </w:tcPr>
          <w:p w:rsidR="00E736F9" w:rsidRDefault="00E736F9" w:rsidP="00A26B05">
            <w:pPr>
              <w:pStyle w:val="AERtabletextleft"/>
            </w:pPr>
            <w:r w:rsidRPr="00DC1638">
              <w:t>Transformer availability</w:t>
            </w:r>
          </w:p>
        </w:tc>
        <w:tc>
          <w:tcPr>
            <w:tcW w:w="1487" w:type="dxa"/>
          </w:tcPr>
          <w:p w:rsidR="00E736F9" w:rsidRPr="00A26B05" w:rsidRDefault="00E736F9" w:rsidP="00A26B05">
            <w:pPr>
              <w:pStyle w:val="AERtabletextright"/>
              <w:cnfStyle w:val="000000000000" w:firstRow="0" w:lastRow="0" w:firstColumn="0" w:lastColumn="0" w:oddVBand="0" w:evenVBand="0" w:oddHBand="0" w:evenHBand="0" w:firstRowFirstColumn="0" w:firstRowLastColumn="0" w:lastRowFirstColumn="0" w:lastRowLastColumn="0"/>
            </w:pPr>
            <w:r w:rsidRPr="00A26B05">
              <w:t>97.33</w:t>
            </w:r>
          </w:p>
        </w:tc>
        <w:tc>
          <w:tcPr>
            <w:tcW w:w="1649" w:type="dxa"/>
          </w:tcPr>
          <w:p w:rsidR="00E736F9" w:rsidRPr="00002307" w:rsidRDefault="00E736F9" w:rsidP="00002307">
            <w:pPr>
              <w:pStyle w:val="AERtabletextright"/>
              <w:cnfStyle w:val="000000000000" w:firstRow="0" w:lastRow="0" w:firstColumn="0" w:lastColumn="0" w:oddVBand="0" w:evenVBand="0" w:oddHBand="0" w:evenHBand="0" w:firstRowFirstColumn="0" w:firstRowLastColumn="0" w:lastRowFirstColumn="0" w:lastRowLastColumn="0"/>
            </w:pPr>
            <w:r w:rsidRPr="00002307">
              <w:t>98.61</w:t>
            </w:r>
          </w:p>
        </w:tc>
        <w:tc>
          <w:tcPr>
            <w:tcW w:w="1648" w:type="dxa"/>
          </w:tcPr>
          <w:p w:rsidR="00E736F9" w:rsidRPr="00A26B05" w:rsidRDefault="00E736F9">
            <w:pPr>
              <w:pStyle w:val="AERtabletextright"/>
              <w:cnfStyle w:val="000000000000" w:firstRow="0" w:lastRow="0" w:firstColumn="0" w:lastColumn="0" w:oddVBand="0" w:evenVBand="0" w:oddHBand="0" w:evenHBand="0" w:firstRowFirstColumn="0" w:firstRowLastColumn="0" w:lastRowFirstColumn="0" w:lastRowLastColumn="0"/>
            </w:pPr>
            <w:r w:rsidRPr="00A26B05">
              <w:t>98.89</w:t>
            </w:r>
          </w:p>
        </w:tc>
        <w:tc>
          <w:tcPr>
            <w:tcW w:w="1649" w:type="dxa"/>
          </w:tcPr>
          <w:p w:rsidR="00E736F9" w:rsidRPr="00A26B05" w:rsidRDefault="00E736F9">
            <w:pPr>
              <w:pStyle w:val="AERtabletextright"/>
              <w:cnfStyle w:val="000000000000" w:firstRow="0" w:lastRow="0" w:firstColumn="0" w:lastColumn="0" w:oddVBand="0" w:evenVBand="0" w:oddHBand="0" w:evenHBand="0" w:firstRowFirstColumn="0" w:firstRowLastColumn="0" w:lastRowFirstColumn="0" w:lastRowLastColumn="0"/>
            </w:pPr>
            <w:r w:rsidRPr="00A26B05">
              <w:t>0.15</w:t>
            </w:r>
          </w:p>
        </w:tc>
      </w:tr>
      <w:tr w:rsidR="00E736F9" w:rsidTr="007024B8">
        <w:trPr>
          <w:cnfStyle w:val="000000010000" w:firstRow="0" w:lastRow="0" w:firstColumn="0" w:lastColumn="0" w:oddVBand="0" w:evenVBand="0" w:oddHBand="0" w:evenHBand="1"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25" w:type="dxa"/>
          </w:tcPr>
          <w:p w:rsidR="00E736F9" w:rsidRDefault="00E736F9" w:rsidP="00A26B05">
            <w:pPr>
              <w:pStyle w:val="AERtabletextleft"/>
            </w:pPr>
            <w:r w:rsidRPr="00DC1638">
              <w:t>Reactive plant availability</w:t>
            </w:r>
          </w:p>
        </w:tc>
        <w:tc>
          <w:tcPr>
            <w:tcW w:w="1487" w:type="dxa"/>
          </w:tcPr>
          <w:p w:rsidR="00E736F9" w:rsidRPr="00A26B05" w:rsidRDefault="00E736F9" w:rsidP="00A26B05">
            <w:pPr>
              <w:pStyle w:val="AERtabletextright"/>
              <w:cnfStyle w:val="000000010000" w:firstRow="0" w:lastRow="0" w:firstColumn="0" w:lastColumn="0" w:oddVBand="0" w:evenVBand="0" w:oddHBand="0" w:evenHBand="1" w:firstRowFirstColumn="0" w:firstRowLastColumn="0" w:lastRowFirstColumn="0" w:lastRowLastColumn="0"/>
            </w:pPr>
            <w:r w:rsidRPr="00A26B05">
              <w:t>98.65</w:t>
            </w:r>
          </w:p>
        </w:tc>
        <w:tc>
          <w:tcPr>
            <w:tcW w:w="1649" w:type="dxa"/>
          </w:tcPr>
          <w:p w:rsidR="00E736F9" w:rsidRPr="00002307" w:rsidRDefault="00E736F9" w:rsidP="00002307">
            <w:pPr>
              <w:pStyle w:val="AERtabletextright"/>
              <w:cnfStyle w:val="000000010000" w:firstRow="0" w:lastRow="0" w:firstColumn="0" w:lastColumn="0" w:oddVBand="0" w:evenVBand="0" w:oddHBand="0" w:evenHBand="1" w:firstRowFirstColumn="0" w:firstRowLastColumn="0" w:lastRowFirstColumn="0" w:lastRowLastColumn="0"/>
            </w:pPr>
            <w:r w:rsidRPr="00002307">
              <w:t>99.12</w:t>
            </w:r>
          </w:p>
        </w:tc>
        <w:tc>
          <w:tcPr>
            <w:tcW w:w="1648" w:type="dxa"/>
          </w:tcPr>
          <w:p w:rsidR="00E736F9" w:rsidRPr="00A26B05" w:rsidRDefault="00E736F9">
            <w:pPr>
              <w:pStyle w:val="AERtabletextright"/>
              <w:cnfStyle w:val="000000010000" w:firstRow="0" w:lastRow="0" w:firstColumn="0" w:lastColumn="0" w:oddVBand="0" w:evenVBand="0" w:oddHBand="0" w:evenHBand="1" w:firstRowFirstColumn="0" w:firstRowLastColumn="0" w:lastRowFirstColumn="0" w:lastRowLastColumn="0"/>
            </w:pPr>
            <w:r w:rsidRPr="00A26B05">
              <w:t>99.33</w:t>
            </w:r>
          </w:p>
        </w:tc>
        <w:tc>
          <w:tcPr>
            <w:tcW w:w="1649" w:type="dxa"/>
          </w:tcPr>
          <w:p w:rsidR="00E736F9" w:rsidRPr="00A26B05" w:rsidRDefault="00E736F9">
            <w:pPr>
              <w:pStyle w:val="AERtabletextright"/>
              <w:cnfStyle w:val="000000010000" w:firstRow="0" w:lastRow="0" w:firstColumn="0" w:lastColumn="0" w:oddVBand="0" w:evenVBand="0" w:oddHBand="0" w:evenHBand="1" w:firstRowFirstColumn="0" w:firstRowLastColumn="0" w:lastRowFirstColumn="0" w:lastRowLastColumn="0"/>
            </w:pPr>
            <w:r w:rsidRPr="00A26B05">
              <w:t>0.10</w:t>
            </w:r>
          </w:p>
        </w:tc>
      </w:tr>
      <w:tr w:rsidR="00E736F9" w:rsidRPr="003D28A7" w:rsidTr="007024B8">
        <w:trPr>
          <w:trHeight w:val="718"/>
        </w:trPr>
        <w:tc>
          <w:tcPr>
            <w:cnfStyle w:val="001000000000" w:firstRow="0" w:lastRow="0" w:firstColumn="1" w:lastColumn="0" w:oddVBand="0" w:evenVBand="0" w:oddHBand="0" w:evenHBand="0" w:firstRowFirstColumn="0" w:firstRowLastColumn="0" w:lastRowFirstColumn="0" w:lastRowLastColumn="0"/>
            <w:tcW w:w="2825" w:type="dxa"/>
          </w:tcPr>
          <w:p w:rsidR="00E736F9" w:rsidRPr="003D28A7" w:rsidRDefault="00E736F9" w:rsidP="007024B8">
            <w:pPr>
              <w:jc w:val="left"/>
              <w:rPr>
                <w:i/>
                <w:sz w:val="20"/>
              </w:rPr>
            </w:pPr>
            <w:r w:rsidRPr="003D28A7">
              <w:rPr>
                <w:i/>
              </w:rPr>
              <w:t>Loss of supply event frequency (No.)</w:t>
            </w:r>
          </w:p>
        </w:tc>
        <w:tc>
          <w:tcPr>
            <w:tcW w:w="1487" w:type="dxa"/>
          </w:tcPr>
          <w:p w:rsidR="00E736F9" w:rsidRPr="007024B8" w:rsidRDefault="00E736F9" w:rsidP="00A26B05">
            <w:pPr>
              <w:pStyle w:val="AERtabletextright"/>
              <w:cnfStyle w:val="000000000000" w:firstRow="0" w:lastRow="0" w:firstColumn="0" w:lastColumn="0" w:oddVBand="0" w:evenVBand="0" w:oddHBand="0" w:evenHBand="0" w:firstRowFirstColumn="0" w:firstRowLastColumn="0" w:lastRowFirstColumn="0" w:lastRowLastColumn="0"/>
            </w:pPr>
          </w:p>
        </w:tc>
        <w:tc>
          <w:tcPr>
            <w:tcW w:w="1649" w:type="dxa"/>
          </w:tcPr>
          <w:p w:rsidR="00E736F9" w:rsidRPr="007024B8" w:rsidRDefault="00E736F9" w:rsidP="00002307">
            <w:pPr>
              <w:pStyle w:val="AERtabletextright"/>
              <w:cnfStyle w:val="000000000000" w:firstRow="0" w:lastRow="0" w:firstColumn="0" w:lastColumn="0" w:oddVBand="0" w:evenVBand="0" w:oddHBand="0" w:evenHBand="0" w:firstRowFirstColumn="0" w:firstRowLastColumn="0" w:lastRowFirstColumn="0" w:lastRowLastColumn="0"/>
            </w:pPr>
          </w:p>
        </w:tc>
        <w:tc>
          <w:tcPr>
            <w:tcW w:w="1648" w:type="dxa"/>
          </w:tcPr>
          <w:p w:rsidR="00E736F9" w:rsidRPr="007024B8" w:rsidRDefault="00E736F9">
            <w:pPr>
              <w:pStyle w:val="AERtabletextright"/>
              <w:cnfStyle w:val="000000000000" w:firstRow="0" w:lastRow="0" w:firstColumn="0" w:lastColumn="0" w:oddVBand="0" w:evenVBand="0" w:oddHBand="0" w:evenHBand="0" w:firstRowFirstColumn="0" w:firstRowLastColumn="0" w:lastRowFirstColumn="0" w:lastRowLastColumn="0"/>
            </w:pPr>
          </w:p>
        </w:tc>
        <w:tc>
          <w:tcPr>
            <w:tcW w:w="1649" w:type="dxa"/>
          </w:tcPr>
          <w:p w:rsidR="00E736F9" w:rsidRPr="007024B8" w:rsidRDefault="00E736F9">
            <w:pPr>
              <w:pStyle w:val="AERtabletextright"/>
              <w:cnfStyle w:val="000000000000" w:firstRow="0" w:lastRow="0" w:firstColumn="0" w:lastColumn="0" w:oddVBand="0" w:evenVBand="0" w:oddHBand="0" w:evenHBand="0" w:firstRowFirstColumn="0" w:firstRowLastColumn="0" w:lastRowFirstColumn="0" w:lastRowLastColumn="0"/>
            </w:pPr>
          </w:p>
        </w:tc>
      </w:tr>
      <w:tr w:rsidR="00E736F9" w:rsidTr="007024B8">
        <w:trPr>
          <w:cnfStyle w:val="000000010000" w:firstRow="0" w:lastRow="0" w:firstColumn="0" w:lastColumn="0" w:oddVBand="0" w:evenVBand="0" w:oddHBand="0" w:evenHBand="1"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25" w:type="dxa"/>
          </w:tcPr>
          <w:p w:rsidR="00E736F9" w:rsidRDefault="00E736F9" w:rsidP="00A26B05">
            <w:pPr>
              <w:pStyle w:val="AERtabletextleft"/>
            </w:pPr>
            <w:r w:rsidRPr="00230EF1">
              <w:t>&gt;0.05 (x) system minutes</w:t>
            </w:r>
          </w:p>
        </w:tc>
        <w:tc>
          <w:tcPr>
            <w:tcW w:w="1487" w:type="dxa"/>
          </w:tcPr>
          <w:p w:rsidR="00E736F9" w:rsidRPr="00A26B05" w:rsidRDefault="00E736F9" w:rsidP="00A26B05">
            <w:pPr>
              <w:pStyle w:val="AERtabletextright"/>
              <w:cnfStyle w:val="000000010000" w:firstRow="0" w:lastRow="0" w:firstColumn="0" w:lastColumn="0" w:oddVBand="0" w:evenVBand="0" w:oddHBand="0" w:evenHBand="1" w:firstRowFirstColumn="0" w:firstRowLastColumn="0" w:lastRowFirstColumn="0" w:lastRowLastColumn="0"/>
            </w:pPr>
            <w:r w:rsidRPr="00A26B05">
              <w:t>7</w:t>
            </w:r>
          </w:p>
        </w:tc>
        <w:tc>
          <w:tcPr>
            <w:tcW w:w="1649" w:type="dxa"/>
          </w:tcPr>
          <w:p w:rsidR="00E736F9" w:rsidRPr="00002307" w:rsidRDefault="00E736F9" w:rsidP="00002307">
            <w:pPr>
              <w:pStyle w:val="AERtabletextright"/>
              <w:cnfStyle w:val="000000010000" w:firstRow="0" w:lastRow="0" w:firstColumn="0" w:lastColumn="0" w:oddVBand="0" w:evenVBand="0" w:oddHBand="0" w:evenHBand="1" w:firstRowFirstColumn="0" w:firstRowLastColumn="0" w:lastRowFirstColumn="0" w:lastRowLastColumn="0"/>
            </w:pPr>
            <w:r w:rsidRPr="00002307">
              <w:t>4</w:t>
            </w:r>
          </w:p>
        </w:tc>
        <w:tc>
          <w:tcPr>
            <w:tcW w:w="1648" w:type="dxa"/>
          </w:tcPr>
          <w:p w:rsidR="00E736F9" w:rsidRPr="00A26B05" w:rsidRDefault="00E736F9">
            <w:pPr>
              <w:pStyle w:val="AERtabletextright"/>
              <w:cnfStyle w:val="000000010000" w:firstRow="0" w:lastRow="0" w:firstColumn="0" w:lastColumn="0" w:oddVBand="0" w:evenVBand="0" w:oddHBand="0" w:evenHBand="1" w:firstRowFirstColumn="0" w:firstRowLastColumn="0" w:lastRowFirstColumn="0" w:lastRowLastColumn="0"/>
            </w:pPr>
            <w:r w:rsidRPr="00A26B05">
              <w:t>2</w:t>
            </w:r>
          </w:p>
        </w:tc>
        <w:tc>
          <w:tcPr>
            <w:tcW w:w="1649" w:type="dxa"/>
          </w:tcPr>
          <w:p w:rsidR="00E736F9" w:rsidRPr="00A26B05" w:rsidRDefault="00E736F9">
            <w:pPr>
              <w:pStyle w:val="AERtabletextright"/>
              <w:cnfStyle w:val="000000010000" w:firstRow="0" w:lastRow="0" w:firstColumn="0" w:lastColumn="0" w:oddVBand="0" w:evenVBand="0" w:oddHBand="0" w:evenHBand="1" w:firstRowFirstColumn="0" w:firstRowLastColumn="0" w:lastRowFirstColumn="0" w:lastRowLastColumn="0"/>
            </w:pPr>
            <w:r w:rsidRPr="00A26B05">
              <w:t>0.25</w:t>
            </w:r>
          </w:p>
        </w:tc>
      </w:tr>
      <w:tr w:rsidR="00E736F9" w:rsidTr="007024B8">
        <w:trPr>
          <w:trHeight w:val="373"/>
        </w:trPr>
        <w:tc>
          <w:tcPr>
            <w:cnfStyle w:val="001000000000" w:firstRow="0" w:lastRow="0" w:firstColumn="1" w:lastColumn="0" w:oddVBand="0" w:evenVBand="0" w:oddHBand="0" w:evenHBand="0" w:firstRowFirstColumn="0" w:firstRowLastColumn="0" w:lastRowFirstColumn="0" w:lastRowLastColumn="0"/>
            <w:tcW w:w="2825" w:type="dxa"/>
          </w:tcPr>
          <w:p w:rsidR="00E736F9" w:rsidRDefault="00E736F9" w:rsidP="00A26B05">
            <w:pPr>
              <w:pStyle w:val="AERtabletextleft"/>
            </w:pPr>
            <w:r w:rsidRPr="00230EF1">
              <w:t>&gt;0.25 (y) system minutes</w:t>
            </w:r>
          </w:p>
        </w:tc>
        <w:tc>
          <w:tcPr>
            <w:tcW w:w="1487" w:type="dxa"/>
          </w:tcPr>
          <w:p w:rsidR="00E736F9" w:rsidRPr="00A26B05" w:rsidRDefault="00E736F9" w:rsidP="00A26B05">
            <w:pPr>
              <w:pStyle w:val="AERtabletextright"/>
              <w:cnfStyle w:val="000000000000" w:firstRow="0" w:lastRow="0" w:firstColumn="0" w:lastColumn="0" w:oddVBand="0" w:evenVBand="0" w:oddHBand="0" w:evenHBand="0" w:firstRowFirstColumn="0" w:firstRowLastColumn="0" w:lastRowFirstColumn="0" w:lastRowLastColumn="0"/>
            </w:pPr>
            <w:r w:rsidRPr="00A26B05">
              <w:t>2</w:t>
            </w:r>
          </w:p>
        </w:tc>
        <w:tc>
          <w:tcPr>
            <w:tcW w:w="1649" w:type="dxa"/>
          </w:tcPr>
          <w:p w:rsidR="00E736F9" w:rsidRPr="00002307" w:rsidRDefault="00E736F9" w:rsidP="00002307">
            <w:pPr>
              <w:pStyle w:val="AERtabletextright"/>
              <w:cnfStyle w:val="000000000000" w:firstRow="0" w:lastRow="0" w:firstColumn="0" w:lastColumn="0" w:oddVBand="0" w:evenVBand="0" w:oddHBand="0" w:evenHBand="0" w:firstRowFirstColumn="0" w:firstRowLastColumn="0" w:lastRowFirstColumn="0" w:lastRowLastColumn="0"/>
            </w:pPr>
            <w:r w:rsidRPr="00002307">
              <w:t>1</w:t>
            </w:r>
          </w:p>
        </w:tc>
        <w:tc>
          <w:tcPr>
            <w:tcW w:w="1648" w:type="dxa"/>
          </w:tcPr>
          <w:p w:rsidR="00E736F9" w:rsidRPr="00A26B05" w:rsidRDefault="00E736F9">
            <w:pPr>
              <w:pStyle w:val="AERtabletextright"/>
              <w:cnfStyle w:val="000000000000" w:firstRow="0" w:lastRow="0" w:firstColumn="0" w:lastColumn="0" w:oddVBand="0" w:evenVBand="0" w:oddHBand="0" w:evenHBand="0" w:firstRowFirstColumn="0" w:firstRowLastColumn="0" w:lastRowFirstColumn="0" w:lastRowLastColumn="0"/>
            </w:pPr>
            <w:r w:rsidRPr="00A26B05">
              <w:t>0</w:t>
            </w:r>
          </w:p>
        </w:tc>
        <w:tc>
          <w:tcPr>
            <w:tcW w:w="1649" w:type="dxa"/>
          </w:tcPr>
          <w:p w:rsidR="00E736F9" w:rsidRPr="00A26B05" w:rsidRDefault="00E736F9">
            <w:pPr>
              <w:pStyle w:val="AERtabletextright"/>
              <w:cnfStyle w:val="000000000000" w:firstRow="0" w:lastRow="0" w:firstColumn="0" w:lastColumn="0" w:oddVBand="0" w:evenVBand="0" w:oddHBand="0" w:evenHBand="0" w:firstRowFirstColumn="0" w:firstRowLastColumn="0" w:lastRowFirstColumn="0" w:lastRowLastColumn="0"/>
            </w:pPr>
            <w:r w:rsidRPr="00A26B05">
              <w:t>0.10</w:t>
            </w:r>
          </w:p>
        </w:tc>
      </w:tr>
      <w:tr w:rsidR="00E736F9" w:rsidRPr="003D28A7" w:rsidTr="007024B8">
        <w:trPr>
          <w:cnfStyle w:val="000000010000" w:firstRow="0" w:lastRow="0" w:firstColumn="0" w:lastColumn="0" w:oddVBand="0" w:evenVBand="0" w:oddHBand="0" w:evenHBand="1"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25" w:type="dxa"/>
          </w:tcPr>
          <w:p w:rsidR="00E736F9" w:rsidRPr="003D28A7" w:rsidRDefault="00E736F9" w:rsidP="00A26B05">
            <w:pPr>
              <w:pStyle w:val="AERtabletextleft"/>
              <w:rPr>
                <w:rStyle w:val="AERtextbold"/>
                <w:b w:val="0"/>
                <w:i/>
              </w:rPr>
            </w:pPr>
            <w:r w:rsidRPr="003D28A7">
              <w:rPr>
                <w:rStyle w:val="AERtextbold"/>
                <w:b w:val="0"/>
                <w:i/>
              </w:rPr>
              <w:t>Average outage duration</w:t>
            </w:r>
            <w:r w:rsidR="00D16FCA">
              <w:rPr>
                <w:rStyle w:val="AERtextbold"/>
                <w:b w:val="0"/>
                <w:i/>
              </w:rPr>
              <w:t xml:space="preserve"> (minutes)</w:t>
            </w:r>
          </w:p>
        </w:tc>
        <w:tc>
          <w:tcPr>
            <w:tcW w:w="1487" w:type="dxa"/>
          </w:tcPr>
          <w:p w:rsidR="00E736F9" w:rsidRPr="007024B8" w:rsidRDefault="00E736F9" w:rsidP="00A26B05">
            <w:pPr>
              <w:pStyle w:val="AERtabletextright"/>
              <w:cnfStyle w:val="000000010000" w:firstRow="0" w:lastRow="0" w:firstColumn="0" w:lastColumn="0" w:oddVBand="0" w:evenVBand="0" w:oddHBand="0" w:evenHBand="1" w:firstRowFirstColumn="0" w:firstRowLastColumn="0" w:lastRowFirstColumn="0" w:lastRowLastColumn="0"/>
            </w:pPr>
          </w:p>
        </w:tc>
        <w:tc>
          <w:tcPr>
            <w:tcW w:w="1649" w:type="dxa"/>
          </w:tcPr>
          <w:p w:rsidR="00E736F9" w:rsidRPr="007024B8" w:rsidRDefault="00E736F9" w:rsidP="00002307">
            <w:pPr>
              <w:pStyle w:val="AERtabletextright"/>
              <w:cnfStyle w:val="000000010000" w:firstRow="0" w:lastRow="0" w:firstColumn="0" w:lastColumn="0" w:oddVBand="0" w:evenVBand="0" w:oddHBand="0" w:evenHBand="1" w:firstRowFirstColumn="0" w:firstRowLastColumn="0" w:lastRowFirstColumn="0" w:lastRowLastColumn="0"/>
            </w:pPr>
          </w:p>
        </w:tc>
        <w:tc>
          <w:tcPr>
            <w:tcW w:w="1648" w:type="dxa"/>
          </w:tcPr>
          <w:p w:rsidR="00E736F9" w:rsidRPr="007024B8" w:rsidRDefault="00E736F9">
            <w:pPr>
              <w:pStyle w:val="AERtabletextright"/>
              <w:cnfStyle w:val="000000010000" w:firstRow="0" w:lastRow="0" w:firstColumn="0" w:lastColumn="0" w:oddVBand="0" w:evenVBand="0" w:oddHBand="0" w:evenHBand="1" w:firstRowFirstColumn="0" w:firstRowLastColumn="0" w:lastRowFirstColumn="0" w:lastRowLastColumn="0"/>
            </w:pPr>
          </w:p>
        </w:tc>
        <w:tc>
          <w:tcPr>
            <w:tcW w:w="1649" w:type="dxa"/>
          </w:tcPr>
          <w:p w:rsidR="00E736F9" w:rsidRPr="007024B8" w:rsidRDefault="00E736F9">
            <w:pPr>
              <w:pStyle w:val="AERtabletextright"/>
              <w:cnfStyle w:val="000000010000" w:firstRow="0" w:lastRow="0" w:firstColumn="0" w:lastColumn="0" w:oddVBand="0" w:evenVBand="0" w:oddHBand="0" w:evenHBand="1" w:firstRowFirstColumn="0" w:firstRowLastColumn="0" w:lastRowFirstColumn="0" w:lastRowLastColumn="0"/>
            </w:pPr>
          </w:p>
        </w:tc>
      </w:tr>
      <w:tr w:rsidR="00E736F9" w:rsidTr="007024B8">
        <w:trPr>
          <w:trHeight w:val="80"/>
        </w:trPr>
        <w:tc>
          <w:tcPr>
            <w:cnfStyle w:val="001000000000" w:firstRow="0" w:lastRow="0" w:firstColumn="1" w:lastColumn="0" w:oddVBand="0" w:evenVBand="0" w:oddHBand="0" w:evenHBand="0" w:firstRowFirstColumn="0" w:firstRowLastColumn="0" w:lastRowFirstColumn="0" w:lastRowLastColumn="0"/>
            <w:tcW w:w="2825" w:type="dxa"/>
          </w:tcPr>
          <w:p w:rsidR="00E736F9" w:rsidRDefault="00E736F9" w:rsidP="00A26B05">
            <w:pPr>
              <w:pStyle w:val="AERtabletextleft"/>
            </w:pPr>
            <w:r>
              <w:t>Total</w:t>
            </w:r>
          </w:p>
        </w:tc>
        <w:tc>
          <w:tcPr>
            <w:tcW w:w="1487" w:type="dxa"/>
          </w:tcPr>
          <w:p w:rsidR="00E736F9" w:rsidRPr="00A26B05" w:rsidRDefault="00E736F9" w:rsidP="00A26B05">
            <w:pPr>
              <w:pStyle w:val="AERtabletextright"/>
              <w:cnfStyle w:val="000000000000" w:firstRow="0" w:lastRow="0" w:firstColumn="0" w:lastColumn="0" w:oddVBand="0" w:evenVBand="0" w:oddHBand="0" w:evenHBand="0" w:firstRowFirstColumn="0" w:firstRowLastColumn="0" w:lastRowFirstColumn="0" w:lastRowLastColumn="0"/>
            </w:pPr>
            <w:r w:rsidRPr="00A26B05">
              <w:t>999</w:t>
            </w:r>
          </w:p>
        </w:tc>
        <w:tc>
          <w:tcPr>
            <w:tcW w:w="1649" w:type="dxa"/>
          </w:tcPr>
          <w:p w:rsidR="00E736F9" w:rsidRPr="00002307" w:rsidRDefault="00E736F9" w:rsidP="00002307">
            <w:pPr>
              <w:pStyle w:val="AERtabletextright"/>
              <w:cnfStyle w:val="000000000000" w:firstRow="0" w:lastRow="0" w:firstColumn="0" w:lastColumn="0" w:oddVBand="0" w:evenVBand="0" w:oddHBand="0" w:evenHBand="0" w:firstRowFirstColumn="0" w:firstRowLastColumn="0" w:lastRowFirstColumn="0" w:lastRowLastColumn="0"/>
            </w:pPr>
            <w:r w:rsidRPr="00002307">
              <w:t>824</w:t>
            </w:r>
          </w:p>
        </w:tc>
        <w:tc>
          <w:tcPr>
            <w:tcW w:w="1648" w:type="dxa"/>
          </w:tcPr>
          <w:p w:rsidR="00E736F9" w:rsidRPr="00A26B05" w:rsidRDefault="00E736F9">
            <w:pPr>
              <w:pStyle w:val="AERtabletextright"/>
              <w:cnfStyle w:val="000000000000" w:firstRow="0" w:lastRow="0" w:firstColumn="0" w:lastColumn="0" w:oddVBand="0" w:evenVBand="0" w:oddHBand="0" w:evenHBand="0" w:firstRowFirstColumn="0" w:firstRowLastColumn="0" w:lastRowFirstColumn="0" w:lastRowLastColumn="0"/>
            </w:pPr>
            <w:r w:rsidRPr="00A26B05">
              <w:t>649</w:t>
            </w:r>
          </w:p>
        </w:tc>
        <w:tc>
          <w:tcPr>
            <w:tcW w:w="1649" w:type="dxa"/>
          </w:tcPr>
          <w:p w:rsidR="00E736F9" w:rsidRPr="00A26B05" w:rsidRDefault="00E736F9">
            <w:pPr>
              <w:pStyle w:val="AERtabletextright"/>
              <w:cnfStyle w:val="000000000000" w:firstRow="0" w:lastRow="0" w:firstColumn="0" w:lastColumn="0" w:oddVBand="0" w:evenVBand="0" w:oddHBand="0" w:evenHBand="0" w:firstRowFirstColumn="0" w:firstRowLastColumn="0" w:lastRowFirstColumn="0" w:lastRowLastColumn="0"/>
            </w:pPr>
            <w:r w:rsidRPr="00A26B05">
              <w:t>0.20</w:t>
            </w:r>
          </w:p>
        </w:tc>
      </w:tr>
    </w:tbl>
    <w:p w:rsidR="00E736F9" w:rsidRDefault="00E736F9" w:rsidP="00E736F9">
      <w:pPr>
        <w:pStyle w:val="AERtablesource"/>
      </w:pPr>
      <w:r w:rsidRPr="003B5C26">
        <w:t xml:space="preserve"> </w:t>
      </w:r>
      <w:r>
        <w:t xml:space="preserve">Source: </w:t>
      </w:r>
      <w:r>
        <w:tab/>
        <w:t>AER analysis.</w:t>
      </w:r>
    </w:p>
    <w:p w:rsidR="002F5C83" w:rsidRDefault="00E736F9" w:rsidP="002F5C83">
      <w:pPr>
        <w:pStyle w:val="AERbodytext"/>
      </w:pPr>
      <w:bookmarkStart w:id="84" w:name="_Ref352227988"/>
      <w:r>
        <w:lastRenderedPageBreak/>
        <w:t xml:space="preserve">The AER </w:t>
      </w:r>
      <w:r w:rsidR="008A7068">
        <w:t>determines</w:t>
      </w:r>
      <w:r>
        <w:t xml:space="preserve"> that the market impact component </w:t>
      </w:r>
      <w:r w:rsidR="00A637FD">
        <w:t xml:space="preserve">(MIC) </w:t>
      </w:r>
      <w:r>
        <w:t>parameter values will be calculated in accordance with section four and appendices C and F of the STPIS.</w:t>
      </w:r>
      <w:r>
        <w:rPr>
          <w:rStyle w:val="FootnoteReference"/>
        </w:rPr>
        <w:footnoteReference w:id="78"/>
      </w:r>
      <w:r w:rsidR="002F5C83">
        <w:t xml:space="preserve"> For the first half of the transitional year (1 July 2014 to 31 December 2014):</w:t>
      </w:r>
    </w:p>
    <w:p w:rsidR="002F5C83" w:rsidRPr="00D15C87" w:rsidRDefault="002F5C83" w:rsidP="00D15C87">
      <w:pPr>
        <w:numPr>
          <w:ilvl w:val="0"/>
          <w:numId w:val="2"/>
        </w:numPr>
        <w:tabs>
          <w:tab w:val="left" w:pos="357"/>
        </w:tabs>
        <w:spacing w:after="200"/>
        <w:ind w:left="357" w:hanging="357"/>
        <w:rPr>
          <w:rFonts w:eastAsia="Times New Roman"/>
          <w:szCs w:val="24"/>
        </w:rPr>
      </w:pPr>
      <w:r w:rsidRPr="00D15C87">
        <w:rPr>
          <w:rFonts w:eastAsia="Times New Roman"/>
          <w:szCs w:val="24"/>
        </w:rPr>
        <w:t xml:space="preserve">the market impact parameter target is the average of </w:t>
      </w:r>
      <w:proofErr w:type="spellStart"/>
      <w:r w:rsidRPr="00D15C87">
        <w:rPr>
          <w:rFonts w:eastAsia="Times New Roman"/>
          <w:szCs w:val="24"/>
        </w:rPr>
        <w:t>TransGrid’s</w:t>
      </w:r>
      <w:proofErr w:type="spellEnd"/>
      <w:r w:rsidRPr="00D15C87">
        <w:rPr>
          <w:rFonts w:eastAsia="Times New Roman"/>
          <w:szCs w:val="24"/>
        </w:rPr>
        <w:t xml:space="preserve"> 2011, 2012 and 2013 annual performance</w:t>
      </w:r>
    </w:p>
    <w:p w:rsidR="002F5C83" w:rsidRPr="00D15C87" w:rsidRDefault="002F5C83" w:rsidP="00D15C87">
      <w:pPr>
        <w:numPr>
          <w:ilvl w:val="0"/>
          <w:numId w:val="2"/>
        </w:numPr>
        <w:tabs>
          <w:tab w:val="left" w:pos="357"/>
        </w:tabs>
        <w:spacing w:after="200"/>
        <w:ind w:left="357" w:hanging="357"/>
        <w:rPr>
          <w:rFonts w:eastAsia="Times New Roman"/>
          <w:szCs w:val="24"/>
        </w:rPr>
      </w:pPr>
      <w:r w:rsidRPr="00D15C87">
        <w:rPr>
          <w:rFonts w:eastAsia="Times New Roman"/>
          <w:szCs w:val="24"/>
        </w:rPr>
        <w:t xml:space="preserve"> </w:t>
      </w:r>
      <w:proofErr w:type="gramStart"/>
      <w:r w:rsidRPr="00D15C87">
        <w:rPr>
          <w:rFonts w:eastAsia="Times New Roman"/>
          <w:szCs w:val="24"/>
        </w:rPr>
        <w:t>the</w:t>
      </w:r>
      <w:proofErr w:type="gramEnd"/>
      <w:r w:rsidRPr="00D15C87">
        <w:rPr>
          <w:rFonts w:eastAsia="Times New Roman"/>
          <w:szCs w:val="24"/>
        </w:rPr>
        <w:t xml:space="preserve"> performance measure is the average of 2013 and 2014 annual performance.  </w:t>
      </w:r>
    </w:p>
    <w:p w:rsidR="002F5C83" w:rsidRDefault="002F5C83" w:rsidP="002F5C83">
      <w:pPr>
        <w:pStyle w:val="AERbulletlistfirststyle"/>
      </w:pPr>
      <w:r>
        <w:t>For the second half of the transitional year (1 January 2015 to 30 June 2015)</w:t>
      </w:r>
      <w:r w:rsidR="00EC0EAE">
        <w:t xml:space="preserve"> together with the period 1 July 2015 to 31 December 2015</w:t>
      </w:r>
      <w:r>
        <w:t>:</w:t>
      </w:r>
    </w:p>
    <w:p w:rsidR="002F5C83" w:rsidRPr="00D15C87" w:rsidRDefault="002F5C83" w:rsidP="00D15C87">
      <w:pPr>
        <w:numPr>
          <w:ilvl w:val="0"/>
          <w:numId w:val="2"/>
        </w:numPr>
        <w:tabs>
          <w:tab w:val="left" w:pos="357"/>
        </w:tabs>
        <w:spacing w:after="200"/>
        <w:ind w:left="357" w:hanging="357"/>
        <w:rPr>
          <w:rFonts w:eastAsia="Times New Roman"/>
          <w:szCs w:val="24"/>
        </w:rPr>
      </w:pPr>
      <w:r w:rsidRPr="00D15C87">
        <w:rPr>
          <w:rFonts w:eastAsia="Times New Roman"/>
          <w:szCs w:val="24"/>
        </w:rPr>
        <w:t xml:space="preserve">the market impact parameter target is the average of </w:t>
      </w:r>
      <w:proofErr w:type="spellStart"/>
      <w:r w:rsidRPr="00D15C87">
        <w:rPr>
          <w:rFonts w:eastAsia="Times New Roman"/>
          <w:szCs w:val="24"/>
        </w:rPr>
        <w:t>TransGrid’s</w:t>
      </w:r>
      <w:proofErr w:type="spellEnd"/>
      <w:r w:rsidRPr="00D15C87">
        <w:rPr>
          <w:rFonts w:eastAsia="Times New Roman"/>
          <w:szCs w:val="24"/>
        </w:rPr>
        <w:t xml:space="preserve"> 2012, 2013 and 2014 annual performance</w:t>
      </w:r>
    </w:p>
    <w:p w:rsidR="002F5C83" w:rsidRPr="00D15C87" w:rsidRDefault="002F5C83" w:rsidP="00D15C87">
      <w:pPr>
        <w:numPr>
          <w:ilvl w:val="0"/>
          <w:numId w:val="2"/>
        </w:numPr>
        <w:tabs>
          <w:tab w:val="left" w:pos="357"/>
        </w:tabs>
        <w:spacing w:after="200"/>
        <w:ind w:left="357" w:hanging="357"/>
        <w:rPr>
          <w:rFonts w:eastAsia="Times New Roman"/>
          <w:szCs w:val="24"/>
        </w:rPr>
      </w:pPr>
      <w:proofErr w:type="gramStart"/>
      <w:r w:rsidRPr="00D15C87">
        <w:rPr>
          <w:rFonts w:eastAsia="Times New Roman"/>
          <w:szCs w:val="24"/>
        </w:rPr>
        <w:t>the</w:t>
      </w:r>
      <w:proofErr w:type="gramEnd"/>
      <w:r w:rsidRPr="00D15C87">
        <w:rPr>
          <w:rFonts w:eastAsia="Times New Roman"/>
          <w:szCs w:val="24"/>
        </w:rPr>
        <w:t xml:space="preserve"> performance measure is the average of 2014 and 2015 annual performance.</w:t>
      </w:r>
    </w:p>
    <w:p w:rsidR="00E736F9" w:rsidRDefault="00E736F9" w:rsidP="00E736F9">
      <w:pPr>
        <w:pStyle w:val="AERbodytext"/>
      </w:pPr>
      <w:r>
        <w:t xml:space="preserve">The MIC performance target for 2014 will be set in our full determination for TransGrid.  </w:t>
      </w:r>
    </w:p>
    <w:p w:rsidR="00E736F9" w:rsidRPr="002E5FEA" w:rsidRDefault="00E736F9" w:rsidP="00E736F9">
      <w:pPr>
        <w:pStyle w:val="AERbodytext"/>
        <w:rPr>
          <w:rStyle w:val="AERtextbold"/>
          <w:b w:val="0"/>
        </w:rPr>
      </w:pPr>
      <w:r w:rsidRPr="002E5FEA">
        <w:rPr>
          <w:rStyle w:val="AERtextbold"/>
          <w:b w:val="0"/>
        </w:rPr>
        <w:t xml:space="preserve">The AER </w:t>
      </w:r>
      <w:r w:rsidR="008A7068">
        <w:rPr>
          <w:rStyle w:val="AERtextbold"/>
          <w:b w:val="0"/>
        </w:rPr>
        <w:t>determines</w:t>
      </w:r>
      <w:r w:rsidRPr="002E5FEA">
        <w:rPr>
          <w:rStyle w:val="AERtextbold"/>
          <w:b w:val="0"/>
        </w:rPr>
        <w:t xml:space="preserve"> that </w:t>
      </w:r>
      <w:r w:rsidR="00EC0EAE">
        <w:rPr>
          <w:rStyle w:val="AERtextbold"/>
          <w:b w:val="0"/>
        </w:rPr>
        <w:t xml:space="preserve">for the network capability component </w:t>
      </w:r>
      <w:r w:rsidRPr="000A3DFC">
        <w:rPr>
          <w:rStyle w:val="AERtextbold"/>
          <w:b w:val="0"/>
        </w:rPr>
        <w:t xml:space="preserve">the priority projects and </w:t>
      </w:r>
      <w:r w:rsidR="004627F8">
        <w:t>project rankings</w:t>
      </w:r>
      <w:r w:rsidR="004627F8" w:rsidRPr="000A3DFC" w:rsidDel="004627F8">
        <w:rPr>
          <w:rStyle w:val="AERtextbold"/>
          <w:b w:val="0"/>
        </w:rPr>
        <w:t xml:space="preserve"> </w:t>
      </w:r>
      <w:r w:rsidRPr="000A3DFC">
        <w:rPr>
          <w:rStyle w:val="AERtextbold"/>
          <w:b w:val="0"/>
        </w:rPr>
        <w:t>shown</w:t>
      </w:r>
      <w:r w:rsidRPr="002E5FEA">
        <w:rPr>
          <w:rStyle w:val="AERtextbold"/>
          <w:b w:val="0"/>
        </w:rPr>
        <w:t xml:space="preserve"> in </w:t>
      </w:r>
      <w:r>
        <w:rPr>
          <w:rStyle w:val="AERtextbold"/>
          <w:b w:val="0"/>
        </w:rPr>
        <w:fldChar w:fldCharType="begin"/>
      </w:r>
      <w:r>
        <w:rPr>
          <w:rStyle w:val="AERtextbold"/>
          <w:b w:val="0"/>
        </w:rPr>
        <w:instrText xml:space="preserve"> REF _Ref382483609 \h </w:instrText>
      </w:r>
      <w:r>
        <w:rPr>
          <w:rStyle w:val="AERtextbold"/>
          <w:b w:val="0"/>
        </w:rPr>
      </w:r>
      <w:r>
        <w:rPr>
          <w:rStyle w:val="AERtextbold"/>
          <w:b w:val="0"/>
        </w:rPr>
        <w:fldChar w:fldCharType="separate"/>
      </w:r>
      <w:r w:rsidR="00B40E3D">
        <w:t xml:space="preserve">Table </w:t>
      </w:r>
      <w:r w:rsidR="00B40E3D">
        <w:rPr>
          <w:noProof/>
        </w:rPr>
        <w:t>A</w:t>
      </w:r>
      <w:r w:rsidR="00B40E3D">
        <w:t>.</w:t>
      </w:r>
      <w:r w:rsidR="00B40E3D">
        <w:rPr>
          <w:noProof/>
        </w:rPr>
        <w:t>3</w:t>
      </w:r>
      <w:r>
        <w:rPr>
          <w:rStyle w:val="AERtextbold"/>
          <w:b w:val="0"/>
        </w:rPr>
        <w:fldChar w:fldCharType="end"/>
      </w:r>
      <w:r>
        <w:rPr>
          <w:rStyle w:val="AERtextbold"/>
          <w:b w:val="0"/>
        </w:rPr>
        <w:t xml:space="preserve"> </w:t>
      </w:r>
      <w:r w:rsidRPr="00342793">
        <w:rPr>
          <w:rStyle w:val="AERtextbold"/>
          <w:b w:val="0"/>
        </w:rPr>
        <w:t>will</w:t>
      </w:r>
      <w:r>
        <w:rPr>
          <w:rStyle w:val="AERtextbold"/>
        </w:rPr>
        <w:t xml:space="preserve"> </w:t>
      </w:r>
      <w:r w:rsidRPr="002E5FEA">
        <w:rPr>
          <w:rStyle w:val="AERtextbold"/>
          <w:b w:val="0"/>
        </w:rPr>
        <w:t xml:space="preserve">apply to </w:t>
      </w:r>
      <w:r>
        <w:rPr>
          <w:rStyle w:val="AERtextbold"/>
          <w:b w:val="0"/>
        </w:rPr>
        <w:t>TransGrid during the</w:t>
      </w:r>
      <w:r w:rsidR="008F1935">
        <w:rPr>
          <w:rStyle w:val="AERtextbold"/>
          <w:b w:val="0"/>
        </w:rPr>
        <w:t xml:space="preserve"> transitional </w:t>
      </w:r>
      <w:r w:rsidR="00A53A12">
        <w:rPr>
          <w:rStyle w:val="AERtextbold"/>
          <w:b w:val="0"/>
        </w:rPr>
        <w:t>regulatory control period.</w:t>
      </w:r>
      <w:r w:rsidRPr="002E5FEA">
        <w:rPr>
          <w:rStyle w:val="AERtextbold"/>
          <w:b w:val="0"/>
        </w:rPr>
        <w:t xml:space="preserve">  </w:t>
      </w:r>
    </w:p>
    <w:p w:rsidR="00E736F9" w:rsidRDefault="00E736F9" w:rsidP="00E736F9">
      <w:pPr>
        <w:pStyle w:val="Caption"/>
      </w:pPr>
      <w:r>
        <w:t xml:space="preserve"> </w:t>
      </w:r>
      <w:bookmarkStart w:id="85" w:name="_Ref382483609"/>
      <w:r>
        <w:t xml:space="preserve">Table </w:t>
      </w:r>
      <w:fldSimple w:instr=" STYLEREF 7 \s ">
        <w:r w:rsidR="00B40E3D">
          <w:rPr>
            <w:noProof/>
          </w:rPr>
          <w:t>A</w:t>
        </w:r>
      </w:fldSimple>
      <w:r>
        <w:t>.</w:t>
      </w:r>
      <w:fldSimple w:instr=" SEQ ATable \* ARABIC \s 7 ">
        <w:r w:rsidR="00B40E3D">
          <w:rPr>
            <w:noProof/>
          </w:rPr>
          <w:t>3</w:t>
        </w:r>
      </w:fldSimple>
      <w:bookmarkEnd w:id="85"/>
      <w:r>
        <w:tab/>
        <w:t xml:space="preserve">AER’s transitional decision on </w:t>
      </w:r>
      <w:proofErr w:type="spellStart"/>
      <w:r w:rsidRPr="00A7656F">
        <w:t>TransGrid’s</w:t>
      </w:r>
      <w:proofErr w:type="spellEnd"/>
      <w:r>
        <w:t xml:space="preserve"> network capability priority projects ($ 000s, 2013–14)</w:t>
      </w:r>
    </w:p>
    <w:tbl>
      <w:tblPr>
        <w:tblStyle w:val="AERtable-text"/>
        <w:tblW w:w="0" w:type="auto"/>
        <w:tblLook w:val="04A0" w:firstRow="1" w:lastRow="0" w:firstColumn="1" w:lastColumn="0" w:noHBand="0" w:noVBand="1"/>
      </w:tblPr>
      <w:tblGrid>
        <w:gridCol w:w="848"/>
        <w:gridCol w:w="5510"/>
        <w:gridCol w:w="915"/>
        <w:gridCol w:w="965"/>
        <w:gridCol w:w="1004"/>
      </w:tblGrid>
      <w:tr w:rsidR="00E736F9" w:rsidTr="003C7E7B">
        <w:trPr>
          <w:cnfStyle w:val="100000000000" w:firstRow="1" w:lastRow="0" w:firstColumn="0" w:lastColumn="0" w:oddVBand="0" w:evenVBand="0" w:oddHBand="0" w:evenHBand="0" w:firstRowFirstColumn="0" w:firstRowLastColumn="0" w:lastRowFirstColumn="0" w:lastRowLastColumn="0"/>
        </w:trPr>
        <w:tc>
          <w:tcPr>
            <w:tcW w:w="674" w:type="dxa"/>
          </w:tcPr>
          <w:p w:rsidR="00E736F9" w:rsidRDefault="00E736F9" w:rsidP="007024B8">
            <w:pPr>
              <w:pStyle w:val="AERbodytext"/>
              <w:jc w:val="left"/>
              <w:rPr>
                <w:b w:val="0"/>
                <w:color w:val="auto"/>
                <w:sz w:val="20"/>
              </w:rPr>
            </w:pPr>
            <w:r>
              <w:t>Project Ranking</w:t>
            </w:r>
          </w:p>
        </w:tc>
        <w:tc>
          <w:tcPr>
            <w:tcW w:w="5655" w:type="dxa"/>
          </w:tcPr>
          <w:p w:rsidR="00E736F9" w:rsidRDefault="00E736F9" w:rsidP="007024B8">
            <w:pPr>
              <w:pStyle w:val="AERbodytext"/>
              <w:jc w:val="left"/>
              <w:rPr>
                <w:b w:val="0"/>
                <w:color w:val="auto"/>
                <w:sz w:val="20"/>
              </w:rPr>
            </w:pPr>
            <w:r>
              <w:t>Project circuit / injection point</w:t>
            </w:r>
          </w:p>
        </w:tc>
        <w:tc>
          <w:tcPr>
            <w:tcW w:w="922" w:type="dxa"/>
          </w:tcPr>
          <w:p w:rsidR="00E736F9" w:rsidRDefault="00E736F9" w:rsidP="007024B8">
            <w:pPr>
              <w:pStyle w:val="AERbodytext"/>
              <w:jc w:val="right"/>
              <w:rPr>
                <w:b w:val="0"/>
                <w:color w:val="auto"/>
                <w:sz w:val="20"/>
              </w:rPr>
            </w:pPr>
            <w:r>
              <w:t>Capex</w:t>
            </w:r>
          </w:p>
        </w:tc>
        <w:tc>
          <w:tcPr>
            <w:tcW w:w="977" w:type="dxa"/>
          </w:tcPr>
          <w:p w:rsidR="00E736F9" w:rsidRDefault="00E736F9" w:rsidP="007024B8">
            <w:pPr>
              <w:pStyle w:val="AERbodytext"/>
              <w:jc w:val="right"/>
              <w:rPr>
                <w:b w:val="0"/>
                <w:color w:val="auto"/>
                <w:sz w:val="20"/>
              </w:rPr>
            </w:pPr>
            <w:r>
              <w:t>Opex</w:t>
            </w:r>
          </w:p>
        </w:tc>
        <w:tc>
          <w:tcPr>
            <w:tcW w:w="1014" w:type="dxa"/>
          </w:tcPr>
          <w:p w:rsidR="00E736F9" w:rsidRDefault="00E736F9" w:rsidP="007024B8">
            <w:pPr>
              <w:pStyle w:val="AERbodytext"/>
              <w:jc w:val="right"/>
              <w:rPr>
                <w:b w:val="0"/>
                <w:color w:val="auto"/>
                <w:sz w:val="20"/>
              </w:rPr>
            </w:pPr>
            <w:r>
              <w:t>Total</w:t>
            </w:r>
          </w:p>
        </w:tc>
      </w:tr>
      <w:tr w:rsidR="00E736F9" w:rsidTr="003C7E7B">
        <w:tc>
          <w:tcPr>
            <w:tcW w:w="674" w:type="dxa"/>
          </w:tcPr>
          <w:p w:rsidR="00E736F9" w:rsidRDefault="00E736F9" w:rsidP="007024B8">
            <w:pPr>
              <w:pStyle w:val="AERbodytext"/>
              <w:jc w:val="left"/>
              <w:rPr>
                <w:sz w:val="20"/>
              </w:rPr>
            </w:pPr>
            <w:r>
              <w:t>1</w:t>
            </w:r>
          </w:p>
        </w:tc>
        <w:tc>
          <w:tcPr>
            <w:tcW w:w="5655" w:type="dxa"/>
          </w:tcPr>
          <w:p w:rsidR="00E736F9" w:rsidRDefault="00E736F9" w:rsidP="00A26B05">
            <w:pPr>
              <w:pStyle w:val="AERtabletextleft"/>
            </w:pPr>
            <w:r w:rsidRPr="00FB5FC7">
              <w:t>Current Transformer Secondary Ratios</w:t>
            </w:r>
            <w:r>
              <w:t xml:space="preserve"> - </w:t>
            </w:r>
            <w:r w:rsidRPr="002B6F8D">
              <w:t>Queensland – New South Wales Interconnector</w:t>
            </w:r>
          </w:p>
        </w:tc>
        <w:tc>
          <w:tcPr>
            <w:tcW w:w="922" w:type="dxa"/>
          </w:tcPr>
          <w:p w:rsidR="00E736F9" w:rsidRDefault="00E736F9" w:rsidP="007024B8">
            <w:pPr>
              <w:pStyle w:val="AERtabletextright"/>
            </w:pPr>
            <w:r>
              <w:t>55</w:t>
            </w:r>
          </w:p>
        </w:tc>
        <w:tc>
          <w:tcPr>
            <w:tcW w:w="977" w:type="dxa"/>
          </w:tcPr>
          <w:p w:rsidR="00E736F9" w:rsidRDefault="00E736F9" w:rsidP="007024B8">
            <w:pPr>
              <w:pStyle w:val="AERtabletextright"/>
            </w:pPr>
            <w:r>
              <w:t>0</w:t>
            </w:r>
          </w:p>
        </w:tc>
        <w:tc>
          <w:tcPr>
            <w:tcW w:w="1014" w:type="dxa"/>
          </w:tcPr>
          <w:p w:rsidR="00E736F9" w:rsidRDefault="00E736F9" w:rsidP="007024B8">
            <w:pPr>
              <w:pStyle w:val="AERtabletextright"/>
            </w:pPr>
            <w:r>
              <w:t>55</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2</w:t>
            </w:r>
          </w:p>
        </w:tc>
        <w:tc>
          <w:tcPr>
            <w:tcW w:w="5655" w:type="dxa"/>
          </w:tcPr>
          <w:p w:rsidR="00E736F9" w:rsidRDefault="00E736F9" w:rsidP="00A26B05">
            <w:pPr>
              <w:pStyle w:val="AERtabletextleft"/>
            </w:pPr>
            <w:r w:rsidRPr="00FB5FC7">
              <w:t>Terminal Equipment Upgrades</w:t>
            </w:r>
            <w:r>
              <w:t xml:space="preserve"> - </w:t>
            </w:r>
            <w:r w:rsidRPr="00FB5FC7">
              <w:t xml:space="preserve">67 &amp; 68 Murray – Dederang </w:t>
            </w:r>
            <w:proofErr w:type="spellStart"/>
            <w:r w:rsidRPr="00FB5FC7">
              <w:t>Switchbays</w:t>
            </w:r>
            <w:proofErr w:type="spellEnd"/>
          </w:p>
        </w:tc>
        <w:tc>
          <w:tcPr>
            <w:tcW w:w="922" w:type="dxa"/>
          </w:tcPr>
          <w:p w:rsidR="00E736F9" w:rsidRDefault="00E736F9" w:rsidP="007024B8">
            <w:pPr>
              <w:pStyle w:val="AERtabletextright"/>
            </w:pPr>
            <w:r>
              <w:t>360</w:t>
            </w:r>
          </w:p>
        </w:tc>
        <w:tc>
          <w:tcPr>
            <w:tcW w:w="977" w:type="dxa"/>
          </w:tcPr>
          <w:p w:rsidR="00E736F9" w:rsidRDefault="00E736F9" w:rsidP="007024B8">
            <w:pPr>
              <w:pStyle w:val="AERtabletextright"/>
            </w:pPr>
            <w:r>
              <w:t>0</w:t>
            </w:r>
          </w:p>
        </w:tc>
        <w:tc>
          <w:tcPr>
            <w:tcW w:w="1014" w:type="dxa"/>
          </w:tcPr>
          <w:p w:rsidR="00E736F9" w:rsidRDefault="00E736F9" w:rsidP="007024B8">
            <w:pPr>
              <w:pStyle w:val="AERtabletextright"/>
            </w:pPr>
            <w:r>
              <w:t>360</w:t>
            </w:r>
          </w:p>
        </w:tc>
      </w:tr>
      <w:tr w:rsidR="00E736F9" w:rsidTr="003C7E7B">
        <w:tc>
          <w:tcPr>
            <w:tcW w:w="674" w:type="dxa"/>
          </w:tcPr>
          <w:p w:rsidR="00E736F9" w:rsidRDefault="00E736F9" w:rsidP="007024B8">
            <w:pPr>
              <w:pStyle w:val="AERbodytext"/>
              <w:jc w:val="left"/>
              <w:rPr>
                <w:sz w:val="20"/>
              </w:rPr>
            </w:pPr>
            <w:r>
              <w:t>3</w:t>
            </w:r>
          </w:p>
        </w:tc>
        <w:tc>
          <w:tcPr>
            <w:tcW w:w="5655" w:type="dxa"/>
          </w:tcPr>
          <w:p w:rsidR="00E736F9" w:rsidRDefault="00E736F9" w:rsidP="00A26B05">
            <w:pPr>
              <w:pStyle w:val="AERtabletextleft"/>
            </w:pPr>
            <w:r w:rsidRPr="00FB5FC7">
              <w:t>Protection &amp; Metering Upgrades</w:t>
            </w:r>
            <w:r>
              <w:t xml:space="preserve"> - </w:t>
            </w:r>
            <w:r w:rsidRPr="00FB5FC7">
              <w:t>993 Line Protection &amp; Metering Upgrade</w:t>
            </w:r>
          </w:p>
        </w:tc>
        <w:tc>
          <w:tcPr>
            <w:tcW w:w="922" w:type="dxa"/>
          </w:tcPr>
          <w:p w:rsidR="00E736F9" w:rsidRDefault="00E736F9" w:rsidP="007024B8">
            <w:pPr>
              <w:pStyle w:val="AERtabletextright"/>
            </w:pPr>
            <w:r>
              <w:t>90</w:t>
            </w:r>
          </w:p>
        </w:tc>
        <w:tc>
          <w:tcPr>
            <w:tcW w:w="977" w:type="dxa"/>
          </w:tcPr>
          <w:p w:rsidR="00E736F9" w:rsidRDefault="00E736F9" w:rsidP="007024B8">
            <w:pPr>
              <w:pStyle w:val="AERtabletextright"/>
            </w:pPr>
            <w:r>
              <w:t>0</w:t>
            </w:r>
          </w:p>
        </w:tc>
        <w:tc>
          <w:tcPr>
            <w:tcW w:w="1014" w:type="dxa"/>
          </w:tcPr>
          <w:p w:rsidR="00E736F9" w:rsidRDefault="00E736F9" w:rsidP="007024B8">
            <w:pPr>
              <w:pStyle w:val="AERtabletextright"/>
            </w:pPr>
            <w:r>
              <w:t>90</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4</w:t>
            </w:r>
          </w:p>
        </w:tc>
        <w:tc>
          <w:tcPr>
            <w:tcW w:w="5655" w:type="dxa"/>
          </w:tcPr>
          <w:p w:rsidR="00E736F9" w:rsidRDefault="00E736F9" w:rsidP="00A26B05">
            <w:pPr>
              <w:pStyle w:val="AERtabletextleft"/>
            </w:pPr>
            <w:r w:rsidRPr="00FB5FC7">
              <w:t>Dynamic Line Ratings &amp; Transmission Line Uprating</w:t>
            </w:r>
            <w:r>
              <w:t xml:space="preserve"> - </w:t>
            </w:r>
            <w:r w:rsidRPr="00FB5FC7">
              <w:t>83 Liddell – Muswellbrook, 84 Liddell – Tamworth 330, 85 &amp; 86 Tamworth 330 – Armidale &amp; 88 Muswellbrook – Tamworth 330 330kV Lines</w:t>
            </w:r>
          </w:p>
        </w:tc>
        <w:tc>
          <w:tcPr>
            <w:tcW w:w="922" w:type="dxa"/>
          </w:tcPr>
          <w:p w:rsidR="00E736F9" w:rsidRDefault="00E736F9" w:rsidP="007024B8">
            <w:pPr>
              <w:pStyle w:val="AERtabletextright"/>
            </w:pPr>
            <w:r>
              <w:t>1,100</w:t>
            </w:r>
          </w:p>
        </w:tc>
        <w:tc>
          <w:tcPr>
            <w:tcW w:w="977" w:type="dxa"/>
          </w:tcPr>
          <w:p w:rsidR="00E736F9" w:rsidRDefault="00E736F9" w:rsidP="007024B8">
            <w:pPr>
              <w:pStyle w:val="AERtabletextright"/>
            </w:pPr>
            <w:r>
              <w:t>0</w:t>
            </w:r>
          </w:p>
        </w:tc>
        <w:tc>
          <w:tcPr>
            <w:tcW w:w="1014" w:type="dxa"/>
          </w:tcPr>
          <w:p w:rsidR="00E736F9" w:rsidRDefault="00E736F9" w:rsidP="007024B8">
            <w:pPr>
              <w:pStyle w:val="AERtabletextright"/>
            </w:pPr>
            <w:r>
              <w:t>1,100</w:t>
            </w:r>
          </w:p>
        </w:tc>
      </w:tr>
      <w:tr w:rsidR="00E736F9" w:rsidTr="003C7E7B">
        <w:tc>
          <w:tcPr>
            <w:tcW w:w="674" w:type="dxa"/>
          </w:tcPr>
          <w:p w:rsidR="00E736F9" w:rsidRDefault="00E736F9" w:rsidP="007024B8">
            <w:pPr>
              <w:pStyle w:val="AERbodytext"/>
              <w:jc w:val="left"/>
              <w:rPr>
                <w:sz w:val="20"/>
              </w:rPr>
            </w:pPr>
            <w:r>
              <w:t>5</w:t>
            </w:r>
          </w:p>
        </w:tc>
        <w:tc>
          <w:tcPr>
            <w:tcW w:w="5655" w:type="dxa"/>
          </w:tcPr>
          <w:p w:rsidR="00E736F9" w:rsidRDefault="00E736F9" w:rsidP="00A26B05">
            <w:pPr>
              <w:pStyle w:val="AERtabletextleft"/>
            </w:pPr>
            <w:r w:rsidRPr="00FB5FC7">
              <w:t>Protection &amp; Metering Upgrades</w:t>
            </w:r>
            <w:r>
              <w:t xml:space="preserve"> - </w:t>
            </w:r>
            <w:r w:rsidRPr="00FB5FC7">
              <w:t>99P Line Protection &amp; Metering Upgrade</w:t>
            </w:r>
          </w:p>
        </w:tc>
        <w:tc>
          <w:tcPr>
            <w:tcW w:w="922" w:type="dxa"/>
          </w:tcPr>
          <w:p w:rsidR="00E736F9" w:rsidRDefault="00E736F9" w:rsidP="007024B8">
            <w:pPr>
              <w:pStyle w:val="AERtabletextright"/>
            </w:pPr>
            <w:r>
              <w:t>50</w:t>
            </w:r>
          </w:p>
        </w:tc>
        <w:tc>
          <w:tcPr>
            <w:tcW w:w="977" w:type="dxa"/>
          </w:tcPr>
          <w:p w:rsidR="00E736F9" w:rsidRDefault="00E736F9" w:rsidP="007024B8">
            <w:pPr>
              <w:pStyle w:val="AERtabletextright"/>
            </w:pPr>
            <w:r>
              <w:t>0</w:t>
            </w:r>
          </w:p>
        </w:tc>
        <w:tc>
          <w:tcPr>
            <w:tcW w:w="1014" w:type="dxa"/>
          </w:tcPr>
          <w:p w:rsidR="00E736F9" w:rsidRDefault="00E736F9" w:rsidP="007024B8">
            <w:pPr>
              <w:pStyle w:val="AERtabletextright"/>
            </w:pPr>
            <w:r>
              <w:t>50</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6</w:t>
            </w:r>
          </w:p>
        </w:tc>
        <w:tc>
          <w:tcPr>
            <w:tcW w:w="5655" w:type="dxa"/>
          </w:tcPr>
          <w:p w:rsidR="00E736F9" w:rsidRDefault="00E736F9" w:rsidP="00A26B05">
            <w:pPr>
              <w:pStyle w:val="AERtabletextleft"/>
            </w:pPr>
            <w:r w:rsidRPr="00FB5FC7">
              <w:t>Dynamic Line Ratings &amp; Transmission Line Uprating</w:t>
            </w:r>
            <w:r>
              <w:t xml:space="preserve"> - </w:t>
            </w:r>
            <w:r w:rsidRPr="00FB5FC7">
              <w:t>65 Murray – Upper Tumut &amp; 66 Murray – Lower Tumut 330kV Lines</w:t>
            </w:r>
          </w:p>
        </w:tc>
        <w:tc>
          <w:tcPr>
            <w:tcW w:w="922" w:type="dxa"/>
          </w:tcPr>
          <w:p w:rsidR="00E736F9" w:rsidRDefault="00E736F9" w:rsidP="007024B8">
            <w:pPr>
              <w:pStyle w:val="AERtabletextright"/>
            </w:pPr>
            <w:r>
              <w:t>400</w:t>
            </w:r>
          </w:p>
        </w:tc>
        <w:tc>
          <w:tcPr>
            <w:tcW w:w="977" w:type="dxa"/>
          </w:tcPr>
          <w:p w:rsidR="00E736F9" w:rsidRDefault="00E736F9" w:rsidP="007024B8">
            <w:pPr>
              <w:pStyle w:val="AERtabletextright"/>
            </w:pPr>
            <w:r>
              <w:t>0</w:t>
            </w:r>
          </w:p>
        </w:tc>
        <w:tc>
          <w:tcPr>
            <w:tcW w:w="1014" w:type="dxa"/>
          </w:tcPr>
          <w:p w:rsidR="00E736F9" w:rsidRDefault="00E736F9" w:rsidP="007024B8">
            <w:pPr>
              <w:pStyle w:val="AERtabletextright"/>
            </w:pPr>
            <w:r>
              <w:t>400</w:t>
            </w:r>
          </w:p>
        </w:tc>
      </w:tr>
      <w:tr w:rsidR="00E736F9" w:rsidTr="003C7E7B">
        <w:tc>
          <w:tcPr>
            <w:tcW w:w="674" w:type="dxa"/>
          </w:tcPr>
          <w:p w:rsidR="00E736F9" w:rsidRDefault="00E736F9" w:rsidP="007024B8">
            <w:pPr>
              <w:pStyle w:val="AERbodytext"/>
              <w:jc w:val="left"/>
              <w:rPr>
                <w:sz w:val="20"/>
              </w:rPr>
            </w:pPr>
            <w:r>
              <w:t>7</w:t>
            </w:r>
          </w:p>
        </w:tc>
        <w:tc>
          <w:tcPr>
            <w:tcW w:w="5655" w:type="dxa"/>
          </w:tcPr>
          <w:p w:rsidR="00E736F9" w:rsidRDefault="00E736F9" w:rsidP="00A26B05">
            <w:pPr>
              <w:pStyle w:val="AERtabletextleft"/>
            </w:pPr>
            <w:r w:rsidRPr="00FB5FC7">
              <w:t>Control Schemes</w:t>
            </w:r>
            <w:r>
              <w:t xml:space="preserve"> - </w:t>
            </w:r>
            <w:r w:rsidRPr="00FB5FC7">
              <w:t xml:space="preserve">Extension of </w:t>
            </w:r>
            <w:proofErr w:type="spellStart"/>
            <w:r w:rsidRPr="00FB5FC7">
              <w:t>Directlink</w:t>
            </w:r>
            <w:proofErr w:type="spellEnd"/>
            <w:r w:rsidRPr="00FB5FC7">
              <w:t xml:space="preserve"> Tripping Scheme</w:t>
            </w:r>
          </w:p>
        </w:tc>
        <w:tc>
          <w:tcPr>
            <w:tcW w:w="922" w:type="dxa"/>
          </w:tcPr>
          <w:p w:rsidR="00E736F9" w:rsidRDefault="00E736F9" w:rsidP="007024B8">
            <w:pPr>
              <w:pStyle w:val="AERtabletextright"/>
            </w:pPr>
            <w:r>
              <w:t>600</w:t>
            </w:r>
          </w:p>
        </w:tc>
        <w:tc>
          <w:tcPr>
            <w:tcW w:w="977" w:type="dxa"/>
          </w:tcPr>
          <w:p w:rsidR="00E736F9" w:rsidRDefault="00E736F9" w:rsidP="007024B8">
            <w:pPr>
              <w:pStyle w:val="AERtabletextright"/>
            </w:pPr>
            <w:r>
              <w:t>0</w:t>
            </w:r>
          </w:p>
        </w:tc>
        <w:tc>
          <w:tcPr>
            <w:tcW w:w="1014" w:type="dxa"/>
          </w:tcPr>
          <w:p w:rsidR="00E736F9" w:rsidRDefault="00E736F9" w:rsidP="007024B8">
            <w:pPr>
              <w:pStyle w:val="AERtabletextright"/>
            </w:pPr>
            <w:r>
              <w:t>600</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8</w:t>
            </w:r>
          </w:p>
        </w:tc>
        <w:tc>
          <w:tcPr>
            <w:tcW w:w="5655" w:type="dxa"/>
          </w:tcPr>
          <w:p w:rsidR="00E736F9" w:rsidRDefault="00E736F9" w:rsidP="00A26B05">
            <w:pPr>
              <w:pStyle w:val="AERtabletextleft"/>
            </w:pPr>
            <w:r w:rsidRPr="00FB5FC7">
              <w:t>Protection Changes</w:t>
            </w:r>
            <w:r>
              <w:t xml:space="preserve"> - </w:t>
            </w:r>
            <w:r w:rsidRPr="00FB5FC7">
              <w:t>976 Line Configuration &amp; Protection Changes</w:t>
            </w:r>
          </w:p>
        </w:tc>
        <w:tc>
          <w:tcPr>
            <w:tcW w:w="922" w:type="dxa"/>
          </w:tcPr>
          <w:p w:rsidR="00E736F9" w:rsidRDefault="00E736F9" w:rsidP="007024B8">
            <w:pPr>
              <w:pStyle w:val="AERtabletextright"/>
            </w:pPr>
            <w:r>
              <w:t>110</w:t>
            </w:r>
          </w:p>
        </w:tc>
        <w:tc>
          <w:tcPr>
            <w:tcW w:w="977" w:type="dxa"/>
          </w:tcPr>
          <w:p w:rsidR="00E736F9" w:rsidRDefault="00E736F9" w:rsidP="007024B8">
            <w:pPr>
              <w:pStyle w:val="AERtabletextright"/>
            </w:pPr>
            <w:r>
              <w:t>0</w:t>
            </w:r>
          </w:p>
        </w:tc>
        <w:tc>
          <w:tcPr>
            <w:tcW w:w="1014" w:type="dxa"/>
          </w:tcPr>
          <w:p w:rsidR="00E736F9" w:rsidRDefault="00E736F9" w:rsidP="007024B8">
            <w:pPr>
              <w:pStyle w:val="AERtabletextright"/>
            </w:pPr>
            <w:r>
              <w:t>110</w:t>
            </w:r>
          </w:p>
        </w:tc>
      </w:tr>
      <w:tr w:rsidR="00E736F9" w:rsidTr="003C7E7B">
        <w:tc>
          <w:tcPr>
            <w:tcW w:w="674" w:type="dxa"/>
          </w:tcPr>
          <w:p w:rsidR="00E736F9" w:rsidRDefault="00E736F9" w:rsidP="007024B8">
            <w:pPr>
              <w:pStyle w:val="AERbodytext"/>
              <w:jc w:val="left"/>
              <w:rPr>
                <w:sz w:val="20"/>
              </w:rPr>
            </w:pPr>
            <w:r>
              <w:t>9</w:t>
            </w:r>
          </w:p>
        </w:tc>
        <w:tc>
          <w:tcPr>
            <w:tcW w:w="5655" w:type="dxa"/>
          </w:tcPr>
          <w:p w:rsidR="00E736F9" w:rsidRDefault="00E736F9" w:rsidP="00A26B05">
            <w:pPr>
              <w:pStyle w:val="AERtabletextleft"/>
            </w:pPr>
            <w:r w:rsidRPr="005E75BA">
              <w:t>Terminal Equipment Upgrades</w:t>
            </w:r>
            <w:r>
              <w:t xml:space="preserve"> - </w:t>
            </w:r>
            <w:r w:rsidRPr="005E75BA">
              <w:t xml:space="preserve">94E Mt Piper 132 – Wallerawang 132 </w:t>
            </w:r>
            <w:proofErr w:type="spellStart"/>
            <w:r w:rsidRPr="005E75BA">
              <w:t>Switchbays</w:t>
            </w:r>
            <w:proofErr w:type="spellEnd"/>
          </w:p>
        </w:tc>
        <w:tc>
          <w:tcPr>
            <w:tcW w:w="922" w:type="dxa"/>
          </w:tcPr>
          <w:p w:rsidR="00E736F9" w:rsidRDefault="00E736F9" w:rsidP="007024B8">
            <w:pPr>
              <w:pStyle w:val="AERtabletextleft"/>
              <w:jc w:val="right"/>
            </w:pPr>
            <w:r>
              <w:t>50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50</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lastRenderedPageBreak/>
              <w:t>10</w:t>
            </w:r>
          </w:p>
        </w:tc>
        <w:tc>
          <w:tcPr>
            <w:tcW w:w="5655" w:type="dxa"/>
          </w:tcPr>
          <w:p w:rsidR="00E736F9" w:rsidRDefault="00E736F9" w:rsidP="00A26B05">
            <w:pPr>
              <w:pStyle w:val="AERtabletextleft"/>
            </w:pPr>
            <w:r w:rsidRPr="005E75BA">
              <w:t>Dynamic Line Ratings &amp; Transmission Line Uprating</w:t>
            </w:r>
            <w:r>
              <w:t xml:space="preserve"> - </w:t>
            </w:r>
            <w:r w:rsidRPr="005E75BA">
              <w:t>Northern 132kV System</w:t>
            </w:r>
          </w:p>
        </w:tc>
        <w:tc>
          <w:tcPr>
            <w:tcW w:w="922" w:type="dxa"/>
          </w:tcPr>
          <w:p w:rsidR="00E736F9" w:rsidRDefault="00E736F9" w:rsidP="007024B8">
            <w:pPr>
              <w:pStyle w:val="AERtabletextleft"/>
              <w:jc w:val="right"/>
            </w:pPr>
            <w:r>
              <w:t>1,000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1,000</w:t>
            </w:r>
          </w:p>
        </w:tc>
      </w:tr>
      <w:tr w:rsidR="00E736F9" w:rsidTr="003C7E7B">
        <w:tc>
          <w:tcPr>
            <w:tcW w:w="674" w:type="dxa"/>
          </w:tcPr>
          <w:p w:rsidR="00E736F9" w:rsidRDefault="00E736F9" w:rsidP="007024B8">
            <w:pPr>
              <w:pStyle w:val="AERbodytext"/>
              <w:jc w:val="left"/>
              <w:rPr>
                <w:sz w:val="20"/>
              </w:rPr>
            </w:pPr>
            <w:r>
              <w:t>11</w:t>
            </w:r>
          </w:p>
        </w:tc>
        <w:tc>
          <w:tcPr>
            <w:tcW w:w="5655" w:type="dxa"/>
          </w:tcPr>
          <w:p w:rsidR="00E736F9" w:rsidRDefault="00E736F9" w:rsidP="00A26B05">
            <w:pPr>
              <w:pStyle w:val="AERtabletextleft"/>
            </w:pPr>
            <w:r w:rsidRPr="005E75BA">
              <w:t>Dynamic Line Ratings &amp; Transmission Line Uprating</w:t>
            </w:r>
            <w:r>
              <w:t xml:space="preserve"> - </w:t>
            </w:r>
            <w:r w:rsidRPr="005E75BA">
              <w:t>Snowy – Yass &amp; Canberra 330kV Lines</w:t>
            </w:r>
          </w:p>
        </w:tc>
        <w:tc>
          <w:tcPr>
            <w:tcW w:w="922" w:type="dxa"/>
          </w:tcPr>
          <w:p w:rsidR="00E736F9" w:rsidRDefault="00E736F9" w:rsidP="007024B8">
            <w:pPr>
              <w:pStyle w:val="AERtabletextleft"/>
              <w:jc w:val="right"/>
            </w:pPr>
            <w:r>
              <w:t>1,400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1,400</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12</w:t>
            </w:r>
          </w:p>
        </w:tc>
        <w:tc>
          <w:tcPr>
            <w:tcW w:w="5655" w:type="dxa"/>
          </w:tcPr>
          <w:p w:rsidR="00E736F9" w:rsidRDefault="00E736F9" w:rsidP="00A26B05">
            <w:pPr>
              <w:pStyle w:val="AERtabletextleft"/>
            </w:pPr>
            <w:r w:rsidRPr="005E75BA">
              <w:t>Control Schemes</w:t>
            </w:r>
            <w:r>
              <w:t xml:space="preserve"> - </w:t>
            </w:r>
            <w:r w:rsidRPr="005E75BA">
              <w:t>Northern Reactive Plant Control Scheme</w:t>
            </w:r>
          </w:p>
        </w:tc>
        <w:tc>
          <w:tcPr>
            <w:tcW w:w="922" w:type="dxa"/>
          </w:tcPr>
          <w:p w:rsidR="00E736F9" w:rsidRDefault="00E736F9" w:rsidP="007024B8">
            <w:pPr>
              <w:pStyle w:val="AERtabletextleft"/>
              <w:jc w:val="right"/>
            </w:pPr>
            <w:r>
              <w:t>524</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524</w:t>
            </w:r>
          </w:p>
        </w:tc>
      </w:tr>
      <w:tr w:rsidR="00E736F9" w:rsidTr="003C7E7B">
        <w:tc>
          <w:tcPr>
            <w:tcW w:w="674" w:type="dxa"/>
          </w:tcPr>
          <w:p w:rsidR="00E736F9" w:rsidRDefault="00E736F9" w:rsidP="007024B8">
            <w:pPr>
              <w:pStyle w:val="AERbodytext"/>
              <w:jc w:val="left"/>
              <w:rPr>
                <w:sz w:val="20"/>
              </w:rPr>
            </w:pPr>
            <w:r>
              <w:t>13</w:t>
            </w:r>
          </w:p>
        </w:tc>
        <w:tc>
          <w:tcPr>
            <w:tcW w:w="5655" w:type="dxa"/>
          </w:tcPr>
          <w:p w:rsidR="00E736F9" w:rsidRDefault="00E736F9" w:rsidP="00A26B05">
            <w:pPr>
              <w:pStyle w:val="AERtabletextleft"/>
            </w:pPr>
            <w:r w:rsidRPr="005E75BA">
              <w:t>Dynamic Line Ratings &amp; Transmission Line Uprating</w:t>
            </w:r>
            <w:r>
              <w:t xml:space="preserve"> - </w:t>
            </w:r>
            <w:r w:rsidRPr="005E75BA">
              <w:t xml:space="preserve">4 &amp; 5 Yass – Marulan, 9 Yass – Canberra, 61 Yass – </w:t>
            </w:r>
            <w:proofErr w:type="spellStart"/>
            <w:r w:rsidRPr="005E75BA">
              <w:t>Bannaby</w:t>
            </w:r>
            <w:proofErr w:type="spellEnd"/>
            <w:r w:rsidRPr="005E75BA">
              <w:t xml:space="preserve"> &amp; 39 </w:t>
            </w:r>
            <w:proofErr w:type="spellStart"/>
            <w:r w:rsidRPr="005E75BA">
              <w:t>Bannaby</w:t>
            </w:r>
            <w:proofErr w:type="spellEnd"/>
            <w:r w:rsidRPr="005E75BA">
              <w:t xml:space="preserve"> – Sydney West 330kV Lines</w:t>
            </w:r>
          </w:p>
        </w:tc>
        <w:tc>
          <w:tcPr>
            <w:tcW w:w="922" w:type="dxa"/>
          </w:tcPr>
          <w:p w:rsidR="00E736F9" w:rsidRDefault="00E736F9" w:rsidP="007024B8">
            <w:pPr>
              <w:pStyle w:val="AERtabletextleft"/>
              <w:jc w:val="right"/>
            </w:pPr>
            <w:r>
              <w:t>2,600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2,600</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14</w:t>
            </w:r>
          </w:p>
        </w:tc>
        <w:tc>
          <w:tcPr>
            <w:tcW w:w="5655" w:type="dxa"/>
          </w:tcPr>
          <w:p w:rsidR="00E736F9" w:rsidRDefault="00E736F9" w:rsidP="00A26B05">
            <w:pPr>
              <w:pStyle w:val="AERtabletextleft"/>
            </w:pPr>
            <w:r w:rsidRPr="005E75BA">
              <w:t>Dynamic Line Ratings &amp; Transmission Line Uprating</w:t>
            </w:r>
            <w:r>
              <w:t xml:space="preserve"> - </w:t>
            </w:r>
            <w:r w:rsidRPr="005E75BA">
              <w:t>969 Tamworth 330 – Gunnedah 132kV Line</w:t>
            </w:r>
          </w:p>
        </w:tc>
        <w:tc>
          <w:tcPr>
            <w:tcW w:w="922" w:type="dxa"/>
          </w:tcPr>
          <w:p w:rsidR="00E736F9" w:rsidRDefault="00E736F9" w:rsidP="007024B8">
            <w:pPr>
              <w:pStyle w:val="AERtabletextleft"/>
              <w:jc w:val="right"/>
            </w:pPr>
            <w:r>
              <w:t>300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300</w:t>
            </w:r>
          </w:p>
        </w:tc>
      </w:tr>
      <w:tr w:rsidR="00E736F9" w:rsidTr="003C7E7B">
        <w:tc>
          <w:tcPr>
            <w:tcW w:w="674" w:type="dxa"/>
          </w:tcPr>
          <w:p w:rsidR="00E736F9" w:rsidRDefault="00E736F9" w:rsidP="007024B8">
            <w:pPr>
              <w:pStyle w:val="AERbodytext"/>
              <w:jc w:val="left"/>
              <w:rPr>
                <w:sz w:val="20"/>
              </w:rPr>
            </w:pPr>
            <w:r>
              <w:t>15</w:t>
            </w:r>
          </w:p>
        </w:tc>
        <w:tc>
          <w:tcPr>
            <w:tcW w:w="5655" w:type="dxa"/>
          </w:tcPr>
          <w:p w:rsidR="00E736F9" w:rsidRDefault="00E736F9" w:rsidP="00A26B05">
            <w:pPr>
              <w:pStyle w:val="AERtabletextleft"/>
            </w:pPr>
            <w:r w:rsidRPr="005E75BA">
              <w:t>Terminal Equipment Upgrades</w:t>
            </w:r>
            <w:r>
              <w:t xml:space="preserve"> - </w:t>
            </w:r>
            <w:r w:rsidRPr="005E75BA">
              <w:t>81 &amp; 82 Liddell – Newcastle &amp; Tomago Lines</w:t>
            </w:r>
          </w:p>
        </w:tc>
        <w:tc>
          <w:tcPr>
            <w:tcW w:w="922" w:type="dxa"/>
          </w:tcPr>
          <w:p w:rsidR="00E736F9" w:rsidRDefault="00E736F9" w:rsidP="007024B8">
            <w:pPr>
              <w:pStyle w:val="AERtabletextleft"/>
              <w:jc w:val="right"/>
            </w:pPr>
            <w:r>
              <w:t>600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600</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16</w:t>
            </w:r>
          </w:p>
        </w:tc>
        <w:tc>
          <w:tcPr>
            <w:tcW w:w="5655" w:type="dxa"/>
          </w:tcPr>
          <w:p w:rsidR="00E736F9" w:rsidRDefault="00E736F9" w:rsidP="00A26B05">
            <w:pPr>
              <w:pStyle w:val="AERtabletextleft"/>
            </w:pPr>
            <w:r w:rsidRPr="005E75BA">
              <w:t>Capacitor Banks</w:t>
            </w:r>
            <w:r>
              <w:t xml:space="preserve"> - </w:t>
            </w:r>
            <w:r w:rsidRPr="005E75BA">
              <w:t>Beryl Capacitor Bank</w:t>
            </w:r>
          </w:p>
        </w:tc>
        <w:tc>
          <w:tcPr>
            <w:tcW w:w="922" w:type="dxa"/>
          </w:tcPr>
          <w:p w:rsidR="00E736F9" w:rsidRDefault="00E736F9" w:rsidP="007024B8">
            <w:pPr>
              <w:pStyle w:val="AERtabletextleft"/>
              <w:jc w:val="right"/>
            </w:pPr>
            <w:r>
              <w:t>1,900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1,900</w:t>
            </w:r>
          </w:p>
        </w:tc>
      </w:tr>
      <w:tr w:rsidR="00E736F9" w:rsidTr="003C7E7B">
        <w:tc>
          <w:tcPr>
            <w:tcW w:w="674" w:type="dxa"/>
          </w:tcPr>
          <w:p w:rsidR="00E736F9" w:rsidRDefault="00E736F9" w:rsidP="007024B8">
            <w:pPr>
              <w:pStyle w:val="AERbodytext"/>
              <w:jc w:val="left"/>
              <w:rPr>
                <w:sz w:val="20"/>
              </w:rPr>
            </w:pPr>
            <w:r>
              <w:t>17</w:t>
            </w:r>
          </w:p>
        </w:tc>
        <w:tc>
          <w:tcPr>
            <w:tcW w:w="5655" w:type="dxa"/>
          </w:tcPr>
          <w:p w:rsidR="00E736F9" w:rsidRDefault="00E736F9" w:rsidP="00A26B05">
            <w:pPr>
              <w:pStyle w:val="AERtabletextleft"/>
            </w:pPr>
            <w:r w:rsidRPr="005E75BA">
              <w:t>Travelling Wave Fault Location</w:t>
            </w:r>
            <w:r>
              <w:t xml:space="preserve"> - </w:t>
            </w:r>
            <w:r w:rsidRPr="005E75BA">
              <w:t>Snowy Lines</w:t>
            </w:r>
          </w:p>
        </w:tc>
        <w:tc>
          <w:tcPr>
            <w:tcW w:w="922" w:type="dxa"/>
          </w:tcPr>
          <w:p w:rsidR="00E736F9" w:rsidRDefault="00E736F9" w:rsidP="007024B8">
            <w:pPr>
              <w:pStyle w:val="AERtabletextleft"/>
              <w:jc w:val="right"/>
            </w:pPr>
            <w:r>
              <w:t>2,211</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2,211</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18</w:t>
            </w:r>
          </w:p>
        </w:tc>
        <w:tc>
          <w:tcPr>
            <w:tcW w:w="5655" w:type="dxa"/>
          </w:tcPr>
          <w:p w:rsidR="00E736F9" w:rsidRDefault="00E736F9" w:rsidP="00A26B05">
            <w:pPr>
              <w:pStyle w:val="AERtabletextleft"/>
            </w:pPr>
            <w:r w:rsidRPr="005E75BA">
              <w:t>Travelling Wave Fault Location</w:t>
            </w:r>
            <w:r>
              <w:t xml:space="preserve"> - </w:t>
            </w:r>
            <w:r w:rsidRPr="005E75BA">
              <w:t>North Western 132kV System</w:t>
            </w:r>
          </w:p>
        </w:tc>
        <w:tc>
          <w:tcPr>
            <w:tcW w:w="922" w:type="dxa"/>
          </w:tcPr>
          <w:p w:rsidR="00E736F9" w:rsidRDefault="00E736F9" w:rsidP="007024B8">
            <w:pPr>
              <w:pStyle w:val="AERtabletextleft"/>
              <w:jc w:val="right"/>
            </w:pPr>
            <w:r>
              <w:t>877</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877</w:t>
            </w:r>
          </w:p>
        </w:tc>
      </w:tr>
      <w:tr w:rsidR="00E736F9" w:rsidTr="003C7E7B">
        <w:tc>
          <w:tcPr>
            <w:tcW w:w="674" w:type="dxa"/>
          </w:tcPr>
          <w:p w:rsidR="00E736F9" w:rsidRDefault="00E736F9" w:rsidP="007024B8">
            <w:pPr>
              <w:pStyle w:val="AERbodytext"/>
              <w:jc w:val="left"/>
              <w:rPr>
                <w:sz w:val="20"/>
              </w:rPr>
            </w:pPr>
            <w:r>
              <w:t>19</w:t>
            </w:r>
          </w:p>
        </w:tc>
        <w:tc>
          <w:tcPr>
            <w:tcW w:w="5655" w:type="dxa"/>
          </w:tcPr>
          <w:p w:rsidR="00E736F9" w:rsidRDefault="00E736F9" w:rsidP="00A26B05">
            <w:pPr>
              <w:pStyle w:val="AERtabletextleft"/>
            </w:pPr>
            <w:r w:rsidRPr="00675320">
              <w:t>Travelling Wave Fault Location</w:t>
            </w:r>
            <w:r>
              <w:t xml:space="preserve"> - </w:t>
            </w:r>
            <w:r w:rsidRPr="00675320">
              <w:t>Northern 330kV Lines</w:t>
            </w:r>
          </w:p>
        </w:tc>
        <w:tc>
          <w:tcPr>
            <w:tcW w:w="922" w:type="dxa"/>
          </w:tcPr>
          <w:p w:rsidR="00E736F9" w:rsidRDefault="00E736F9" w:rsidP="007024B8">
            <w:pPr>
              <w:pStyle w:val="AERtabletextleft"/>
              <w:jc w:val="right"/>
            </w:pPr>
            <w:r>
              <w:t>1,895</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1,895</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20</w:t>
            </w:r>
          </w:p>
        </w:tc>
        <w:tc>
          <w:tcPr>
            <w:tcW w:w="5655" w:type="dxa"/>
          </w:tcPr>
          <w:p w:rsidR="00E736F9" w:rsidRDefault="00E736F9" w:rsidP="00A26B05">
            <w:pPr>
              <w:pStyle w:val="AERtabletextleft"/>
            </w:pPr>
            <w:r w:rsidRPr="00675320">
              <w:t>Travelling Wave Fault Location</w:t>
            </w:r>
            <w:r>
              <w:t xml:space="preserve"> - </w:t>
            </w:r>
            <w:r w:rsidRPr="00675320">
              <w:t>Far North Coast 132kV System</w:t>
            </w:r>
          </w:p>
        </w:tc>
        <w:tc>
          <w:tcPr>
            <w:tcW w:w="922" w:type="dxa"/>
          </w:tcPr>
          <w:p w:rsidR="00E736F9" w:rsidRDefault="00E736F9" w:rsidP="007024B8">
            <w:pPr>
              <w:pStyle w:val="AERtabletextleft"/>
              <w:jc w:val="right"/>
            </w:pPr>
            <w:r>
              <w:t>890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890</w:t>
            </w:r>
          </w:p>
        </w:tc>
      </w:tr>
      <w:tr w:rsidR="00E736F9" w:rsidTr="003C7E7B">
        <w:tc>
          <w:tcPr>
            <w:tcW w:w="674" w:type="dxa"/>
          </w:tcPr>
          <w:p w:rsidR="00E736F9" w:rsidRDefault="00E736F9" w:rsidP="007024B8">
            <w:pPr>
              <w:pStyle w:val="AERbodytext"/>
              <w:jc w:val="left"/>
              <w:rPr>
                <w:sz w:val="20"/>
              </w:rPr>
            </w:pPr>
            <w:r>
              <w:t>21</w:t>
            </w:r>
          </w:p>
        </w:tc>
        <w:tc>
          <w:tcPr>
            <w:tcW w:w="5655" w:type="dxa"/>
          </w:tcPr>
          <w:p w:rsidR="00E736F9" w:rsidRDefault="00E736F9" w:rsidP="00A26B05">
            <w:pPr>
              <w:pStyle w:val="AERtabletextleft"/>
            </w:pPr>
            <w:r w:rsidRPr="00675320">
              <w:t>Quality of Supply</w:t>
            </w:r>
            <w:r>
              <w:t xml:space="preserve"> - </w:t>
            </w:r>
            <w:r w:rsidRPr="00675320">
              <w:t>Point-on-Wave Switching for 132kV Capacitor Banks</w:t>
            </w:r>
          </w:p>
        </w:tc>
        <w:tc>
          <w:tcPr>
            <w:tcW w:w="922" w:type="dxa"/>
          </w:tcPr>
          <w:p w:rsidR="00E736F9" w:rsidRDefault="00E736F9" w:rsidP="007024B8">
            <w:pPr>
              <w:pStyle w:val="AERtabletextleft"/>
              <w:jc w:val="right"/>
            </w:pPr>
            <w:r>
              <w:t>631</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631</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22</w:t>
            </w:r>
          </w:p>
        </w:tc>
        <w:tc>
          <w:tcPr>
            <w:tcW w:w="5655" w:type="dxa"/>
          </w:tcPr>
          <w:p w:rsidR="00E736F9" w:rsidRDefault="00E736F9" w:rsidP="00A26B05">
            <w:pPr>
              <w:pStyle w:val="AERtabletextleft"/>
            </w:pPr>
            <w:r w:rsidRPr="00675320">
              <w:t>Quality of Supply</w:t>
            </w:r>
            <w:r>
              <w:t xml:space="preserve"> - </w:t>
            </w:r>
            <w:r w:rsidRPr="00675320">
              <w:t>Point-on-Wave Switching for 66kV &amp; Below Capacitor Banks</w:t>
            </w:r>
          </w:p>
        </w:tc>
        <w:tc>
          <w:tcPr>
            <w:tcW w:w="922" w:type="dxa"/>
          </w:tcPr>
          <w:p w:rsidR="00E736F9" w:rsidRDefault="00E736F9" w:rsidP="007024B8">
            <w:pPr>
              <w:pStyle w:val="AERtabletextleft"/>
              <w:jc w:val="right"/>
            </w:pPr>
            <w:r>
              <w:t>4,500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4,500</w:t>
            </w:r>
          </w:p>
        </w:tc>
      </w:tr>
      <w:tr w:rsidR="00E736F9" w:rsidTr="003C7E7B">
        <w:tc>
          <w:tcPr>
            <w:tcW w:w="674" w:type="dxa"/>
          </w:tcPr>
          <w:p w:rsidR="00E736F9" w:rsidRDefault="00E736F9" w:rsidP="007024B8">
            <w:pPr>
              <w:pStyle w:val="AERbodytext"/>
              <w:jc w:val="left"/>
              <w:rPr>
                <w:sz w:val="20"/>
              </w:rPr>
            </w:pPr>
            <w:r>
              <w:t>23</w:t>
            </w:r>
          </w:p>
        </w:tc>
        <w:tc>
          <w:tcPr>
            <w:tcW w:w="5655" w:type="dxa"/>
          </w:tcPr>
          <w:p w:rsidR="00E736F9" w:rsidRDefault="00E736F9" w:rsidP="00A26B05">
            <w:pPr>
              <w:pStyle w:val="AERtabletextleft"/>
            </w:pPr>
            <w:r w:rsidRPr="00675320">
              <w:t>Research Projects</w:t>
            </w:r>
            <w:r>
              <w:t xml:space="preserve"> - </w:t>
            </w:r>
            <w:r w:rsidRPr="00675320">
              <w:t>Behaviour of Residential Solar During System Events</w:t>
            </w:r>
          </w:p>
        </w:tc>
        <w:tc>
          <w:tcPr>
            <w:tcW w:w="922" w:type="dxa"/>
          </w:tcPr>
          <w:p w:rsidR="00E736F9" w:rsidRDefault="00E736F9" w:rsidP="007024B8">
            <w:pPr>
              <w:pStyle w:val="AERtabletextleft"/>
              <w:jc w:val="right"/>
            </w:pPr>
            <w:r>
              <w:t>1,850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1,850</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24</w:t>
            </w:r>
          </w:p>
        </w:tc>
        <w:tc>
          <w:tcPr>
            <w:tcW w:w="5655" w:type="dxa"/>
          </w:tcPr>
          <w:p w:rsidR="00E736F9" w:rsidRDefault="00E736F9" w:rsidP="00A26B05">
            <w:pPr>
              <w:pStyle w:val="AERtabletextleft"/>
            </w:pPr>
            <w:r w:rsidRPr="00675320">
              <w:t>Travelling Wave Fault Location</w:t>
            </w:r>
            <w:r>
              <w:t xml:space="preserve"> - </w:t>
            </w:r>
            <w:r w:rsidRPr="00675320">
              <w:t>Southern 330kV Network</w:t>
            </w:r>
          </w:p>
        </w:tc>
        <w:tc>
          <w:tcPr>
            <w:tcW w:w="922" w:type="dxa"/>
          </w:tcPr>
          <w:p w:rsidR="00E736F9" w:rsidRDefault="00E736F9" w:rsidP="007024B8">
            <w:pPr>
              <w:pStyle w:val="AERtabletextleft"/>
              <w:jc w:val="right"/>
            </w:pPr>
            <w:r>
              <w:t>1,347</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1,347</w:t>
            </w:r>
          </w:p>
        </w:tc>
      </w:tr>
      <w:tr w:rsidR="00E736F9" w:rsidTr="003C7E7B">
        <w:tc>
          <w:tcPr>
            <w:tcW w:w="674" w:type="dxa"/>
          </w:tcPr>
          <w:p w:rsidR="00E736F9" w:rsidRDefault="00E736F9" w:rsidP="007024B8">
            <w:pPr>
              <w:pStyle w:val="AERbodytext"/>
              <w:jc w:val="left"/>
              <w:rPr>
                <w:sz w:val="20"/>
              </w:rPr>
            </w:pPr>
            <w:r>
              <w:t>25</w:t>
            </w:r>
          </w:p>
        </w:tc>
        <w:tc>
          <w:tcPr>
            <w:tcW w:w="5655" w:type="dxa"/>
          </w:tcPr>
          <w:p w:rsidR="00E736F9" w:rsidRDefault="00E736F9" w:rsidP="00A26B05">
            <w:pPr>
              <w:pStyle w:val="AERtabletextleft"/>
            </w:pPr>
            <w:r w:rsidRPr="00675320">
              <w:t>Travelling Wave Fault Location</w:t>
            </w:r>
            <w:r>
              <w:t xml:space="preserve"> - </w:t>
            </w:r>
            <w:r w:rsidRPr="00675320">
              <w:t>Western 220kV Network</w:t>
            </w:r>
          </w:p>
        </w:tc>
        <w:tc>
          <w:tcPr>
            <w:tcW w:w="922" w:type="dxa"/>
          </w:tcPr>
          <w:p w:rsidR="00E736F9" w:rsidRDefault="00E736F9" w:rsidP="007024B8">
            <w:pPr>
              <w:pStyle w:val="AERtabletextleft"/>
              <w:jc w:val="right"/>
            </w:pPr>
            <w:r>
              <w:t>877</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877</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26</w:t>
            </w:r>
          </w:p>
        </w:tc>
        <w:tc>
          <w:tcPr>
            <w:tcW w:w="5655" w:type="dxa"/>
          </w:tcPr>
          <w:p w:rsidR="00E736F9" w:rsidRDefault="00E736F9" w:rsidP="00A26B05">
            <w:pPr>
              <w:pStyle w:val="AERtabletextleft"/>
            </w:pPr>
            <w:r w:rsidRPr="00675320">
              <w:t>Remote Information</w:t>
            </w:r>
            <w:r>
              <w:t xml:space="preserve"> - </w:t>
            </w:r>
            <w:r w:rsidRPr="00675320">
              <w:t>Remote Interrogation of Protection Relays</w:t>
            </w:r>
          </w:p>
        </w:tc>
        <w:tc>
          <w:tcPr>
            <w:tcW w:w="922" w:type="dxa"/>
          </w:tcPr>
          <w:p w:rsidR="00E736F9" w:rsidRDefault="00E736F9" w:rsidP="007024B8">
            <w:pPr>
              <w:pStyle w:val="AERtabletextleft"/>
              <w:jc w:val="right"/>
            </w:pPr>
            <w:r>
              <w:t>1000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1,000</w:t>
            </w:r>
          </w:p>
        </w:tc>
      </w:tr>
      <w:tr w:rsidR="00E736F9" w:rsidTr="003C7E7B">
        <w:tc>
          <w:tcPr>
            <w:tcW w:w="674" w:type="dxa"/>
          </w:tcPr>
          <w:p w:rsidR="00E736F9" w:rsidRDefault="00E736F9" w:rsidP="007024B8">
            <w:pPr>
              <w:pStyle w:val="AERbodytext"/>
              <w:jc w:val="left"/>
              <w:rPr>
                <w:sz w:val="20"/>
              </w:rPr>
            </w:pPr>
            <w:r>
              <w:t>27</w:t>
            </w:r>
          </w:p>
        </w:tc>
        <w:tc>
          <w:tcPr>
            <w:tcW w:w="5655" w:type="dxa"/>
          </w:tcPr>
          <w:p w:rsidR="00E736F9" w:rsidRDefault="00E736F9" w:rsidP="00A26B05">
            <w:pPr>
              <w:pStyle w:val="AERtabletextleft"/>
            </w:pPr>
            <w:r w:rsidRPr="00675320">
              <w:t>Communications</w:t>
            </w:r>
            <w:r>
              <w:t xml:space="preserve"> - </w:t>
            </w:r>
            <w:r w:rsidRPr="00675320">
              <w:t>Communications to Albury, ANM &amp; Hume Substations</w:t>
            </w:r>
          </w:p>
        </w:tc>
        <w:tc>
          <w:tcPr>
            <w:tcW w:w="922" w:type="dxa"/>
          </w:tcPr>
          <w:p w:rsidR="00E736F9" w:rsidRDefault="00E736F9" w:rsidP="007024B8">
            <w:pPr>
              <w:pStyle w:val="AERtabletextleft"/>
              <w:jc w:val="right"/>
            </w:pPr>
            <w:r>
              <w:t>4,200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4,200</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28</w:t>
            </w:r>
          </w:p>
        </w:tc>
        <w:tc>
          <w:tcPr>
            <w:tcW w:w="5655" w:type="dxa"/>
          </w:tcPr>
          <w:p w:rsidR="00E736F9" w:rsidRDefault="00E736F9" w:rsidP="00A26B05">
            <w:pPr>
              <w:pStyle w:val="AERtabletextleft"/>
            </w:pPr>
            <w:r w:rsidRPr="00675320">
              <w:t>Research Projects</w:t>
            </w:r>
            <w:r>
              <w:t xml:space="preserve"> - </w:t>
            </w:r>
            <w:r w:rsidRPr="00675320">
              <w:t>Energy Storage</w:t>
            </w:r>
          </w:p>
        </w:tc>
        <w:tc>
          <w:tcPr>
            <w:tcW w:w="922" w:type="dxa"/>
          </w:tcPr>
          <w:p w:rsidR="00E736F9" w:rsidRDefault="00E736F9" w:rsidP="007024B8">
            <w:pPr>
              <w:pStyle w:val="AERtabletextleft"/>
              <w:jc w:val="right"/>
            </w:pPr>
            <w:r>
              <w:t>4,900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4,900</w:t>
            </w:r>
          </w:p>
        </w:tc>
      </w:tr>
      <w:tr w:rsidR="00E736F9" w:rsidTr="003C7E7B">
        <w:tc>
          <w:tcPr>
            <w:tcW w:w="674" w:type="dxa"/>
          </w:tcPr>
          <w:p w:rsidR="00E736F9" w:rsidRDefault="00E736F9" w:rsidP="007024B8">
            <w:pPr>
              <w:pStyle w:val="AERbodytext"/>
              <w:jc w:val="left"/>
              <w:rPr>
                <w:sz w:val="20"/>
              </w:rPr>
            </w:pPr>
            <w:r>
              <w:t>Total</w:t>
            </w:r>
          </w:p>
        </w:tc>
        <w:tc>
          <w:tcPr>
            <w:tcW w:w="5655" w:type="dxa"/>
          </w:tcPr>
          <w:p w:rsidR="00E736F9" w:rsidRDefault="00E736F9" w:rsidP="007024B8">
            <w:pPr>
              <w:pStyle w:val="AERbodytext"/>
              <w:jc w:val="left"/>
              <w:rPr>
                <w:sz w:val="20"/>
              </w:rPr>
            </w:pPr>
          </w:p>
        </w:tc>
        <w:tc>
          <w:tcPr>
            <w:tcW w:w="922" w:type="dxa"/>
          </w:tcPr>
          <w:p w:rsidR="00E736F9" w:rsidRDefault="00E736F9" w:rsidP="007024B8">
            <w:pPr>
              <w:pStyle w:val="AERbodytext"/>
              <w:jc w:val="right"/>
              <w:rPr>
                <w:sz w:val="20"/>
              </w:rPr>
            </w:pPr>
            <w:r>
              <w:t>36,3</w:t>
            </w:r>
            <w:r w:rsidR="00A90193">
              <w:t>17</w:t>
            </w:r>
          </w:p>
        </w:tc>
        <w:tc>
          <w:tcPr>
            <w:tcW w:w="977" w:type="dxa"/>
          </w:tcPr>
          <w:p w:rsidR="00E736F9" w:rsidRDefault="00E736F9" w:rsidP="007024B8">
            <w:pPr>
              <w:pStyle w:val="AERbodytext"/>
              <w:jc w:val="right"/>
              <w:rPr>
                <w:sz w:val="20"/>
              </w:rPr>
            </w:pPr>
          </w:p>
        </w:tc>
        <w:tc>
          <w:tcPr>
            <w:tcW w:w="1014" w:type="dxa"/>
          </w:tcPr>
          <w:p w:rsidR="00E736F9" w:rsidRDefault="00E736F9" w:rsidP="00A90193">
            <w:pPr>
              <w:pStyle w:val="AERbodytext"/>
              <w:jc w:val="right"/>
            </w:pPr>
            <w:r>
              <w:t>36,3</w:t>
            </w:r>
            <w:r w:rsidR="00A90193">
              <w:t>17</w:t>
            </w:r>
          </w:p>
        </w:tc>
      </w:tr>
    </w:tbl>
    <w:p w:rsidR="00E736F9" w:rsidRDefault="00E736F9" w:rsidP="00E736F9">
      <w:pPr>
        <w:pStyle w:val="AERtablesource"/>
      </w:pPr>
      <w:r>
        <w:t xml:space="preserve">Source: </w:t>
      </w:r>
      <w:r>
        <w:tab/>
      </w:r>
      <w:r>
        <w:rPr>
          <w:szCs w:val="16"/>
        </w:rPr>
        <w:t>AER analysis.</w:t>
      </w:r>
    </w:p>
    <w:p w:rsidR="00E736F9" w:rsidRPr="008A3631" w:rsidRDefault="00E736F9" w:rsidP="00E736F9">
      <w:pPr>
        <w:pStyle w:val="Heading8"/>
        <w:numPr>
          <w:ilvl w:val="5"/>
          <w:numId w:val="31"/>
        </w:numPr>
        <w:rPr>
          <w:rStyle w:val="AERtextbold"/>
          <w:b/>
        </w:rPr>
      </w:pPr>
      <w:r w:rsidRPr="008A3631">
        <w:rPr>
          <w:rStyle w:val="AERtextbold"/>
          <w:b/>
        </w:rPr>
        <w:t>Efficiency benefit sharing scheme parameters</w:t>
      </w:r>
    </w:p>
    <w:p w:rsidR="00E736F9" w:rsidRDefault="00E736F9" w:rsidP="0021373A">
      <w:pPr>
        <w:pStyle w:val="AERbodytext"/>
      </w:pPr>
      <w:r>
        <w:t xml:space="preserve">The AER </w:t>
      </w:r>
      <w:r w:rsidR="008203CD">
        <w:t>determines</w:t>
      </w:r>
      <w:r w:rsidR="008203CD" w:rsidDel="008203CD">
        <w:t xml:space="preserve"> </w:t>
      </w:r>
      <w:r>
        <w:t>that</w:t>
      </w:r>
      <w:r w:rsidR="0021373A">
        <w:t xml:space="preserve"> the e</w:t>
      </w:r>
      <w:r w:rsidR="0021373A" w:rsidRPr="0021373A">
        <w:t>f</w:t>
      </w:r>
      <w:r w:rsidR="007567E0">
        <w:t>ficiency benefit sharing scheme</w:t>
      </w:r>
      <w:r w:rsidR="00C64DAF">
        <w:t xml:space="preserve"> </w:t>
      </w:r>
      <w:r w:rsidR="0021373A">
        <w:t xml:space="preserve">that applied to </w:t>
      </w:r>
      <w:r w:rsidR="0021373A" w:rsidRPr="00B02EFB">
        <w:t>TransGrid</w:t>
      </w:r>
      <w:r w:rsidR="0021373A">
        <w:t xml:space="preserve"> </w:t>
      </w:r>
      <w:r w:rsidR="0021373A" w:rsidRPr="0021373A">
        <w:t xml:space="preserve">in the current regulatory control period will apply in the transitional regulatory control period but modified to </w:t>
      </w:r>
      <w:r w:rsidR="0021373A" w:rsidRPr="0021373A">
        <w:lastRenderedPageBreak/>
        <w:t xml:space="preserve">be in the terms of </w:t>
      </w:r>
      <w:r w:rsidR="0021373A">
        <w:t>version 2</w:t>
      </w:r>
      <w:r w:rsidR="0021373A" w:rsidRPr="0021373A">
        <w:t xml:space="preserve"> </w:t>
      </w:r>
      <w:r w:rsidR="00C64DAF">
        <w:t xml:space="preserve">of the </w:t>
      </w:r>
      <w:r w:rsidR="007567E0">
        <w:t>e</w:t>
      </w:r>
      <w:r w:rsidR="007567E0" w:rsidRPr="0021373A">
        <w:t>fficiency benefit sharing scheme</w:t>
      </w:r>
      <w:r w:rsidR="008203CD">
        <w:t xml:space="preserve"> as if the transitional regulatory control period was the first year of the subsequent regulatory control period</w:t>
      </w:r>
      <w:r>
        <w:rPr>
          <w:rFonts w:eastAsiaTheme="minorHAnsi"/>
        </w:rPr>
        <w:t>.</w:t>
      </w:r>
    </w:p>
    <w:bookmarkEnd w:id="84"/>
    <w:p w:rsidR="00E736F9" w:rsidRPr="008A3631" w:rsidRDefault="00E736F9" w:rsidP="00E736F9">
      <w:pPr>
        <w:pStyle w:val="Heading8"/>
        <w:numPr>
          <w:ilvl w:val="5"/>
          <w:numId w:val="31"/>
        </w:numPr>
      </w:pPr>
      <w:r w:rsidRPr="008A3631">
        <w:t>Application of the capital expenditure sharing scheme in the transitional regulatory control period</w:t>
      </w:r>
    </w:p>
    <w:p w:rsidR="00E736F9" w:rsidRPr="00D241E5" w:rsidRDefault="00E736F9" w:rsidP="00E736F9">
      <w:pPr>
        <w:pStyle w:val="AERbodytext"/>
      </w:pPr>
      <w:r>
        <w:t xml:space="preserve">The AER </w:t>
      </w:r>
      <w:r w:rsidR="008203CD">
        <w:t>determines</w:t>
      </w:r>
      <w:r w:rsidR="008203CD" w:rsidDel="008203CD">
        <w:t xml:space="preserve"> </w:t>
      </w:r>
      <w:r>
        <w:t xml:space="preserve">that </w:t>
      </w:r>
      <w:r w:rsidRPr="005B5A55">
        <w:t xml:space="preserve">no capital expenditure sharing scheme applies </w:t>
      </w:r>
      <w:r w:rsidRPr="00A7656F">
        <w:t>to TransGrid</w:t>
      </w:r>
      <w:r>
        <w:t xml:space="preserve"> </w:t>
      </w:r>
      <w:r w:rsidRPr="005B5A55">
        <w:t>for the transitional regulatory control period</w:t>
      </w:r>
      <w:r>
        <w:t>.</w:t>
      </w:r>
      <w:r w:rsidRPr="0084612B">
        <w:t xml:space="preserve"> </w:t>
      </w:r>
    </w:p>
    <w:p w:rsidR="00E736F9" w:rsidRPr="008A3631" w:rsidRDefault="00E736F9" w:rsidP="00E736F9">
      <w:pPr>
        <w:pStyle w:val="Heading8"/>
        <w:numPr>
          <w:ilvl w:val="5"/>
          <w:numId w:val="31"/>
        </w:numPr>
      </w:pPr>
      <w:r w:rsidRPr="008A3631">
        <w:t>Application of the small-scale incentive scheme in the transitional</w:t>
      </w:r>
      <w:r w:rsidRPr="00F236E1">
        <w:rPr>
          <w:b w:val="0"/>
        </w:rPr>
        <w:t xml:space="preserve"> </w:t>
      </w:r>
      <w:r w:rsidRPr="008A3631">
        <w:t>regulatory control period</w:t>
      </w:r>
    </w:p>
    <w:p w:rsidR="00E736F9" w:rsidRPr="00D241E5" w:rsidRDefault="00E736F9" w:rsidP="00E736F9">
      <w:pPr>
        <w:pStyle w:val="AERbodytext"/>
      </w:pPr>
      <w:r>
        <w:t xml:space="preserve">The AER </w:t>
      </w:r>
      <w:r w:rsidR="008203CD">
        <w:t>determines</w:t>
      </w:r>
      <w:r w:rsidR="008203CD" w:rsidDel="008203CD">
        <w:t xml:space="preserve"> </w:t>
      </w:r>
      <w:r>
        <w:t>that no small-scale incentive scheme</w:t>
      </w:r>
      <w:r w:rsidRPr="0080239C">
        <w:t xml:space="preserve"> </w:t>
      </w:r>
      <w:r w:rsidRPr="005B5A55">
        <w:t xml:space="preserve">applies to </w:t>
      </w:r>
      <w:r w:rsidRPr="00A7656F">
        <w:t>TransGrid</w:t>
      </w:r>
      <w:r>
        <w:t xml:space="preserve"> </w:t>
      </w:r>
      <w:r w:rsidRPr="005B5A55">
        <w:t>for the transitional regulatory control period</w:t>
      </w:r>
      <w:r>
        <w:t>.</w:t>
      </w:r>
      <w:r w:rsidRPr="0084612B">
        <w:t xml:space="preserve"> </w:t>
      </w:r>
    </w:p>
    <w:p w:rsidR="00E736F9" w:rsidRPr="008A3631" w:rsidRDefault="00E736F9" w:rsidP="00E736F9">
      <w:pPr>
        <w:pStyle w:val="Heading8"/>
        <w:numPr>
          <w:ilvl w:val="5"/>
          <w:numId w:val="31"/>
        </w:numPr>
      </w:pPr>
      <w:r w:rsidRPr="008A3631">
        <w:t>Pass through event</w:t>
      </w:r>
    </w:p>
    <w:p w:rsidR="00E736F9" w:rsidRPr="003E180B" w:rsidRDefault="00E736F9" w:rsidP="00E736F9">
      <w:pPr>
        <w:pStyle w:val="AERbodytext"/>
      </w:pPr>
      <w:r>
        <w:t xml:space="preserve">The AER </w:t>
      </w:r>
      <w:r w:rsidR="008A7068">
        <w:t>determines</w:t>
      </w:r>
      <w:r>
        <w:t xml:space="preserve"> that</w:t>
      </w:r>
      <w:r w:rsidRPr="003E180B">
        <w:t xml:space="preserve"> </w:t>
      </w:r>
      <w:r w:rsidRPr="00117055">
        <w:t xml:space="preserve">the "terrorism event" as defined in the Rules immediately prior to the date the National Electricity Amendment (Cost pass through arrangements for Network Service Providers) Rule 2012 came into force </w:t>
      </w:r>
      <w:r w:rsidR="008203CD">
        <w:t>i</w:t>
      </w:r>
      <w:r w:rsidR="008203CD" w:rsidRPr="00117055">
        <w:t xml:space="preserve">s </w:t>
      </w:r>
      <w:r w:rsidRPr="00117055">
        <w:t>an additional pass through event that is to apply for the transitional regulatory control period</w:t>
      </w:r>
      <w:r>
        <w:t>.</w:t>
      </w:r>
    </w:p>
    <w:p w:rsidR="00E736F9" w:rsidRPr="008A3631" w:rsidRDefault="00E736F9" w:rsidP="00E736F9">
      <w:pPr>
        <w:pStyle w:val="Heading8"/>
        <w:numPr>
          <w:ilvl w:val="5"/>
          <w:numId w:val="31"/>
        </w:numPr>
      </w:pPr>
      <w:r w:rsidRPr="008A3631">
        <w:t>Negotiating framework</w:t>
      </w:r>
    </w:p>
    <w:p w:rsidR="00E736F9" w:rsidRPr="00A7656F" w:rsidRDefault="00E736F9" w:rsidP="00E736F9">
      <w:pPr>
        <w:pStyle w:val="AERbodytext"/>
      </w:pPr>
      <w:r>
        <w:t xml:space="preserve">The AER </w:t>
      </w:r>
      <w:r w:rsidR="008203CD">
        <w:t>determines</w:t>
      </w:r>
      <w:r w:rsidR="008203CD" w:rsidDel="008203CD">
        <w:t xml:space="preserve"> </w:t>
      </w:r>
      <w:r>
        <w:t>that</w:t>
      </w:r>
      <w:r w:rsidRPr="00F236E1">
        <w:t xml:space="preserve"> the negotiating framework that is to apply to </w:t>
      </w:r>
      <w:r w:rsidRPr="00A7656F">
        <w:t>TransGrid for</w:t>
      </w:r>
      <w:r w:rsidRPr="00F236E1">
        <w:t xml:space="preserve"> the transitional regulatory control period</w:t>
      </w:r>
      <w:r w:rsidR="008203CD">
        <w:t xml:space="preserve"> is</w:t>
      </w:r>
      <w:r w:rsidR="008203CD" w:rsidRPr="00F236E1">
        <w:t xml:space="preserve"> </w:t>
      </w:r>
      <w:r w:rsidRPr="00F236E1">
        <w:t xml:space="preserve">the negotiating framework that was approved as part of the transmission determination for the current regulatory control period </w:t>
      </w:r>
      <w:r w:rsidRPr="00A7656F">
        <w:t>of TransGrid.</w:t>
      </w:r>
    </w:p>
    <w:p w:rsidR="00E736F9" w:rsidRPr="008A3631" w:rsidRDefault="00E736F9" w:rsidP="00E736F9">
      <w:pPr>
        <w:pStyle w:val="Heading8"/>
        <w:numPr>
          <w:ilvl w:val="5"/>
          <w:numId w:val="31"/>
        </w:numPr>
      </w:pPr>
      <w:r w:rsidRPr="008A3631">
        <w:t>Negotiated transmission service criteria</w:t>
      </w:r>
    </w:p>
    <w:p w:rsidR="00E736F9" w:rsidRPr="00A7656F" w:rsidRDefault="00E736F9" w:rsidP="00E736F9">
      <w:pPr>
        <w:pStyle w:val="AERbodytext"/>
      </w:pPr>
      <w:r>
        <w:t xml:space="preserve">The AER </w:t>
      </w:r>
      <w:r w:rsidR="008203CD">
        <w:t>determines</w:t>
      </w:r>
      <w:r w:rsidR="008203CD" w:rsidDel="008203CD">
        <w:t xml:space="preserve"> </w:t>
      </w:r>
      <w:r>
        <w:t>that</w:t>
      </w:r>
      <w:r w:rsidRPr="00D41076">
        <w:t xml:space="preserve"> the Negotiated Transmission Service Criteria </w:t>
      </w:r>
      <w:r w:rsidRPr="00A7656F">
        <w:t>for TransGrid</w:t>
      </w:r>
      <w:r w:rsidR="008203CD">
        <w:t xml:space="preserve"> are</w:t>
      </w:r>
      <w:r w:rsidR="008203CD" w:rsidRPr="00A7656F">
        <w:t xml:space="preserve"> </w:t>
      </w:r>
      <w:r w:rsidRPr="00A7656F">
        <w:t>the Negotiated Transmission Service Criteria that were specified as part of the transmission determination for the current regulatory control period of TransGrid.</w:t>
      </w:r>
    </w:p>
    <w:p w:rsidR="00E736F9" w:rsidRPr="008A3631" w:rsidRDefault="00E736F9" w:rsidP="00E736F9">
      <w:pPr>
        <w:pStyle w:val="Heading8"/>
        <w:numPr>
          <w:ilvl w:val="5"/>
          <w:numId w:val="31"/>
        </w:numPr>
      </w:pPr>
      <w:r w:rsidRPr="008A3631">
        <w:t>Pricing methodology</w:t>
      </w:r>
    </w:p>
    <w:p w:rsidR="00E736F9" w:rsidRDefault="00E736F9" w:rsidP="00E736F9">
      <w:pPr>
        <w:pStyle w:val="AERbodytext"/>
        <w:numPr>
          <w:ilvl w:val="0"/>
          <w:numId w:val="0"/>
        </w:numPr>
      </w:pPr>
      <w:r>
        <w:t xml:space="preserve">The AER </w:t>
      </w:r>
      <w:r w:rsidR="008203CD">
        <w:t>determines</w:t>
      </w:r>
      <w:r w:rsidR="008203CD" w:rsidDel="008203CD">
        <w:t xml:space="preserve"> </w:t>
      </w:r>
      <w:r>
        <w:t>that</w:t>
      </w:r>
      <w:r w:rsidRPr="00D41076">
        <w:t xml:space="preserve"> the pricing methodology </w:t>
      </w:r>
      <w:r w:rsidRPr="00A7656F">
        <w:t>for TransGrid</w:t>
      </w:r>
      <w:r w:rsidR="008203CD">
        <w:t xml:space="preserve"> is</w:t>
      </w:r>
      <w:r w:rsidR="008203CD" w:rsidRPr="00A7656F">
        <w:t xml:space="preserve"> </w:t>
      </w:r>
      <w:r w:rsidRPr="00A7656F">
        <w:t>the pricing methodology which was approved as part of the transmission determination for the current regulatory control period of TransGrid.</w:t>
      </w:r>
    </w:p>
    <w:p w:rsidR="00E736F9" w:rsidRDefault="00E736F9" w:rsidP="00E736F9">
      <w:pPr>
        <w:pStyle w:val="AERbodytext"/>
        <w:numPr>
          <w:ilvl w:val="0"/>
          <w:numId w:val="0"/>
        </w:numPr>
      </w:pPr>
    </w:p>
    <w:p w:rsidR="00E736F9" w:rsidRPr="009A691F" w:rsidRDefault="00E736F9" w:rsidP="00E736F9">
      <w:pPr>
        <w:pStyle w:val="AERbodytext"/>
      </w:pPr>
    </w:p>
    <w:p w:rsidR="00E736F9" w:rsidRDefault="00E736F9" w:rsidP="00E736F9">
      <w:pPr>
        <w:spacing w:after="0" w:line="240" w:lineRule="auto"/>
        <w:jc w:val="left"/>
        <w:rPr>
          <w:rFonts w:eastAsia="Times New Roman"/>
          <w:b/>
          <w:bCs/>
          <w:color w:val="E36C0A"/>
          <w:sz w:val="36"/>
          <w:szCs w:val="28"/>
        </w:rPr>
      </w:pPr>
      <w:r>
        <w:br w:type="page"/>
      </w:r>
    </w:p>
    <w:p w:rsidR="00E736F9" w:rsidRPr="002055C5" w:rsidRDefault="00B76674" w:rsidP="007B4470">
      <w:pPr>
        <w:pStyle w:val="Heading7"/>
        <w:numPr>
          <w:ilvl w:val="4"/>
          <w:numId w:val="31"/>
        </w:numPr>
      </w:pPr>
      <w:bookmarkStart w:id="86" w:name="_Toc383527672"/>
      <w:r>
        <w:lastRenderedPageBreak/>
        <w:t>AER’s d</w:t>
      </w:r>
      <w:r w:rsidR="00E736F9" w:rsidRPr="002055C5">
        <w:t>etermination – Transend</w:t>
      </w:r>
      <w:bookmarkEnd w:id="86"/>
    </w:p>
    <w:p w:rsidR="00E736F9" w:rsidRPr="008A3631" w:rsidRDefault="00E736F9" w:rsidP="00E736F9">
      <w:pPr>
        <w:pStyle w:val="Heading8"/>
        <w:numPr>
          <w:ilvl w:val="5"/>
          <w:numId w:val="31"/>
        </w:numPr>
        <w:rPr>
          <w:rStyle w:val="AERtextbold"/>
          <w:b/>
        </w:rPr>
      </w:pPr>
      <w:r w:rsidRPr="008A3631">
        <w:rPr>
          <w:rStyle w:val="AERtextbold"/>
          <w:b/>
        </w:rPr>
        <w:t>Commencement and length of regulatory control period</w:t>
      </w:r>
    </w:p>
    <w:p w:rsidR="00E736F9" w:rsidRDefault="00C971F8" w:rsidP="00B76674">
      <w:pPr>
        <w:pStyle w:val="AERbodytext"/>
      </w:pPr>
      <w:r>
        <w:t xml:space="preserve">The AER </w:t>
      </w:r>
      <w:r w:rsidR="008203CD">
        <w:t>determines</w:t>
      </w:r>
      <w:r w:rsidR="008203CD" w:rsidDel="008203CD">
        <w:t xml:space="preserve"> </w:t>
      </w:r>
      <w:r>
        <w:t>that t</w:t>
      </w:r>
      <w:r w:rsidR="00E736F9">
        <w:t>he transitional regulatory control period will be one year, commencin</w:t>
      </w:r>
      <w:r w:rsidR="00B76674">
        <w:t xml:space="preserve">g on 1 July 2014 and ending on </w:t>
      </w:r>
      <w:r w:rsidR="00E736F9">
        <w:t>30 June 2015.</w:t>
      </w:r>
    </w:p>
    <w:p w:rsidR="00E736F9" w:rsidRPr="008A3631" w:rsidRDefault="00E736F9" w:rsidP="00E736F9">
      <w:pPr>
        <w:pStyle w:val="Heading8"/>
        <w:numPr>
          <w:ilvl w:val="5"/>
          <w:numId w:val="31"/>
        </w:numPr>
        <w:rPr>
          <w:rStyle w:val="AERtextbold"/>
          <w:b/>
        </w:rPr>
      </w:pPr>
      <w:r w:rsidRPr="008A3631">
        <w:rPr>
          <w:rStyle w:val="AERtextbold"/>
          <w:b/>
        </w:rPr>
        <w:t>Method for calculating total revenue cap</w:t>
      </w:r>
    </w:p>
    <w:p w:rsidR="00E736F9" w:rsidRDefault="00E736F9" w:rsidP="00E736F9">
      <w:pPr>
        <w:pStyle w:val="AERbodytext"/>
      </w:pPr>
      <w:r>
        <w:t>The AER determines an estimated total MAR of $</w:t>
      </w:r>
      <w:r w:rsidR="00AF6577">
        <w:t>205.1</w:t>
      </w:r>
      <w:r>
        <w:t xml:space="preserve"> million ($ nominal) </w:t>
      </w:r>
      <w:r w:rsidR="008C3DE0">
        <w:t xml:space="preserve">for Transend </w:t>
      </w:r>
      <w:r>
        <w:t xml:space="preserve">for the 2014–15 transitional regulatory control period as shown in </w:t>
      </w:r>
      <w:r w:rsidR="008C3DE0">
        <w:t>Table B.1.</w:t>
      </w:r>
      <w:r>
        <w:rPr>
          <w:color w:val="1F497D"/>
        </w:rPr>
        <w:t xml:space="preserve"> </w:t>
      </w:r>
      <w:r w:rsidRPr="00662AE7">
        <w:t xml:space="preserve">The estimated total </w:t>
      </w:r>
      <w:r>
        <w:t>MAR</w:t>
      </w:r>
      <w:r w:rsidRPr="00662AE7">
        <w:t xml:space="preserve"> is also known as the total revenue cap.</w:t>
      </w:r>
      <w:r w:rsidRPr="00662AE7">
        <w:rPr>
          <w:rFonts w:hint="eastAsia"/>
        </w:rPr>
        <w:t> </w:t>
      </w:r>
      <w:r w:rsidRPr="00662AE7">
        <w:t xml:space="preserve"> </w:t>
      </w:r>
    </w:p>
    <w:p w:rsidR="00E736F9" w:rsidRDefault="00E736F9" w:rsidP="00E736F9">
      <w:pPr>
        <w:pStyle w:val="Caption"/>
      </w:pPr>
      <w:r>
        <w:t xml:space="preserve">Table </w:t>
      </w:r>
      <w:fldSimple w:instr=" STYLEREF 7 \s ">
        <w:r w:rsidR="00B40E3D">
          <w:rPr>
            <w:noProof/>
          </w:rPr>
          <w:t>B</w:t>
        </w:r>
      </w:fldSimple>
      <w:r>
        <w:t>.</w:t>
      </w:r>
      <w:fldSimple w:instr=" SEQ ATable \* ARABIC \s 7 ">
        <w:r w:rsidR="00B40E3D">
          <w:rPr>
            <w:noProof/>
          </w:rPr>
          <w:t>1</w:t>
        </w:r>
      </w:fldSimple>
      <w:r>
        <w:tab/>
      </w:r>
      <w:r w:rsidRPr="005F7A1E">
        <w:t>AER</w:t>
      </w:r>
      <w:r>
        <w:t xml:space="preserve"> final determination on </w:t>
      </w:r>
      <w:proofErr w:type="spellStart"/>
      <w:r>
        <w:t>Transend’s</w:t>
      </w:r>
      <w:proofErr w:type="spellEnd"/>
      <w:r w:rsidRPr="005F7A1E">
        <w:t xml:space="preserve"> annual </w:t>
      </w:r>
      <w:r>
        <w:t>expected</w:t>
      </w:r>
      <w:r w:rsidRPr="005F7A1E">
        <w:t xml:space="preserve"> maximum allowed revenue ($</w:t>
      </w:r>
      <w:r>
        <w:t xml:space="preserve"> </w:t>
      </w:r>
      <w:r w:rsidRPr="005F7A1E">
        <w:t>m</w:t>
      </w:r>
      <w:r>
        <w:t>illion</w:t>
      </w:r>
      <w:r w:rsidRPr="005F7A1E">
        <w:t>, nominal)</w:t>
      </w:r>
    </w:p>
    <w:tbl>
      <w:tblPr>
        <w:tblStyle w:val="AERtable-numbers"/>
        <w:tblW w:w="0" w:type="auto"/>
        <w:tblLook w:val="04A0" w:firstRow="1" w:lastRow="0" w:firstColumn="1" w:lastColumn="0" w:noHBand="0" w:noVBand="1"/>
      </w:tblPr>
      <w:tblGrid>
        <w:gridCol w:w="3454"/>
        <w:gridCol w:w="1424"/>
        <w:gridCol w:w="1424"/>
        <w:gridCol w:w="1424"/>
        <w:gridCol w:w="1424"/>
      </w:tblGrid>
      <w:tr w:rsidR="00E736F9" w:rsidTr="003C7E7B">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3454" w:type="dxa"/>
          </w:tcPr>
          <w:p w:rsidR="00E736F9" w:rsidRPr="00CA2AE8" w:rsidRDefault="00E736F9" w:rsidP="003C7E7B">
            <w:pPr>
              <w:pStyle w:val="AERtabletextright"/>
            </w:pPr>
          </w:p>
        </w:tc>
        <w:tc>
          <w:tcPr>
            <w:tcW w:w="1424" w:type="dxa"/>
          </w:tcPr>
          <w:p w:rsidR="00E736F9" w:rsidRPr="00CA2AE8"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r w:rsidRPr="00CA2AE8">
              <w:t>2014–15</w:t>
            </w:r>
          </w:p>
        </w:tc>
        <w:tc>
          <w:tcPr>
            <w:tcW w:w="1424" w:type="dxa"/>
          </w:tcPr>
          <w:p w:rsidR="00E736F9" w:rsidRPr="00CA2AE8"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p>
        </w:tc>
        <w:tc>
          <w:tcPr>
            <w:tcW w:w="1424" w:type="dxa"/>
          </w:tcPr>
          <w:p w:rsidR="00E736F9" w:rsidRPr="00CA2AE8"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p>
        </w:tc>
        <w:tc>
          <w:tcPr>
            <w:tcW w:w="1424" w:type="dxa"/>
          </w:tcPr>
          <w:p w:rsidR="00E736F9" w:rsidRPr="00CA2AE8"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r w:rsidRPr="00CA2AE8">
              <w:t>Total</w:t>
            </w:r>
          </w:p>
        </w:tc>
      </w:tr>
      <w:tr w:rsidR="00E736F9" w:rsidTr="003C7E7B">
        <w:trPr>
          <w:trHeight w:val="469"/>
        </w:trPr>
        <w:tc>
          <w:tcPr>
            <w:cnfStyle w:val="001000000000" w:firstRow="0" w:lastRow="0" w:firstColumn="1" w:lastColumn="0" w:oddVBand="0" w:evenVBand="0" w:oddHBand="0" w:evenHBand="0" w:firstRowFirstColumn="0" w:firstRowLastColumn="0" w:lastRowFirstColumn="0" w:lastRowLastColumn="0"/>
            <w:tcW w:w="3454" w:type="dxa"/>
          </w:tcPr>
          <w:p w:rsidR="00E736F9" w:rsidRDefault="00E736F9" w:rsidP="003C7E7B">
            <w:pPr>
              <w:pStyle w:val="AERtabletextleft"/>
            </w:pPr>
            <w:r>
              <w:t>Expected MAR (smoothed)</w:t>
            </w:r>
          </w:p>
        </w:tc>
        <w:tc>
          <w:tcPr>
            <w:tcW w:w="1424" w:type="dxa"/>
          </w:tcPr>
          <w:p w:rsidR="00E736F9" w:rsidRPr="00DF71F6" w:rsidRDefault="00AF6577" w:rsidP="003C7E7B">
            <w:pPr>
              <w:pStyle w:val="AERtabletextright"/>
              <w:cnfStyle w:val="000000000000" w:firstRow="0" w:lastRow="0" w:firstColumn="0" w:lastColumn="0" w:oddVBand="0" w:evenVBand="0" w:oddHBand="0" w:evenHBand="0" w:firstRowFirstColumn="0" w:firstRowLastColumn="0" w:lastRowFirstColumn="0" w:lastRowLastColumn="0"/>
            </w:pPr>
            <w:r>
              <w:t>205.1</w:t>
            </w:r>
          </w:p>
        </w:tc>
        <w:tc>
          <w:tcPr>
            <w:tcW w:w="1424" w:type="dxa"/>
          </w:tcPr>
          <w:p w:rsidR="00E736F9" w:rsidRPr="00DF71F6" w:rsidRDefault="00E736F9" w:rsidP="003C7E7B">
            <w:pPr>
              <w:pStyle w:val="AERtabletextright"/>
              <w:cnfStyle w:val="000000000000" w:firstRow="0" w:lastRow="0" w:firstColumn="0" w:lastColumn="0" w:oddVBand="0" w:evenVBand="0" w:oddHBand="0" w:evenHBand="0" w:firstRowFirstColumn="0" w:firstRowLastColumn="0" w:lastRowFirstColumn="0" w:lastRowLastColumn="0"/>
            </w:pPr>
          </w:p>
        </w:tc>
        <w:tc>
          <w:tcPr>
            <w:tcW w:w="1424" w:type="dxa"/>
          </w:tcPr>
          <w:p w:rsidR="00E736F9" w:rsidRPr="00DF71F6" w:rsidRDefault="00E736F9" w:rsidP="003C7E7B">
            <w:pPr>
              <w:pStyle w:val="AERtabletextright"/>
              <w:cnfStyle w:val="000000000000" w:firstRow="0" w:lastRow="0" w:firstColumn="0" w:lastColumn="0" w:oddVBand="0" w:evenVBand="0" w:oddHBand="0" w:evenHBand="0" w:firstRowFirstColumn="0" w:firstRowLastColumn="0" w:lastRowFirstColumn="0" w:lastRowLastColumn="0"/>
            </w:pPr>
          </w:p>
        </w:tc>
        <w:tc>
          <w:tcPr>
            <w:tcW w:w="1424" w:type="dxa"/>
          </w:tcPr>
          <w:p w:rsidR="00E736F9" w:rsidRPr="00342793" w:rsidRDefault="00AF6577" w:rsidP="003C7E7B">
            <w:pPr>
              <w:pStyle w:val="AERtabletextright"/>
              <w:cnfStyle w:val="000000000000" w:firstRow="0" w:lastRow="0" w:firstColumn="0" w:lastColumn="0" w:oddVBand="0" w:evenVBand="0" w:oddHBand="0" w:evenHBand="0" w:firstRowFirstColumn="0" w:firstRowLastColumn="0" w:lastRowFirstColumn="0" w:lastRowLastColumn="0"/>
            </w:pPr>
            <w:r>
              <w:t>205.1</w:t>
            </w:r>
          </w:p>
        </w:tc>
      </w:tr>
    </w:tbl>
    <w:p w:rsidR="00E736F9" w:rsidRDefault="00E736F9" w:rsidP="00E736F9">
      <w:pPr>
        <w:pStyle w:val="AERtablesource"/>
      </w:pPr>
      <w:r>
        <w:t xml:space="preserve">Source: </w:t>
      </w:r>
      <w:r>
        <w:tab/>
        <w:t>AER analysis.</w:t>
      </w:r>
    </w:p>
    <w:p w:rsidR="00E736F9" w:rsidRPr="008A3631" w:rsidRDefault="007E1191" w:rsidP="00E736F9">
      <w:pPr>
        <w:pStyle w:val="Heading8"/>
        <w:numPr>
          <w:ilvl w:val="5"/>
          <w:numId w:val="31"/>
        </w:numPr>
        <w:rPr>
          <w:rStyle w:val="AERtextbold"/>
          <w:b/>
        </w:rPr>
      </w:pPr>
      <w:r>
        <w:rPr>
          <w:rStyle w:val="AERtextbold"/>
          <w:b/>
        </w:rPr>
        <w:t xml:space="preserve">Service </w:t>
      </w:r>
      <w:r w:rsidR="0024403B">
        <w:rPr>
          <w:rStyle w:val="AERtextbold"/>
          <w:b/>
        </w:rPr>
        <w:t>t</w:t>
      </w:r>
      <w:r>
        <w:rPr>
          <w:rStyle w:val="AERtextbold"/>
          <w:b/>
        </w:rPr>
        <w:t xml:space="preserve">arget </w:t>
      </w:r>
      <w:r w:rsidR="0024403B">
        <w:rPr>
          <w:rStyle w:val="AERtextbold"/>
          <w:b/>
        </w:rPr>
        <w:t>p</w:t>
      </w:r>
      <w:r w:rsidR="0024403B" w:rsidRPr="008A3631">
        <w:rPr>
          <w:rStyle w:val="AERtextbold"/>
          <w:b/>
        </w:rPr>
        <w:t xml:space="preserve">erformance </w:t>
      </w:r>
      <w:r w:rsidR="00E736F9" w:rsidRPr="008A3631">
        <w:rPr>
          <w:rStyle w:val="AERtextbold"/>
          <w:b/>
        </w:rPr>
        <w:t>incentive scheme parameters</w:t>
      </w:r>
    </w:p>
    <w:p w:rsidR="00E736F9" w:rsidRPr="008D265C" w:rsidRDefault="00E736F9" w:rsidP="00E736F9">
      <w:pPr>
        <w:pStyle w:val="AERbodytext"/>
        <w:numPr>
          <w:ilvl w:val="0"/>
          <w:numId w:val="6"/>
        </w:numPr>
      </w:pPr>
      <w:r w:rsidRPr="008D265C">
        <w:t xml:space="preserve">The AER </w:t>
      </w:r>
      <w:r w:rsidR="008203CD">
        <w:t>determines</w:t>
      </w:r>
      <w:r w:rsidR="008203CD" w:rsidRPr="008D265C" w:rsidDel="008203CD">
        <w:t xml:space="preserve"> </w:t>
      </w:r>
      <w:r w:rsidRPr="008D265C">
        <w:t xml:space="preserve">the values for the performance targets, caps, collars and weightings for each of the parameters for the service component of the </w:t>
      </w:r>
      <w:r>
        <w:t>service target performance incentive scheme (</w:t>
      </w:r>
      <w:r w:rsidRPr="008D265C">
        <w:t>STPIS</w:t>
      </w:r>
      <w:r>
        <w:t>)</w:t>
      </w:r>
      <w:r w:rsidRPr="008D265C">
        <w:t xml:space="preserve"> applicable to </w:t>
      </w:r>
      <w:r>
        <w:t>Transend</w:t>
      </w:r>
      <w:r w:rsidRPr="008D265C">
        <w:t xml:space="preserve"> for the </w:t>
      </w:r>
      <w:r>
        <w:t>2014–15</w:t>
      </w:r>
      <w:r w:rsidRPr="008D265C">
        <w:t xml:space="preserve"> </w:t>
      </w:r>
      <w:r>
        <w:t>transitional regulatory control period</w:t>
      </w:r>
      <w:r w:rsidR="00EC0EAE">
        <w:t xml:space="preserve"> are those</w:t>
      </w:r>
      <w:r w:rsidRPr="008D265C">
        <w:t xml:space="preserve"> shown in</w:t>
      </w:r>
      <w:r>
        <w:t xml:space="preserve"> </w:t>
      </w:r>
      <w:r>
        <w:fldChar w:fldCharType="begin"/>
      </w:r>
      <w:r>
        <w:instrText xml:space="preserve"> REF _Ref382483688 \h </w:instrText>
      </w:r>
      <w:r>
        <w:fldChar w:fldCharType="separate"/>
      </w:r>
      <w:r w:rsidR="00B40E3D">
        <w:t xml:space="preserve">Table </w:t>
      </w:r>
      <w:r w:rsidR="00B40E3D">
        <w:rPr>
          <w:noProof/>
        </w:rPr>
        <w:t>B</w:t>
      </w:r>
      <w:r w:rsidR="00B40E3D">
        <w:t>.</w:t>
      </w:r>
      <w:r w:rsidR="00B40E3D">
        <w:rPr>
          <w:noProof/>
        </w:rPr>
        <w:t>2</w:t>
      </w:r>
      <w:r>
        <w:fldChar w:fldCharType="end"/>
      </w:r>
      <w:r>
        <w:t xml:space="preserve">. </w:t>
      </w:r>
    </w:p>
    <w:p w:rsidR="00E736F9" w:rsidRPr="001D52B3" w:rsidRDefault="00E736F9" w:rsidP="00E736F9">
      <w:pPr>
        <w:pStyle w:val="Caption"/>
      </w:pPr>
      <w:bookmarkStart w:id="87" w:name="_Ref382483688"/>
      <w:r>
        <w:t xml:space="preserve">Table </w:t>
      </w:r>
      <w:fldSimple w:instr=" STYLEREF 7 \s ">
        <w:r w:rsidR="00B40E3D">
          <w:rPr>
            <w:noProof/>
          </w:rPr>
          <w:t>B</w:t>
        </w:r>
      </w:fldSimple>
      <w:r>
        <w:t>.</w:t>
      </w:r>
      <w:fldSimple w:instr=" SEQ ATable \* ARABIC \s 7 ">
        <w:r w:rsidR="00B40E3D">
          <w:rPr>
            <w:noProof/>
          </w:rPr>
          <w:t>2</w:t>
        </w:r>
      </w:fldSimple>
      <w:bookmarkEnd w:id="87"/>
      <w:r>
        <w:tab/>
        <w:t>Transend service component performance targets, caps, collars and weightings to apply for the 2014–15 transitional regulatory control period</w:t>
      </w:r>
    </w:p>
    <w:tbl>
      <w:tblPr>
        <w:tblStyle w:val="AERtable-numbers"/>
        <w:tblW w:w="9258" w:type="dxa"/>
        <w:tblLook w:val="04A0" w:firstRow="1" w:lastRow="0" w:firstColumn="1" w:lastColumn="0" w:noHBand="0" w:noVBand="1"/>
      </w:tblPr>
      <w:tblGrid>
        <w:gridCol w:w="2664"/>
        <w:gridCol w:w="1649"/>
        <w:gridCol w:w="1650"/>
        <w:gridCol w:w="1648"/>
        <w:gridCol w:w="1647"/>
      </w:tblGrid>
      <w:tr w:rsidR="00E736F9" w:rsidTr="007024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736F9" w:rsidRDefault="00E736F9" w:rsidP="003C7E7B">
            <w:pPr>
              <w:pStyle w:val="AERbodytext"/>
              <w:numPr>
                <w:ilvl w:val="0"/>
                <w:numId w:val="0"/>
              </w:numPr>
            </w:pPr>
          </w:p>
        </w:tc>
        <w:tc>
          <w:tcPr>
            <w:tcW w:w="1646" w:type="dxa"/>
          </w:tcPr>
          <w:p w:rsidR="00E736F9"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r>
              <w:t>Collar</w:t>
            </w:r>
          </w:p>
        </w:tc>
        <w:tc>
          <w:tcPr>
            <w:tcW w:w="1647" w:type="dxa"/>
          </w:tcPr>
          <w:p w:rsidR="00E736F9"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r>
              <w:t>Target</w:t>
            </w:r>
          </w:p>
        </w:tc>
        <w:tc>
          <w:tcPr>
            <w:tcW w:w="1645" w:type="dxa"/>
          </w:tcPr>
          <w:p w:rsidR="00E736F9"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r>
              <w:t>Cap</w:t>
            </w:r>
          </w:p>
        </w:tc>
        <w:tc>
          <w:tcPr>
            <w:tcW w:w="1644" w:type="dxa"/>
          </w:tcPr>
          <w:p w:rsidR="00D16FCA"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r>
              <w:t xml:space="preserve">Weighting </w:t>
            </w:r>
          </w:p>
          <w:p w:rsidR="00E736F9" w:rsidRDefault="00E736F9" w:rsidP="003C7E7B">
            <w:pPr>
              <w:pStyle w:val="AERtabletextright"/>
              <w:cnfStyle w:val="100000000000" w:firstRow="1" w:lastRow="0" w:firstColumn="0" w:lastColumn="0" w:oddVBand="0" w:evenVBand="0" w:oddHBand="0" w:evenHBand="0" w:firstRowFirstColumn="0" w:firstRowLastColumn="0" w:lastRowFirstColumn="0" w:lastRowLastColumn="0"/>
            </w:pPr>
            <w:r>
              <w:t>(% of MAR)</w:t>
            </w:r>
          </w:p>
        </w:tc>
      </w:tr>
      <w:tr w:rsidR="00E736F9" w:rsidRPr="00230EF1" w:rsidTr="007024B8">
        <w:tc>
          <w:tcPr>
            <w:cnfStyle w:val="001000000000" w:firstRow="0" w:lastRow="0" w:firstColumn="1" w:lastColumn="0" w:oddVBand="0" w:evenVBand="0" w:oddHBand="0" w:evenHBand="0" w:firstRowFirstColumn="0" w:firstRowLastColumn="0" w:lastRowFirstColumn="0" w:lastRowLastColumn="0"/>
            <w:tcW w:w="2660" w:type="dxa"/>
            <w:vAlign w:val="top"/>
          </w:tcPr>
          <w:p w:rsidR="00E736F9" w:rsidRPr="003D28A7" w:rsidRDefault="00E736F9" w:rsidP="003C7E7B">
            <w:pPr>
              <w:rPr>
                <w:i/>
              </w:rPr>
            </w:pPr>
            <w:r>
              <w:rPr>
                <w:i/>
              </w:rPr>
              <w:t>C</w:t>
            </w:r>
            <w:r w:rsidRPr="003D28A7">
              <w:rPr>
                <w:i/>
              </w:rPr>
              <w:t>ircuit availability</w:t>
            </w:r>
            <w:r>
              <w:rPr>
                <w:i/>
              </w:rPr>
              <w:t xml:space="preserve"> (%)</w:t>
            </w:r>
            <w:r w:rsidRPr="003D28A7">
              <w:rPr>
                <w:i/>
              </w:rPr>
              <w:t xml:space="preserve"> </w:t>
            </w:r>
          </w:p>
        </w:tc>
        <w:tc>
          <w:tcPr>
            <w:tcW w:w="1646" w:type="dxa"/>
            <w:vAlign w:val="top"/>
          </w:tcPr>
          <w:p w:rsidR="00E736F9" w:rsidRPr="00230EF1" w:rsidRDefault="00E736F9" w:rsidP="007024B8">
            <w:pPr>
              <w:jc w:val="right"/>
              <w:cnfStyle w:val="000000000000" w:firstRow="0" w:lastRow="0" w:firstColumn="0" w:lastColumn="0" w:oddVBand="0" w:evenVBand="0" w:oddHBand="0" w:evenHBand="0" w:firstRowFirstColumn="0" w:firstRowLastColumn="0" w:lastRowFirstColumn="0" w:lastRowLastColumn="0"/>
              <w:rPr>
                <w:sz w:val="20"/>
              </w:rPr>
            </w:pPr>
          </w:p>
        </w:tc>
        <w:tc>
          <w:tcPr>
            <w:tcW w:w="1647" w:type="dxa"/>
          </w:tcPr>
          <w:p w:rsidR="00E736F9" w:rsidRPr="00230EF1" w:rsidRDefault="00E736F9" w:rsidP="00A26B05">
            <w:pPr>
              <w:pStyle w:val="AERtabletextright"/>
              <w:cnfStyle w:val="000000000000" w:firstRow="0" w:lastRow="0" w:firstColumn="0" w:lastColumn="0" w:oddVBand="0" w:evenVBand="0" w:oddHBand="0" w:evenHBand="0" w:firstRowFirstColumn="0" w:firstRowLastColumn="0" w:lastRowFirstColumn="0" w:lastRowLastColumn="0"/>
            </w:pPr>
          </w:p>
        </w:tc>
        <w:tc>
          <w:tcPr>
            <w:tcW w:w="1645" w:type="dxa"/>
          </w:tcPr>
          <w:p w:rsidR="00E736F9" w:rsidRPr="00230EF1" w:rsidRDefault="00E736F9" w:rsidP="00002307">
            <w:pPr>
              <w:pStyle w:val="AERtabletextright"/>
              <w:cnfStyle w:val="000000000000" w:firstRow="0" w:lastRow="0" w:firstColumn="0" w:lastColumn="0" w:oddVBand="0" w:evenVBand="0" w:oddHBand="0" w:evenHBand="0" w:firstRowFirstColumn="0" w:firstRowLastColumn="0" w:lastRowFirstColumn="0" w:lastRowLastColumn="0"/>
            </w:pPr>
          </w:p>
        </w:tc>
        <w:tc>
          <w:tcPr>
            <w:tcW w:w="1644" w:type="dxa"/>
          </w:tcPr>
          <w:p w:rsidR="00E736F9" w:rsidRPr="00D53288" w:rsidRDefault="00E736F9">
            <w:pPr>
              <w:pStyle w:val="AERtabletextright"/>
              <w:cnfStyle w:val="000000000000" w:firstRow="0" w:lastRow="0" w:firstColumn="0" w:lastColumn="0" w:oddVBand="0" w:evenVBand="0" w:oddHBand="0" w:evenHBand="0" w:firstRowFirstColumn="0" w:firstRowLastColumn="0" w:lastRowFirstColumn="0" w:lastRowLastColumn="0"/>
              <w:rPr>
                <w:i/>
              </w:rPr>
            </w:pPr>
          </w:p>
        </w:tc>
      </w:tr>
      <w:tr w:rsidR="00E736F9" w:rsidTr="00702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736F9" w:rsidRDefault="00E736F9" w:rsidP="003C7E7B">
            <w:pPr>
              <w:pStyle w:val="AERtabletextleft"/>
            </w:pPr>
            <w:r>
              <w:t>Transmission circuit availability</w:t>
            </w:r>
          </w:p>
          <w:p w:rsidR="00E736F9" w:rsidRDefault="00E736F9" w:rsidP="003C7E7B">
            <w:pPr>
              <w:pStyle w:val="AERtabletextleft"/>
            </w:pPr>
            <w:r>
              <w:t>(critical)</w:t>
            </w:r>
          </w:p>
        </w:tc>
        <w:tc>
          <w:tcPr>
            <w:tcW w:w="1646" w:type="dxa"/>
          </w:tcPr>
          <w:p w:rsidR="00E736F9" w:rsidRDefault="00E736F9" w:rsidP="00A26B05">
            <w:pPr>
              <w:pStyle w:val="AERtabletextright"/>
              <w:cnfStyle w:val="000000010000" w:firstRow="0" w:lastRow="0" w:firstColumn="0" w:lastColumn="0" w:oddVBand="0" w:evenVBand="0" w:oddHBand="0" w:evenHBand="1" w:firstRowFirstColumn="0" w:firstRowLastColumn="0" w:lastRowFirstColumn="0" w:lastRowLastColumn="0"/>
            </w:pPr>
            <w:r w:rsidRPr="00E42788">
              <w:rPr>
                <w:rFonts w:ascii="TimesNewRomanPSMT" w:hAnsi="TimesNewRomanPSMT" w:cs="TimesNewRomanPSMT"/>
                <w:lang w:eastAsia="en-AU"/>
              </w:rPr>
              <w:t>97.90</w:t>
            </w:r>
          </w:p>
        </w:tc>
        <w:tc>
          <w:tcPr>
            <w:tcW w:w="1647" w:type="dxa"/>
          </w:tcPr>
          <w:p w:rsidR="00E736F9" w:rsidRDefault="00E736F9" w:rsidP="00002307">
            <w:pPr>
              <w:pStyle w:val="AERtabletextright"/>
              <w:cnfStyle w:val="000000010000" w:firstRow="0" w:lastRow="0" w:firstColumn="0" w:lastColumn="0" w:oddVBand="0" w:evenVBand="0" w:oddHBand="0" w:evenHBand="1" w:firstRowFirstColumn="0" w:firstRowLastColumn="0" w:lastRowFirstColumn="0" w:lastRowLastColumn="0"/>
            </w:pPr>
            <w:r>
              <w:t>99.13</w:t>
            </w:r>
          </w:p>
        </w:tc>
        <w:tc>
          <w:tcPr>
            <w:tcW w:w="1645" w:type="dxa"/>
          </w:tcPr>
          <w:p w:rsidR="00E736F9" w:rsidRDefault="00E736F9">
            <w:pPr>
              <w:pStyle w:val="AERtabletextright"/>
              <w:cnfStyle w:val="000000010000" w:firstRow="0" w:lastRow="0" w:firstColumn="0" w:lastColumn="0" w:oddVBand="0" w:evenVBand="0" w:oddHBand="0" w:evenHBand="1" w:firstRowFirstColumn="0" w:firstRowLastColumn="0" w:lastRowFirstColumn="0" w:lastRowLastColumn="0"/>
            </w:pPr>
            <w:r>
              <w:t>99.75</w:t>
            </w:r>
          </w:p>
        </w:tc>
        <w:tc>
          <w:tcPr>
            <w:tcW w:w="1644" w:type="dxa"/>
          </w:tcPr>
          <w:p w:rsidR="00E736F9" w:rsidRDefault="00E736F9">
            <w:pPr>
              <w:pStyle w:val="AERtabletextright"/>
              <w:cnfStyle w:val="000000010000" w:firstRow="0" w:lastRow="0" w:firstColumn="0" w:lastColumn="0" w:oddVBand="0" w:evenVBand="0" w:oddHBand="0" w:evenHBand="1" w:firstRowFirstColumn="0" w:firstRowLastColumn="0" w:lastRowFirstColumn="0" w:lastRowLastColumn="0"/>
            </w:pPr>
            <w:r>
              <w:t>0.20</w:t>
            </w:r>
          </w:p>
        </w:tc>
      </w:tr>
      <w:tr w:rsidR="00E736F9" w:rsidTr="007024B8">
        <w:tc>
          <w:tcPr>
            <w:cnfStyle w:val="001000000000" w:firstRow="0" w:lastRow="0" w:firstColumn="1" w:lastColumn="0" w:oddVBand="0" w:evenVBand="0" w:oddHBand="0" w:evenHBand="0" w:firstRowFirstColumn="0" w:firstRowLastColumn="0" w:lastRowFirstColumn="0" w:lastRowLastColumn="0"/>
            <w:tcW w:w="2660" w:type="dxa"/>
          </w:tcPr>
          <w:p w:rsidR="00E736F9" w:rsidRDefault="00E736F9" w:rsidP="003C7E7B">
            <w:pPr>
              <w:pStyle w:val="AERtabletextleft"/>
            </w:pPr>
            <w:r w:rsidRPr="008E4A8E">
              <w:t>Transmission circuit availability (non</w:t>
            </w:r>
            <w:r w:rsidR="00B128FA">
              <w:t>-</w:t>
            </w:r>
            <w:r w:rsidRPr="008E4A8E">
              <w:t>critical)</w:t>
            </w:r>
          </w:p>
        </w:tc>
        <w:tc>
          <w:tcPr>
            <w:tcW w:w="1646" w:type="dxa"/>
          </w:tcPr>
          <w:p w:rsidR="00E736F9" w:rsidRDefault="00E736F9" w:rsidP="00A26B05">
            <w:pPr>
              <w:pStyle w:val="AERtabletextright"/>
              <w:cnfStyle w:val="000000000000" w:firstRow="0" w:lastRow="0" w:firstColumn="0" w:lastColumn="0" w:oddVBand="0" w:evenVBand="0" w:oddHBand="0" w:evenHBand="0" w:firstRowFirstColumn="0" w:firstRowLastColumn="0" w:lastRowFirstColumn="0" w:lastRowLastColumn="0"/>
            </w:pPr>
            <w:r>
              <w:t>98.48</w:t>
            </w:r>
          </w:p>
        </w:tc>
        <w:tc>
          <w:tcPr>
            <w:tcW w:w="1647" w:type="dxa"/>
          </w:tcPr>
          <w:p w:rsidR="00E736F9" w:rsidRDefault="00E736F9" w:rsidP="00002307">
            <w:pPr>
              <w:pStyle w:val="AERtabletextright"/>
              <w:cnfStyle w:val="000000000000" w:firstRow="0" w:lastRow="0" w:firstColumn="0" w:lastColumn="0" w:oddVBand="0" w:evenVBand="0" w:oddHBand="0" w:evenHBand="0" w:firstRowFirstColumn="0" w:firstRowLastColumn="0" w:lastRowFirstColumn="0" w:lastRowLastColumn="0"/>
            </w:pPr>
            <w:r>
              <w:t>98.97</w:t>
            </w:r>
          </w:p>
        </w:tc>
        <w:tc>
          <w:tcPr>
            <w:tcW w:w="1645" w:type="dxa"/>
          </w:tcPr>
          <w:p w:rsidR="00E736F9" w:rsidRDefault="00E736F9">
            <w:pPr>
              <w:pStyle w:val="AERtabletextright"/>
              <w:cnfStyle w:val="000000000000" w:firstRow="0" w:lastRow="0" w:firstColumn="0" w:lastColumn="0" w:oddVBand="0" w:evenVBand="0" w:oddHBand="0" w:evenHBand="0" w:firstRowFirstColumn="0" w:firstRowLastColumn="0" w:lastRowFirstColumn="0" w:lastRowLastColumn="0"/>
            </w:pPr>
            <w:r>
              <w:t>99.47</w:t>
            </w:r>
          </w:p>
        </w:tc>
        <w:tc>
          <w:tcPr>
            <w:tcW w:w="1644" w:type="dxa"/>
          </w:tcPr>
          <w:p w:rsidR="00E736F9" w:rsidRDefault="00E736F9">
            <w:pPr>
              <w:pStyle w:val="AERtabletextright"/>
              <w:cnfStyle w:val="000000000000" w:firstRow="0" w:lastRow="0" w:firstColumn="0" w:lastColumn="0" w:oddVBand="0" w:evenVBand="0" w:oddHBand="0" w:evenHBand="0" w:firstRowFirstColumn="0" w:firstRowLastColumn="0" w:lastRowFirstColumn="0" w:lastRowLastColumn="0"/>
            </w:pPr>
            <w:r>
              <w:t>0.10</w:t>
            </w:r>
          </w:p>
        </w:tc>
      </w:tr>
      <w:tr w:rsidR="00E736F9" w:rsidTr="00702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736F9" w:rsidRDefault="00E736F9" w:rsidP="003C7E7B">
            <w:pPr>
              <w:pStyle w:val="AERtabletextleft"/>
            </w:pPr>
            <w:r w:rsidRPr="00CD1E4F">
              <w:t>Transformer circuit availability</w:t>
            </w:r>
          </w:p>
        </w:tc>
        <w:tc>
          <w:tcPr>
            <w:tcW w:w="1646" w:type="dxa"/>
          </w:tcPr>
          <w:p w:rsidR="00E736F9" w:rsidRDefault="00E736F9" w:rsidP="00A26B05">
            <w:pPr>
              <w:pStyle w:val="AERtabletextright"/>
              <w:cnfStyle w:val="000000010000" w:firstRow="0" w:lastRow="0" w:firstColumn="0" w:lastColumn="0" w:oddVBand="0" w:evenVBand="0" w:oddHBand="0" w:evenHBand="1" w:firstRowFirstColumn="0" w:firstRowLastColumn="0" w:lastRowFirstColumn="0" w:lastRowLastColumn="0"/>
            </w:pPr>
            <w:r>
              <w:t>98.67</w:t>
            </w:r>
          </w:p>
        </w:tc>
        <w:tc>
          <w:tcPr>
            <w:tcW w:w="1647" w:type="dxa"/>
          </w:tcPr>
          <w:p w:rsidR="00E736F9" w:rsidRDefault="00E736F9" w:rsidP="00002307">
            <w:pPr>
              <w:pStyle w:val="AERtabletextright"/>
              <w:cnfStyle w:val="000000010000" w:firstRow="0" w:lastRow="0" w:firstColumn="0" w:lastColumn="0" w:oddVBand="0" w:evenVBand="0" w:oddHBand="0" w:evenHBand="1" w:firstRowFirstColumn="0" w:firstRowLastColumn="0" w:lastRowFirstColumn="0" w:lastRowLastColumn="0"/>
            </w:pPr>
            <w:r>
              <w:t>99.28</w:t>
            </w:r>
          </w:p>
        </w:tc>
        <w:tc>
          <w:tcPr>
            <w:tcW w:w="1645" w:type="dxa"/>
          </w:tcPr>
          <w:p w:rsidR="00E736F9" w:rsidRDefault="00E736F9">
            <w:pPr>
              <w:pStyle w:val="AERtabletextright"/>
              <w:cnfStyle w:val="000000010000" w:firstRow="0" w:lastRow="0" w:firstColumn="0" w:lastColumn="0" w:oddVBand="0" w:evenVBand="0" w:oddHBand="0" w:evenHBand="1" w:firstRowFirstColumn="0" w:firstRowLastColumn="0" w:lastRowFirstColumn="0" w:lastRowLastColumn="0"/>
            </w:pPr>
            <w:r>
              <w:t>99.90</w:t>
            </w:r>
          </w:p>
        </w:tc>
        <w:tc>
          <w:tcPr>
            <w:tcW w:w="1644" w:type="dxa"/>
          </w:tcPr>
          <w:p w:rsidR="00E736F9" w:rsidRDefault="00E736F9">
            <w:pPr>
              <w:pStyle w:val="AERtabletextright"/>
              <w:cnfStyle w:val="000000010000" w:firstRow="0" w:lastRow="0" w:firstColumn="0" w:lastColumn="0" w:oddVBand="0" w:evenVBand="0" w:oddHBand="0" w:evenHBand="1" w:firstRowFirstColumn="0" w:firstRowLastColumn="0" w:lastRowFirstColumn="0" w:lastRowLastColumn="0"/>
            </w:pPr>
            <w:r>
              <w:t>0.15</w:t>
            </w:r>
          </w:p>
        </w:tc>
      </w:tr>
      <w:tr w:rsidR="00E736F9" w:rsidRPr="003D28A7" w:rsidTr="007024B8">
        <w:tc>
          <w:tcPr>
            <w:cnfStyle w:val="001000000000" w:firstRow="0" w:lastRow="0" w:firstColumn="1" w:lastColumn="0" w:oddVBand="0" w:evenVBand="0" w:oddHBand="0" w:evenHBand="0" w:firstRowFirstColumn="0" w:firstRowLastColumn="0" w:lastRowFirstColumn="0" w:lastRowLastColumn="0"/>
            <w:tcW w:w="2660" w:type="dxa"/>
          </w:tcPr>
          <w:p w:rsidR="00E736F9" w:rsidRPr="003D28A7" w:rsidRDefault="00E736F9" w:rsidP="003C7E7B">
            <w:pPr>
              <w:rPr>
                <w:i/>
              </w:rPr>
            </w:pPr>
            <w:r w:rsidRPr="003D28A7">
              <w:rPr>
                <w:i/>
              </w:rPr>
              <w:t>Loss of supply event frequency (No.)</w:t>
            </w:r>
          </w:p>
        </w:tc>
        <w:tc>
          <w:tcPr>
            <w:tcW w:w="1646" w:type="dxa"/>
          </w:tcPr>
          <w:p w:rsidR="00E736F9" w:rsidRPr="003D28A7" w:rsidRDefault="00E736F9" w:rsidP="00A26B05">
            <w:pPr>
              <w:pStyle w:val="AERtabletextright"/>
              <w:cnfStyle w:val="000000000000" w:firstRow="0" w:lastRow="0" w:firstColumn="0" w:lastColumn="0" w:oddVBand="0" w:evenVBand="0" w:oddHBand="0" w:evenHBand="0" w:firstRowFirstColumn="0" w:firstRowLastColumn="0" w:lastRowFirstColumn="0" w:lastRowLastColumn="0"/>
              <w:rPr>
                <w:i/>
              </w:rPr>
            </w:pPr>
          </w:p>
        </w:tc>
        <w:tc>
          <w:tcPr>
            <w:tcW w:w="1647" w:type="dxa"/>
          </w:tcPr>
          <w:p w:rsidR="00E736F9" w:rsidRPr="003D28A7" w:rsidRDefault="00E736F9" w:rsidP="00002307">
            <w:pPr>
              <w:pStyle w:val="AERtabletextright"/>
              <w:cnfStyle w:val="000000000000" w:firstRow="0" w:lastRow="0" w:firstColumn="0" w:lastColumn="0" w:oddVBand="0" w:evenVBand="0" w:oddHBand="0" w:evenHBand="0" w:firstRowFirstColumn="0" w:firstRowLastColumn="0" w:lastRowFirstColumn="0" w:lastRowLastColumn="0"/>
              <w:rPr>
                <w:i/>
              </w:rPr>
            </w:pPr>
          </w:p>
        </w:tc>
        <w:tc>
          <w:tcPr>
            <w:tcW w:w="1645" w:type="dxa"/>
          </w:tcPr>
          <w:p w:rsidR="00E736F9" w:rsidRPr="003D28A7" w:rsidRDefault="00E736F9">
            <w:pPr>
              <w:pStyle w:val="AERtabletextright"/>
              <w:cnfStyle w:val="000000000000" w:firstRow="0" w:lastRow="0" w:firstColumn="0" w:lastColumn="0" w:oddVBand="0" w:evenVBand="0" w:oddHBand="0" w:evenHBand="0" w:firstRowFirstColumn="0" w:firstRowLastColumn="0" w:lastRowFirstColumn="0" w:lastRowLastColumn="0"/>
              <w:rPr>
                <w:i/>
              </w:rPr>
            </w:pPr>
          </w:p>
        </w:tc>
        <w:tc>
          <w:tcPr>
            <w:tcW w:w="1644" w:type="dxa"/>
          </w:tcPr>
          <w:p w:rsidR="00E736F9" w:rsidRPr="009175CB" w:rsidRDefault="00E736F9">
            <w:pPr>
              <w:pStyle w:val="AERtabletextright"/>
              <w:cnfStyle w:val="000000000000" w:firstRow="0" w:lastRow="0" w:firstColumn="0" w:lastColumn="0" w:oddVBand="0" w:evenVBand="0" w:oddHBand="0" w:evenHBand="0" w:firstRowFirstColumn="0" w:firstRowLastColumn="0" w:lastRowFirstColumn="0" w:lastRowLastColumn="0"/>
              <w:rPr>
                <w:i/>
              </w:rPr>
            </w:pPr>
          </w:p>
        </w:tc>
      </w:tr>
      <w:tr w:rsidR="00E736F9" w:rsidTr="00702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736F9" w:rsidRDefault="00E736F9" w:rsidP="003C7E7B">
            <w:pPr>
              <w:pStyle w:val="AERtabletextleft"/>
            </w:pPr>
            <w:r>
              <w:t>&gt;0.1</w:t>
            </w:r>
            <w:r w:rsidRPr="00230EF1">
              <w:t xml:space="preserve"> (x) system minutes</w:t>
            </w:r>
          </w:p>
        </w:tc>
        <w:tc>
          <w:tcPr>
            <w:tcW w:w="1646" w:type="dxa"/>
          </w:tcPr>
          <w:p w:rsidR="00E736F9" w:rsidRDefault="00E736F9" w:rsidP="00A26B05">
            <w:pPr>
              <w:pStyle w:val="AERtabletextright"/>
              <w:cnfStyle w:val="000000010000" w:firstRow="0" w:lastRow="0" w:firstColumn="0" w:lastColumn="0" w:oddVBand="0" w:evenVBand="0" w:oddHBand="0" w:evenHBand="1" w:firstRowFirstColumn="0" w:firstRowLastColumn="0" w:lastRowFirstColumn="0" w:lastRowLastColumn="0"/>
            </w:pPr>
            <w:r>
              <w:t>21</w:t>
            </w:r>
          </w:p>
        </w:tc>
        <w:tc>
          <w:tcPr>
            <w:tcW w:w="1647" w:type="dxa"/>
          </w:tcPr>
          <w:p w:rsidR="00E736F9" w:rsidRDefault="00E736F9" w:rsidP="00002307">
            <w:pPr>
              <w:pStyle w:val="AERtabletextright"/>
              <w:cnfStyle w:val="000000010000" w:firstRow="0" w:lastRow="0" w:firstColumn="0" w:lastColumn="0" w:oddVBand="0" w:evenVBand="0" w:oddHBand="0" w:evenHBand="1" w:firstRowFirstColumn="0" w:firstRowLastColumn="0" w:lastRowFirstColumn="0" w:lastRowLastColumn="0"/>
            </w:pPr>
            <w:r>
              <w:t>15</w:t>
            </w:r>
          </w:p>
        </w:tc>
        <w:tc>
          <w:tcPr>
            <w:tcW w:w="1645" w:type="dxa"/>
          </w:tcPr>
          <w:p w:rsidR="00E736F9" w:rsidRDefault="00E736F9">
            <w:pPr>
              <w:pStyle w:val="AERtabletextright"/>
              <w:cnfStyle w:val="000000010000" w:firstRow="0" w:lastRow="0" w:firstColumn="0" w:lastColumn="0" w:oddVBand="0" w:evenVBand="0" w:oddHBand="0" w:evenHBand="1" w:firstRowFirstColumn="0" w:firstRowLastColumn="0" w:lastRowFirstColumn="0" w:lastRowLastColumn="0"/>
            </w:pPr>
            <w:r>
              <w:t>9</w:t>
            </w:r>
          </w:p>
        </w:tc>
        <w:tc>
          <w:tcPr>
            <w:tcW w:w="1644" w:type="dxa"/>
          </w:tcPr>
          <w:p w:rsidR="00E736F9" w:rsidRDefault="00E736F9">
            <w:pPr>
              <w:pStyle w:val="AERtabletextright"/>
              <w:cnfStyle w:val="000000010000" w:firstRow="0" w:lastRow="0" w:firstColumn="0" w:lastColumn="0" w:oddVBand="0" w:evenVBand="0" w:oddHBand="0" w:evenHBand="1" w:firstRowFirstColumn="0" w:firstRowLastColumn="0" w:lastRowFirstColumn="0" w:lastRowLastColumn="0"/>
            </w:pPr>
            <w:r>
              <w:t>0.20</w:t>
            </w:r>
          </w:p>
        </w:tc>
      </w:tr>
      <w:tr w:rsidR="00E736F9" w:rsidTr="007024B8">
        <w:tc>
          <w:tcPr>
            <w:cnfStyle w:val="001000000000" w:firstRow="0" w:lastRow="0" w:firstColumn="1" w:lastColumn="0" w:oddVBand="0" w:evenVBand="0" w:oddHBand="0" w:evenHBand="0" w:firstRowFirstColumn="0" w:firstRowLastColumn="0" w:lastRowFirstColumn="0" w:lastRowLastColumn="0"/>
            <w:tcW w:w="2660" w:type="dxa"/>
          </w:tcPr>
          <w:p w:rsidR="00E736F9" w:rsidRDefault="00E736F9" w:rsidP="003C7E7B">
            <w:pPr>
              <w:pStyle w:val="AERtabletextleft"/>
            </w:pPr>
            <w:r>
              <w:t>&gt;1.0</w:t>
            </w:r>
            <w:r w:rsidRPr="00230EF1">
              <w:t xml:space="preserve"> (y) system minutes</w:t>
            </w:r>
          </w:p>
        </w:tc>
        <w:tc>
          <w:tcPr>
            <w:tcW w:w="1646" w:type="dxa"/>
          </w:tcPr>
          <w:p w:rsidR="00E736F9" w:rsidRDefault="00E736F9" w:rsidP="00A26B05">
            <w:pPr>
              <w:pStyle w:val="AERtabletextright"/>
              <w:cnfStyle w:val="000000000000" w:firstRow="0" w:lastRow="0" w:firstColumn="0" w:lastColumn="0" w:oddVBand="0" w:evenVBand="0" w:oddHBand="0" w:evenHBand="0" w:firstRowFirstColumn="0" w:firstRowLastColumn="0" w:lastRowFirstColumn="0" w:lastRowLastColumn="0"/>
            </w:pPr>
            <w:r>
              <w:t>4</w:t>
            </w:r>
          </w:p>
        </w:tc>
        <w:tc>
          <w:tcPr>
            <w:tcW w:w="1647" w:type="dxa"/>
          </w:tcPr>
          <w:p w:rsidR="00E736F9" w:rsidRDefault="00E736F9" w:rsidP="00002307">
            <w:pPr>
              <w:pStyle w:val="AERtabletextright"/>
              <w:cnfStyle w:val="000000000000" w:firstRow="0" w:lastRow="0" w:firstColumn="0" w:lastColumn="0" w:oddVBand="0" w:evenVBand="0" w:oddHBand="0" w:evenHBand="0" w:firstRowFirstColumn="0" w:firstRowLastColumn="0" w:lastRowFirstColumn="0" w:lastRowLastColumn="0"/>
            </w:pPr>
            <w:r>
              <w:t>2</w:t>
            </w:r>
          </w:p>
        </w:tc>
        <w:tc>
          <w:tcPr>
            <w:tcW w:w="1645" w:type="dxa"/>
          </w:tcPr>
          <w:p w:rsidR="00E736F9" w:rsidRDefault="00E736F9">
            <w:pPr>
              <w:pStyle w:val="AERtabletextright"/>
              <w:cnfStyle w:val="000000000000" w:firstRow="0" w:lastRow="0" w:firstColumn="0" w:lastColumn="0" w:oddVBand="0" w:evenVBand="0" w:oddHBand="0" w:evenHBand="0" w:firstRowFirstColumn="0" w:firstRowLastColumn="0" w:lastRowFirstColumn="0" w:lastRowLastColumn="0"/>
            </w:pPr>
            <w:r>
              <w:t>0</w:t>
            </w:r>
          </w:p>
        </w:tc>
        <w:tc>
          <w:tcPr>
            <w:tcW w:w="1644" w:type="dxa"/>
          </w:tcPr>
          <w:p w:rsidR="00E736F9" w:rsidRDefault="00E736F9">
            <w:pPr>
              <w:pStyle w:val="AERtabletextright"/>
              <w:cnfStyle w:val="000000000000" w:firstRow="0" w:lastRow="0" w:firstColumn="0" w:lastColumn="0" w:oddVBand="0" w:evenVBand="0" w:oddHBand="0" w:evenHBand="0" w:firstRowFirstColumn="0" w:firstRowLastColumn="0" w:lastRowFirstColumn="0" w:lastRowLastColumn="0"/>
            </w:pPr>
            <w:r>
              <w:t>0.35</w:t>
            </w:r>
          </w:p>
        </w:tc>
      </w:tr>
      <w:tr w:rsidR="00E736F9" w:rsidRPr="003D28A7" w:rsidTr="00702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736F9" w:rsidRPr="003D28A7" w:rsidRDefault="00E736F9" w:rsidP="003C7E7B">
            <w:pPr>
              <w:pStyle w:val="AERtabletextleft"/>
              <w:rPr>
                <w:rStyle w:val="AERtextbold"/>
                <w:b w:val="0"/>
                <w:i/>
              </w:rPr>
            </w:pPr>
            <w:r w:rsidRPr="003D28A7">
              <w:rPr>
                <w:rStyle w:val="AERtextbold"/>
                <w:b w:val="0"/>
                <w:i/>
              </w:rPr>
              <w:t>Average outage duration</w:t>
            </w:r>
            <w:r>
              <w:rPr>
                <w:rStyle w:val="AERtextbold"/>
                <w:b w:val="0"/>
                <w:i/>
              </w:rPr>
              <w:t xml:space="preserve"> (minutes)</w:t>
            </w:r>
          </w:p>
        </w:tc>
        <w:tc>
          <w:tcPr>
            <w:tcW w:w="1646" w:type="dxa"/>
          </w:tcPr>
          <w:p w:rsidR="00E736F9" w:rsidRPr="003D28A7" w:rsidRDefault="00E736F9" w:rsidP="00A26B05">
            <w:pPr>
              <w:pStyle w:val="AERtabletextright"/>
              <w:cnfStyle w:val="000000010000" w:firstRow="0" w:lastRow="0" w:firstColumn="0" w:lastColumn="0" w:oddVBand="0" w:evenVBand="0" w:oddHBand="0" w:evenHBand="1" w:firstRowFirstColumn="0" w:firstRowLastColumn="0" w:lastRowFirstColumn="0" w:lastRowLastColumn="0"/>
              <w:rPr>
                <w:i/>
              </w:rPr>
            </w:pPr>
          </w:p>
        </w:tc>
        <w:tc>
          <w:tcPr>
            <w:tcW w:w="1647" w:type="dxa"/>
          </w:tcPr>
          <w:p w:rsidR="00E736F9" w:rsidRPr="003D28A7" w:rsidRDefault="00E736F9" w:rsidP="00002307">
            <w:pPr>
              <w:pStyle w:val="AERtabletextright"/>
              <w:cnfStyle w:val="000000010000" w:firstRow="0" w:lastRow="0" w:firstColumn="0" w:lastColumn="0" w:oddVBand="0" w:evenVBand="0" w:oddHBand="0" w:evenHBand="1" w:firstRowFirstColumn="0" w:firstRowLastColumn="0" w:lastRowFirstColumn="0" w:lastRowLastColumn="0"/>
              <w:rPr>
                <w:i/>
              </w:rPr>
            </w:pPr>
          </w:p>
        </w:tc>
        <w:tc>
          <w:tcPr>
            <w:tcW w:w="1645" w:type="dxa"/>
          </w:tcPr>
          <w:p w:rsidR="00E736F9" w:rsidRPr="003D28A7" w:rsidRDefault="00E736F9">
            <w:pPr>
              <w:pStyle w:val="AERtabletextright"/>
              <w:cnfStyle w:val="000000010000" w:firstRow="0" w:lastRow="0" w:firstColumn="0" w:lastColumn="0" w:oddVBand="0" w:evenVBand="0" w:oddHBand="0" w:evenHBand="1" w:firstRowFirstColumn="0" w:firstRowLastColumn="0" w:lastRowFirstColumn="0" w:lastRowLastColumn="0"/>
              <w:rPr>
                <w:i/>
              </w:rPr>
            </w:pPr>
          </w:p>
        </w:tc>
        <w:tc>
          <w:tcPr>
            <w:tcW w:w="1644" w:type="dxa"/>
          </w:tcPr>
          <w:p w:rsidR="00E736F9" w:rsidRPr="003D28A7" w:rsidRDefault="00E736F9">
            <w:pPr>
              <w:pStyle w:val="AERtabletextright"/>
              <w:cnfStyle w:val="000000010000" w:firstRow="0" w:lastRow="0" w:firstColumn="0" w:lastColumn="0" w:oddVBand="0" w:evenVBand="0" w:oddHBand="0" w:evenHBand="1" w:firstRowFirstColumn="0" w:firstRowLastColumn="0" w:lastRowFirstColumn="0" w:lastRowLastColumn="0"/>
              <w:rPr>
                <w:i/>
              </w:rPr>
            </w:pPr>
          </w:p>
        </w:tc>
      </w:tr>
      <w:tr w:rsidR="00E736F9" w:rsidTr="007024B8">
        <w:tc>
          <w:tcPr>
            <w:cnfStyle w:val="001000000000" w:firstRow="0" w:lastRow="0" w:firstColumn="1" w:lastColumn="0" w:oddVBand="0" w:evenVBand="0" w:oddHBand="0" w:evenHBand="0" w:firstRowFirstColumn="0" w:firstRowLastColumn="0" w:lastRowFirstColumn="0" w:lastRowLastColumn="0"/>
            <w:tcW w:w="2660" w:type="dxa"/>
          </w:tcPr>
          <w:p w:rsidR="00E736F9" w:rsidRDefault="00E736F9" w:rsidP="003C7E7B">
            <w:pPr>
              <w:pStyle w:val="AERtabletextleft"/>
            </w:pPr>
            <w:r w:rsidRPr="005C1C53">
              <w:lastRenderedPageBreak/>
              <w:t>Transmission Lines</w:t>
            </w:r>
          </w:p>
        </w:tc>
        <w:tc>
          <w:tcPr>
            <w:tcW w:w="1646" w:type="dxa"/>
          </w:tcPr>
          <w:p w:rsidR="00E736F9" w:rsidRDefault="00E736F9" w:rsidP="00A26B05">
            <w:pPr>
              <w:pStyle w:val="AERtabletextright"/>
              <w:cnfStyle w:val="000000000000" w:firstRow="0" w:lastRow="0" w:firstColumn="0" w:lastColumn="0" w:oddVBand="0" w:evenVBand="0" w:oddHBand="0" w:evenHBand="0" w:firstRowFirstColumn="0" w:firstRowLastColumn="0" w:lastRowFirstColumn="0" w:lastRowLastColumn="0"/>
            </w:pPr>
            <w:r>
              <w:t>259</w:t>
            </w:r>
          </w:p>
        </w:tc>
        <w:tc>
          <w:tcPr>
            <w:tcW w:w="1647" w:type="dxa"/>
          </w:tcPr>
          <w:p w:rsidR="00E736F9" w:rsidRDefault="00E736F9" w:rsidP="00002307">
            <w:pPr>
              <w:pStyle w:val="AERtabletextright"/>
              <w:cnfStyle w:val="000000000000" w:firstRow="0" w:lastRow="0" w:firstColumn="0" w:lastColumn="0" w:oddVBand="0" w:evenVBand="0" w:oddHBand="0" w:evenHBand="0" w:firstRowFirstColumn="0" w:firstRowLastColumn="0" w:lastRowFirstColumn="0" w:lastRowLastColumn="0"/>
            </w:pPr>
            <w:r>
              <w:t>326</w:t>
            </w:r>
          </w:p>
        </w:tc>
        <w:tc>
          <w:tcPr>
            <w:tcW w:w="1645" w:type="dxa"/>
          </w:tcPr>
          <w:p w:rsidR="00E736F9" w:rsidRDefault="00E736F9">
            <w:pPr>
              <w:pStyle w:val="AERtabletextright"/>
              <w:cnfStyle w:val="000000000000" w:firstRow="0" w:lastRow="0" w:firstColumn="0" w:lastColumn="0" w:oddVBand="0" w:evenVBand="0" w:oddHBand="0" w:evenHBand="0" w:firstRowFirstColumn="0" w:firstRowLastColumn="0" w:lastRowFirstColumn="0" w:lastRowLastColumn="0"/>
            </w:pPr>
            <w:r>
              <w:t>124</w:t>
            </w:r>
          </w:p>
        </w:tc>
        <w:tc>
          <w:tcPr>
            <w:tcW w:w="1644" w:type="dxa"/>
          </w:tcPr>
          <w:p w:rsidR="00E736F9" w:rsidRDefault="00E736F9">
            <w:pPr>
              <w:pStyle w:val="AERtabletextright"/>
              <w:cnfStyle w:val="000000000000" w:firstRow="0" w:lastRow="0" w:firstColumn="0" w:lastColumn="0" w:oddVBand="0" w:evenVBand="0" w:oddHBand="0" w:evenHBand="0" w:firstRowFirstColumn="0" w:firstRowLastColumn="0" w:lastRowFirstColumn="0" w:lastRowLastColumn="0"/>
            </w:pPr>
            <w:r>
              <w:t>0.0</w:t>
            </w:r>
          </w:p>
        </w:tc>
      </w:tr>
      <w:tr w:rsidR="00E736F9" w:rsidTr="007024B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E736F9" w:rsidRDefault="00E736F9" w:rsidP="003C7E7B">
            <w:pPr>
              <w:pStyle w:val="AERtabletextleft"/>
            </w:pPr>
            <w:r w:rsidRPr="005C1C53">
              <w:t>Transformers</w:t>
            </w:r>
          </w:p>
        </w:tc>
        <w:tc>
          <w:tcPr>
            <w:tcW w:w="1646" w:type="dxa"/>
          </w:tcPr>
          <w:p w:rsidR="00E736F9" w:rsidRDefault="00E736F9" w:rsidP="00A26B05">
            <w:pPr>
              <w:pStyle w:val="AERtabletextright"/>
              <w:cnfStyle w:val="000000010000" w:firstRow="0" w:lastRow="0" w:firstColumn="0" w:lastColumn="0" w:oddVBand="0" w:evenVBand="0" w:oddHBand="0" w:evenHBand="1" w:firstRowFirstColumn="0" w:firstRowLastColumn="0" w:lastRowFirstColumn="0" w:lastRowLastColumn="0"/>
            </w:pPr>
            <w:r>
              <w:t>1428</w:t>
            </w:r>
          </w:p>
        </w:tc>
        <w:tc>
          <w:tcPr>
            <w:tcW w:w="1647" w:type="dxa"/>
          </w:tcPr>
          <w:p w:rsidR="00E736F9" w:rsidRDefault="00E736F9" w:rsidP="00002307">
            <w:pPr>
              <w:pStyle w:val="AERtabletextright"/>
              <w:cnfStyle w:val="000000010000" w:firstRow="0" w:lastRow="0" w:firstColumn="0" w:lastColumn="0" w:oddVBand="0" w:evenVBand="0" w:oddHBand="0" w:evenHBand="1" w:firstRowFirstColumn="0" w:firstRowLastColumn="0" w:lastRowFirstColumn="0" w:lastRowLastColumn="0"/>
            </w:pPr>
            <w:r>
              <w:t>712</w:t>
            </w:r>
          </w:p>
        </w:tc>
        <w:tc>
          <w:tcPr>
            <w:tcW w:w="1645" w:type="dxa"/>
          </w:tcPr>
          <w:p w:rsidR="00E736F9" w:rsidRDefault="00E736F9">
            <w:pPr>
              <w:pStyle w:val="AERtabletextright"/>
              <w:cnfStyle w:val="000000010000" w:firstRow="0" w:lastRow="0" w:firstColumn="0" w:lastColumn="0" w:oddVBand="0" w:evenVBand="0" w:oddHBand="0" w:evenHBand="1" w:firstRowFirstColumn="0" w:firstRowLastColumn="0" w:lastRowFirstColumn="0" w:lastRowLastColumn="0"/>
            </w:pPr>
            <w:r>
              <w:t>354</w:t>
            </w:r>
          </w:p>
        </w:tc>
        <w:tc>
          <w:tcPr>
            <w:tcW w:w="1644" w:type="dxa"/>
          </w:tcPr>
          <w:p w:rsidR="00E736F9" w:rsidRDefault="00E736F9">
            <w:pPr>
              <w:pStyle w:val="AERtabletextright"/>
              <w:cnfStyle w:val="000000010000" w:firstRow="0" w:lastRow="0" w:firstColumn="0" w:lastColumn="0" w:oddVBand="0" w:evenVBand="0" w:oddHBand="0" w:evenHBand="1" w:firstRowFirstColumn="0" w:firstRowLastColumn="0" w:lastRowFirstColumn="0" w:lastRowLastColumn="0"/>
            </w:pPr>
            <w:r>
              <w:t>0.0</w:t>
            </w:r>
          </w:p>
        </w:tc>
      </w:tr>
    </w:tbl>
    <w:p w:rsidR="00E736F9" w:rsidRDefault="00E736F9" w:rsidP="00E736F9">
      <w:pPr>
        <w:pStyle w:val="AERtablesource"/>
      </w:pPr>
      <w:r w:rsidRPr="003B5C26">
        <w:t xml:space="preserve"> </w:t>
      </w:r>
      <w:r>
        <w:t xml:space="preserve">Source: </w:t>
      </w:r>
      <w:r>
        <w:tab/>
        <w:t>AER analysis.</w:t>
      </w:r>
    </w:p>
    <w:p w:rsidR="002F5C83" w:rsidRDefault="002F5C83" w:rsidP="002F5C83">
      <w:pPr>
        <w:pStyle w:val="AERbodytext"/>
      </w:pPr>
      <w:r>
        <w:t xml:space="preserve">The AER </w:t>
      </w:r>
      <w:r w:rsidR="008203CD">
        <w:t>determines</w:t>
      </w:r>
      <w:r w:rsidR="008203CD" w:rsidDel="008203CD">
        <w:t xml:space="preserve"> </w:t>
      </w:r>
      <w:r>
        <w:t xml:space="preserve">that the market impact component </w:t>
      </w:r>
      <w:r w:rsidR="00A637FD">
        <w:t xml:space="preserve">(MIC) </w:t>
      </w:r>
      <w:r>
        <w:t>parameter values will be calculated in accordance with section four and appendices C and F of the STPIS.</w:t>
      </w:r>
      <w:r>
        <w:rPr>
          <w:rStyle w:val="FootnoteReference"/>
        </w:rPr>
        <w:footnoteReference w:id="79"/>
      </w:r>
      <w:r>
        <w:t xml:space="preserve"> For the first half of the transitional year (1 July 2014 to 31 December 2014):</w:t>
      </w:r>
    </w:p>
    <w:p w:rsidR="002F5C83" w:rsidRPr="00D15C87" w:rsidRDefault="002F5C83" w:rsidP="00D15C87">
      <w:pPr>
        <w:numPr>
          <w:ilvl w:val="0"/>
          <w:numId w:val="2"/>
        </w:numPr>
        <w:tabs>
          <w:tab w:val="left" w:pos="357"/>
        </w:tabs>
        <w:spacing w:after="200"/>
        <w:ind w:left="357" w:hanging="357"/>
        <w:rPr>
          <w:rFonts w:eastAsia="Times New Roman"/>
          <w:szCs w:val="24"/>
        </w:rPr>
      </w:pPr>
      <w:r w:rsidRPr="00D15C87">
        <w:rPr>
          <w:rFonts w:eastAsia="Times New Roman"/>
          <w:szCs w:val="24"/>
        </w:rPr>
        <w:t xml:space="preserve">the market impact parameter target is the average of the </w:t>
      </w:r>
      <w:proofErr w:type="spellStart"/>
      <w:r w:rsidRPr="00D15C87">
        <w:rPr>
          <w:rFonts w:eastAsia="Times New Roman"/>
          <w:szCs w:val="24"/>
        </w:rPr>
        <w:t>Transend’s</w:t>
      </w:r>
      <w:proofErr w:type="spellEnd"/>
      <w:r w:rsidRPr="00D15C87">
        <w:rPr>
          <w:rFonts w:eastAsia="Times New Roman"/>
          <w:szCs w:val="24"/>
        </w:rPr>
        <w:t xml:space="preserve"> 2011, 2012 and 2013 annual performance</w:t>
      </w:r>
    </w:p>
    <w:p w:rsidR="002F5C83" w:rsidRPr="00D15C87" w:rsidRDefault="002F5C83" w:rsidP="00D15C87">
      <w:pPr>
        <w:numPr>
          <w:ilvl w:val="0"/>
          <w:numId w:val="2"/>
        </w:numPr>
        <w:tabs>
          <w:tab w:val="left" w:pos="357"/>
        </w:tabs>
        <w:spacing w:after="200"/>
        <w:ind w:left="357" w:hanging="357"/>
        <w:rPr>
          <w:rFonts w:eastAsia="Times New Roman"/>
          <w:szCs w:val="24"/>
        </w:rPr>
      </w:pPr>
      <w:r w:rsidRPr="00D15C87">
        <w:rPr>
          <w:rFonts w:eastAsia="Times New Roman"/>
          <w:szCs w:val="24"/>
        </w:rPr>
        <w:t xml:space="preserve"> </w:t>
      </w:r>
      <w:proofErr w:type="gramStart"/>
      <w:r w:rsidRPr="00D15C87">
        <w:rPr>
          <w:rFonts w:eastAsia="Times New Roman"/>
          <w:szCs w:val="24"/>
        </w:rPr>
        <w:t>the</w:t>
      </w:r>
      <w:proofErr w:type="gramEnd"/>
      <w:r w:rsidRPr="00D15C87">
        <w:rPr>
          <w:rFonts w:eastAsia="Times New Roman"/>
          <w:szCs w:val="24"/>
        </w:rPr>
        <w:t xml:space="preserve"> performance measure is the average of 2013 and 2014 annual performance.  </w:t>
      </w:r>
    </w:p>
    <w:p w:rsidR="002F5C83" w:rsidRDefault="002F5C83" w:rsidP="002F5C83">
      <w:pPr>
        <w:pStyle w:val="AERbulletlistfirststyle"/>
      </w:pPr>
      <w:r>
        <w:t>For the second half of the transitional year (1 January 2015 to 30 June 2015)</w:t>
      </w:r>
      <w:r w:rsidR="00EC0EAE">
        <w:t xml:space="preserve"> together with the period 1 July 2015 to 31 December 2015</w:t>
      </w:r>
      <w:r>
        <w:t>:</w:t>
      </w:r>
    </w:p>
    <w:p w:rsidR="002F5C83" w:rsidRPr="00D15C87" w:rsidRDefault="002F5C83" w:rsidP="00D15C87">
      <w:pPr>
        <w:numPr>
          <w:ilvl w:val="0"/>
          <w:numId w:val="2"/>
        </w:numPr>
        <w:tabs>
          <w:tab w:val="left" w:pos="357"/>
        </w:tabs>
        <w:spacing w:after="200"/>
        <w:ind w:left="357" w:hanging="357"/>
        <w:rPr>
          <w:rFonts w:eastAsia="Times New Roman"/>
          <w:szCs w:val="24"/>
        </w:rPr>
      </w:pPr>
      <w:r w:rsidRPr="00D15C87">
        <w:rPr>
          <w:rFonts w:eastAsia="Times New Roman"/>
          <w:szCs w:val="24"/>
        </w:rPr>
        <w:t xml:space="preserve">the market impact parameter target is the average of the </w:t>
      </w:r>
      <w:proofErr w:type="spellStart"/>
      <w:r w:rsidRPr="00D15C87">
        <w:rPr>
          <w:rFonts w:eastAsia="Times New Roman"/>
          <w:szCs w:val="24"/>
        </w:rPr>
        <w:t>Transend’</w:t>
      </w:r>
      <w:r w:rsidR="00A637FD" w:rsidRPr="00D15C87">
        <w:rPr>
          <w:rFonts w:eastAsia="Times New Roman"/>
          <w:szCs w:val="24"/>
        </w:rPr>
        <w:t>s</w:t>
      </w:r>
      <w:proofErr w:type="spellEnd"/>
      <w:r w:rsidRPr="00D15C87">
        <w:rPr>
          <w:rFonts w:eastAsia="Times New Roman"/>
          <w:szCs w:val="24"/>
        </w:rPr>
        <w:t xml:space="preserve"> 2012, 2013 and 2014 annual performance</w:t>
      </w:r>
    </w:p>
    <w:p w:rsidR="002F5C83" w:rsidRPr="00D15C87" w:rsidRDefault="002F5C83" w:rsidP="00D15C87">
      <w:pPr>
        <w:numPr>
          <w:ilvl w:val="0"/>
          <w:numId w:val="2"/>
        </w:numPr>
        <w:tabs>
          <w:tab w:val="left" w:pos="357"/>
        </w:tabs>
        <w:spacing w:after="200"/>
        <w:ind w:left="357" w:hanging="357"/>
        <w:rPr>
          <w:rFonts w:eastAsia="Times New Roman"/>
          <w:szCs w:val="24"/>
        </w:rPr>
      </w:pPr>
      <w:proofErr w:type="gramStart"/>
      <w:r w:rsidRPr="00D15C87">
        <w:rPr>
          <w:rFonts w:eastAsia="Times New Roman"/>
          <w:szCs w:val="24"/>
        </w:rPr>
        <w:t>the</w:t>
      </w:r>
      <w:proofErr w:type="gramEnd"/>
      <w:r w:rsidRPr="00D15C87">
        <w:rPr>
          <w:rFonts w:eastAsia="Times New Roman"/>
          <w:szCs w:val="24"/>
        </w:rPr>
        <w:t xml:space="preserve"> performance measure is the average of 2014 and 2015 annual performance.</w:t>
      </w:r>
    </w:p>
    <w:p w:rsidR="002F5C83" w:rsidRDefault="002F5C83" w:rsidP="002F5C83">
      <w:pPr>
        <w:pStyle w:val="AERbodytext"/>
      </w:pPr>
      <w:r>
        <w:t xml:space="preserve">The MIC performance target for 2014 will be set in our full determination for Transend.  </w:t>
      </w:r>
    </w:p>
    <w:p w:rsidR="00E736F9" w:rsidRPr="002F5C83" w:rsidRDefault="00E736F9" w:rsidP="00E736F9">
      <w:pPr>
        <w:pStyle w:val="AERbodytext"/>
        <w:rPr>
          <w:rStyle w:val="AERtextbold"/>
          <w:b w:val="0"/>
        </w:rPr>
      </w:pPr>
      <w:r w:rsidRPr="002F5C83">
        <w:rPr>
          <w:rStyle w:val="AERtextbold"/>
          <w:b w:val="0"/>
        </w:rPr>
        <w:t xml:space="preserve">The AER </w:t>
      </w:r>
      <w:r w:rsidR="008A7068">
        <w:rPr>
          <w:rStyle w:val="AERtextbold"/>
          <w:b w:val="0"/>
        </w:rPr>
        <w:t>determines</w:t>
      </w:r>
      <w:r w:rsidRPr="002F5C83">
        <w:rPr>
          <w:rStyle w:val="AERtextbold"/>
          <w:b w:val="0"/>
        </w:rPr>
        <w:t xml:space="preserve"> that </w:t>
      </w:r>
      <w:r w:rsidR="00EC0EAE">
        <w:rPr>
          <w:rStyle w:val="AERtextbold"/>
          <w:b w:val="0"/>
        </w:rPr>
        <w:t xml:space="preserve">for the network capability component </w:t>
      </w:r>
      <w:r w:rsidRPr="002F5C83">
        <w:rPr>
          <w:rStyle w:val="AERtextbold"/>
          <w:b w:val="0"/>
        </w:rPr>
        <w:t xml:space="preserve">the priority projects and </w:t>
      </w:r>
      <w:r w:rsidR="004627F8">
        <w:t>project rankings</w:t>
      </w:r>
      <w:r w:rsidR="004627F8" w:rsidRPr="002F5C83" w:rsidDel="004627F8">
        <w:rPr>
          <w:rStyle w:val="AERtextbold"/>
          <w:b w:val="0"/>
        </w:rPr>
        <w:t xml:space="preserve"> </w:t>
      </w:r>
      <w:r w:rsidRPr="002F5C83">
        <w:rPr>
          <w:rStyle w:val="AERtextbold"/>
          <w:b w:val="0"/>
        </w:rPr>
        <w:t xml:space="preserve">shown in </w:t>
      </w:r>
      <w:r w:rsidRPr="002F5C83">
        <w:rPr>
          <w:rStyle w:val="AERtextbold"/>
          <w:b w:val="0"/>
        </w:rPr>
        <w:fldChar w:fldCharType="begin"/>
      </w:r>
      <w:r w:rsidRPr="002F5C83">
        <w:rPr>
          <w:rStyle w:val="AERtextbold"/>
          <w:b w:val="0"/>
        </w:rPr>
        <w:instrText xml:space="preserve"> REF _Ref382483703 \h </w:instrText>
      </w:r>
      <w:r w:rsidRPr="002F5C83">
        <w:rPr>
          <w:rStyle w:val="AERtextbold"/>
          <w:b w:val="0"/>
        </w:rPr>
      </w:r>
      <w:r w:rsidRPr="002F5C83">
        <w:rPr>
          <w:rStyle w:val="AERtextbold"/>
          <w:b w:val="0"/>
        </w:rPr>
        <w:fldChar w:fldCharType="separate"/>
      </w:r>
      <w:r w:rsidR="00B40E3D">
        <w:t xml:space="preserve">Table </w:t>
      </w:r>
      <w:r w:rsidR="00B40E3D">
        <w:rPr>
          <w:noProof/>
        </w:rPr>
        <w:t>B</w:t>
      </w:r>
      <w:r w:rsidR="00B40E3D">
        <w:t>.</w:t>
      </w:r>
      <w:r w:rsidR="00B40E3D">
        <w:rPr>
          <w:noProof/>
        </w:rPr>
        <w:t>3</w:t>
      </w:r>
      <w:r w:rsidRPr="002F5C83">
        <w:rPr>
          <w:rStyle w:val="AERtextbold"/>
          <w:b w:val="0"/>
        </w:rPr>
        <w:fldChar w:fldCharType="end"/>
      </w:r>
      <w:r w:rsidRPr="002F5C83">
        <w:rPr>
          <w:rStyle w:val="AERtextbold"/>
          <w:b w:val="0"/>
        </w:rPr>
        <w:t xml:space="preserve"> will</w:t>
      </w:r>
      <w:r>
        <w:rPr>
          <w:rStyle w:val="AERtextbold"/>
        </w:rPr>
        <w:t xml:space="preserve"> </w:t>
      </w:r>
      <w:r w:rsidRPr="002F5C83">
        <w:rPr>
          <w:rStyle w:val="AERtextbold"/>
          <w:b w:val="0"/>
        </w:rPr>
        <w:t xml:space="preserve">apply to Transend during the </w:t>
      </w:r>
      <w:r w:rsidR="00685004" w:rsidRPr="002F5C83">
        <w:rPr>
          <w:rStyle w:val="AERtextbold"/>
          <w:b w:val="0"/>
        </w:rPr>
        <w:t xml:space="preserve">transitional </w:t>
      </w:r>
      <w:r w:rsidR="00A53A12">
        <w:rPr>
          <w:rStyle w:val="AERtextbold"/>
          <w:b w:val="0"/>
        </w:rPr>
        <w:t>regulatory control period.</w:t>
      </w:r>
      <w:r w:rsidRPr="002F5C83">
        <w:rPr>
          <w:rStyle w:val="AERtextbold"/>
          <w:b w:val="0"/>
        </w:rPr>
        <w:t xml:space="preserve">  </w:t>
      </w:r>
    </w:p>
    <w:p w:rsidR="00E736F9" w:rsidRDefault="00E736F9" w:rsidP="00E736F9">
      <w:pPr>
        <w:pStyle w:val="Caption"/>
      </w:pPr>
      <w:bookmarkStart w:id="88" w:name="_Ref382483703"/>
      <w:r>
        <w:t xml:space="preserve">Table </w:t>
      </w:r>
      <w:fldSimple w:instr=" STYLEREF 7 \s ">
        <w:r w:rsidR="00B40E3D">
          <w:rPr>
            <w:noProof/>
          </w:rPr>
          <w:t>B</w:t>
        </w:r>
      </w:fldSimple>
      <w:r>
        <w:t>.</w:t>
      </w:r>
      <w:fldSimple w:instr=" SEQ ATable \* ARABIC \s 7 ">
        <w:r w:rsidR="00B40E3D">
          <w:rPr>
            <w:noProof/>
          </w:rPr>
          <w:t>3</w:t>
        </w:r>
      </w:fldSimple>
      <w:bookmarkEnd w:id="88"/>
      <w:r>
        <w:tab/>
        <w:t xml:space="preserve">AER’s transitional decision on </w:t>
      </w:r>
      <w:proofErr w:type="spellStart"/>
      <w:r w:rsidRPr="00A7656F">
        <w:t>Transend’s</w:t>
      </w:r>
      <w:proofErr w:type="spellEnd"/>
      <w:r>
        <w:t xml:space="preserve"> network capability priority projects ($ 000s, 2013–14)</w:t>
      </w:r>
    </w:p>
    <w:tbl>
      <w:tblPr>
        <w:tblStyle w:val="AERtable-text"/>
        <w:tblW w:w="0" w:type="auto"/>
        <w:tblLook w:val="04A0" w:firstRow="1" w:lastRow="0" w:firstColumn="1" w:lastColumn="0" w:noHBand="0" w:noVBand="1"/>
      </w:tblPr>
      <w:tblGrid>
        <w:gridCol w:w="848"/>
        <w:gridCol w:w="5510"/>
        <w:gridCol w:w="915"/>
        <w:gridCol w:w="965"/>
        <w:gridCol w:w="1004"/>
      </w:tblGrid>
      <w:tr w:rsidR="00E736F9" w:rsidTr="003C7E7B">
        <w:trPr>
          <w:cnfStyle w:val="100000000000" w:firstRow="1" w:lastRow="0" w:firstColumn="0" w:lastColumn="0" w:oddVBand="0" w:evenVBand="0" w:oddHBand="0" w:evenHBand="0" w:firstRowFirstColumn="0" w:firstRowLastColumn="0" w:lastRowFirstColumn="0" w:lastRowLastColumn="0"/>
        </w:trPr>
        <w:tc>
          <w:tcPr>
            <w:tcW w:w="674" w:type="dxa"/>
          </w:tcPr>
          <w:p w:rsidR="00E736F9" w:rsidRDefault="00E736F9" w:rsidP="007024B8">
            <w:pPr>
              <w:pStyle w:val="AERbodytext"/>
              <w:jc w:val="left"/>
              <w:rPr>
                <w:b w:val="0"/>
                <w:color w:val="auto"/>
                <w:sz w:val="20"/>
              </w:rPr>
            </w:pPr>
            <w:r>
              <w:t>Project Ranking</w:t>
            </w:r>
          </w:p>
        </w:tc>
        <w:tc>
          <w:tcPr>
            <w:tcW w:w="5655" w:type="dxa"/>
          </w:tcPr>
          <w:p w:rsidR="00E736F9" w:rsidRDefault="00E736F9" w:rsidP="007024B8">
            <w:pPr>
              <w:pStyle w:val="AERbodytext"/>
              <w:jc w:val="left"/>
              <w:rPr>
                <w:b w:val="0"/>
                <w:color w:val="auto"/>
                <w:sz w:val="20"/>
              </w:rPr>
            </w:pPr>
            <w:r>
              <w:t>Project circuit / injection point</w:t>
            </w:r>
          </w:p>
        </w:tc>
        <w:tc>
          <w:tcPr>
            <w:tcW w:w="922" w:type="dxa"/>
          </w:tcPr>
          <w:p w:rsidR="00E736F9" w:rsidRDefault="00E736F9" w:rsidP="007024B8">
            <w:pPr>
              <w:pStyle w:val="AERbodytext"/>
              <w:jc w:val="right"/>
              <w:rPr>
                <w:b w:val="0"/>
                <w:color w:val="auto"/>
                <w:sz w:val="20"/>
              </w:rPr>
            </w:pPr>
            <w:r>
              <w:t>Capex</w:t>
            </w:r>
          </w:p>
        </w:tc>
        <w:tc>
          <w:tcPr>
            <w:tcW w:w="977" w:type="dxa"/>
          </w:tcPr>
          <w:p w:rsidR="00E736F9" w:rsidRDefault="00E736F9" w:rsidP="007024B8">
            <w:pPr>
              <w:pStyle w:val="AERbodytext"/>
              <w:jc w:val="right"/>
              <w:rPr>
                <w:b w:val="0"/>
                <w:color w:val="auto"/>
                <w:sz w:val="20"/>
              </w:rPr>
            </w:pPr>
            <w:r>
              <w:t>Opex</w:t>
            </w:r>
          </w:p>
        </w:tc>
        <w:tc>
          <w:tcPr>
            <w:tcW w:w="1014" w:type="dxa"/>
          </w:tcPr>
          <w:p w:rsidR="00E736F9" w:rsidRDefault="00E736F9" w:rsidP="007024B8">
            <w:pPr>
              <w:pStyle w:val="AERbodytext"/>
              <w:jc w:val="right"/>
              <w:rPr>
                <w:b w:val="0"/>
                <w:color w:val="auto"/>
                <w:sz w:val="20"/>
              </w:rPr>
            </w:pPr>
            <w:r>
              <w:t>Total</w:t>
            </w:r>
          </w:p>
        </w:tc>
      </w:tr>
      <w:tr w:rsidR="00E736F9" w:rsidTr="003C7E7B">
        <w:tc>
          <w:tcPr>
            <w:tcW w:w="674" w:type="dxa"/>
          </w:tcPr>
          <w:p w:rsidR="00E736F9" w:rsidRDefault="00E736F9" w:rsidP="007024B8">
            <w:pPr>
              <w:pStyle w:val="AERbodytext"/>
              <w:jc w:val="left"/>
              <w:rPr>
                <w:sz w:val="20"/>
              </w:rPr>
            </w:pPr>
            <w:r>
              <w:t>1</w:t>
            </w:r>
          </w:p>
        </w:tc>
        <w:tc>
          <w:tcPr>
            <w:tcW w:w="5655" w:type="dxa"/>
          </w:tcPr>
          <w:p w:rsidR="00E736F9" w:rsidRDefault="00E736F9" w:rsidP="00A26B05">
            <w:pPr>
              <w:pStyle w:val="AERtabletextleft"/>
            </w:pPr>
            <w:r w:rsidRPr="00AF7BA8">
              <w:t>Fifteen minute transient ratings for transmission lines</w:t>
            </w:r>
            <w:r>
              <w:t xml:space="preserve"> - </w:t>
            </w:r>
            <w:r w:rsidRPr="00AF7BA8">
              <w:t>All transmission lines that are currently controlled through AEMO's generation dispatch</w:t>
            </w:r>
          </w:p>
        </w:tc>
        <w:tc>
          <w:tcPr>
            <w:tcW w:w="922" w:type="dxa"/>
          </w:tcPr>
          <w:p w:rsidR="00E736F9" w:rsidRDefault="00E736F9" w:rsidP="007024B8">
            <w:pPr>
              <w:pStyle w:val="AERtabletextleft"/>
              <w:jc w:val="right"/>
            </w:pPr>
            <w:r w:rsidRPr="00AF7BA8">
              <w:t>40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rsidRPr="00AF7BA8">
              <w:t>40</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2</w:t>
            </w:r>
          </w:p>
        </w:tc>
        <w:tc>
          <w:tcPr>
            <w:tcW w:w="5655" w:type="dxa"/>
          </w:tcPr>
          <w:p w:rsidR="00E736F9" w:rsidRDefault="00E736F9" w:rsidP="00A26B05">
            <w:pPr>
              <w:pStyle w:val="AERtabletextleft"/>
            </w:pPr>
            <w:r w:rsidRPr="00AF7BA8">
              <w:t>Dynamic rating of Knights Road supply transformers</w:t>
            </w:r>
            <w:r>
              <w:t xml:space="preserve"> - </w:t>
            </w:r>
            <w:r w:rsidRPr="00AF7BA8">
              <w:t>Knights Road Substation</w:t>
            </w:r>
          </w:p>
        </w:tc>
        <w:tc>
          <w:tcPr>
            <w:tcW w:w="922" w:type="dxa"/>
          </w:tcPr>
          <w:p w:rsidR="00E736F9" w:rsidRDefault="00E736F9" w:rsidP="007024B8">
            <w:pPr>
              <w:pStyle w:val="AERtabletextleft"/>
              <w:jc w:val="right"/>
            </w:pPr>
            <w:r w:rsidRPr="00AF7BA8">
              <w:t>150</w:t>
            </w:r>
          </w:p>
        </w:tc>
        <w:tc>
          <w:tcPr>
            <w:tcW w:w="977" w:type="dxa"/>
          </w:tcPr>
          <w:p w:rsidR="00E736F9" w:rsidRDefault="00E736F9" w:rsidP="007024B8">
            <w:pPr>
              <w:pStyle w:val="AERtabletextleft"/>
              <w:jc w:val="right"/>
            </w:pPr>
            <w:r>
              <w:t>16</w:t>
            </w:r>
          </w:p>
        </w:tc>
        <w:tc>
          <w:tcPr>
            <w:tcW w:w="1014" w:type="dxa"/>
          </w:tcPr>
          <w:p w:rsidR="00E736F9" w:rsidRDefault="00E736F9" w:rsidP="007024B8">
            <w:pPr>
              <w:pStyle w:val="AERtabletextleft"/>
              <w:jc w:val="right"/>
            </w:pPr>
            <w:r>
              <w:t>166</w:t>
            </w:r>
          </w:p>
        </w:tc>
      </w:tr>
      <w:tr w:rsidR="00E736F9" w:rsidTr="003C7E7B">
        <w:tc>
          <w:tcPr>
            <w:tcW w:w="674" w:type="dxa"/>
          </w:tcPr>
          <w:p w:rsidR="00E736F9" w:rsidRDefault="00E736F9" w:rsidP="007024B8">
            <w:pPr>
              <w:pStyle w:val="AERbodytext"/>
              <w:jc w:val="left"/>
              <w:rPr>
                <w:sz w:val="20"/>
              </w:rPr>
            </w:pPr>
            <w:r>
              <w:t>3</w:t>
            </w:r>
          </w:p>
        </w:tc>
        <w:tc>
          <w:tcPr>
            <w:tcW w:w="5655" w:type="dxa"/>
          </w:tcPr>
          <w:p w:rsidR="00E736F9" w:rsidRDefault="00E736F9" w:rsidP="00A26B05">
            <w:pPr>
              <w:pStyle w:val="AERtabletextleft"/>
            </w:pPr>
            <w:r w:rsidRPr="00AF7BA8">
              <w:t>Dynamic rating of Boyer Substation supply transformers</w:t>
            </w:r>
            <w:r>
              <w:t xml:space="preserve"> - </w:t>
            </w:r>
            <w:r w:rsidRPr="00AF7BA8">
              <w:t>Boyer Substation</w:t>
            </w:r>
          </w:p>
        </w:tc>
        <w:tc>
          <w:tcPr>
            <w:tcW w:w="922" w:type="dxa"/>
          </w:tcPr>
          <w:p w:rsidR="00E736F9" w:rsidRDefault="00E736F9" w:rsidP="007024B8">
            <w:pPr>
              <w:pStyle w:val="AERtabletextleft"/>
              <w:jc w:val="right"/>
            </w:pPr>
            <w:r>
              <w:t>180</w:t>
            </w:r>
          </w:p>
        </w:tc>
        <w:tc>
          <w:tcPr>
            <w:tcW w:w="977" w:type="dxa"/>
          </w:tcPr>
          <w:p w:rsidR="00E736F9" w:rsidRDefault="00E736F9" w:rsidP="007024B8">
            <w:pPr>
              <w:pStyle w:val="AERtabletextleft"/>
              <w:jc w:val="right"/>
            </w:pPr>
            <w:r>
              <w:t>20</w:t>
            </w:r>
          </w:p>
        </w:tc>
        <w:tc>
          <w:tcPr>
            <w:tcW w:w="1014" w:type="dxa"/>
          </w:tcPr>
          <w:p w:rsidR="00E736F9" w:rsidRDefault="00E736F9" w:rsidP="007024B8">
            <w:pPr>
              <w:pStyle w:val="AERtabletextleft"/>
              <w:jc w:val="right"/>
            </w:pPr>
            <w:r>
              <w:t>200</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4</w:t>
            </w:r>
          </w:p>
        </w:tc>
        <w:tc>
          <w:tcPr>
            <w:tcW w:w="5655" w:type="dxa"/>
          </w:tcPr>
          <w:p w:rsidR="00E736F9" w:rsidRDefault="00E736F9" w:rsidP="00A26B05">
            <w:pPr>
              <w:pStyle w:val="AERtabletextleft"/>
            </w:pPr>
            <w:r w:rsidRPr="006D5241">
              <w:t>Installation of new line fault indicators</w:t>
            </w:r>
            <w:r>
              <w:t xml:space="preserve"> - </w:t>
            </w:r>
            <w:r w:rsidRPr="006D5241">
              <w:t>Farrell-</w:t>
            </w:r>
            <w:proofErr w:type="spellStart"/>
            <w:r w:rsidRPr="006D5241">
              <w:t>Que</w:t>
            </w:r>
            <w:proofErr w:type="spellEnd"/>
            <w:r w:rsidRPr="006D5241">
              <w:t>-Savage River-Hampshire, Farrell-Rosebery-Queenstown, Norwood-Scottsdale-Derby and Lindisfarne-Sorell-Triabunna 110 kV transmission circuits</w:t>
            </w:r>
          </w:p>
        </w:tc>
        <w:tc>
          <w:tcPr>
            <w:tcW w:w="922" w:type="dxa"/>
          </w:tcPr>
          <w:p w:rsidR="00E736F9" w:rsidRDefault="00E736F9" w:rsidP="007024B8">
            <w:pPr>
              <w:pStyle w:val="AERtabletextleft"/>
              <w:jc w:val="right"/>
            </w:pPr>
            <w:r>
              <w:t>230</w:t>
            </w:r>
          </w:p>
        </w:tc>
        <w:tc>
          <w:tcPr>
            <w:tcW w:w="977" w:type="dxa"/>
          </w:tcPr>
          <w:p w:rsidR="00E736F9" w:rsidRDefault="00E736F9" w:rsidP="007024B8">
            <w:pPr>
              <w:pStyle w:val="AERtabletextleft"/>
              <w:jc w:val="right"/>
            </w:pPr>
            <w:r>
              <w:t>19</w:t>
            </w:r>
          </w:p>
        </w:tc>
        <w:tc>
          <w:tcPr>
            <w:tcW w:w="1014" w:type="dxa"/>
          </w:tcPr>
          <w:p w:rsidR="00E736F9" w:rsidRDefault="00E736F9" w:rsidP="007024B8">
            <w:pPr>
              <w:pStyle w:val="AERtabletextleft"/>
              <w:jc w:val="right"/>
            </w:pPr>
            <w:r>
              <w:t>249</w:t>
            </w:r>
          </w:p>
        </w:tc>
      </w:tr>
      <w:tr w:rsidR="00E736F9" w:rsidTr="003C7E7B">
        <w:tc>
          <w:tcPr>
            <w:tcW w:w="674" w:type="dxa"/>
          </w:tcPr>
          <w:p w:rsidR="00E736F9" w:rsidRDefault="00E736F9" w:rsidP="007024B8">
            <w:pPr>
              <w:pStyle w:val="AERbodytext"/>
              <w:jc w:val="left"/>
              <w:rPr>
                <w:sz w:val="20"/>
              </w:rPr>
            </w:pPr>
            <w:r>
              <w:t>5</w:t>
            </w:r>
          </w:p>
        </w:tc>
        <w:tc>
          <w:tcPr>
            <w:tcW w:w="5655" w:type="dxa"/>
          </w:tcPr>
          <w:p w:rsidR="00E736F9" w:rsidRDefault="00E736F9" w:rsidP="00A26B05">
            <w:pPr>
              <w:pStyle w:val="AERtabletextleft"/>
            </w:pPr>
            <w:r w:rsidRPr="00266018">
              <w:t>Review and optimisation of Operational Margins for Transend limit equations</w:t>
            </w:r>
            <w:r>
              <w:t xml:space="preserve"> - </w:t>
            </w:r>
            <w:r w:rsidRPr="00266018">
              <w:t>All transmission circuits whose flow is controlled by AEMO constraint equations</w:t>
            </w:r>
          </w:p>
        </w:tc>
        <w:tc>
          <w:tcPr>
            <w:tcW w:w="922" w:type="dxa"/>
          </w:tcPr>
          <w:p w:rsidR="00E736F9" w:rsidRDefault="00E736F9" w:rsidP="007024B8">
            <w:pPr>
              <w:pStyle w:val="AERtabletextleft"/>
              <w:jc w:val="right"/>
            </w:pPr>
            <w:r>
              <w:t>0</w:t>
            </w:r>
          </w:p>
        </w:tc>
        <w:tc>
          <w:tcPr>
            <w:tcW w:w="977" w:type="dxa"/>
          </w:tcPr>
          <w:p w:rsidR="00E736F9" w:rsidRDefault="00E736F9" w:rsidP="007024B8">
            <w:pPr>
              <w:pStyle w:val="AERtabletextleft"/>
              <w:jc w:val="right"/>
            </w:pPr>
            <w:r>
              <w:t>35</w:t>
            </w:r>
          </w:p>
        </w:tc>
        <w:tc>
          <w:tcPr>
            <w:tcW w:w="1014" w:type="dxa"/>
          </w:tcPr>
          <w:p w:rsidR="00E736F9" w:rsidRDefault="00E736F9" w:rsidP="007024B8">
            <w:pPr>
              <w:pStyle w:val="AERtabletextleft"/>
              <w:jc w:val="right"/>
            </w:pPr>
            <w:r>
              <w:t>35</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6</w:t>
            </w:r>
          </w:p>
        </w:tc>
        <w:tc>
          <w:tcPr>
            <w:tcW w:w="5655" w:type="dxa"/>
          </w:tcPr>
          <w:p w:rsidR="00E736F9" w:rsidRDefault="00E736F9" w:rsidP="00A26B05">
            <w:pPr>
              <w:pStyle w:val="AERtabletextleft"/>
            </w:pPr>
            <w:r w:rsidRPr="00266018">
              <w:t>Line fault indicator (LFI) remote communications</w:t>
            </w:r>
            <w:r>
              <w:t xml:space="preserve"> - </w:t>
            </w:r>
            <w:r w:rsidRPr="00266018">
              <w:t>Palmerston-Avoca and Knights Road-Huon River-</w:t>
            </w:r>
            <w:proofErr w:type="spellStart"/>
            <w:r w:rsidRPr="00266018">
              <w:t>Kermandie</w:t>
            </w:r>
            <w:proofErr w:type="spellEnd"/>
            <w:r w:rsidRPr="00266018">
              <w:t xml:space="preserve"> 110kV transmission circuits</w:t>
            </w:r>
          </w:p>
        </w:tc>
        <w:tc>
          <w:tcPr>
            <w:tcW w:w="922" w:type="dxa"/>
          </w:tcPr>
          <w:p w:rsidR="00E736F9" w:rsidRDefault="00E736F9" w:rsidP="007024B8">
            <w:pPr>
              <w:pStyle w:val="AERtabletextleft"/>
              <w:jc w:val="right"/>
            </w:pPr>
            <w:r>
              <w:t>60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60</w:t>
            </w:r>
          </w:p>
        </w:tc>
      </w:tr>
      <w:tr w:rsidR="00E736F9" w:rsidTr="003C7E7B">
        <w:tc>
          <w:tcPr>
            <w:tcW w:w="674" w:type="dxa"/>
          </w:tcPr>
          <w:p w:rsidR="00E736F9" w:rsidRDefault="00E736F9" w:rsidP="007024B8">
            <w:pPr>
              <w:pStyle w:val="AERbodytext"/>
              <w:jc w:val="left"/>
              <w:rPr>
                <w:sz w:val="20"/>
              </w:rPr>
            </w:pPr>
            <w:r>
              <w:t>7</w:t>
            </w:r>
          </w:p>
        </w:tc>
        <w:tc>
          <w:tcPr>
            <w:tcW w:w="5655" w:type="dxa"/>
          </w:tcPr>
          <w:p w:rsidR="00E736F9" w:rsidRDefault="00E736F9" w:rsidP="00A26B05">
            <w:pPr>
              <w:pStyle w:val="AERtabletextleft"/>
            </w:pPr>
            <w:r w:rsidRPr="00266018">
              <w:t>George Town automatic voltage control scheme (GTAVCS) 2.0</w:t>
            </w:r>
            <w:r>
              <w:t xml:space="preserve"> - </w:t>
            </w:r>
            <w:proofErr w:type="spellStart"/>
            <w:r w:rsidRPr="00266018">
              <w:t>Basslink</w:t>
            </w:r>
            <w:proofErr w:type="spellEnd"/>
            <w:r w:rsidRPr="00266018">
              <w:t xml:space="preserve"> </w:t>
            </w:r>
            <w:r w:rsidRPr="00266018">
              <w:lastRenderedPageBreak/>
              <w:t>Tasmania-Victoria interconnector</w:t>
            </w:r>
          </w:p>
        </w:tc>
        <w:tc>
          <w:tcPr>
            <w:tcW w:w="922" w:type="dxa"/>
          </w:tcPr>
          <w:p w:rsidR="00E736F9" w:rsidRDefault="00E736F9" w:rsidP="007024B8">
            <w:pPr>
              <w:pStyle w:val="AERtabletextleft"/>
              <w:jc w:val="right"/>
            </w:pPr>
            <w:r>
              <w:lastRenderedPageBreak/>
              <w:t>480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480</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lastRenderedPageBreak/>
              <w:t>8</w:t>
            </w:r>
          </w:p>
        </w:tc>
        <w:tc>
          <w:tcPr>
            <w:tcW w:w="5655" w:type="dxa"/>
          </w:tcPr>
          <w:p w:rsidR="00E736F9" w:rsidRDefault="00E736F9" w:rsidP="00A26B05">
            <w:pPr>
              <w:pStyle w:val="AERtabletextleft"/>
            </w:pPr>
            <w:r w:rsidRPr="00266018">
              <w:t>Dynamic rating of all 220/110 kV network transformers</w:t>
            </w:r>
            <w:r>
              <w:t xml:space="preserve"> - </w:t>
            </w:r>
            <w:r w:rsidRPr="00266018">
              <w:t>All 220/110kV network transformers</w:t>
            </w:r>
          </w:p>
        </w:tc>
        <w:tc>
          <w:tcPr>
            <w:tcW w:w="922" w:type="dxa"/>
          </w:tcPr>
          <w:p w:rsidR="00E736F9" w:rsidRDefault="00E736F9" w:rsidP="007024B8">
            <w:pPr>
              <w:pStyle w:val="AERtabletextleft"/>
              <w:jc w:val="right"/>
            </w:pPr>
            <w:r>
              <w:t>900</w:t>
            </w:r>
          </w:p>
        </w:tc>
        <w:tc>
          <w:tcPr>
            <w:tcW w:w="977" w:type="dxa"/>
          </w:tcPr>
          <w:p w:rsidR="00E736F9" w:rsidRDefault="00E736F9" w:rsidP="007024B8">
            <w:pPr>
              <w:pStyle w:val="AERtabletextleft"/>
              <w:jc w:val="right"/>
            </w:pPr>
            <w:r>
              <w:t>58</w:t>
            </w:r>
          </w:p>
        </w:tc>
        <w:tc>
          <w:tcPr>
            <w:tcW w:w="1014" w:type="dxa"/>
          </w:tcPr>
          <w:p w:rsidR="00E736F9" w:rsidRDefault="00E736F9" w:rsidP="007024B8">
            <w:pPr>
              <w:pStyle w:val="AERtabletextleft"/>
              <w:jc w:val="right"/>
            </w:pPr>
            <w:r>
              <w:t>958</w:t>
            </w:r>
          </w:p>
        </w:tc>
      </w:tr>
      <w:tr w:rsidR="00E736F9" w:rsidTr="003C7E7B">
        <w:tc>
          <w:tcPr>
            <w:tcW w:w="674" w:type="dxa"/>
          </w:tcPr>
          <w:p w:rsidR="00E736F9" w:rsidRDefault="00E736F9" w:rsidP="007024B8">
            <w:pPr>
              <w:pStyle w:val="AERbodytext"/>
              <w:jc w:val="left"/>
              <w:rPr>
                <w:sz w:val="20"/>
              </w:rPr>
            </w:pPr>
            <w:r>
              <w:t>9</w:t>
            </w:r>
          </w:p>
        </w:tc>
        <w:tc>
          <w:tcPr>
            <w:tcW w:w="5655" w:type="dxa"/>
          </w:tcPr>
          <w:p w:rsidR="00E736F9" w:rsidRDefault="00E736F9" w:rsidP="00A26B05">
            <w:pPr>
              <w:pStyle w:val="AERtabletextleft"/>
            </w:pPr>
            <w:r w:rsidRPr="00266018">
              <w:t>Restring P1 bay conductor at Palmerston Substation</w:t>
            </w:r>
            <w:r>
              <w:t xml:space="preserve"> - </w:t>
            </w:r>
            <w:r w:rsidRPr="00266018">
              <w:t>Waddamana-Palmerston No 2 110kV transmission circuit</w:t>
            </w:r>
          </w:p>
        </w:tc>
        <w:tc>
          <w:tcPr>
            <w:tcW w:w="922" w:type="dxa"/>
          </w:tcPr>
          <w:p w:rsidR="00E736F9" w:rsidRDefault="00E736F9" w:rsidP="007024B8">
            <w:pPr>
              <w:pStyle w:val="AERtabletextleft"/>
              <w:jc w:val="right"/>
            </w:pPr>
            <w:r>
              <w:t>50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50</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10</w:t>
            </w:r>
          </w:p>
        </w:tc>
        <w:tc>
          <w:tcPr>
            <w:tcW w:w="5655" w:type="dxa"/>
          </w:tcPr>
          <w:p w:rsidR="00E736F9" w:rsidRDefault="00E736F9" w:rsidP="00A26B05">
            <w:pPr>
              <w:pStyle w:val="AERtabletextleft"/>
            </w:pPr>
            <w:r w:rsidRPr="00266018">
              <w:t xml:space="preserve">Replace </w:t>
            </w:r>
            <w:proofErr w:type="spellStart"/>
            <w:r w:rsidRPr="00266018">
              <w:t>disconnectors</w:t>
            </w:r>
            <w:proofErr w:type="spellEnd"/>
            <w:r w:rsidRPr="00266018">
              <w:t>, CT and bay conductor to achieve line rating increase and reduce market constraints</w:t>
            </w:r>
            <w:r>
              <w:t xml:space="preserve"> - </w:t>
            </w:r>
            <w:r w:rsidRPr="00266018">
              <w:t>Sheffield-George Town 220 kV transmission line</w:t>
            </w:r>
          </w:p>
        </w:tc>
        <w:tc>
          <w:tcPr>
            <w:tcW w:w="922" w:type="dxa"/>
          </w:tcPr>
          <w:p w:rsidR="00E736F9" w:rsidRDefault="00E736F9" w:rsidP="007024B8">
            <w:pPr>
              <w:pStyle w:val="AERtabletextleft"/>
              <w:jc w:val="right"/>
            </w:pPr>
            <w:r>
              <w:t>1120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1120</w:t>
            </w:r>
          </w:p>
        </w:tc>
      </w:tr>
      <w:tr w:rsidR="00E736F9" w:rsidTr="003C7E7B">
        <w:tc>
          <w:tcPr>
            <w:tcW w:w="674" w:type="dxa"/>
          </w:tcPr>
          <w:p w:rsidR="00E736F9" w:rsidRDefault="00E736F9" w:rsidP="007024B8">
            <w:pPr>
              <w:pStyle w:val="AERbodytext"/>
              <w:jc w:val="left"/>
              <w:rPr>
                <w:sz w:val="20"/>
              </w:rPr>
            </w:pPr>
            <w:r>
              <w:t>11</w:t>
            </w:r>
          </w:p>
        </w:tc>
        <w:tc>
          <w:tcPr>
            <w:tcW w:w="5655" w:type="dxa"/>
          </w:tcPr>
          <w:p w:rsidR="00E736F9" w:rsidRDefault="00E736F9" w:rsidP="00A26B05">
            <w:pPr>
              <w:pStyle w:val="AERtabletextleft"/>
            </w:pPr>
            <w:r w:rsidRPr="00266018">
              <w:t>Weather station telemetry renewal</w:t>
            </w:r>
            <w:r>
              <w:t xml:space="preserve"> - </w:t>
            </w:r>
            <w:r w:rsidRPr="00266018">
              <w:t>Weather stations at Creek Road, Chapel Street, Devonport, Trevallyn, Hadspen, Sheffield, and Farrell substations</w:t>
            </w:r>
          </w:p>
        </w:tc>
        <w:tc>
          <w:tcPr>
            <w:tcW w:w="922" w:type="dxa"/>
          </w:tcPr>
          <w:p w:rsidR="00E736F9" w:rsidRDefault="00E736F9" w:rsidP="007024B8">
            <w:pPr>
              <w:pStyle w:val="AERtabletextleft"/>
              <w:jc w:val="right"/>
            </w:pPr>
            <w:r>
              <w:t>1050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1050</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12</w:t>
            </w:r>
          </w:p>
        </w:tc>
        <w:tc>
          <w:tcPr>
            <w:tcW w:w="5655" w:type="dxa"/>
          </w:tcPr>
          <w:p w:rsidR="00E736F9" w:rsidRDefault="00E736F9" w:rsidP="00A26B05">
            <w:pPr>
              <w:pStyle w:val="AERtabletextleft"/>
            </w:pPr>
            <w:r w:rsidRPr="00266018">
              <w:t>Upgrade of dead end fittings</w:t>
            </w:r>
            <w:r>
              <w:t xml:space="preserve"> on selected transmission lines - </w:t>
            </w:r>
            <w:r w:rsidRPr="00266018">
              <w:t>Liapootah-Waddamana-Palmerston No 1, Liapootah-Cluny-Repulse-Chapel Street No 1, Liapootah-Chapel Street No 2 and George Town-</w:t>
            </w:r>
            <w:proofErr w:type="spellStart"/>
            <w:r w:rsidRPr="00266018">
              <w:t>Comalco</w:t>
            </w:r>
            <w:proofErr w:type="spellEnd"/>
            <w:r w:rsidRPr="00266018">
              <w:t xml:space="preserve"> No 4 &amp; 5 220 kV transmission circuits. Hadspen-Norwood No 1 &amp; 2 110 kV transmission circuits.</w:t>
            </w:r>
          </w:p>
        </w:tc>
        <w:tc>
          <w:tcPr>
            <w:tcW w:w="922" w:type="dxa"/>
          </w:tcPr>
          <w:p w:rsidR="00E736F9" w:rsidRDefault="00E736F9" w:rsidP="007024B8">
            <w:pPr>
              <w:pStyle w:val="AERtabletextleft"/>
              <w:jc w:val="right"/>
            </w:pPr>
            <w:r>
              <w:t>840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840</w:t>
            </w:r>
          </w:p>
        </w:tc>
      </w:tr>
      <w:tr w:rsidR="00E736F9" w:rsidTr="003C7E7B">
        <w:tc>
          <w:tcPr>
            <w:tcW w:w="674" w:type="dxa"/>
          </w:tcPr>
          <w:p w:rsidR="00E736F9" w:rsidRDefault="00E736F9" w:rsidP="007024B8">
            <w:pPr>
              <w:pStyle w:val="AERbodytext"/>
              <w:jc w:val="left"/>
              <w:rPr>
                <w:sz w:val="20"/>
              </w:rPr>
            </w:pPr>
            <w:r>
              <w:t>13</w:t>
            </w:r>
          </w:p>
        </w:tc>
        <w:tc>
          <w:tcPr>
            <w:tcW w:w="5655" w:type="dxa"/>
          </w:tcPr>
          <w:p w:rsidR="00E736F9" w:rsidRDefault="00E736F9" w:rsidP="00A26B05">
            <w:pPr>
              <w:pStyle w:val="AERtabletextleft"/>
            </w:pPr>
            <w:r w:rsidRPr="00266018">
              <w:t>Installation of second 220 kV bus coupler circuit breaker at Farrell Substation</w:t>
            </w:r>
            <w:r>
              <w:t xml:space="preserve"> - </w:t>
            </w:r>
            <w:r w:rsidRPr="00266018">
              <w:t>Farrell Substation</w:t>
            </w:r>
          </w:p>
        </w:tc>
        <w:tc>
          <w:tcPr>
            <w:tcW w:w="922" w:type="dxa"/>
          </w:tcPr>
          <w:p w:rsidR="00E736F9" w:rsidRDefault="00E736F9" w:rsidP="007024B8">
            <w:pPr>
              <w:pStyle w:val="AERtabletextleft"/>
              <w:jc w:val="right"/>
            </w:pPr>
            <w:r>
              <w:t>665</w:t>
            </w:r>
          </w:p>
        </w:tc>
        <w:tc>
          <w:tcPr>
            <w:tcW w:w="977" w:type="dxa"/>
          </w:tcPr>
          <w:p w:rsidR="00E736F9" w:rsidRDefault="00E736F9" w:rsidP="007024B8">
            <w:pPr>
              <w:pStyle w:val="AERtabletextleft"/>
              <w:jc w:val="right"/>
            </w:pPr>
            <w:r>
              <w:t>120</w:t>
            </w:r>
          </w:p>
        </w:tc>
        <w:tc>
          <w:tcPr>
            <w:tcW w:w="1014" w:type="dxa"/>
          </w:tcPr>
          <w:p w:rsidR="00E736F9" w:rsidRDefault="00E736F9" w:rsidP="007024B8">
            <w:pPr>
              <w:pStyle w:val="AERtabletextleft"/>
              <w:jc w:val="right"/>
            </w:pPr>
            <w:r>
              <w:t>785</w:t>
            </w: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14</w:t>
            </w:r>
          </w:p>
        </w:tc>
        <w:tc>
          <w:tcPr>
            <w:tcW w:w="5655" w:type="dxa"/>
          </w:tcPr>
          <w:p w:rsidR="00E736F9" w:rsidRDefault="00E736F9" w:rsidP="00A26B05">
            <w:pPr>
              <w:pStyle w:val="AERtabletextleft"/>
            </w:pPr>
            <w:r w:rsidRPr="00266018">
              <w:t xml:space="preserve">Castle Forbes Bay Tee Switching Station </w:t>
            </w:r>
            <w:proofErr w:type="spellStart"/>
            <w:r w:rsidRPr="00266018">
              <w:t>disconnector</w:t>
            </w:r>
            <w:proofErr w:type="spellEnd"/>
            <w:r w:rsidRPr="00266018">
              <w:t xml:space="preserve"> upgrade</w:t>
            </w:r>
            <w:r>
              <w:t xml:space="preserve"> - </w:t>
            </w:r>
            <w:r w:rsidRPr="00BB6A36">
              <w:t>Castle Forbes Bay Tee Switching Station</w:t>
            </w:r>
          </w:p>
        </w:tc>
        <w:tc>
          <w:tcPr>
            <w:tcW w:w="922" w:type="dxa"/>
          </w:tcPr>
          <w:p w:rsidR="00E736F9" w:rsidRDefault="00E736F9" w:rsidP="007024B8">
            <w:pPr>
              <w:pStyle w:val="AERtabletextleft"/>
              <w:jc w:val="right"/>
            </w:pPr>
            <w:r>
              <w:t>250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250</w:t>
            </w:r>
          </w:p>
        </w:tc>
      </w:tr>
      <w:tr w:rsidR="00E736F9" w:rsidTr="003C7E7B">
        <w:tc>
          <w:tcPr>
            <w:tcW w:w="674" w:type="dxa"/>
          </w:tcPr>
          <w:p w:rsidR="00E736F9" w:rsidRDefault="00E736F9" w:rsidP="007024B8">
            <w:pPr>
              <w:pStyle w:val="AERbodytext"/>
              <w:jc w:val="left"/>
              <w:rPr>
                <w:sz w:val="20"/>
              </w:rPr>
            </w:pPr>
            <w:r>
              <w:t>15</w:t>
            </w:r>
          </w:p>
        </w:tc>
        <w:tc>
          <w:tcPr>
            <w:tcW w:w="5655" w:type="dxa"/>
          </w:tcPr>
          <w:p w:rsidR="00E736F9" w:rsidRDefault="00E736F9" w:rsidP="00A26B05">
            <w:pPr>
              <w:pStyle w:val="AERtabletextleft"/>
            </w:pPr>
            <w:r w:rsidRPr="00BB6A36">
              <w:t>Transmission line surge diverter installation and tower footing earthing improvements</w:t>
            </w:r>
            <w:r>
              <w:t xml:space="preserve"> - </w:t>
            </w:r>
            <w:r w:rsidRPr="00BB6A36">
              <w:t>Sheffield-Farrell 1 &amp; 2, Farrell-Reece 1 &amp; 2, Farrell-John Butters 220kV and Farrell-Rosebery-Queenstown 110 kV transmission circuits</w:t>
            </w:r>
          </w:p>
        </w:tc>
        <w:tc>
          <w:tcPr>
            <w:tcW w:w="922" w:type="dxa"/>
          </w:tcPr>
          <w:p w:rsidR="00E736F9" w:rsidRDefault="00E736F9" w:rsidP="007024B8">
            <w:pPr>
              <w:pStyle w:val="AERtabletextleft"/>
              <w:jc w:val="right"/>
            </w:pPr>
            <w:r>
              <w:t>550</w:t>
            </w:r>
          </w:p>
        </w:tc>
        <w:tc>
          <w:tcPr>
            <w:tcW w:w="977" w:type="dxa"/>
          </w:tcPr>
          <w:p w:rsidR="00E736F9" w:rsidRDefault="00E736F9" w:rsidP="007024B8">
            <w:pPr>
              <w:pStyle w:val="AERtabletextleft"/>
              <w:jc w:val="right"/>
            </w:pPr>
          </w:p>
        </w:tc>
        <w:tc>
          <w:tcPr>
            <w:tcW w:w="1014" w:type="dxa"/>
          </w:tcPr>
          <w:p w:rsidR="00A26B05" w:rsidRDefault="00A26B05" w:rsidP="007024B8">
            <w:pPr>
              <w:pStyle w:val="AERtabletextleft"/>
              <w:jc w:val="right"/>
            </w:pPr>
          </w:p>
          <w:p w:rsidR="00E736F9" w:rsidRDefault="00E736F9" w:rsidP="007024B8">
            <w:pPr>
              <w:pStyle w:val="AERtabletextleft"/>
              <w:jc w:val="right"/>
            </w:pPr>
            <w:r>
              <w:t>550</w:t>
            </w:r>
          </w:p>
          <w:p w:rsidR="00E736F9" w:rsidRDefault="00E736F9" w:rsidP="007024B8">
            <w:pPr>
              <w:pStyle w:val="AERtabletextleft"/>
              <w:jc w:val="right"/>
            </w:pPr>
          </w:p>
        </w:tc>
      </w:tr>
      <w:tr w:rsidR="00E736F9" w:rsidTr="003C7E7B">
        <w:trPr>
          <w:cnfStyle w:val="000000010000" w:firstRow="0" w:lastRow="0" w:firstColumn="0" w:lastColumn="0" w:oddVBand="0" w:evenVBand="0" w:oddHBand="0" w:evenHBand="1" w:firstRowFirstColumn="0" w:firstRowLastColumn="0" w:lastRowFirstColumn="0" w:lastRowLastColumn="0"/>
        </w:trPr>
        <w:tc>
          <w:tcPr>
            <w:tcW w:w="674" w:type="dxa"/>
          </w:tcPr>
          <w:p w:rsidR="00E736F9" w:rsidRDefault="00E736F9" w:rsidP="007024B8">
            <w:pPr>
              <w:pStyle w:val="AERbodytext"/>
              <w:jc w:val="left"/>
              <w:rPr>
                <w:sz w:val="20"/>
              </w:rPr>
            </w:pPr>
            <w:r>
              <w:t>16</w:t>
            </w:r>
          </w:p>
        </w:tc>
        <w:tc>
          <w:tcPr>
            <w:tcW w:w="5655" w:type="dxa"/>
          </w:tcPr>
          <w:p w:rsidR="00E736F9" w:rsidRDefault="00E736F9" w:rsidP="00A26B05">
            <w:pPr>
              <w:pStyle w:val="AERtabletextleft"/>
            </w:pPr>
            <w:r w:rsidRPr="00BB6A36">
              <w:t>Substandard spans verification and rectification</w:t>
            </w:r>
            <w:r>
              <w:t xml:space="preserve"> – </w:t>
            </w:r>
            <w:r w:rsidRPr="00BB6A36">
              <w:t>Multiple</w:t>
            </w:r>
            <w:r>
              <w:t xml:space="preserve"> </w:t>
            </w:r>
          </w:p>
        </w:tc>
        <w:tc>
          <w:tcPr>
            <w:tcW w:w="922" w:type="dxa"/>
          </w:tcPr>
          <w:p w:rsidR="00E736F9" w:rsidRDefault="00E736F9" w:rsidP="007024B8">
            <w:pPr>
              <w:pStyle w:val="AERtabletextleft"/>
              <w:jc w:val="right"/>
            </w:pPr>
            <w:r>
              <w:t>3720</w:t>
            </w:r>
          </w:p>
        </w:tc>
        <w:tc>
          <w:tcPr>
            <w:tcW w:w="977" w:type="dxa"/>
          </w:tcPr>
          <w:p w:rsidR="00E736F9" w:rsidRDefault="00E736F9" w:rsidP="007024B8">
            <w:pPr>
              <w:pStyle w:val="AERtabletextleft"/>
              <w:jc w:val="right"/>
            </w:pPr>
            <w:r>
              <w:t>0</w:t>
            </w:r>
          </w:p>
        </w:tc>
        <w:tc>
          <w:tcPr>
            <w:tcW w:w="1014" w:type="dxa"/>
          </w:tcPr>
          <w:p w:rsidR="00E736F9" w:rsidRDefault="00E736F9" w:rsidP="007024B8">
            <w:pPr>
              <w:pStyle w:val="AERtabletextleft"/>
              <w:jc w:val="right"/>
            </w:pPr>
            <w:r>
              <w:t>3720</w:t>
            </w:r>
          </w:p>
        </w:tc>
      </w:tr>
      <w:tr w:rsidR="00E736F9" w:rsidRPr="00EE7FB5" w:rsidTr="003C7E7B">
        <w:tc>
          <w:tcPr>
            <w:tcW w:w="674" w:type="dxa"/>
          </w:tcPr>
          <w:p w:rsidR="00E736F9" w:rsidRPr="00EE7FB5" w:rsidRDefault="00E736F9" w:rsidP="007024B8">
            <w:pPr>
              <w:pStyle w:val="AERbodytext"/>
              <w:jc w:val="left"/>
              <w:rPr>
                <w:b/>
                <w:sz w:val="20"/>
              </w:rPr>
            </w:pPr>
            <w:r w:rsidRPr="00EE7FB5">
              <w:rPr>
                <w:b/>
              </w:rPr>
              <w:t>Total</w:t>
            </w:r>
          </w:p>
        </w:tc>
        <w:tc>
          <w:tcPr>
            <w:tcW w:w="5655" w:type="dxa"/>
          </w:tcPr>
          <w:p w:rsidR="00E736F9" w:rsidRPr="00EE7FB5" w:rsidRDefault="00E736F9" w:rsidP="007024B8">
            <w:pPr>
              <w:pStyle w:val="AERbodytext"/>
              <w:jc w:val="left"/>
              <w:rPr>
                <w:b/>
                <w:sz w:val="20"/>
              </w:rPr>
            </w:pPr>
          </w:p>
        </w:tc>
        <w:tc>
          <w:tcPr>
            <w:tcW w:w="922" w:type="dxa"/>
          </w:tcPr>
          <w:p w:rsidR="00E736F9" w:rsidRPr="00EE7FB5" w:rsidRDefault="00E736F9" w:rsidP="007024B8">
            <w:pPr>
              <w:pStyle w:val="AERbodytext"/>
              <w:jc w:val="right"/>
              <w:rPr>
                <w:b/>
                <w:sz w:val="20"/>
              </w:rPr>
            </w:pPr>
            <w:r w:rsidRPr="00EE7FB5">
              <w:rPr>
                <w:b/>
              </w:rPr>
              <w:t>10</w:t>
            </w:r>
            <w:r>
              <w:rPr>
                <w:b/>
              </w:rPr>
              <w:t>,</w:t>
            </w:r>
            <w:r w:rsidRPr="00EE7FB5">
              <w:rPr>
                <w:b/>
              </w:rPr>
              <w:t>285</w:t>
            </w:r>
          </w:p>
        </w:tc>
        <w:tc>
          <w:tcPr>
            <w:tcW w:w="977" w:type="dxa"/>
          </w:tcPr>
          <w:p w:rsidR="00E736F9" w:rsidRPr="00EE7FB5" w:rsidRDefault="00E736F9" w:rsidP="007024B8">
            <w:pPr>
              <w:pStyle w:val="AERbodytext"/>
              <w:numPr>
                <w:ilvl w:val="0"/>
                <w:numId w:val="0"/>
              </w:numPr>
              <w:jc w:val="right"/>
              <w:rPr>
                <w:b/>
                <w:sz w:val="20"/>
              </w:rPr>
            </w:pPr>
            <w:r w:rsidRPr="00EE7FB5">
              <w:rPr>
                <w:b/>
              </w:rPr>
              <w:t>268</w:t>
            </w:r>
          </w:p>
        </w:tc>
        <w:tc>
          <w:tcPr>
            <w:tcW w:w="1014" w:type="dxa"/>
          </w:tcPr>
          <w:p w:rsidR="00E736F9" w:rsidRPr="00EE7FB5" w:rsidRDefault="00E736F9" w:rsidP="007024B8">
            <w:pPr>
              <w:pStyle w:val="AERbodytext"/>
              <w:jc w:val="right"/>
              <w:rPr>
                <w:b/>
                <w:sz w:val="20"/>
              </w:rPr>
            </w:pPr>
            <w:r w:rsidRPr="00EE7FB5">
              <w:rPr>
                <w:b/>
              </w:rPr>
              <w:t>10,553</w:t>
            </w:r>
          </w:p>
        </w:tc>
      </w:tr>
    </w:tbl>
    <w:p w:rsidR="00E736F9" w:rsidRDefault="00E736F9" w:rsidP="00E736F9">
      <w:pPr>
        <w:pStyle w:val="AERtablesource"/>
      </w:pPr>
      <w:r>
        <w:t xml:space="preserve">Source: </w:t>
      </w:r>
      <w:r>
        <w:tab/>
      </w:r>
      <w:r>
        <w:rPr>
          <w:szCs w:val="16"/>
        </w:rPr>
        <w:t>AER analysis.</w:t>
      </w:r>
    </w:p>
    <w:p w:rsidR="00E736F9" w:rsidRPr="008A3631" w:rsidRDefault="00E736F9" w:rsidP="00E736F9">
      <w:pPr>
        <w:pStyle w:val="Heading8"/>
        <w:numPr>
          <w:ilvl w:val="5"/>
          <w:numId w:val="31"/>
        </w:numPr>
        <w:rPr>
          <w:rStyle w:val="AERtextbold"/>
          <w:b/>
        </w:rPr>
      </w:pPr>
      <w:r w:rsidRPr="008A3631">
        <w:rPr>
          <w:rStyle w:val="AERtextbold"/>
          <w:b/>
        </w:rPr>
        <w:t>Efficiency benefit sharing scheme parameters</w:t>
      </w:r>
    </w:p>
    <w:p w:rsidR="0021373A" w:rsidRDefault="0021373A" w:rsidP="0021373A">
      <w:pPr>
        <w:pStyle w:val="AERbodytext"/>
      </w:pPr>
      <w:r>
        <w:t xml:space="preserve">The AER </w:t>
      </w:r>
      <w:r w:rsidR="008203CD">
        <w:t>determines</w:t>
      </w:r>
      <w:r w:rsidR="008203CD" w:rsidDel="008203CD">
        <w:t xml:space="preserve"> </w:t>
      </w:r>
      <w:r>
        <w:t>that the e</w:t>
      </w:r>
      <w:r w:rsidRPr="0021373A">
        <w:t xml:space="preserve">fficiency benefit sharing scheme </w:t>
      </w:r>
      <w:r>
        <w:t xml:space="preserve">that applied to </w:t>
      </w:r>
      <w:r w:rsidRPr="00B02EFB">
        <w:t>Transend</w:t>
      </w:r>
      <w:r>
        <w:t xml:space="preserve"> </w:t>
      </w:r>
      <w:r w:rsidRPr="0021373A">
        <w:t>in the current regulatory control period will apply in the transitional regulatory control period but mo</w:t>
      </w:r>
      <w:r w:rsidR="00C64DAF">
        <w:t>dified to be in the terms of</w:t>
      </w:r>
      <w:r w:rsidRPr="0021373A">
        <w:t xml:space="preserve"> </w:t>
      </w:r>
      <w:r>
        <w:t>version 2</w:t>
      </w:r>
      <w:r w:rsidRPr="0021373A">
        <w:t xml:space="preserve"> </w:t>
      </w:r>
      <w:r w:rsidR="00C64DAF">
        <w:t xml:space="preserve">of the </w:t>
      </w:r>
      <w:r w:rsidR="007567E0">
        <w:t>e</w:t>
      </w:r>
      <w:r w:rsidR="007567E0" w:rsidRPr="0021373A">
        <w:t>fficiency benefit sharing scheme</w:t>
      </w:r>
      <w:r w:rsidR="008203CD">
        <w:t xml:space="preserve"> as if the transitional regulatory control period was the first year of the subsequent regulatory control period</w:t>
      </w:r>
      <w:r>
        <w:rPr>
          <w:rFonts w:eastAsiaTheme="minorHAnsi"/>
        </w:rPr>
        <w:t>.</w:t>
      </w:r>
    </w:p>
    <w:p w:rsidR="00E736F9" w:rsidRPr="008A3631" w:rsidRDefault="00E736F9" w:rsidP="00E736F9">
      <w:pPr>
        <w:pStyle w:val="Heading8"/>
        <w:numPr>
          <w:ilvl w:val="5"/>
          <w:numId w:val="31"/>
        </w:numPr>
      </w:pPr>
      <w:r w:rsidRPr="008A3631">
        <w:t>Application of the capital expenditure sharing scheme in the transitional regulatory control period</w:t>
      </w:r>
    </w:p>
    <w:p w:rsidR="00E736F9" w:rsidRPr="00D241E5" w:rsidRDefault="00E736F9" w:rsidP="00E736F9">
      <w:pPr>
        <w:pStyle w:val="AERbodytext"/>
      </w:pPr>
      <w:r>
        <w:t xml:space="preserve">The AER </w:t>
      </w:r>
      <w:r w:rsidR="008203CD">
        <w:t>determines</w:t>
      </w:r>
      <w:r w:rsidR="008203CD" w:rsidDel="008203CD">
        <w:t xml:space="preserve"> </w:t>
      </w:r>
      <w:r>
        <w:t xml:space="preserve">that </w:t>
      </w:r>
      <w:r w:rsidRPr="005B5A55">
        <w:t xml:space="preserve">no capital expenditure sharing scheme applies </w:t>
      </w:r>
      <w:r w:rsidRPr="00A7656F">
        <w:t>to Transend</w:t>
      </w:r>
      <w:r>
        <w:t xml:space="preserve"> </w:t>
      </w:r>
      <w:r w:rsidRPr="005B5A55">
        <w:t>for the transitional regulatory control period</w:t>
      </w:r>
      <w:r>
        <w:t>.</w:t>
      </w:r>
      <w:r w:rsidRPr="0084612B">
        <w:t xml:space="preserve"> </w:t>
      </w:r>
    </w:p>
    <w:p w:rsidR="00E736F9" w:rsidRPr="008A3631" w:rsidRDefault="00E736F9" w:rsidP="00E736F9">
      <w:pPr>
        <w:pStyle w:val="Heading8"/>
        <w:numPr>
          <w:ilvl w:val="5"/>
          <w:numId w:val="31"/>
        </w:numPr>
      </w:pPr>
      <w:r w:rsidRPr="008A3631">
        <w:t>Application of the small-scale incentive scheme in the transitional regulatory control period</w:t>
      </w:r>
    </w:p>
    <w:p w:rsidR="00E736F9" w:rsidRPr="00D241E5" w:rsidRDefault="00E736F9" w:rsidP="00E736F9">
      <w:pPr>
        <w:pStyle w:val="AERbodytext"/>
      </w:pPr>
      <w:r>
        <w:t xml:space="preserve">The AER </w:t>
      </w:r>
      <w:r w:rsidR="008203CD">
        <w:t>determines</w:t>
      </w:r>
      <w:r w:rsidR="008203CD" w:rsidDel="008203CD">
        <w:t xml:space="preserve"> </w:t>
      </w:r>
      <w:r>
        <w:t>that no small-scale incentive scheme</w:t>
      </w:r>
      <w:r w:rsidRPr="0080239C">
        <w:t xml:space="preserve"> </w:t>
      </w:r>
      <w:r w:rsidRPr="005B5A55">
        <w:t xml:space="preserve">applies to </w:t>
      </w:r>
      <w:r w:rsidRPr="00A7656F">
        <w:t>Transen</w:t>
      </w:r>
      <w:r>
        <w:t xml:space="preserve">d </w:t>
      </w:r>
      <w:r w:rsidRPr="005B5A55">
        <w:t>for the transitional regulatory control period</w:t>
      </w:r>
      <w:r>
        <w:t>.</w:t>
      </w:r>
      <w:r w:rsidRPr="0084612B">
        <w:t xml:space="preserve"> </w:t>
      </w:r>
    </w:p>
    <w:p w:rsidR="00E736F9" w:rsidRPr="008A3631" w:rsidRDefault="00E736F9" w:rsidP="00E736F9">
      <w:pPr>
        <w:pStyle w:val="Heading8"/>
        <w:numPr>
          <w:ilvl w:val="5"/>
          <w:numId w:val="31"/>
        </w:numPr>
      </w:pPr>
      <w:r w:rsidRPr="008A3631">
        <w:lastRenderedPageBreak/>
        <w:t>Pass through event</w:t>
      </w:r>
    </w:p>
    <w:p w:rsidR="00E736F9" w:rsidRPr="003E180B" w:rsidRDefault="00E736F9" w:rsidP="00E736F9">
      <w:pPr>
        <w:pStyle w:val="AERbodytext"/>
      </w:pPr>
      <w:r>
        <w:t xml:space="preserve">The AER </w:t>
      </w:r>
      <w:r w:rsidR="008203CD">
        <w:t>determines</w:t>
      </w:r>
      <w:r w:rsidR="008203CD" w:rsidDel="008203CD">
        <w:t xml:space="preserve"> </w:t>
      </w:r>
      <w:r>
        <w:t>that</w:t>
      </w:r>
      <w:r w:rsidRPr="003E180B">
        <w:t xml:space="preserve"> </w:t>
      </w:r>
      <w:r w:rsidRPr="00117055">
        <w:t xml:space="preserve">the "terrorism event" as defined in the Rules immediately prior to the date the National Electricity Amendment (Cost pass through arrangements for Network Service Providers) Rule 2012 came into force </w:t>
      </w:r>
      <w:r w:rsidR="00365C57">
        <w:t>i</w:t>
      </w:r>
      <w:r w:rsidRPr="00117055">
        <w:t>s an additional pass through event that is to apply for the transitional regulatory control period</w:t>
      </w:r>
      <w:r>
        <w:t>.</w:t>
      </w:r>
    </w:p>
    <w:p w:rsidR="00E736F9" w:rsidRPr="008A3631" w:rsidRDefault="00E736F9" w:rsidP="00E736F9">
      <w:pPr>
        <w:pStyle w:val="Heading8"/>
        <w:numPr>
          <w:ilvl w:val="5"/>
          <w:numId w:val="31"/>
        </w:numPr>
      </w:pPr>
      <w:r w:rsidRPr="008A3631">
        <w:t>Negotiating framework</w:t>
      </w:r>
    </w:p>
    <w:p w:rsidR="00E736F9" w:rsidRPr="00533A6C" w:rsidRDefault="00E736F9" w:rsidP="00E736F9">
      <w:pPr>
        <w:pStyle w:val="AERbodytext"/>
      </w:pPr>
      <w:r w:rsidRPr="00533A6C">
        <w:t xml:space="preserve">The AER </w:t>
      </w:r>
      <w:r w:rsidR="008203CD">
        <w:t>determines</w:t>
      </w:r>
      <w:r w:rsidR="008203CD" w:rsidRPr="00533A6C" w:rsidDel="008203CD">
        <w:t xml:space="preserve"> </w:t>
      </w:r>
      <w:r w:rsidRPr="00533A6C">
        <w:t>that the negotiating framework that is to apply to Transend for the transitional regulatory control period</w:t>
      </w:r>
      <w:r w:rsidR="00365C57">
        <w:t xml:space="preserve"> is</w:t>
      </w:r>
      <w:r w:rsidRPr="00533A6C">
        <w:t xml:space="preserve"> the negotiating framework that was approved as part of the transmission determination for the current regulatory control period of Transend.</w:t>
      </w:r>
    </w:p>
    <w:p w:rsidR="00E736F9" w:rsidRPr="008A3631" w:rsidRDefault="00E736F9" w:rsidP="00E736F9">
      <w:pPr>
        <w:pStyle w:val="Heading8"/>
        <w:numPr>
          <w:ilvl w:val="5"/>
          <w:numId w:val="31"/>
        </w:numPr>
      </w:pPr>
      <w:r w:rsidRPr="008A3631">
        <w:t>Negotiated transmission service criteria</w:t>
      </w:r>
    </w:p>
    <w:p w:rsidR="00E736F9" w:rsidRPr="00533A6C" w:rsidRDefault="00E736F9" w:rsidP="00E736F9">
      <w:pPr>
        <w:pStyle w:val="AERbodytext"/>
      </w:pPr>
      <w:r>
        <w:t xml:space="preserve">The AER </w:t>
      </w:r>
      <w:r w:rsidR="008A7068">
        <w:t>determines</w:t>
      </w:r>
      <w:r>
        <w:t xml:space="preserve"> that</w:t>
      </w:r>
      <w:r w:rsidRPr="00D41076">
        <w:t xml:space="preserve"> the Negotiated Transmission Service Criteria for </w:t>
      </w:r>
      <w:r w:rsidRPr="00533A6C">
        <w:t>Transend</w:t>
      </w:r>
      <w:r w:rsidR="00365C57">
        <w:t xml:space="preserve"> are</w:t>
      </w:r>
      <w:r w:rsidR="00365C57" w:rsidRPr="00533A6C">
        <w:t xml:space="preserve"> </w:t>
      </w:r>
      <w:r w:rsidRPr="00533A6C">
        <w:t>the Negotiated Transmission Service Criteria that were specified as part of the transmission determination for the current regulatory control period of Transend.</w:t>
      </w:r>
    </w:p>
    <w:p w:rsidR="00E736F9" w:rsidRPr="008A3631" w:rsidRDefault="00E736F9" w:rsidP="00E736F9">
      <w:pPr>
        <w:pStyle w:val="Heading8"/>
        <w:numPr>
          <w:ilvl w:val="5"/>
          <w:numId w:val="31"/>
        </w:numPr>
      </w:pPr>
      <w:r w:rsidRPr="008A3631">
        <w:t>Pricing methodology</w:t>
      </w:r>
    </w:p>
    <w:p w:rsidR="00E736F9" w:rsidRDefault="00E736F9" w:rsidP="00E736F9">
      <w:pPr>
        <w:pStyle w:val="AERbodytext"/>
        <w:numPr>
          <w:ilvl w:val="0"/>
          <w:numId w:val="0"/>
        </w:numPr>
      </w:pPr>
      <w:r>
        <w:t xml:space="preserve">The AER </w:t>
      </w:r>
      <w:r w:rsidR="008A7068">
        <w:t>determines</w:t>
      </w:r>
      <w:r>
        <w:t xml:space="preserve"> that</w:t>
      </w:r>
      <w:r w:rsidRPr="00D41076">
        <w:t xml:space="preserve"> the pricing methodology for </w:t>
      </w:r>
      <w:r w:rsidRPr="00533A6C">
        <w:t>Transend</w:t>
      </w:r>
      <w:r w:rsidR="00365C57">
        <w:t xml:space="preserve"> is</w:t>
      </w:r>
      <w:r w:rsidR="00365C57" w:rsidRPr="00533A6C">
        <w:t xml:space="preserve"> </w:t>
      </w:r>
      <w:r w:rsidRPr="00533A6C">
        <w:t>the pricing methodology which was approved as part of the transmission determination for the current regulatory control period of Transend.</w:t>
      </w:r>
    </w:p>
    <w:p w:rsidR="00E736F9" w:rsidRPr="001E1DFA" w:rsidRDefault="0092785B" w:rsidP="007B4470">
      <w:pPr>
        <w:pStyle w:val="Heading7"/>
        <w:numPr>
          <w:ilvl w:val="4"/>
          <w:numId w:val="31"/>
        </w:numPr>
      </w:pPr>
      <w:bookmarkStart w:id="89" w:name="_Toc383527673"/>
      <w:r>
        <w:lastRenderedPageBreak/>
        <w:t>List of s</w:t>
      </w:r>
      <w:r w:rsidR="00E736F9" w:rsidRPr="001E1DFA">
        <w:t>ubmissions</w:t>
      </w:r>
      <w:bookmarkEnd w:id="89"/>
      <w:r w:rsidR="00E736F9" w:rsidRPr="001E1DFA">
        <w:t xml:space="preserve"> </w:t>
      </w:r>
    </w:p>
    <w:p w:rsidR="00E736F9" w:rsidRDefault="00E736F9" w:rsidP="00E736F9">
      <w:pPr>
        <w:pStyle w:val="Caption"/>
      </w:pPr>
      <w:r>
        <w:t xml:space="preserve">Table </w:t>
      </w:r>
      <w:fldSimple w:instr=" STYLEREF 7 \s ">
        <w:r w:rsidR="00B40E3D">
          <w:rPr>
            <w:noProof/>
          </w:rPr>
          <w:t>C</w:t>
        </w:r>
      </w:fldSimple>
      <w:r>
        <w:t>.</w:t>
      </w:r>
      <w:fldSimple w:instr=" SEQ ATable \* ARABIC \s 7 ">
        <w:r w:rsidR="00B40E3D">
          <w:rPr>
            <w:noProof/>
          </w:rPr>
          <w:t>1</w:t>
        </w:r>
      </w:fldSimple>
      <w:r>
        <w:tab/>
        <w:t>S</w:t>
      </w:r>
      <w:r w:rsidRPr="004D7FE5">
        <w:t>ubmissions</w:t>
      </w:r>
      <w:r>
        <w:t xml:space="preserve"> to TransGrid</w:t>
      </w:r>
    </w:p>
    <w:tbl>
      <w:tblPr>
        <w:tblStyle w:val="AERtable-text"/>
        <w:tblW w:w="5000" w:type="pct"/>
        <w:tblLook w:val="04A0" w:firstRow="1" w:lastRow="0" w:firstColumn="1" w:lastColumn="0" w:noHBand="0" w:noVBand="1"/>
      </w:tblPr>
      <w:tblGrid>
        <w:gridCol w:w="4621"/>
        <w:gridCol w:w="4621"/>
      </w:tblGrid>
      <w:tr w:rsidR="00E736F9" w:rsidRPr="00830F04" w:rsidTr="003C7E7B">
        <w:trPr>
          <w:cnfStyle w:val="100000000000" w:firstRow="1" w:lastRow="0" w:firstColumn="0" w:lastColumn="0" w:oddVBand="0" w:evenVBand="0" w:oddHBand="0" w:evenHBand="0" w:firstRowFirstColumn="0" w:firstRowLastColumn="0" w:lastRowFirstColumn="0" w:lastRowLastColumn="0"/>
        </w:trPr>
        <w:tc>
          <w:tcPr>
            <w:tcW w:w="2500" w:type="pct"/>
            <w:vAlign w:val="top"/>
          </w:tcPr>
          <w:p w:rsidR="00E736F9" w:rsidRDefault="00E736F9" w:rsidP="003C7E7B">
            <w:r>
              <w:t xml:space="preserve">Date </w:t>
            </w:r>
          </w:p>
        </w:tc>
        <w:tc>
          <w:tcPr>
            <w:tcW w:w="2500" w:type="pct"/>
            <w:vAlign w:val="top"/>
          </w:tcPr>
          <w:p w:rsidR="00E736F9" w:rsidRDefault="00E736F9" w:rsidP="003C7E7B">
            <w:r w:rsidRPr="007545EC">
              <w:t>Respondent</w:t>
            </w:r>
          </w:p>
        </w:tc>
      </w:tr>
      <w:tr w:rsidR="00E736F9" w:rsidRPr="00830F04" w:rsidTr="003C7E7B">
        <w:tc>
          <w:tcPr>
            <w:tcW w:w="2500" w:type="pct"/>
          </w:tcPr>
          <w:p w:rsidR="00E736F9" w:rsidRPr="007231C7" w:rsidRDefault="00E736F9" w:rsidP="003C7E7B">
            <w:r>
              <w:t>3 March 2014</w:t>
            </w:r>
          </w:p>
        </w:tc>
        <w:tc>
          <w:tcPr>
            <w:tcW w:w="2500" w:type="pct"/>
          </w:tcPr>
          <w:p w:rsidR="00E736F9" w:rsidRPr="007231C7" w:rsidRDefault="00E736F9" w:rsidP="003C7E7B">
            <w:r w:rsidRPr="009A2774">
              <w:t>The National Generators Forum (NGF)</w:t>
            </w:r>
          </w:p>
        </w:tc>
      </w:tr>
      <w:tr w:rsidR="00E736F9" w:rsidRPr="00830F04" w:rsidTr="003C7E7B">
        <w:trPr>
          <w:cnfStyle w:val="000000010000" w:firstRow="0" w:lastRow="0" w:firstColumn="0" w:lastColumn="0" w:oddVBand="0" w:evenVBand="0" w:oddHBand="0" w:evenHBand="1" w:firstRowFirstColumn="0" w:firstRowLastColumn="0" w:lastRowFirstColumn="0" w:lastRowLastColumn="0"/>
        </w:trPr>
        <w:tc>
          <w:tcPr>
            <w:tcW w:w="2500" w:type="pct"/>
          </w:tcPr>
          <w:p w:rsidR="00E736F9" w:rsidRPr="007231C7" w:rsidRDefault="00E736F9" w:rsidP="003C7E7B">
            <w:r>
              <w:t>3 March 2014</w:t>
            </w:r>
          </w:p>
        </w:tc>
        <w:tc>
          <w:tcPr>
            <w:tcW w:w="2500" w:type="pct"/>
          </w:tcPr>
          <w:p w:rsidR="00E736F9" w:rsidRPr="007231C7" w:rsidRDefault="00E736F9" w:rsidP="003C7E7B">
            <w:r w:rsidRPr="00027B92">
              <w:t xml:space="preserve">Ben </w:t>
            </w:r>
            <w:proofErr w:type="spellStart"/>
            <w:r w:rsidRPr="00027B92">
              <w:t>Crossling</w:t>
            </w:r>
            <w:proofErr w:type="spellEnd"/>
            <w:r>
              <w:t xml:space="preserve">, </w:t>
            </w:r>
            <w:r w:rsidRPr="00027B92">
              <w:t>The Australian National University</w:t>
            </w:r>
          </w:p>
        </w:tc>
      </w:tr>
      <w:tr w:rsidR="00E736F9" w:rsidRPr="00830F04" w:rsidTr="003C7E7B">
        <w:tc>
          <w:tcPr>
            <w:tcW w:w="2500" w:type="pct"/>
          </w:tcPr>
          <w:p w:rsidR="00E736F9" w:rsidRPr="007231C7" w:rsidRDefault="00E736F9" w:rsidP="003C7E7B">
            <w:r>
              <w:t>4 March 2014</w:t>
            </w:r>
          </w:p>
        </w:tc>
        <w:tc>
          <w:tcPr>
            <w:tcW w:w="2500" w:type="pct"/>
          </w:tcPr>
          <w:p w:rsidR="00E736F9" w:rsidRPr="007231C7" w:rsidRDefault="00E736F9" w:rsidP="003C7E7B">
            <w:r w:rsidRPr="00027B92">
              <w:t xml:space="preserve">Major Energy Users </w:t>
            </w:r>
            <w:proofErr w:type="spellStart"/>
            <w:r w:rsidRPr="00027B92">
              <w:t>Inc</w:t>
            </w:r>
            <w:proofErr w:type="spellEnd"/>
            <w:r>
              <w:t xml:space="preserve"> (MEU)</w:t>
            </w:r>
          </w:p>
        </w:tc>
      </w:tr>
      <w:tr w:rsidR="00E736F9" w:rsidRPr="00830F04" w:rsidTr="003C7E7B">
        <w:trPr>
          <w:cnfStyle w:val="000000010000" w:firstRow="0" w:lastRow="0" w:firstColumn="0" w:lastColumn="0" w:oddVBand="0" w:evenVBand="0" w:oddHBand="0" w:evenHBand="1" w:firstRowFirstColumn="0" w:firstRowLastColumn="0" w:lastRowFirstColumn="0" w:lastRowLastColumn="0"/>
        </w:trPr>
        <w:tc>
          <w:tcPr>
            <w:tcW w:w="2500" w:type="pct"/>
          </w:tcPr>
          <w:p w:rsidR="00E736F9" w:rsidRPr="007231C7" w:rsidRDefault="00E736F9" w:rsidP="003C7E7B">
            <w:r>
              <w:t>4 March 2014</w:t>
            </w:r>
          </w:p>
        </w:tc>
        <w:tc>
          <w:tcPr>
            <w:tcW w:w="2500" w:type="pct"/>
          </w:tcPr>
          <w:p w:rsidR="00E736F9" w:rsidRPr="007231C7" w:rsidRDefault="00E736F9" w:rsidP="003C7E7B">
            <w:r w:rsidRPr="00027B92">
              <w:t>The Public Interest Advocacy Centre (PIAC)</w:t>
            </w:r>
          </w:p>
        </w:tc>
      </w:tr>
    </w:tbl>
    <w:p w:rsidR="00E736F9" w:rsidRDefault="00E736F9" w:rsidP="00E736F9">
      <w:pPr>
        <w:pStyle w:val="Caption"/>
      </w:pPr>
      <w:r>
        <w:t xml:space="preserve">Table </w:t>
      </w:r>
      <w:fldSimple w:instr=" STYLEREF 7 \s ">
        <w:r w:rsidR="00B40E3D">
          <w:rPr>
            <w:noProof/>
          </w:rPr>
          <w:t>C</w:t>
        </w:r>
      </w:fldSimple>
      <w:r>
        <w:t>.</w:t>
      </w:r>
      <w:fldSimple w:instr=" SEQ ATable \* ARABIC \s 7 ">
        <w:r w:rsidR="00B40E3D">
          <w:rPr>
            <w:noProof/>
          </w:rPr>
          <w:t>2</w:t>
        </w:r>
      </w:fldSimple>
      <w:r>
        <w:tab/>
        <w:t>S</w:t>
      </w:r>
      <w:r w:rsidRPr="004D7FE5">
        <w:t>ubmissions</w:t>
      </w:r>
      <w:r>
        <w:t xml:space="preserve"> to Transend</w:t>
      </w:r>
    </w:p>
    <w:tbl>
      <w:tblPr>
        <w:tblStyle w:val="AERtable-text"/>
        <w:tblW w:w="5000" w:type="pct"/>
        <w:tblLook w:val="04A0" w:firstRow="1" w:lastRow="0" w:firstColumn="1" w:lastColumn="0" w:noHBand="0" w:noVBand="1"/>
      </w:tblPr>
      <w:tblGrid>
        <w:gridCol w:w="4621"/>
        <w:gridCol w:w="4621"/>
      </w:tblGrid>
      <w:tr w:rsidR="00E736F9" w:rsidRPr="00830F04" w:rsidTr="003C7E7B">
        <w:trPr>
          <w:cnfStyle w:val="100000000000" w:firstRow="1" w:lastRow="0" w:firstColumn="0" w:lastColumn="0" w:oddVBand="0" w:evenVBand="0" w:oddHBand="0" w:evenHBand="0" w:firstRowFirstColumn="0" w:firstRowLastColumn="0" w:lastRowFirstColumn="0" w:lastRowLastColumn="0"/>
        </w:trPr>
        <w:tc>
          <w:tcPr>
            <w:tcW w:w="2500" w:type="pct"/>
            <w:vAlign w:val="top"/>
          </w:tcPr>
          <w:p w:rsidR="00E736F9" w:rsidRDefault="00E736F9" w:rsidP="003C7E7B">
            <w:r>
              <w:t xml:space="preserve">Date </w:t>
            </w:r>
          </w:p>
        </w:tc>
        <w:tc>
          <w:tcPr>
            <w:tcW w:w="2500" w:type="pct"/>
            <w:vAlign w:val="top"/>
          </w:tcPr>
          <w:p w:rsidR="00E736F9" w:rsidRDefault="00E736F9" w:rsidP="003C7E7B">
            <w:r w:rsidRPr="007545EC">
              <w:t>Respondent</w:t>
            </w:r>
          </w:p>
        </w:tc>
      </w:tr>
      <w:tr w:rsidR="00E736F9" w:rsidRPr="00830F04" w:rsidTr="003C7E7B">
        <w:tc>
          <w:tcPr>
            <w:tcW w:w="2500" w:type="pct"/>
          </w:tcPr>
          <w:p w:rsidR="00E736F9" w:rsidRPr="007231C7" w:rsidRDefault="00E736F9" w:rsidP="003C7E7B">
            <w:r>
              <w:t>3 March 2014</w:t>
            </w:r>
          </w:p>
        </w:tc>
        <w:tc>
          <w:tcPr>
            <w:tcW w:w="2500" w:type="pct"/>
          </w:tcPr>
          <w:p w:rsidR="00E736F9" w:rsidRPr="007231C7" w:rsidRDefault="00E736F9" w:rsidP="003C7E7B">
            <w:r w:rsidRPr="009A2774">
              <w:t>The National Generators Forum (NGF)</w:t>
            </w:r>
          </w:p>
        </w:tc>
      </w:tr>
      <w:tr w:rsidR="00E736F9" w:rsidRPr="00830F04" w:rsidTr="003C7E7B">
        <w:trPr>
          <w:cnfStyle w:val="000000010000" w:firstRow="0" w:lastRow="0" w:firstColumn="0" w:lastColumn="0" w:oddVBand="0" w:evenVBand="0" w:oddHBand="0" w:evenHBand="1" w:firstRowFirstColumn="0" w:firstRowLastColumn="0" w:lastRowFirstColumn="0" w:lastRowLastColumn="0"/>
        </w:trPr>
        <w:tc>
          <w:tcPr>
            <w:tcW w:w="2500" w:type="pct"/>
          </w:tcPr>
          <w:p w:rsidR="00E736F9" w:rsidRPr="007231C7" w:rsidRDefault="00E736F9" w:rsidP="003C7E7B">
            <w:r>
              <w:t>4 March 2014</w:t>
            </w:r>
          </w:p>
        </w:tc>
        <w:tc>
          <w:tcPr>
            <w:tcW w:w="2500" w:type="pct"/>
          </w:tcPr>
          <w:p w:rsidR="00E736F9" w:rsidRPr="007231C7" w:rsidRDefault="00E736F9" w:rsidP="003C7E7B">
            <w:r w:rsidRPr="00027B92">
              <w:t xml:space="preserve">Major Energy Users </w:t>
            </w:r>
            <w:proofErr w:type="spellStart"/>
            <w:r w:rsidRPr="00027B92">
              <w:t>Inc</w:t>
            </w:r>
            <w:proofErr w:type="spellEnd"/>
            <w:r>
              <w:t xml:space="preserve"> (MEU)</w:t>
            </w:r>
          </w:p>
        </w:tc>
      </w:tr>
      <w:tr w:rsidR="00E736F9" w:rsidRPr="00830F04" w:rsidTr="003C7E7B">
        <w:tc>
          <w:tcPr>
            <w:tcW w:w="2500" w:type="pct"/>
          </w:tcPr>
          <w:p w:rsidR="00E736F9" w:rsidRPr="007231C7" w:rsidRDefault="00E736F9" w:rsidP="003C7E7B">
            <w:r>
              <w:t>12 March 2014</w:t>
            </w:r>
          </w:p>
        </w:tc>
        <w:tc>
          <w:tcPr>
            <w:tcW w:w="2500" w:type="pct"/>
          </w:tcPr>
          <w:p w:rsidR="00E736F9" w:rsidRPr="007231C7" w:rsidRDefault="00E736F9" w:rsidP="003C7E7B">
            <w:r>
              <w:t>Tasmania Small Business Council (TSBC)</w:t>
            </w:r>
          </w:p>
        </w:tc>
      </w:tr>
    </w:tbl>
    <w:p w:rsidR="00E736F9" w:rsidRPr="008C3ABE" w:rsidRDefault="00E736F9" w:rsidP="00E736F9">
      <w:pPr>
        <w:pStyle w:val="AERbodytext"/>
      </w:pPr>
    </w:p>
    <w:p w:rsidR="00E736F9" w:rsidRDefault="00E736F9" w:rsidP="00E736F9">
      <w:pPr>
        <w:spacing w:after="0" w:line="240" w:lineRule="auto"/>
        <w:jc w:val="left"/>
        <w:rPr>
          <w:rFonts w:eastAsia="Times New Roman"/>
          <w:szCs w:val="24"/>
        </w:rPr>
      </w:pPr>
      <w:r>
        <w:br w:type="page"/>
      </w:r>
    </w:p>
    <w:p w:rsidR="005F0D57" w:rsidRDefault="00DA2707" w:rsidP="007B4470">
      <w:pPr>
        <w:pStyle w:val="Heading7"/>
      </w:pPr>
      <w:bookmarkStart w:id="90" w:name="_Toc383527674"/>
      <w:r>
        <w:lastRenderedPageBreak/>
        <w:t>S</w:t>
      </w:r>
      <w:r w:rsidR="005F0D57">
        <w:t xml:space="preserve">ummary of </w:t>
      </w:r>
      <w:r w:rsidR="00963CD7">
        <w:t>TNSPs</w:t>
      </w:r>
      <w:r w:rsidR="005F0D57">
        <w:t>’ transitional re</w:t>
      </w:r>
      <w:r w:rsidR="00151F83">
        <w:t>venue</w:t>
      </w:r>
      <w:r w:rsidR="005F0D57">
        <w:t xml:space="preserve"> proposals</w:t>
      </w:r>
      <w:bookmarkStart w:id="91" w:name="_Ref381337107"/>
      <w:bookmarkStart w:id="92" w:name="_Ref381337184"/>
      <w:bookmarkEnd w:id="90"/>
    </w:p>
    <w:bookmarkEnd w:id="91"/>
    <w:bookmarkEnd w:id="92"/>
    <w:p w:rsidR="00DA2707" w:rsidRDefault="00455D2D" w:rsidP="007B4470">
      <w:pPr>
        <w:pStyle w:val="Heading8"/>
        <w:rPr>
          <w:rStyle w:val="AERtextbold"/>
          <w:sz w:val="36"/>
        </w:rPr>
      </w:pPr>
      <w:r>
        <w:rPr>
          <w:rStyle w:val="AERtextbold"/>
        </w:rPr>
        <w:t>TransGrid</w:t>
      </w:r>
    </w:p>
    <w:p w:rsidR="003A72DE" w:rsidRPr="003A72DE" w:rsidRDefault="00455D2D" w:rsidP="007B4470">
      <w:pPr>
        <w:pStyle w:val="HeadingBoldBlue"/>
        <w:rPr>
          <w:rStyle w:val="AERbody"/>
          <w:bCs/>
          <w:iCs/>
          <w:color w:val="365F91" w:themeColor="accent1" w:themeShade="BF"/>
          <w:sz w:val="22"/>
        </w:rPr>
      </w:pPr>
      <w:r w:rsidRPr="0032513A">
        <w:rPr>
          <w:rStyle w:val="AERbody"/>
          <w:color w:val="365F91" w:themeColor="accent1" w:themeShade="BF"/>
          <w:sz w:val="22"/>
        </w:rPr>
        <w:t>MAR</w:t>
      </w:r>
    </w:p>
    <w:p w:rsidR="003A72DE" w:rsidRPr="005D5323" w:rsidRDefault="003A72DE" w:rsidP="005D5323">
      <w:pPr>
        <w:pStyle w:val="AERbodytext"/>
      </w:pPr>
      <w:r w:rsidRPr="005D5323">
        <w:fldChar w:fldCharType="begin"/>
      </w:r>
      <w:r w:rsidRPr="005D5323">
        <w:instrText xml:space="preserve"> REF _Ref381785172 \h </w:instrText>
      </w:r>
      <w:r w:rsidR="005D5323">
        <w:instrText xml:space="preserve"> \* MERGEFORMAT </w:instrText>
      </w:r>
      <w:r w:rsidRPr="005D5323">
        <w:fldChar w:fldCharType="separate"/>
      </w:r>
      <w:r w:rsidR="00B40E3D">
        <w:t>Table D.1</w:t>
      </w:r>
      <w:r w:rsidRPr="005D5323">
        <w:fldChar w:fldCharType="end"/>
      </w:r>
      <w:r w:rsidRPr="005D5323">
        <w:t xml:space="preserve"> shows </w:t>
      </w:r>
      <w:proofErr w:type="spellStart"/>
      <w:r w:rsidRPr="005D5323">
        <w:t>TransGrid’s</w:t>
      </w:r>
      <w:proofErr w:type="spellEnd"/>
      <w:r w:rsidRPr="005D5323">
        <w:t xml:space="preserve"> proposed total revenue</w:t>
      </w:r>
      <w:r w:rsidR="005D5323" w:rsidRPr="005D5323">
        <w:t xml:space="preserve"> for each year of the 2014–</w:t>
      </w:r>
      <w:r w:rsidR="005D5323">
        <w:t>1</w:t>
      </w:r>
      <w:r w:rsidR="005D5323" w:rsidRPr="005D5323">
        <w:t xml:space="preserve">9 </w:t>
      </w:r>
      <w:proofErr w:type="gramStart"/>
      <w:r w:rsidR="005D5323" w:rsidRPr="005D5323">
        <w:t>period</w:t>
      </w:r>
      <w:proofErr w:type="gramEnd"/>
      <w:r w:rsidR="005D5323" w:rsidRPr="005D5323">
        <w:t>, including</w:t>
      </w:r>
      <w:r w:rsidRPr="005D5323">
        <w:t xml:space="preserve"> the building blocks</w:t>
      </w:r>
      <w:r w:rsidR="005D5323" w:rsidRPr="005D5323">
        <w:t xml:space="preserve"> and </w:t>
      </w:r>
      <w:proofErr w:type="spellStart"/>
      <w:r w:rsidRPr="005D5323">
        <w:t>TransGrid’s</w:t>
      </w:r>
      <w:proofErr w:type="spellEnd"/>
      <w:r w:rsidRPr="005D5323">
        <w:t xml:space="preserve"> proposed smoothing.</w:t>
      </w:r>
      <w:r w:rsidRPr="005D5323">
        <w:rPr>
          <w:rStyle w:val="AERsuperscript"/>
        </w:rPr>
        <w:footnoteReference w:id="80"/>
      </w:r>
    </w:p>
    <w:p w:rsidR="003A72DE" w:rsidRPr="00E178C2" w:rsidRDefault="003A72DE" w:rsidP="003A72DE">
      <w:pPr>
        <w:pStyle w:val="Caption"/>
      </w:pPr>
      <w:bookmarkStart w:id="93" w:name="_Ref381785172"/>
      <w:bookmarkStart w:id="94" w:name="_Ref381786080"/>
      <w:proofErr w:type="gramStart"/>
      <w:r>
        <w:t xml:space="preserve">Table </w:t>
      </w:r>
      <w:fldSimple w:instr=" STYLEREF 7 \s ">
        <w:r w:rsidR="00B40E3D">
          <w:rPr>
            <w:noProof/>
          </w:rPr>
          <w:t>D</w:t>
        </w:r>
      </w:fldSimple>
      <w:r>
        <w:t>.</w:t>
      </w:r>
      <w:proofErr w:type="gramEnd"/>
      <w:r w:rsidR="007827B4">
        <w:fldChar w:fldCharType="begin"/>
      </w:r>
      <w:r w:rsidR="007827B4">
        <w:instrText xml:space="preserve"> SEQ Table \* ARABIC \s 7 </w:instrText>
      </w:r>
      <w:r w:rsidR="007827B4">
        <w:fldChar w:fldCharType="separate"/>
      </w:r>
      <w:r w:rsidR="00B40E3D">
        <w:rPr>
          <w:noProof/>
        </w:rPr>
        <w:t>1</w:t>
      </w:r>
      <w:r w:rsidR="007827B4">
        <w:rPr>
          <w:noProof/>
        </w:rPr>
        <w:fldChar w:fldCharType="end"/>
      </w:r>
      <w:bookmarkEnd w:id="93"/>
      <w:bookmarkEnd w:id="94"/>
      <w:r>
        <w:tab/>
      </w:r>
      <w:proofErr w:type="spellStart"/>
      <w:r>
        <w:t>TransGrid’s</w:t>
      </w:r>
      <w:proofErr w:type="spellEnd"/>
      <w:r>
        <w:t xml:space="preserve"> proposed building blocks and total revenue ($m, nominal)</w:t>
      </w:r>
    </w:p>
    <w:tbl>
      <w:tblPr>
        <w:tblStyle w:val="AERtable-numbers"/>
        <w:tblW w:w="9180" w:type="dxa"/>
        <w:tblLayout w:type="fixed"/>
        <w:tblLook w:val="04A0" w:firstRow="1" w:lastRow="0" w:firstColumn="1" w:lastColumn="0" w:noHBand="0" w:noVBand="1"/>
      </w:tblPr>
      <w:tblGrid>
        <w:gridCol w:w="2518"/>
        <w:gridCol w:w="1110"/>
        <w:gridCol w:w="1110"/>
        <w:gridCol w:w="1111"/>
        <w:gridCol w:w="1110"/>
        <w:gridCol w:w="1110"/>
        <w:gridCol w:w="1111"/>
      </w:tblGrid>
      <w:tr w:rsidR="003A72DE" w:rsidRPr="00A34D28" w:rsidTr="003A72D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A34D28" w:rsidRDefault="003A72DE" w:rsidP="003A72DE">
            <w:pPr>
              <w:pStyle w:val="AERtabletextleft"/>
            </w:pPr>
            <w:r w:rsidRPr="00A34D28">
              <w:t>Building blocks</w:t>
            </w:r>
          </w:p>
        </w:tc>
        <w:tc>
          <w:tcPr>
            <w:tcW w:w="1110" w:type="dxa"/>
            <w:noWrap/>
            <w:hideMark/>
          </w:tcPr>
          <w:p w:rsidR="003A72DE" w:rsidRPr="00A34D2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A34D28">
              <w:t>2013–14</w:t>
            </w:r>
          </w:p>
        </w:tc>
        <w:tc>
          <w:tcPr>
            <w:tcW w:w="1110" w:type="dxa"/>
            <w:noWrap/>
            <w:hideMark/>
          </w:tcPr>
          <w:p w:rsidR="003A72DE" w:rsidRPr="00A34D2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A34D28">
              <w:t>2014–15</w:t>
            </w:r>
          </w:p>
        </w:tc>
        <w:tc>
          <w:tcPr>
            <w:tcW w:w="1111" w:type="dxa"/>
            <w:noWrap/>
            <w:hideMark/>
          </w:tcPr>
          <w:p w:rsidR="003A72DE" w:rsidRPr="00A34D2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A34D28">
              <w:t>2015–16</w:t>
            </w:r>
          </w:p>
        </w:tc>
        <w:tc>
          <w:tcPr>
            <w:tcW w:w="1110" w:type="dxa"/>
            <w:noWrap/>
            <w:hideMark/>
          </w:tcPr>
          <w:p w:rsidR="003A72DE" w:rsidRPr="00A34D2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A34D28">
              <w:t>2016–17</w:t>
            </w:r>
          </w:p>
        </w:tc>
        <w:tc>
          <w:tcPr>
            <w:tcW w:w="1110" w:type="dxa"/>
            <w:noWrap/>
            <w:hideMark/>
          </w:tcPr>
          <w:p w:rsidR="003A72DE" w:rsidRPr="00A34D2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A34D28">
              <w:t>2017–18</w:t>
            </w:r>
          </w:p>
        </w:tc>
        <w:tc>
          <w:tcPr>
            <w:tcW w:w="1111" w:type="dxa"/>
            <w:noWrap/>
            <w:hideMark/>
          </w:tcPr>
          <w:p w:rsidR="003A72DE" w:rsidRPr="00A34D2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A34D28">
              <w:t>2018–19</w:t>
            </w:r>
          </w:p>
        </w:tc>
      </w:tr>
      <w:tr w:rsidR="003A72DE" w:rsidRPr="00A34D28" w:rsidTr="003A72DE">
        <w:trPr>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A34D28" w:rsidRDefault="003A72DE" w:rsidP="003A72DE">
            <w:pPr>
              <w:pStyle w:val="AERtabletextleft"/>
            </w:pPr>
            <w:r w:rsidRPr="00A34D28">
              <w:t>Return on capital</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543</w:t>
            </w:r>
          </w:p>
        </w:tc>
        <w:tc>
          <w:tcPr>
            <w:tcW w:w="1111"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569</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596</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629</w:t>
            </w:r>
          </w:p>
        </w:tc>
        <w:tc>
          <w:tcPr>
            <w:tcW w:w="1111"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657</w:t>
            </w:r>
          </w:p>
        </w:tc>
      </w:tr>
      <w:tr w:rsidR="003A72DE" w:rsidRPr="00A34D28" w:rsidTr="003A72D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A34D28" w:rsidRDefault="003A72DE" w:rsidP="003A72DE">
            <w:pPr>
              <w:pStyle w:val="AERtabletextleft"/>
            </w:pPr>
            <w:r w:rsidRPr="00A34D28">
              <w:t>Return of capital</w:t>
            </w:r>
          </w:p>
        </w:tc>
        <w:tc>
          <w:tcPr>
            <w:tcW w:w="1110"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p>
        </w:tc>
        <w:tc>
          <w:tcPr>
            <w:tcW w:w="1110"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92</w:t>
            </w:r>
          </w:p>
        </w:tc>
        <w:tc>
          <w:tcPr>
            <w:tcW w:w="1111"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104</w:t>
            </w:r>
          </w:p>
        </w:tc>
        <w:tc>
          <w:tcPr>
            <w:tcW w:w="1110"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116</w:t>
            </w:r>
          </w:p>
        </w:tc>
        <w:tc>
          <w:tcPr>
            <w:tcW w:w="1110"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98</w:t>
            </w:r>
          </w:p>
        </w:tc>
        <w:tc>
          <w:tcPr>
            <w:tcW w:w="1111"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110</w:t>
            </w:r>
          </w:p>
        </w:tc>
      </w:tr>
      <w:tr w:rsidR="003A72DE" w:rsidRPr="00A34D28" w:rsidTr="003A72DE">
        <w:trPr>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A34D28" w:rsidRDefault="003A72DE" w:rsidP="003A72DE">
            <w:pPr>
              <w:pStyle w:val="AERtabletextleft"/>
            </w:pPr>
            <w:r w:rsidRPr="00A34D28">
              <w:t>Operating expenditure</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192</w:t>
            </w:r>
          </w:p>
        </w:tc>
        <w:tc>
          <w:tcPr>
            <w:tcW w:w="1111"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196</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199</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206</w:t>
            </w:r>
          </w:p>
        </w:tc>
        <w:tc>
          <w:tcPr>
            <w:tcW w:w="1111"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216</w:t>
            </w:r>
          </w:p>
        </w:tc>
      </w:tr>
      <w:tr w:rsidR="003A72DE" w:rsidRPr="00A34D28" w:rsidTr="003A72D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A34D28" w:rsidRDefault="003A72DE" w:rsidP="003A72DE">
            <w:pPr>
              <w:pStyle w:val="AERtabletextleft"/>
            </w:pPr>
            <w:r w:rsidRPr="00A34D28">
              <w:t>Efficiency carryover</w:t>
            </w:r>
          </w:p>
        </w:tc>
        <w:tc>
          <w:tcPr>
            <w:tcW w:w="1110"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p>
        </w:tc>
        <w:tc>
          <w:tcPr>
            <w:tcW w:w="1110"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25</w:t>
            </w:r>
          </w:p>
        </w:tc>
        <w:tc>
          <w:tcPr>
            <w:tcW w:w="1111"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10</w:t>
            </w:r>
          </w:p>
        </w:tc>
        <w:tc>
          <w:tcPr>
            <w:tcW w:w="1110"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12</w:t>
            </w:r>
          </w:p>
        </w:tc>
        <w:tc>
          <w:tcPr>
            <w:tcW w:w="1110"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21</w:t>
            </w:r>
          </w:p>
        </w:tc>
        <w:tc>
          <w:tcPr>
            <w:tcW w:w="1111"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4</w:t>
            </w:r>
          </w:p>
        </w:tc>
      </w:tr>
      <w:tr w:rsidR="003A72DE" w:rsidRPr="00A34D28" w:rsidTr="003A72DE">
        <w:trPr>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A34D28" w:rsidRDefault="003A72DE" w:rsidP="003A72DE">
            <w:pPr>
              <w:pStyle w:val="AERtabletextleft"/>
            </w:pPr>
            <w:r w:rsidRPr="00A34D28">
              <w:t>Net tax allowance</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46</w:t>
            </w:r>
          </w:p>
        </w:tc>
        <w:tc>
          <w:tcPr>
            <w:tcW w:w="1111"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49</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69</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71</w:t>
            </w:r>
          </w:p>
        </w:tc>
        <w:tc>
          <w:tcPr>
            <w:tcW w:w="1111"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75</w:t>
            </w:r>
          </w:p>
        </w:tc>
      </w:tr>
      <w:tr w:rsidR="003A72DE" w:rsidRPr="00A34D28" w:rsidTr="003A72D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A34D28" w:rsidRDefault="003A72DE" w:rsidP="003A72DE">
            <w:pPr>
              <w:pStyle w:val="AERtabletextleft"/>
            </w:pPr>
            <w:r w:rsidRPr="00A34D28">
              <w:t>Total revenue (unsmoothed)</w:t>
            </w:r>
          </w:p>
        </w:tc>
        <w:tc>
          <w:tcPr>
            <w:tcW w:w="1110"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p>
        </w:tc>
        <w:tc>
          <w:tcPr>
            <w:tcW w:w="1110"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897</w:t>
            </w:r>
          </w:p>
        </w:tc>
        <w:tc>
          <w:tcPr>
            <w:tcW w:w="1111"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929</w:t>
            </w:r>
          </w:p>
        </w:tc>
        <w:tc>
          <w:tcPr>
            <w:tcW w:w="1110"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992</w:t>
            </w:r>
          </w:p>
        </w:tc>
        <w:tc>
          <w:tcPr>
            <w:tcW w:w="1110"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1026</w:t>
            </w:r>
          </w:p>
        </w:tc>
        <w:tc>
          <w:tcPr>
            <w:tcW w:w="1111"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1062</w:t>
            </w:r>
          </w:p>
        </w:tc>
      </w:tr>
      <w:tr w:rsidR="003A72DE" w:rsidRPr="00A34D28" w:rsidTr="003A72DE">
        <w:trPr>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A34D28" w:rsidRDefault="003A72DE" w:rsidP="003A72DE">
            <w:pPr>
              <w:pStyle w:val="AERtabletextleft"/>
              <w:rPr>
                <w:b/>
              </w:rPr>
            </w:pPr>
            <w:r w:rsidRPr="00A34D28">
              <w:rPr>
                <w:b/>
              </w:rPr>
              <w:t>Total revenue (smoothed)</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863</w:t>
            </w:r>
            <w:r w:rsidRPr="00A34D28">
              <w:rPr>
                <w:b/>
                <w:vertAlign w:val="superscript"/>
              </w:rPr>
              <w:t>a</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930</w:t>
            </w:r>
          </w:p>
        </w:tc>
        <w:tc>
          <w:tcPr>
            <w:tcW w:w="1111"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953</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977</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1002</w:t>
            </w:r>
          </w:p>
        </w:tc>
        <w:tc>
          <w:tcPr>
            <w:tcW w:w="1111"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1027</w:t>
            </w:r>
          </w:p>
        </w:tc>
      </w:tr>
      <w:tr w:rsidR="003A72DE" w:rsidRPr="00A34D28" w:rsidTr="003A72D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A34D28" w:rsidRDefault="003A72DE" w:rsidP="003A72DE">
            <w:pPr>
              <w:pStyle w:val="AERtabletextleft"/>
            </w:pPr>
            <w:proofErr w:type="spellStart"/>
            <w:r w:rsidRPr="00A34D28">
              <w:t>Change</w:t>
            </w:r>
            <w:r w:rsidRPr="00A34D28">
              <w:rPr>
                <w:vertAlign w:val="superscript"/>
              </w:rPr>
              <w:t>b</w:t>
            </w:r>
            <w:proofErr w:type="spellEnd"/>
            <w:r w:rsidRPr="00A34D28">
              <w:t xml:space="preserve"> (%)</w:t>
            </w:r>
          </w:p>
        </w:tc>
        <w:tc>
          <w:tcPr>
            <w:tcW w:w="1110"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p>
        </w:tc>
        <w:tc>
          <w:tcPr>
            <w:tcW w:w="1110"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7.7%</w:t>
            </w:r>
          </w:p>
        </w:tc>
        <w:tc>
          <w:tcPr>
            <w:tcW w:w="1111"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2.5%</w:t>
            </w:r>
          </w:p>
        </w:tc>
        <w:tc>
          <w:tcPr>
            <w:tcW w:w="1110"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2.5%</w:t>
            </w:r>
          </w:p>
        </w:tc>
        <w:tc>
          <w:tcPr>
            <w:tcW w:w="1110"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2.5%</w:t>
            </w:r>
          </w:p>
        </w:tc>
        <w:tc>
          <w:tcPr>
            <w:tcW w:w="1111" w:type="dxa"/>
            <w:noWrap/>
            <w:hideMark/>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2.5%</w:t>
            </w:r>
          </w:p>
        </w:tc>
      </w:tr>
    </w:tbl>
    <w:p w:rsidR="003A72DE" w:rsidRDefault="003A72DE" w:rsidP="003A72DE">
      <w:pPr>
        <w:pStyle w:val="AERtablesource"/>
      </w:pPr>
      <w:r>
        <w:t>Source:</w:t>
      </w:r>
      <w:r>
        <w:tab/>
        <w:t xml:space="preserve">TransGrid, </w:t>
      </w:r>
      <w:r w:rsidRPr="00836C60">
        <w:rPr>
          <w:i/>
        </w:rPr>
        <w:t>Transitional revenue proposal 2014/15</w:t>
      </w:r>
      <w:r>
        <w:t>, 31 January 2014, p. 9, 64–65; AER calculations.</w:t>
      </w:r>
    </w:p>
    <w:p w:rsidR="003A72DE" w:rsidRDefault="003A72DE" w:rsidP="003A72DE">
      <w:pPr>
        <w:pStyle w:val="AERtablesource"/>
      </w:pPr>
      <w:r>
        <w:t>Notes:</w:t>
      </w:r>
    </w:p>
    <w:p w:rsidR="003A72DE" w:rsidRDefault="003A72DE" w:rsidP="003A72DE">
      <w:pPr>
        <w:pStyle w:val="AERtablesource"/>
      </w:pPr>
      <w:proofErr w:type="spellStart"/>
      <w:proofErr w:type="gramStart"/>
      <w:r>
        <w:t>a</w:t>
      </w:r>
      <w:proofErr w:type="spellEnd"/>
      <w:proofErr w:type="gramEnd"/>
      <w:r>
        <w:tab/>
        <w:t>This figure is the revenue TransGrid estimates it will recover in 2013-14 (not the allowed revenue from the AER’s 2009 determination), as discussed further below.</w:t>
      </w:r>
    </w:p>
    <w:p w:rsidR="003A72DE" w:rsidRPr="00836C60" w:rsidRDefault="003A72DE" w:rsidP="003A72DE">
      <w:pPr>
        <w:pStyle w:val="AERtablesource"/>
      </w:pPr>
      <w:proofErr w:type="gramStart"/>
      <w:r>
        <w:t>b</w:t>
      </w:r>
      <w:proofErr w:type="gramEnd"/>
      <w:r>
        <w:tab/>
        <w:t>This row shows the year-on-year change in total nominal revenues. It should not be interpreted as the X-factor change from year to year.</w:t>
      </w:r>
    </w:p>
    <w:p w:rsidR="003A72DE" w:rsidRDefault="003A72DE" w:rsidP="003A72DE">
      <w:pPr>
        <w:pStyle w:val="AERbodytext"/>
        <w:numPr>
          <w:ilvl w:val="0"/>
          <w:numId w:val="0"/>
        </w:numPr>
      </w:pPr>
      <w:r>
        <w:t xml:space="preserve">In its </w:t>
      </w:r>
      <w:r w:rsidR="00C32043" w:rsidRPr="00C32043">
        <w:t>transitional revenue proposal, TransGrid stated that the AER allowance for 2013–14 revenue was</w:t>
      </w:r>
      <w:r>
        <w:t xml:space="preserve"> $934 million.</w:t>
      </w:r>
      <w:r>
        <w:rPr>
          <w:rStyle w:val="FootnoteReference"/>
        </w:rPr>
        <w:footnoteReference w:id="81"/>
      </w:r>
      <w:r>
        <w:t xml:space="preserve"> In February 2013, TransGrid announced a revenue freeze for prescribed services for 2013–14.</w:t>
      </w:r>
      <w:r>
        <w:rPr>
          <w:rStyle w:val="FootnoteReference"/>
        </w:rPr>
        <w:footnoteReference w:id="82"/>
      </w:r>
      <w:r>
        <w:t xml:space="preserve"> As a result, TransGrid expect</w:t>
      </w:r>
      <w:r w:rsidR="000A2E7A">
        <w:t>ed</w:t>
      </w:r>
      <w:r>
        <w:t xml:space="preserve"> that actual revenues for 2013</w:t>
      </w:r>
      <w:r w:rsidR="000A2E7A">
        <w:t>–</w:t>
      </w:r>
      <w:r>
        <w:t xml:space="preserve">14 will be $863 million, and this is the amount shown in </w:t>
      </w:r>
      <w:r>
        <w:fldChar w:fldCharType="begin"/>
      </w:r>
      <w:r>
        <w:instrText xml:space="preserve"> REF _Ref381785172 \h </w:instrText>
      </w:r>
      <w:r>
        <w:fldChar w:fldCharType="separate"/>
      </w:r>
      <w:r w:rsidR="00B40E3D">
        <w:t xml:space="preserve">Table </w:t>
      </w:r>
      <w:r w:rsidR="00B40E3D">
        <w:rPr>
          <w:noProof/>
        </w:rPr>
        <w:t>D</w:t>
      </w:r>
      <w:r w:rsidR="00B40E3D">
        <w:t>.</w:t>
      </w:r>
      <w:r w:rsidR="00B40E3D">
        <w:rPr>
          <w:noProof/>
        </w:rPr>
        <w:t>1</w:t>
      </w:r>
      <w:r>
        <w:fldChar w:fldCharType="end"/>
      </w:r>
      <w:r>
        <w:t>.</w:t>
      </w:r>
      <w:r>
        <w:rPr>
          <w:rStyle w:val="FootnoteReference"/>
        </w:rPr>
        <w:footnoteReference w:id="83"/>
      </w:r>
      <w:r>
        <w:t xml:space="preserve"> </w:t>
      </w:r>
      <w:proofErr w:type="spellStart"/>
      <w:r>
        <w:t>TransGrid</w:t>
      </w:r>
      <w:proofErr w:type="spellEnd"/>
      <w:r>
        <w:t xml:space="preserve"> is able to recoup the $71 million under-recovery across the 2014–19 </w:t>
      </w:r>
      <w:proofErr w:type="gramStart"/>
      <w:r>
        <w:t>period</w:t>
      </w:r>
      <w:proofErr w:type="gramEnd"/>
      <w:r>
        <w:t>.</w:t>
      </w:r>
      <w:r w:rsidR="00C32043">
        <w:rPr>
          <w:rStyle w:val="FootnoteReference"/>
        </w:rPr>
        <w:footnoteReference w:id="84"/>
      </w:r>
    </w:p>
    <w:p w:rsidR="000C203D" w:rsidRPr="007B22D8" w:rsidRDefault="005D5323" w:rsidP="000C203D">
      <w:pPr>
        <w:pStyle w:val="AERbodytext"/>
        <w:rPr>
          <w:rStyle w:val="AERbody"/>
          <w:rFonts w:eastAsia="Calibri"/>
        </w:rPr>
      </w:pPr>
      <w:r w:rsidRPr="005D5323">
        <w:rPr>
          <w:rStyle w:val="AERbody"/>
        </w:rPr>
        <w:t xml:space="preserve">The key </w:t>
      </w:r>
      <w:r>
        <w:rPr>
          <w:rStyle w:val="AERbody"/>
        </w:rPr>
        <w:t xml:space="preserve">determinants of the building blocks from </w:t>
      </w:r>
      <w:proofErr w:type="spellStart"/>
      <w:r>
        <w:rPr>
          <w:rStyle w:val="AERbody"/>
        </w:rPr>
        <w:t>TransGrid’s</w:t>
      </w:r>
      <w:proofErr w:type="spellEnd"/>
      <w:r>
        <w:rPr>
          <w:rStyle w:val="AERbody"/>
        </w:rPr>
        <w:t xml:space="preserve"> proposal (opex, capex, rate of return and RAB) </w:t>
      </w:r>
      <w:r w:rsidRPr="005D5323">
        <w:rPr>
          <w:rStyle w:val="AERbody"/>
        </w:rPr>
        <w:t xml:space="preserve">are </w:t>
      </w:r>
      <w:r>
        <w:rPr>
          <w:rStyle w:val="AERbody"/>
        </w:rPr>
        <w:t>separately presented below.</w:t>
      </w:r>
      <w:r w:rsidR="000C203D">
        <w:rPr>
          <w:rStyle w:val="AERbody"/>
        </w:rPr>
        <w:t xml:space="preserve"> </w:t>
      </w:r>
      <w:proofErr w:type="spellStart"/>
      <w:r w:rsidR="000C203D">
        <w:rPr>
          <w:rStyle w:val="AERbody"/>
        </w:rPr>
        <w:t>TranGrid’s</w:t>
      </w:r>
      <w:proofErr w:type="spellEnd"/>
      <w:r w:rsidR="000C203D">
        <w:rPr>
          <w:rStyle w:val="AERbody"/>
        </w:rPr>
        <w:t xml:space="preserve"> proposal also included detail</w:t>
      </w:r>
      <w:r w:rsidR="000A2E7A">
        <w:rPr>
          <w:rStyle w:val="AERbody"/>
        </w:rPr>
        <w:t>s</w:t>
      </w:r>
      <w:r w:rsidR="000C203D">
        <w:rPr>
          <w:rStyle w:val="AERbody"/>
        </w:rPr>
        <w:t xml:space="preserve"> on:</w:t>
      </w:r>
    </w:p>
    <w:p w:rsidR="000C203D" w:rsidRPr="00FD4024" w:rsidRDefault="000C203D" w:rsidP="00FD4024">
      <w:pPr>
        <w:numPr>
          <w:ilvl w:val="0"/>
          <w:numId w:val="2"/>
        </w:numPr>
        <w:tabs>
          <w:tab w:val="left" w:pos="357"/>
        </w:tabs>
        <w:spacing w:after="200"/>
        <w:ind w:left="357" w:hanging="357"/>
        <w:rPr>
          <w:rFonts w:eastAsia="Times New Roman"/>
          <w:szCs w:val="24"/>
        </w:rPr>
      </w:pPr>
      <w:r w:rsidRPr="00FD4024">
        <w:rPr>
          <w:rFonts w:eastAsia="Times New Roman"/>
          <w:szCs w:val="24"/>
        </w:rPr>
        <w:t>Regulatory depreciation</w:t>
      </w:r>
      <w:r w:rsidR="000A2E7A" w:rsidRPr="00FD4024">
        <w:rPr>
          <w:rFonts w:eastAsia="Times New Roman"/>
          <w:szCs w:val="24"/>
        </w:rPr>
        <w:t>—</w:t>
      </w:r>
      <w:r w:rsidRPr="00FD4024">
        <w:rPr>
          <w:rFonts w:eastAsia="Times New Roman"/>
          <w:szCs w:val="24"/>
        </w:rPr>
        <w:t>TransGrid proposed to use straight</w:t>
      </w:r>
      <w:r w:rsidR="000A2E7A" w:rsidRPr="00FD4024">
        <w:rPr>
          <w:rFonts w:eastAsia="Times New Roman"/>
          <w:szCs w:val="24"/>
        </w:rPr>
        <w:t>-</w:t>
      </w:r>
      <w:r w:rsidRPr="00FD4024">
        <w:rPr>
          <w:rFonts w:eastAsia="Times New Roman"/>
          <w:szCs w:val="24"/>
        </w:rPr>
        <w:t>line depreciation</w:t>
      </w:r>
      <w:r w:rsidR="00196D2B" w:rsidRPr="00FD4024">
        <w:rPr>
          <w:rFonts w:eastAsia="Times New Roman"/>
          <w:szCs w:val="24"/>
        </w:rPr>
        <w:t xml:space="preserve"> as calculated in the PTRM</w:t>
      </w:r>
      <w:r w:rsidRPr="00FD4024">
        <w:rPr>
          <w:rFonts w:eastAsia="Times New Roman"/>
          <w:szCs w:val="24"/>
        </w:rPr>
        <w:t>, and put forward a schedule of asset lives.</w:t>
      </w:r>
      <w:r w:rsidR="00FD4024">
        <w:rPr>
          <w:rStyle w:val="FootnoteReference"/>
          <w:rFonts w:eastAsia="Times New Roman"/>
          <w:szCs w:val="24"/>
        </w:rPr>
        <w:footnoteReference w:id="85"/>
      </w:r>
      <w:r w:rsidRPr="00FD4024">
        <w:rPr>
          <w:rFonts w:eastAsia="Times New Roman"/>
          <w:szCs w:val="24"/>
        </w:rPr>
        <w:t xml:space="preserve"> Its depreciation forecasts (including the net effect of indexation) are included in the RAB roll forward tables presented below.</w:t>
      </w:r>
    </w:p>
    <w:p w:rsidR="000C203D" w:rsidRPr="00FD4024" w:rsidRDefault="000C203D" w:rsidP="00FD4024">
      <w:pPr>
        <w:numPr>
          <w:ilvl w:val="0"/>
          <w:numId w:val="2"/>
        </w:numPr>
        <w:tabs>
          <w:tab w:val="left" w:pos="357"/>
        </w:tabs>
        <w:spacing w:after="200"/>
        <w:ind w:left="357" w:hanging="357"/>
        <w:rPr>
          <w:rFonts w:eastAsia="Times New Roman"/>
          <w:szCs w:val="24"/>
        </w:rPr>
      </w:pPr>
      <w:r w:rsidRPr="00FD4024">
        <w:rPr>
          <w:rFonts w:eastAsia="Times New Roman"/>
          <w:szCs w:val="24"/>
        </w:rPr>
        <w:lastRenderedPageBreak/>
        <w:t>C</w:t>
      </w:r>
      <w:r w:rsidR="000A2E7A" w:rsidRPr="00FD4024">
        <w:rPr>
          <w:rFonts w:eastAsia="Times New Roman"/>
          <w:szCs w:val="24"/>
        </w:rPr>
        <w:t>ost of c</w:t>
      </w:r>
      <w:r w:rsidRPr="00FD4024">
        <w:rPr>
          <w:rFonts w:eastAsia="Times New Roman"/>
          <w:szCs w:val="24"/>
        </w:rPr>
        <w:t>orporate income tax</w:t>
      </w:r>
      <w:r w:rsidR="000A2E7A" w:rsidRPr="00FD4024">
        <w:rPr>
          <w:rFonts w:eastAsia="Times New Roman"/>
          <w:szCs w:val="24"/>
        </w:rPr>
        <w:t>—</w:t>
      </w:r>
      <w:r w:rsidRPr="00FD4024">
        <w:rPr>
          <w:rFonts w:eastAsia="Times New Roman"/>
          <w:szCs w:val="24"/>
        </w:rPr>
        <w:t>Trans</w:t>
      </w:r>
      <w:r w:rsidR="00BF5501" w:rsidRPr="00FD4024">
        <w:rPr>
          <w:rFonts w:eastAsia="Times New Roman"/>
          <w:szCs w:val="24"/>
        </w:rPr>
        <w:t>Gri</w:t>
      </w:r>
      <w:r w:rsidRPr="00FD4024">
        <w:rPr>
          <w:rFonts w:eastAsia="Times New Roman"/>
          <w:szCs w:val="24"/>
        </w:rPr>
        <w:t>d submitted taxation calculations</w:t>
      </w:r>
      <w:r w:rsidR="00196D2B" w:rsidRPr="00FD4024">
        <w:rPr>
          <w:rFonts w:eastAsia="Times New Roman"/>
          <w:szCs w:val="24"/>
        </w:rPr>
        <w:t xml:space="preserve"> using the PTRM</w:t>
      </w:r>
      <w:r w:rsidRPr="00FD4024">
        <w:rPr>
          <w:rFonts w:eastAsia="Times New Roman"/>
          <w:szCs w:val="24"/>
        </w:rPr>
        <w:t>, which involves calculating the indicative tax payable and then reducing its tax allowance with respect to the value of imputation credits.</w:t>
      </w:r>
      <w:r w:rsidRPr="00FD4024">
        <w:rPr>
          <w:rStyle w:val="FootnoteReference"/>
        </w:rPr>
        <w:footnoteReference w:id="86"/>
      </w:r>
      <w:r w:rsidRPr="00FD4024">
        <w:rPr>
          <w:rFonts w:eastAsia="Times New Roman"/>
          <w:szCs w:val="24"/>
        </w:rPr>
        <w:t xml:space="preserve"> </w:t>
      </w:r>
      <w:proofErr w:type="spellStart"/>
      <w:r w:rsidRPr="00FD4024">
        <w:rPr>
          <w:rFonts w:eastAsia="Times New Roman"/>
          <w:szCs w:val="24"/>
        </w:rPr>
        <w:t>Trans</w:t>
      </w:r>
      <w:r w:rsidR="00BF5501" w:rsidRPr="00FD4024">
        <w:rPr>
          <w:rFonts w:eastAsia="Times New Roman"/>
          <w:szCs w:val="24"/>
        </w:rPr>
        <w:t>Grid</w:t>
      </w:r>
      <w:r w:rsidRPr="00FD4024">
        <w:rPr>
          <w:rFonts w:eastAsia="Times New Roman"/>
          <w:szCs w:val="24"/>
        </w:rPr>
        <w:t>’s</w:t>
      </w:r>
      <w:proofErr w:type="spellEnd"/>
      <w:r w:rsidRPr="00FD4024">
        <w:rPr>
          <w:rFonts w:eastAsia="Times New Roman"/>
          <w:szCs w:val="24"/>
        </w:rPr>
        <w:t xml:space="preserve"> proposed gamma figure (assumed value of imputation credits) is discussed below in the rate of return section.</w:t>
      </w:r>
    </w:p>
    <w:p w:rsidR="006D2834" w:rsidRPr="00FD4024" w:rsidRDefault="000C203D" w:rsidP="00FD4024">
      <w:pPr>
        <w:numPr>
          <w:ilvl w:val="0"/>
          <w:numId w:val="2"/>
        </w:numPr>
        <w:tabs>
          <w:tab w:val="left" w:pos="357"/>
        </w:tabs>
        <w:spacing w:after="200"/>
        <w:ind w:left="357" w:hanging="357"/>
        <w:rPr>
          <w:rFonts w:eastAsia="Times New Roman"/>
          <w:szCs w:val="24"/>
        </w:rPr>
      </w:pPr>
      <w:r w:rsidRPr="00FD4024">
        <w:rPr>
          <w:rFonts w:eastAsia="Times New Roman"/>
          <w:szCs w:val="24"/>
        </w:rPr>
        <w:t>Efficiency carryovers</w:t>
      </w:r>
      <w:r w:rsidR="000A2E7A" w:rsidRPr="00FD4024">
        <w:rPr>
          <w:rFonts w:eastAsia="Times New Roman"/>
          <w:szCs w:val="24"/>
        </w:rPr>
        <w:t>—</w:t>
      </w:r>
      <w:r w:rsidRPr="00FD4024">
        <w:rPr>
          <w:rFonts w:eastAsia="Times New Roman"/>
          <w:szCs w:val="24"/>
        </w:rPr>
        <w:t>Trans</w:t>
      </w:r>
      <w:r w:rsidR="00BF5501" w:rsidRPr="00FD4024">
        <w:rPr>
          <w:rFonts w:eastAsia="Times New Roman"/>
          <w:szCs w:val="24"/>
        </w:rPr>
        <w:t>Gri</w:t>
      </w:r>
      <w:r w:rsidRPr="00FD4024">
        <w:rPr>
          <w:rFonts w:eastAsia="Times New Roman"/>
          <w:szCs w:val="24"/>
        </w:rPr>
        <w:t xml:space="preserve">d proposed a positive carryover allowance reflecting past efficiency gains </w:t>
      </w:r>
      <w:r w:rsidR="000A2E7A" w:rsidRPr="00FD4024">
        <w:rPr>
          <w:rFonts w:eastAsia="Times New Roman"/>
          <w:szCs w:val="24"/>
        </w:rPr>
        <w:t xml:space="preserve">associated with its opex </w:t>
      </w:r>
      <w:r w:rsidRPr="00FD4024">
        <w:rPr>
          <w:rFonts w:eastAsia="Times New Roman"/>
          <w:szCs w:val="24"/>
        </w:rPr>
        <w:t xml:space="preserve">(under the EBSS) over the </w:t>
      </w:r>
      <w:r w:rsidR="00581457">
        <w:rPr>
          <w:rFonts w:eastAsia="Times New Roman"/>
          <w:szCs w:val="24"/>
        </w:rPr>
        <w:t>current</w:t>
      </w:r>
      <w:r w:rsidRPr="00FD4024">
        <w:rPr>
          <w:rFonts w:eastAsia="Times New Roman"/>
          <w:szCs w:val="24"/>
        </w:rPr>
        <w:t xml:space="preserve"> regulatory control period.</w:t>
      </w:r>
      <w:r w:rsidRPr="00FD4024">
        <w:rPr>
          <w:rStyle w:val="FootnoteReference"/>
        </w:rPr>
        <w:footnoteReference w:id="87"/>
      </w:r>
    </w:p>
    <w:p w:rsidR="000363B3" w:rsidRPr="007B4470" w:rsidRDefault="000363B3" w:rsidP="007B4470">
      <w:pPr>
        <w:pStyle w:val="HeadingBoldBlue"/>
        <w:rPr>
          <w:rStyle w:val="AERbody"/>
          <w:color w:val="365F91" w:themeColor="accent1" w:themeShade="BF"/>
          <w:sz w:val="22"/>
        </w:rPr>
      </w:pPr>
      <w:r>
        <w:rPr>
          <w:rStyle w:val="AERbody"/>
          <w:color w:val="365F91" w:themeColor="accent1" w:themeShade="BF"/>
          <w:sz w:val="22"/>
        </w:rPr>
        <w:t>O</w:t>
      </w:r>
      <w:r w:rsidR="00DA2707" w:rsidRPr="003024D4">
        <w:rPr>
          <w:rStyle w:val="AERbody"/>
          <w:color w:val="365F91" w:themeColor="accent1" w:themeShade="BF"/>
          <w:sz w:val="22"/>
        </w:rPr>
        <w:t>pex</w:t>
      </w:r>
    </w:p>
    <w:p w:rsidR="00F25018" w:rsidRPr="00C91BC1" w:rsidRDefault="0059768B" w:rsidP="00F25018">
      <w:pPr>
        <w:rPr>
          <w:rFonts w:eastAsia="Times New Roman" w:cs="Gautami"/>
        </w:rPr>
      </w:pPr>
      <w:r w:rsidRPr="00C91BC1">
        <w:rPr>
          <w:rFonts w:cs="Gautami"/>
        </w:rPr>
        <w:t xml:space="preserve">TransGrid has forecast average annual opex of $186.9 million ($2013–14) in the </w:t>
      </w:r>
      <w:r w:rsidRPr="00C91BC1">
        <w:rPr>
          <w:rFonts w:eastAsia="Times New Roman" w:cs="Gautami"/>
        </w:rPr>
        <w:t xml:space="preserve">transitional and </w:t>
      </w:r>
      <w:r w:rsidR="00F25018" w:rsidRPr="00C91BC1">
        <w:rPr>
          <w:rFonts w:eastAsia="Times New Roman" w:cs="Gautami"/>
        </w:rPr>
        <w:t>subsequent regulatory control periods.</w:t>
      </w:r>
      <w:r w:rsidR="00F25018" w:rsidRPr="00C91BC1">
        <w:rPr>
          <w:rStyle w:val="FootnoteReference"/>
          <w:rFonts w:eastAsia="Times New Roman" w:cs="Gautami"/>
        </w:rPr>
        <w:footnoteReference w:id="88"/>
      </w:r>
      <w:r w:rsidR="00F25018" w:rsidRPr="00C91BC1">
        <w:rPr>
          <w:rFonts w:eastAsia="Times New Roman" w:cs="Gautami"/>
        </w:rPr>
        <w:t xml:space="preserve"> This is a 12.2 per cent increase in its average annual opex in the first four years of the </w:t>
      </w:r>
      <w:r w:rsidR="00581457">
        <w:rPr>
          <w:rFonts w:eastAsia="Times New Roman" w:cs="Gautami"/>
        </w:rPr>
        <w:t>current</w:t>
      </w:r>
      <w:r w:rsidR="00F25018" w:rsidRPr="00C91BC1">
        <w:rPr>
          <w:rFonts w:eastAsia="Times New Roman" w:cs="Gautami"/>
        </w:rPr>
        <w:t xml:space="preserve"> reg</w:t>
      </w:r>
      <w:r>
        <w:rPr>
          <w:rFonts w:eastAsia="Times New Roman" w:cs="Gautami"/>
        </w:rPr>
        <w:t>ulatory control period. Figure D.1</w:t>
      </w:r>
      <w:r w:rsidR="00F25018" w:rsidRPr="00C91BC1">
        <w:rPr>
          <w:rFonts w:eastAsia="Times New Roman" w:cs="Gautami"/>
        </w:rPr>
        <w:t xml:space="preserve"> compares </w:t>
      </w:r>
      <w:proofErr w:type="spellStart"/>
      <w:r w:rsidR="00F25018" w:rsidRPr="00C91BC1">
        <w:rPr>
          <w:rFonts w:eastAsia="Times New Roman" w:cs="Gautami"/>
        </w:rPr>
        <w:t>TransGrid’s</w:t>
      </w:r>
      <w:proofErr w:type="spellEnd"/>
      <w:r w:rsidR="00F25018" w:rsidRPr="00C91BC1">
        <w:rPr>
          <w:rFonts w:cs="Gautami"/>
        </w:rPr>
        <w:t xml:space="preserve"> opex in the current regulatory control period to its approved allowance and its forecast opex in the transitional and subsequent regulatory control periods.</w:t>
      </w:r>
    </w:p>
    <w:p w:rsidR="00F25018" w:rsidRPr="0080384E" w:rsidRDefault="00F25018" w:rsidP="0059768B">
      <w:pPr>
        <w:pStyle w:val="Caption"/>
      </w:pPr>
      <w:r w:rsidRPr="0080384E">
        <w:t>Fi</w:t>
      </w:r>
      <w:r>
        <w:t>gure D.1</w:t>
      </w:r>
      <w:r w:rsidRPr="0080384E">
        <w:t xml:space="preserve"> </w:t>
      </w:r>
      <w:r w:rsidR="00F46D0A">
        <w:tab/>
      </w:r>
      <w:proofErr w:type="spellStart"/>
      <w:r w:rsidRPr="0080384E">
        <w:t>TransGrid’s</w:t>
      </w:r>
      <w:proofErr w:type="spellEnd"/>
      <w:r w:rsidRPr="0080384E">
        <w:t xml:space="preserve"> </w:t>
      </w:r>
      <w:r w:rsidR="00D21886">
        <w:t>opex in the 2009-14 and 2014-19 periods ($ million, 2013-14)</w:t>
      </w:r>
    </w:p>
    <w:p w:rsidR="00F25018" w:rsidRDefault="00F25018" w:rsidP="00F25018">
      <w:pPr>
        <w:rPr>
          <w:rFonts w:cs="Gautami"/>
        </w:rPr>
      </w:pPr>
      <w:r>
        <w:rPr>
          <w:noProof/>
          <w:lang w:eastAsia="en-AU"/>
        </w:rPr>
        <w:drawing>
          <wp:inline distT="0" distB="0" distL="0" distR="0" wp14:anchorId="3FFF8460" wp14:editId="488631D6">
            <wp:extent cx="5731510" cy="3736504"/>
            <wp:effectExtent l="0" t="0" r="254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25018" w:rsidRPr="002E5734" w:rsidRDefault="00F25018" w:rsidP="00F25018">
      <w:pPr>
        <w:rPr>
          <w:rFonts w:cs="Gautami"/>
        </w:rPr>
      </w:pPr>
      <w:r w:rsidRPr="002E5734">
        <w:rPr>
          <w:rFonts w:cs="Gautami"/>
        </w:rPr>
        <w:t>TransGrid has forecast its opex using the following methodology.</w:t>
      </w:r>
    </w:p>
    <w:p w:rsidR="00F25018" w:rsidRPr="002E5734" w:rsidRDefault="00F25018" w:rsidP="00F25018">
      <w:pPr>
        <w:pStyle w:val="AERbulletlistfirststyle"/>
        <w:rPr>
          <w:rFonts w:cs="Gautami"/>
          <w:szCs w:val="20"/>
        </w:rPr>
      </w:pPr>
      <w:r w:rsidRPr="002E5734">
        <w:rPr>
          <w:rFonts w:cs="Gautami"/>
          <w:szCs w:val="20"/>
        </w:rPr>
        <w:t>For its forecast base level of expenditure:</w:t>
      </w:r>
      <w:r w:rsidRPr="002E5734">
        <w:rPr>
          <w:rStyle w:val="FootnoteReference"/>
          <w:rFonts w:cs="Gautami"/>
          <w:szCs w:val="20"/>
        </w:rPr>
        <w:footnoteReference w:id="89"/>
      </w:r>
    </w:p>
    <w:p w:rsidR="00F25018" w:rsidRPr="002E5734" w:rsidRDefault="00F25018" w:rsidP="00F25018">
      <w:pPr>
        <w:numPr>
          <w:ilvl w:val="0"/>
          <w:numId w:val="2"/>
        </w:numPr>
        <w:tabs>
          <w:tab w:val="left" w:pos="357"/>
        </w:tabs>
        <w:spacing w:after="200"/>
        <w:ind w:left="357" w:hanging="357"/>
        <w:rPr>
          <w:rFonts w:eastAsia="Times New Roman" w:cs="Gautami"/>
        </w:rPr>
      </w:pPr>
      <w:r w:rsidRPr="002E5734">
        <w:rPr>
          <w:rFonts w:eastAsia="Times New Roman" w:cs="Gautami"/>
        </w:rPr>
        <w:t>Maintenance expenditure is based on work volumes forecast by its maintenance scheduling system and unit rates from 2012–13</w:t>
      </w:r>
    </w:p>
    <w:p w:rsidR="00F25018" w:rsidRPr="002E5734" w:rsidRDefault="00F25018" w:rsidP="00F25018">
      <w:pPr>
        <w:numPr>
          <w:ilvl w:val="0"/>
          <w:numId w:val="2"/>
        </w:numPr>
        <w:tabs>
          <w:tab w:val="left" w:pos="357"/>
        </w:tabs>
        <w:spacing w:after="200"/>
        <w:ind w:left="357" w:hanging="357"/>
        <w:rPr>
          <w:rFonts w:eastAsia="Times New Roman" w:cs="Gautami"/>
        </w:rPr>
      </w:pPr>
      <w:r w:rsidRPr="002E5734">
        <w:rPr>
          <w:rFonts w:eastAsia="Times New Roman" w:cs="Gautami"/>
        </w:rPr>
        <w:lastRenderedPageBreak/>
        <w:t xml:space="preserve">Major operating projects as a zero-based </w:t>
      </w:r>
      <w:r w:rsidR="0041017E">
        <w:rPr>
          <w:rFonts w:eastAsia="Times New Roman" w:cs="Gautami"/>
        </w:rPr>
        <w:t xml:space="preserve">(i.e. forecast using a bottom up methodology) </w:t>
      </w:r>
      <w:r w:rsidRPr="002E5734">
        <w:rPr>
          <w:rFonts w:eastAsia="Times New Roman" w:cs="Gautami"/>
        </w:rPr>
        <w:t>portfolio of projects</w:t>
      </w:r>
      <w:r w:rsidR="0041017E">
        <w:rPr>
          <w:rFonts w:eastAsia="Times New Roman" w:cs="Gautami"/>
        </w:rPr>
        <w:t xml:space="preserve"> </w:t>
      </w:r>
    </w:p>
    <w:p w:rsidR="00F25018" w:rsidRPr="002E5734" w:rsidRDefault="00F25018" w:rsidP="00F25018">
      <w:pPr>
        <w:numPr>
          <w:ilvl w:val="0"/>
          <w:numId w:val="2"/>
        </w:numPr>
        <w:tabs>
          <w:tab w:val="left" w:pos="357"/>
        </w:tabs>
        <w:spacing w:after="200"/>
        <w:ind w:left="357" w:hanging="357"/>
        <w:rPr>
          <w:rFonts w:eastAsia="Times New Roman" w:cs="Gautami"/>
        </w:rPr>
      </w:pPr>
      <w:r w:rsidRPr="002E5734">
        <w:rPr>
          <w:rFonts w:eastAsia="Times New Roman" w:cs="Gautami"/>
        </w:rPr>
        <w:t>Insurance, self-insurance, network support and debt-raising costs as zero-based forecasts</w:t>
      </w:r>
    </w:p>
    <w:p w:rsidR="00F25018" w:rsidRPr="002E5734" w:rsidRDefault="00F25018" w:rsidP="00F25018">
      <w:pPr>
        <w:numPr>
          <w:ilvl w:val="0"/>
          <w:numId w:val="2"/>
        </w:numPr>
        <w:tabs>
          <w:tab w:val="left" w:pos="357"/>
        </w:tabs>
        <w:spacing w:after="200"/>
        <w:ind w:left="357" w:hanging="357"/>
        <w:rPr>
          <w:rFonts w:eastAsia="Times New Roman" w:cs="Gautami"/>
        </w:rPr>
      </w:pPr>
      <w:r w:rsidRPr="002E5734">
        <w:rPr>
          <w:rFonts w:eastAsia="Times New Roman" w:cs="Gautami"/>
        </w:rPr>
        <w:t>Other categories are forecast using the actual opex incurred in 2012–13.</w:t>
      </w:r>
    </w:p>
    <w:p w:rsidR="00F25018" w:rsidRPr="002E5734" w:rsidRDefault="00F25018" w:rsidP="00F25018">
      <w:pPr>
        <w:pStyle w:val="AERbodytext"/>
        <w:rPr>
          <w:rFonts w:cs="Gautami"/>
          <w:szCs w:val="20"/>
        </w:rPr>
      </w:pPr>
      <w:r w:rsidRPr="002E5734">
        <w:rPr>
          <w:rFonts w:cs="Gautami"/>
          <w:szCs w:val="20"/>
        </w:rPr>
        <w:t xml:space="preserve">An adjustment is proposed to actual opex incurred in 2012–13 to ensure its opex forecasts reflect </w:t>
      </w:r>
      <w:r>
        <w:rPr>
          <w:rFonts w:cs="Gautami"/>
          <w:szCs w:val="20"/>
        </w:rPr>
        <w:t xml:space="preserve">a </w:t>
      </w:r>
      <w:r w:rsidRPr="002E5734">
        <w:rPr>
          <w:rFonts w:cs="Gautami"/>
          <w:szCs w:val="20"/>
        </w:rPr>
        <w:t>sustainable level of opex going forward. TransGrid stated it has made a commensurate adjustment to the EBSS to ensure it does not over-recover its costs as a result of this adjustment.</w:t>
      </w:r>
      <w:r w:rsidRPr="002E5734">
        <w:rPr>
          <w:rStyle w:val="FootnoteReference"/>
          <w:rFonts w:cs="Gautami"/>
          <w:szCs w:val="20"/>
        </w:rPr>
        <w:footnoteReference w:id="90"/>
      </w:r>
    </w:p>
    <w:p w:rsidR="00F25018" w:rsidRDefault="00F25018" w:rsidP="00F25018">
      <w:pPr>
        <w:rPr>
          <w:rFonts w:cs="Gautami"/>
        </w:rPr>
      </w:pPr>
      <w:r w:rsidRPr="002E5734">
        <w:rPr>
          <w:rFonts w:cs="Gautami"/>
        </w:rPr>
        <w:t>Eight step changes are applied to the base year where TransGrid considers there are clear changes to the cost base that are not reflected in the base year. Three forecast efficiency improvements which will take place during or after the base year have been adjusted out of the base year.</w:t>
      </w:r>
      <w:r w:rsidRPr="002E5734">
        <w:rPr>
          <w:rStyle w:val="FootnoteReference"/>
          <w:rFonts w:cs="Gautami"/>
        </w:rPr>
        <w:footnoteReference w:id="91"/>
      </w:r>
    </w:p>
    <w:p w:rsidR="000363B3" w:rsidRPr="00095920" w:rsidRDefault="00F25018" w:rsidP="000363B3">
      <w:pPr>
        <w:pStyle w:val="AERbodytext"/>
      </w:pPr>
      <w:r w:rsidRPr="00F46D0A">
        <w:rPr>
          <w:rFonts w:cs="Gautami"/>
        </w:rPr>
        <w:t>TransGrid has forecast a trend in opex based primarily on forecast growth in the network and labour cost increases.</w:t>
      </w:r>
      <w:r w:rsidRPr="002E5734">
        <w:rPr>
          <w:rStyle w:val="FootnoteReference"/>
          <w:rFonts w:cs="Gautami"/>
        </w:rPr>
        <w:footnoteReference w:id="92"/>
      </w:r>
    </w:p>
    <w:p w:rsidR="00DA2707" w:rsidRPr="00A35561" w:rsidRDefault="00A35561" w:rsidP="007B4470">
      <w:pPr>
        <w:pStyle w:val="HeadingBoldBlue"/>
        <w:rPr>
          <w:rStyle w:val="AERbody"/>
          <w:rFonts w:eastAsia="Calibri"/>
          <w:color w:val="365F91" w:themeColor="accent1" w:themeShade="BF"/>
          <w:sz w:val="22"/>
          <w:szCs w:val="20"/>
        </w:rPr>
      </w:pPr>
      <w:r w:rsidRPr="00A35561">
        <w:rPr>
          <w:rStyle w:val="AERbody"/>
          <w:color w:val="365F91" w:themeColor="accent1" w:themeShade="BF"/>
          <w:sz w:val="22"/>
        </w:rPr>
        <w:t>C</w:t>
      </w:r>
      <w:r w:rsidR="00DA2707" w:rsidRPr="00A35561">
        <w:rPr>
          <w:rStyle w:val="AERbody"/>
          <w:color w:val="365F91" w:themeColor="accent1" w:themeShade="BF"/>
          <w:sz w:val="22"/>
        </w:rPr>
        <w:t>apex</w:t>
      </w:r>
    </w:p>
    <w:p w:rsidR="00A35561" w:rsidRPr="00A35561" w:rsidRDefault="00A35561" w:rsidP="00A35561">
      <w:pPr>
        <w:pStyle w:val="AERbodytext"/>
      </w:pPr>
      <w:proofErr w:type="spellStart"/>
      <w:r w:rsidRPr="00A35561">
        <w:t>TransGrid’s</w:t>
      </w:r>
      <w:proofErr w:type="spellEnd"/>
      <w:r w:rsidRPr="00A35561">
        <w:t xml:space="preserve"> actual total capex spend was around 20 per cent less than its total forecast capex over the </w:t>
      </w:r>
      <w:r w:rsidR="00581457">
        <w:t>current</w:t>
      </w:r>
      <w:r w:rsidRPr="00A35561">
        <w:t xml:space="preserve"> regulatory control period. It spent $2275 million ($2013–14) compared to its total forecast capex of $2846 million ($2013–14). This is </w:t>
      </w:r>
      <w:proofErr w:type="gramStart"/>
      <w:r w:rsidRPr="00A35561">
        <w:t>an underspend</w:t>
      </w:r>
      <w:proofErr w:type="gramEnd"/>
      <w:r w:rsidRPr="00A35561">
        <w:t xml:space="preserve"> of $571 million ($2013–14). TransGrid underspent in every year but is expecting to overspend in the final year of the </w:t>
      </w:r>
      <w:r w:rsidR="00581457">
        <w:t>current</w:t>
      </w:r>
      <w:r w:rsidR="00E16472">
        <w:t xml:space="preserve"> </w:t>
      </w:r>
      <w:r w:rsidRPr="00A35561">
        <w:t xml:space="preserve">regulatory control period, </w:t>
      </w:r>
      <w:r w:rsidR="00E16472">
        <w:t xml:space="preserve">as </w:t>
      </w:r>
      <w:r w:rsidRPr="00A35561">
        <w:t xml:space="preserve">shown in </w:t>
      </w:r>
      <w:r w:rsidRPr="00A35561">
        <w:fldChar w:fldCharType="begin"/>
      </w:r>
      <w:r w:rsidRPr="00A35561">
        <w:instrText xml:space="preserve"> REF _Ref379458553 \h </w:instrText>
      </w:r>
      <w:r w:rsidRPr="00A35561">
        <w:fldChar w:fldCharType="separate"/>
      </w:r>
      <w:r w:rsidR="00B40E3D" w:rsidRPr="00A35561">
        <w:t xml:space="preserve">Figure </w:t>
      </w:r>
      <w:r w:rsidR="00B40E3D">
        <w:t>D</w:t>
      </w:r>
      <w:proofErr w:type="gramStart"/>
      <w:r w:rsidR="00B40E3D">
        <w:t>.</w:t>
      </w:r>
      <w:proofErr w:type="gramEnd"/>
      <w:r w:rsidRPr="00A35561">
        <w:fldChar w:fldCharType="end"/>
      </w:r>
      <w:r w:rsidR="00F46D0A">
        <w:t>2</w:t>
      </w:r>
      <w:r w:rsidRPr="00A35561">
        <w:t>.</w:t>
      </w:r>
    </w:p>
    <w:p w:rsidR="00A35561" w:rsidRPr="00A35561" w:rsidRDefault="00A35561" w:rsidP="00A35561">
      <w:pPr>
        <w:pStyle w:val="AERbodytext"/>
        <w:numPr>
          <w:ilvl w:val="0"/>
          <w:numId w:val="0"/>
        </w:numPr>
      </w:pPr>
      <w:proofErr w:type="spellStart"/>
      <w:r w:rsidRPr="00A35561">
        <w:t>TransGrid’s</w:t>
      </w:r>
      <w:proofErr w:type="spellEnd"/>
      <w:r w:rsidRPr="00A35561">
        <w:t xml:space="preserve"> indicative proposed total forecast capex for the </w:t>
      </w:r>
      <w:r w:rsidR="00E16472">
        <w:t>2014–19</w:t>
      </w:r>
      <w:r w:rsidRPr="00A35561">
        <w:t xml:space="preserve"> </w:t>
      </w:r>
      <w:proofErr w:type="gramStart"/>
      <w:r w:rsidRPr="00A35561">
        <w:t>period</w:t>
      </w:r>
      <w:proofErr w:type="gramEnd"/>
      <w:r w:rsidRPr="00A35561">
        <w:t xml:space="preserve"> is $1880 million ($2013–14). This is $966 million ($2013–14), or 34 per cent, lower than its total forecast capex for the </w:t>
      </w:r>
      <w:r w:rsidR="00E16472">
        <w:t>2009–14</w:t>
      </w:r>
      <w:r w:rsidRPr="00A35561">
        <w:t xml:space="preserve"> regulatory control period. It is $395 million ($2013–14), or 17 per cent, lower than </w:t>
      </w:r>
      <w:proofErr w:type="spellStart"/>
      <w:r w:rsidRPr="00A35561">
        <w:t>TransGrid’s</w:t>
      </w:r>
      <w:proofErr w:type="spellEnd"/>
      <w:r w:rsidRPr="00A35561">
        <w:t xml:space="preserve"> actual total capex spend over the </w:t>
      </w:r>
      <w:r w:rsidR="00E16472">
        <w:t xml:space="preserve">2009–14 </w:t>
      </w:r>
      <w:r w:rsidRPr="00A35561">
        <w:t xml:space="preserve">regulatory control period. </w:t>
      </w:r>
      <w:r w:rsidRPr="00A35561">
        <w:fldChar w:fldCharType="begin"/>
      </w:r>
      <w:r w:rsidRPr="00A35561">
        <w:instrText xml:space="preserve"> REF _Ref379458553 \h </w:instrText>
      </w:r>
      <w:r w:rsidRPr="00A35561">
        <w:fldChar w:fldCharType="separate"/>
      </w:r>
      <w:r w:rsidR="00B40E3D" w:rsidRPr="00A35561">
        <w:t xml:space="preserve">Figure </w:t>
      </w:r>
      <w:r w:rsidR="00B40E3D">
        <w:t>D</w:t>
      </w:r>
      <w:proofErr w:type="gramStart"/>
      <w:r w:rsidR="00B40E3D">
        <w:t>.</w:t>
      </w:r>
      <w:proofErr w:type="gramEnd"/>
      <w:r w:rsidRPr="00A35561">
        <w:fldChar w:fldCharType="end"/>
      </w:r>
      <w:r w:rsidR="00607950">
        <w:t>2</w:t>
      </w:r>
      <w:r w:rsidRPr="00A35561">
        <w:t xml:space="preserve"> shows </w:t>
      </w:r>
      <w:proofErr w:type="spellStart"/>
      <w:r w:rsidRPr="00A35561">
        <w:t>TransGrid’s</w:t>
      </w:r>
      <w:proofErr w:type="spellEnd"/>
      <w:r w:rsidRPr="00A35561">
        <w:t xml:space="preserve"> indicative proposed forecast capex in each year of the </w:t>
      </w:r>
      <w:r w:rsidR="00196D2B">
        <w:t>2014–19</w:t>
      </w:r>
      <w:r w:rsidRPr="00A35561">
        <w:t xml:space="preserve"> period. </w:t>
      </w:r>
    </w:p>
    <w:p w:rsidR="00A35561" w:rsidRPr="00A35561" w:rsidRDefault="00E16472" w:rsidP="00A35561">
      <w:pPr>
        <w:pStyle w:val="AERbodytext"/>
        <w:numPr>
          <w:ilvl w:val="0"/>
          <w:numId w:val="0"/>
        </w:numPr>
      </w:pPr>
      <w:r>
        <w:t>TransGrid submitted that t</w:t>
      </w:r>
      <w:r w:rsidR="00A35561" w:rsidRPr="00A35561">
        <w:t xml:space="preserve">he reduction in forecast capex is driven by lower demand, with </w:t>
      </w:r>
      <w:proofErr w:type="spellStart"/>
      <w:r w:rsidR="00A35561" w:rsidRPr="00A35561">
        <w:t>TransGrid’s</w:t>
      </w:r>
      <w:proofErr w:type="spellEnd"/>
      <w:r w:rsidR="00A35561" w:rsidRPr="00A35561">
        <w:t xml:space="preserve"> augmentation capex for the </w:t>
      </w:r>
      <w:r>
        <w:t>2014–19</w:t>
      </w:r>
      <w:r w:rsidR="00A35561" w:rsidRPr="00A35561">
        <w:t xml:space="preserve"> </w:t>
      </w:r>
      <w:proofErr w:type="gramStart"/>
      <w:r w:rsidR="00A35561" w:rsidRPr="00A35561">
        <w:t>period</w:t>
      </w:r>
      <w:proofErr w:type="gramEnd"/>
      <w:r w:rsidR="00A35561" w:rsidRPr="00A35561">
        <w:t xml:space="preserve"> significantly lower than the </w:t>
      </w:r>
      <w:r>
        <w:t>2009–14</w:t>
      </w:r>
      <w:r w:rsidR="00A35561" w:rsidRPr="00A35561">
        <w:t xml:space="preserve"> regulatory control period. However, </w:t>
      </w:r>
      <w:proofErr w:type="spellStart"/>
      <w:r w:rsidR="00A35561" w:rsidRPr="00A35561">
        <w:t>TransGrid’s</w:t>
      </w:r>
      <w:proofErr w:type="spellEnd"/>
      <w:r w:rsidR="00A35561" w:rsidRPr="00A35561">
        <w:t xml:space="preserve"> indicative proposed forecast replacement capex is significantly higher as more network assets are reaching the end of their serviceable lives. TransGrid identified two potential contingent projects. The first involv</w:t>
      </w:r>
      <w:r>
        <w:t>es</w:t>
      </w:r>
      <w:r w:rsidR="00A35561" w:rsidRPr="00A35561">
        <w:t xml:space="preserve"> upgrades around the inner Sydney metropolitan area, and the second involv</w:t>
      </w:r>
      <w:r>
        <w:t>es</w:t>
      </w:r>
      <w:r w:rsidR="00A35561" w:rsidRPr="00A35561">
        <w:t xml:space="preserve"> the connection of new generation in southern NSW.</w:t>
      </w:r>
    </w:p>
    <w:p w:rsidR="00A35561" w:rsidRPr="00A35561" w:rsidRDefault="00A35561" w:rsidP="00A35561">
      <w:pPr>
        <w:pStyle w:val="Caption"/>
      </w:pPr>
      <w:bookmarkStart w:id="95" w:name="_Ref379458553"/>
      <w:bookmarkStart w:id="96" w:name="_Ref381893358"/>
      <w:r w:rsidRPr="00A35561">
        <w:lastRenderedPageBreak/>
        <w:t xml:space="preserve">Figure </w:t>
      </w:r>
      <w:r w:rsidR="00B91586">
        <w:t>D.</w:t>
      </w:r>
      <w:bookmarkEnd w:id="95"/>
      <w:r w:rsidR="00F25018">
        <w:t>2</w:t>
      </w:r>
      <w:r w:rsidRPr="00A35561">
        <w:t xml:space="preserve"> </w:t>
      </w:r>
      <w:r w:rsidRPr="00A35561">
        <w:tab/>
      </w:r>
      <w:proofErr w:type="spellStart"/>
      <w:r w:rsidRPr="00A35561">
        <w:t>TransGrid’s</w:t>
      </w:r>
      <w:proofErr w:type="spellEnd"/>
      <w:r w:rsidRPr="00A35561">
        <w:t xml:space="preserve"> capex in the </w:t>
      </w:r>
      <w:r w:rsidR="00196D2B">
        <w:t>2009–14</w:t>
      </w:r>
      <w:r w:rsidRPr="00A35561">
        <w:t xml:space="preserve"> and </w:t>
      </w:r>
      <w:r w:rsidR="00196D2B">
        <w:t>2014–19</w:t>
      </w:r>
      <w:r w:rsidRPr="00A35561">
        <w:t xml:space="preserve"> periods ($million, nominal)</w:t>
      </w:r>
      <w:bookmarkEnd w:id="96"/>
    </w:p>
    <w:p w:rsidR="00C70FF1" w:rsidRDefault="00C70FF1" w:rsidP="007B4470">
      <w:r>
        <w:rPr>
          <w:noProof/>
          <w:lang w:eastAsia="en-AU"/>
        </w:rPr>
        <w:drawing>
          <wp:inline distT="0" distB="0" distL="0" distR="0" wp14:anchorId="5DEDA20B" wp14:editId="006E605C">
            <wp:extent cx="4846955" cy="3206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46955" cy="3206750"/>
                    </a:xfrm>
                    <a:prstGeom prst="rect">
                      <a:avLst/>
                    </a:prstGeom>
                    <a:noFill/>
                  </pic:spPr>
                </pic:pic>
              </a:graphicData>
            </a:graphic>
          </wp:inline>
        </w:drawing>
      </w:r>
    </w:p>
    <w:p w:rsidR="00A35561" w:rsidRPr="007B4470" w:rsidRDefault="00C70FF1" w:rsidP="00435E1E">
      <w:pPr>
        <w:pStyle w:val="AERtablesource"/>
      </w:pPr>
      <w:r w:rsidRPr="00ED6FA3">
        <w:t>Source:</w:t>
      </w:r>
      <w:r w:rsidRPr="00ED6FA3">
        <w:tab/>
      </w:r>
      <w:r w:rsidRPr="007436A4">
        <w:t>TransGrid TRP and AER analysis.</w:t>
      </w:r>
    </w:p>
    <w:p w:rsidR="006D2834" w:rsidRPr="0032513A" w:rsidRDefault="0032513A" w:rsidP="007B4470">
      <w:pPr>
        <w:pStyle w:val="HeadingBoldBlue"/>
        <w:rPr>
          <w:rStyle w:val="AERbody"/>
          <w:rFonts w:eastAsia="Calibri"/>
          <w:bCs/>
          <w:iCs/>
          <w:color w:val="365F91" w:themeColor="accent1" w:themeShade="BF"/>
          <w:sz w:val="22"/>
          <w:szCs w:val="20"/>
        </w:rPr>
      </w:pPr>
      <w:r>
        <w:rPr>
          <w:rStyle w:val="AERbody"/>
          <w:color w:val="365F91" w:themeColor="accent1" w:themeShade="BF"/>
          <w:sz w:val="22"/>
        </w:rPr>
        <w:t>R</w:t>
      </w:r>
      <w:r w:rsidR="006D2834" w:rsidRPr="0032513A">
        <w:rPr>
          <w:rStyle w:val="AERbody"/>
          <w:color w:val="365F91" w:themeColor="accent1" w:themeShade="BF"/>
          <w:sz w:val="22"/>
        </w:rPr>
        <w:t>ate of return</w:t>
      </w:r>
    </w:p>
    <w:p w:rsidR="00791780" w:rsidRDefault="00791780" w:rsidP="00791780">
      <w:pPr>
        <w:pStyle w:val="AERbodytext"/>
        <w:rPr>
          <w:rStyle w:val="AERbody"/>
        </w:rPr>
      </w:pPr>
      <w:r>
        <w:rPr>
          <w:rStyle w:val="AERbody"/>
        </w:rPr>
        <w:t xml:space="preserve">TransGrid </w:t>
      </w:r>
      <w:r w:rsidRPr="00791780">
        <w:rPr>
          <w:rStyle w:val="AERbody"/>
        </w:rPr>
        <w:t>proposed an indicative WACC range of 8.8–9.5</w:t>
      </w:r>
      <w:r>
        <w:rPr>
          <w:rStyle w:val="AERbody"/>
        </w:rPr>
        <w:t xml:space="preserve"> per cent.</w:t>
      </w:r>
      <w:r>
        <w:rPr>
          <w:rStyle w:val="FootnoteReference"/>
        </w:rPr>
        <w:footnoteReference w:id="93"/>
      </w:r>
      <w:r>
        <w:rPr>
          <w:rStyle w:val="AERbody"/>
        </w:rPr>
        <w:t xml:space="preserve"> </w:t>
      </w:r>
      <w:r w:rsidRPr="00791780">
        <w:rPr>
          <w:rStyle w:val="AERbody"/>
        </w:rPr>
        <w:t xml:space="preserve">TransGrid </w:t>
      </w:r>
      <w:r w:rsidR="00720D83">
        <w:rPr>
          <w:rStyle w:val="AERbody"/>
        </w:rPr>
        <w:t xml:space="preserve">submitted that a </w:t>
      </w:r>
      <w:r w:rsidRPr="00791780">
        <w:rPr>
          <w:rStyle w:val="AERbody"/>
        </w:rPr>
        <w:t>multiple model approach</w:t>
      </w:r>
      <w:r w:rsidR="00AB5F05">
        <w:rPr>
          <w:rStyle w:val="AERbody"/>
        </w:rPr>
        <w:t xml:space="preserve"> is consistent </w:t>
      </w:r>
      <w:r w:rsidR="00AB5F05" w:rsidRPr="00791780">
        <w:rPr>
          <w:rStyle w:val="AERbody"/>
        </w:rPr>
        <w:t>with the</w:t>
      </w:r>
      <w:r w:rsidR="004B3978">
        <w:rPr>
          <w:rStyle w:val="AERbody"/>
        </w:rPr>
        <w:t xml:space="preserve"> rule</w:t>
      </w:r>
      <w:r w:rsidR="00AB5F05" w:rsidRPr="00791780">
        <w:rPr>
          <w:rStyle w:val="AERbody"/>
        </w:rPr>
        <w:t xml:space="preserve"> requirement to have regard to relevant estimation methods, financial models, market data and other evidence when </w:t>
      </w:r>
      <w:r w:rsidR="00FD62AA">
        <w:rPr>
          <w:rStyle w:val="AERbody"/>
        </w:rPr>
        <w:t>estimating the return on equity</w:t>
      </w:r>
      <w:r w:rsidR="00AB5F05">
        <w:rPr>
          <w:rStyle w:val="AERbody"/>
        </w:rPr>
        <w:t>.</w:t>
      </w:r>
      <w:r w:rsidR="00AB5F05">
        <w:rPr>
          <w:rStyle w:val="FootnoteReference"/>
        </w:rPr>
        <w:footnoteReference w:id="94"/>
      </w:r>
      <w:r w:rsidR="00AB5F05">
        <w:rPr>
          <w:rStyle w:val="AERbody"/>
        </w:rPr>
        <w:t xml:space="preserve"> TransGrid submitted that the foundation model approach set out in our </w:t>
      </w:r>
      <w:r w:rsidR="00E16472">
        <w:rPr>
          <w:rStyle w:val="AERbody"/>
        </w:rPr>
        <w:t>r</w:t>
      </w:r>
      <w:r w:rsidR="00AB5F05">
        <w:rPr>
          <w:rStyle w:val="AERbody"/>
        </w:rPr>
        <w:t xml:space="preserve">ate of </w:t>
      </w:r>
      <w:r w:rsidR="00E16472">
        <w:rPr>
          <w:rStyle w:val="AERbody"/>
        </w:rPr>
        <w:t>r</w:t>
      </w:r>
      <w:r w:rsidR="00AB5F05">
        <w:rPr>
          <w:rStyle w:val="AERbody"/>
        </w:rPr>
        <w:t xml:space="preserve">eturn </w:t>
      </w:r>
      <w:r w:rsidR="00E16472">
        <w:rPr>
          <w:rStyle w:val="AERbody"/>
        </w:rPr>
        <w:t>g</w:t>
      </w:r>
      <w:r w:rsidR="00AB5F05">
        <w:rPr>
          <w:rStyle w:val="AERbody"/>
        </w:rPr>
        <w:t>uideline (</w:t>
      </w:r>
      <w:r w:rsidR="00E16472">
        <w:rPr>
          <w:rStyle w:val="AERbody"/>
        </w:rPr>
        <w:t>g</w:t>
      </w:r>
      <w:r w:rsidR="004B3978">
        <w:rPr>
          <w:rStyle w:val="AERbody"/>
        </w:rPr>
        <w:t>uideline</w:t>
      </w:r>
      <w:r w:rsidR="00AB5F05">
        <w:rPr>
          <w:rStyle w:val="AERbody"/>
        </w:rPr>
        <w:t>) is inconsi</w:t>
      </w:r>
      <w:r w:rsidR="00FD62AA">
        <w:rPr>
          <w:rStyle w:val="AERbody"/>
        </w:rPr>
        <w:t>stent with</w:t>
      </w:r>
      <w:r w:rsidR="004B3978">
        <w:rPr>
          <w:rStyle w:val="AERbody"/>
        </w:rPr>
        <w:t xml:space="preserve"> this </w:t>
      </w:r>
      <w:r w:rsidR="00FD62AA">
        <w:rPr>
          <w:rStyle w:val="AERbody"/>
        </w:rPr>
        <w:t>rule requirement</w:t>
      </w:r>
      <w:r w:rsidR="00AB5F05">
        <w:rPr>
          <w:rStyle w:val="AERbody"/>
        </w:rPr>
        <w:t>.</w:t>
      </w:r>
      <w:r w:rsidR="00AB5F05">
        <w:rPr>
          <w:rStyle w:val="FootnoteReference"/>
        </w:rPr>
        <w:footnoteReference w:id="95"/>
      </w:r>
      <w:r w:rsidR="00AB5F05">
        <w:rPr>
          <w:rStyle w:val="AERbody"/>
        </w:rPr>
        <w:t xml:space="preserve"> </w:t>
      </w:r>
    </w:p>
    <w:p w:rsidR="00FD62AA" w:rsidRDefault="00FD62AA" w:rsidP="00811803">
      <w:pPr>
        <w:pStyle w:val="AERbodytext"/>
        <w:rPr>
          <w:rStyle w:val="AERbody"/>
        </w:rPr>
      </w:pPr>
      <w:r w:rsidRPr="00811803">
        <w:rPr>
          <w:rStyle w:val="AERbody"/>
        </w:rPr>
        <w:t xml:space="preserve">TransGrid </w:t>
      </w:r>
      <w:r w:rsidR="00E16472">
        <w:rPr>
          <w:rStyle w:val="AERbody"/>
        </w:rPr>
        <w:t>proposed to</w:t>
      </w:r>
      <w:r>
        <w:rPr>
          <w:rStyle w:val="AERbody"/>
        </w:rPr>
        <w:t xml:space="preserve"> adopt a trailing average portfolio approach</w:t>
      </w:r>
      <w:r w:rsidRPr="00811803">
        <w:rPr>
          <w:rStyle w:val="AERbody"/>
        </w:rPr>
        <w:t xml:space="preserve"> </w:t>
      </w:r>
      <w:r>
        <w:rPr>
          <w:rStyle w:val="AERbody"/>
        </w:rPr>
        <w:t>(</w:t>
      </w:r>
      <w:r w:rsidRPr="00FD62AA">
        <w:t>with a 10-year debt term and BBB+ credit rating</w:t>
      </w:r>
      <w:r>
        <w:rPr>
          <w:rStyle w:val="AERbody"/>
        </w:rPr>
        <w:t>)</w:t>
      </w:r>
      <w:r w:rsidR="008D30B2">
        <w:rPr>
          <w:rStyle w:val="AERbody"/>
        </w:rPr>
        <w:t xml:space="preserve"> to estimate the return on debt</w:t>
      </w:r>
      <w:r>
        <w:rPr>
          <w:rStyle w:val="AERbody"/>
        </w:rPr>
        <w:t xml:space="preserve"> as </w:t>
      </w:r>
      <w:r w:rsidRPr="00811803">
        <w:rPr>
          <w:rStyle w:val="AERbody"/>
        </w:rPr>
        <w:t xml:space="preserve">set out in the </w:t>
      </w:r>
      <w:r w:rsidR="00E16472">
        <w:rPr>
          <w:rStyle w:val="AERbody"/>
        </w:rPr>
        <w:t>g</w:t>
      </w:r>
      <w:r w:rsidRPr="00811803">
        <w:rPr>
          <w:rStyle w:val="AERbody"/>
        </w:rPr>
        <w:t>uideline</w:t>
      </w:r>
      <w:r w:rsidR="00811803" w:rsidRPr="00811803">
        <w:rPr>
          <w:rStyle w:val="AERbody"/>
        </w:rPr>
        <w:t xml:space="preserve">. However, </w:t>
      </w:r>
      <w:r w:rsidR="008D30B2">
        <w:rPr>
          <w:rStyle w:val="AERbody"/>
        </w:rPr>
        <w:t>TransGrid</w:t>
      </w:r>
      <w:r w:rsidR="00811803" w:rsidRPr="00811803">
        <w:rPr>
          <w:rStyle w:val="AERbody"/>
        </w:rPr>
        <w:t xml:space="preserve"> </w:t>
      </w:r>
      <w:r w:rsidR="00C04047">
        <w:rPr>
          <w:rStyle w:val="AERbody"/>
        </w:rPr>
        <w:t>submitted that</w:t>
      </w:r>
      <w:r w:rsidR="008D30B2">
        <w:rPr>
          <w:rStyle w:val="AERbody"/>
        </w:rPr>
        <w:t xml:space="preserve"> </w:t>
      </w:r>
      <w:r w:rsidR="00811803" w:rsidRPr="00811803">
        <w:rPr>
          <w:rStyle w:val="AERbody"/>
        </w:rPr>
        <w:t>historical rates would best match its actual debt financing</w:t>
      </w:r>
      <w:r w:rsidR="00811803">
        <w:rPr>
          <w:rStyle w:val="AERbody"/>
        </w:rPr>
        <w:t xml:space="preserve"> practices</w:t>
      </w:r>
      <w:r w:rsidR="004B3978">
        <w:rPr>
          <w:rStyle w:val="AERbody"/>
        </w:rPr>
        <w:t xml:space="preserve"> (the immediate adoption of a trailing average debt portfolio)</w:t>
      </w:r>
      <w:r w:rsidR="00811803">
        <w:rPr>
          <w:rStyle w:val="AERbody"/>
        </w:rPr>
        <w:t>.</w:t>
      </w:r>
      <w:r w:rsidR="00811803">
        <w:rPr>
          <w:rStyle w:val="FootnoteReference"/>
        </w:rPr>
        <w:footnoteReference w:id="96"/>
      </w:r>
      <w:r w:rsidR="004B3978">
        <w:rPr>
          <w:rStyle w:val="AERbody"/>
        </w:rPr>
        <w:t xml:space="preserve"> </w:t>
      </w:r>
    </w:p>
    <w:p w:rsidR="00811803" w:rsidRDefault="00811803" w:rsidP="00811803">
      <w:pPr>
        <w:pStyle w:val="AERbodytext"/>
        <w:rPr>
          <w:rStyle w:val="AERbody"/>
        </w:rPr>
      </w:pPr>
      <w:r w:rsidRPr="00811803">
        <w:rPr>
          <w:rStyle w:val="AERbody"/>
        </w:rPr>
        <w:t xml:space="preserve">TransGrid adopted a value of 0.25 </w:t>
      </w:r>
      <w:r w:rsidR="00885752">
        <w:rPr>
          <w:rStyle w:val="AERbody"/>
        </w:rPr>
        <w:t xml:space="preserve">for </w:t>
      </w:r>
      <w:r w:rsidR="00F034D9">
        <w:rPr>
          <w:rStyle w:val="AERbody"/>
        </w:rPr>
        <w:t>imputation credits (</w:t>
      </w:r>
      <w:r w:rsidR="00885752">
        <w:rPr>
          <w:rStyle w:val="AERbody"/>
        </w:rPr>
        <w:t>gamma</w:t>
      </w:r>
      <w:r w:rsidR="00F034D9">
        <w:rPr>
          <w:rStyle w:val="AERbody"/>
        </w:rPr>
        <w:t>)</w:t>
      </w:r>
      <w:r w:rsidR="00885752">
        <w:rPr>
          <w:rStyle w:val="AERbody"/>
        </w:rPr>
        <w:t xml:space="preserve"> </w:t>
      </w:r>
      <w:r w:rsidR="008B030A">
        <w:rPr>
          <w:rStyle w:val="AERbody"/>
        </w:rPr>
        <w:t xml:space="preserve">calculated </w:t>
      </w:r>
      <w:r w:rsidR="00885752">
        <w:rPr>
          <w:rStyle w:val="AERbody"/>
        </w:rPr>
        <w:t>as the product of the payout ratio (0.7) and utilisation rate (0.35</w:t>
      </w:r>
      <w:r w:rsidR="008D30B2">
        <w:rPr>
          <w:rStyle w:val="AERbody"/>
        </w:rPr>
        <w:t>)</w:t>
      </w:r>
      <w:r w:rsidR="00885752">
        <w:rPr>
          <w:rStyle w:val="AERbody"/>
        </w:rPr>
        <w:t xml:space="preserve">. It submitted that this is </w:t>
      </w:r>
      <w:r w:rsidRPr="00811803">
        <w:rPr>
          <w:rStyle w:val="AERbody"/>
        </w:rPr>
        <w:t xml:space="preserve">consistent with </w:t>
      </w:r>
      <w:r w:rsidR="00885752" w:rsidRPr="00811803">
        <w:rPr>
          <w:rStyle w:val="AERbody"/>
        </w:rPr>
        <w:t xml:space="preserve">the Energy </w:t>
      </w:r>
      <w:r w:rsidR="00885752" w:rsidRPr="00811803">
        <w:rPr>
          <w:rStyle w:val="AERbody"/>
        </w:rPr>
        <w:lastRenderedPageBreak/>
        <w:t>Networks Association</w:t>
      </w:r>
      <w:r w:rsidR="00E16472">
        <w:rPr>
          <w:rStyle w:val="AERbody"/>
        </w:rPr>
        <w:t>’s</w:t>
      </w:r>
      <w:r w:rsidR="00885752">
        <w:rPr>
          <w:rStyle w:val="AERbody"/>
        </w:rPr>
        <w:t xml:space="preserve"> (ENA) submission to </w:t>
      </w:r>
      <w:r w:rsidR="00833FA5">
        <w:rPr>
          <w:rStyle w:val="AERbody"/>
        </w:rPr>
        <w:t>our</w:t>
      </w:r>
      <w:r w:rsidR="00885752">
        <w:rPr>
          <w:rStyle w:val="AERbody"/>
        </w:rPr>
        <w:t xml:space="preserve"> draft rate of return guideline</w:t>
      </w:r>
      <w:r>
        <w:rPr>
          <w:rStyle w:val="AERbody"/>
        </w:rPr>
        <w:t>.</w:t>
      </w:r>
      <w:r>
        <w:rPr>
          <w:rStyle w:val="FootnoteReference"/>
        </w:rPr>
        <w:footnoteReference w:id="97"/>
      </w:r>
      <w:r>
        <w:rPr>
          <w:rStyle w:val="AERbody"/>
        </w:rPr>
        <w:t xml:space="preserve"> </w:t>
      </w:r>
      <w:r w:rsidR="00885752">
        <w:rPr>
          <w:rStyle w:val="AERbody"/>
        </w:rPr>
        <w:t>It also submitted that it was currentl</w:t>
      </w:r>
      <w:r w:rsidR="008D30B2">
        <w:rPr>
          <w:rStyle w:val="AERbody"/>
        </w:rPr>
        <w:t>y</w:t>
      </w:r>
      <w:r w:rsidR="00885752">
        <w:rPr>
          <w:rStyle w:val="AERbody"/>
        </w:rPr>
        <w:t xml:space="preserve"> considering </w:t>
      </w:r>
      <w:r w:rsidR="00833FA5">
        <w:rPr>
          <w:rStyle w:val="AERbody"/>
        </w:rPr>
        <w:t>our</w:t>
      </w:r>
      <w:r w:rsidR="00885752">
        <w:rPr>
          <w:rStyle w:val="AERbody"/>
        </w:rPr>
        <w:t xml:space="preserve"> approach to determining gamma as set out in the </w:t>
      </w:r>
      <w:r w:rsidR="00E16472">
        <w:rPr>
          <w:rStyle w:val="AERbody"/>
        </w:rPr>
        <w:t>g</w:t>
      </w:r>
      <w:r w:rsidR="00885752">
        <w:rPr>
          <w:rStyle w:val="AERbody"/>
        </w:rPr>
        <w:t>uideline.</w:t>
      </w:r>
      <w:r w:rsidR="00232E6E">
        <w:rPr>
          <w:rStyle w:val="FootnoteReference"/>
        </w:rPr>
        <w:footnoteReference w:id="98"/>
      </w:r>
      <w:r w:rsidR="00885752">
        <w:rPr>
          <w:rStyle w:val="AERbody"/>
        </w:rPr>
        <w:t xml:space="preserve"> </w:t>
      </w:r>
    </w:p>
    <w:p w:rsidR="006D2834" w:rsidRPr="003A72DE" w:rsidRDefault="006D2834" w:rsidP="007B4470">
      <w:pPr>
        <w:pStyle w:val="HeadingBoldBlue"/>
        <w:rPr>
          <w:rStyle w:val="AERbody"/>
          <w:rFonts w:eastAsia="Calibri"/>
          <w:color w:val="365F91" w:themeColor="accent1" w:themeShade="BF"/>
          <w:sz w:val="22"/>
          <w:szCs w:val="20"/>
        </w:rPr>
      </w:pPr>
      <w:r w:rsidRPr="003A72DE">
        <w:rPr>
          <w:rStyle w:val="AERbody"/>
          <w:color w:val="365F91" w:themeColor="accent1" w:themeShade="BF"/>
          <w:sz w:val="22"/>
        </w:rPr>
        <w:t>RAB</w:t>
      </w:r>
    </w:p>
    <w:p w:rsidR="003A72DE" w:rsidRPr="008668F9" w:rsidRDefault="003A72DE" w:rsidP="003A72DE">
      <w:pPr>
        <w:pStyle w:val="AERbodytext"/>
        <w:rPr>
          <w:rStyle w:val="AERtextbold"/>
          <w:b w:val="0"/>
        </w:rPr>
      </w:pPr>
      <w:r w:rsidRPr="008668F9">
        <w:rPr>
          <w:rStyle w:val="AERtextbold"/>
          <w:b w:val="0"/>
        </w:rPr>
        <w:t xml:space="preserve">The opening </w:t>
      </w:r>
      <w:r w:rsidR="00E16472">
        <w:rPr>
          <w:rStyle w:val="AERtextbold"/>
          <w:b w:val="0"/>
        </w:rPr>
        <w:t>RAB</w:t>
      </w:r>
      <w:r w:rsidRPr="008668F9">
        <w:rPr>
          <w:rStyle w:val="AERtextbold"/>
          <w:b w:val="0"/>
        </w:rPr>
        <w:t xml:space="preserve"> at 1 July 2014 is a key determinant of the allowed revenue for the </w:t>
      </w:r>
      <w:r w:rsidR="00581457">
        <w:rPr>
          <w:rStyle w:val="AERtextbold"/>
          <w:b w:val="0"/>
        </w:rPr>
        <w:t>transitional</w:t>
      </w:r>
      <w:r w:rsidRPr="008668F9">
        <w:rPr>
          <w:rStyle w:val="AERtextbold"/>
          <w:b w:val="0"/>
        </w:rPr>
        <w:t xml:space="preserve"> regulatory control period. It directly influences the return on capital and return of capital building blocks. </w:t>
      </w:r>
      <w:r w:rsidRPr="008668F9">
        <w:rPr>
          <w:rStyle w:val="AERtextbold"/>
          <w:b w:val="0"/>
        </w:rPr>
        <w:fldChar w:fldCharType="begin"/>
      </w:r>
      <w:r w:rsidRPr="008668F9">
        <w:rPr>
          <w:rStyle w:val="AERtextbold"/>
          <w:b w:val="0"/>
        </w:rPr>
        <w:instrText xml:space="preserve"> REF _Ref381802923 \h </w:instrText>
      </w:r>
      <w:r>
        <w:rPr>
          <w:rStyle w:val="AERtextbold"/>
          <w:b w:val="0"/>
        </w:rPr>
        <w:instrText xml:space="preserve"> \* MERGEFORMAT </w:instrText>
      </w:r>
      <w:r w:rsidRPr="008668F9">
        <w:rPr>
          <w:rStyle w:val="AERtextbold"/>
          <w:b w:val="0"/>
        </w:rPr>
      </w:r>
      <w:r w:rsidRPr="008668F9">
        <w:rPr>
          <w:rStyle w:val="AERtextbold"/>
          <w:b w:val="0"/>
        </w:rPr>
        <w:fldChar w:fldCharType="separate"/>
      </w:r>
      <w:r w:rsidR="00B40E3D">
        <w:t>Table D.2</w:t>
      </w:r>
      <w:r w:rsidRPr="008668F9">
        <w:rPr>
          <w:rStyle w:val="AERtextbold"/>
          <w:b w:val="0"/>
        </w:rPr>
        <w:fldChar w:fldCharType="end"/>
      </w:r>
      <w:r w:rsidRPr="008668F9">
        <w:rPr>
          <w:rStyle w:val="AERtextbold"/>
          <w:b w:val="0"/>
        </w:rPr>
        <w:t xml:space="preserve"> shows </w:t>
      </w:r>
      <w:proofErr w:type="spellStart"/>
      <w:r w:rsidRPr="008668F9">
        <w:rPr>
          <w:rStyle w:val="AERtextbold"/>
          <w:b w:val="0"/>
        </w:rPr>
        <w:t>Trans</w:t>
      </w:r>
      <w:r>
        <w:rPr>
          <w:rStyle w:val="AERtextbold"/>
          <w:b w:val="0"/>
        </w:rPr>
        <w:t>Gri</w:t>
      </w:r>
      <w:r w:rsidRPr="008668F9">
        <w:rPr>
          <w:rStyle w:val="AERtextbold"/>
          <w:b w:val="0"/>
        </w:rPr>
        <w:t>d’s</w:t>
      </w:r>
      <w:proofErr w:type="spellEnd"/>
      <w:r w:rsidRPr="008668F9">
        <w:rPr>
          <w:rStyle w:val="AERtextbold"/>
          <w:b w:val="0"/>
        </w:rPr>
        <w:t xml:space="preserve"> proposed roll forward of the RAB across the </w:t>
      </w:r>
      <w:r w:rsidR="00581457">
        <w:rPr>
          <w:rStyle w:val="AERtextbold"/>
          <w:b w:val="0"/>
        </w:rPr>
        <w:t>current</w:t>
      </w:r>
      <w:r w:rsidRPr="008668F9">
        <w:rPr>
          <w:rStyle w:val="AERtextbold"/>
          <w:b w:val="0"/>
        </w:rPr>
        <w:t xml:space="preserve"> regulatory control period in order to derive the opening RAB.</w:t>
      </w:r>
    </w:p>
    <w:p w:rsidR="003A72DE" w:rsidRDefault="003A72DE" w:rsidP="003A72DE">
      <w:pPr>
        <w:pStyle w:val="Caption"/>
        <w:rPr>
          <w:rStyle w:val="AERtextbold"/>
          <w:b/>
        </w:rPr>
      </w:pPr>
      <w:bookmarkStart w:id="97" w:name="_Ref381802923"/>
      <w:proofErr w:type="gramStart"/>
      <w:r>
        <w:t xml:space="preserve">Table </w:t>
      </w:r>
      <w:fldSimple w:instr=" STYLEREF 7 \s ">
        <w:r w:rsidR="00B40E3D">
          <w:rPr>
            <w:noProof/>
          </w:rPr>
          <w:t>D</w:t>
        </w:r>
      </w:fldSimple>
      <w:r>
        <w:t>.</w:t>
      </w:r>
      <w:proofErr w:type="gramEnd"/>
      <w:r w:rsidR="007827B4">
        <w:fldChar w:fldCharType="begin"/>
      </w:r>
      <w:r w:rsidR="007827B4">
        <w:instrText xml:space="preserve"> SEQ Table \* ARABIC \s 7 </w:instrText>
      </w:r>
      <w:r w:rsidR="007827B4">
        <w:fldChar w:fldCharType="separate"/>
      </w:r>
      <w:r w:rsidR="00B40E3D">
        <w:rPr>
          <w:noProof/>
        </w:rPr>
        <w:t>2</w:t>
      </w:r>
      <w:r w:rsidR="007827B4">
        <w:rPr>
          <w:noProof/>
        </w:rPr>
        <w:fldChar w:fldCharType="end"/>
      </w:r>
      <w:bookmarkEnd w:id="97"/>
      <w:r>
        <w:tab/>
        <w:t xml:space="preserve">Derivation of </w:t>
      </w:r>
      <w:proofErr w:type="spellStart"/>
      <w:r>
        <w:t>TransGrid’s</w:t>
      </w:r>
      <w:proofErr w:type="spellEnd"/>
      <w:r>
        <w:t xml:space="preserve"> opening RAB as at 1 July 2014 ($m, nominal)</w:t>
      </w:r>
    </w:p>
    <w:tbl>
      <w:tblPr>
        <w:tblStyle w:val="AERtable-numbers"/>
        <w:tblW w:w="0" w:type="auto"/>
        <w:tblLayout w:type="fixed"/>
        <w:tblLook w:val="04A0" w:firstRow="1" w:lastRow="0" w:firstColumn="1" w:lastColumn="0" w:noHBand="0" w:noVBand="1"/>
      </w:tblPr>
      <w:tblGrid>
        <w:gridCol w:w="2943"/>
        <w:gridCol w:w="1259"/>
        <w:gridCol w:w="1260"/>
        <w:gridCol w:w="1260"/>
        <w:gridCol w:w="1260"/>
        <w:gridCol w:w="1260"/>
      </w:tblGrid>
      <w:tr w:rsidR="005D5323" w:rsidRPr="00A34D28" w:rsidTr="003A72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5D5323" w:rsidRPr="00A34D28" w:rsidRDefault="005D5323" w:rsidP="003A72DE">
            <w:pPr>
              <w:pStyle w:val="AERtabletextleft"/>
            </w:pPr>
            <w:r w:rsidRPr="00A34D28">
              <w:t xml:space="preserve">RAB </w:t>
            </w:r>
          </w:p>
        </w:tc>
        <w:tc>
          <w:tcPr>
            <w:tcW w:w="1259" w:type="dxa"/>
          </w:tcPr>
          <w:p w:rsidR="005D5323" w:rsidRPr="00A34D28" w:rsidRDefault="005D5323" w:rsidP="003A72DE">
            <w:pPr>
              <w:pStyle w:val="AERtabletextleft"/>
              <w:cnfStyle w:val="100000000000" w:firstRow="1" w:lastRow="0" w:firstColumn="0" w:lastColumn="0" w:oddVBand="0" w:evenVBand="0" w:oddHBand="0" w:evenHBand="0" w:firstRowFirstColumn="0" w:firstRowLastColumn="0" w:lastRowFirstColumn="0" w:lastRowLastColumn="0"/>
            </w:pPr>
            <w:r>
              <w:t>2009–10</w:t>
            </w:r>
          </w:p>
        </w:tc>
        <w:tc>
          <w:tcPr>
            <w:tcW w:w="1260" w:type="dxa"/>
          </w:tcPr>
          <w:p w:rsidR="005D5323" w:rsidRPr="00A34D28" w:rsidRDefault="005D5323" w:rsidP="003A72DE">
            <w:pPr>
              <w:pStyle w:val="AERtabletextleft"/>
              <w:cnfStyle w:val="100000000000" w:firstRow="1" w:lastRow="0" w:firstColumn="0" w:lastColumn="0" w:oddVBand="0" w:evenVBand="0" w:oddHBand="0" w:evenHBand="0" w:firstRowFirstColumn="0" w:firstRowLastColumn="0" w:lastRowFirstColumn="0" w:lastRowLastColumn="0"/>
            </w:pPr>
            <w:r>
              <w:t>2010–11</w:t>
            </w:r>
          </w:p>
        </w:tc>
        <w:tc>
          <w:tcPr>
            <w:tcW w:w="1260" w:type="dxa"/>
          </w:tcPr>
          <w:p w:rsidR="005D5323" w:rsidRPr="00A34D28" w:rsidRDefault="005D5323" w:rsidP="003A72DE">
            <w:pPr>
              <w:pStyle w:val="AERtabletextleft"/>
              <w:cnfStyle w:val="100000000000" w:firstRow="1" w:lastRow="0" w:firstColumn="0" w:lastColumn="0" w:oddVBand="0" w:evenVBand="0" w:oddHBand="0" w:evenHBand="0" w:firstRowFirstColumn="0" w:firstRowLastColumn="0" w:lastRowFirstColumn="0" w:lastRowLastColumn="0"/>
            </w:pPr>
            <w:r>
              <w:t>2011–12</w:t>
            </w:r>
          </w:p>
        </w:tc>
        <w:tc>
          <w:tcPr>
            <w:tcW w:w="1260" w:type="dxa"/>
          </w:tcPr>
          <w:p w:rsidR="005D5323" w:rsidRPr="00A34D28" w:rsidRDefault="005D5323" w:rsidP="003A72DE">
            <w:pPr>
              <w:pStyle w:val="AERtabletextleft"/>
              <w:cnfStyle w:val="100000000000" w:firstRow="1" w:lastRow="0" w:firstColumn="0" w:lastColumn="0" w:oddVBand="0" w:evenVBand="0" w:oddHBand="0" w:evenHBand="0" w:firstRowFirstColumn="0" w:firstRowLastColumn="0" w:lastRowFirstColumn="0" w:lastRowLastColumn="0"/>
            </w:pPr>
            <w:r>
              <w:t>2012–13</w:t>
            </w:r>
          </w:p>
        </w:tc>
        <w:tc>
          <w:tcPr>
            <w:tcW w:w="1260" w:type="dxa"/>
          </w:tcPr>
          <w:p w:rsidR="005D5323" w:rsidRPr="00A34D28" w:rsidRDefault="005D5323" w:rsidP="003A72DE">
            <w:pPr>
              <w:pStyle w:val="AERtabletextleft"/>
              <w:cnfStyle w:val="100000000000" w:firstRow="1" w:lastRow="0" w:firstColumn="0" w:lastColumn="0" w:oddVBand="0" w:evenVBand="0" w:oddHBand="0" w:evenHBand="0" w:firstRowFirstColumn="0" w:firstRowLastColumn="0" w:lastRowFirstColumn="0" w:lastRowLastColumn="0"/>
            </w:pPr>
            <w:r>
              <w:t>2013–14</w:t>
            </w:r>
          </w:p>
        </w:tc>
      </w:tr>
      <w:tr w:rsidR="003A72DE" w:rsidRPr="00A34D28" w:rsidTr="003A72DE">
        <w:tc>
          <w:tcPr>
            <w:cnfStyle w:val="001000000000" w:firstRow="0" w:lastRow="0" w:firstColumn="1" w:lastColumn="0" w:oddVBand="0" w:evenVBand="0" w:oddHBand="0" w:evenHBand="0" w:firstRowFirstColumn="0" w:firstRowLastColumn="0" w:lastRowFirstColumn="0" w:lastRowLastColumn="0"/>
            <w:tcW w:w="2943" w:type="dxa"/>
            <w:vAlign w:val="top"/>
          </w:tcPr>
          <w:p w:rsidR="003A72DE" w:rsidRPr="00A34D28" w:rsidRDefault="003A72DE" w:rsidP="003A72DE">
            <w:pPr>
              <w:pStyle w:val="AERtabletextleft"/>
            </w:pPr>
            <w:r w:rsidRPr="00A34D28">
              <w:t xml:space="preserve">Opening RAB </w:t>
            </w:r>
          </w:p>
        </w:tc>
        <w:tc>
          <w:tcPr>
            <w:tcW w:w="1259" w:type="dxa"/>
            <w:vAlign w:val="top"/>
          </w:tcPr>
          <w:p w:rsidR="003A72DE" w:rsidRPr="00A34D28" w:rsidRDefault="003A72DE" w:rsidP="00C32043">
            <w:pPr>
              <w:pStyle w:val="AERtabletextleft"/>
              <w:cnfStyle w:val="000000000000" w:firstRow="0" w:lastRow="0" w:firstColumn="0" w:lastColumn="0" w:oddVBand="0" w:evenVBand="0" w:oddHBand="0" w:evenHBand="0" w:firstRowFirstColumn="0" w:firstRowLastColumn="0" w:lastRowFirstColumn="0" w:lastRowLastColumn="0"/>
            </w:pPr>
            <w:r w:rsidRPr="00A34D28">
              <w:t>4218</w:t>
            </w:r>
          </w:p>
        </w:tc>
        <w:tc>
          <w:tcPr>
            <w:tcW w:w="1260" w:type="dxa"/>
            <w:vAlign w:val="top"/>
          </w:tcPr>
          <w:p w:rsidR="003A72DE" w:rsidRPr="00A34D28" w:rsidRDefault="003A72DE" w:rsidP="00C32043">
            <w:pPr>
              <w:pStyle w:val="AERtabletextleft"/>
              <w:cnfStyle w:val="000000000000" w:firstRow="0" w:lastRow="0" w:firstColumn="0" w:lastColumn="0" w:oddVBand="0" w:evenVBand="0" w:oddHBand="0" w:evenHBand="0" w:firstRowFirstColumn="0" w:firstRowLastColumn="0" w:lastRowFirstColumn="0" w:lastRowLastColumn="0"/>
            </w:pPr>
            <w:r w:rsidRPr="00A34D28">
              <w:t xml:space="preserve">4581 </w:t>
            </w:r>
          </w:p>
        </w:tc>
        <w:tc>
          <w:tcPr>
            <w:tcW w:w="1260" w:type="dxa"/>
            <w:vAlign w:val="top"/>
          </w:tcPr>
          <w:p w:rsidR="003A72DE" w:rsidRPr="00A34D28" w:rsidRDefault="003A72DE" w:rsidP="00C32043">
            <w:pPr>
              <w:pStyle w:val="AERtabletextleft"/>
              <w:cnfStyle w:val="000000000000" w:firstRow="0" w:lastRow="0" w:firstColumn="0" w:lastColumn="0" w:oddVBand="0" w:evenVBand="0" w:oddHBand="0" w:evenHBand="0" w:firstRowFirstColumn="0" w:firstRowLastColumn="0" w:lastRowFirstColumn="0" w:lastRowLastColumn="0"/>
            </w:pPr>
            <w:r w:rsidRPr="00A34D28">
              <w:t xml:space="preserve">4930 </w:t>
            </w:r>
          </w:p>
        </w:tc>
        <w:tc>
          <w:tcPr>
            <w:tcW w:w="1260" w:type="dxa"/>
            <w:vAlign w:val="top"/>
          </w:tcPr>
          <w:p w:rsidR="003A72DE" w:rsidRPr="00A34D28" w:rsidRDefault="003A72DE" w:rsidP="00C32043">
            <w:pPr>
              <w:pStyle w:val="AERtabletextleft"/>
              <w:cnfStyle w:val="000000000000" w:firstRow="0" w:lastRow="0" w:firstColumn="0" w:lastColumn="0" w:oddVBand="0" w:evenVBand="0" w:oddHBand="0" w:evenHBand="0" w:firstRowFirstColumn="0" w:firstRowLastColumn="0" w:lastRowFirstColumn="0" w:lastRowLastColumn="0"/>
            </w:pPr>
            <w:r w:rsidRPr="00A34D28">
              <w:t xml:space="preserve">5184 </w:t>
            </w:r>
          </w:p>
        </w:tc>
        <w:tc>
          <w:tcPr>
            <w:tcW w:w="1260" w:type="dxa"/>
            <w:vAlign w:val="top"/>
          </w:tcPr>
          <w:p w:rsidR="003A72DE" w:rsidRPr="00A34D28" w:rsidRDefault="003A72DE" w:rsidP="00C32043">
            <w:pPr>
              <w:pStyle w:val="AERtabletextleft"/>
              <w:cnfStyle w:val="000000000000" w:firstRow="0" w:lastRow="0" w:firstColumn="0" w:lastColumn="0" w:oddVBand="0" w:evenVBand="0" w:oddHBand="0" w:evenHBand="0" w:firstRowFirstColumn="0" w:firstRowLastColumn="0" w:lastRowFirstColumn="0" w:lastRowLastColumn="0"/>
            </w:pPr>
            <w:r w:rsidRPr="00A34D28">
              <w:t xml:space="preserve">5618 </w:t>
            </w:r>
          </w:p>
        </w:tc>
      </w:tr>
      <w:tr w:rsidR="003A72DE" w:rsidRPr="00A34D28" w:rsidTr="003A72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top"/>
          </w:tcPr>
          <w:p w:rsidR="003A72DE" w:rsidRPr="00A34D28" w:rsidRDefault="003A72DE" w:rsidP="00C32043">
            <w:pPr>
              <w:pStyle w:val="AERtabletextleft"/>
            </w:pPr>
            <w:r w:rsidRPr="00A34D28">
              <w:t xml:space="preserve">Net </w:t>
            </w:r>
            <w:r w:rsidR="00537A49">
              <w:t>c</w:t>
            </w:r>
            <w:r w:rsidRPr="00A34D28">
              <w:t xml:space="preserve">apital </w:t>
            </w:r>
            <w:r w:rsidR="00537A49">
              <w:t>e</w:t>
            </w:r>
            <w:r w:rsidRPr="00A34D28">
              <w:t xml:space="preserve">xpenditure as </w:t>
            </w:r>
            <w:r w:rsidR="00537A49">
              <w:t>i</w:t>
            </w:r>
            <w:r w:rsidRPr="00A34D28">
              <w:t xml:space="preserve">ncurred </w:t>
            </w:r>
          </w:p>
        </w:tc>
        <w:tc>
          <w:tcPr>
            <w:tcW w:w="1259" w:type="dxa"/>
            <w:vAlign w:val="top"/>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420</w:t>
            </w:r>
          </w:p>
        </w:tc>
        <w:tc>
          <w:tcPr>
            <w:tcW w:w="1260" w:type="dxa"/>
            <w:vAlign w:val="top"/>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 xml:space="preserve">378 </w:t>
            </w:r>
          </w:p>
        </w:tc>
        <w:tc>
          <w:tcPr>
            <w:tcW w:w="1260" w:type="dxa"/>
            <w:vAlign w:val="top"/>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 xml:space="preserve">361 </w:t>
            </w:r>
          </w:p>
        </w:tc>
        <w:tc>
          <w:tcPr>
            <w:tcW w:w="1260" w:type="dxa"/>
            <w:vAlign w:val="top"/>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 xml:space="preserve">503 </w:t>
            </w:r>
          </w:p>
        </w:tc>
        <w:tc>
          <w:tcPr>
            <w:tcW w:w="1260" w:type="dxa"/>
            <w:vAlign w:val="top"/>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 xml:space="preserve">513 </w:t>
            </w:r>
          </w:p>
        </w:tc>
      </w:tr>
      <w:tr w:rsidR="003A72DE" w:rsidRPr="00A34D28" w:rsidTr="003A72DE">
        <w:tc>
          <w:tcPr>
            <w:cnfStyle w:val="001000000000" w:firstRow="0" w:lastRow="0" w:firstColumn="1" w:lastColumn="0" w:oddVBand="0" w:evenVBand="0" w:oddHBand="0" w:evenHBand="0" w:firstRowFirstColumn="0" w:firstRowLastColumn="0" w:lastRowFirstColumn="0" w:lastRowLastColumn="0"/>
            <w:tcW w:w="2943" w:type="dxa"/>
            <w:vAlign w:val="top"/>
          </w:tcPr>
          <w:p w:rsidR="003A72DE" w:rsidRPr="00A34D28" w:rsidRDefault="003A72DE" w:rsidP="00537A49">
            <w:pPr>
              <w:pStyle w:val="AERtabletextleft"/>
            </w:pPr>
            <w:r w:rsidRPr="00A34D28">
              <w:t xml:space="preserve">Straight-line </w:t>
            </w:r>
            <w:r w:rsidR="00537A49">
              <w:t>d</w:t>
            </w:r>
            <w:r w:rsidRPr="00A34D28">
              <w:t xml:space="preserve">epreciation </w:t>
            </w:r>
          </w:p>
        </w:tc>
        <w:tc>
          <w:tcPr>
            <w:tcW w:w="1259" w:type="dxa"/>
            <w:vAlign w:val="top"/>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-179</w:t>
            </w:r>
          </w:p>
        </w:tc>
        <w:tc>
          <w:tcPr>
            <w:tcW w:w="1260" w:type="dxa"/>
            <w:vAlign w:val="top"/>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 xml:space="preserve">-182 </w:t>
            </w:r>
          </w:p>
        </w:tc>
        <w:tc>
          <w:tcPr>
            <w:tcW w:w="1260" w:type="dxa"/>
            <w:vAlign w:val="top"/>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 xml:space="preserve">-184 </w:t>
            </w:r>
          </w:p>
        </w:tc>
        <w:tc>
          <w:tcPr>
            <w:tcW w:w="1260" w:type="dxa"/>
            <w:vAlign w:val="top"/>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 xml:space="preserve">-199 </w:t>
            </w:r>
          </w:p>
        </w:tc>
        <w:tc>
          <w:tcPr>
            <w:tcW w:w="1260" w:type="dxa"/>
            <w:vAlign w:val="top"/>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A34D28">
              <w:t xml:space="preserve">-223 </w:t>
            </w:r>
          </w:p>
        </w:tc>
      </w:tr>
      <w:tr w:rsidR="003A72DE" w:rsidRPr="00A34D28" w:rsidTr="003A72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top"/>
          </w:tcPr>
          <w:p w:rsidR="003A72DE" w:rsidRPr="00A34D28" w:rsidRDefault="003A72DE" w:rsidP="00537A49">
            <w:pPr>
              <w:pStyle w:val="AERtabletextleft"/>
            </w:pPr>
            <w:r w:rsidRPr="00A34D28">
              <w:t xml:space="preserve">Inflation </w:t>
            </w:r>
            <w:r w:rsidR="00537A49">
              <w:t>a</w:t>
            </w:r>
            <w:r w:rsidRPr="00A34D28">
              <w:t xml:space="preserve">djustment </w:t>
            </w:r>
          </w:p>
        </w:tc>
        <w:tc>
          <w:tcPr>
            <w:tcW w:w="1259" w:type="dxa"/>
            <w:vAlign w:val="top"/>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122</w:t>
            </w:r>
          </w:p>
        </w:tc>
        <w:tc>
          <w:tcPr>
            <w:tcW w:w="1260" w:type="dxa"/>
            <w:vAlign w:val="top"/>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 xml:space="preserve">153 </w:t>
            </w:r>
          </w:p>
        </w:tc>
        <w:tc>
          <w:tcPr>
            <w:tcW w:w="1260" w:type="dxa"/>
            <w:vAlign w:val="top"/>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 xml:space="preserve">78 </w:t>
            </w:r>
          </w:p>
        </w:tc>
        <w:tc>
          <w:tcPr>
            <w:tcW w:w="1260" w:type="dxa"/>
            <w:vAlign w:val="top"/>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 xml:space="preserve">130 </w:t>
            </w:r>
          </w:p>
        </w:tc>
        <w:tc>
          <w:tcPr>
            <w:tcW w:w="1260" w:type="dxa"/>
            <w:vAlign w:val="top"/>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 xml:space="preserve">154 </w:t>
            </w:r>
          </w:p>
        </w:tc>
      </w:tr>
      <w:tr w:rsidR="003A72DE" w:rsidRPr="00A34D28" w:rsidTr="003A72DE">
        <w:tc>
          <w:tcPr>
            <w:cnfStyle w:val="001000000000" w:firstRow="0" w:lastRow="0" w:firstColumn="1" w:lastColumn="0" w:oddVBand="0" w:evenVBand="0" w:oddHBand="0" w:evenHBand="0" w:firstRowFirstColumn="0" w:firstRowLastColumn="0" w:lastRowFirstColumn="0" w:lastRowLastColumn="0"/>
            <w:tcW w:w="2943" w:type="dxa"/>
            <w:vAlign w:val="top"/>
          </w:tcPr>
          <w:p w:rsidR="003A72DE" w:rsidRPr="00A34D28" w:rsidRDefault="003A72DE" w:rsidP="003A72DE">
            <w:pPr>
              <w:pStyle w:val="AERtabletextleft"/>
              <w:rPr>
                <w:b/>
              </w:rPr>
            </w:pPr>
            <w:r w:rsidRPr="00A34D28">
              <w:rPr>
                <w:b/>
              </w:rPr>
              <w:t xml:space="preserve">Closing RAB </w:t>
            </w:r>
          </w:p>
        </w:tc>
        <w:tc>
          <w:tcPr>
            <w:tcW w:w="1259" w:type="dxa"/>
            <w:vAlign w:val="top"/>
          </w:tcPr>
          <w:p w:rsidR="003A72DE" w:rsidRPr="00A34D28" w:rsidRDefault="003A72DE" w:rsidP="00C32043">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4581</w:t>
            </w:r>
          </w:p>
        </w:tc>
        <w:tc>
          <w:tcPr>
            <w:tcW w:w="1260" w:type="dxa"/>
            <w:vAlign w:val="top"/>
          </w:tcPr>
          <w:p w:rsidR="003A72DE" w:rsidRPr="00A34D28" w:rsidRDefault="003A72DE" w:rsidP="00C32043">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 xml:space="preserve">4930 </w:t>
            </w:r>
          </w:p>
        </w:tc>
        <w:tc>
          <w:tcPr>
            <w:tcW w:w="1260" w:type="dxa"/>
            <w:vAlign w:val="top"/>
          </w:tcPr>
          <w:p w:rsidR="003A72DE" w:rsidRPr="00A34D28" w:rsidRDefault="003A72DE" w:rsidP="00C32043">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 xml:space="preserve">5184 </w:t>
            </w:r>
          </w:p>
        </w:tc>
        <w:tc>
          <w:tcPr>
            <w:tcW w:w="1260" w:type="dxa"/>
            <w:vAlign w:val="top"/>
          </w:tcPr>
          <w:p w:rsidR="003A72DE" w:rsidRPr="00A34D28" w:rsidRDefault="003A72DE" w:rsidP="00C32043">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 xml:space="preserve">5618 </w:t>
            </w:r>
          </w:p>
        </w:tc>
        <w:tc>
          <w:tcPr>
            <w:tcW w:w="1260" w:type="dxa"/>
            <w:vAlign w:val="top"/>
          </w:tcPr>
          <w:p w:rsidR="003A72DE" w:rsidRPr="00A34D28" w:rsidRDefault="003A72DE" w:rsidP="00C32043">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 xml:space="preserve">6063 </w:t>
            </w:r>
          </w:p>
        </w:tc>
      </w:tr>
      <w:tr w:rsidR="003A72DE" w:rsidRPr="00A34D28" w:rsidTr="003A72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3A72DE" w:rsidRPr="00A34D28" w:rsidRDefault="003A72DE" w:rsidP="003A72DE">
            <w:pPr>
              <w:pStyle w:val="AERtabletextleft"/>
            </w:pPr>
            <w:r w:rsidRPr="00A34D28">
              <w:t>Net adjustments from 2008–09</w:t>
            </w:r>
          </w:p>
        </w:tc>
        <w:tc>
          <w:tcPr>
            <w:tcW w:w="1259" w:type="dxa"/>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p>
        </w:tc>
        <w:tc>
          <w:tcPr>
            <w:tcW w:w="1260" w:type="dxa"/>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p>
        </w:tc>
        <w:tc>
          <w:tcPr>
            <w:tcW w:w="1260" w:type="dxa"/>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p>
        </w:tc>
        <w:tc>
          <w:tcPr>
            <w:tcW w:w="1260" w:type="dxa"/>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p>
        </w:tc>
        <w:tc>
          <w:tcPr>
            <w:tcW w:w="1260" w:type="dxa"/>
          </w:tcPr>
          <w:p w:rsidR="003A72DE" w:rsidRPr="00A34D2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A34D28">
              <w:t>41</w:t>
            </w:r>
          </w:p>
        </w:tc>
      </w:tr>
      <w:tr w:rsidR="003A72DE" w:rsidRPr="00A34D28" w:rsidTr="003A72DE">
        <w:tc>
          <w:tcPr>
            <w:cnfStyle w:val="001000000000" w:firstRow="0" w:lastRow="0" w:firstColumn="1" w:lastColumn="0" w:oddVBand="0" w:evenVBand="0" w:oddHBand="0" w:evenHBand="0" w:firstRowFirstColumn="0" w:firstRowLastColumn="0" w:lastRowFirstColumn="0" w:lastRowLastColumn="0"/>
            <w:tcW w:w="2943" w:type="dxa"/>
          </w:tcPr>
          <w:p w:rsidR="003A72DE" w:rsidRPr="00A34D28" w:rsidRDefault="003A72DE" w:rsidP="003A72DE">
            <w:pPr>
              <w:pStyle w:val="AERtabletextleft"/>
              <w:rPr>
                <w:b/>
              </w:rPr>
            </w:pPr>
            <w:r w:rsidRPr="00A34D28">
              <w:rPr>
                <w:b/>
              </w:rPr>
              <w:t>Opening RAB as at 1 July 2014</w:t>
            </w:r>
          </w:p>
        </w:tc>
        <w:tc>
          <w:tcPr>
            <w:tcW w:w="1259" w:type="dxa"/>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p>
        </w:tc>
        <w:tc>
          <w:tcPr>
            <w:tcW w:w="1260" w:type="dxa"/>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p>
        </w:tc>
        <w:tc>
          <w:tcPr>
            <w:tcW w:w="1260" w:type="dxa"/>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p>
        </w:tc>
        <w:tc>
          <w:tcPr>
            <w:tcW w:w="1260" w:type="dxa"/>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p>
        </w:tc>
        <w:tc>
          <w:tcPr>
            <w:tcW w:w="1260" w:type="dxa"/>
          </w:tcPr>
          <w:p w:rsidR="003A72DE" w:rsidRPr="00A34D28" w:rsidRDefault="003A72DE" w:rsidP="00C32043">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6104</w:t>
            </w:r>
          </w:p>
        </w:tc>
      </w:tr>
    </w:tbl>
    <w:p w:rsidR="003A72DE" w:rsidRDefault="003A72DE" w:rsidP="003A72DE">
      <w:pPr>
        <w:pStyle w:val="AERtablesource"/>
        <w:rPr>
          <w:rStyle w:val="AERtextbold"/>
        </w:rPr>
      </w:pPr>
      <w:r w:rsidRPr="00914BF8">
        <w:rPr>
          <w:rStyle w:val="AERtextbold"/>
          <w:b w:val="0"/>
        </w:rPr>
        <w:t>Source:</w:t>
      </w:r>
      <w:r>
        <w:rPr>
          <w:rStyle w:val="AERtextbold"/>
        </w:rPr>
        <w:t xml:space="preserve"> </w:t>
      </w:r>
      <w:r>
        <w:rPr>
          <w:rStyle w:val="AERtextbold"/>
        </w:rPr>
        <w:tab/>
      </w:r>
      <w:r>
        <w:t xml:space="preserve">TransGrid, </w:t>
      </w:r>
      <w:r w:rsidRPr="00836C60">
        <w:rPr>
          <w:i/>
        </w:rPr>
        <w:t>Transitional revenue proposal 2014/15</w:t>
      </w:r>
      <w:r>
        <w:t>, 31 January 2014, p. 46.</w:t>
      </w:r>
    </w:p>
    <w:p w:rsidR="003A72DE" w:rsidRDefault="003A72DE" w:rsidP="003A72DE">
      <w:pPr>
        <w:pStyle w:val="AERbodytext"/>
        <w:rPr>
          <w:rStyle w:val="AERtextbold"/>
          <w:b w:val="0"/>
        </w:rPr>
      </w:pPr>
      <w:r>
        <w:rPr>
          <w:rStyle w:val="AERtextbold"/>
          <w:b w:val="0"/>
        </w:rPr>
        <w:fldChar w:fldCharType="begin"/>
      </w:r>
      <w:r>
        <w:rPr>
          <w:rStyle w:val="AERtextbold"/>
          <w:b w:val="0"/>
        </w:rPr>
        <w:instrText xml:space="preserve"> REF _Ref381802923 \h </w:instrText>
      </w:r>
      <w:r>
        <w:rPr>
          <w:rStyle w:val="AERtextbold"/>
          <w:b w:val="0"/>
        </w:rPr>
      </w:r>
      <w:r>
        <w:rPr>
          <w:rStyle w:val="AERtextbold"/>
          <w:b w:val="0"/>
        </w:rPr>
        <w:fldChar w:fldCharType="separate"/>
      </w:r>
      <w:r w:rsidR="00B40E3D">
        <w:t xml:space="preserve">Table </w:t>
      </w:r>
      <w:r w:rsidR="00B40E3D">
        <w:rPr>
          <w:noProof/>
        </w:rPr>
        <w:t>D</w:t>
      </w:r>
      <w:r w:rsidR="00B40E3D">
        <w:t>.</w:t>
      </w:r>
      <w:r w:rsidR="00B40E3D">
        <w:rPr>
          <w:noProof/>
        </w:rPr>
        <w:t>2</w:t>
      </w:r>
      <w:r>
        <w:rPr>
          <w:rStyle w:val="AERtextbold"/>
          <w:b w:val="0"/>
        </w:rPr>
        <w:fldChar w:fldCharType="end"/>
      </w:r>
      <w:r>
        <w:rPr>
          <w:rStyle w:val="AERtextbold"/>
          <w:b w:val="0"/>
        </w:rPr>
        <w:t xml:space="preserve"> also includes adjustments that relate to 2008–09. When the AER made its </w:t>
      </w:r>
      <w:r w:rsidR="00537A49">
        <w:rPr>
          <w:rStyle w:val="AERtextbold"/>
          <w:b w:val="0"/>
        </w:rPr>
        <w:t xml:space="preserve">transmission </w:t>
      </w:r>
      <w:r>
        <w:rPr>
          <w:rStyle w:val="AERtextbold"/>
          <w:b w:val="0"/>
        </w:rPr>
        <w:t xml:space="preserve">determination for the </w:t>
      </w:r>
      <w:r w:rsidR="00581457">
        <w:rPr>
          <w:rStyle w:val="AERtextbold"/>
          <w:b w:val="0"/>
        </w:rPr>
        <w:t>current</w:t>
      </w:r>
      <w:r>
        <w:rPr>
          <w:rStyle w:val="AERtextbold"/>
          <w:b w:val="0"/>
        </w:rPr>
        <w:t xml:space="preserve"> regulatory control period, final figures for 2008–09 could not be obtained (since the year was not yet complete). Hence, </w:t>
      </w:r>
      <w:proofErr w:type="spellStart"/>
      <w:r>
        <w:rPr>
          <w:rStyle w:val="AERtextbold"/>
          <w:b w:val="0"/>
        </w:rPr>
        <w:t>TransGrid’s</w:t>
      </w:r>
      <w:proofErr w:type="spellEnd"/>
      <w:r>
        <w:rPr>
          <w:rStyle w:val="AERtextbold"/>
          <w:b w:val="0"/>
        </w:rPr>
        <w:t xml:space="preserve"> proposal adjusts for the difference between actual and estimated cap</w:t>
      </w:r>
      <w:r w:rsidR="00537A49">
        <w:rPr>
          <w:rStyle w:val="AERtextbold"/>
          <w:b w:val="0"/>
        </w:rPr>
        <w:t>ex</w:t>
      </w:r>
      <w:r>
        <w:rPr>
          <w:rStyle w:val="AERtextbold"/>
          <w:b w:val="0"/>
        </w:rPr>
        <w:t xml:space="preserve"> for the 2008–09 financial year.</w:t>
      </w:r>
      <w:r>
        <w:rPr>
          <w:rStyle w:val="FootnoteReference"/>
        </w:rPr>
        <w:footnoteReference w:id="99"/>
      </w:r>
    </w:p>
    <w:p w:rsidR="003A72DE" w:rsidRPr="00914BF8" w:rsidRDefault="003A72DE" w:rsidP="003A72DE">
      <w:pPr>
        <w:pStyle w:val="AERbodytext"/>
        <w:rPr>
          <w:rStyle w:val="AERtextbold"/>
          <w:b w:val="0"/>
        </w:rPr>
      </w:pPr>
      <w:r>
        <w:rPr>
          <w:rStyle w:val="AERtextbold"/>
          <w:b w:val="0"/>
        </w:rPr>
        <w:fldChar w:fldCharType="begin"/>
      </w:r>
      <w:r>
        <w:rPr>
          <w:rStyle w:val="AERtextbold"/>
          <w:b w:val="0"/>
        </w:rPr>
        <w:instrText xml:space="preserve"> REF _Ref381801494 \h </w:instrText>
      </w:r>
      <w:r>
        <w:rPr>
          <w:rStyle w:val="AERtextbold"/>
          <w:b w:val="0"/>
        </w:rPr>
      </w:r>
      <w:r>
        <w:rPr>
          <w:rStyle w:val="AERtextbold"/>
          <w:b w:val="0"/>
        </w:rPr>
        <w:fldChar w:fldCharType="separate"/>
      </w:r>
      <w:r w:rsidR="00B40E3D">
        <w:t xml:space="preserve">Table </w:t>
      </w:r>
      <w:r w:rsidR="00B40E3D">
        <w:rPr>
          <w:noProof/>
        </w:rPr>
        <w:t>D</w:t>
      </w:r>
      <w:r w:rsidR="00B40E3D">
        <w:t>.</w:t>
      </w:r>
      <w:r w:rsidR="00B40E3D">
        <w:rPr>
          <w:noProof/>
        </w:rPr>
        <w:t>3</w:t>
      </w:r>
      <w:r>
        <w:rPr>
          <w:rStyle w:val="AERtextbold"/>
          <w:b w:val="0"/>
        </w:rPr>
        <w:fldChar w:fldCharType="end"/>
      </w:r>
      <w:r>
        <w:rPr>
          <w:rStyle w:val="AERtextbold"/>
          <w:b w:val="0"/>
        </w:rPr>
        <w:t xml:space="preserve"> show</w:t>
      </w:r>
      <w:r w:rsidRPr="00914BF8">
        <w:rPr>
          <w:rStyle w:val="AERtextbold"/>
          <w:b w:val="0"/>
        </w:rPr>
        <w:t xml:space="preserve">s </w:t>
      </w:r>
      <w:proofErr w:type="spellStart"/>
      <w:r>
        <w:rPr>
          <w:rStyle w:val="AERtextbold"/>
          <w:b w:val="0"/>
        </w:rPr>
        <w:t>TransGrid’s</w:t>
      </w:r>
      <w:proofErr w:type="spellEnd"/>
      <w:r>
        <w:rPr>
          <w:rStyle w:val="AERtextbold"/>
          <w:b w:val="0"/>
        </w:rPr>
        <w:t xml:space="preserve"> proposed roll forward of the regulatory asset base from 1 July 2014 to 30 June 2019.</w:t>
      </w:r>
      <w:r w:rsidR="005D5323">
        <w:rPr>
          <w:rStyle w:val="AERtextbold"/>
          <w:b w:val="0"/>
        </w:rPr>
        <w:t xml:space="preserve"> This builds on the proposed cap</w:t>
      </w:r>
      <w:r w:rsidR="00196D2B">
        <w:rPr>
          <w:rStyle w:val="AERtextbold"/>
          <w:b w:val="0"/>
        </w:rPr>
        <w:t>ex</w:t>
      </w:r>
      <w:r w:rsidR="005D5323">
        <w:rPr>
          <w:rStyle w:val="AERtextbold"/>
          <w:b w:val="0"/>
        </w:rPr>
        <w:t xml:space="preserve"> outlined above.</w:t>
      </w:r>
    </w:p>
    <w:p w:rsidR="003A72DE" w:rsidRDefault="003A72DE" w:rsidP="003A72DE">
      <w:pPr>
        <w:pStyle w:val="Caption"/>
        <w:rPr>
          <w:rStyle w:val="AERtextbold"/>
        </w:rPr>
      </w:pPr>
      <w:bookmarkStart w:id="98" w:name="_Ref381801494"/>
      <w:proofErr w:type="gramStart"/>
      <w:r>
        <w:t xml:space="preserve">Table </w:t>
      </w:r>
      <w:fldSimple w:instr=" STYLEREF 7 \s ">
        <w:r w:rsidR="00B40E3D">
          <w:rPr>
            <w:noProof/>
          </w:rPr>
          <w:t>D</w:t>
        </w:r>
      </w:fldSimple>
      <w:r>
        <w:t>.</w:t>
      </w:r>
      <w:proofErr w:type="gramEnd"/>
      <w:r w:rsidR="007827B4">
        <w:fldChar w:fldCharType="begin"/>
      </w:r>
      <w:r w:rsidR="007827B4">
        <w:instrText xml:space="preserve"> SEQ Table \* ARABIC \s 7 </w:instrText>
      </w:r>
      <w:r w:rsidR="007827B4">
        <w:fldChar w:fldCharType="separate"/>
      </w:r>
      <w:r w:rsidR="00B40E3D">
        <w:rPr>
          <w:noProof/>
        </w:rPr>
        <w:t>3</w:t>
      </w:r>
      <w:r w:rsidR="007827B4">
        <w:rPr>
          <w:noProof/>
        </w:rPr>
        <w:fldChar w:fldCharType="end"/>
      </w:r>
      <w:bookmarkEnd w:id="98"/>
      <w:r>
        <w:tab/>
      </w:r>
      <w:proofErr w:type="spellStart"/>
      <w:r>
        <w:t>TransGrid’s</w:t>
      </w:r>
      <w:proofErr w:type="spellEnd"/>
      <w:r>
        <w:t xml:space="preserve"> proposed regulatory asset base from 2014–19 ($m, nominal)</w:t>
      </w:r>
    </w:p>
    <w:tbl>
      <w:tblPr>
        <w:tblStyle w:val="AERtable-numbers"/>
        <w:tblW w:w="0" w:type="auto"/>
        <w:tblLayout w:type="fixed"/>
        <w:tblLook w:val="04A0" w:firstRow="1" w:lastRow="0" w:firstColumn="1" w:lastColumn="0" w:noHBand="0" w:noVBand="1"/>
      </w:tblPr>
      <w:tblGrid>
        <w:gridCol w:w="2943"/>
        <w:gridCol w:w="1259"/>
        <w:gridCol w:w="1260"/>
        <w:gridCol w:w="1260"/>
        <w:gridCol w:w="1260"/>
        <w:gridCol w:w="1260"/>
      </w:tblGrid>
      <w:tr w:rsidR="003A72DE" w:rsidTr="003A72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3A72DE" w:rsidRPr="00914BF8" w:rsidRDefault="003A72DE" w:rsidP="003A72DE">
            <w:pPr>
              <w:pStyle w:val="AERtabletextleft"/>
            </w:pPr>
            <w:r w:rsidRPr="00914BF8">
              <w:t xml:space="preserve">RAB </w:t>
            </w:r>
          </w:p>
        </w:tc>
        <w:tc>
          <w:tcPr>
            <w:tcW w:w="1259" w:type="dxa"/>
          </w:tcPr>
          <w:p w:rsidR="003A72DE" w:rsidRPr="00914BF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914BF8">
              <w:t xml:space="preserve">2014–15 </w:t>
            </w:r>
          </w:p>
        </w:tc>
        <w:tc>
          <w:tcPr>
            <w:tcW w:w="1260" w:type="dxa"/>
          </w:tcPr>
          <w:p w:rsidR="003A72DE" w:rsidRPr="00914BF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914BF8">
              <w:t xml:space="preserve">2015–16 </w:t>
            </w:r>
          </w:p>
        </w:tc>
        <w:tc>
          <w:tcPr>
            <w:tcW w:w="1260" w:type="dxa"/>
          </w:tcPr>
          <w:p w:rsidR="003A72DE" w:rsidRPr="00914BF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914BF8">
              <w:t xml:space="preserve">2016–17 </w:t>
            </w:r>
          </w:p>
        </w:tc>
        <w:tc>
          <w:tcPr>
            <w:tcW w:w="1260" w:type="dxa"/>
          </w:tcPr>
          <w:p w:rsidR="003A72DE" w:rsidRPr="00914BF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914BF8">
              <w:t xml:space="preserve">2017–18 </w:t>
            </w:r>
          </w:p>
        </w:tc>
        <w:tc>
          <w:tcPr>
            <w:tcW w:w="1260" w:type="dxa"/>
          </w:tcPr>
          <w:p w:rsidR="003A72DE" w:rsidRPr="00914BF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914BF8">
              <w:t xml:space="preserve">2018–19 </w:t>
            </w:r>
          </w:p>
        </w:tc>
      </w:tr>
      <w:tr w:rsidR="003A72DE" w:rsidTr="003A72DE">
        <w:tc>
          <w:tcPr>
            <w:cnfStyle w:val="001000000000" w:firstRow="0" w:lastRow="0" w:firstColumn="1" w:lastColumn="0" w:oddVBand="0" w:evenVBand="0" w:oddHBand="0" w:evenHBand="0" w:firstRowFirstColumn="0" w:firstRowLastColumn="0" w:lastRowFirstColumn="0" w:lastRowLastColumn="0"/>
            <w:tcW w:w="2943" w:type="dxa"/>
          </w:tcPr>
          <w:p w:rsidR="003A72DE" w:rsidRPr="00914BF8" w:rsidRDefault="003A72DE" w:rsidP="003A72DE">
            <w:pPr>
              <w:pStyle w:val="AERtabletextleft"/>
            </w:pPr>
            <w:r w:rsidRPr="00914BF8">
              <w:t xml:space="preserve">Opening RAB </w:t>
            </w:r>
          </w:p>
        </w:tc>
        <w:tc>
          <w:tcPr>
            <w:tcW w:w="1259" w:type="dxa"/>
          </w:tcPr>
          <w:p w:rsidR="003A72DE" w:rsidRPr="00914BF8" w:rsidRDefault="003A72DE" w:rsidP="00C32043">
            <w:pPr>
              <w:pStyle w:val="AERtabletextleft"/>
              <w:cnfStyle w:val="000000000000" w:firstRow="0" w:lastRow="0" w:firstColumn="0" w:lastColumn="0" w:oddVBand="0" w:evenVBand="0" w:oddHBand="0" w:evenHBand="0" w:firstRowFirstColumn="0" w:firstRowLastColumn="0" w:lastRowFirstColumn="0" w:lastRowLastColumn="0"/>
            </w:pPr>
            <w:r w:rsidRPr="00914BF8">
              <w:t xml:space="preserve">6104 </w:t>
            </w:r>
          </w:p>
        </w:tc>
        <w:tc>
          <w:tcPr>
            <w:tcW w:w="1260" w:type="dxa"/>
          </w:tcPr>
          <w:p w:rsidR="003A72DE" w:rsidRPr="00914BF8" w:rsidRDefault="003A72DE" w:rsidP="00C32043">
            <w:pPr>
              <w:pStyle w:val="AERtabletextleft"/>
              <w:cnfStyle w:val="000000000000" w:firstRow="0" w:lastRow="0" w:firstColumn="0" w:lastColumn="0" w:oddVBand="0" w:evenVBand="0" w:oddHBand="0" w:evenHBand="0" w:firstRowFirstColumn="0" w:firstRowLastColumn="0" w:lastRowFirstColumn="0" w:lastRowLastColumn="0"/>
            </w:pPr>
            <w:r w:rsidRPr="00914BF8">
              <w:t xml:space="preserve">6395 </w:t>
            </w:r>
          </w:p>
        </w:tc>
        <w:tc>
          <w:tcPr>
            <w:tcW w:w="1260" w:type="dxa"/>
          </w:tcPr>
          <w:p w:rsidR="003A72DE" w:rsidRPr="00914BF8" w:rsidRDefault="003A72DE" w:rsidP="00C32043">
            <w:pPr>
              <w:pStyle w:val="AERtabletextleft"/>
              <w:cnfStyle w:val="000000000000" w:firstRow="0" w:lastRow="0" w:firstColumn="0" w:lastColumn="0" w:oddVBand="0" w:evenVBand="0" w:oddHBand="0" w:evenHBand="0" w:firstRowFirstColumn="0" w:firstRowLastColumn="0" w:lastRowFirstColumn="0" w:lastRowLastColumn="0"/>
            </w:pPr>
            <w:r w:rsidRPr="00914BF8">
              <w:t xml:space="preserve">6696 </w:t>
            </w:r>
          </w:p>
        </w:tc>
        <w:tc>
          <w:tcPr>
            <w:tcW w:w="1260" w:type="dxa"/>
          </w:tcPr>
          <w:p w:rsidR="003A72DE" w:rsidRPr="00914BF8" w:rsidRDefault="003A72DE" w:rsidP="00C32043">
            <w:pPr>
              <w:pStyle w:val="AERtabletextleft"/>
              <w:cnfStyle w:val="000000000000" w:firstRow="0" w:lastRow="0" w:firstColumn="0" w:lastColumn="0" w:oddVBand="0" w:evenVBand="0" w:oddHBand="0" w:evenHBand="0" w:firstRowFirstColumn="0" w:firstRowLastColumn="0" w:lastRowFirstColumn="0" w:lastRowLastColumn="0"/>
            </w:pPr>
            <w:r w:rsidRPr="00914BF8">
              <w:t xml:space="preserve">7071 </w:t>
            </w:r>
          </w:p>
        </w:tc>
        <w:tc>
          <w:tcPr>
            <w:tcW w:w="1260" w:type="dxa"/>
          </w:tcPr>
          <w:p w:rsidR="003A72DE" w:rsidRPr="00914BF8" w:rsidRDefault="003A72DE" w:rsidP="00C32043">
            <w:pPr>
              <w:pStyle w:val="AERtabletextleft"/>
              <w:cnfStyle w:val="000000000000" w:firstRow="0" w:lastRow="0" w:firstColumn="0" w:lastColumn="0" w:oddVBand="0" w:evenVBand="0" w:oddHBand="0" w:evenHBand="0" w:firstRowFirstColumn="0" w:firstRowLastColumn="0" w:lastRowFirstColumn="0" w:lastRowLastColumn="0"/>
            </w:pPr>
            <w:r w:rsidRPr="00914BF8">
              <w:t xml:space="preserve">7387 </w:t>
            </w:r>
          </w:p>
        </w:tc>
      </w:tr>
      <w:tr w:rsidR="003A72DE" w:rsidTr="003A72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3A72DE" w:rsidRPr="00914BF8" w:rsidRDefault="003A72DE" w:rsidP="00C32043">
            <w:pPr>
              <w:pStyle w:val="AERtabletextleft"/>
            </w:pPr>
            <w:r w:rsidRPr="00914BF8">
              <w:t xml:space="preserve">Net </w:t>
            </w:r>
            <w:r w:rsidR="00C32043">
              <w:t>c</w:t>
            </w:r>
            <w:r w:rsidRPr="00914BF8">
              <w:t xml:space="preserve">apital </w:t>
            </w:r>
            <w:r w:rsidR="00C32043">
              <w:t>e</w:t>
            </w:r>
            <w:r w:rsidRPr="00914BF8">
              <w:t xml:space="preserve">xpenditure </w:t>
            </w:r>
          </w:p>
        </w:tc>
        <w:tc>
          <w:tcPr>
            <w:tcW w:w="1259" w:type="dxa"/>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 xml:space="preserve">383 </w:t>
            </w:r>
          </w:p>
        </w:tc>
        <w:tc>
          <w:tcPr>
            <w:tcW w:w="1260" w:type="dxa"/>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 xml:space="preserve">406 </w:t>
            </w:r>
          </w:p>
        </w:tc>
        <w:tc>
          <w:tcPr>
            <w:tcW w:w="1260" w:type="dxa"/>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 xml:space="preserve">491 </w:t>
            </w:r>
          </w:p>
        </w:tc>
        <w:tc>
          <w:tcPr>
            <w:tcW w:w="1260" w:type="dxa"/>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 xml:space="preserve">415 </w:t>
            </w:r>
          </w:p>
        </w:tc>
        <w:tc>
          <w:tcPr>
            <w:tcW w:w="1260" w:type="dxa"/>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 xml:space="preserve">327 </w:t>
            </w:r>
          </w:p>
        </w:tc>
      </w:tr>
      <w:tr w:rsidR="003A72DE" w:rsidTr="003A72DE">
        <w:tc>
          <w:tcPr>
            <w:cnfStyle w:val="001000000000" w:firstRow="0" w:lastRow="0" w:firstColumn="1" w:lastColumn="0" w:oddVBand="0" w:evenVBand="0" w:oddHBand="0" w:evenHBand="0" w:firstRowFirstColumn="0" w:firstRowLastColumn="0" w:lastRowFirstColumn="0" w:lastRowLastColumn="0"/>
            <w:tcW w:w="2943" w:type="dxa"/>
          </w:tcPr>
          <w:p w:rsidR="003A72DE" w:rsidRPr="00914BF8" w:rsidRDefault="003A72DE" w:rsidP="00C32043">
            <w:pPr>
              <w:pStyle w:val="AERtabletextleft"/>
            </w:pPr>
            <w:r w:rsidRPr="00914BF8">
              <w:t xml:space="preserve">Straight-line </w:t>
            </w:r>
            <w:r w:rsidR="00C32043">
              <w:t>d</w:t>
            </w:r>
            <w:r w:rsidRPr="00914BF8">
              <w:t xml:space="preserve">epreciation </w:t>
            </w:r>
          </w:p>
        </w:tc>
        <w:tc>
          <w:tcPr>
            <w:tcW w:w="1259" w:type="dxa"/>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 xml:space="preserve">-246 </w:t>
            </w:r>
          </w:p>
        </w:tc>
        <w:tc>
          <w:tcPr>
            <w:tcW w:w="1260" w:type="dxa"/>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 xml:space="preserve">-266 </w:t>
            </w:r>
          </w:p>
        </w:tc>
        <w:tc>
          <w:tcPr>
            <w:tcW w:w="1260" w:type="dxa"/>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 xml:space="preserve">-285 </w:t>
            </w:r>
          </w:p>
        </w:tc>
        <w:tc>
          <w:tcPr>
            <w:tcW w:w="1260" w:type="dxa"/>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 xml:space="preserve">-277 </w:t>
            </w:r>
          </w:p>
        </w:tc>
        <w:tc>
          <w:tcPr>
            <w:tcW w:w="1260" w:type="dxa"/>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 xml:space="preserve">-296 </w:t>
            </w:r>
          </w:p>
        </w:tc>
      </w:tr>
      <w:tr w:rsidR="003A72DE" w:rsidTr="003A72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3A72DE" w:rsidRPr="00914BF8" w:rsidRDefault="003A72DE" w:rsidP="000A3B0D">
            <w:pPr>
              <w:pStyle w:val="AERtabletextleft"/>
            </w:pPr>
            <w:r w:rsidRPr="00914BF8">
              <w:t xml:space="preserve">Inflation </w:t>
            </w:r>
            <w:proofErr w:type="spellStart"/>
            <w:r w:rsidR="000A3B0D">
              <w:t>a</w:t>
            </w:r>
            <w:r w:rsidRPr="00914BF8">
              <w:t>djustment</w:t>
            </w:r>
            <w:r w:rsidR="000A3B0D">
              <w:rPr>
                <w:vertAlign w:val="superscript"/>
              </w:rPr>
              <w:t>a</w:t>
            </w:r>
            <w:proofErr w:type="spellEnd"/>
            <w:r w:rsidRPr="00914BF8">
              <w:t xml:space="preserve"> </w:t>
            </w:r>
          </w:p>
        </w:tc>
        <w:tc>
          <w:tcPr>
            <w:tcW w:w="1259" w:type="dxa"/>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 xml:space="preserve">154 </w:t>
            </w:r>
          </w:p>
        </w:tc>
        <w:tc>
          <w:tcPr>
            <w:tcW w:w="1260" w:type="dxa"/>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 xml:space="preserve">161 </w:t>
            </w:r>
          </w:p>
        </w:tc>
        <w:tc>
          <w:tcPr>
            <w:tcW w:w="1260" w:type="dxa"/>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 xml:space="preserve">169 </w:t>
            </w:r>
          </w:p>
        </w:tc>
        <w:tc>
          <w:tcPr>
            <w:tcW w:w="1260" w:type="dxa"/>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 xml:space="preserve">179 </w:t>
            </w:r>
          </w:p>
        </w:tc>
        <w:tc>
          <w:tcPr>
            <w:tcW w:w="1260" w:type="dxa"/>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 xml:space="preserve">187 </w:t>
            </w:r>
          </w:p>
        </w:tc>
      </w:tr>
      <w:tr w:rsidR="003A72DE" w:rsidTr="003A72DE">
        <w:tc>
          <w:tcPr>
            <w:cnfStyle w:val="001000000000" w:firstRow="0" w:lastRow="0" w:firstColumn="1" w:lastColumn="0" w:oddVBand="0" w:evenVBand="0" w:oddHBand="0" w:evenHBand="0" w:firstRowFirstColumn="0" w:firstRowLastColumn="0" w:lastRowFirstColumn="0" w:lastRowLastColumn="0"/>
            <w:tcW w:w="2943" w:type="dxa"/>
          </w:tcPr>
          <w:p w:rsidR="003A72DE" w:rsidRPr="00914BF8" w:rsidRDefault="003A72DE" w:rsidP="003A72DE">
            <w:pPr>
              <w:pStyle w:val="AERtabletextleft"/>
              <w:rPr>
                <w:b/>
              </w:rPr>
            </w:pPr>
            <w:r w:rsidRPr="00914BF8">
              <w:rPr>
                <w:b/>
              </w:rPr>
              <w:t xml:space="preserve">Closing RAB </w:t>
            </w:r>
          </w:p>
        </w:tc>
        <w:tc>
          <w:tcPr>
            <w:tcW w:w="1259" w:type="dxa"/>
          </w:tcPr>
          <w:p w:rsidR="003A72DE" w:rsidRPr="00914BF8" w:rsidRDefault="003A72DE" w:rsidP="00C32043">
            <w:pPr>
              <w:pStyle w:val="AERtabletextleft"/>
              <w:cnfStyle w:val="000000000000" w:firstRow="0" w:lastRow="0" w:firstColumn="0" w:lastColumn="0" w:oddVBand="0" w:evenVBand="0" w:oddHBand="0" w:evenHBand="0" w:firstRowFirstColumn="0" w:firstRowLastColumn="0" w:lastRowFirstColumn="0" w:lastRowLastColumn="0"/>
              <w:rPr>
                <w:b/>
              </w:rPr>
            </w:pPr>
            <w:r w:rsidRPr="00914BF8">
              <w:rPr>
                <w:b/>
              </w:rPr>
              <w:t xml:space="preserve">6395 </w:t>
            </w:r>
          </w:p>
        </w:tc>
        <w:tc>
          <w:tcPr>
            <w:tcW w:w="1260" w:type="dxa"/>
          </w:tcPr>
          <w:p w:rsidR="003A72DE" w:rsidRPr="00914BF8" w:rsidRDefault="003A72DE" w:rsidP="00C32043">
            <w:pPr>
              <w:pStyle w:val="AERtabletextleft"/>
              <w:cnfStyle w:val="000000000000" w:firstRow="0" w:lastRow="0" w:firstColumn="0" w:lastColumn="0" w:oddVBand="0" w:evenVBand="0" w:oddHBand="0" w:evenHBand="0" w:firstRowFirstColumn="0" w:firstRowLastColumn="0" w:lastRowFirstColumn="0" w:lastRowLastColumn="0"/>
              <w:rPr>
                <w:b/>
              </w:rPr>
            </w:pPr>
            <w:r w:rsidRPr="00914BF8">
              <w:rPr>
                <w:b/>
              </w:rPr>
              <w:t xml:space="preserve">6696 </w:t>
            </w:r>
          </w:p>
        </w:tc>
        <w:tc>
          <w:tcPr>
            <w:tcW w:w="1260" w:type="dxa"/>
          </w:tcPr>
          <w:p w:rsidR="003A72DE" w:rsidRPr="00914BF8" w:rsidRDefault="003A72DE" w:rsidP="00C32043">
            <w:pPr>
              <w:pStyle w:val="AERtabletextleft"/>
              <w:cnfStyle w:val="000000000000" w:firstRow="0" w:lastRow="0" w:firstColumn="0" w:lastColumn="0" w:oddVBand="0" w:evenVBand="0" w:oddHBand="0" w:evenHBand="0" w:firstRowFirstColumn="0" w:firstRowLastColumn="0" w:lastRowFirstColumn="0" w:lastRowLastColumn="0"/>
              <w:rPr>
                <w:b/>
              </w:rPr>
            </w:pPr>
            <w:r w:rsidRPr="00914BF8">
              <w:rPr>
                <w:b/>
              </w:rPr>
              <w:t xml:space="preserve">7071 </w:t>
            </w:r>
          </w:p>
        </w:tc>
        <w:tc>
          <w:tcPr>
            <w:tcW w:w="1260" w:type="dxa"/>
          </w:tcPr>
          <w:p w:rsidR="003A72DE" w:rsidRPr="00914BF8" w:rsidRDefault="003A72DE" w:rsidP="00C32043">
            <w:pPr>
              <w:pStyle w:val="AERtabletextleft"/>
              <w:cnfStyle w:val="000000000000" w:firstRow="0" w:lastRow="0" w:firstColumn="0" w:lastColumn="0" w:oddVBand="0" w:evenVBand="0" w:oddHBand="0" w:evenHBand="0" w:firstRowFirstColumn="0" w:firstRowLastColumn="0" w:lastRowFirstColumn="0" w:lastRowLastColumn="0"/>
              <w:rPr>
                <w:b/>
              </w:rPr>
            </w:pPr>
            <w:r w:rsidRPr="00914BF8">
              <w:rPr>
                <w:b/>
              </w:rPr>
              <w:t xml:space="preserve">7387 </w:t>
            </w:r>
          </w:p>
        </w:tc>
        <w:tc>
          <w:tcPr>
            <w:tcW w:w="1260" w:type="dxa"/>
          </w:tcPr>
          <w:p w:rsidR="003A72DE" w:rsidRPr="00914BF8" w:rsidRDefault="003A72DE" w:rsidP="00C32043">
            <w:pPr>
              <w:pStyle w:val="AERtabletextleft"/>
              <w:cnfStyle w:val="000000000000" w:firstRow="0" w:lastRow="0" w:firstColumn="0" w:lastColumn="0" w:oddVBand="0" w:evenVBand="0" w:oddHBand="0" w:evenHBand="0" w:firstRowFirstColumn="0" w:firstRowLastColumn="0" w:lastRowFirstColumn="0" w:lastRowLastColumn="0"/>
              <w:rPr>
                <w:b/>
              </w:rPr>
            </w:pPr>
            <w:r w:rsidRPr="00914BF8">
              <w:rPr>
                <w:b/>
              </w:rPr>
              <w:t xml:space="preserve">7604 </w:t>
            </w:r>
          </w:p>
        </w:tc>
      </w:tr>
    </w:tbl>
    <w:p w:rsidR="003A72DE" w:rsidRDefault="003A72DE" w:rsidP="003A72DE">
      <w:pPr>
        <w:pStyle w:val="AERtablesource"/>
      </w:pPr>
      <w:r w:rsidRPr="00914BF8">
        <w:rPr>
          <w:rStyle w:val="AERtextbold"/>
          <w:b w:val="0"/>
        </w:rPr>
        <w:t>Source:</w:t>
      </w:r>
      <w:r>
        <w:rPr>
          <w:rStyle w:val="AERtextbold"/>
        </w:rPr>
        <w:t xml:space="preserve"> </w:t>
      </w:r>
      <w:r>
        <w:rPr>
          <w:rStyle w:val="AERtextbold"/>
        </w:rPr>
        <w:tab/>
      </w:r>
      <w:r>
        <w:t xml:space="preserve">TransGrid, </w:t>
      </w:r>
      <w:r w:rsidRPr="00836C60">
        <w:rPr>
          <w:i/>
        </w:rPr>
        <w:t>Transitional revenue proposal 2014/15</w:t>
      </w:r>
      <w:r>
        <w:t>, 31 January 2014, p. 62.</w:t>
      </w:r>
    </w:p>
    <w:p w:rsidR="000A3B0D" w:rsidRPr="007024B8" w:rsidRDefault="000A3B0D" w:rsidP="000A3B0D">
      <w:pPr>
        <w:pStyle w:val="AERtablesource"/>
      </w:pPr>
      <w:r>
        <w:t>(a)</w:t>
      </w:r>
      <w:r>
        <w:tab/>
        <w:t>Based on a forecast inflation rate of 2.53 per cent per annum.</w:t>
      </w:r>
    </w:p>
    <w:p w:rsidR="003A72DE" w:rsidRDefault="003A72DE" w:rsidP="003A72DE">
      <w:pPr>
        <w:pStyle w:val="AERbodytext"/>
        <w:rPr>
          <w:rStyle w:val="AERtextbold"/>
        </w:rPr>
      </w:pPr>
      <w:r>
        <w:rPr>
          <w:rStyle w:val="AERtextbold"/>
          <w:b w:val="0"/>
        </w:rPr>
        <w:lastRenderedPageBreak/>
        <w:t>Although the roll forward of the</w:t>
      </w:r>
      <w:r w:rsidRPr="00EA288E">
        <w:rPr>
          <w:b/>
        </w:rPr>
        <w:t xml:space="preserve"> </w:t>
      </w:r>
      <w:r>
        <w:rPr>
          <w:rStyle w:val="AERtextbold"/>
          <w:b w:val="0"/>
        </w:rPr>
        <w:t xml:space="preserve">RAB across this period has little direct impact on the revenue for the </w:t>
      </w:r>
      <w:r w:rsidR="00581457">
        <w:rPr>
          <w:rStyle w:val="AERtextbold"/>
          <w:b w:val="0"/>
        </w:rPr>
        <w:t>transitional</w:t>
      </w:r>
      <w:r>
        <w:rPr>
          <w:rStyle w:val="AERtextbold"/>
          <w:b w:val="0"/>
        </w:rPr>
        <w:t xml:space="preserve"> regulatory control period, it has a larger impact on subsequent years. Hence, it is relevant to our assessment of the likely price variations that will occur across the entire 2014–19 period.</w:t>
      </w:r>
    </w:p>
    <w:p w:rsidR="00DA2707" w:rsidRPr="00EF2ABC" w:rsidRDefault="00455D2D" w:rsidP="00D753CD">
      <w:pPr>
        <w:pStyle w:val="Heading8"/>
        <w:rPr>
          <w:rStyle w:val="AERtextbold"/>
          <w:rFonts w:eastAsia="Calibri"/>
          <w:b/>
        </w:rPr>
      </w:pPr>
      <w:r w:rsidRPr="00ED718B">
        <w:rPr>
          <w:rStyle w:val="AERtextbold"/>
          <w:b/>
        </w:rPr>
        <w:t>Transend</w:t>
      </w:r>
    </w:p>
    <w:p w:rsidR="006D2834" w:rsidRDefault="00455D2D" w:rsidP="007B4470">
      <w:pPr>
        <w:pStyle w:val="HeadingBoldBlue"/>
        <w:rPr>
          <w:rStyle w:val="AERbody"/>
          <w:color w:val="365F91" w:themeColor="accent1" w:themeShade="BF"/>
          <w:sz w:val="22"/>
        </w:rPr>
      </w:pPr>
      <w:r w:rsidRPr="0032513A">
        <w:rPr>
          <w:rStyle w:val="AERbody"/>
          <w:color w:val="365F91" w:themeColor="accent1" w:themeShade="BF"/>
          <w:sz w:val="22"/>
        </w:rPr>
        <w:t>MAR</w:t>
      </w:r>
    </w:p>
    <w:p w:rsidR="003A72DE" w:rsidRDefault="003A72DE" w:rsidP="003A72DE">
      <w:pPr>
        <w:pStyle w:val="AERbodytext"/>
      </w:pPr>
      <w:r>
        <w:fldChar w:fldCharType="begin"/>
      </w:r>
      <w:r>
        <w:instrText xml:space="preserve"> REF _Ref381786149 \h </w:instrText>
      </w:r>
      <w:r>
        <w:fldChar w:fldCharType="separate"/>
      </w:r>
      <w:r w:rsidR="00B40E3D">
        <w:t xml:space="preserve">Table </w:t>
      </w:r>
      <w:r w:rsidR="00B40E3D">
        <w:rPr>
          <w:noProof/>
        </w:rPr>
        <w:t>D</w:t>
      </w:r>
      <w:r w:rsidR="00B40E3D">
        <w:t>.</w:t>
      </w:r>
      <w:r w:rsidR="00B40E3D">
        <w:rPr>
          <w:noProof/>
        </w:rPr>
        <w:t>4</w:t>
      </w:r>
      <w:r>
        <w:fldChar w:fldCharType="end"/>
      </w:r>
      <w:r>
        <w:t xml:space="preserve"> </w:t>
      </w:r>
      <w:r w:rsidRPr="00E178C2">
        <w:t xml:space="preserve">shows </w:t>
      </w:r>
      <w:proofErr w:type="spellStart"/>
      <w:r w:rsidRPr="00E178C2">
        <w:t>Trans</w:t>
      </w:r>
      <w:r>
        <w:t>end</w:t>
      </w:r>
      <w:r w:rsidRPr="00E178C2">
        <w:t>’s</w:t>
      </w:r>
      <w:proofErr w:type="spellEnd"/>
      <w:r w:rsidRPr="00E178C2">
        <w:t xml:space="preserve"> </w:t>
      </w:r>
      <w:r>
        <w:t xml:space="preserve">proposed total revenue </w:t>
      </w:r>
      <w:r w:rsidR="005D5323">
        <w:t xml:space="preserve">for each year of the 2014–19 </w:t>
      </w:r>
      <w:proofErr w:type="gramStart"/>
      <w:r w:rsidR="005D5323">
        <w:t>period</w:t>
      </w:r>
      <w:proofErr w:type="gramEnd"/>
      <w:r w:rsidR="005D5323">
        <w:t xml:space="preserve">, including </w:t>
      </w:r>
      <w:r>
        <w:t xml:space="preserve">the </w:t>
      </w:r>
      <w:r w:rsidRPr="00E178C2">
        <w:t>building blocks</w:t>
      </w:r>
      <w:r w:rsidR="005D5323">
        <w:t xml:space="preserve"> and </w:t>
      </w:r>
      <w:proofErr w:type="spellStart"/>
      <w:r>
        <w:t>Transend’s</w:t>
      </w:r>
      <w:proofErr w:type="spellEnd"/>
      <w:r>
        <w:t xml:space="preserve"> proposed smoothing</w:t>
      </w:r>
      <w:r w:rsidRPr="00E178C2">
        <w:t>.</w:t>
      </w:r>
      <w:r w:rsidR="005D5323">
        <w:rPr>
          <w:rStyle w:val="FootnoteReference"/>
        </w:rPr>
        <w:footnoteReference w:id="100"/>
      </w:r>
    </w:p>
    <w:p w:rsidR="003A72DE" w:rsidRDefault="003A72DE" w:rsidP="003A72DE">
      <w:pPr>
        <w:pStyle w:val="Caption"/>
      </w:pPr>
      <w:bookmarkStart w:id="99" w:name="_Ref381786149"/>
      <w:proofErr w:type="gramStart"/>
      <w:r>
        <w:t xml:space="preserve">Table </w:t>
      </w:r>
      <w:fldSimple w:instr=" STYLEREF 7 \s ">
        <w:r w:rsidR="00B40E3D">
          <w:rPr>
            <w:noProof/>
          </w:rPr>
          <w:t>D</w:t>
        </w:r>
      </w:fldSimple>
      <w:r>
        <w:t>.</w:t>
      </w:r>
      <w:proofErr w:type="gramEnd"/>
      <w:r w:rsidR="007827B4">
        <w:fldChar w:fldCharType="begin"/>
      </w:r>
      <w:r w:rsidR="007827B4">
        <w:instrText xml:space="preserve"> SEQ Table \* ARABIC \s 7 </w:instrText>
      </w:r>
      <w:r w:rsidR="007827B4">
        <w:fldChar w:fldCharType="separate"/>
      </w:r>
      <w:r w:rsidR="00B40E3D">
        <w:rPr>
          <w:noProof/>
        </w:rPr>
        <w:t>4</w:t>
      </w:r>
      <w:r w:rsidR="007827B4">
        <w:rPr>
          <w:noProof/>
        </w:rPr>
        <w:fldChar w:fldCharType="end"/>
      </w:r>
      <w:bookmarkEnd w:id="99"/>
      <w:r>
        <w:tab/>
      </w:r>
      <w:proofErr w:type="spellStart"/>
      <w:r>
        <w:t>Transend’s</w:t>
      </w:r>
      <w:proofErr w:type="spellEnd"/>
      <w:r>
        <w:t xml:space="preserve"> proposed building blocks and total revenue ($m, nominal)</w:t>
      </w:r>
    </w:p>
    <w:tbl>
      <w:tblPr>
        <w:tblStyle w:val="AERtable-numbers"/>
        <w:tblW w:w="9180" w:type="dxa"/>
        <w:tblLayout w:type="fixed"/>
        <w:tblLook w:val="04A0" w:firstRow="1" w:lastRow="0" w:firstColumn="1" w:lastColumn="0" w:noHBand="0" w:noVBand="1"/>
      </w:tblPr>
      <w:tblGrid>
        <w:gridCol w:w="2518"/>
        <w:gridCol w:w="1110"/>
        <w:gridCol w:w="1110"/>
        <w:gridCol w:w="1111"/>
        <w:gridCol w:w="1110"/>
        <w:gridCol w:w="1110"/>
        <w:gridCol w:w="1111"/>
      </w:tblGrid>
      <w:tr w:rsidR="003A72DE" w:rsidRPr="00A7376D" w:rsidTr="003A72D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914BF8" w:rsidRDefault="003A72DE" w:rsidP="003A72DE">
            <w:pPr>
              <w:pStyle w:val="AERtabletextleft"/>
            </w:pPr>
            <w:r w:rsidRPr="00914BF8">
              <w:t>Building blocks</w:t>
            </w:r>
          </w:p>
        </w:tc>
        <w:tc>
          <w:tcPr>
            <w:tcW w:w="1110" w:type="dxa"/>
            <w:noWrap/>
            <w:hideMark/>
          </w:tcPr>
          <w:p w:rsidR="003A72DE" w:rsidRPr="00914BF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914BF8">
              <w:t>2013–14</w:t>
            </w:r>
          </w:p>
        </w:tc>
        <w:tc>
          <w:tcPr>
            <w:tcW w:w="1110" w:type="dxa"/>
            <w:noWrap/>
            <w:hideMark/>
          </w:tcPr>
          <w:p w:rsidR="003A72DE" w:rsidRPr="00914BF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914BF8">
              <w:t>2014–15</w:t>
            </w:r>
          </w:p>
        </w:tc>
        <w:tc>
          <w:tcPr>
            <w:tcW w:w="1111" w:type="dxa"/>
            <w:noWrap/>
            <w:hideMark/>
          </w:tcPr>
          <w:p w:rsidR="003A72DE" w:rsidRPr="00914BF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914BF8">
              <w:t>2015–16</w:t>
            </w:r>
          </w:p>
        </w:tc>
        <w:tc>
          <w:tcPr>
            <w:tcW w:w="1110" w:type="dxa"/>
            <w:noWrap/>
            <w:hideMark/>
          </w:tcPr>
          <w:p w:rsidR="003A72DE" w:rsidRPr="00914BF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914BF8">
              <w:t>2016–17</w:t>
            </w:r>
          </w:p>
        </w:tc>
        <w:tc>
          <w:tcPr>
            <w:tcW w:w="1110" w:type="dxa"/>
            <w:noWrap/>
            <w:hideMark/>
          </w:tcPr>
          <w:p w:rsidR="003A72DE" w:rsidRPr="00914BF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914BF8">
              <w:t>2017–18</w:t>
            </w:r>
          </w:p>
        </w:tc>
        <w:tc>
          <w:tcPr>
            <w:tcW w:w="1111" w:type="dxa"/>
            <w:noWrap/>
            <w:hideMark/>
          </w:tcPr>
          <w:p w:rsidR="003A72DE" w:rsidRPr="00914BF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914BF8">
              <w:t>2018–19</w:t>
            </w:r>
          </w:p>
        </w:tc>
      </w:tr>
      <w:tr w:rsidR="003A72DE" w:rsidRPr="00A7376D" w:rsidTr="003A72DE">
        <w:trPr>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914BF8" w:rsidRDefault="003A72DE" w:rsidP="003A72DE">
            <w:pPr>
              <w:pStyle w:val="AERtabletextleft"/>
            </w:pPr>
            <w:r w:rsidRPr="00914BF8">
              <w:t>Return on capital</w:t>
            </w:r>
          </w:p>
        </w:tc>
        <w:tc>
          <w:tcPr>
            <w:tcW w:w="1110"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p>
        </w:tc>
        <w:tc>
          <w:tcPr>
            <w:tcW w:w="1110"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119</w:t>
            </w:r>
          </w:p>
        </w:tc>
        <w:tc>
          <w:tcPr>
            <w:tcW w:w="1111"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122</w:t>
            </w:r>
          </w:p>
        </w:tc>
        <w:tc>
          <w:tcPr>
            <w:tcW w:w="1110"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127</w:t>
            </w:r>
          </w:p>
        </w:tc>
        <w:tc>
          <w:tcPr>
            <w:tcW w:w="1110"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131</w:t>
            </w:r>
          </w:p>
        </w:tc>
        <w:tc>
          <w:tcPr>
            <w:tcW w:w="1111"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134</w:t>
            </w:r>
          </w:p>
        </w:tc>
      </w:tr>
      <w:tr w:rsidR="003A72DE" w:rsidRPr="00A7376D" w:rsidTr="003A72D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914BF8" w:rsidRDefault="003A72DE" w:rsidP="003A72DE">
            <w:pPr>
              <w:pStyle w:val="AERtabletextleft"/>
            </w:pPr>
            <w:r w:rsidRPr="00914BF8">
              <w:t xml:space="preserve">Return of capital </w:t>
            </w:r>
          </w:p>
        </w:tc>
        <w:tc>
          <w:tcPr>
            <w:tcW w:w="1110"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p>
        </w:tc>
        <w:tc>
          <w:tcPr>
            <w:tcW w:w="1110"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22</w:t>
            </w:r>
          </w:p>
        </w:tc>
        <w:tc>
          <w:tcPr>
            <w:tcW w:w="1111"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29</w:t>
            </w:r>
          </w:p>
        </w:tc>
        <w:tc>
          <w:tcPr>
            <w:tcW w:w="1110"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34</w:t>
            </w:r>
          </w:p>
        </w:tc>
        <w:tc>
          <w:tcPr>
            <w:tcW w:w="1110"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35</w:t>
            </w:r>
          </w:p>
        </w:tc>
        <w:tc>
          <w:tcPr>
            <w:tcW w:w="1111"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35</w:t>
            </w:r>
          </w:p>
        </w:tc>
      </w:tr>
      <w:tr w:rsidR="003A72DE" w:rsidRPr="00A7376D" w:rsidTr="003A72DE">
        <w:trPr>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914BF8" w:rsidRDefault="003A72DE" w:rsidP="003A72DE">
            <w:pPr>
              <w:pStyle w:val="AERtabletextleft"/>
            </w:pPr>
            <w:r w:rsidRPr="00914BF8">
              <w:t>Operating expenditure</w:t>
            </w:r>
          </w:p>
        </w:tc>
        <w:tc>
          <w:tcPr>
            <w:tcW w:w="1110"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p>
        </w:tc>
        <w:tc>
          <w:tcPr>
            <w:tcW w:w="1110"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48</w:t>
            </w:r>
          </w:p>
        </w:tc>
        <w:tc>
          <w:tcPr>
            <w:tcW w:w="1111"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48</w:t>
            </w:r>
          </w:p>
        </w:tc>
        <w:tc>
          <w:tcPr>
            <w:tcW w:w="1110"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50</w:t>
            </w:r>
          </w:p>
        </w:tc>
        <w:tc>
          <w:tcPr>
            <w:tcW w:w="1110"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51</w:t>
            </w:r>
          </w:p>
        </w:tc>
        <w:tc>
          <w:tcPr>
            <w:tcW w:w="1111"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52</w:t>
            </w:r>
          </w:p>
        </w:tc>
      </w:tr>
      <w:tr w:rsidR="003A72DE" w:rsidRPr="00A7376D" w:rsidTr="003A72D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914BF8" w:rsidRDefault="003A72DE" w:rsidP="003A72DE">
            <w:pPr>
              <w:pStyle w:val="AERtabletextleft"/>
            </w:pPr>
            <w:r w:rsidRPr="00914BF8">
              <w:t>Efficiency carryover</w:t>
            </w:r>
          </w:p>
        </w:tc>
        <w:tc>
          <w:tcPr>
            <w:tcW w:w="1110"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p>
        </w:tc>
        <w:tc>
          <w:tcPr>
            <w:tcW w:w="1110"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12</w:t>
            </w:r>
          </w:p>
        </w:tc>
        <w:tc>
          <w:tcPr>
            <w:tcW w:w="1111"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10</w:t>
            </w:r>
          </w:p>
        </w:tc>
        <w:tc>
          <w:tcPr>
            <w:tcW w:w="1110"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6</w:t>
            </w:r>
          </w:p>
        </w:tc>
        <w:tc>
          <w:tcPr>
            <w:tcW w:w="1110"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6</w:t>
            </w:r>
          </w:p>
        </w:tc>
        <w:tc>
          <w:tcPr>
            <w:tcW w:w="1111"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0</w:t>
            </w:r>
          </w:p>
        </w:tc>
      </w:tr>
      <w:tr w:rsidR="003A72DE" w:rsidRPr="00A7376D" w:rsidTr="003A72DE">
        <w:trPr>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914BF8" w:rsidRDefault="003A72DE" w:rsidP="003A72DE">
            <w:pPr>
              <w:pStyle w:val="AERtabletextleft"/>
            </w:pPr>
            <w:r w:rsidRPr="00914BF8">
              <w:t>Net tax allowance</w:t>
            </w:r>
          </w:p>
        </w:tc>
        <w:tc>
          <w:tcPr>
            <w:tcW w:w="1110"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p>
        </w:tc>
        <w:tc>
          <w:tcPr>
            <w:tcW w:w="1110"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9</w:t>
            </w:r>
          </w:p>
        </w:tc>
        <w:tc>
          <w:tcPr>
            <w:tcW w:w="1111"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10</w:t>
            </w:r>
          </w:p>
        </w:tc>
        <w:tc>
          <w:tcPr>
            <w:tcW w:w="1110"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11</w:t>
            </w:r>
          </w:p>
        </w:tc>
        <w:tc>
          <w:tcPr>
            <w:tcW w:w="1110"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11</w:t>
            </w:r>
          </w:p>
        </w:tc>
        <w:tc>
          <w:tcPr>
            <w:tcW w:w="1111" w:type="dxa"/>
            <w:noWrap/>
            <w:hideMark/>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pPr>
            <w:r w:rsidRPr="00914BF8">
              <w:t>12</w:t>
            </w:r>
          </w:p>
        </w:tc>
      </w:tr>
      <w:tr w:rsidR="003A72DE" w:rsidRPr="00A7376D" w:rsidTr="003A72D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914BF8" w:rsidRDefault="003A72DE" w:rsidP="003A72DE">
            <w:pPr>
              <w:pStyle w:val="AERtabletextleft"/>
            </w:pPr>
            <w:r w:rsidRPr="00914BF8">
              <w:t>Total (unsmoothed)</w:t>
            </w:r>
          </w:p>
        </w:tc>
        <w:tc>
          <w:tcPr>
            <w:tcW w:w="1110"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p>
        </w:tc>
        <w:tc>
          <w:tcPr>
            <w:tcW w:w="1110"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210</w:t>
            </w:r>
          </w:p>
        </w:tc>
        <w:tc>
          <w:tcPr>
            <w:tcW w:w="1111"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220</w:t>
            </w:r>
          </w:p>
        </w:tc>
        <w:tc>
          <w:tcPr>
            <w:tcW w:w="1110"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227</w:t>
            </w:r>
          </w:p>
        </w:tc>
        <w:tc>
          <w:tcPr>
            <w:tcW w:w="1110"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233</w:t>
            </w:r>
          </w:p>
        </w:tc>
        <w:tc>
          <w:tcPr>
            <w:tcW w:w="1111"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232</w:t>
            </w:r>
          </w:p>
        </w:tc>
      </w:tr>
      <w:tr w:rsidR="003A72DE" w:rsidRPr="00A7376D" w:rsidTr="003A72DE">
        <w:trPr>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A34D28" w:rsidRDefault="003A72DE" w:rsidP="003A72DE">
            <w:pPr>
              <w:pStyle w:val="AERtabletextleft"/>
              <w:rPr>
                <w:b/>
              </w:rPr>
            </w:pPr>
            <w:r w:rsidRPr="00A34D28">
              <w:rPr>
                <w:b/>
              </w:rPr>
              <w:t>Total (smoothed)</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221</w:t>
            </w:r>
            <w:r w:rsidRPr="00A34D28">
              <w:rPr>
                <w:b/>
                <w:vertAlign w:val="superscript"/>
              </w:rPr>
              <w:t>a</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215</w:t>
            </w:r>
          </w:p>
        </w:tc>
        <w:tc>
          <w:tcPr>
            <w:tcW w:w="1111"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220</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224</w:t>
            </w:r>
          </w:p>
        </w:tc>
        <w:tc>
          <w:tcPr>
            <w:tcW w:w="1110"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229</w:t>
            </w:r>
          </w:p>
        </w:tc>
        <w:tc>
          <w:tcPr>
            <w:tcW w:w="1111" w:type="dxa"/>
            <w:noWrap/>
            <w:hideMark/>
          </w:tcPr>
          <w:p w:rsidR="003A72DE" w:rsidRPr="00A34D2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r w:rsidRPr="00A34D28">
              <w:rPr>
                <w:b/>
              </w:rPr>
              <w:t>233</w:t>
            </w:r>
          </w:p>
        </w:tc>
      </w:tr>
      <w:tr w:rsidR="003A72DE" w:rsidRPr="00A7376D" w:rsidTr="003A72D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noWrap/>
            <w:hideMark/>
          </w:tcPr>
          <w:p w:rsidR="003A72DE" w:rsidRPr="00914BF8" w:rsidRDefault="003A72DE" w:rsidP="003A72DE">
            <w:pPr>
              <w:pStyle w:val="AERtabletextleft"/>
            </w:pPr>
            <w:proofErr w:type="spellStart"/>
            <w:r w:rsidRPr="00914BF8">
              <w:t>Change</w:t>
            </w:r>
            <w:r w:rsidRPr="00914BF8">
              <w:rPr>
                <w:vertAlign w:val="superscript"/>
              </w:rPr>
              <w:t>b</w:t>
            </w:r>
            <w:proofErr w:type="spellEnd"/>
            <w:r w:rsidRPr="00914BF8">
              <w:t xml:space="preserve"> (%)</w:t>
            </w:r>
          </w:p>
        </w:tc>
        <w:tc>
          <w:tcPr>
            <w:tcW w:w="1110"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p>
        </w:tc>
        <w:tc>
          <w:tcPr>
            <w:tcW w:w="1110"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-2.7%</w:t>
            </w:r>
          </w:p>
        </w:tc>
        <w:tc>
          <w:tcPr>
            <w:tcW w:w="1111"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2.0%</w:t>
            </w:r>
          </w:p>
        </w:tc>
        <w:tc>
          <w:tcPr>
            <w:tcW w:w="1110"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2.0%</w:t>
            </w:r>
          </w:p>
        </w:tc>
        <w:tc>
          <w:tcPr>
            <w:tcW w:w="1110"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2.0%</w:t>
            </w:r>
          </w:p>
        </w:tc>
        <w:tc>
          <w:tcPr>
            <w:tcW w:w="1111" w:type="dxa"/>
            <w:noWrap/>
            <w:hideMark/>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pPr>
            <w:r w:rsidRPr="00914BF8">
              <w:t>2.0%</w:t>
            </w:r>
          </w:p>
        </w:tc>
      </w:tr>
    </w:tbl>
    <w:p w:rsidR="003A72DE" w:rsidRDefault="003A72DE" w:rsidP="003A72DE">
      <w:pPr>
        <w:pStyle w:val="AERtablesource"/>
      </w:pPr>
      <w:r>
        <w:t>Source:</w:t>
      </w:r>
      <w:r>
        <w:tab/>
        <w:t xml:space="preserve">Transend, </w:t>
      </w:r>
      <w:r w:rsidRPr="00A34D28">
        <w:rPr>
          <w:i/>
        </w:rPr>
        <w:t>Transitional revenue proposal, Regulatory control period 1 July 2014 – 30 June 2015</w:t>
      </w:r>
      <w:r>
        <w:t>, 31 January 2014, p</w:t>
      </w:r>
      <w:r w:rsidR="006D6FB6">
        <w:t>p</w:t>
      </w:r>
      <w:r>
        <w:t>. 7–8; AER calculations.</w:t>
      </w:r>
    </w:p>
    <w:p w:rsidR="003A72DE" w:rsidRDefault="003A72DE" w:rsidP="003A72DE">
      <w:pPr>
        <w:pStyle w:val="AERtablesource"/>
      </w:pPr>
      <w:r>
        <w:t>Notes:</w:t>
      </w:r>
    </w:p>
    <w:p w:rsidR="003A72DE" w:rsidRDefault="003A72DE" w:rsidP="003A72DE">
      <w:pPr>
        <w:pStyle w:val="AERtablesource"/>
      </w:pPr>
      <w:proofErr w:type="spellStart"/>
      <w:proofErr w:type="gramStart"/>
      <w:r>
        <w:t>a</w:t>
      </w:r>
      <w:proofErr w:type="spellEnd"/>
      <w:proofErr w:type="gramEnd"/>
      <w:r>
        <w:tab/>
        <w:t>This figures is the revenue Transend estimates it will recover in 2013-14 (not the allowed revenue from the AER’s 2009 determination), as discussed further below.</w:t>
      </w:r>
    </w:p>
    <w:p w:rsidR="003A72DE" w:rsidRPr="00836C60" w:rsidRDefault="003A72DE" w:rsidP="003A72DE">
      <w:pPr>
        <w:pStyle w:val="AERtablesource"/>
      </w:pPr>
      <w:proofErr w:type="gramStart"/>
      <w:r>
        <w:t>b</w:t>
      </w:r>
      <w:proofErr w:type="gramEnd"/>
      <w:r>
        <w:tab/>
        <w:t>This row shows the year-on-year change in total nominal revenues. It should not be interpreted as the X-factor change from year to year.</w:t>
      </w:r>
    </w:p>
    <w:p w:rsidR="003A72DE" w:rsidRDefault="003A72DE" w:rsidP="003A72DE">
      <w:pPr>
        <w:pStyle w:val="AERbodytext"/>
      </w:pPr>
      <w:r>
        <w:t xml:space="preserve">In its </w:t>
      </w:r>
      <w:r w:rsidR="00C32043">
        <w:t>transitional revenue proposal, Transend stated that the AER allowance for 2013–14 revenue was</w:t>
      </w:r>
      <w:r>
        <w:t xml:space="preserve"> $248 million.</w:t>
      </w:r>
      <w:r>
        <w:rPr>
          <w:rStyle w:val="FootnoteReference"/>
        </w:rPr>
        <w:footnoteReference w:id="101"/>
      </w:r>
      <w:r>
        <w:t xml:space="preserve"> In 2012, Transend indicated that it would not seek to fully recover the MAR in 2013–14.</w:t>
      </w:r>
      <w:r>
        <w:rPr>
          <w:rStyle w:val="FootnoteReference"/>
        </w:rPr>
        <w:footnoteReference w:id="102"/>
      </w:r>
      <w:r>
        <w:t xml:space="preserve"> As a result, Transend expects that actual revenues for 2013</w:t>
      </w:r>
      <w:r w:rsidR="00196D2B">
        <w:t>–</w:t>
      </w:r>
      <w:r>
        <w:t xml:space="preserve">14 will be $221 million, and this is the amount shown in </w:t>
      </w:r>
      <w:r>
        <w:fldChar w:fldCharType="begin"/>
      </w:r>
      <w:r>
        <w:instrText xml:space="preserve"> REF _Ref381786149 \h </w:instrText>
      </w:r>
      <w:r>
        <w:fldChar w:fldCharType="separate"/>
      </w:r>
      <w:r w:rsidR="00B40E3D">
        <w:t xml:space="preserve">Table </w:t>
      </w:r>
      <w:r w:rsidR="00B40E3D">
        <w:rPr>
          <w:noProof/>
        </w:rPr>
        <w:t>D</w:t>
      </w:r>
      <w:r w:rsidR="00B40E3D">
        <w:t>.</w:t>
      </w:r>
      <w:r w:rsidR="00B40E3D">
        <w:rPr>
          <w:noProof/>
        </w:rPr>
        <w:t>4</w:t>
      </w:r>
      <w:r>
        <w:fldChar w:fldCharType="end"/>
      </w:r>
      <w:r>
        <w:t>.</w:t>
      </w:r>
      <w:r>
        <w:rPr>
          <w:rStyle w:val="FootnoteReference"/>
        </w:rPr>
        <w:footnoteReference w:id="103"/>
      </w:r>
      <w:r>
        <w:t xml:space="preserve"> </w:t>
      </w:r>
      <w:proofErr w:type="spellStart"/>
      <w:r>
        <w:t>Transend</w:t>
      </w:r>
      <w:proofErr w:type="spellEnd"/>
      <w:r>
        <w:t xml:space="preserve"> has indicated that it will not seek to recoup the $26 million under-recovery across the 2014–19 </w:t>
      </w:r>
      <w:proofErr w:type="gramStart"/>
      <w:r>
        <w:t>period</w:t>
      </w:r>
      <w:proofErr w:type="gramEnd"/>
      <w:r>
        <w:t>.</w:t>
      </w:r>
    </w:p>
    <w:p w:rsidR="003A72DE" w:rsidRPr="001E1A71" w:rsidRDefault="005D5323" w:rsidP="003A72DE">
      <w:pPr>
        <w:pStyle w:val="AERbodytext"/>
        <w:rPr>
          <w:rStyle w:val="AERbody"/>
          <w:rFonts w:eastAsia="Calibri"/>
        </w:rPr>
      </w:pPr>
      <w:r w:rsidRPr="005D5323">
        <w:rPr>
          <w:rStyle w:val="AERbody"/>
        </w:rPr>
        <w:t xml:space="preserve">The key </w:t>
      </w:r>
      <w:r>
        <w:rPr>
          <w:rStyle w:val="AERbody"/>
        </w:rPr>
        <w:t xml:space="preserve">determinants of the building blocks from </w:t>
      </w:r>
      <w:proofErr w:type="spellStart"/>
      <w:r>
        <w:rPr>
          <w:rStyle w:val="AERbody"/>
        </w:rPr>
        <w:t>Transend’s</w:t>
      </w:r>
      <w:proofErr w:type="spellEnd"/>
      <w:r>
        <w:rPr>
          <w:rStyle w:val="AERbody"/>
        </w:rPr>
        <w:t xml:space="preserve"> proposal (opex, capex, rate of return and RAB) </w:t>
      </w:r>
      <w:r w:rsidRPr="005D5323">
        <w:rPr>
          <w:rStyle w:val="AERbody"/>
        </w:rPr>
        <w:t xml:space="preserve">are </w:t>
      </w:r>
      <w:r>
        <w:rPr>
          <w:rStyle w:val="AERbody"/>
        </w:rPr>
        <w:t>separately presented below.</w:t>
      </w:r>
      <w:r w:rsidR="00967399">
        <w:rPr>
          <w:rStyle w:val="AERbody"/>
        </w:rPr>
        <w:t xml:space="preserve"> </w:t>
      </w:r>
      <w:proofErr w:type="spellStart"/>
      <w:r w:rsidR="00967399">
        <w:rPr>
          <w:rStyle w:val="AERbody"/>
        </w:rPr>
        <w:t>Transend’s</w:t>
      </w:r>
      <w:proofErr w:type="spellEnd"/>
      <w:r w:rsidR="00967399">
        <w:rPr>
          <w:rStyle w:val="AERbody"/>
        </w:rPr>
        <w:t xml:space="preserve"> proposal also included detail on:</w:t>
      </w:r>
    </w:p>
    <w:p w:rsidR="00967399" w:rsidRPr="00FD4024" w:rsidRDefault="00967399" w:rsidP="00FD4024">
      <w:pPr>
        <w:numPr>
          <w:ilvl w:val="0"/>
          <w:numId w:val="2"/>
        </w:numPr>
        <w:tabs>
          <w:tab w:val="left" w:pos="357"/>
        </w:tabs>
        <w:spacing w:after="200"/>
        <w:ind w:left="357" w:hanging="357"/>
        <w:rPr>
          <w:rFonts w:eastAsia="Times New Roman"/>
          <w:szCs w:val="24"/>
        </w:rPr>
      </w:pPr>
      <w:r w:rsidRPr="00FD4024">
        <w:rPr>
          <w:rFonts w:eastAsia="Times New Roman"/>
          <w:szCs w:val="24"/>
        </w:rPr>
        <w:t>Regulatory depreciation</w:t>
      </w:r>
      <w:r w:rsidR="00196D2B" w:rsidRPr="00FD4024">
        <w:rPr>
          <w:rFonts w:eastAsia="Times New Roman"/>
          <w:szCs w:val="24"/>
        </w:rPr>
        <w:t>—</w:t>
      </w:r>
      <w:r w:rsidRPr="00FD4024">
        <w:rPr>
          <w:rFonts w:eastAsia="Times New Roman"/>
          <w:szCs w:val="24"/>
        </w:rPr>
        <w:t>Transend proposed to use straight</w:t>
      </w:r>
      <w:r w:rsidR="00196D2B" w:rsidRPr="00FD4024">
        <w:rPr>
          <w:rFonts w:eastAsia="Times New Roman"/>
          <w:szCs w:val="24"/>
        </w:rPr>
        <w:t>-</w:t>
      </w:r>
      <w:r w:rsidRPr="00FD4024">
        <w:rPr>
          <w:rFonts w:eastAsia="Times New Roman"/>
          <w:szCs w:val="24"/>
        </w:rPr>
        <w:t>line depreciation</w:t>
      </w:r>
      <w:r w:rsidR="00196D2B" w:rsidRPr="00FD4024">
        <w:rPr>
          <w:rFonts w:eastAsia="Times New Roman"/>
          <w:szCs w:val="24"/>
        </w:rPr>
        <w:t xml:space="preserve"> as calculated in the PTRM</w:t>
      </w:r>
      <w:r w:rsidRPr="00FD4024">
        <w:rPr>
          <w:rFonts w:eastAsia="Times New Roman"/>
          <w:szCs w:val="24"/>
        </w:rPr>
        <w:t>, and put forward a schedule of asset lives.</w:t>
      </w:r>
      <w:r w:rsidRPr="00FD4024">
        <w:rPr>
          <w:rStyle w:val="FootnoteReference"/>
        </w:rPr>
        <w:footnoteReference w:id="104"/>
      </w:r>
      <w:r w:rsidRPr="00FD4024">
        <w:rPr>
          <w:rFonts w:eastAsia="Times New Roman"/>
          <w:szCs w:val="24"/>
        </w:rPr>
        <w:t xml:space="preserve"> Its depreciation forecasts (including the </w:t>
      </w:r>
      <w:r w:rsidR="00C32043">
        <w:rPr>
          <w:rFonts w:eastAsia="Times New Roman"/>
          <w:szCs w:val="24"/>
        </w:rPr>
        <w:t xml:space="preserve">net </w:t>
      </w:r>
      <w:r w:rsidRPr="00FD4024">
        <w:rPr>
          <w:rFonts w:eastAsia="Times New Roman"/>
          <w:szCs w:val="24"/>
        </w:rPr>
        <w:t>effect of indexation) are included in the RAB roll forward tables presented below.</w:t>
      </w:r>
    </w:p>
    <w:p w:rsidR="00967399" w:rsidRPr="00FD4024" w:rsidRDefault="00967399" w:rsidP="00FD4024">
      <w:pPr>
        <w:numPr>
          <w:ilvl w:val="0"/>
          <w:numId w:val="2"/>
        </w:numPr>
        <w:tabs>
          <w:tab w:val="left" w:pos="357"/>
        </w:tabs>
        <w:spacing w:after="200"/>
        <w:ind w:left="357" w:hanging="357"/>
        <w:rPr>
          <w:rFonts w:eastAsia="Times New Roman"/>
          <w:szCs w:val="24"/>
        </w:rPr>
      </w:pPr>
      <w:r w:rsidRPr="00FD4024">
        <w:rPr>
          <w:rFonts w:eastAsia="Times New Roman"/>
          <w:szCs w:val="24"/>
        </w:rPr>
        <w:lastRenderedPageBreak/>
        <w:t>C</w:t>
      </w:r>
      <w:r w:rsidR="00196D2B" w:rsidRPr="00FD4024">
        <w:rPr>
          <w:rFonts w:eastAsia="Times New Roman"/>
          <w:szCs w:val="24"/>
        </w:rPr>
        <w:t>ost of c</w:t>
      </w:r>
      <w:r w:rsidRPr="00FD4024">
        <w:rPr>
          <w:rFonts w:eastAsia="Times New Roman"/>
          <w:szCs w:val="24"/>
        </w:rPr>
        <w:t>orporate income tax</w:t>
      </w:r>
      <w:r w:rsidR="00196D2B" w:rsidRPr="00FD4024">
        <w:rPr>
          <w:rFonts w:eastAsia="Times New Roman"/>
          <w:szCs w:val="24"/>
        </w:rPr>
        <w:t>—</w:t>
      </w:r>
      <w:r w:rsidRPr="00FD4024">
        <w:rPr>
          <w:rFonts w:eastAsia="Times New Roman"/>
          <w:szCs w:val="24"/>
        </w:rPr>
        <w:t xml:space="preserve">Transend submitted </w:t>
      </w:r>
      <w:r w:rsidR="000C203D" w:rsidRPr="00FD4024">
        <w:rPr>
          <w:rFonts w:eastAsia="Times New Roman"/>
          <w:szCs w:val="24"/>
        </w:rPr>
        <w:t xml:space="preserve">taxation calculations </w:t>
      </w:r>
      <w:r w:rsidR="00196D2B" w:rsidRPr="00FD4024">
        <w:rPr>
          <w:rFonts w:eastAsia="Times New Roman"/>
          <w:szCs w:val="24"/>
        </w:rPr>
        <w:t>using the PTRM</w:t>
      </w:r>
      <w:r w:rsidR="000C203D" w:rsidRPr="00FD4024">
        <w:rPr>
          <w:rFonts w:eastAsia="Times New Roman"/>
          <w:szCs w:val="24"/>
        </w:rPr>
        <w:t>, which involves calculating the indicative tax payable and then reducing</w:t>
      </w:r>
      <w:r w:rsidRPr="00FD4024">
        <w:rPr>
          <w:rFonts w:eastAsia="Times New Roman"/>
          <w:szCs w:val="24"/>
        </w:rPr>
        <w:t xml:space="preserve"> its tax allowance with respect to the value of imputation credits.</w:t>
      </w:r>
      <w:r w:rsidR="000C203D" w:rsidRPr="00FD4024">
        <w:rPr>
          <w:rStyle w:val="FootnoteReference"/>
        </w:rPr>
        <w:footnoteReference w:id="105"/>
      </w:r>
      <w:r w:rsidRPr="00FD4024">
        <w:rPr>
          <w:rFonts w:eastAsia="Times New Roman"/>
          <w:szCs w:val="24"/>
        </w:rPr>
        <w:t xml:space="preserve"> </w:t>
      </w:r>
      <w:proofErr w:type="spellStart"/>
      <w:r w:rsidRPr="00FD4024">
        <w:rPr>
          <w:rFonts w:eastAsia="Times New Roman"/>
          <w:szCs w:val="24"/>
        </w:rPr>
        <w:t>Transend’s</w:t>
      </w:r>
      <w:proofErr w:type="spellEnd"/>
      <w:r w:rsidRPr="00FD4024">
        <w:rPr>
          <w:rFonts w:eastAsia="Times New Roman"/>
          <w:szCs w:val="24"/>
        </w:rPr>
        <w:t xml:space="preserve"> proposed gamma figure </w:t>
      </w:r>
      <w:r w:rsidR="000C203D" w:rsidRPr="00FD4024">
        <w:rPr>
          <w:rFonts w:eastAsia="Times New Roman"/>
          <w:szCs w:val="24"/>
        </w:rPr>
        <w:t xml:space="preserve">is discussed below </w:t>
      </w:r>
      <w:r w:rsidRPr="00FD4024">
        <w:rPr>
          <w:rFonts w:eastAsia="Times New Roman"/>
          <w:szCs w:val="24"/>
        </w:rPr>
        <w:t>in the rate of return section.</w:t>
      </w:r>
    </w:p>
    <w:p w:rsidR="00967399" w:rsidRPr="00FD4024" w:rsidRDefault="00967399" w:rsidP="00FD4024">
      <w:pPr>
        <w:numPr>
          <w:ilvl w:val="0"/>
          <w:numId w:val="2"/>
        </w:numPr>
        <w:tabs>
          <w:tab w:val="left" w:pos="357"/>
        </w:tabs>
        <w:spacing w:after="200"/>
        <w:ind w:left="357" w:hanging="357"/>
        <w:rPr>
          <w:rFonts w:eastAsia="Times New Roman"/>
          <w:szCs w:val="24"/>
        </w:rPr>
      </w:pPr>
      <w:r w:rsidRPr="00FD4024">
        <w:rPr>
          <w:rFonts w:eastAsia="Times New Roman"/>
          <w:szCs w:val="24"/>
        </w:rPr>
        <w:t>Efficiency carryovers</w:t>
      </w:r>
      <w:r w:rsidR="00196D2B" w:rsidRPr="00FD4024">
        <w:rPr>
          <w:rFonts w:eastAsia="Times New Roman"/>
          <w:szCs w:val="24"/>
        </w:rPr>
        <w:t>—</w:t>
      </w:r>
      <w:r w:rsidRPr="00FD4024">
        <w:rPr>
          <w:rFonts w:eastAsia="Times New Roman"/>
          <w:szCs w:val="24"/>
        </w:rPr>
        <w:t xml:space="preserve">Transend </w:t>
      </w:r>
      <w:r w:rsidR="000C203D" w:rsidRPr="00FD4024">
        <w:rPr>
          <w:rFonts w:eastAsia="Times New Roman"/>
          <w:szCs w:val="24"/>
        </w:rPr>
        <w:t xml:space="preserve">proposed a positive carryover allowance reflecting past efficiency gains </w:t>
      </w:r>
      <w:r w:rsidR="00196D2B" w:rsidRPr="00FD4024">
        <w:rPr>
          <w:rFonts w:eastAsia="Times New Roman"/>
          <w:szCs w:val="24"/>
        </w:rPr>
        <w:t xml:space="preserve">associated with opex </w:t>
      </w:r>
      <w:r w:rsidR="000C203D" w:rsidRPr="00FD4024">
        <w:rPr>
          <w:rFonts w:eastAsia="Times New Roman"/>
          <w:szCs w:val="24"/>
        </w:rPr>
        <w:t xml:space="preserve">(under the EBSS) over the </w:t>
      </w:r>
      <w:r w:rsidR="00581457">
        <w:rPr>
          <w:rFonts w:eastAsia="Times New Roman"/>
          <w:szCs w:val="24"/>
        </w:rPr>
        <w:t>current</w:t>
      </w:r>
      <w:r w:rsidR="000C203D" w:rsidRPr="00FD4024">
        <w:rPr>
          <w:rFonts w:eastAsia="Times New Roman"/>
          <w:szCs w:val="24"/>
        </w:rPr>
        <w:t xml:space="preserve"> regulatory control period.</w:t>
      </w:r>
      <w:r w:rsidR="000C203D" w:rsidRPr="00FD4024">
        <w:rPr>
          <w:rStyle w:val="FootnoteReference"/>
        </w:rPr>
        <w:footnoteReference w:id="106"/>
      </w:r>
    </w:p>
    <w:p w:rsidR="006D2834" w:rsidRDefault="000363B3" w:rsidP="007B4470">
      <w:pPr>
        <w:pStyle w:val="HeadingBoldBlue"/>
        <w:rPr>
          <w:rStyle w:val="AERbody"/>
          <w:rFonts w:eastAsia="Calibri"/>
          <w:color w:val="365F91" w:themeColor="accent1" w:themeShade="BF"/>
          <w:sz w:val="22"/>
          <w:szCs w:val="20"/>
        </w:rPr>
      </w:pPr>
      <w:r>
        <w:rPr>
          <w:rStyle w:val="AERbody"/>
          <w:color w:val="365F91" w:themeColor="accent1" w:themeShade="BF"/>
          <w:sz w:val="22"/>
        </w:rPr>
        <w:t>O</w:t>
      </w:r>
      <w:r w:rsidR="006D2834" w:rsidRPr="00F04D74">
        <w:rPr>
          <w:rStyle w:val="AERbody"/>
          <w:color w:val="365F91" w:themeColor="accent1" w:themeShade="BF"/>
          <w:sz w:val="22"/>
        </w:rPr>
        <w:t xml:space="preserve">pex </w:t>
      </w:r>
    </w:p>
    <w:p w:rsidR="00F25018" w:rsidRPr="00C91BC1" w:rsidRDefault="00F25018" w:rsidP="00F25018">
      <w:pPr>
        <w:rPr>
          <w:rFonts w:eastAsia="Times New Roman" w:cs="Gautami"/>
        </w:rPr>
      </w:pPr>
      <w:r w:rsidRPr="00C91BC1">
        <w:rPr>
          <w:rFonts w:cs="Gautami"/>
        </w:rPr>
        <w:t xml:space="preserve">Transend has forecast average annual opex of $46.2 million ($2013–14) in the 2014–19 </w:t>
      </w:r>
      <w:proofErr w:type="gramStart"/>
      <w:r w:rsidRPr="00C91BC1">
        <w:rPr>
          <w:rFonts w:cs="Gautami"/>
        </w:rPr>
        <w:t>period</w:t>
      </w:r>
      <w:proofErr w:type="gramEnd"/>
      <w:r w:rsidRPr="00C91BC1">
        <w:rPr>
          <w:rFonts w:cs="Gautami"/>
        </w:rPr>
        <w:t>. This is a 5.2 per cent decrease in average annual opex from the first four years of the 2009–14 reg</w:t>
      </w:r>
      <w:r w:rsidR="00607950">
        <w:rPr>
          <w:rFonts w:cs="Gautami"/>
        </w:rPr>
        <w:t xml:space="preserve">ulatory control </w:t>
      </w:r>
      <w:proofErr w:type="gramStart"/>
      <w:r w:rsidR="00607950">
        <w:rPr>
          <w:rFonts w:cs="Gautami"/>
        </w:rPr>
        <w:t>period</w:t>
      </w:r>
      <w:proofErr w:type="gramEnd"/>
      <w:r w:rsidR="00607950">
        <w:rPr>
          <w:rFonts w:cs="Gautami"/>
        </w:rPr>
        <w:t>. Figure D.3</w:t>
      </w:r>
      <w:r w:rsidRPr="00C91BC1">
        <w:rPr>
          <w:rFonts w:cs="Gautami"/>
        </w:rPr>
        <w:t xml:space="preserve"> compares </w:t>
      </w:r>
      <w:proofErr w:type="spellStart"/>
      <w:r w:rsidRPr="00C91BC1">
        <w:rPr>
          <w:rFonts w:cs="Gautami"/>
        </w:rPr>
        <w:t>Transend’s</w:t>
      </w:r>
      <w:proofErr w:type="spellEnd"/>
      <w:r w:rsidRPr="00C91BC1">
        <w:rPr>
          <w:rFonts w:cs="Gautami"/>
        </w:rPr>
        <w:t xml:space="preserve"> opex in the current regulatory control period to its approved allowance and its forecast opex in the transitional and subsequent regulatory control periods.</w:t>
      </w:r>
    </w:p>
    <w:p w:rsidR="00F25018" w:rsidRPr="0080384E" w:rsidRDefault="00F25018" w:rsidP="00607950">
      <w:pPr>
        <w:pStyle w:val="Caption"/>
      </w:pPr>
      <w:r>
        <w:t>Figure D.3</w:t>
      </w:r>
      <w:r w:rsidRPr="0080384E">
        <w:t xml:space="preserve"> </w:t>
      </w:r>
      <w:r w:rsidR="00F46D0A">
        <w:tab/>
      </w:r>
      <w:proofErr w:type="spellStart"/>
      <w:r w:rsidR="00D21886">
        <w:t>Transend’s</w:t>
      </w:r>
      <w:proofErr w:type="spellEnd"/>
      <w:r w:rsidR="00D21886">
        <w:t xml:space="preserve"> opex in the 2009-14 and 2014-19 periods ($ million, 2013-14) </w:t>
      </w:r>
    </w:p>
    <w:p w:rsidR="00F25018" w:rsidRDefault="00F25018" w:rsidP="00F25018">
      <w:pPr>
        <w:pStyle w:val="AERbodytext"/>
      </w:pPr>
      <w:r>
        <w:rPr>
          <w:noProof/>
          <w:lang w:eastAsia="en-AU"/>
        </w:rPr>
        <w:drawing>
          <wp:inline distT="0" distB="0" distL="0" distR="0" wp14:anchorId="5E273CB0" wp14:editId="22500B66">
            <wp:extent cx="5731510" cy="3734667"/>
            <wp:effectExtent l="0" t="0" r="254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25018" w:rsidRPr="00C14984" w:rsidRDefault="00F25018" w:rsidP="00F25018">
      <w:pPr>
        <w:pStyle w:val="AERbodytext"/>
      </w:pPr>
      <w:r w:rsidRPr="00C14984">
        <w:t>Transend has forecast its opex using the following approach</w:t>
      </w:r>
      <w:r>
        <w:t>.</w:t>
      </w:r>
      <w:r>
        <w:rPr>
          <w:rStyle w:val="FootnoteReference"/>
        </w:rPr>
        <w:footnoteReference w:id="107"/>
      </w:r>
    </w:p>
    <w:p w:rsidR="00F25018" w:rsidRPr="00C14984" w:rsidRDefault="00F25018" w:rsidP="00F25018">
      <w:pPr>
        <w:pStyle w:val="AERbodytext"/>
      </w:pPr>
      <w:proofErr w:type="spellStart"/>
      <w:r>
        <w:t>Transend’s</w:t>
      </w:r>
      <w:proofErr w:type="spellEnd"/>
      <w:r>
        <w:t xml:space="preserve"> c</w:t>
      </w:r>
      <w:r w:rsidRPr="00C14984">
        <w:t>ontrollable ope</w:t>
      </w:r>
      <w:r>
        <w:t>x</w:t>
      </w:r>
      <w:r w:rsidRPr="00C14984">
        <w:t xml:space="preserve"> forecast has been developed using a base-step-trend approach. Under this approach, non-recurrent costs, such as cyclical revenue reset costs, have been</w:t>
      </w:r>
      <w:r>
        <w:t xml:space="preserve"> </w:t>
      </w:r>
      <w:r w:rsidRPr="00C14984">
        <w:t xml:space="preserve">deducted from the 2012–13 expenditure to determine an efficient base year starting point. </w:t>
      </w:r>
    </w:p>
    <w:p w:rsidR="00F25018" w:rsidRPr="00C14984" w:rsidRDefault="00F25018" w:rsidP="00F25018">
      <w:pPr>
        <w:pStyle w:val="AERbodytext"/>
      </w:pPr>
      <w:r w:rsidRPr="00C14984">
        <w:lastRenderedPageBreak/>
        <w:t>This base year expenditure has</w:t>
      </w:r>
      <w:r>
        <w:t xml:space="preserve"> been</w:t>
      </w:r>
      <w:r w:rsidRPr="00C14984">
        <w:t xml:space="preserve"> adjusted in future years by </w:t>
      </w:r>
      <w:r>
        <w:t>step changes</w:t>
      </w:r>
      <w:r w:rsidRPr="00C14984">
        <w:t xml:space="preserve">. </w:t>
      </w:r>
    </w:p>
    <w:p w:rsidR="00F25018" w:rsidRPr="00C14984" w:rsidRDefault="00F25018" w:rsidP="00F25018">
      <w:pPr>
        <w:pStyle w:val="AERbodytext"/>
      </w:pPr>
      <w:r w:rsidRPr="00C14984">
        <w:t xml:space="preserve">Forecast changes in costs </w:t>
      </w:r>
      <w:r>
        <w:t>have been</w:t>
      </w:r>
      <w:r w:rsidRPr="00C14984">
        <w:t xml:space="preserve"> applied based on forecast labour cost movements and cost increases due to network growth. </w:t>
      </w:r>
    </w:p>
    <w:p w:rsidR="00F25018" w:rsidRDefault="00F25018" w:rsidP="00F25018">
      <w:pPr>
        <w:pStyle w:val="AERbodytext"/>
      </w:pPr>
      <w:r w:rsidRPr="00C14984">
        <w:t xml:space="preserve">It has applied annual productivity factors in anticipation of </w:t>
      </w:r>
      <w:r>
        <w:t>its</w:t>
      </w:r>
      <w:r w:rsidRPr="00C14984">
        <w:t xml:space="preserve"> ongoing cost saving initiatives and efficiency improvements, including those arising from the merger of Transend and Aurora Energy’s distrib</w:t>
      </w:r>
      <w:r>
        <w:t>ution business) to produce its c</w:t>
      </w:r>
      <w:r w:rsidRPr="00C14984">
        <w:t>ontrollable o</w:t>
      </w:r>
      <w:r>
        <w:t xml:space="preserve">pex forecast. </w:t>
      </w:r>
    </w:p>
    <w:p w:rsidR="000363B3" w:rsidRPr="00C14984" w:rsidRDefault="00F25018" w:rsidP="000363B3">
      <w:pPr>
        <w:pStyle w:val="AERbodytext"/>
      </w:pPr>
      <w:r w:rsidRPr="00C14984">
        <w:t>Other ope</w:t>
      </w:r>
      <w:r>
        <w:t>x</w:t>
      </w:r>
      <w:r w:rsidRPr="00C14984">
        <w:t xml:space="preserve"> items (including network support, insurance and self-insurance premiums and debt raising costs) have been forecast utilising a zero-based (or bottom up) methodology.</w:t>
      </w:r>
    </w:p>
    <w:p w:rsidR="006D2834" w:rsidRDefault="00A35561" w:rsidP="007B4470">
      <w:pPr>
        <w:pStyle w:val="HeadingBoldBlue"/>
        <w:rPr>
          <w:rStyle w:val="AERbody"/>
          <w:rFonts w:eastAsia="Calibri"/>
          <w:color w:val="365F91" w:themeColor="accent1" w:themeShade="BF"/>
          <w:sz w:val="22"/>
          <w:szCs w:val="20"/>
        </w:rPr>
      </w:pPr>
      <w:r>
        <w:rPr>
          <w:rStyle w:val="AERbody"/>
          <w:color w:val="365F91" w:themeColor="accent1" w:themeShade="BF"/>
          <w:sz w:val="22"/>
        </w:rPr>
        <w:t>C</w:t>
      </w:r>
      <w:r w:rsidR="006D2834" w:rsidRPr="00C61066">
        <w:rPr>
          <w:rStyle w:val="AERbody"/>
          <w:color w:val="365F91" w:themeColor="accent1" w:themeShade="BF"/>
          <w:sz w:val="22"/>
        </w:rPr>
        <w:t>apex</w:t>
      </w:r>
    </w:p>
    <w:p w:rsidR="00A35561" w:rsidRPr="00FA7171" w:rsidRDefault="00A35561" w:rsidP="00A35561">
      <w:pPr>
        <w:pStyle w:val="AERbodytext"/>
      </w:pPr>
      <w:proofErr w:type="spellStart"/>
      <w:r w:rsidRPr="00FA7171">
        <w:t>Transend’s</w:t>
      </w:r>
      <w:proofErr w:type="spellEnd"/>
      <w:r w:rsidRPr="00FA7171">
        <w:t xml:space="preserve"> actual total capex spend was around 15 per cent less than its total forecast capex over the </w:t>
      </w:r>
      <w:r w:rsidR="00581457">
        <w:t>current</w:t>
      </w:r>
      <w:r w:rsidRPr="00FA7171">
        <w:t xml:space="preserve"> regulatory control period. It spent $604 million ($2013–14) compared to its total forecast capex of $709 million ($2013–14). This is </w:t>
      </w:r>
      <w:proofErr w:type="gramStart"/>
      <w:r w:rsidRPr="00FA7171">
        <w:t>an underspend</w:t>
      </w:r>
      <w:proofErr w:type="gramEnd"/>
      <w:r w:rsidRPr="00FA7171">
        <w:t xml:space="preserve"> of $105 million ($2013–14). Trans</w:t>
      </w:r>
      <w:r w:rsidR="00171283">
        <w:t>end</w:t>
      </w:r>
      <w:r w:rsidRPr="00FA7171">
        <w:t xml:space="preserve"> underspent in every year except 20</w:t>
      </w:r>
      <w:r w:rsidR="00171283">
        <w:t>1</w:t>
      </w:r>
      <w:r w:rsidRPr="00FA7171">
        <w:t xml:space="preserve">1–12, </w:t>
      </w:r>
      <w:r w:rsidR="00171283">
        <w:t xml:space="preserve">as </w:t>
      </w:r>
      <w:r w:rsidRPr="00FA7171">
        <w:t xml:space="preserve">shown in </w:t>
      </w:r>
      <w:r w:rsidRPr="00FA7171">
        <w:fldChar w:fldCharType="begin"/>
      </w:r>
      <w:r w:rsidRPr="00FA7171">
        <w:instrText xml:space="preserve"> REF _Ref379458553 \h </w:instrText>
      </w:r>
      <w:r w:rsidRPr="00FA7171">
        <w:fldChar w:fldCharType="separate"/>
      </w:r>
      <w:r w:rsidR="00B40E3D" w:rsidRPr="00A35561">
        <w:t xml:space="preserve">Figure </w:t>
      </w:r>
      <w:r w:rsidR="00B40E3D">
        <w:t>D</w:t>
      </w:r>
      <w:proofErr w:type="gramStart"/>
      <w:r w:rsidR="00B40E3D">
        <w:t>.</w:t>
      </w:r>
      <w:proofErr w:type="gramEnd"/>
      <w:r w:rsidRPr="00FA7171">
        <w:fldChar w:fldCharType="end"/>
      </w:r>
      <w:r w:rsidR="00607950">
        <w:t>4</w:t>
      </w:r>
      <w:r w:rsidRPr="00FA7171">
        <w:t xml:space="preserve">. </w:t>
      </w:r>
    </w:p>
    <w:p w:rsidR="00A35561" w:rsidRPr="00FA7171" w:rsidRDefault="00A35561" w:rsidP="00A35561">
      <w:pPr>
        <w:pStyle w:val="AERbodytext"/>
        <w:numPr>
          <w:ilvl w:val="0"/>
          <w:numId w:val="0"/>
        </w:numPr>
      </w:pPr>
      <w:proofErr w:type="spellStart"/>
      <w:r w:rsidRPr="00FA7171">
        <w:t>Transend’s</w:t>
      </w:r>
      <w:proofErr w:type="spellEnd"/>
      <w:r w:rsidRPr="00FA7171">
        <w:t xml:space="preserve"> indicative proposed total forecast capex for the </w:t>
      </w:r>
      <w:r w:rsidR="00171283">
        <w:t>2014–19</w:t>
      </w:r>
      <w:r w:rsidRPr="00FA7171">
        <w:t xml:space="preserve"> </w:t>
      </w:r>
      <w:proofErr w:type="gramStart"/>
      <w:r w:rsidRPr="00FA7171">
        <w:t>period</w:t>
      </w:r>
      <w:proofErr w:type="gramEnd"/>
      <w:r w:rsidRPr="00FA7171">
        <w:t xml:space="preserve"> is $313 million ($2013–14). This is $396 million ($2013–14), or 56 per cent, lower than its total forecast capex for the </w:t>
      </w:r>
      <w:r w:rsidR="00581457">
        <w:t>current</w:t>
      </w:r>
      <w:r w:rsidRPr="00FA7171">
        <w:t xml:space="preserve"> regulatory control period. It is $291 million ($2013–14), or 48 per cent, lower than </w:t>
      </w:r>
      <w:proofErr w:type="spellStart"/>
      <w:r w:rsidRPr="00FA7171">
        <w:t>Transend’s</w:t>
      </w:r>
      <w:proofErr w:type="spellEnd"/>
      <w:r w:rsidRPr="00FA7171">
        <w:t xml:space="preserve"> actual total capex spend over the </w:t>
      </w:r>
      <w:r w:rsidR="00581457">
        <w:t>current</w:t>
      </w:r>
      <w:r w:rsidRPr="00FA7171">
        <w:t xml:space="preserve"> regulatory control period. </w:t>
      </w:r>
      <w:r w:rsidRPr="00FA7171">
        <w:fldChar w:fldCharType="begin"/>
      </w:r>
      <w:r w:rsidRPr="00FA7171">
        <w:instrText xml:space="preserve"> REF _Ref379458553 \h </w:instrText>
      </w:r>
      <w:r w:rsidRPr="00FA7171">
        <w:fldChar w:fldCharType="separate"/>
      </w:r>
      <w:r w:rsidR="00B40E3D" w:rsidRPr="00A35561">
        <w:t xml:space="preserve">Figure </w:t>
      </w:r>
      <w:r w:rsidR="00B40E3D">
        <w:t>D</w:t>
      </w:r>
      <w:proofErr w:type="gramStart"/>
      <w:r w:rsidR="00B40E3D">
        <w:t>.</w:t>
      </w:r>
      <w:proofErr w:type="gramEnd"/>
      <w:r w:rsidRPr="00FA7171">
        <w:fldChar w:fldCharType="end"/>
      </w:r>
      <w:r w:rsidR="00607950">
        <w:t>4</w:t>
      </w:r>
      <w:r w:rsidRPr="00FA7171">
        <w:t xml:space="preserve"> shows </w:t>
      </w:r>
      <w:proofErr w:type="spellStart"/>
      <w:r w:rsidRPr="00FA7171">
        <w:t>Transend’s</w:t>
      </w:r>
      <w:proofErr w:type="spellEnd"/>
      <w:r w:rsidRPr="00FA7171">
        <w:t xml:space="preserve"> indicative proposed forecast capex in each year of the </w:t>
      </w:r>
      <w:r w:rsidR="00171283">
        <w:t>2014–19</w:t>
      </w:r>
      <w:r w:rsidRPr="00FA7171">
        <w:t xml:space="preserve"> period. </w:t>
      </w:r>
    </w:p>
    <w:p w:rsidR="00F46D0A" w:rsidRPr="00FA7171" w:rsidRDefault="00A35561" w:rsidP="00A35561">
      <w:pPr>
        <w:pStyle w:val="AERbodytext"/>
        <w:numPr>
          <w:ilvl w:val="0"/>
          <w:numId w:val="0"/>
        </w:numPr>
      </w:pPr>
      <w:r w:rsidRPr="00FA7171">
        <w:t xml:space="preserve">Transend deferred several augmentation projects in the </w:t>
      </w:r>
      <w:r w:rsidR="00581457">
        <w:t>current</w:t>
      </w:r>
      <w:r w:rsidRPr="00FA7171">
        <w:t xml:space="preserve"> regulatory control period because of lower than forecast demand growth. Lower forecast demand and uncertainty of future peak demand growth mean </w:t>
      </w:r>
      <w:proofErr w:type="spellStart"/>
      <w:r w:rsidRPr="00FA7171">
        <w:t>Transend’s</w:t>
      </w:r>
      <w:proofErr w:type="spellEnd"/>
      <w:r w:rsidRPr="00FA7171">
        <w:t xml:space="preserve"> </w:t>
      </w:r>
      <w:r w:rsidR="00171283">
        <w:t xml:space="preserve">proposed </w:t>
      </w:r>
      <w:r w:rsidRPr="00FA7171">
        <w:t xml:space="preserve">augmentation capex for the </w:t>
      </w:r>
      <w:r w:rsidR="00171283">
        <w:t>2014–19</w:t>
      </w:r>
      <w:r w:rsidRPr="00FA7171">
        <w:t xml:space="preserve"> </w:t>
      </w:r>
      <w:proofErr w:type="gramStart"/>
      <w:r w:rsidRPr="00FA7171">
        <w:t>period</w:t>
      </w:r>
      <w:proofErr w:type="gramEnd"/>
      <w:r w:rsidRPr="00FA7171">
        <w:t xml:space="preserve"> is significantly lower than the </w:t>
      </w:r>
      <w:r w:rsidR="00581457">
        <w:t>current</w:t>
      </w:r>
      <w:r w:rsidRPr="00FA7171">
        <w:t xml:space="preserve"> regulatory control period. Transend indicate</w:t>
      </w:r>
      <w:r w:rsidR="00171283">
        <w:t>d</w:t>
      </w:r>
      <w:r w:rsidRPr="00FA7171">
        <w:t xml:space="preserve"> it overspent on replacement capex in the </w:t>
      </w:r>
      <w:r w:rsidR="00581457">
        <w:t>current</w:t>
      </w:r>
      <w:r w:rsidRPr="00FA7171">
        <w:t xml:space="preserve"> regulatory control period to clear a backlog of renewal projects. </w:t>
      </w:r>
      <w:proofErr w:type="spellStart"/>
      <w:r w:rsidRPr="00FA7171">
        <w:t>Transend’s</w:t>
      </w:r>
      <w:proofErr w:type="spellEnd"/>
      <w:r w:rsidRPr="00FA7171">
        <w:t xml:space="preserve"> indicative proposed forecast replacement capex in the </w:t>
      </w:r>
      <w:r w:rsidR="00171283">
        <w:t>2014–19</w:t>
      </w:r>
      <w:r w:rsidRPr="00FA7171">
        <w:t xml:space="preserve"> period is lower, which it state</w:t>
      </w:r>
      <w:r w:rsidR="00171283">
        <w:t>d</w:t>
      </w:r>
      <w:r w:rsidRPr="00FA7171">
        <w:t xml:space="preserve"> reflects more typical levels.</w:t>
      </w:r>
    </w:p>
    <w:p w:rsidR="00A35561" w:rsidRPr="00FA7171" w:rsidRDefault="00A35561" w:rsidP="00A35561">
      <w:pPr>
        <w:pStyle w:val="Caption"/>
        <w:rPr>
          <w:i/>
        </w:rPr>
      </w:pPr>
      <w:bookmarkStart w:id="100" w:name="_Ref381947796"/>
      <w:r w:rsidRPr="00FA7171">
        <w:lastRenderedPageBreak/>
        <w:t xml:space="preserve">Figure </w:t>
      </w:r>
      <w:r w:rsidR="00B91586">
        <w:t>D</w:t>
      </w:r>
      <w:bookmarkEnd w:id="100"/>
      <w:r w:rsidR="00B91586">
        <w:t>.</w:t>
      </w:r>
      <w:r w:rsidR="00F25018">
        <w:t>4</w:t>
      </w:r>
      <w:r w:rsidRPr="00FA7171">
        <w:tab/>
      </w:r>
      <w:proofErr w:type="spellStart"/>
      <w:r w:rsidRPr="00FA7171">
        <w:t>Transend’s</w:t>
      </w:r>
      <w:proofErr w:type="spellEnd"/>
      <w:r w:rsidRPr="00FA7171">
        <w:t xml:space="preserve"> capex in the </w:t>
      </w:r>
      <w:r w:rsidR="00171283">
        <w:t>2009–14</w:t>
      </w:r>
      <w:r w:rsidRPr="00FA7171">
        <w:t xml:space="preserve"> and </w:t>
      </w:r>
      <w:r w:rsidR="00171283">
        <w:t>2014–19</w:t>
      </w:r>
      <w:r w:rsidRPr="00FA7171">
        <w:t xml:space="preserve"> periods ($million, nominal)</w:t>
      </w:r>
    </w:p>
    <w:p w:rsidR="00C70FF1" w:rsidRDefault="009115CC" w:rsidP="007B4470">
      <w:r>
        <w:rPr>
          <w:noProof/>
          <w:lang w:eastAsia="en-AU"/>
        </w:rPr>
        <w:drawing>
          <wp:inline distT="0" distB="0" distL="0" distR="0" wp14:anchorId="42A0D149" wp14:editId="2E89C66C">
            <wp:extent cx="4822190" cy="3206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22190" cy="3206750"/>
                    </a:xfrm>
                    <a:prstGeom prst="rect">
                      <a:avLst/>
                    </a:prstGeom>
                    <a:noFill/>
                  </pic:spPr>
                </pic:pic>
              </a:graphicData>
            </a:graphic>
          </wp:inline>
        </w:drawing>
      </w:r>
    </w:p>
    <w:p w:rsidR="00A35561" w:rsidRPr="007B4470" w:rsidRDefault="00C70FF1" w:rsidP="00607950">
      <w:pPr>
        <w:pStyle w:val="AERtablesource"/>
      </w:pPr>
      <w:r w:rsidRPr="00257D3E">
        <w:t>Source:</w:t>
      </w:r>
      <w:r w:rsidRPr="00257D3E">
        <w:tab/>
      </w:r>
      <w:r w:rsidRPr="007436A4">
        <w:t>Transend TRP and AER analysis.</w:t>
      </w:r>
    </w:p>
    <w:p w:rsidR="006D2834" w:rsidRPr="0032513A" w:rsidRDefault="0032513A" w:rsidP="007B4470">
      <w:pPr>
        <w:pStyle w:val="HeadingBoldBlue"/>
        <w:rPr>
          <w:rStyle w:val="AERbody"/>
          <w:rFonts w:eastAsia="Calibri"/>
          <w:color w:val="365F91" w:themeColor="accent1" w:themeShade="BF"/>
          <w:sz w:val="22"/>
          <w:szCs w:val="20"/>
        </w:rPr>
      </w:pPr>
      <w:r>
        <w:rPr>
          <w:rStyle w:val="AERbody"/>
          <w:color w:val="365F91" w:themeColor="accent1" w:themeShade="BF"/>
          <w:sz w:val="22"/>
        </w:rPr>
        <w:t>R</w:t>
      </w:r>
      <w:r w:rsidR="006D2834" w:rsidRPr="0032513A">
        <w:rPr>
          <w:rStyle w:val="AERbody"/>
          <w:color w:val="365F91" w:themeColor="accent1" w:themeShade="BF"/>
          <w:sz w:val="22"/>
        </w:rPr>
        <w:t>ate of return</w:t>
      </w:r>
    </w:p>
    <w:p w:rsidR="00811803" w:rsidRDefault="00811803" w:rsidP="00811803">
      <w:pPr>
        <w:pStyle w:val="AERbodytext"/>
        <w:rPr>
          <w:rStyle w:val="AERbody"/>
        </w:rPr>
      </w:pPr>
      <w:r>
        <w:rPr>
          <w:rStyle w:val="AERbody"/>
        </w:rPr>
        <w:t xml:space="preserve">Transend </w:t>
      </w:r>
      <w:r w:rsidRPr="00791780">
        <w:rPr>
          <w:rStyle w:val="AERbody"/>
        </w:rPr>
        <w:t>proposed</w:t>
      </w:r>
      <w:r>
        <w:rPr>
          <w:rStyle w:val="AERbody"/>
        </w:rPr>
        <w:t xml:space="preserve"> an indicative WACC range of 8.2–9.3 per cent.</w:t>
      </w:r>
      <w:r>
        <w:rPr>
          <w:rStyle w:val="FootnoteReference"/>
        </w:rPr>
        <w:footnoteReference w:id="108"/>
      </w:r>
      <w:r>
        <w:rPr>
          <w:rStyle w:val="AERbody"/>
        </w:rPr>
        <w:t xml:space="preserve"> </w:t>
      </w:r>
      <w:r w:rsidRPr="00791780">
        <w:rPr>
          <w:rStyle w:val="AERbody"/>
        </w:rPr>
        <w:t>This indicative WACC range reflects the parameters shown in</w:t>
      </w:r>
      <w:r>
        <w:rPr>
          <w:rStyle w:val="AERbody"/>
        </w:rPr>
        <w:t xml:space="preserve"> </w:t>
      </w:r>
      <w:r w:rsidR="00803C1A">
        <w:rPr>
          <w:rStyle w:val="AERbody"/>
        </w:rPr>
        <w:fldChar w:fldCharType="begin"/>
      </w:r>
      <w:r w:rsidR="00803C1A">
        <w:rPr>
          <w:rStyle w:val="AERbody"/>
        </w:rPr>
        <w:instrText xml:space="preserve"> REF _Ref381711210 \h </w:instrText>
      </w:r>
      <w:r w:rsidR="00803C1A">
        <w:rPr>
          <w:rStyle w:val="AERbody"/>
        </w:rPr>
      </w:r>
      <w:r w:rsidR="00803C1A">
        <w:rPr>
          <w:rStyle w:val="AERbody"/>
        </w:rPr>
        <w:fldChar w:fldCharType="separate"/>
      </w:r>
      <w:r w:rsidR="00B40E3D">
        <w:t>Table D.</w:t>
      </w:r>
      <w:r w:rsidR="00B40E3D">
        <w:rPr>
          <w:noProof/>
        </w:rPr>
        <w:t>5</w:t>
      </w:r>
      <w:r w:rsidR="00803C1A">
        <w:rPr>
          <w:rStyle w:val="AERbody"/>
        </w:rPr>
        <w:fldChar w:fldCharType="end"/>
      </w:r>
      <w:r w:rsidR="00803C1A">
        <w:rPr>
          <w:rStyle w:val="AERbody"/>
        </w:rPr>
        <w:t>.</w:t>
      </w:r>
      <w:r>
        <w:rPr>
          <w:rStyle w:val="AERbody"/>
        </w:rPr>
        <w:t xml:space="preserve"> </w:t>
      </w:r>
    </w:p>
    <w:p w:rsidR="00811803" w:rsidRDefault="00811803" w:rsidP="00B15EFF">
      <w:pPr>
        <w:pStyle w:val="AERbodytext"/>
        <w:rPr>
          <w:rStyle w:val="AERbody"/>
        </w:rPr>
      </w:pPr>
      <w:r w:rsidRPr="00811803">
        <w:rPr>
          <w:rStyle w:val="AERbody"/>
        </w:rPr>
        <w:t xml:space="preserve">Transend </w:t>
      </w:r>
      <w:r w:rsidR="00F426D0">
        <w:rPr>
          <w:rStyle w:val="AERbody"/>
        </w:rPr>
        <w:t xml:space="preserve">submitted that it supported </w:t>
      </w:r>
      <w:r w:rsidRPr="00811803">
        <w:rPr>
          <w:rStyle w:val="AERbody"/>
        </w:rPr>
        <w:t xml:space="preserve">a limited application of the </w:t>
      </w:r>
      <w:r w:rsidR="00171283">
        <w:rPr>
          <w:rStyle w:val="AERbody"/>
        </w:rPr>
        <w:t>g</w:t>
      </w:r>
      <w:r w:rsidRPr="00811803">
        <w:rPr>
          <w:rStyle w:val="AERbody"/>
        </w:rPr>
        <w:t xml:space="preserve">uideline foundation model approach in estimating the return on equity for the </w:t>
      </w:r>
      <w:r w:rsidR="00171283">
        <w:rPr>
          <w:rStyle w:val="AERbody"/>
        </w:rPr>
        <w:t>2014–15</w:t>
      </w:r>
      <w:r w:rsidRPr="00811803">
        <w:rPr>
          <w:rStyle w:val="AERbody"/>
        </w:rPr>
        <w:t xml:space="preserve"> regulatory control </w:t>
      </w:r>
      <w:proofErr w:type="gramStart"/>
      <w:r w:rsidRPr="00811803">
        <w:rPr>
          <w:rStyle w:val="AERbody"/>
        </w:rPr>
        <w:t>period</w:t>
      </w:r>
      <w:proofErr w:type="gramEnd"/>
      <w:r>
        <w:rPr>
          <w:rStyle w:val="AERbody"/>
        </w:rPr>
        <w:t>.</w:t>
      </w:r>
      <w:r>
        <w:rPr>
          <w:rStyle w:val="FootnoteReference"/>
        </w:rPr>
        <w:footnoteReference w:id="109"/>
      </w:r>
      <w:r w:rsidR="00B15EFF">
        <w:rPr>
          <w:rStyle w:val="AERbody"/>
        </w:rPr>
        <w:t xml:space="preserve"> </w:t>
      </w:r>
      <w:r w:rsidR="00F426D0">
        <w:rPr>
          <w:rStyle w:val="AERbody"/>
        </w:rPr>
        <w:t>It submitted parameter values and/or ranges for the Sharpe-</w:t>
      </w:r>
      <w:proofErr w:type="spellStart"/>
      <w:r w:rsidR="00F426D0">
        <w:rPr>
          <w:rStyle w:val="AERbody"/>
        </w:rPr>
        <w:t>Lintner</w:t>
      </w:r>
      <w:proofErr w:type="spellEnd"/>
      <w:r w:rsidR="00F426D0">
        <w:rPr>
          <w:rStyle w:val="AERbody"/>
        </w:rPr>
        <w:t xml:space="preserve"> capital asset pricing model</w:t>
      </w:r>
      <w:r w:rsidR="008B030A">
        <w:rPr>
          <w:rStyle w:val="AERbody"/>
        </w:rPr>
        <w:t>. These</w:t>
      </w:r>
      <w:r w:rsidR="00F426D0">
        <w:rPr>
          <w:rStyle w:val="AERbody"/>
        </w:rPr>
        <w:t xml:space="preserve"> were based on consultant reports</w:t>
      </w:r>
      <w:r w:rsidR="008B030A">
        <w:rPr>
          <w:rStyle w:val="AERbody"/>
        </w:rPr>
        <w:t xml:space="preserve"> previously submitted to us in June 2013</w:t>
      </w:r>
      <w:r w:rsidR="00F426D0">
        <w:rPr>
          <w:rStyle w:val="AERbody"/>
        </w:rPr>
        <w:t xml:space="preserve"> </w:t>
      </w:r>
      <w:r w:rsidR="00F426D0" w:rsidRPr="00B15EFF">
        <w:rPr>
          <w:rStyle w:val="AERbody"/>
        </w:rPr>
        <w:t>by SFG Consulting (SFG), NERA Economic Consulting (NERA) and the Competition Economists Group (CEG).</w:t>
      </w:r>
      <w:r w:rsidR="00F426D0">
        <w:rPr>
          <w:rStyle w:val="FootnoteReference"/>
        </w:rPr>
        <w:footnoteReference w:id="110"/>
      </w:r>
      <w:r w:rsidR="00F426D0">
        <w:rPr>
          <w:rStyle w:val="AERbody"/>
        </w:rPr>
        <w:t xml:space="preserve"> </w:t>
      </w:r>
    </w:p>
    <w:p w:rsidR="00F46F7F" w:rsidRDefault="00F46F7F" w:rsidP="00F034D9">
      <w:pPr>
        <w:pStyle w:val="AERbodytext"/>
        <w:rPr>
          <w:rStyle w:val="AERbody"/>
        </w:rPr>
      </w:pPr>
      <w:r w:rsidRPr="00F46F7F">
        <w:rPr>
          <w:rStyle w:val="AERbody"/>
        </w:rPr>
        <w:t xml:space="preserve">Transend </w:t>
      </w:r>
      <w:r w:rsidR="00F034D9">
        <w:rPr>
          <w:rStyle w:val="AERbody"/>
        </w:rPr>
        <w:t>submitted an estimate for the return on debt that is consistent with</w:t>
      </w:r>
      <w:r w:rsidRPr="00F46F7F">
        <w:rPr>
          <w:rStyle w:val="AERbody"/>
        </w:rPr>
        <w:t xml:space="preserve"> the </w:t>
      </w:r>
      <w:r w:rsidR="00171283">
        <w:rPr>
          <w:rStyle w:val="AERbody"/>
        </w:rPr>
        <w:t>g</w:t>
      </w:r>
      <w:r w:rsidRPr="00F46F7F">
        <w:rPr>
          <w:rStyle w:val="AERbody"/>
        </w:rPr>
        <w:t>uideline approach</w:t>
      </w:r>
      <w:r w:rsidR="00F034D9">
        <w:rPr>
          <w:rStyle w:val="AERbody"/>
        </w:rPr>
        <w:t>. It applied the prevailing yield for 10-year BBB corporate bonds as at 31 October 2013 using published yield curve data from the Reserve Bank of Australia.</w:t>
      </w:r>
      <w:r w:rsidR="00F034D9">
        <w:rPr>
          <w:rStyle w:val="FootnoteReference"/>
        </w:rPr>
        <w:footnoteReference w:id="111"/>
      </w:r>
      <w:r w:rsidR="00F034D9">
        <w:rPr>
          <w:rStyle w:val="AERbody"/>
        </w:rPr>
        <w:t xml:space="preserve"> </w:t>
      </w:r>
    </w:p>
    <w:p w:rsidR="00EB2073" w:rsidRDefault="00232E6E" w:rsidP="00F46F7F">
      <w:pPr>
        <w:pStyle w:val="AERbodytext"/>
        <w:rPr>
          <w:rStyle w:val="AERbody"/>
        </w:rPr>
      </w:pPr>
      <w:r>
        <w:rPr>
          <w:rStyle w:val="AERbody"/>
        </w:rPr>
        <w:t xml:space="preserve">Transend </w:t>
      </w:r>
      <w:r w:rsidRPr="00811803">
        <w:rPr>
          <w:rStyle w:val="AERbody"/>
        </w:rPr>
        <w:t xml:space="preserve">adopted a value of 0.25 </w:t>
      </w:r>
      <w:r>
        <w:rPr>
          <w:rStyle w:val="AERbody"/>
        </w:rPr>
        <w:t xml:space="preserve">for imputation credits (gamma) </w:t>
      </w:r>
      <w:r w:rsidR="008B030A">
        <w:rPr>
          <w:rStyle w:val="AERbody"/>
        </w:rPr>
        <w:t xml:space="preserve">calculated </w:t>
      </w:r>
      <w:r>
        <w:rPr>
          <w:rStyle w:val="AERbody"/>
        </w:rPr>
        <w:t>as the product of the payout ratio (0.7) and utilisation rate (0.35).</w:t>
      </w:r>
      <w:r>
        <w:rPr>
          <w:rStyle w:val="FootnoteReference"/>
        </w:rPr>
        <w:footnoteReference w:id="112"/>
      </w:r>
      <w:r>
        <w:rPr>
          <w:rStyle w:val="AERbody"/>
        </w:rPr>
        <w:t xml:space="preserve"> It submitted that this value reflects the approach taken by the Australian Competition Tribunal </w:t>
      </w:r>
      <w:r w:rsidR="008B030A">
        <w:rPr>
          <w:rStyle w:val="AERbody"/>
        </w:rPr>
        <w:t xml:space="preserve">and </w:t>
      </w:r>
      <w:r>
        <w:rPr>
          <w:rStyle w:val="AERbody"/>
        </w:rPr>
        <w:t>warrants considerable weight when determining a value for gamma.</w:t>
      </w:r>
      <w:r>
        <w:rPr>
          <w:rStyle w:val="FootnoteReference"/>
        </w:rPr>
        <w:footnoteReference w:id="113"/>
      </w:r>
      <w:r w:rsidR="00D257E7">
        <w:rPr>
          <w:rStyle w:val="AERbody"/>
        </w:rPr>
        <w:t xml:space="preserve"> </w:t>
      </w:r>
    </w:p>
    <w:p w:rsidR="00F426D0" w:rsidRDefault="00F426D0" w:rsidP="00F426D0">
      <w:pPr>
        <w:pStyle w:val="Caption"/>
      </w:pPr>
      <w:bookmarkStart w:id="101" w:name="_Ref381711210"/>
      <w:proofErr w:type="gramStart"/>
      <w:r>
        <w:lastRenderedPageBreak/>
        <w:t xml:space="preserve">Table </w:t>
      </w:r>
      <w:r w:rsidR="00B91586">
        <w:t>D.</w:t>
      </w:r>
      <w:proofErr w:type="gramEnd"/>
      <w:r w:rsidR="007827B4">
        <w:fldChar w:fldCharType="begin"/>
      </w:r>
      <w:r w:rsidR="007827B4">
        <w:instrText xml:space="preserve"> SEQ Table \* ARABIC </w:instrText>
      </w:r>
      <w:r w:rsidR="007827B4">
        <w:fldChar w:fldCharType="separate"/>
      </w:r>
      <w:r w:rsidR="00B40E3D">
        <w:rPr>
          <w:noProof/>
        </w:rPr>
        <w:t>5</w:t>
      </w:r>
      <w:r w:rsidR="007827B4">
        <w:rPr>
          <w:noProof/>
        </w:rPr>
        <w:fldChar w:fldCharType="end"/>
      </w:r>
      <w:bookmarkEnd w:id="101"/>
      <w:r>
        <w:tab/>
      </w:r>
      <w:proofErr w:type="spellStart"/>
      <w:r>
        <w:t>Transend’s</w:t>
      </w:r>
      <w:proofErr w:type="spellEnd"/>
      <w:r>
        <w:t xml:space="preserve"> proposed WACC parameters</w:t>
      </w:r>
    </w:p>
    <w:tbl>
      <w:tblPr>
        <w:tblStyle w:val="AERtable-numbers"/>
        <w:tblW w:w="0" w:type="auto"/>
        <w:tblLook w:val="04A0" w:firstRow="1" w:lastRow="0" w:firstColumn="1" w:lastColumn="0" w:noHBand="0" w:noVBand="1"/>
      </w:tblPr>
      <w:tblGrid>
        <w:gridCol w:w="3080"/>
        <w:gridCol w:w="6123"/>
      </w:tblGrid>
      <w:tr w:rsidR="00F426D0" w:rsidTr="00F426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F426D0" w:rsidRDefault="00F426D0" w:rsidP="00D15C87">
            <w:pPr>
              <w:pStyle w:val="AERtabletextleft"/>
              <w:rPr>
                <w:rStyle w:val="AERbody"/>
              </w:rPr>
            </w:pPr>
          </w:p>
        </w:tc>
        <w:tc>
          <w:tcPr>
            <w:tcW w:w="6123" w:type="dxa"/>
          </w:tcPr>
          <w:p w:rsidR="00F426D0" w:rsidRPr="00BA578A" w:rsidRDefault="00F426D0" w:rsidP="00D15C87">
            <w:pPr>
              <w:pStyle w:val="AERtabletextleft"/>
              <w:cnfStyle w:val="100000000000" w:firstRow="1" w:lastRow="0" w:firstColumn="0" w:lastColumn="0" w:oddVBand="0" w:evenVBand="0" w:oddHBand="0" w:evenHBand="0" w:firstRowFirstColumn="0" w:firstRowLastColumn="0" w:lastRowFirstColumn="0" w:lastRowLastColumn="0"/>
              <w:rPr>
                <w:rStyle w:val="AERbody"/>
                <w:color w:val="FFFFFF" w:themeColor="background1"/>
              </w:rPr>
            </w:pPr>
            <w:r>
              <w:rPr>
                <w:rStyle w:val="AERbody"/>
                <w:color w:val="FFFFFF" w:themeColor="background1"/>
              </w:rPr>
              <w:t xml:space="preserve">Transend </w:t>
            </w:r>
          </w:p>
        </w:tc>
      </w:tr>
      <w:tr w:rsidR="00F426D0" w:rsidTr="00F426D0">
        <w:tc>
          <w:tcPr>
            <w:cnfStyle w:val="001000000000" w:firstRow="0" w:lastRow="0" w:firstColumn="1" w:lastColumn="0" w:oddVBand="0" w:evenVBand="0" w:oddHBand="0" w:evenHBand="0" w:firstRowFirstColumn="0" w:firstRowLastColumn="0" w:lastRowFirstColumn="0" w:lastRowLastColumn="0"/>
            <w:tcW w:w="3080" w:type="dxa"/>
          </w:tcPr>
          <w:p w:rsidR="00F426D0" w:rsidRPr="00D15C87" w:rsidRDefault="00F426D0" w:rsidP="00D15C87">
            <w:pPr>
              <w:pStyle w:val="AERtabletextleft"/>
              <w:rPr>
                <w:rStyle w:val="AERbody"/>
                <w:sz w:val="16"/>
              </w:rPr>
            </w:pPr>
            <w:r w:rsidRPr="00D15C87">
              <w:rPr>
                <w:rStyle w:val="AERbody"/>
                <w:sz w:val="16"/>
              </w:rPr>
              <w:t>Risk free rate (%)</w:t>
            </w:r>
          </w:p>
        </w:tc>
        <w:tc>
          <w:tcPr>
            <w:tcW w:w="6123" w:type="dxa"/>
          </w:tcPr>
          <w:p w:rsidR="00F426D0" w:rsidRPr="00D15C87" w:rsidRDefault="00F426D0" w:rsidP="00D15C87">
            <w:pPr>
              <w:pStyle w:val="AERtabletextright"/>
              <w:cnfStyle w:val="000000000000" w:firstRow="0" w:lastRow="0" w:firstColumn="0" w:lastColumn="0" w:oddVBand="0" w:evenVBand="0" w:oddHBand="0" w:evenHBand="0" w:firstRowFirstColumn="0" w:firstRowLastColumn="0" w:lastRowFirstColumn="0" w:lastRowLastColumn="0"/>
              <w:rPr>
                <w:rStyle w:val="AERbody"/>
                <w:sz w:val="16"/>
              </w:rPr>
            </w:pPr>
            <w:r w:rsidRPr="00D15C87">
              <w:rPr>
                <w:rStyle w:val="AERbody"/>
                <w:sz w:val="16"/>
              </w:rPr>
              <w:t>4.1</w:t>
            </w:r>
          </w:p>
        </w:tc>
      </w:tr>
      <w:tr w:rsidR="00F426D0" w:rsidTr="00F426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F426D0" w:rsidRPr="00D15C87" w:rsidRDefault="00F426D0" w:rsidP="00D15C87">
            <w:pPr>
              <w:pStyle w:val="AERtabletextleft"/>
              <w:rPr>
                <w:rStyle w:val="AERbody"/>
                <w:sz w:val="16"/>
              </w:rPr>
            </w:pPr>
            <w:r w:rsidRPr="00D15C87">
              <w:rPr>
                <w:rStyle w:val="AERbody"/>
                <w:sz w:val="16"/>
              </w:rPr>
              <w:t>Market risk premium (%)</w:t>
            </w:r>
          </w:p>
        </w:tc>
        <w:tc>
          <w:tcPr>
            <w:tcW w:w="6123" w:type="dxa"/>
          </w:tcPr>
          <w:p w:rsidR="00F426D0" w:rsidRPr="00D15C87" w:rsidRDefault="00F426D0" w:rsidP="00D15C87">
            <w:pPr>
              <w:pStyle w:val="AERtabletextright"/>
              <w:cnfStyle w:val="000000010000" w:firstRow="0" w:lastRow="0" w:firstColumn="0" w:lastColumn="0" w:oddVBand="0" w:evenVBand="0" w:oddHBand="0" w:evenHBand="1" w:firstRowFirstColumn="0" w:firstRowLastColumn="0" w:lastRowFirstColumn="0" w:lastRowLastColumn="0"/>
              <w:rPr>
                <w:rStyle w:val="AERbody"/>
                <w:sz w:val="16"/>
              </w:rPr>
            </w:pPr>
            <w:r w:rsidRPr="00D15C87">
              <w:rPr>
                <w:rStyle w:val="AERbody"/>
                <w:sz w:val="16"/>
              </w:rPr>
              <w:t>6.5–8.1 (6.5)</w:t>
            </w:r>
          </w:p>
        </w:tc>
      </w:tr>
      <w:tr w:rsidR="00F426D0" w:rsidTr="00F426D0">
        <w:tc>
          <w:tcPr>
            <w:cnfStyle w:val="001000000000" w:firstRow="0" w:lastRow="0" w:firstColumn="1" w:lastColumn="0" w:oddVBand="0" w:evenVBand="0" w:oddHBand="0" w:evenHBand="0" w:firstRowFirstColumn="0" w:firstRowLastColumn="0" w:lastRowFirstColumn="0" w:lastRowLastColumn="0"/>
            <w:tcW w:w="3080" w:type="dxa"/>
          </w:tcPr>
          <w:p w:rsidR="00F426D0" w:rsidRPr="00D15C87" w:rsidRDefault="00F426D0" w:rsidP="00D15C87">
            <w:pPr>
              <w:pStyle w:val="AERtabletextleft"/>
              <w:rPr>
                <w:rStyle w:val="AERbody"/>
                <w:sz w:val="16"/>
              </w:rPr>
            </w:pPr>
            <w:r w:rsidRPr="00D15C87">
              <w:rPr>
                <w:rStyle w:val="AERbody"/>
                <w:sz w:val="16"/>
              </w:rPr>
              <w:t>Equity beta</w:t>
            </w:r>
          </w:p>
        </w:tc>
        <w:tc>
          <w:tcPr>
            <w:tcW w:w="6123" w:type="dxa"/>
          </w:tcPr>
          <w:p w:rsidR="00F426D0" w:rsidRPr="00D15C87" w:rsidRDefault="00F426D0" w:rsidP="00D15C87">
            <w:pPr>
              <w:pStyle w:val="AERtabletextright"/>
              <w:cnfStyle w:val="000000000000" w:firstRow="0" w:lastRow="0" w:firstColumn="0" w:lastColumn="0" w:oddVBand="0" w:evenVBand="0" w:oddHBand="0" w:evenHBand="0" w:firstRowFirstColumn="0" w:firstRowLastColumn="0" w:lastRowFirstColumn="0" w:lastRowLastColumn="0"/>
              <w:rPr>
                <w:rStyle w:val="AERbody"/>
                <w:sz w:val="16"/>
              </w:rPr>
            </w:pPr>
            <w:r w:rsidRPr="00D15C87">
              <w:rPr>
                <w:rStyle w:val="AERbody"/>
                <w:sz w:val="16"/>
              </w:rPr>
              <w:t>0.8–1.0 (0.9)</w:t>
            </w:r>
          </w:p>
        </w:tc>
      </w:tr>
      <w:tr w:rsidR="00F426D0" w:rsidTr="00F426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F426D0" w:rsidRPr="00D15C87" w:rsidRDefault="004E6405" w:rsidP="00D15C87">
            <w:pPr>
              <w:pStyle w:val="AERtabletextleft"/>
              <w:rPr>
                <w:rStyle w:val="AERbody"/>
                <w:sz w:val="16"/>
              </w:rPr>
            </w:pPr>
            <w:r>
              <w:rPr>
                <w:rStyle w:val="AERbody"/>
                <w:sz w:val="16"/>
              </w:rPr>
              <w:t>Return on equity</w:t>
            </w:r>
            <w:r w:rsidR="00F426D0" w:rsidRPr="00D15C87">
              <w:rPr>
                <w:rStyle w:val="AERbody"/>
                <w:sz w:val="16"/>
              </w:rPr>
              <w:t xml:space="preserve"> (%)</w:t>
            </w:r>
          </w:p>
        </w:tc>
        <w:tc>
          <w:tcPr>
            <w:tcW w:w="6123" w:type="dxa"/>
          </w:tcPr>
          <w:p w:rsidR="00F426D0" w:rsidRPr="00D15C87" w:rsidRDefault="00F426D0" w:rsidP="00D15C87">
            <w:pPr>
              <w:pStyle w:val="AERtabletextright"/>
              <w:cnfStyle w:val="000000010000" w:firstRow="0" w:lastRow="0" w:firstColumn="0" w:lastColumn="0" w:oddVBand="0" w:evenVBand="0" w:oddHBand="0" w:evenHBand="1" w:firstRowFirstColumn="0" w:firstRowLastColumn="0" w:lastRowFirstColumn="0" w:lastRowLastColumn="0"/>
              <w:rPr>
                <w:rStyle w:val="AERbody"/>
                <w:sz w:val="16"/>
              </w:rPr>
            </w:pPr>
            <w:r w:rsidRPr="00D15C87">
              <w:rPr>
                <w:rStyle w:val="AERbody"/>
                <w:sz w:val="16"/>
              </w:rPr>
              <w:t>9.4–12.2 (10.0)</w:t>
            </w:r>
          </w:p>
        </w:tc>
      </w:tr>
      <w:tr w:rsidR="00F426D0" w:rsidTr="00F426D0">
        <w:tc>
          <w:tcPr>
            <w:cnfStyle w:val="001000000000" w:firstRow="0" w:lastRow="0" w:firstColumn="1" w:lastColumn="0" w:oddVBand="0" w:evenVBand="0" w:oddHBand="0" w:evenHBand="0" w:firstRowFirstColumn="0" w:firstRowLastColumn="0" w:lastRowFirstColumn="0" w:lastRowLastColumn="0"/>
            <w:tcW w:w="3080" w:type="dxa"/>
          </w:tcPr>
          <w:p w:rsidR="00F426D0" w:rsidRPr="00D15C87" w:rsidRDefault="00F426D0" w:rsidP="00D15C87">
            <w:pPr>
              <w:pStyle w:val="AERtabletextleft"/>
              <w:rPr>
                <w:rStyle w:val="AERbody"/>
                <w:sz w:val="16"/>
              </w:rPr>
            </w:pPr>
            <w:r w:rsidRPr="00D15C87">
              <w:rPr>
                <w:rStyle w:val="AERbody"/>
                <w:sz w:val="16"/>
              </w:rPr>
              <w:t>Debt risk premium (%)</w:t>
            </w:r>
          </w:p>
        </w:tc>
        <w:tc>
          <w:tcPr>
            <w:tcW w:w="6123" w:type="dxa"/>
          </w:tcPr>
          <w:p w:rsidR="00F426D0" w:rsidRPr="00D15C87" w:rsidRDefault="00F426D0" w:rsidP="00D15C87">
            <w:pPr>
              <w:pStyle w:val="AERtabletextright"/>
              <w:cnfStyle w:val="000000000000" w:firstRow="0" w:lastRow="0" w:firstColumn="0" w:lastColumn="0" w:oddVBand="0" w:evenVBand="0" w:oddHBand="0" w:evenHBand="0" w:firstRowFirstColumn="0" w:firstRowLastColumn="0" w:lastRowFirstColumn="0" w:lastRowLastColumn="0"/>
              <w:rPr>
                <w:rStyle w:val="AERbody"/>
                <w:sz w:val="16"/>
              </w:rPr>
            </w:pPr>
            <w:r w:rsidRPr="00D15C87">
              <w:rPr>
                <w:rStyle w:val="AERbody"/>
                <w:sz w:val="16"/>
              </w:rPr>
              <w:t>3.3</w:t>
            </w:r>
          </w:p>
        </w:tc>
      </w:tr>
      <w:tr w:rsidR="00F426D0" w:rsidTr="00F426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F426D0" w:rsidRPr="00D15C87" w:rsidRDefault="004E6405" w:rsidP="00D15C87">
            <w:pPr>
              <w:pStyle w:val="AERtabletextleft"/>
              <w:rPr>
                <w:rStyle w:val="AERbody"/>
                <w:sz w:val="16"/>
              </w:rPr>
            </w:pPr>
            <w:r>
              <w:rPr>
                <w:rStyle w:val="AERbody"/>
                <w:sz w:val="16"/>
              </w:rPr>
              <w:t>Return on debt</w:t>
            </w:r>
            <w:r w:rsidR="00F426D0" w:rsidRPr="00D15C87">
              <w:rPr>
                <w:rStyle w:val="AERbody"/>
                <w:sz w:val="16"/>
              </w:rPr>
              <w:t xml:space="preserve"> (%)</w:t>
            </w:r>
          </w:p>
        </w:tc>
        <w:tc>
          <w:tcPr>
            <w:tcW w:w="6123" w:type="dxa"/>
          </w:tcPr>
          <w:p w:rsidR="00F426D0" w:rsidRPr="00D15C87" w:rsidRDefault="00F426D0" w:rsidP="00D15C87">
            <w:pPr>
              <w:pStyle w:val="AERtabletextright"/>
              <w:cnfStyle w:val="000000010000" w:firstRow="0" w:lastRow="0" w:firstColumn="0" w:lastColumn="0" w:oddVBand="0" w:evenVBand="0" w:oddHBand="0" w:evenHBand="1" w:firstRowFirstColumn="0" w:firstRowLastColumn="0" w:lastRowFirstColumn="0" w:lastRowLastColumn="0"/>
              <w:rPr>
                <w:rStyle w:val="AERbody"/>
                <w:sz w:val="16"/>
              </w:rPr>
            </w:pPr>
            <w:r w:rsidRPr="00D15C87">
              <w:rPr>
                <w:rStyle w:val="AERbody"/>
                <w:sz w:val="16"/>
              </w:rPr>
              <w:t>7.4</w:t>
            </w:r>
          </w:p>
        </w:tc>
      </w:tr>
      <w:tr w:rsidR="00F426D0" w:rsidTr="00F426D0">
        <w:tc>
          <w:tcPr>
            <w:cnfStyle w:val="001000000000" w:firstRow="0" w:lastRow="0" w:firstColumn="1" w:lastColumn="0" w:oddVBand="0" w:evenVBand="0" w:oddHBand="0" w:evenHBand="0" w:firstRowFirstColumn="0" w:firstRowLastColumn="0" w:lastRowFirstColumn="0" w:lastRowLastColumn="0"/>
            <w:tcW w:w="3080" w:type="dxa"/>
          </w:tcPr>
          <w:p w:rsidR="00F426D0" w:rsidRPr="00D15C87" w:rsidRDefault="00F426D0" w:rsidP="00D15C87">
            <w:pPr>
              <w:pStyle w:val="AERtabletextleft"/>
              <w:rPr>
                <w:rStyle w:val="AERbody"/>
                <w:sz w:val="16"/>
              </w:rPr>
            </w:pPr>
            <w:r w:rsidRPr="00D15C87">
              <w:rPr>
                <w:rStyle w:val="AERbody"/>
                <w:sz w:val="16"/>
              </w:rPr>
              <w:t>Gamma</w:t>
            </w:r>
          </w:p>
        </w:tc>
        <w:tc>
          <w:tcPr>
            <w:tcW w:w="6123" w:type="dxa"/>
          </w:tcPr>
          <w:p w:rsidR="00F426D0" w:rsidRPr="00D15C87" w:rsidRDefault="00F426D0" w:rsidP="00D15C87">
            <w:pPr>
              <w:pStyle w:val="AERtabletextright"/>
              <w:cnfStyle w:val="000000000000" w:firstRow="0" w:lastRow="0" w:firstColumn="0" w:lastColumn="0" w:oddVBand="0" w:evenVBand="0" w:oddHBand="0" w:evenHBand="0" w:firstRowFirstColumn="0" w:firstRowLastColumn="0" w:lastRowFirstColumn="0" w:lastRowLastColumn="0"/>
              <w:rPr>
                <w:rStyle w:val="AERbody"/>
                <w:sz w:val="16"/>
              </w:rPr>
            </w:pPr>
            <w:r w:rsidRPr="00D15C87">
              <w:rPr>
                <w:rStyle w:val="AERbody"/>
                <w:sz w:val="16"/>
              </w:rPr>
              <w:t>0.25</w:t>
            </w:r>
          </w:p>
        </w:tc>
      </w:tr>
      <w:tr w:rsidR="00F426D0" w:rsidRPr="00D15C87" w:rsidTr="00F426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F426D0" w:rsidRPr="00D15C87" w:rsidRDefault="00F426D0" w:rsidP="00D15C87">
            <w:pPr>
              <w:pStyle w:val="AERtabletextleft"/>
              <w:rPr>
                <w:rStyle w:val="AERtextbold"/>
              </w:rPr>
            </w:pPr>
            <w:r w:rsidRPr="00D15C87">
              <w:rPr>
                <w:rStyle w:val="AERtextbold"/>
              </w:rPr>
              <w:t>Nominal vanilla WACC (%)</w:t>
            </w:r>
          </w:p>
        </w:tc>
        <w:tc>
          <w:tcPr>
            <w:tcW w:w="6123" w:type="dxa"/>
          </w:tcPr>
          <w:p w:rsidR="00F426D0" w:rsidRPr="00D15C87" w:rsidRDefault="00F426D0" w:rsidP="00D15C87">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D15C87">
              <w:rPr>
                <w:rStyle w:val="AERtextbold"/>
              </w:rPr>
              <w:t>8.2–9.3 (8.4)</w:t>
            </w:r>
          </w:p>
        </w:tc>
      </w:tr>
    </w:tbl>
    <w:p w:rsidR="00F426D0" w:rsidRDefault="00F426D0" w:rsidP="00F426D0">
      <w:pPr>
        <w:pStyle w:val="AERtablesource"/>
        <w:rPr>
          <w:rStyle w:val="AERbody"/>
          <w:sz w:val="16"/>
        </w:rPr>
      </w:pPr>
      <w:r w:rsidRPr="00D36B56">
        <w:rPr>
          <w:rStyle w:val="AERbody"/>
          <w:sz w:val="16"/>
        </w:rPr>
        <w:t>Source:</w:t>
      </w:r>
      <w:r>
        <w:rPr>
          <w:rStyle w:val="AERbody"/>
          <w:sz w:val="16"/>
        </w:rPr>
        <w:tab/>
      </w:r>
      <w:r w:rsidR="00D91B38">
        <w:t xml:space="preserve">Transend, </w:t>
      </w:r>
      <w:r w:rsidR="00D91B38" w:rsidRPr="00791780">
        <w:rPr>
          <w:rStyle w:val="AERtextitalic"/>
        </w:rPr>
        <w:t>Transitional revenue proposal</w:t>
      </w:r>
      <w:r w:rsidR="00D91B38">
        <w:rPr>
          <w:rStyle w:val="AERtextitalic"/>
        </w:rPr>
        <w:t>, Regulatory control period 1 July 2014–30 June 2015</w:t>
      </w:r>
      <w:r w:rsidR="00D91B38">
        <w:t>, January 2014.</w:t>
      </w:r>
      <w:r>
        <w:rPr>
          <w:rStyle w:val="AERbody"/>
          <w:sz w:val="16"/>
        </w:rPr>
        <w:t xml:space="preserve"> </w:t>
      </w:r>
      <w:proofErr w:type="gramStart"/>
      <w:r>
        <w:rPr>
          <w:rStyle w:val="AERbody"/>
          <w:sz w:val="16"/>
        </w:rPr>
        <w:t xml:space="preserve">Transend, </w:t>
      </w:r>
      <w:r w:rsidRPr="00D36B56">
        <w:rPr>
          <w:rStyle w:val="AERtextitalic"/>
        </w:rPr>
        <w:t>Post-tax revenue model</w:t>
      </w:r>
      <w:r>
        <w:rPr>
          <w:rStyle w:val="AERbody"/>
          <w:sz w:val="16"/>
        </w:rPr>
        <w:t>, January 2014.</w:t>
      </w:r>
      <w:proofErr w:type="gramEnd"/>
      <w:r w:rsidRPr="00D36B56">
        <w:rPr>
          <w:rStyle w:val="AERbody"/>
          <w:sz w:val="16"/>
        </w:rPr>
        <w:t xml:space="preserve"> </w:t>
      </w:r>
    </w:p>
    <w:p w:rsidR="00F426D0" w:rsidRPr="00D36B56" w:rsidRDefault="00F426D0" w:rsidP="00F426D0">
      <w:pPr>
        <w:pStyle w:val="AERtablesource"/>
      </w:pPr>
      <w:r>
        <w:t>Note:</w:t>
      </w:r>
      <w:r>
        <w:tab/>
        <w:t xml:space="preserve">Where the </w:t>
      </w:r>
      <w:r w:rsidR="00171283">
        <w:t>TNSP</w:t>
      </w:r>
      <w:r w:rsidRPr="00D36B56">
        <w:t xml:space="preserve"> submitted a range for a parameter, the table includes the range and the final proposed value (in parentheses).</w:t>
      </w:r>
    </w:p>
    <w:p w:rsidR="006D2834" w:rsidRPr="003A72DE" w:rsidRDefault="006D2834" w:rsidP="007B4470">
      <w:pPr>
        <w:pStyle w:val="HeadingBoldBlue"/>
        <w:rPr>
          <w:rStyle w:val="AERbody"/>
          <w:color w:val="365F91" w:themeColor="accent1" w:themeShade="BF"/>
          <w:sz w:val="22"/>
        </w:rPr>
      </w:pPr>
      <w:r w:rsidRPr="003A72DE">
        <w:rPr>
          <w:rStyle w:val="AERbody"/>
          <w:color w:val="365F91" w:themeColor="accent1" w:themeShade="BF"/>
          <w:sz w:val="22"/>
        </w:rPr>
        <w:t>RAB</w:t>
      </w:r>
    </w:p>
    <w:p w:rsidR="003A72DE" w:rsidRPr="00A34D28" w:rsidRDefault="003A72DE" w:rsidP="003A72DE">
      <w:pPr>
        <w:pStyle w:val="AERbodytext"/>
        <w:rPr>
          <w:rStyle w:val="AERtextbold"/>
          <w:b w:val="0"/>
        </w:rPr>
      </w:pPr>
      <w:r w:rsidRPr="00A34D28">
        <w:rPr>
          <w:rStyle w:val="AERtextbold"/>
          <w:b w:val="0"/>
        </w:rPr>
        <w:t xml:space="preserve">The opening </w:t>
      </w:r>
      <w:r w:rsidR="00171283">
        <w:rPr>
          <w:rStyle w:val="AERtextbold"/>
          <w:b w:val="0"/>
        </w:rPr>
        <w:t>RAB</w:t>
      </w:r>
      <w:r w:rsidRPr="00A34D28">
        <w:rPr>
          <w:rStyle w:val="AERtextbold"/>
          <w:b w:val="0"/>
        </w:rPr>
        <w:t xml:space="preserve"> at 1 July 2014 is a key determinant of the allowed revenue for the </w:t>
      </w:r>
      <w:r w:rsidR="00581457">
        <w:rPr>
          <w:rStyle w:val="AERtextbold"/>
          <w:b w:val="0"/>
        </w:rPr>
        <w:t>transitional</w:t>
      </w:r>
      <w:r w:rsidRPr="00A34D28">
        <w:rPr>
          <w:rStyle w:val="AERtextbold"/>
          <w:b w:val="0"/>
        </w:rPr>
        <w:t xml:space="preserve"> regulatory control period. It directly influences the return on capital and return of capital building blocks. </w:t>
      </w:r>
      <w:r w:rsidRPr="00A34D28">
        <w:rPr>
          <w:rStyle w:val="AERtextbold"/>
          <w:b w:val="0"/>
        </w:rPr>
        <w:fldChar w:fldCharType="begin"/>
      </w:r>
      <w:r w:rsidRPr="00A34D28">
        <w:rPr>
          <w:rStyle w:val="AERtextbold"/>
          <w:b w:val="0"/>
        </w:rPr>
        <w:instrText xml:space="preserve"> REF _Ref381802270 \h </w:instrText>
      </w:r>
      <w:r>
        <w:rPr>
          <w:rStyle w:val="AERtextbold"/>
          <w:b w:val="0"/>
        </w:rPr>
        <w:instrText xml:space="preserve"> \* MERGEFORMAT </w:instrText>
      </w:r>
      <w:r w:rsidRPr="00A34D28">
        <w:rPr>
          <w:rStyle w:val="AERtextbold"/>
          <w:b w:val="0"/>
        </w:rPr>
      </w:r>
      <w:r w:rsidRPr="00A34D28">
        <w:rPr>
          <w:rStyle w:val="AERtextbold"/>
          <w:b w:val="0"/>
        </w:rPr>
        <w:fldChar w:fldCharType="separate"/>
      </w:r>
      <w:r w:rsidR="00B40E3D">
        <w:t>Table D.6</w:t>
      </w:r>
      <w:r w:rsidRPr="00A34D28">
        <w:rPr>
          <w:rStyle w:val="AERtextbold"/>
          <w:b w:val="0"/>
        </w:rPr>
        <w:fldChar w:fldCharType="end"/>
      </w:r>
      <w:r w:rsidRPr="00A34D28">
        <w:rPr>
          <w:rStyle w:val="AERtextbold"/>
          <w:b w:val="0"/>
        </w:rPr>
        <w:t xml:space="preserve"> shows </w:t>
      </w:r>
      <w:proofErr w:type="spellStart"/>
      <w:r w:rsidRPr="00A34D28">
        <w:rPr>
          <w:rStyle w:val="AERtextbold"/>
          <w:b w:val="0"/>
        </w:rPr>
        <w:t>Transend’s</w:t>
      </w:r>
      <w:proofErr w:type="spellEnd"/>
      <w:r w:rsidRPr="00A34D28">
        <w:rPr>
          <w:rStyle w:val="AERtextbold"/>
          <w:b w:val="0"/>
        </w:rPr>
        <w:t xml:space="preserve"> proposed roll forward of the RAB across the </w:t>
      </w:r>
      <w:r w:rsidR="00581457">
        <w:rPr>
          <w:rStyle w:val="AERtextbold"/>
          <w:b w:val="0"/>
        </w:rPr>
        <w:t>current</w:t>
      </w:r>
      <w:r w:rsidRPr="00A34D28">
        <w:rPr>
          <w:rStyle w:val="AERtextbold"/>
          <w:b w:val="0"/>
        </w:rPr>
        <w:t xml:space="preserve"> regulatory control period in order to derive the opening RAB.</w:t>
      </w:r>
    </w:p>
    <w:p w:rsidR="003A72DE" w:rsidRDefault="003A72DE" w:rsidP="003A72DE">
      <w:pPr>
        <w:pStyle w:val="Caption"/>
        <w:rPr>
          <w:rStyle w:val="AERtextbold"/>
          <w:b/>
        </w:rPr>
      </w:pPr>
      <w:bookmarkStart w:id="102" w:name="_Ref381802270"/>
      <w:proofErr w:type="gramStart"/>
      <w:r>
        <w:t xml:space="preserve">Table </w:t>
      </w:r>
      <w:fldSimple w:instr=" STYLEREF 7 \s ">
        <w:r w:rsidR="00B40E3D">
          <w:rPr>
            <w:noProof/>
          </w:rPr>
          <w:t>D</w:t>
        </w:r>
      </w:fldSimple>
      <w:r>
        <w:t>.</w:t>
      </w:r>
      <w:proofErr w:type="gramEnd"/>
      <w:r w:rsidR="007827B4">
        <w:fldChar w:fldCharType="begin"/>
      </w:r>
      <w:r w:rsidR="007827B4">
        <w:instrText xml:space="preserve"> SEQ Table \* ARABIC \s 7 </w:instrText>
      </w:r>
      <w:r w:rsidR="007827B4">
        <w:fldChar w:fldCharType="separate"/>
      </w:r>
      <w:r w:rsidR="00B40E3D">
        <w:rPr>
          <w:noProof/>
        </w:rPr>
        <w:t>6</w:t>
      </w:r>
      <w:r w:rsidR="007827B4">
        <w:rPr>
          <w:noProof/>
        </w:rPr>
        <w:fldChar w:fldCharType="end"/>
      </w:r>
      <w:bookmarkEnd w:id="102"/>
      <w:r>
        <w:tab/>
        <w:t xml:space="preserve">Derivation of </w:t>
      </w:r>
      <w:proofErr w:type="spellStart"/>
      <w:r>
        <w:t>Transend’s</w:t>
      </w:r>
      <w:proofErr w:type="spellEnd"/>
      <w:r>
        <w:t xml:space="preserve"> opening RAB as at 1 July 2014 ($m, nominal)</w:t>
      </w:r>
    </w:p>
    <w:tbl>
      <w:tblPr>
        <w:tblStyle w:val="AERtable-numbers"/>
        <w:tblW w:w="0" w:type="auto"/>
        <w:tblLayout w:type="fixed"/>
        <w:tblLook w:val="04A0" w:firstRow="1" w:lastRow="0" w:firstColumn="1" w:lastColumn="0" w:noHBand="0" w:noVBand="1"/>
      </w:tblPr>
      <w:tblGrid>
        <w:gridCol w:w="2943"/>
        <w:gridCol w:w="1259"/>
        <w:gridCol w:w="1260"/>
        <w:gridCol w:w="1260"/>
        <w:gridCol w:w="1260"/>
        <w:gridCol w:w="1260"/>
      </w:tblGrid>
      <w:tr w:rsidR="003A72DE" w:rsidTr="003A72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3A72DE" w:rsidRPr="00914BF8" w:rsidRDefault="003A72DE" w:rsidP="003A72DE">
            <w:pPr>
              <w:pStyle w:val="AERtabletextleft"/>
            </w:pPr>
            <w:r w:rsidRPr="00914BF8">
              <w:t xml:space="preserve">RAB </w:t>
            </w:r>
          </w:p>
        </w:tc>
        <w:tc>
          <w:tcPr>
            <w:tcW w:w="1259" w:type="dxa"/>
          </w:tcPr>
          <w:p w:rsidR="003A72DE" w:rsidRPr="00914BF8" w:rsidRDefault="005D5323" w:rsidP="003A72DE">
            <w:pPr>
              <w:pStyle w:val="AERtabletextleft"/>
              <w:cnfStyle w:val="100000000000" w:firstRow="1" w:lastRow="0" w:firstColumn="0" w:lastColumn="0" w:oddVBand="0" w:evenVBand="0" w:oddHBand="0" w:evenHBand="0" w:firstRowFirstColumn="0" w:firstRowLastColumn="0" w:lastRowFirstColumn="0" w:lastRowLastColumn="0"/>
            </w:pPr>
            <w:r>
              <w:t>2009–10</w:t>
            </w:r>
          </w:p>
        </w:tc>
        <w:tc>
          <w:tcPr>
            <w:tcW w:w="1260" w:type="dxa"/>
          </w:tcPr>
          <w:p w:rsidR="003A72DE" w:rsidRPr="00914BF8" w:rsidRDefault="005D5323" w:rsidP="007B4470">
            <w:pPr>
              <w:pStyle w:val="AERtabletextleft"/>
              <w:spacing w:line="240" w:lineRule="auto"/>
              <w:cnfStyle w:val="100000000000" w:firstRow="1" w:lastRow="0" w:firstColumn="0" w:lastColumn="0" w:oddVBand="0" w:evenVBand="0" w:oddHBand="0" w:evenHBand="0" w:firstRowFirstColumn="0" w:firstRowLastColumn="0" w:lastRowFirstColumn="0" w:lastRowLastColumn="0"/>
              <w:rPr>
                <w:b w:val="0"/>
                <w:color w:val="auto"/>
              </w:rPr>
            </w:pPr>
            <w:r>
              <w:t>2010–11</w:t>
            </w:r>
          </w:p>
        </w:tc>
        <w:tc>
          <w:tcPr>
            <w:tcW w:w="1260" w:type="dxa"/>
          </w:tcPr>
          <w:p w:rsidR="003A72DE" w:rsidRPr="00914BF8" w:rsidRDefault="005D5323" w:rsidP="003A72DE">
            <w:pPr>
              <w:pStyle w:val="AERtabletextleft"/>
              <w:cnfStyle w:val="100000000000" w:firstRow="1" w:lastRow="0" w:firstColumn="0" w:lastColumn="0" w:oddVBand="0" w:evenVBand="0" w:oddHBand="0" w:evenHBand="0" w:firstRowFirstColumn="0" w:firstRowLastColumn="0" w:lastRowFirstColumn="0" w:lastRowLastColumn="0"/>
            </w:pPr>
            <w:r>
              <w:t>2011–12</w:t>
            </w:r>
          </w:p>
        </w:tc>
        <w:tc>
          <w:tcPr>
            <w:tcW w:w="1260" w:type="dxa"/>
          </w:tcPr>
          <w:p w:rsidR="003A72DE" w:rsidRPr="00914BF8" w:rsidRDefault="005D5323" w:rsidP="003A72DE">
            <w:pPr>
              <w:pStyle w:val="AERtabletextleft"/>
              <w:cnfStyle w:val="100000000000" w:firstRow="1" w:lastRow="0" w:firstColumn="0" w:lastColumn="0" w:oddVBand="0" w:evenVBand="0" w:oddHBand="0" w:evenHBand="0" w:firstRowFirstColumn="0" w:firstRowLastColumn="0" w:lastRowFirstColumn="0" w:lastRowLastColumn="0"/>
            </w:pPr>
            <w:r>
              <w:t>2012–13</w:t>
            </w:r>
          </w:p>
        </w:tc>
        <w:tc>
          <w:tcPr>
            <w:tcW w:w="1260" w:type="dxa"/>
          </w:tcPr>
          <w:p w:rsidR="003A72DE" w:rsidRPr="00914BF8" w:rsidRDefault="005D5323" w:rsidP="007B4470">
            <w:pPr>
              <w:pStyle w:val="AERtabletextleft"/>
              <w:spacing w:line="240" w:lineRule="auto"/>
              <w:cnfStyle w:val="100000000000" w:firstRow="1" w:lastRow="0" w:firstColumn="0" w:lastColumn="0" w:oddVBand="0" w:evenVBand="0" w:oddHBand="0" w:evenHBand="0" w:firstRowFirstColumn="0" w:firstRowLastColumn="0" w:lastRowFirstColumn="0" w:lastRowLastColumn="0"/>
              <w:rPr>
                <w:b w:val="0"/>
                <w:color w:val="auto"/>
              </w:rPr>
            </w:pPr>
            <w:r>
              <w:t>2013–14</w:t>
            </w:r>
          </w:p>
        </w:tc>
      </w:tr>
      <w:tr w:rsidR="003A72DE" w:rsidTr="003A72DE">
        <w:tc>
          <w:tcPr>
            <w:cnfStyle w:val="001000000000" w:firstRow="0" w:lastRow="0" w:firstColumn="1" w:lastColumn="0" w:oddVBand="0" w:evenVBand="0" w:oddHBand="0" w:evenHBand="0" w:firstRowFirstColumn="0" w:firstRowLastColumn="0" w:lastRowFirstColumn="0" w:lastRowLastColumn="0"/>
            <w:tcW w:w="2943" w:type="dxa"/>
            <w:vAlign w:val="top"/>
          </w:tcPr>
          <w:p w:rsidR="003A72DE" w:rsidRDefault="003A72DE" w:rsidP="003A72DE">
            <w:pPr>
              <w:pStyle w:val="Default"/>
              <w:rPr>
                <w:sz w:val="16"/>
                <w:szCs w:val="16"/>
              </w:rPr>
            </w:pPr>
            <w:r>
              <w:rPr>
                <w:sz w:val="16"/>
                <w:szCs w:val="16"/>
              </w:rPr>
              <w:t xml:space="preserve">Opening RAB </w:t>
            </w:r>
          </w:p>
        </w:tc>
        <w:tc>
          <w:tcPr>
            <w:tcW w:w="1259" w:type="dxa"/>
            <w:vAlign w:val="top"/>
          </w:tcPr>
          <w:p w:rsidR="003A72DE" w:rsidRDefault="003A72DE" w:rsidP="00551E19">
            <w:pPr>
              <w:pStyle w:val="Defaul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951</w:t>
            </w:r>
          </w:p>
        </w:tc>
        <w:tc>
          <w:tcPr>
            <w:tcW w:w="1260" w:type="dxa"/>
            <w:vAlign w:val="top"/>
          </w:tcPr>
          <w:p w:rsidR="003A72DE" w:rsidRDefault="003A72DE" w:rsidP="00551E19">
            <w:pPr>
              <w:pStyle w:val="Defaul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1,06</w:t>
            </w:r>
            <w:r w:rsidR="00551E19">
              <w:rPr>
                <w:sz w:val="16"/>
                <w:szCs w:val="16"/>
              </w:rPr>
              <w:t>9</w:t>
            </w:r>
            <w:r>
              <w:rPr>
                <w:sz w:val="16"/>
                <w:szCs w:val="16"/>
              </w:rPr>
              <w:t xml:space="preserve"> </w:t>
            </w:r>
          </w:p>
        </w:tc>
        <w:tc>
          <w:tcPr>
            <w:tcW w:w="1260" w:type="dxa"/>
            <w:vAlign w:val="top"/>
          </w:tcPr>
          <w:p w:rsidR="003A72DE" w:rsidRDefault="003A72DE" w:rsidP="00551E19">
            <w:pPr>
              <w:pStyle w:val="Defaul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1,17</w:t>
            </w:r>
            <w:r w:rsidR="00551E19">
              <w:rPr>
                <w:sz w:val="16"/>
                <w:szCs w:val="16"/>
              </w:rPr>
              <w:t>1</w:t>
            </w:r>
          </w:p>
        </w:tc>
        <w:tc>
          <w:tcPr>
            <w:tcW w:w="1260" w:type="dxa"/>
            <w:vAlign w:val="top"/>
          </w:tcPr>
          <w:p w:rsidR="003A72DE" w:rsidRDefault="003A72DE" w:rsidP="00551E19">
            <w:pPr>
              <w:pStyle w:val="Defaul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1,271</w:t>
            </w:r>
          </w:p>
        </w:tc>
        <w:tc>
          <w:tcPr>
            <w:tcW w:w="1260" w:type="dxa"/>
            <w:vAlign w:val="top"/>
          </w:tcPr>
          <w:p w:rsidR="003A72DE" w:rsidRDefault="003A72DE" w:rsidP="00551E19">
            <w:pPr>
              <w:pStyle w:val="Defaul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1,33</w:t>
            </w:r>
            <w:r w:rsidR="00551E19">
              <w:rPr>
                <w:sz w:val="16"/>
                <w:szCs w:val="16"/>
              </w:rPr>
              <w:t>6</w:t>
            </w:r>
          </w:p>
        </w:tc>
      </w:tr>
      <w:tr w:rsidR="003A72DE" w:rsidTr="003A72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top"/>
          </w:tcPr>
          <w:p w:rsidR="003A72DE" w:rsidRDefault="003A72DE" w:rsidP="003A72DE">
            <w:pPr>
              <w:pStyle w:val="Default"/>
              <w:rPr>
                <w:sz w:val="16"/>
                <w:szCs w:val="16"/>
              </w:rPr>
            </w:pPr>
            <w:r>
              <w:rPr>
                <w:sz w:val="16"/>
                <w:szCs w:val="16"/>
              </w:rPr>
              <w:t xml:space="preserve">Net capital expenditure as incurred </w:t>
            </w:r>
          </w:p>
        </w:tc>
        <w:tc>
          <w:tcPr>
            <w:tcW w:w="1259" w:type="dxa"/>
            <w:vAlign w:val="top"/>
          </w:tcPr>
          <w:p w:rsidR="003A72DE" w:rsidRDefault="003A72DE" w:rsidP="00551E19">
            <w:pPr>
              <w:pStyle w:val="Defaul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w:t>
            </w:r>
            <w:r w:rsidR="00551E19">
              <w:rPr>
                <w:sz w:val="16"/>
                <w:szCs w:val="16"/>
              </w:rPr>
              <w:t>40</w:t>
            </w:r>
            <w:r>
              <w:rPr>
                <w:sz w:val="16"/>
                <w:szCs w:val="16"/>
              </w:rPr>
              <w:t xml:space="preserve"> </w:t>
            </w:r>
          </w:p>
        </w:tc>
        <w:tc>
          <w:tcPr>
            <w:tcW w:w="1260" w:type="dxa"/>
            <w:vAlign w:val="top"/>
          </w:tcPr>
          <w:p w:rsidR="003A72DE" w:rsidRDefault="003A72DE" w:rsidP="00551E19">
            <w:pPr>
              <w:pStyle w:val="Defaul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121</w:t>
            </w:r>
          </w:p>
        </w:tc>
        <w:tc>
          <w:tcPr>
            <w:tcW w:w="1260" w:type="dxa"/>
            <w:vAlign w:val="top"/>
          </w:tcPr>
          <w:p w:rsidR="003A72DE" w:rsidRDefault="003A72DE" w:rsidP="00551E19">
            <w:pPr>
              <w:pStyle w:val="Defaul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131</w:t>
            </w:r>
          </w:p>
        </w:tc>
        <w:tc>
          <w:tcPr>
            <w:tcW w:w="1260" w:type="dxa"/>
            <w:vAlign w:val="top"/>
          </w:tcPr>
          <w:p w:rsidR="003A72DE" w:rsidRDefault="003A72DE" w:rsidP="00551E19">
            <w:pPr>
              <w:pStyle w:val="Defaul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89</w:t>
            </w:r>
          </w:p>
        </w:tc>
        <w:tc>
          <w:tcPr>
            <w:tcW w:w="1260" w:type="dxa"/>
            <w:vAlign w:val="top"/>
          </w:tcPr>
          <w:p w:rsidR="003A72DE" w:rsidRDefault="003A72DE" w:rsidP="00551E19">
            <w:pPr>
              <w:pStyle w:val="Defaul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91</w:t>
            </w:r>
          </w:p>
        </w:tc>
      </w:tr>
      <w:tr w:rsidR="003A72DE" w:rsidTr="003A72DE">
        <w:tc>
          <w:tcPr>
            <w:cnfStyle w:val="001000000000" w:firstRow="0" w:lastRow="0" w:firstColumn="1" w:lastColumn="0" w:oddVBand="0" w:evenVBand="0" w:oddHBand="0" w:evenHBand="0" w:firstRowFirstColumn="0" w:firstRowLastColumn="0" w:lastRowFirstColumn="0" w:lastRowLastColumn="0"/>
            <w:tcW w:w="2943" w:type="dxa"/>
            <w:vAlign w:val="top"/>
          </w:tcPr>
          <w:p w:rsidR="003A72DE" w:rsidRDefault="003A72DE" w:rsidP="003A72DE">
            <w:pPr>
              <w:pStyle w:val="Default"/>
              <w:rPr>
                <w:sz w:val="16"/>
                <w:szCs w:val="16"/>
              </w:rPr>
            </w:pPr>
            <w:r>
              <w:rPr>
                <w:sz w:val="16"/>
                <w:szCs w:val="16"/>
              </w:rPr>
              <w:t xml:space="preserve">Inflation on opening RAB </w:t>
            </w:r>
          </w:p>
        </w:tc>
        <w:tc>
          <w:tcPr>
            <w:tcW w:w="1259" w:type="dxa"/>
            <w:vAlign w:val="top"/>
          </w:tcPr>
          <w:p w:rsidR="003A72DE" w:rsidRDefault="003A72DE" w:rsidP="00551E19">
            <w:pPr>
              <w:pStyle w:val="Defaul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r w:rsidR="00551E19">
              <w:rPr>
                <w:sz w:val="16"/>
                <w:szCs w:val="16"/>
              </w:rPr>
              <w:t>8</w:t>
            </w:r>
            <w:r>
              <w:rPr>
                <w:sz w:val="16"/>
                <w:szCs w:val="16"/>
              </w:rPr>
              <w:t xml:space="preserve"> </w:t>
            </w:r>
          </w:p>
        </w:tc>
        <w:tc>
          <w:tcPr>
            <w:tcW w:w="1260" w:type="dxa"/>
            <w:vAlign w:val="top"/>
          </w:tcPr>
          <w:p w:rsidR="003A72DE" w:rsidRDefault="003A72DE" w:rsidP="00551E19">
            <w:pPr>
              <w:pStyle w:val="Defaul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w:t>
            </w:r>
            <w:r w:rsidR="00551E19">
              <w:rPr>
                <w:sz w:val="16"/>
                <w:szCs w:val="16"/>
              </w:rPr>
              <w:t>6</w:t>
            </w:r>
            <w:r>
              <w:rPr>
                <w:sz w:val="16"/>
                <w:szCs w:val="16"/>
              </w:rPr>
              <w:t xml:space="preserve"> </w:t>
            </w:r>
          </w:p>
        </w:tc>
        <w:tc>
          <w:tcPr>
            <w:tcW w:w="1260" w:type="dxa"/>
            <w:vAlign w:val="top"/>
          </w:tcPr>
          <w:p w:rsidR="003A72DE" w:rsidRDefault="003A72DE" w:rsidP="00551E19">
            <w:pPr>
              <w:pStyle w:val="Defaul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w:t>
            </w:r>
            <w:r w:rsidR="00551E19">
              <w:rPr>
                <w:sz w:val="16"/>
                <w:szCs w:val="16"/>
              </w:rPr>
              <w:t>9</w:t>
            </w:r>
            <w:r>
              <w:rPr>
                <w:sz w:val="16"/>
                <w:szCs w:val="16"/>
              </w:rPr>
              <w:t xml:space="preserve"> </w:t>
            </w:r>
          </w:p>
        </w:tc>
        <w:tc>
          <w:tcPr>
            <w:tcW w:w="1260" w:type="dxa"/>
            <w:vAlign w:val="top"/>
          </w:tcPr>
          <w:p w:rsidR="003A72DE" w:rsidRDefault="003A72DE" w:rsidP="00551E19">
            <w:pPr>
              <w:pStyle w:val="Defaul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w:t>
            </w:r>
            <w:r w:rsidR="00551E19">
              <w:rPr>
                <w:sz w:val="16"/>
                <w:szCs w:val="16"/>
              </w:rPr>
              <w:t>2</w:t>
            </w:r>
          </w:p>
        </w:tc>
        <w:tc>
          <w:tcPr>
            <w:tcW w:w="1260" w:type="dxa"/>
            <w:vAlign w:val="top"/>
          </w:tcPr>
          <w:p w:rsidR="003A72DE" w:rsidRDefault="003A72DE" w:rsidP="00551E19">
            <w:pPr>
              <w:pStyle w:val="Defaul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33</w:t>
            </w:r>
          </w:p>
        </w:tc>
      </w:tr>
      <w:tr w:rsidR="003A72DE" w:rsidTr="003A72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vAlign w:val="top"/>
          </w:tcPr>
          <w:p w:rsidR="003A72DE" w:rsidRDefault="003A72DE" w:rsidP="003A72DE">
            <w:pPr>
              <w:pStyle w:val="Default"/>
              <w:rPr>
                <w:sz w:val="16"/>
                <w:szCs w:val="16"/>
              </w:rPr>
            </w:pPr>
            <w:r>
              <w:rPr>
                <w:sz w:val="16"/>
                <w:szCs w:val="16"/>
              </w:rPr>
              <w:t xml:space="preserve">Straight-line depreciation </w:t>
            </w:r>
          </w:p>
        </w:tc>
        <w:tc>
          <w:tcPr>
            <w:tcW w:w="1259" w:type="dxa"/>
            <w:vAlign w:val="top"/>
          </w:tcPr>
          <w:p w:rsidR="003A72DE" w:rsidRDefault="003A72DE" w:rsidP="00551E19">
            <w:pPr>
              <w:pStyle w:val="Defaul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w:t>
            </w:r>
            <w:r w:rsidR="00551E19">
              <w:rPr>
                <w:sz w:val="16"/>
                <w:szCs w:val="16"/>
              </w:rPr>
              <w:t>50</w:t>
            </w:r>
            <w:r>
              <w:rPr>
                <w:sz w:val="16"/>
                <w:szCs w:val="16"/>
              </w:rPr>
              <w:t xml:space="preserve"> </w:t>
            </w:r>
          </w:p>
        </w:tc>
        <w:tc>
          <w:tcPr>
            <w:tcW w:w="1260" w:type="dxa"/>
            <w:vAlign w:val="top"/>
          </w:tcPr>
          <w:p w:rsidR="003A72DE" w:rsidRDefault="003A72DE" w:rsidP="00551E19">
            <w:pPr>
              <w:pStyle w:val="Defaul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-54</w:t>
            </w:r>
          </w:p>
        </w:tc>
        <w:tc>
          <w:tcPr>
            <w:tcW w:w="1260" w:type="dxa"/>
            <w:vAlign w:val="top"/>
          </w:tcPr>
          <w:p w:rsidR="003A72DE" w:rsidRDefault="003A72DE" w:rsidP="00551E19">
            <w:pPr>
              <w:pStyle w:val="Defaul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w:t>
            </w:r>
            <w:r w:rsidR="00551E19">
              <w:rPr>
                <w:sz w:val="16"/>
                <w:szCs w:val="16"/>
              </w:rPr>
              <w:t>50</w:t>
            </w:r>
          </w:p>
        </w:tc>
        <w:tc>
          <w:tcPr>
            <w:tcW w:w="1260" w:type="dxa"/>
            <w:vAlign w:val="top"/>
          </w:tcPr>
          <w:p w:rsidR="003A72DE" w:rsidRDefault="003A72DE" w:rsidP="00551E19">
            <w:pPr>
              <w:pStyle w:val="Defaul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-56</w:t>
            </w:r>
          </w:p>
        </w:tc>
        <w:tc>
          <w:tcPr>
            <w:tcW w:w="1260" w:type="dxa"/>
            <w:vAlign w:val="top"/>
          </w:tcPr>
          <w:p w:rsidR="003A72DE" w:rsidRDefault="003A72DE" w:rsidP="00551E19">
            <w:pPr>
              <w:pStyle w:val="Defaul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-62</w:t>
            </w:r>
          </w:p>
        </w:tc>
      </w:tr>
      <w:tr w:rsidR="003A72DE" w:rsidTr="003A72DE">
        <w:tc>
          <w:tcPr>
            <w:cnfStyle w:val="001000000000" w:firstRow="0" w:lastRow="0" w:firstColumn="1" w:lastColumn="0" w:oddVBand="0" w:evenVBand="0" w:oddHBand="0" w:evenHBand="0" w:firstRowFirstColumn="0" w:firstRowLastColumn="0" w:lastRowFirstColumn="0" w:lastRowLastColumn="0"/>
            <w:tcW w:w="2943" w:type="dxa"/>
            <w:vAlign w:val="top"/>
          </w:tcPr>
          <w:p w:rsidR="003A72DE" w:rsidRPr="00504C32" w:rsidRDefault="003A72DE" w:rsidP="003A72DE">
            <w:pPr>
              <w:pStyle w:val="Default"/>
              <w:rPr>
                <w:b/>
                <w:sz w:val="16"/>
                <w:szCs w:val="16"/>
              </w:rPr>
            </w:pPr>
            <w:r w:rsidRPr="00504C32">
              <w:rPr>
                <w:b/>
                <w:sz w:val="16"/>
                <w:szCs w:val="16"/>
              </w:rPr>
              <w:t xml:space="preserve">Closing RAB </w:t>
            </w:r>
          </w:p>
        </w:tc>
        <w:tc>
          <w:tcPr>
            <w:tcW w:w="1259" w:type="dxa"/>
            <w:vAlign w:val="top"/>
          </w:tcPr>
          <w:p w:rsidR="003A72DE" w:rsidRPr="00504C32" w:rsidRDefault="003A72DE" w:rsidP="00551E19">
            <w:pPr>
              <w:pStyle w:val="Default"/>
              <w:cnfStyle w:val="000000000000" w:firstRow="0" w:lastRow="0" w:firstColumn="0" w:lastColumn="0" w:oddVBand="0" w:evenVBand="0" w:oddHBand="0" w:evenHBand="0" w:firstRowFirstColumn="0" w:firstRowLastColumn="0" w:lastRowFirstColumn="0" w:lastRowLastColumn="0"/>
              <w:rPr>
                <w:b/>
                <w:sz w:val="16"/>
                <w:szCs w:val="16"/>
              </w:rPr>
            </w:pPr>
            <w:r w:rsidRPr="00504C32">
              <w:rPr>
                <w:b/>
                <w:sz w:val="16"/>
                <w:szCs w:val="16"/>
              </w:rPr>
              <w:t>106</w:t>
            </w:r>
            <w:r w:rsidR="00551E19">
              <w:rPr>
                <w:b/>
                <w:sz w:val="16"/>
                <w:szCs w:val="16"/>
              </w:rPr>
              <w:t>9</w:t>
            </w:r>
            <w:r w:rsidRPr="00504C32">
              <w:rPr>
                <w:b/>
                <w:sz w:val="16"/>
                <w:szCs w:val="16"/>
              </w:rPr>
              <w:t xml:space="preserve"> </w:t>
            </w:r>
          </w:p>
        </w:tc>
        <w:tc>
          <w:tcPr>
            <w:tcW w:w="1260" w:type="dxa"/>
            <w:vAlign w:val="top"/>
          </w:tcPr>
          <w:p w:rsidR="003A72DE" w:rsidRPr="00504C32" w:rsidRDefault="003A72DE" w:rsidP="00551E19">
            <w:pPr>
              <w:pStyle w:val="Default"/>
              <w:cnfStyle w:val="000000000000" w:firstRow="0" w:lastRow="0" w:firstColumn="0" w:lastColumn="0" w:oddVBand="0" w:evenVBand="0" w:oddHBand="0" w:evenHBand="0" w:firstRowFirstColumn="0" w:firstRowLastColumn="0" w:lastRowFirstColumn="0" w:lastRowLastColumn="0"/>
              <w:rPr>
                <w:b/>
                <w:sz w:val="16"/>
                <w:szCs w:val="16"/>
              </w:rPr>
            </w:pPr>
            <w:r w:rsidRPr="00504C32">
              <w:rPr>
                <w:b/>
                <w:sz w:val="16"/>
                <w:szCs w:val="16"/>
              </w:rPr>
              <w:t>117</w:t>
            </w:r>
            <w:r w:rsidR="00551E19">
              <w:rPr>
                <w:b/>
                <w:sz w:val="16"/>
                <w:szCs w:val="16"/>
              </w:rPr>
              <w:t>1</w:t>
            </w:r>
            <w:r w:rsidRPr="00504C32">
              <w:rPr>
                <w:b/>
                <w:sz w:val="16"/>
                <w:szCs w:val="16"/>
              </w:rPr>
              <w:t xml:space="preserve"> </w:t>
            </w:r>
          </w:p>
        </w:tc>
        <w:tc>
          <w:tcPr>
            <w:tcW w:w="1260" w:type="dxa"/>
            <w:vAlign w:val="top"/>
          </w:tcPr>
          <w:p w:rsidR="003A72DE" w:rsidRPr="00504C32" w:rsidRDefault="003A72DE" w:rsidP="00551E19">
            <w:pPr>
              <w:pStyle w:val="Default"/>
              <w:cnfStyle w:val="000000000000" w:firstRow="0" w:lastRow="0" w:firstColumn="0" w:lastColumn="0" w:oddVBand="0" w:evenVBand="0" w:oddHBand="0" w:evenHBand="0" w:firstRowFirstColumn="0" w:firstRowLastColumn="0" w:lastRowFirstColumn="0" w:lastRowLastColumn="0"/>
              <w:rPr>
                <w:b/>
                <w:sz w:val="16"/>
                <w:szCs w:val="16"/>
              </w:rPr>
            </w:pPr>
            <w:r w:rsidRPr="00504C32">
              <w:rPr>
                <w:b/>
                <w:sz w:val="16"/>
                <w:szCs w:val="16"/>
              </w:rPr>
              <w:t>1271</w:t>
            </w:r>
          </w:p>
        </w:tc>
        <w:tc>
          <w:tcPr>
            <w:tcW w:w="1260" w:type="dxa"/>
            <w:vAlign w:val="top"/>
          </w:tcPr>
          <w:p w:rsidR="003A72DE" w:rsidRPr="00504C32" w:rsidRDefault="003A72DE" w:rsidP="00551E19">
            <w:pPr>
              <w:pStyle w:val="Default"/>
              <w:cnfStyle w:val="000000000000" w:firstRow="0" w:lastRow="0" w:firstColumn="0" w:lastColumn="0" w:oddVBand="0" w:evenVBand="0" w:oddHBand="0" w:evenHBand="0" w:firstRowFirstColumn="0" w:firstRowLastColumn="0" w:lastRowFirstColumn="0" w:lastRowLastColumn="0"/>
              <w:rPr>
                <w:b/>
                <w:sz w:val="16"/>
                <w:szCs w:val="16"/>
              </w:rPr>
            </w:pPr>
            <w:r w:rsidRPr="00504C32">
              <w:rPr>
                <w:b/>
                <w:sz w:val="16"/>
                <w:szCs w:val="16"/>
              </w:rPr>
              <w:t>133</w:t>
            </w:r>
            <w:r w:rsidR="00551E19">
              <w:rPr>
                <w:b/>
                <w:sz w:val="16"/>
                <w:szCs w:val="16"/>
              </w:rPr>
              <w:t>6</w:t>
            </w:r>
            <w:r w:rsidRPr="00504C32">
              <w:rPr>
                <w:b/>
                <w:sz w:val="16"/>
                <w:szCs w:val="16"/>
              </w:rPr>
              <w:t xml:space="preserve"> </w:t>
            </w:r>
          </w:p>
        </w:tc>
        <w:tc>
          <w:tcPr>
            <w:tcW w:w="1260" w:type="dxa"/>
            <w:vAlign w:val="top"/>
          </w:tcPr>
          <w:p w:rsidR="003A72DE" w:rsidRPr="00504C32" w:rsidRDefault="003A72DE" w:rsidP="00551E19">
            <w:pPr>
              <w:pStyle w:val="Default"/>
              <w:cnfStyle w:val="000000000000" w:firstRow="0" w:lastRow="0" w:firstColumn="0" w:lastColumn="0" w:oddVBand="0" w:evenVBand="0" w:oddHBand="0" w:evenHBand="0" w:firstRowFirstColumn="0" w:firstRowLastColumn="0" w:lastRowFirstColumn="0" w:lastRowLastColumn="0"/>
              <w:rPr>
                <w:b/>
                <w:sz w:val="16"/>
                <w:szCs w:val="16"/>
              </w:rPr>
            </w:pPr>
            <w:r w:rsidRPr="00504C32">
              <w:rPr>
                <w:b/>
                <w:sz w:val="16"/>
                <w:szCs w:val="16"/>
              </w:rPr>
              <w:t>139</w:t>
            </w:r>
            <w:r w:rsidR="00551E19">
              <w:rPr>
                <w:b/>
                <w:sz w:val="16"/>
                <w:szCs w:val="16"/>
              </w:rPr>
              <w:t>8</w:t>
            </w:r>
            <w:r w:rsidRPr="00504C32">
              <w:rPr>
                <w:b/>
                <w:sz w:val="16"/>
                <w:szCs w:val="16"/>
              </w:rPr>
              <w:t xml:space="preserve"> </w:t>
            </w:r>
          </w:p>
        </w:tc>
      </w:tr>
      <w:tr w:rsidR="003A72DE" w:rsidTr="003A72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3A72DE" w:rsidRPr="00504C32" w:rsidRDefault="003A72DE" w:rsidP="003A72DE">
            <w:pPr>
              <w:pStyle w:val="AERtabletextleft"/>
            </w:pPr>
            <w:r w:rsidRPr="00504C32">
              <w:t>Net adjustments from 2008–09</w:t>
            </w:r>
          </w:p>
        </w:tc>
        <w:tc>
          <w:tcPr>
            <w:tcW w:w="1259" w:type="dxa"/>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rPr>
                <w:b/>
              </w:rPr>
            </w:pPr>
          </w:p>
        </w:tc>
        <w:tc>
          <w:tcPr>
            <w:tcW w:w="1260" w:type="dxa"/>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rPr>
                <w:b/>
              </w:rPr>
            </w:pPr>
          </w:p>
        </w:tc>
        <w:tc>
          <w:tcPr>
            <w:tcW w:w="1260" w:type="dxa"/>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rPr>
                <w:b/>
              </w:rPr>
            </w:pPr>
          </w:p>
        </w:tc>
        <w:tc>
          <w:tcPr>
            <w:tcW w:w="1260" w:type="dxa"/>
          </w:tcPr>
          <w:p w:rsidR="003A72DE" w:rsidRPr="00914BF8" w:rsidRDefault="003A72DE" w:rsidP="003A72DE">
            <w:pPr>
              <w:pStyle w:val="AERtabletextleft"/>
              <w:cnfStyle w:val="000000010000" w:firstRow="0" w:lastRow="0" w:firstColumn="0" w:lastColumn="0" w:oddVBand="0" w:evenVBand="0" w:oddHBand="0" w:evenHBand="1" w:firstRowFirstColumn="0" w:firstRowLastColumn="0" w:lastRowFirstColumn="0" w:lastRowLastColumn="0"/>
              <w:rPr>
                <w:b/>
              </w:rPr>
            </w:pPr>
          </w:p>
        </w:tc>
        <w:tc>
          <w:tcPr>
            <w:tcW w:w="1260" w:type="dxa"/>
          </w:tcPr>
          <w:p w:rsidR="003A72DE" w:rsidRPr="00504C32" w:rsidRDefault="003A72DE" w:rsidP="00551E19">
            <w:pPr>
              <w:pStyle w:val="AERtabletextleft"/>
              <w:cnfStyle w:val="000000010000" w:firstRow="0" w:lastRow="0" w:firstColumn="0" w:lastColumn="0" w:oddVBand="0" w:evenVBand="0" w:oddHBand="0" w:evenHBand="1" w:firstRowFirstColumn="0" w:firstRowLastColumn="0" w:lastRowFirstColumn="0" w:lastRowLastColumn="0"/>
            </w:pPr>
            <w:r w:rsidRPr="00504C32">
              <w:t>1</w:t>
            </w:r>
            <w:r w:rsidR="00551E19">
              <w:t>9</w:t>
            </w:r>
          </w:p>
        </w:tc>
      </w:tr>
      <w:tr w:rsidR="003A72DE" w:rsidTr="003A72DE">
        <w:tc>
          <w:tcPr>
            <w:cnfStyle w:val="001000000000" w:firstRow="0" w:lastRow="0" w:firstColumn="1" w:lastColumn="0" w:oddVBand="0" w:evenVBand="0" w:oddHBand="0" w:evenHBand="0" w:firstRowFirstColumn="0" w:firstRowLastColumn="0" w:lastRowFirstColumn="0" w:lastRowLastColumn="0"/>
            <w:tcW w:w="2943" w:type="dxa"/>
          </w:tcPr>
          <w:p w:rsidR="003A72DE" w:rsidRDefault="003A72DE" w:rsidP="003A72DE">
            <w:pPr>
              <w:pStyle w:val="AERtabletextleft"/>
              <w:rPr>
                <w:b/>
              </w:rPr>
            </w:pPr>
            <w:r>
              <w:rPr>
                <w:b/>
              </w:rPr>
              <w:t>Opening RAB as at 1 July 2014</w:t>
            </w:r>
          </w:p>
        </w:tc>
        <w:tc>
          <w:tcPr>
            <w:tcW w:w="1259" w:type="dxa"/>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p>
        </w:tc>
        <w:tc>
          <w:tcPr>
            <w:tcW w:w="1260" w:type="dxa"/>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p>
        </w:tc>
        <w:tc>
          <w:tcPr>
            <w:tcW w:w="1260" w:type="dxa"/>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p>
        </w:tc>
        <w:tc>
          <w:tcPr>
            <w:tcW w:w="1260" w:type="dxa"/>
          </w:tcPr>
          <w:p w:rsidR="003A72DE" w:rsidRPr="00914BF8" w:rsidRDefault="003A72DE" w:rsidP="003A72DE">
            <w:pPr>
              <w:pStyle w:val="AERtabletextleft"/>
              <w:cnfStyle w:val="000000000000" w:firstRow="0" w:lastRow="0" w:firstColumn="0" w:lastColumn="0" w:oddVBand="0" w:evenVBand="0" w:oddHBand="0" w:evenHBand="0" w:firstRowFirstColumn="0" w:firstRowLastColumn="0" w:lastRowFirstColumn="0" w:lastRowLastColumn="0"/>
              <w:rPr>
                <w:b/>
              </w:rPr>
            </w:pPr>
          </w:p>
        </w:tc>
        <w:tc>
          <w:tcPr>
            <w:tcW w:w="1260" w:type="dxa"/>
          </w:tcPr>
          <w:p w:rsidR="003A72DE" w:rsidRPr="00914BF8" w:rsidRDefault="003A72DE" w:rsidP="00551E19">
            <w:pPr>
              <w:pStyle w:val="AERtabletextleft"/>
              <w:cnfStyle w:val="000000000000" w:firstRow="0" w:lastRow="0" w:firstColumn="0" w:lastColumn="0" w:oddVBand="0" w:evenVBand="0" w:oddHBand="0" w:evenHBand="0" w:firstRowFirstColumn="0" w:firstRowLastColumn="0" w:lastRowFirstColumn="0" w:lastRowLastColumn="0"/>
              <w:rPr>
                <w:b/>
              </w:rPr>
            </w:pPr>
            <w:r>
              <w:rPr>
                <w:b/>
              </w:rPr>
              <w:t>141</w:t>
            </w:r>
            <w:r w:rsidR="00551E19">
              <w:rPr>
                <w:b/>
              </w:rPr>
              <w:t>7</w:t>
            </w:r>
          </w:p>
        </w:tc>
      </w:tr>
    </w:tbl>
    <w:p w:rsidR="003A72DE" w:rsidRDefault="003A72DE" w:rsidP="003A72DE">
      <w:pPr>
        <w:pStyle w:val="AERtablesource"/>
        <w:rPr>
          <w:rStyle w:val="AERtextbold"/>
        </w:rPr>
      </w:pPr>
      <w:r w:rsidRPr="00914BF8">
        <w:rPr>
          <w:rStyle w:val="AERtextbold"/>
          <w:b w:val="0"/>
        </w:rPr>
        <w:t>Source:</w:t>
      </w:r>
      <w:r>
        <w:rPr>
          <w:rStyle w:val="AERtextbold"/>
          <w:b w:val="0"/>
        </w:rPr>
        <w:tab/>
        <w:t>Transend</w:t>
      </w:r>
      <w:r>
        <w:t xml:space="preserve">, </w:t>
      </w:r>
      <w:r w:rsidRPr="00791780">
        <w:rPr>
          <w:rStyle w:val="AERtextitalic"/>
        </w:rPr>
        <w:t xml:space="preserve">Transitional revenue proposal </w:t>
      </w:r>
      <w:r>
        <w:rPr>
          <w:rStyle w:val="AERtextitalic"/>
        </w:rPr>
        <w:t>regulatory control period 1 July 2014–30 June 2015</w:t>
      </w:r>
      <w:r>
        <w:t>, January 2014, p. 60.</w:t>
      </w:r>
    </w:p>
    <w:p w:rsidR="003A72DE" w:rsidRPr="00A34D28" w:rsidRDefault="003A72DE" w:rsidP="003A72DE">
      <w:pPr>
        <w:pStyle w:val="AERbodytext"/>
        <w:rPr>
          <w:rStyle w:val="AERtextbold"/>
          <w:b w:val="0"/>
        </w:rPr>
      </w:pPr>
      <w:r w:rsidRPr="00A34D28">
        <w:rPr>
          <w:rStyle w:val="AERtextbold"/>
          <w:b w:val="0"/>
        </w:rPr>
        <w:fldChar w:fldCharType="begin"/>
      </w:r>
      <w:r w:rsidRPr="00A34D28">
        <w:rPr>
          <w:rStyle w:val="AERtextbold"/>
          <w:b w:val="0"/>
        </w:rPr>
        <w:instrText xml:space="preserve"> REF _Ref381802270 \h </w:instrText>
      </w:r>
      <w:r>
        <w:rPr>
          <w:rStyle w:val="AERtextbold"/>
          <w:b w:val="0"/>
        </w:rPr>
        <w:instrText xml:space="preserve"> \* MERGEFORMAT </w:instrText>
      </w:r>
      <w:r w:rsidRPr="00A34D28">
        <w:rPr>
          <w:rStyle w:val="AERtextbold"/>
          <w:b w:val="0"/>
        </w:rPr>
      </w:r>
      <w:r w:rsidRPr="00A34D28">
        <w:rPr>
          <w:rStyle w:val="AERtextbold"/>
          <w:b w:val="0"/>
        </w:rPr>
        <w:fldChar w:fldCharType="separate"/>
      </w:r>
      <w:r w:rsidR="00B40E3D">
        <w:t>Table D.6</w:t>
      </w:r>
      <w:r w:rsidRPr="00A34D28">
        <w:rPr>
          <w:rStyle w:val="AERtextbold"/>
          <w:b w:val="0"/>
        </w:rPr>
        <w:fldChar w:fldCharType="end"/>
      </w:r>
      <w:r w:rsidRPr="00A34D28">
        <w:rPr>
          <w:rStyle w:val="AERtextbold"/>
          <w:b w:val="0"/>
        </w:rPr>
        <w:t xml:space="preserve"> also includes adjustments that relate to 2008–09. When the AER made its </w:t>
      </w:r>
      <w:r w:rsidR="00171283">
        <w:rPr>
          <w:rStyle w:val="AERtextbold"/>
          <w:b w:val="0"/>
        </w:rPr>
        <w:t xml:space="preserve">transmission </w:t>
      </w:r>
      <w:r w:rsidRPr="00A34D28">
        <w:rPr>
          <w:rStyle w:val="AERtextbold"/>
          <w:b w:val="0"/>
        </w:rPr>
        <w:t xml:space="preserve">determination for the </w:t>
      </w:r>
      <w:r w:rsidR="00581457">
        <w:rPr>
          <w:rStyle w:val="AERtextbold"/>
          <w:b w:val="0"/>
        </w:rPr>
        <w:t>current</w:t>
      </w:r>
      <w:r w:rsidRPr="00A34D28">
        <w:rPr>
          <w:rStyle w:val="AERtextbold"/>
          <w:b w:val="0"/>
        </w:rPr>
        <w:t xml:space="preserve"> regulatory control period, final figures for 2008–09 could not be obtained (since the year was not yet complete). Hence, </w:t>
      </w:r>
      <w:r>
        <w:rPr>
          <w:rStyle w:val="AERtextbold"/>
          <w:b w:val="0"/>
        </w:rPr>
        <w:t>Transend</w:t>
      </w:r>
      <w:r w:rsidRPr="00A34D28">
        <w:rPr>
          <w:rStyle w:val="AERtextbold"/>
          <w:b w:val="0"/>
        </w:rPr>
        <w:t xml:space="preserve"> adjust</w:t>
      </w:r>
      <w:r>
        <w:rPr>
          <w:rStyle w:val="AERtextbold"/>
          <w:b w:val="0"/>
        </w:rPr>
        <w:t>s</w:t>
      </w:r>
      <w:r w:rsidRPr="00A34D28">
        <w:rPr>
          <w:rStyle w:val="AERtextbold"/>
          <w:b w:val="0"/>
        </w:rPr>
        <w:t xml:space="preserve"> for the difference between actual and estimated cap</w:t>
      </w:r>
      <w:r w:rsidR="00171283">
        <w:rPr>
          <w:rStyle w:val="AERtextbold"/>
          <w:b w:val="0"/>
        </w:rPr>
        <w:t>ex</w:t>
      </w:r>
      <w:r w:rsidRPr="00A34D28">
        <w:rPr>
          <w:rStyle w:val="AERtextbold"/>
          <w:b w:val="0"/>
        </w:rPr>
        <w:t xml:space="preserve">, and the difference between actual and estimated assets under construction, from the 2008–09 financial </w:t>
      </w:r>
      <w:proofErr w:type="gramStart"/>
      <w:r w:rsidRPr="00A34D28">
        <w:rPr>
          <w:rStyle w:val="AERtextbold"/>
          <w:b w:val="0"/>
        </w:rPr>
        <w:t>year</w:t>
      </w:r>
      <w:proofErr w:type="gramEnd"/>
      <w:r w:rsidRPr="00A34D28">
        <w:rPr>
          <w:rStyle w:val="AERtextbold"/>
          <w:b w:val="0"/>
        </w:rPr>
        <w:t>.</w:t>
      </w:r>
      <w:r w:rsidRPr="007B4470">
        <w:rPr>
          <w:rStyle w:val="AERsuperscript"/>
        </w:rPr>
        <w:footnoteReference w:id="114"/>
      </w:r>
      <w:r w:rsidRPr="00A34D28">
        <w:rPr>
          <w:rStyle w:val="AERtextbold"/>
          <w:b w:val="0"/>
        </w:rPr>
        <w:t xml:space="preserve"> </w:t>
      </w:r>
    </w:p>
    <w:p w:rsidR="003A72DE" w:rsidRPr="00914BF8" w:rsidRDefault="003A72DE" w:rsidP="005D5323">
      <w:pPr>
        <w:pStyle w:val="AERbodytext"/>
        <w:rPr>
          <w:rStyle w:val="AERtextbold"/>
          <w:b w:val="0"/>
        </w:rPr>
      </w:pPr>
      <w:r w:rsidRPr="00914BF8">
        <w:rPr>
          <w:rStyle w:val="AERtextbold"/>
          <w:b w:val="0"/>
        </w:rPr>
        <w:lastRenderedPageBreak/>
        <w:fldChar w:fldCharType="begin"/>
      </w:r>
      <w:r w:rsidRPr="00914BF8">
        <w:rPr>
          <w:rStyle w:val="AERtextbold"/>
          <w:b w:val="0"/>
        </w:rPr>
        <w:instrText xml:space="preserve"> REF _Ref381801428 \h </w:instrText>
      </w:r>
      <w:r>
        <w:rPr>
          <w:rStyle w:val="AERtextbold"/>
          <w:b w:val="0"/>
        </w:rPr>
        <w:instrText xml:space="preserve"> \* MERGEFORMAT </w:instrText>
      </w:r>
      <w:r w:rsidRPr="00914BF8">
        <w:rPr>
          <w:rStyle w:val="AERtextbold"/>
          <w:b w:val="0"/>
        </w:rPr>
      </w:r>
      <w:r w:rsidRPr="00914BF8">
        <w:rPr>
          <w:rStyle w:val="AERtextbold"/>
          <w:b w:val="0"/>
        </w:rPr>
        <w:fldChar w:fldCharType="separate"/>
      </w:r>
      <w:r w:rsidR="00B40E3D">
        <w:t>Table D.7</w:t>
      </w:r>
      <w:r w:rsidRPr="00914BF8">
        <w:rPr>
          <w:rStyle w:val="AERtextbold"/>
          <w:b w:val="0"/>
        </w:rPr>
        <w:fldChar w:fldCharType="end"/>
      </w:r>
      <w:r>
        <w:rPr>
          <w:rStyle w:val="AERtextbold"/>
          <w:b w:val="0"/>
        </w:rPr>
        <w:t xml:space="preserve"> show</w:t>
      </w:r>
      <w:r w:rsidRPr="00914BF8">
        <w:rPr>
          <w:rStyle w:val="AERtextbold"/>
          <w:b w:val="0"/>
        </w:rPr>
        <w:t xml:space="preserve">s </w:t>
      </w:r>
      <w:proofErr w:type="spellStart"/>
      <w:r>
        <w:rPr>
          <w:rStyle w:val="AERtextbold"/>
          <w:b w:val="0"/>
        </w:rPr>
        <w:t>Transend’s</w:t>
      </w:r>
      <w:proofErr w:type="spellEnd"/>
      <w:r>
        <w:rPr>
          <w:rStyle w:val="AERtextbold"/>
          <w:b w:val="0"/>
        </w:rPr>
        <w:t xml:space="preserve"> proposed roll forward of the RAB from 1 July 2014 to 30 June 2019.</w:t>
      </w:r>
      <w:r w:rsidR="005D5323">
        <w:rPr>
          <w:rStyle w:val="AERtextbold"/>
          <w:b w:val="0"/>
        </w:rPr>
        <w:t xml:space="preserve"> </w:t>
      </w:r>
      <w:r w:rsidR="005D5323" w:rsidRPr="005D5323">
        <w:rPr>
          <w:rStyle w:val="AERtextbold"/>
          <w:b w:val="0"/>
        </w:rPr>
        <w:t>This builds on the proposed cap</w:t>
      </w:r>
      <w:r w:rsidR="00171283">
        <w:rPr>
          <w:rStyle w:val="AERtextbold"/>
          <w:b w:val="0"/>
        </w:rPr>
        <w:t>ex</w:t>
      </w:r>
      <w:r w:rsidR="005D5323" w:rsidRPr="005D5323">
        <w:rPr>
          <w:rStyle w:val="AERtextbold"/>
          <w:b w:val="0"/>
        </w:rPr>
        <w:t xml:space="preserve"> outlined above.</w:t>
      </w:r>
    </w:p>
    <w:p w:rsidR="003A72DE" w:rsidRDefault="003A72DE" w:rsidP="003A72DE">
      <w:pPr>
        <w:pStyle w:val="Caption"/>
        <w:spacing w:line="240" w:lineRule="auto"/>
        <w:rPr>
          <w:rStyle w:val="AERtextbold"/>
        </w:rPr>
      </w:pPr>
      <w:bookmarkStart w:id="103" w:name="_Ref381801428"/>
      <w:proofErr w:type="gramStart"/>
      <w:r>
        <w:t xml:space="preserve">Table </w:t>
      </w:r>
      <w:fldSimple w:instr=" STYLEREF 7 \s ">
        <w:r w:rsidR="00B40E3D">
          <w:rPr>
            <w:noProof/>
          </w:rPr>
          <w:t>D</w:t>
        </w:r>
      </w:fldSimple>
      <w:r>
        <w:t>.</w:t>
      </w:r>
      <w:proofErr w:type="gramEnd"/>
      <w:fldSimple w:instr=" SEQ Table \* ARABIC \s 7 ">
        <w:r w:rsidR="00B40E3D">
          <w:rPr>
            <w:noProof/>
          </w:rPr>
          <w:t>7</w:t>
        </w:r>
      </w:fldSimple>
      <w:bookmarkEnd w:id="103"/>
      <w:r>
        <w:tab/>
      </w:r>
      <w:proofErr w:type="spellStart"/>
      <w:r>
        <w:t>Transend’s</w:t>
      </w:r>
      <w:proofErr w:type="spellEnd"/>
      <w:r>
        <w:t xml:space="preserve"> proposed regulatory asset base from 2014–</w:t>
      </w:r>
      <w:r w:rsidR="000A3B0D">
        <w:t>1</w:t>
      </w:r>
      <w:r>
        <w:t>9 ($m, nominal)</w:t>
      </w:r>
    </w:p>
    <w:tbl>
      <w:tblPr>
        <w:tblStyle w:val="AERtable-numbers"/>
        <w:tblW w:w="0" w:type="auto"/>
        <w:tblLayout w:type="fixed"/>
        <w:tblLook w:val="04A0" w:firstRow="1" w:lastRow="0" w:firstColumn="1" w:lastColumn="0" w:noHBand="0" w:noVBand="1"/>
      </w:tblPr>
      <w:tblGrid>
        <w:gridCol w:w="2943"/>
        <w:gridCol w:w="1259"/>
        <w:gridCol w:w="1260"/>
        <w:gridCol w:w="1260"/>
        <w:gridCol w:w="1260"/>
        <w:gridCol w:w="1260"/>
      </w:tblGrid>
      <w:tr w:rsidR="003A72DE" w:rsidTr="003A72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3A72DE" w:rsidRPr="00914BF8" w:rsidRDefault="003A72DE" w:rsidP="003A72DE">
            <w:pPr>
              <w:pStyle w:val="AERtabletextleft"/>
            </w:pPr>
            <w:r w:rsidRPr="00914BF8">
              <w:t xml:space="preserve">RAB </w:t>
            </w:r>
          </w:p>
        </w:tc>
        <w:tc>
          <w:tcPr>
            <w:tcW w:w="1259" w:type="dxa"/>
          </w:tcPr>
          <w:p w:rsidR="003A72DE" w:rsidRPr="00914BF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914BF8">
              <w:t xml:space="preserve">2014–15 </w:t>
            </w:r>
          </w:p>
        </w:tc>
        <w:tc>
          <w:tcPr>
            <w:tcW w:w="1260" w:type="dxa"/>
          </w:tcPr>
          <w:p w:rsidR="003A72DE" w:rsidRPr="00914BF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914BF8">
              <w:t xml:space="preserve">2015–16 </w:t>
            </w:r>
          </w:p>
        </w:tc>
        <w:tc>
          <w:tcPr>
            <w:tcW w:w="1260" w:type="dxa"/>
          </w:tcPr>
          <w:p w:rsidR="003A72DE" w:rsidRPr="00914BF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914BF8">
              <w:t xml:space="preserve">2016–17 </w:t>
            </w:r>
          </w:p>
        </w:tc>
        <w:tc>
          <w:tcPr>
            <w:tcW w:w="1260" w:type="dxa"/>
          </w:tcPr>
          <w:p w:rsidR="003A72DE" w:rsidRPr="00914BF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914BF8">
              <w:t xml:space="preserve">2017–18 </w:t>
            </w:r>
          </w:p>
        </w:tc>
        <w:tc>
          <w:tcPr>
            <w:tcW w:w="1260" w:type="dxa"/>
          </w:tcPr>
          <w:p w:rsidR="003A72DE" w:rsidRPr="00914BF8" w:rsidRDefault="003A72DE" w:rsidP="003A72DE">
            <w:pPr>
              <w:pStyle w:val="AERtabletextleft"/>
              <w:cnfStyle w:val="100000000000" w:firstRow="1" w:lastRow="0" w:firstColumn="0" w:lastColumn="0" w:oddVBand="0" w:evenVBand="0" w:oddHBand="0" w:evenHBand="0" w:firstRowFirstColumn="0" w:firstRowLastColumn="0" w:lastRowFirstColumn="0" w:lastRowLastColumn="0"/>
            </w:pPr>
            <w:r w:rsidRPr="00914BF8">
              <w:t xml:space="preserve">2018–19 </w:t>
            </w:r>
          </w:p>
        </w:tc>
      </w:tr>
      <w:tr w:rsidR="003A72DE" w:rsidTr="003A72DE">
        <w:tc>
          <w:tcPr>
            <w:cnfStyle w:val="001000000000" w:firstRow="0" w:lastRow="0" w:firstColumn="1" w:lastColumn="0" w:oddVBand="0" w:evenVBand="0" w:oddHBand="0" w:evenHBand="0" w:firstRowFirstColumn="0" w:firstRowLastColumn="0" w:lastRowFirstColumn="0" w:lastRowLastColumn="0"/>
            <w:tcW w:w="2943" w:type="dxa"/>
          </w:tcPr>
          <w:p w:rsidR="003A72DE" w:rsidRPr="00914BF8" w:rsidRDefault="003A72DE" w:rsidP="003A72DE">
            <w:pPr>
              <w:pStyle w:val="AERtabletextleft"/>
            </w:pPr>
            <w:r>
              <w:t xml:space="preserve">Opening </w:t>
            </w:r>
            <w:r w:rsidRPr="00914BF8">
              <w:t>RAB</w:t>
            </w:r>
          </w:p>
        </w:tc>
        <w:tc>
          <w:tcPr>
            <w:tcW w:w="1259" w:type="dxa"/>
          </w:tcPr>
          <w:p w:rsidR="003A72DE" w:rsidRPr="00914BF8" w:rsidRDefault="003A72DE" w:rsidP="00551E19">
            <w:pPr>
              <w:pStyle w:val="AERtabletextleft"/>
              <w:cnfStyle w:val="000000000000" w:firstRow="0" w:lastRow="0" w:firstColumn="0" w:lastColumn="0" w:oddVBand="0" w:evenVBand="0" w:oddHBand="0" w:evenHBand="0" w:firstRowFirstColumn="0" w:firstRowLastColumn="0" w:lastRowFirstColumn="0" w:lastRowLastColumn="0"/>
            </w:pPr>
            <w:r w:rsidRPr="00914BF8">
              <w:t>1,41</w:t>
            </w:r>
            <w:r w:rsidR="00551E19">
              <w:t>7</w:t>
            </w:r>
            <w:r w:rsidRPr="00914BF8">
              <w:t xml:space="preserve"> </w:t>
            </w:r>
          </w:p>
        </w:tc>
        <w:tc>
          <w:tcPr>
            <w:tcW w:w="1260" w:type="dxa"/>
          </w:tcPr>
          <w:p w:rsidR="003A72DE" w:rsidRPr="00914BF8" w:rsidRDefault="003A72DE" w:rsidP="002220F0">
            <w:pPr>
              <w:pStyle w:val="AERtabletextleft"/>
              <w:cnfStyle w:val="000000000000" w:firstRow="0" w:lastRow="0" w:firstColumn="0" w:lastColumn="0" w:oddVBand="0" w:evenVBand="0" w:oddHBand="0" w:evenHBand="0" w:firstRowFirstColumn="0" w:firstRowLastColumn="0" w:lastRowFirstColumn="0" w:lastRowLastColumn="0"/>
            </w:pPr>
            <w:r w:rsidRPr="00914BF8">
              <w:t>14</w:t>
            </w:r>
            <w:r w:rsidR="00551E19">
              <w:t>50</w:t>
            </w:r>
          </w:p>
        </w:tc>
        <w:tc>
          <w:tcPr>
            <w:tcW w:w="1260" w:type="dxa"/>
          </w:tcPr>
          <w:p w:rsidR="003A72DE" w:rsidRPr="00914BF8" w:rsidRDefault="003A72DE" w:rsidP="002220F0">
            <w:pPr>
              <w:pStyle w:val="AERtabletextleft"/>
              <w:cnfStyle w:val="000000000000" w:firstRow="0" w:lastRow="0" w:firstColumn="0" w:lastColumn="0" w:oddVBand="0" w:evenVBand="0" w:oddHBand="0" w:evenHBand="0" w:firstRowFirstColumn="0" w:firstRowLastColumn="0" w:lastRowFirstColumn="0" w:lastRowLastColumn="0"/>
            </w:pPr>
            <w:r w:rsidRPr="00914BF8">
              <w:t>1502</w:t>
            </w:r>
          </w:p>
        </w:tc>
        <w:tc>
          <w:tcPr>
            <w:tcW w:w="1260" w:type="dxa"/>
          </w:tcPr>
          <w:p w:rsidR="003A72DE" w:rsidRPr="00914BF8" w:rsidRDefault="003A72DE" w:rsidP="002220F0">
            <w:pPr>
              <w:pStyle w:val="AERtabletextleft"/>
              <w:cnfStyle w:val="000000000000" w:firstRow="0" w:lastRow="0" w:firstColumn="0" w:lastColumn="0" w:oddVBand="0" w:evenVBand="0" w:oddHBand="0" w:evenHBand="0" w:firstRowFirstColumn="0" w:firstRowLastColumn="0" w:lastRowFirstColumn="0" w:lastRowLastColumn="0"/>
            </w:pPr>
            <w:r w:rsidRPr="00914BF8">
              <w:t>154</w:t>
            </w:r>
            <w:r w:rsidR="00551E19">
              <w:t>9</w:t>
            </w:r>
          </w:p>
        </w:tc>
        <w:tc>
          <w:tcPr>
            <w:tcW w:w="1260" w:type="dxa"/>
          </w:tcPr>
          <w:p w:rsidR="003A72DE" w:rsidRPr="00914BF8" w:rsidRDefault="003A72DE" w:rsidP="002220F0">
            <w:pPr>
              <w:pStyle w:val="AERtabletextleft"/>
              <w:cnfStyle w:val="000000000000" w:firstRow="0" w:lastRow="0" w:firstColumn="0" w:lastColumn="0" w:oddVBand="0" w:evenVBand="0" w:oddHBand="0" w:evenHBand="0" w:firstRowFirstColumn="0" w:firstRowLastColumn="0" w:lastRowFirstColumn="0" w:lastRowLastColumn="0"/>
            </w:pPr>
            <w:r w:rsidRPr="00914BF8">
              <w:t>158</w:t>
            </w:r>
            <w:r w:rsidR="00551E19">
              <w:t>4</w:t>
            </w:r>
          </w:p>
        </w:tc>
      </w:tr>
      <w:tr w:rsidR="003A72DE" w:rsidTr="003A72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3A72DE" w:rsidRPr="00914BF8" w:rsidRDefault="003A72DE" w:rsidP="00171283">
            <w:pPr>
              <w:pStyle w:val="AERtabletextleft"/>
            </w:pPr>
            <w:r w:rsidRPr="00914BF8">
              <w:t>N</w:t>
            </w:r>
            <w:r w:rsidR="00171283">
              <w:t>et</w:t>
            </w:r>
            <w:r w:rsidRPr="00914BF8">
              <w:t xml:space="preserve"> capex as incurred </w:t>
            </w:r>
          </w:p>
        </w:tc>
        <w:tc>
          <w:tcPr>
            <w:tcW w:w="1259" w:type="dxa"/>
          </w:tcPr>
          <w:p w:rsidR="003A72DE" w:rsidRPr="00914BF8" w:rsidRDefault="003A72DE" w:rsidP="00551E19">
            <w:pPr>
              <w:pStyle w:val="AERtabletextleft"/>
              <w:cnfStyle w:val="000000010000" w:firstRow="0" w:lastRow="0" w:firstColumn="0" w:lastColumn="0" w:oddVBand="0" w:evenVBand="0" w:oddHBand="0" w:evenHBand="1" w:firstRowFirstColumn="0" w:firstRowLastColumn="0" w:lastRowFirstColumn="0" w:lastRowLastColumn="0"/>
            </w:pPr>
            <w:r w:rsidRPr="00914BF8">
              <w:t>5</w:t>
            </w:r>
            <w:r w:rsidR="00551E19">
              <w:t>5</w:t>
            </w:r>
            <w:r w:rsidRPr="00914BF8">
              <w:t xml:space="preserve"> </w:t>
            </w:r>
          </w:p>
        </w:tc>
        <w:tc>
          <w:tcPr>
            <w:tcW w:w="1260" w:type="dxa"/>
          </w:tcPr>
          <w:p w:rsidR="003A72DE" w:rsidRPr="00914BF8" w:rsidRDefault="003A72DE" w:rsidP="00551E19">
            <w:pPr>
              <w:pStyle w:val="AERtabletextleft"/>
              <w:cnfStyle w:val="000000010000" w:firstRow="0" w:lastRow="0" w:firstColumn="0" w:lastColumn="0" w:oddVBand="0" w:evenVBand="0" w:oddHBand="0" w:evenHBand="1" w:firstRowFirstColumn="0" w:firstRowLastColumn="0" w:lastRowFirstColumn="0" w:lastRowLastColumn="0"/>
            </w:pPr>
            <w:r w:rsidRPr="00914BF8">
              <w:t>8</w:t>
            </w:r>
            <w:r w:rsidR="00551E19">
              <w:t>2</w:t>
            </w:r>
          </w:p>
        </w:tc>
        <w:tc>
          <w:tcPr>
            <w:tcW w:w="1260" w:type="dxa"/>
          </w:tcPr>
          <w:p w:rsidR="003A72DE" w:rsidRPr="00914BF8" w:rsidRDefault="003A72DE" w:rsidP="00551E19">
            <w:pPr>
              <w:pStyle w:val="AERtabletextleft"/>
              <w:cnfStyle w:val="000000010000" w:firstRow="0" w:lastRow="0" w:firstColumn="0" w:lastColumn="0" w:oddVBand="0" w:evenVBand="0" w:oddHBand="0" w:evenHBand="1" w:firstRowFirstColumn="0" w:firstRowLastColumn="0" w:lastRowFirstColumn="0" w:lastRowLastColumn="0"/>
            </w:pPr>
            <w:r w:rsidRPr="00914BF8">
              <w:t>80</w:t>
            </w:r>
          </w:p>
        </w:tc>
        <w:tc>
          <w:tcPr>
            <w:tcW w:w="1260" w:type="dxa"/>
          </w:tcPr>
          <w:p w:rsidR="003A72DE" w:rsidRPr="00914BF8" w:rsidRDefault="00551E19" w:rsidP="00551E19">
            <w:pPr>
              <w:pStyle w:val="AERtabletextleft"/>
              <w:cnfStyle w:val="000000010000" w:firstRow="0" w:lastRow="0" w:firstColumn="0" w:lastColumn="0" w:oddVBand="0" w:evenVBand="0" w:oddHBand="0" w:evenHBand="1" w:firstRowFirstColumn="0" w:firstRowLastColumn="0" w:lastRowFirstColumn="0" w:lastRowLastColumn="0"/>
            </w:pPr>
            <w:r>
              <w:t>70</w:t>
            </w:r>
          </w:p>
        </w:tc>
        <w:tc>
          <w:tcPr>
            <w:tcW w:w="1260" w:type="dxa"/>
          </w:tcPr>
          <w:p w:rsidR="003A72DE" w:rsidRPr="00914BF8" w:rsidRDefault="003A72DE" w:rsidP="00551E19">
            <w:pPr>
              <w:pStyle w:val="AERtabletextleft"/>
              <w:cnfStyle w:val="000000010000" w:firstRow="0" w:lastRow="0" w:firstColumn="0" w:lastColumn="0" w:oddVBand="0" w:evenVBand="0" w:oddHBand="0" w:evenHBand="1" w:firstRowFirstColumn="0" w:firstRowLastColumn="0" w:lastRowFirstColumn="0" w:lastRowLastColumn="0"/>
            </w:pPr>
            <w:r w:rsidRPr="00914BF8">
              <w:t>50</w:t>
            </w:r>
          </w:p>
        </w:tc>
      </w:tr>
      <w:tr w:rsidR="003A72DE" w:rsidTr="003A72DE">
        <w:tc>
          <w:tcPr>
            <w:cnfStyle w:val="001000000000" w:firstRow="0" w:lastRow="0" w:firstColumn="1" w:lastColumn="0" w:oddVBand="0" w:evenVBand="0" w:oddHBand="0" w:evenHBand="0" w:firstRowFirstColumn="0" w:firstRowLastColumn="0" w:lastRowFirstColumn="0" w:lastRowLastColumn="0"/>
            <w:tcW w:w="2943" w:type="dxa"/>
          </w:tcPr>
          <w:p w:rsidR="003A72DE" w:rsidRPr="00914BF8" w:rsidRDefault="003A72DE" w:rsidP="003A72DE">
            <w:pPr>
              <w:pStyle w:val="AERtabletextleft"/>
            </w:pPr>
            <w:r w:rsidRPr="00914BF8">
              <w:t xml:space="preserve">Inflation on opening </w:t>
            </w:r>
            <w:proofErr w:type="spellStart"/>
            <w:r w:rsidRPr="00914BF8">
              <w:t>RAB</w:t>
            </w:r>
            <w:r w:rsidR="000A3B0D">
              <w:rPr>
                <w:vertAlign w:val="superscript"/>
              </w:rPr>
              <w:t>a</w:t>
            </w:r>
            <w:proofErr w:type="spellEnd"/>
            <w:r w:rsidRPr="00914BF8">
              <w:t xml:space="preserve"> </w:t>
            </w:r>
          </w:p>
        </w:tc>
        <w:tc>
          <w:tcPr>
            <w:tcW w:w="1259" w:type="dxa"/>
          </w:tcPr>
          <w:p w:rsidR="003A72DE" w:rsidRPr="00914BF8" w:rsidRDefault="003A72DE" w:rsidP="00551E19">
            <w:pPr>
              <w:pStyle w:val="AERtabletextleft"/>
              <w:cnfStyle w:val="000000000000" w:firstRow="0" w:lastRow="0" w:firstColumn="0" w:lastColumn="0" w:oddVBand="0" w:evenVBand="0" w:oddHBand="0" w:evenHBand="0" w:firstRowFirstColumn="0" w:firstRowLastColumn="0" w:lastRowFirstColumn="0" w:lastRowLastColumn="0"/>
            </w:pPr>
            <w:r w:rsidRPr="00914BF8">
              <w:t>35</w:t>
            </w:r>
          </w:p>
        </w:tc>
        <w:tc>
          <w:tcPr>
            <w:tcW w:w="1260" w:type="dxa"/>
          </w:tcPr>
          <w:p w:rsidR="003A72DE" w:rsidRPr="00914BF8" w:rsidRDefault="003A72DE" w:rsidP="00551E19">
            <w:pPr>
              <w:pStyle w:val="AERtabletextleft"/>
              <w:cnfStyle w:val="000000000000" w:firstRow="0" w:lastRow="0" w:firstColumn="0" w:lastColumn="0" w:oddVBand="0" w:evenVBand="0" w:oddHBand="0" w:evenHBand="0" w:firstRowFirstColumn="0" w:firstRowLastColumn="0" w:lastRowFirstColumn="0" w:lastRowLastColumn="0"/>
            </w:pPr>
            <w:r w:rsidRPr="00914BF8">
              <w:t>36</w:t>
            </w:r>
          </w:p>
        </w:tc>
        <w:tc>
          <w:tcPr>
            <w:tcW w:w="1260" w:type="dxa"/>
          </w:tcPr>
          <w:p w:rsidR="003A72DE" w:rsidRPr="00914BF8" w:rsidRDefault="003A72DE" w:rsidP="00551E19">
            <w:pPr>
              <w:pStyle w:val="AERtabletextleft"/>
              <w:cnfStyle w:val="000000000000" w:firstRow="0" w:lastRow="0" w:firstColumn="0" w:lastColumn="0" w:oddVBand="0" w:evenVBand="0" w:oddHBand="0" w:evenHBand="0" w:firstRowFirstColumn="0" w:firstRowLastColumn="0" w:lastRowFirstColumn="0" w:lastRowLastColumn="0"/>
            </w:pPr>
            <w:r w:rsidRPr="00914BF8">
              <w:t>3</w:t>
            </w:r>
            <w:r w:rsidR="00551E19">
              <w:t>8</w:t>
            </w:r>
          </w:p>
        </w:tc>
        <w:tc>
          <w:tcPr>
            <w:tcW w:w="1260" w:type="dxa"/>
          </w:tcPr>
          <w:p w:rsidR="003A72DE" w:rsidRPr="00914BF8" w:rsidRDefault="003A72DE" w:rsidP="00551E19">
            <w:pPr>
              <w:pStyle w:val="AERtabletextleft"/>
              <w:cnfStyle w:val="000000000000" w:firstRow="0" w:lastRow="0" w:firstColumn="0" w:lastColumn="0" w:oddVBand="0" w:evenVBand="0" w:oddHBand="0" w:evenHBand="0" w:firstRowFirstColumn="0" w:firstRowLastColumn="0" w:lastRowFirstColumn="0" w:lastRowLastColumn="0"/>
            </w:pPr>
            <w:r w:rsidRPr="00914BF8">
              <w:t>3</w:t>
            </w:r>
            <w:r w:rsidR="00551E19">
              <w:t>9</w:t>
            </w:r>
          </w:p>
        </w:tc>
        <w:tc>
          <w:tcPr>
            <w:tcW w:w="1260" w:type="dxa"/>
          </w:tcPr>
          <w:p w:rsidR="003A72DE" w:rsidRPr="00914BF8" w:rsidRDefault="00551E19" w:rsidP="00551E19">
            <w:pPr>
              <w:pStyle w:val="AERtabletextleft"/>
              <w:cnfStyle w:val="000000000000" w:firstRow="0" w:lastRow="0" w:firstColumn="0" w:lastColumn="0" w:oddVBand="0" w:evenVBand="0" w:oddHBand="0" w:evenHBand="0" w:firstRowFirstColumn="0" w:firstRowLastColumn="0" w:lastRowFirstColumn="0" w:lastRowLastColumn="0"/>
            </w:pPr>
            <w:r>
              <w:t>40</w:t>
            </w:r>
            <w:r w:rsidR="003A72DE" w:rsidRPr="00914BF8">
              <w:t xml:space="preserve"> </w:t>
            </w:r>
          </w:p>
        </w:tc>
      </w:tr>
      <w:tr w:rsidR="003A72DE" w:rsidTr="003A72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3A72DE" w:rsidRPr="00914BF8" w:rsidRDefault="00171283" w:rsidP="00171283">
            <w:pPr>
              <w:pStyle w:val="AERtabletextleft"/>
            </w:pPr>
            <w:r>
              <w:t>S</w:t>
            </w:r>
            <w:r w:rsidR="003A72DE" w:rsidRPr="00914BF8">
              <w:t xml:space="preserve">traight-line depreciation </w:t>
            </w:r>
          </w:p>
        </w:tc>
        <w:tc>
          <w:tcPr>
            <w:tcW w:w="1259" w:type="dxa"/>
          </w:tcPr>
          <w:p w:rsidR="003A72DE" w:rsidRPr="00914BF8" w:rsidRDefault="003A72DE" w:rsidP="00551E19">
            <w:pPr>
              <w:pStyle w:val="AERtabletextleft"/>
              <w:cnfStyle w:val="000000010000" w:firstRow="0" w:lastRow="0" w:firstColumn="0" w:lastColumn="0" w:oddVBand="0" w:evenVBand="0" w:oddHBand="0" w:evenHBand="1" w:firstRowFirstColumn="0" w:firstRowLastColumn="0" w:lastRowFirstColumn="0" w:lastRowLastColumn="0"/>
            </w:pPr>
            <w:r w:rsidRPr="00914BF8">
              <w:t>-57</w:t>
            </w:r>
          </w:p>
        </w:tc>
        <w:tc>
          <w:tcPr>
            <w:tcW w:w="1260" w:type="dxa"/>
          </w:tcPr>
          <w:p w:rsidR="003A72DE" w:rsidRPr="00914BF8" w:rsidRDefault="003A72DE" w:rsidP="00551E19">
            <w:pPr>
              <w:pStyle w:val="AERtabletextleft"/>
              <w:cnfStyle w:val="000000010000" w:firstRow="0" w:lastRow="0" w:firstColumn="0" w:lastColumn="0" w:oddVBand="0" w:evenVBand="0" w:oddHBand="0" w:evenHBand="1" w:firstRowFirstColumn="0" w:firstRowLastColumn="0" w:lastRowFirstColumn="0" w:lastRowLastColumn="0"/>
            </w:pPr>
            <w:r w:rsidRPr="00914BF8">
              <w:t>-6</w:t>
            </w:r>
            <w:r w:rsidR="00551E19">
              <w:t>6</w:t>
            </w:r>
          </w:p>
        </w:tc>
        <w:tc>
          <w:tcPr>
            <w:tcW w:w="1260" w:type="dxa"/>
          </w:tcPr>
          <w:p w:rsidR="003A72DE" w:rsidRPr="00914BF8" w:rsidRDefault="003A72DE" w:rsidP="00551E19">
            <w:pPr>
              <w:pStyle w:val="AERtabletextleft"/>
              <w:cnfStyle w:val="000000010000" w:firstRow="0" w:lastRow="0" w:firstColumn="0" w:lastColumn="0" w:oddVBand="0" w:evenVBand="0" w:oddHBand="0" w:evenHBand="1" w:firstRowFirstColumn="0" w:firstRowLastColumn="0" w:lastRowFirstColumn="0" w:lastRowLastColumn="0"/>
            </w:pPr>
            <w:r w:rsidRPr="00914BF8">
              <w:t>-71</w:t>
            </w:r>
          </w:p>
        </w:tc>
        <w:tc>
          <w:tcPr>
            <w:tcW w:w="1260" w:type="dxa"/>
          </w:tcPr>
          <w:p w:rsidR="003A72DE" w:rsidRPr="00914BF8" w:rsidRDefault="003A72DE" w:rsidP="00551E19">
            <w:pPr>
              <w:pStyle w:val="AERtabletextleft"/>
              <w:cnfStyle w:val="000000010000" w:firstRow="0" w:lastRow="0" w:firstColumn="0" w:lastColumn="0" w:oddVBand="0" w:evenVBand="0" w:oddHBand="0" w:evenHBand="1" w:firstRowFirstColumn="0" w:firstRowLastColumn="0" w:lastRowFirstColumn="0" w:lastRowLastColumn="0"/>
            </w:pPr>
            <w:r w:rsidRPr="00914BF8">
              <w:t>-73</w:t>
            </w:r>
          </w:p>
        </w:tc>
        <w:tc>
          <w:tcPr>
            <w:tcW w:w="1260" w:type="dxa"/>
          </w:tcPr>
          <w:p w:rsidR="003A72DE" w:rsidRPr="00914BF8" w:rsidRDefault="003A72DE" w:rsidP="00551E19">
            <w:pPr>
              <w:pStyle w:val="AERtabletextleft"/>
              <w:cnfStyle w:val="000000010000" w:firstRow="0" w:lastRow="0" w:firstColumn="0" w:lastColumn="0" w:oddVBand="0" w:evenVBand="0" w:oddHBand="0" w:evenHBand="1" w:firstRowFirstColumn="0" w:firstRowLastColumn="0" w:lastRowFirstColumn="0" w:lastRowLastColumn="0"/>
            </w:pPr>
            <w:r w:rsidRPr="00914BF8">
              <w:t>-7</w:t>
            </w:r>
            <w:r w:rsidR="00551E19">
              <w:t>5</w:t>
            </w:r>
          </w:p>
        </w:tc>
      </w:tr>
      <w:tr w:rsidR="003A72DE" w:rsidTr="003A72DE">
        <w:tc>
          <w:tcPr>
            <w:cnfStyle w:val="001000000000" w:firstRow="0" w:lastRow="0" w:firstColumn="1" w:lastColumn="0" w:oddVBand="0" w:evenVBand="0" w:oddHBand="0" w:evenHBand="0" w:firstRowFirstColumn="0" w:firstRowLastColumn="0" w:lastRowFirstColumn="0" w:lastRowLastColumn="0"/>
            <w:tcW w:w="2943" w:type="dxa"/>
          </w:tcPr>
          <w:p w:rsidR="003A72DE" w:rsidRPr="00914BF8" w:rsidRDefault="003A72DE" w:rsidP="003A72DE">
            <w:pPr>
              <w:pStyle w:val="AERtabletextleft"/>
              <w:rPr>
                <w:b/>
              </w:rPr>
            </w:pPr>
            <w:r>
              <w:rPr>
                <w:b/>
              </w:rPr>
              <w:t>Closing RAB</w:t>
            </w:r>
          </w:p>
        </w:tc>
        <w:tc>
          <w:tcPr>
            <w:tcW w:w="1259" w:type="dxa"/>
          </w:tcPr>
          <w:p w:rsidR="003A72DE" w:rsidRPr="00914BF8" w:rsidRDefault="003A72DE" w:rsidP="00551E19">
            <w:pPr>
              <w:pStyle w:val="AERtabletextleft"/>
              <w:cnfStyle w:val="000000000000" w:firstRow="0" w:lastRow="0" w:firstColumn="0" w:lastColumn="0" w:oddVBand="0" w:evenVBand="0" w:oddHBand="0" w:evenHBand="0" w:firstRowFirstColumn="0" w:firstRowLastColumn="0" w:lastRowFirstColumn="0" w:lastRowLastColumn="0"/>
              <w:rPr>
                <w:b/>
              </w:rPr>
            </w:pPr>
            <w:r w:rsidRPr="00914BF8">
              <w:rPr>
                <w:b/>
              </w:rPr>
              <w:t>14</w:t>
            </w:r>
            <w:r w:rsidR="00551E19">
              <w:rPr>
                <w:b/>
              </w:rPr>
              <w:t>50</w:t>
            </w:r>
          </w:p>
        </w:tc>
        <w:tc>
          <w:tcPr>
            <w:tcW w:w="1260" w:type="dxa"/>
          </w:tcPr>
          <w:p w:rsidR="003A72DE" w:rsidRPr="00914BF8" w:rsidRDefault="003A72DE" w:rsidP="002220F0">
            <w:pPr>
              <w:pStyle w:val="AERtabletextleft"/>
              <w:cnfStyle w:val="000000000000" w:firstRow="0" w:lastRow="0" w:firstColumn="0" w:lastColumn="0" w:oddVBand="0" w:evenVBand="0" w:oddHBand="0" w:evenHBand="0" w:firstRowFirstColumn="0" w:firstRowLastColumn="0" w:lastRowFirstColumn="0" w:lastRowLastColumn="0"/>
              <w:rPr>
                <w:b/>
              </w:rPr>
            </w:pPr>
            <w:r w:rsidRPr="00914BF8">
              <w:rPr>
                <w:b/>
              </w:rPr>
              <w:t>1502</w:t>
            </w:r>
          </w:p>
        </w:tc>
        <w:tc>
          <w:tcPr>
            <w:tcW w:w="1260" w:type="dxa"/>
          </w:tcPr>
          <w:p w:rsidR="003A72DE" w:rsidRPr="00914BF8" w:rsidRDefault="003A72DE" w:rsidP="002220F0">
            <w:pPr>
              <w:pStyle w:val="AERtabletextleft"/>
              <w:cnfStyle w:val="000000000000" w:firstRow="0" w:lastRow="0" w:firstColumn="0" w:lastColumn="0" w:oddVBand="0" w:evenVBand="0" w:oddHBand="0" w:evenHBand="0" w:firstRowFirstColumn="0" w:firstRowLastColumn="0" w:lastRowFirstColumn="0" w:lastRowLastColumn="0"/>
              <w:rPr>
                <w:b/>
              </w:rPr>
            </w:pPr>
            <w:r w:rsidRPr="00914BF8">
              <w:rPr>
                <w:b/>
              </w:rPr>
              <w:t>154</w:t>
            </w:r>
            <w:r w:rsidR="00551E19">
              <w:rPr>
                <w:b/>
              </w:rPr>
              <w:t>9</w:t>
            </w:r>
          </w:p>
        </w:tc>
        <w:tc>
          <w:tcPr>
            <w:tcW w:w="1260" w:type="dxa"/>
          </w:tcPr>
          <w:p w:rsidR="003A72DE" w:rsidRPr="00914BF8" w:rsidRDefault="003A72DE" w:rsidP="00551E19">
            <w:pPr>
              <w:pStyle w:val="AERtabletextleft"/>
              <w:cnfStyle w:val="000000000000" w:firstRow="0" w:lastRow="0" w:firstColumn="0" w:lastColumn="0" w:oddVBand="0" w:evenVBand="0" w:oddHBand="0" w:evenHBand="0" w:firstRowFirstColumn="0" w:firstRowLastColumn="0" w:lastRowFirstColumn="0" w:lastRowLastColumn="0"/>
              <w:rPr>
                <w:b/>
              </w:rPr>
            </w:pPr>
            <w:r w:rsidRPr="00914BF8">
              <w:rPr>
                <w:b/>
              </w:rPr>
              <w:t>158</w:t>
            </w:r>
            <w:r w:rsidR="00551E19">
              <w:rPr>
                <w:b/>
              </w:rPr>
              <w:t>4</w:t>
            </w:r>
          </w:p>
        </w:tc>
        <w:tc>
          <w:tcPr>
            <w:tcW w:w="1260" w:type="dxa"/>
          </w:tcPr>
          <w:p w:rsidR="003A72DE" w:rsidRPr="00914BF8" w:rsidRDefault="003A72DE" w:rsidP="002220F0">
            <w:pPr>
              <w:pStyle w:val="AERtabletextleft"/>
              <w:cnfStyle w:val="000000000000" w:firstRow="0" w:lastRow="0" w:firstColumn="0" w:lastColumn="0" w:oddVBand="0" w:evenVBand="0" w:oddHBand="0" w:evenHBand="0" w:firstRowFirstColumn="0" w:firstRowLastColumn="0" w:lastRowFirstColumn="0" w:lastRowLastColumn="0"/>
              <w:rPr>
                <w:b/>
              </w:rPr>
            </w:pPr>
            <w:r w:rsidRPr="00914BF8">
              <w:rPr>
                <w:b/>
              </w:rPr>
              <w:t>159</w:t>
            </w:r>
            <w:r w:rsidR="00551E19">
              <w:rPr>
                <w:b/>
              </w:rPr>
              <w:t>9</w:t>
            </w:r>
          </w:p>
        </w:tc>
      </w:tr>
    </w:tbl>
    <w:p w:rsidR="003A72DE" w:rsidRDefault="003A72DE" w:rsidP="003A72DE">
      <w:pPr>
        <w:pStyle w:val="AERtablesource"/>
      </w:pPr>
      <w:r w:rsidRPr="00914BF8">
        <w:rPr>
          <w:rStyle w:val="AERtextbold"/>
          <w:b w:val="0"/>
        </w:rPr>
        <w:t>Source:</w:t>
      </w:r>
      <w:r>
        <w:rPr>
          <w:rStyle w:val="AERtextbold"/>
          <w:b w:val="0"/>
        </w:rPr>
        <w:tab/>
        <w:t>Transend</w:t>
      </w:r>
      <w:r>
        <w:t xml:space="preserve">, </w:t>
      </w:r>
      <w:r w:rsidRPr="00791780">
        <w:rPr>
          <w:rStyle w:val="AERtextitalic"/>
        </w:rPr>
        <w:t xml:space="preserve">Transitional revenue proposal </w:t>
      </w:r>
      <w:r>
        <w:rPr>
          <w:rStyle w:val="AERtextitalic"/>
        </w:rPr>
        <w:t>regulatory control period 1 July 2014–30 June 2015</w:t>
      </w:r>
      <w:r>
        <w:t>, January 2014, p. 60.</w:t>
      </w:r>
    </w:p>
    <w:p w:rsidR="000A3B0D" w:rsidRPr="007024B8" w:rsidRDefault="000A3B0D" w:rsidP="000A3B0D">
      <w:pPr>
        <w:pStyle w:val="AERtablesource"/>
      </w:pPr>
      <w:r>
        <w:t>(a)</w:t>
      </w:r>
      <w:r>
        <w:tab/>
        <w:t>Based on forecast inflation rate of 2.50 per cent per annum.</w:t>
      </w:r>
    </w:p>
    <w:p w:rsidR="00093AFC" w:rsidRDefault="00093AFC" w:rsidP="006D2834">
      <w:pPr>
        <w:pStyle w:val="AERbodytext"/>
        <w:numPr>
          <w:ilvl w:val="0"/>
          <w:numId w:val="0"/>
        </w:numPr>
        <w:rPr>
          <w:rStyle w:val="AERtextbold"/>
        </w:rPr>
      </w:pPr>
    </w:p>
    <w:p w:rsidR="00093AFC" w:rsidRDefault="00093AFC" w:rsidP="006D2834">
      <w:pPr>
        <w:pStyle w:val="AERbodytext"/>
        <w:numPr>
          <w:ilvl w:val="0"/>
          <w:numId w:val="0"/>
        </w:numPr>
        <w:rPr>
          <w:rStyle w:val="AERtextbold"/>
        </w:rPr>
      </w:pPr>
    </w:p>
    <w:p w:rsidR="00093AFC" w:rsidRDefault="00093AFC" w:rsidP="006D2834">
      <w:pPr>
        <w:pStyle w:val="AERbodytext"/>
        <w:numPr>
          <w:ilvl w:val="0"/>
          <w:numId w:val="0"/>
        </w:numPr>
        <w:rPr>
          <w:rStyle w:val="AERtextbold"/>
        </w:rPr>
      </w:pPr>
    </w:p>
    <w:p w:rsidR="00093AFC" w:rsidRDefault="00093AFC" w:rsidP="006D2834">
      <w:pPr>
        <w:pStyle w:val="AERbodytext"/>
        <w:numPr>
          <w:ilvl w:val="0"/>
          <w:numId w:val="0"/>
        </w:numPr>
        <w:rPr>
          <w:rStyle w:val="AERtextbold"/>
        </w:rPr>
      </w:pPr>
    </w:p>
    <w:p w:rsidR="00093AFC" w:rsidRDefault="00093AFC" w:rsidP="006D2834">
      <w:pPr>
        <w:pStyle w:val="AERbodytext"/>
        <w:numPr>
          <w:ilvl w:val="0"/>
          <w:numId w:val="0"/>
        </w:numPr>
        <w:rPr>
          <w:rStyle w:val="AERtextbold"/>
        </w:rPr>
      </w:pPr>
    </w:p>
    <w:p w:rsidR="00093AFC" w:rsidRDefault="00093AFC" w:rsidP="006D2834">
      <w:pPr>
        <w:pStyle w:val="AERbodytext"/>
        <w:numPr>
          <w:ilvl w:val="0"/>
          <w:numId w:val="0"/>
        </w:numPr>
        <w:rPr>
          <w:rStyle w:val="AERtextbold"/>
        </w:rPr>
      </w:pPr>
    </w:p>
    <w:p w:rsidR="00093AFC" w:rsidRPr="00DA2707" w:rsidRDefault="00093AFC" w:rsidP="006D2834">
      <w:pPr>
        <w:pStyle w:val="AERbodytext"/>
        <w:numPr>
          <w:ilvl w:val="0"/>
          <w:numId w:val="0"/>
        </w:numPr>
        <w:rPr>
          <w:rStyle w:val="AERtextbold"/>
        </w:rPr>
      </w:pPr>
    </w:p>
    <w:sectPr w:rsidR="00093AFC" w:rsidRPr="00DA2707" w:rsidSect="006B6CB5">
      <w:footerReference w:type="even" r:id="rId20"/>
      <w:footerReference w:type="default" r:id="rId2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D60" w:rsidRPr="00AB4345" w:rsidRDefault="00713D60" w:rsidP="00AB4345">
      <w:r>
        <w:separator/>
      </w:r>
    </w:p>
  </w:endnote>
  <w:endnote w:type="continuationSeparator" w:id="0">
    <w:p w:rsidR="00713D60" w:rsidRPr="00AB4345" w:rsidRDefault="00713D60"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A00002BF" w:usb1="68C7FCFB" w:usb2="00000010" w:usb3="00000000" w:csb0="0002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60" w:rsidRPr="00824CC8" w:rsidRDefault="006F2B34" w:rsidP="00A42D4E">
    <w:pPr>
      <w:pStyle w:val="Footer"/>
      <w:tabs>
        <w:tab w:val="clear" w:pos="4513"/>
      </w:tabs>
    </w:pPr>
    <w:sdt>
      <w:sdtPr>
        <w:id w:val="1243614778"/>
        <w:docPartObj>
          <w:docPartGallery w:val="Page Numbers (Bottom of Page)"/>
          <w:docPartUnique/>
        </w:docPartObj>
      </w:sdtPr>
      <w:sdtEndPr>
        <w:rPr>
          <w:rStyle w:val="AERtextblue"/>
          <w:color w:val="365F91"/>
        </w:rPr>
      </w:sdtEndPr>
      <w:sdtContent>
        <w:r w:rsidR="00713D60" w:rsidRPr="00824CC8">
          <w:fldChar w:fldCharType="begin"/>
        </w:r>
        <w:r w:rsidR="00713D60" w:rsidRPr="00824CC8">
          <w:instrText xml:space="preserve"> PAGE   \* MERGEFORMAT </w:instrText>
        </w:r>
        <w:r w:rsidR="00713D60" w:rsidRPr="00824CC8">
          <w:fldChar w:fldCharType="separate"/>
        </w:r>
        <w:r>
          <w:rPr>
            <w:noProof/>
          </w:rPr>
          <w:t>58</w:t>
        </w:r>
        <w:r w:rsidR="00713D60" w:rsidRPr="00824CC8">
          <w:fldChar w:fldCharType="end"/>
        </w:r>
        <w:r w:rsidR="00713D60" w:rsidRPr="00824CC8">
          <w:tab/>
        </w:r>
        <w:r w:rsidR="00713D60">
          <w:rPr>
            <w:rStyle w:val="AERtextorange"/>
          </w:rPr>
          <w:t xml:space="preserve">AER transitional decision </w:t>
        </w:r>
        <w:r w:rsidR="00713D60" w:rsidRPr="00A42D4E">
          <w:rPr>
            <w:rStyle w:val="AERtextblue"/>
          </w:rPr>
          <w:t>|</w:t>
        </w:r>
        <w:r w:rsidR="00713D60">
          <w:rPr>
            <w:rStyle w:val="AERbody"/>
          </w:rPr>
          <w:t xml:space="preserve"> </w:t>
        </w:r>
        <w:r w:rsidR="00713D60">
          <w:rPr>
            <w:rStyle w:val="AERtextorange"/>
          </w:rPr>
          <w:t>TransGrid and Transend 2014–15</w:t>
        </w:r>
        <w:r w:rsidR="00713D60" w:rsidRPr="00210880">
          <w:rPr>
            <w:rStyle w:val="AERbody"/>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60" w:rsidRDefault="00713D60" w:rsidP="00A42D4E">
    <w:pPr>
      <w:pStyle w:val="Footer"/>
      <w:tabs>
        <w:tab w:val="clear" w:pos="4513"/>
      </w:tabs>
    </w:pPr>
    <w:r>
      <w:rPr>
        <w:rStyle w:val="AERtextorange"/>
      </w:rPr>
      <w:t xml:space="preserve">AER transitional decision </w:t>
    </w:r>
    <w:r w:rsidRPr="00A42D4E">
      <w:rPr>
        <w:rStyle w:val="AERtextblue"/>
      </w:rPr>
      <w:t>|</w:t>
    </w:r>
    <w:r>
      <w:rPr>
        <w:rStyle w:val="AERbody"/>
      </w:rPr>
      <w:t xml:space="preserve"> </w:t>
    </w:r>
    <w:r>
      <w:rPr>
        <w:rStyle w:val="AERtextorange"/>
      </w:rPr>
      <w:t>TransGrid and Transend 2014–15</w:t>
    </w:r>
    <w:r>
      <w:rPr>
        <w:rStyle w:val="AERbody"/>
      </w:rPr>
      <w:t xml:space="preserve"> </w:t>
    </w:r>
    <w:r w:rsidRPr="00210880">
      <w:rPr>
        <w:rStyle w:val="AERbody"/>
      </w:rPr>
      <w:t>|</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6F2B34">
      <w:rPr>
        <w:rStyle w:val="AERbody"/>
        <w:noProof/>
      </w:rPr>
      <w:t>1</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D60" w:rsidRPr="00AB4345" w:rsidRDefault="00713D60" w:rsidP="00AB4345">
      <w:r>
        <w:separator/>
      </w:r>
    </w:p>
  </w:footnote>
  <w:footnote w:type="continuationSeparator" w:id="0">
    <w:p w:rsidR="00713D60" w:rsidRPr="00AB4345" w:rsidRDefault="00713D60" w:rsidP="00AB4345">
      <w:r>
        <w:continuationSeparator/>
      </w:r>
    </w:p>
  </w:footnote>
  <w:footnote w:id="1">
    <w:p w:rsidR="00713D60" w:rsidRDefault="00713D60" w:rsidP="009E7564">
      <w:pPr>
        <w:pStyle w:val="FootnoteText"/>
      </w:pPr>
      <w:r>
        <w:rPr>
          <w:rStyle w:val="FootnoteReference"/>
        </w:rPr>
        <w:footnoteRef/>
      </w:r>
      <w:r>
        <w:t xml:space="preserve"> </w:t>
      </w:r>
      <w:r>
        <w:tab/>
      </w:r>
      <w:proofErr w:type="gramStart"/>
      <w:r w:rsidRPr="00F04E3B">
        <w:t xml:space="preserve">AEMC Final Rule Determination, </w:t>
      </w:r>
      <w:r w:rsidRPr="007C6DB3">
        <w:rPr>
          <w:rStyle w:val="AERtextitalic"/>
        </w:rPr>
        <w:t>National Electricity Amendment (Economic Regulation of Network Service Providers) Rule 2012</w:t>
      </w:r>
      <w:r w:rsidRPr="00F04E3B">
        <w:t>, 29 November 2012 (AEMC Final Rule Determination)</w:t>
      </w:r>
      <w:r>
        <w:t>.</w:t>
      </w:r>
      <w:proofErr w:type="gramEnd"/>
    </w:p>
  </w:footnote>
  <w:footnote w:id="2">
    <w:p w:rsidR="00713D60" w:rsidRDefault="00713D60" w:rsidP="009E7564">
      <w:pPr>
        <w:pStyle w:val="FootnoteText"/>
      </w:pPr>
      <w:r>
        <w:rPr>
          <w:rStyle w:val="FootnoteReference"/>
        </w:rPr>
        <w:footnoteRef/>
      </w:r>
      <w:r>
        <w:t xml:space="preserve"> </w:t>
      </w:r>
      <w:r>
        <w:tab/>
      </w:r>
      <w:proofErr w:type="gramStart"/>
      <w:r w:rsidRPr="00F04E3B">
        <w:t>NER, Chapter 11, Savings and Transitional Rules, Part ZW Economic Regulation of Network Service Providers (2012 amendments)</w:t>
      </w:r>
      <w:r>
        <w:t>.</w:t>
      </w:r>
      <w:proofErr w:type="gramEnd"/>
    </w:p>
  </w:footnote>
  <w:footnote w:id="3">
    <w:p w:rsidR="00713D60" w:rsidRDefault="00713D60">
      <w:pPr>
        <w:pStyle w:val="FootnoteText"/>
      </w:pPr>
      <w:r>
        <w:rPr>
          <w:rStyle w:val="FootnoteReference"/>
        </w:rPr>
        <w:footnoteRef/>
      </w:r>
      <w:r>
        <w:t xml:space="preserve"> </w:t>
      </w:r>
      <w:r>
        <w:tab/>
      </w:r>
      <w:proofErr w:type="gramStart"/>
      <w:r>
        <w:t>NER, clause 11.58.3(b).</w:t>
      </w:r>
      <w:proofErr w:type="gramEnd"/>
    </w:p>
  </w:footnote>
  <w:footnote w:id="4">
    <w:p w:rsidR="00713D60" w:rsidRDefault="00713D60">
      <w:pPr>
        <w:pStyle w:val="FootnoteText"/>
      </w:pPr>
      <w:r>
        <w:rPr>
          <w:rStyle w:val="FootnoteReference"/>
        </w:rPr>
        <w:footnoteRef/>
      </w:r>
      <w:r>
        <w:t xml:space="preserve"> </w:t>
      </w:r>
      <w:r>
        <w:tab/>
        <w:t>NEL, s 16(1)(a) and (2)(a).</w:t>
      </w:r>
    </w:p>
  </w:footnote>
  <w:footnote w:id="5">
    <w:p w:rsidR="00713D60" w:rsidRPr="00B35B6B" w:rsidRDefault="00713D60">
      <w:pPr>
        <w:pStyle w:val="FootnoteText"/>
        <w:rPr>
          <w:color w:val="000000" w:themeColor="text1"/>
        </w:rPr>
      </w:pPr>
      <w:r>
        <w:rPr>
          <w:rStyle w:val="FootnoteReference"/>
        </w:rPr>
        <w:footnoteRef/>
      </w:r>
      <w:r>
        <w:t xml:space="preserve"> </w:t>
      </w:r>
      <w:r>
        <w:tab/>
        <w:t>NEL, s 16.</w:t>
      </w:r>
      <w:r w:rsidRPr="00CB4358">
        <w:rPr>
          <w:color w:val="1F497D"/>
        </w:rPr>
        <w:t xml:space="preserve"> </w:t>
      </w:r>
      <w:r w:rsidRPr="00B35B6B">
        <w:rPr>
          <w:color w:val="000000" w:themeColor="text1"/>
        </w:rPr>
        <w:t>Section 16 provides that the AER must perform or exercise its function or power in a manner that will or is likely to contribute to the achievement of the NEO and further, if the function or power relates to the making of, relevantly, a transmission determination, ensure, amongst other matters, that where there are two or more possible reviewable regulatory decisions that will or are likely to contribute to the achievement of the NEO, make the decision that the AER is satisfied will or is likely to do so to the greatest degree (the preferable reviewable regulatory decision).</w:t>
      </w:r>
    </w:p>
  </w:footnote>
  <w:footnote w:id="6">
    <w:p w:rsidR="00713D60" w:rsidRDefault="00713D60">
      <w:pPr>
        <w:pStyle w:val="FootnoteText"/>
      </w:pPr>
      <w:r>
        <w:rPr>
          <w:rStyle w:val="FootnoteReference"/>
        </w:rPr>
        <w:footnoteRef/>
      </w:r>
      <w:r>
        <w:t xml:space="preserve"> </w:t>
      </w:r>
      <w:r>
        <w:tab/>
        <w:t>NER, clause 11.58.2(b).</w:t>
      </w:r>
    </w:p>
  </w:footnote>
  <w:footnote w:id="7">
    <w:p w:rsidR="00713D60" w:rsidRDefault="00713D60">
      <w:pPr>
        <w:pStyle w:val="FootnoteText"/>
      </w:pPr>
      <w:r>
        <w:rPr>
          <w:rStyle w:val="FootnoteReference"/>
        </w:rPr>
        <w:footnoteRef/>
      </w:r>
      <w:r>
        <w:t xml:space="preserve"> </w:t>
      </w:r>
      <w:r>
        <w:tab/>
        <w:t>The gamma value impacts upon the cost of corporate income tax.</w:t>
      </w:r>
    </w:p>
  </w:footnote>
  <w:footnote w:id="8">
    <w:p w:rsidR="00713D60" w:rsidRDefault="00713D60" w:rsidP="00E50C09">
      <w:pPr>
        <w:pStyle w:val="FootnoteText"/>
      </w:pPr>
      <w:r>
        <w:rPr>
          <w:rStyle w:val="FootnoteReference"/>
        </w:rPr>
        <w:footnoteRef/>
      </w:r>
      <w:r>
        <w:t xml:space="preserve"> </w:t>
      </w:r>
      <w:r>
        <w:tab/>
        <w:t>NER, cl. 11.58.2(b)(2).</w:t>
      </w:r>
    </w:p>
  </w:footnote>
  <w:footnote w:id="9">
    <w:p w:rsidR="00713D60" w:rsidRDefault="00713D60">
      <w:pPr>
        <w:pStyle w:val="FootnoteText"/>
      </w:pPr>
      <w:r>
        <w:rPr>
          <w:rStyle w:val="FootnoteReference"/>
        </w:rPr>
        <w:footnoteRef/>
      </w:r>
      <w:r>
        <w:t xml:space="preserve"> </w:t>
      </w:r>
      <w:r>
        <w:tab/>
        <w:t>NER, cl 11.58.3(b); NEL, s 7, 7A; s 16(1)(a), s 16(2)(a).</w:t>
      </w:r>
    </w:p>
  </w:footnote>
  <w:footnote w:id="10">
    <w:p w:rsidR="00713D60" w:rsidRDefault="00713D60">
      <w:pPr>
        <w:pStyle w:val="FootnoteText"/>
      </w:pPr>
      <w:r>
        <w:rPr>
          <w:rStyle w:val="FootnoteReference"/>
        </w:rPr>
        <w:footnoteRef/>
      </w:r>
      <w:r>
        <w:t xml:space="preserve"> </w:t>
      </w:r>
      <w:r>
        <w:tab/>
        <w:t>NER, cl 11.58.3(b); NEL, s 7, 7A; s 16(1)(a) and (d), s 16(2)(a).</w:t>
      </w:r>
    </w:p>
  </w:footnote>
  <w:footnote w:id="11">
    <w:p w:rsidR="00713D60" w:rsidRDefault="00713D60">
      <w:pPr>
        <w:pStyle w:val="FootnoteText"/>
      </w:pPr>
      <w:r>
        <w:rPr>
          <w:rStyle w:val="FootnoteReference"/>
        </w:rPr>
        <w:footnoteRef/>
      </w:r>
      <w:r>
        <w:t xml:space="preserve"> </w:t>
      </w:r>
      <w:r>
        <w:tab/>
        <w:t>NEL, s 7A(2).</w:t>
      </w:r>
    </w:p>
  </w:footnote>
  <w:footnote w:id="12">
    <w:p w:rsidR="00713D60" w:rsidRDefault="00713D60" w:rsidP="00191339">
      <w:pPr>
        <w:pStyle w:val="FootnoteText"/>
      </w:pPr>
      <w:r>
        <w:rPr>
          <w:rStyle w:val="FootnoteReference"/>
        </w:rPr>
        <w:footnoteRef/>
      </w:r>
      <w:r>
        <w:t xml:space="preserve"> </w:t>
      </w:r>
      <w:r>
        <w:tab/>
        <w:t xml:space="preserve">TransGrid, </w:t>
      </w:r>
      <w:r w:rsidRPr="00EF6A47">
        <w:rPr>
          <w:i/>
        </w:rPr>
        <w:t>Transitional revenue proposal 2014/15</w:t>
      </w:r>
      <w:r>
        <w:t>, January 2014, p. 65.</w:t>
      </w:r>
    </w:p>
  </w:footnote>
  <w:footnote w:id="13">
    <w:p w:rsidR="00713D60" w:rsidRDefault="00713D60" w:rsidP="00191339">
      <w:pPr>
        <w:pStyle w:val="FootnoteText"/>
      </w:pPr>
      <w:r>
        <w:rPr>
          <w:rStyle w:val="FootnoteReference"/>
        </w:rPr>
        <w:footnoteRef/>
      </w:r>
      <w:r>
        <w:t xml:space="preserve"> </w:t>
      </w:r>
      <w:r>
        <w:tab/>
        <w:t xml:space="preserve">Transend, </w:t>
      </w:r>
      <w:r w:rsidRPr="00791780">
        <w:rPr>
          <w:rStyle w:val="AERtextitalic"/>
        </w:rPr>
        <w:t>Transitional revenue proposal</w:t>
      </w:r>
      <w:r>
        <w:rPr>
          <w:rStyle w:val="AERtextitalic"/>
        </w:rPr>
        <w:t>, Regulatory control period 1 July 2014–30 June 2015</w:t>
      </w:r>
      <w:r>
        <w:t>, January 2014, p. 5.</w:t>
      </w:r>
    </w:p>
  </w:footnote>
  <w:footnote w:id="14">
    <w:p w:rsidR="00713D60" w:rsidRPr="00E42D6F" w:rsidRDefault="00713D60" w:rsidP="0056588C">
      <w:pPr>
        <w:pStyle w:val="FootnoteText"/>
        <w:rPr>
          <w:i/>
        </w:rPr>
      </w:pPr>
      <w:r>
        <w:rPr>
          <w:rStyle w:val="FootnoteReference"/>
        </w:rPr>
        <w:footnoteRef/>
      </w:r>
      <w:r>
        <w:t xml:space="preserve"> </w:t>
      </w:r>
      <w:r>
        <w:tab/>
        <w:t xml:space="preserve">See </w:t>
      </w:r>
      <w:hyperlink r:id="rId1" w:history="1">
        <w:r w:rsidRPr="003A26EF">
          <w:rPr>
            <w:rStyle w:val="Hyperlink"/>
            <w:i/>
          </w:rPr>
          <w:t>http://www.transgrid.com.au/aboutus/Pages/default.aspx</w:t>
        </w:r>
      </w:hyperlink>
      <w:r>
        <w:t>;</w:t>
      </w:r>
      <w:r>
        <w:rPr>
          <w:i/>
        </w:rPr>
        <w:t xml:space="preserve"> </w:t>
      </w:r>
      <w:r w:rsidRPr="00E42D6F">
        <w:t>A</w:t>
      </w:r>
      <w:r>
        <w:t xml:space="preserve">ER, </w:t>
      </w:r>
      <w:r w:rsidRPr="00E42D6F">
        <w:rPr>
          <w:i/>
        </w:rPr>
        <w:t>Transmission network service provider performance report 2010-11</w:t>
      </w:r>
      <w:r>
        <w:rPr>
          <w:i/>
        </w:rPr>
        <w:t xml:space="preserve">, </w:t>
      </w:r>
      <w:r w:rsidRPr="00E42D6F">
        <w:t>July 2013</w:t>
      </w:r>
      <w:r>
        <w:rPr>
          <w:i/>
        </w:rPr>
        <w:t xml:space="preserve">, </w:t>
      </w:r>
      <w:r>
        <w:t>p. 32</w:t>
      </w:r>
      <w:r w:rsidRPr="00E42D6F">
        <w:rPr>
          <w:i/>
        </w:rPr>
        <w:t xml:space="preserve"> </w:t>
      </w:r>
    </w:p>
  </w:footnote>
  <w:footnote w:id="15">
    <w:p w:rsidR="00713D60" w:rsidRDefault="00713D60" w:rsidP="00E42D6F">
      <w:pPr>
        <w:pStyle w:val="FootnoteText"/>
      </w:pPr>
      <w:r>
        <w:rPr>
          <w:rStyle w:val="FootnoteReference"/>
        </w:rPr>
        <w:footnoteRef/>
      </w:r>
      <w:r>
        <w:t xml:space="preserve"> </w:t>
      </w:r>
      <w:r>
        <w:tab/>
        <w:t xml:space="preserve">Transend, </w:t>
      </w:r>
      <w:r w:rsidRPr="00791780">
        <w:rPr>
          <w:rStyle w:val="AERtextitalic"/>
        </w:rPr>
        <w:t>Transitional revenue proposal</w:t>
      </w:r>
      <w:r>
        <w:rPr>
          <w:rStyle w:val="AERtextitalic"/>
        </w:rPr>
        <w:t>, Regulatory control period 1 July 2014–30 June 2015</w:t>
      </w:r>
      <w:r>
        <w:t xml:space="preserve">, January 2014, p. 21; </w:t>
      </w:r>
      <w:r w:rsidRPr="00E42D6F">
        <w:t xml:space="preserve">AER, Transmission network service provider performance </w:t>
      </w:r>
      <w:r>
        <w:t>report 2010-11, July 2013, p. 29.</w:t>
      </w:r>
    </w:p>
  </w:footnote>
  <w:footnote w:id="16">
    <w:p w:rsidR="00713D60" w:rsidRDefault="00713D60">
      <w:pPr>
        <w:pStyle w:val="FootnoteText"/>
      </w:pPr>
      <w:r>
        <w:rPr>
          <w:rStyle w:val="FootnoteReference"/>
        </w:rPr>
        <w:footnoteRef/>
      </w:r>
      <w:r>
        <w:t xml:space="preserve"> </w:t>
      </w:r>
      <w:r>
        <w:tab/>
        <w:t>NEL, Part 3, Division 6.</w:t>
      </w:r>
    </w:p>
  </w:footnote>
  <w:footnote w:id="17">
    <w:p w:rsidR="00713D60" w:rsidRPr="00FE24EB" w:rsidRDefault="00713D60" w:rsidP="009C74A7">
      <w:pPr>
        <w:pStyle w:val="FootnoteText"/>
        <w:rPr>
          <w:rFonts w:ascii="Times New Roman" w:hAnsi="Times New Roman"/>
        </w:rPr>
      </w:pPr>
      <w:r w:rsidRPr="00FE24EB">
        <w:rPr>
          <w:rStyle w:val="FootnoteReference"/>
          <w:rFonts w:ascii="Times New Roman" w:hAnsi="Times New Roman"/>
        </w:rPr>
        <w:footnoteRef/>
      </w:r>
      <w:r w:rsidRPr="00FE24EB">
        <w:rPr>
          <w:rFonts w:ascii="Times New Roman" w:hAnsi="Times New Roman"/>
        </w:rPr>
        <w:t xml:space="preserve"> </w:t>
      </w:r>
      <w:r>
        <w:rPr>
          <w:rFonts w:ascii="Times New Roman" w:hAnsi="Times New Roman"/>
        </w:rPr>
        <w:tab/>
      </w:r>
      <w:proofErr w:type="gramStart"/>
      <w:r>
        <w:rPr>
          <w:rFonts w:ascii="Times New Roman" w:hAnsi="Times New Roman"/>
        </w:rPr>
        <w:t>NER, clauses</w:t>
      </w:r>
      <w:r w:rsidRPr="00FE24EB">
        <w:rPr>
          <w:rFonts w:ascii="Times New Roman" w:hAnsi="Times New Roman"/>
        </w:rPr>
        <w:t xml:space="preserve"> 11.57.2(b) and 11.58.2(a)</w:t>
      </w:r>
      <w:r>
        <w:rPr>
          <w:rFonts w:ascii="Times New Roman" w:hAnsi="Times New Roman"/>
        </w:rPr>
        <w:t>.</w:t>
      </w:r>
      <w:proofErr w:type="gramEnd"/>
      <w:r>
        <w:rPr>
          <w:rFonts w:ascii="Times New Roman" w:hAnsi="Times New Roman"/>
        </w:rPr>
        <w:t xml:space="preserve"> </w:t>
      </w:r>
    </w:p>
  </w:footnote>
  <w:footnote w:id="18">
    <w:p w:rsidR="00713D60" w:rsidRPr="00815F2C" w:rsidRDefault="00713D60" w:rsidP="009C74A7">
      <w:pPr>
        <w:pStyle w:val="FootnoteText"/>
        <w:rPr>
          <w:rFonts w:ascii="Times New Roman" w:hAnsi="Times New Roman"/>
        </w:rPr>
      </w:pPr>
      <w:r w:rsidRPr="00815F2C">
        <w:rPr>
          <w:rStyle w:val="FootnoteReference"/>
          <w:rFonts w:ascii="Times New Roman" w:hAnsi="Times New Roman"/>
        </w:rPr>
        <w:footnoteRef/>
      </w:r>
      <w:r w:rsidRPr="00815F2C">
        <w:rPr>
          <w:rFonts w:ascii="Times New Roman" w:hAnsi="Times New Roman"/>
        </w:rPr>
        <w:t xml:space="preserve"> </w:t>
      </w:r>
      <w:r>
        <w:rPr>
          <w:rFonts w:ascii="Times New Roman" w:hAnsi="Times New Roman"/>
        </w:rPr>
        <w:tab/>
      </w:r>
      <w:r w:rsidRPr="00815F2C">
        <w:rPr>
          <w:rFonts w:ascii="Times New Roman" w:hAnsi="Times New Roman"/>
        </w:rPr>
        <w:t>AEMC</w:t>
      </w:r>
      <w:r>
        <w:rPr>
          <w:rFonts w:ascii="Times New Roman" w:hAnsi="Times New Roman"/>
        </w:rPr>
        <w:t>,</w:t>
      </w:r>
      <w:r w:rsidRPr="00815F2C">
        <w:rPr>
          <w:rFonts w:ascii="Times New Roman" w:hAnsi="Times New Roman"/>
        </w:rPr>
        <w:t xml:space="preserve"> </w:t>
      </w:r>
      <w:r w:rsidRPr="00EA7528">
        <w:rPr>
          <w:rStyle w:val="AERtextitalic"/>
        </w:rPr>
        <w:t>Final Rule Determination</w:t>
      </w:r>
      <w:r>
        <w:rPr>
          <w:rFonts w:ascii="Times New Roman" w:hAnsi="Times New Roman"/>
        </w:rPr>
        <w:t xml:space="preserve">, </w:t>
      </w:r>
      <w:r w:rsidRPr="00815F2C">
        <w:rPr>
          <w:rFonts w:ascii="Times New Roman" w:hAnsi="Times New Roman"/>
        </w:rPr>
        <w:t>p.</w:t>
      </w:r>
      <w:r>
        <w:rPr>
          <w:rFonts w:ascii="Times New Roman" w:hAnsi="Times New Roman"/>
        </w:rPr>
        <w:t xml:space="preserve"> </w:t>
      </w:r>
      <w:r w:rsidRPr="00815F2C">
        <w:rPr>
          <w:rFonts w:ascii="Times New Roman" w:hAnsi="Times New Roman"/>
        </w:rPr>
        <w:t>237</w:t>
      </w:r>
      <w:r>
        <w:rPr>
          <w:rFonts w:ascii="Times New Roman" w:hAnsi="Times New Roman"/>
        </w:rPr>
        <w:t>.</w:t>
      </w:r>
    </w:p>
  </w:footnote>
  <w:footnote w:id="19">
    <w:p w:rsidR="00713D60" w:rsidRPr="00815F2C" w:rsidRDefault="00713D60" w:rsidP="009C74A7">
      <w:pPr>
        <w:pStyle w:val="FootnoteText"/>
        <w:rPr>
          <w:rFonts w:ascii="Times New Roman" w:hAnsi="Times New Roman"/>
        </w:rPr>
      </w:pPr>
      <w:r w:rsidRPr="00815F2C">
        <w:rPr>
          <w:rStyle w:val="FootnoteReference"/>
          <w:rFonts w:ascii="Times New Roman" w:hAnsi="Times New Roman"/>
        </w:rPr>
        <w:footnoteRef/>
      </w:r>
      <w:r w:rsidRPr="00815F2C">
        <w:rPr>
          <w:rFonts w:ascii="Times New Roman" w:hAnsi="Times New Roman"/>
        </w:rPr>
        <w:t xml:space="preserve"> </w:t>
      </w:r>
      <w:r>
        <w:rPr>
          <w:rFonts w:ascii="Times New Roman" w:hAnsi="Times New Roman"/>
        </w:rPr>
        <w:tab/>
      </w:r>
      <w:proofErr w:type="gramStart"/>
      <w:r w:rsidRPr="00B02EFB">
        <w:rPr>
          <w:rFonts w:ascii="Times New Roman" w:hAnsi="Times New Roman"/>
        </w:rPr>
        <w:t>Clause 11.58.3(b).</w:t>
      </w:r>
      <w:proofErr w:type="gramEnd"/>
      <w:r w:rsidRPr="00B02EFB">
        <w:rPr>
          <w:rFonts w:ascii="Times New Roman" w:hAnsi="Times New Roman"/>
        </w:rPr>
        <w:t xml:space="preserve"> A “regulatory year” is “[e]ach consecutive period of 12 calendar months in a regulatory control period, the first such 12 month period commencing at the beginning of a regulatory control period and the final 12 month period ending at the end of the regulatory control period”: Chapter 10 NER.</w:t>
      </w:r>
    </w:p>
  </w:footnote>
  <w:footnote w:id="20">
    <w:p w:rsidR="00713D60" w:rsidRDefault="00713D60" w:rsidP="009C74A7">
      <w:pPr>
        <w:pStyle w:val="FootnoteText"/>
      </w:pPr>
      <w:r>
        <w:rPr>
          <w:rStyle w:val="FootnoteReference"/>
        </w:rPr>
        <w:footnoteRef/>
      </w:r>
      <w:r>
        <w:t xml:space="preserve"> </w:t>
      </w:r>
      <w:r>
        <w:tab/>
      </w:r>
      <w:r w:rsidRPr="00EB0F6B">
        <w:rPr>
          <w:rFonts w:ascii="Times New Roman" w:hAnsi="Times New Roman"/>
        </w:rPr>
        <w:t>AEMC Final Rule Determination, p.</w:t>
      </w:r>
      <w:r>
        <w:rPr>
          <w:rFonts w:ascii="Times New Roman" w:hAnsi="Times New Roman"/>
        </w:rPr>
        <w:t xml:space="preserve"> </w:t>
      </w:r>
      <w:r w:rsidRPr="00EB0F6B">
        <w:rPr>
          <w:rFonts w:ascii="Times New Roman" w:hAnsi="Times New Roman"/>
        </w:rPr>
        <w:t>15.</w:t>
      </w:r>
    </w:p>
  </w:footnote>
  <w:footnote w:id="21">
    <w:p w:rsidR="00713D60" w:rsidRPr="00815F2C" w:rsidRDefault="00713D60" w:rsidP="009C74A7">
      <w:pPr>
        <w:pStyle w:val="FootnoteText"/>
        <w:rPr>
          <w:rFonts w:ascii="Times New Roman" w:hAnsi="Times New Roman"/>
        </w:rPr>
      </w:pPr>
      <w:r w:rsidRPr="00815F2C">
        <w:rPr>
          <w:rStyle w:val="FootnoteReference"/>
          <w:rFonts w:ascii="Times New Roman" w:hAnsi="Times New Roman"/>
        </w:rPr>
        <w:footnoteRef/>
      </w:r>
      <w:r w:rsidRPr="00815F2C">
        <w:rPr>
          <w:rFonts w:ascii="Times New Roman" w:hAnsi="Times New Roman"/>
        </w:rPr>
        <w:t xml:space="preserve"> </w:t>
      </w:r>
      <w:r>
        <w:rPr>
          <w:rFonts w:ascii="Times New Roman" w:hAnsi="Times New Roman"/>
        </w:rPr>
        <w:tab/>
      </w:r>
      <w:proofErr w:type="gramStart"/>
      <w:r w:rsidRPr="00EB0F6B">
        <w:rPr>
          <w:rFonts w:ascii="Times New Roman" w:hAnsi="Times New Roman"/>
        </w:rPr>
        <w:t>NEL, s 16.</w:t>
      </w:r>
      <w:proofErr w:type="gramEnd"/>
      <w:r w:rsidRPr="00EB0F6B">
        <w:rPr>
          <w:rFonts w:ascii="Times New Roman" w:hAnsi="Times New Roman"/>
        </w:rPr>
        <w:t xml:space="preserve"> See p 238 of AEMC Final Rule Determination</w:t>
      </w:r>
      <w:r w:rsidRPr="00815F2C">
        <w:rPr>
          <w:rFonts w:ascii="Times New Roman" w:hAnsi="Times New Roman"/>
        </w:rPr>
        <w:t>.</w:t>
      </w:r>
    </w:p>
  </w:footnote>
  <w:footnote w:id="22">
    <w:p w:rsidR="00713D60" w:rsidRPr="00C54D94" w:rsidRDefault="00713D60" w:rsidP="009C74A7">
      <w:pPr>
        <w:pStyle w:val="FootnoteText"/>
        <w:rPr>
          <w:rFonts w:ascii="Times New Roman" w:hAnsi="Times New Roman"/>
        </w:rPr>
      </w:pPr>
      <w:r w:rsidRPr="004C4A2E">
        <w:rPr>
          <w:rStyle w:val="FootnoteReference"/>
          <w:rFonts w:ascii="Times New Roman" w:hAnsi="Times New Roman"/>
        </w:rPr>
        <w:footnoteRef/>
      </w:r>
      <w:r w:rsidRPr="004C4A2E">
        <w:rPr>
          <w:rFonts w:ascii="Times New Roman" w:hAnsi="Times New Roman"/>
        </w:rPr>
        <w:t xml:space="preserve"> </w:t>
      </w:r>
      <w:r>
        <w:rPr>
          <w:rFonts w:ascii="Times New Roman" w:hAnsi="Times New Roman"/>
        </w:rPr>
        <w:tab/>
      </w:r>
      <w:proofErr w:type="gramStart"/>
      <w:r w:rsidRPr="00EB0F6B">
        <w:rPr>
          <w:rFonts w:ascii="Times New Roman" w:hAnsi="Times New Roman"/>
        </w:rPr>
        <w:t>NER, clause 11.58.3(c)</w:t>
      </w:r>
      <w:r>
        <w:rPr>
          <w:rFonts w:ascii="Times New Roman" w:hAnsi="Times New Roman"/>
        </w:rPr>
        <w:t>.</w:t>
      </w:r>
      <w:proofErr w:type="gramEnd"/>
    </w:p>
  </w:footnote>
  <w:footnote w:id="23">
    <w:p w:rsidR="00713D60" w:rsidRPr="00815F2C" w:rsidRDefault="00713D60" w:rsidP="009C74A7">
      <w:pPr>
        <w:pStyle w:val="FootnoteText"/>
        <w:rPr>
          <w:rFonts w:ascii="Times New Roman" w:hAnsi="Times New Roman"/>
        </w:rPr>
      </w:pPr>
      <w:r w:rsidRPr="00815F2C">
        <w:rPr>
          <w:rStyle w:val="FootnoteReference"/>
          <w:rFonts w:ascii="Times New Roman" w:hAnsi="Times New Roman"/>
        </w:rPr>
        <w:footnoteRef/>
      </w:r>
      <w:r>
        <w:rPr>
          <w:rFonts w:ascii="Times New Roman" w:hAnsi="Times New Roman"/>
        </w:rPr>
        <w:t xml:space="preserve"> </w:t>
      </w:r>
      <w:r>
        <w:rPr>
          <w:rFonts w:ascii="Times New Roman" w:hAnsi="Times New Roman"/>
        </w:rPr>
        <w:tab/>
      </w:r>
      <w:proofErr w:type="gramStart"/>
      <w:r w:rsidRPr="00EB0F6B">
        <w:rPr>
          <w:rFonts w:ascii="Times New Roman" w:hAnsi="Times New Roman"/>
        </w:rPr>
        <w:t>NER, clause 11.56.3(d)</w:t>
      </w:r>
      <w:r>
        <w:rPr>
          <w:rFonts w:ascii="Times New Roman" w:hAnsi="Times New Roman"/>
        </w:rPr>
        <w:t>.</w:t>
      </w:r>
      <w:proofErr w:type="gramEnd"/>
    </w:p>
  </w:footnote>
  <w:footnote w:id="24">
    <w:p w:rsidR="00713D60" w:rsidRDefault="00713D60" w:rsidP="006F1D1D">
      <w:pPr>
        <w:pStyle w:val="FootnoteText"/>
      </w:pPr>
      <w:r>
        <w:rPr>
          <w:rStyle w:val="FootnoteReference"/>
        </w:rPr>
        <w:footnoteRef/>
      </w:r>
      <w:r>
        <w:t xml:space="preserve"> </w:t>
      </w:r>
      <w:r>
        <w:tab/>
      </w:r>
      <w:proofErr w:type="gramStart"/>
      <w:r>
        <w:t>NER, clause 11.58.3(b).</w:t>
      </w:r>
      <w:proofErr w:type="gramEnd"/>
    </w:p>
  </w:footnote>
  <w:footnote w:id="25">
    <w:p w:rsidR="00713D60" w:rsidRDefault="00713D60" w:rsidP="006F1D1D">
      <w:pPr>
        <w:pStyle w:val="FootnoteText"/>
      </w:pPr>
      <w:r>
        <w:rPr>
          <w:rStyle w:val="FootnoteReference"/>
        </w:rPr>
        <w:footnoteRef/>
      </w:r>
      <w:r>
        <w:t xml:space="preserve"> </w:t>
      </w:r>
      <w:r>
        <w:tab/>
      </w:r>
      <w:proofErr w:type="gramStart"/>
      <w:r>
        <w:t>NER, clause 11.58.3(d).</w:t>
      </w:r>
      <w:proofErr w:type="gramEnd"/>
    </w:p>
  </w:footnote>
  <w:footnote w:id="26">
    <w:p w:rsidR="00713D60" w:rsidRDefault="00713D60">
      <w:pPr>
        <w:pStyle w:val="FootnoteText"/>
      </w:pPr>
      <w:r>
        <w:rPr>
          <w:rStyle w:val="FootnoteReference"/>
        </w:rPr>
        <w:footnoteRef/>
      </w:r>
      <w:r>
        <w:t xml:space="preserve"> </w:t>
      </w:r>
      <w:r>
        <w:tab/>
      </w:r>
      <w:proofErr w:type="gramStart"/>
      <w:r>
        <w:t xml:space="preserve">TransGrid, </w:t>
      </w:r>
      <w:r w:rsidRPr="00EF6A47">
        <w:rPr>
          <w:i/>
        </w:rPr>
        <w:t>Transitional revenue proposal 2014/15</w:t>
      </w:r>
      <w:r>
        <w:t>, January 2014, p. 65.</w:t>
      </w:r>
      <w:proofErr w:type="gramEnd"/>
    </w:p>
  </w:footnote>
  <w:footnote w:id="27">
    <w:p w:rsidR="00713D60" w:rsidRDefault="00713D60">
      <w:pPr>
        <w:pStyle w:val="FootnoteText"/>
      </w:pPr>
      <w:r>
        <w:rPr>
          <w:rStyle w:val="FootnoteReference"/>
        </w:rPr>
        <w:footnoteRef/>
      </w:r>
      <w:r>
        <w:t xml:space="preserve"> </w:t>
      </w:r>
      <w:r>
        <w:tab/>
      </w:r>
      <w:proofErr w:type="gramStart"/>
      <w:r>
        <w:t xml:space="preserve">Transend, </w:t>
      </w:r>
      <w:r w:rsidRPr="00791780">
        <w:rPr>
          <w:rStyle w:val="AERtextitalic"/>
        </w:rPr>
        <w:t>Transitional revenue proposal</w:t>
      </w:r>
      <w:r>
        <w:rPr>
          <w:rStyle w:val="AERtextitalic"/>
        </w:rPr>
        <w:t>, Regulatory control period 1 July 2014–30 June 2015</w:t>
      </w:r>
      <w:r>
        <w:t>, January 2014, p. 5.</w:t>
      </w:r>
      <w:proofErr w:type="gramEnd"/>
    </w:p>
  </w:footnote>
  <w:footnote w:id="28">
    <w:p w:rsidR="00713D60" w:rsidRDefault="00713D60" w:rsidP="00955DF1">
      <w:pPr>
        <w:pStyle w:val="FootnoteText"/>
      </w:pPr>
      <w:r>
        <w:rPr>
          <w:rStyle w:val="FootnoteReference"/>
        </w:rPr>
        <w:footnoteRef/>
      </w:r>
      <w:r>
        <w:t xml:space="preserve"> </w:t>
      </w:r>
      <w:r>
        <w:tab/>
        <w:t xml:space="preserve">Major Energy Users, </w:t>
      </w:r>
      <w:r>
        <w:rPr>
          <w:rStyle w:val="AERtextitalic"/>
        </w:rPr>
        <w:t>NSW e</w:t>
      </w:r>
      <w:r w:rsidRPr="00EF1C27">
        <w:rPr>
          <w:rStyle w:val="AERtextitalic"/>
        </w:rPr>
        <w:t xml:space="preserve">lectricity </w:t>
      </w:r>
      <w:r>
        <w:rPr>
          <w:rStyle w:val="AERtextitalic"/>
        </w:rPr>
        <w:t>t</w:t>
      </w:r>
      <w:r w:rsidRPr="00EF1C27">
        <w:rPr>
          <w:rStyle w:val="AERtextitalic"/>
        </w:rPr>
        <w:t>ransm</w:t>
      </w:r>
      <w:r>
        <w:rPr>
          <w:rStyle w:val="AERtextitalic"/>
        </w:rPr>
        <w:t>ission revenue reset: TransGrid a</w:t>
      </w:r>
      <w:r w:rsidRPr="00EF1C27">
        <w:rPr>
          <w:rStyle w:val="AERtextitalic"/>
        </w:rPr>
        <w:t xml:space="preserve">pplication for </w:t>
      </w:r>
      <w:r>
        <w:rPr>
          <w:rStyle w:val="AERtextitalic"/>
        </w:rPr>
        <w:t>t</w:t>
      </w:r>
      <w:r w:rsidRPr="00EF1C27">
        <w:rPr>
          <w:rStyle w:val="AERtextitalic"/>
        </w:rPr>
        <w:t xml:space="preserve">ransition </w:t>
      </w:r>
      <w:r>
        <w:rPr>
          <w:rStyle w:val="AERtextitalic"/>
        </w:rPr>
        <w:t>y</w:t>
      </w:r>
      <w:r w:rsidRPr="00EF1C27">
        <w:rPr>
          <w:rStyle w:val="AERtextitalic"/>
        </w:rPr>
        <w:t>ear 2014/15</w:t>
      </w:r>
      <w:r w:rsidRPr="00EF1C27">
        <w:rPr>
          <w:rStyle w:val="AERtextitalic"/>
          <w:rFonts w:hint="eastAsia"/>
        </w:rPr>
        <w:t>—</w:t>
      </w:r>
      <w:r w:rsidRPr="00EF1C27">
        <w:rPr>
          <w:rStyle w:val="AERtextitalic"/>
        </w:rPr>
        <w:t>A response</w:t>
      </w:r>
      <w:r>
        <w:t>, February 2014, p. 23.</w:t>
      </w:r>
    </w:p>
  </w:footnote>
  <w:footnote w:id="29">
    <w:p w:rsidR="00713D60" w:rsidRDefault="00713D60" w:rsidP="00D67D82">
      <w:pPr>
        <w:pStyle w:val="FootnoteText"/>
      </w:pPr>
      <w:r>
        <w:rPr>
          <w:rStyle w:val="FootnoteReference"/>
        </w:rPr>
        <w:footnoteRef/>
      </w:r>
      <w:r>
        <w:t xml:space="preserve"> </w:t>
      </w:r>
      <w:r>
        <w:tab/>
        <w:t>NER, cl 11.58.3(b); NEL, s 7, 7A; s 16(1</w:t>
      </w:r>
      <w:proofErr w:type="gramStart"/>
      <w:r>
        <w:t>)(</w:t>
      </w:r>
      <w:proofErr w:type="gramEnd"/>
      <w:r>
        <w:t>a), s 16(2)(a).</w:t>
      </w:r>
    </w:p>
  </w:footnote>
  <w:footnote w:id="30">
    <w:p w:rsidR="00713D60" w:rsidRDefault="00713D60" w:rsidP="00013C43">
      <w:pPr>
        <w:pStyle w:val="FootnoteText"/>
      </w:pPr>
      <w:r>
        <w:rPr>
          <w:rStyle w:val="FootnoteReference"/>
        </w:rPr>
        <w:footnoteRef/>
      </w:r>
      <w:r>
        <w:t xml:space="preserve"> </w:t>
      </w:r>
      <w:r>
        <w:tab/>
      </w:r>
      <w:proofErr w:type="gramStart"/>
      <w:r>
        <w:t xml:space="preserve">Tasmanian Small Business Council, </w:t>
      </w:r>
      <w:r w:rsidRPr="000D0630">
        <w:rPr>
          <w:rStyle w:val="AERtextitalic"/>
        </w:rPr>
        <w:t>Transend transitional revenue proposal, 2014/15</w:t>
      </w:r>
      <w:r w:rsidRPr="000D0630">
        <w:rPr>
          <w:rStyle w:val="AERtextitalic"/>
          <w:rFonts w:hint="eastAsia"/>
        </w:rPr>
        <w:t>—</w:t>
      </w:r>
      <w:r w:rsidRPr="000D0630">
        <w:rPr>
          <w:rStyle w:val="AERtextitalic"/>
        </w:rPr>
        <w:t>Submission</w:t>
      </w:r>
      <w:r>
        <w:t>, March 2014, p. 3.</w:t>
      </w:r>
      <w:proofErr w:type="gramEnd"/>
    </w:p>
  </w:footnote>
  <w:footnote w:id="31">
    <w:p w:rsidR="00713D60" w:rsidRDefault="00713D60" w:rsidP="00013C43">
      <w:pPr>
        <w:pStyle w:val="FootnoteText"/>
      </w:pPr>
      <w:r>
        <w:rPr>
          <w:rStyle w:val="FootnoteReference"/>
        </w:rPr>
        <w:footnoteRef/>
      </w:r>
      <w:r>
        <w:t xml:space="preserve"> </w:t>
      </w:r>
      <w:r>
        <w:tab/>
        <w:t xml:space="preserve">Major Energy Users, </w:t>
      </w:r>
      <w:r>
        <w:rPr>
          <w:rStyle w:val="AERtextitalic"/>
        </w:rPr>
        <w:t>Tasmanian e</w:t>
      </w:r>
      <w:r w:rsidRPr="00EF1C27">
        <w:rPr>
          <w:rStyle w:val="AERtextitalic"/>
        </w:rPr>
        <w:t xml:space="preserve">lectricity </w:t>
      </w:r>
      <w:r>
        <w:rPr>
          <w:rStyle w:val="AERtextitalic"/>
        </w:rPr>
        <w:t>t</w:t>
      </w:r>
      <w:r w:rsidRPr="00EF1C27">
        <w:rPr>
          <w:rStyle w:val="AERtextitalic"/>
        </w:rPr>
        <w:t>ransm</w:t>
      </w:r>
      <w:r>
        <w:rPr>
          <w:rStyle w:val="AERtextitalic"/>
        </w:rPr>
        <w:t>ission revenue reset: Transend a</w:t>
      </w:r>
      <w:r w:rsidRPr="00EF1C27">
        <w:rPr>
          <w:rStyle w:val="AERtextitalic"/>
        </w:rPr>
        <w:t xml:space="preserve">pplication for </w:t>
      </w:r>
      <w:r>
        <w:rPr>
          <w:rStyle w:val="AERtextitalic"/>
        </w:rPr>
        <w:t>t</w:t>
      </w:r>
      <w:r w:rsidRPr="00EF1C27">
        <w:rPr>
          <w:rStyle w:val="AERtextitalic"/>
        </w:rPr>
        <w:t xml:space="preserve">ransition </w:t>
      </w:r>
      <w:r>
        <w:rPr>
          <w:rStyle w:val="AERtextitalic"/>
        </w:rPr>
        <w:t>y</w:t>
      </w:r>
      <w:r w:rsidRPr="00EF1C27">
        <w:rPr>
          <w:rStyle w:val="AERtextitalic"/>
        </w:rPr>
        <w:t>ear 2014/15</w:t>
      </w:r>
      <w:r w:rsidRPr="00EF1C27">
        <w:rPr>
          <w:rStyle w:val="AERtextitalic"/>
          <w:rFonts w:hint="eastAsia"/>
        </w:rPr>
        <w:t>—</w:t>
      </w:r>
      <w:r w:rsidRPr="00EF1C27">
        <w:rPr>
          <w:rStyle w:val="AERtextitalic"/>
        </w:rPr>
        <w:t>A response</w:t>
      </w:r>
      <w:r>
        <w:t>, February 2014, p. 18.</w:t>
      </w:r>
    </w:p>
  </w:footnote>
  <w:footnote w:id="32">
    <w:p w:rsidR="00713D60" w:rsidRDefault="00713D60" w:rsidP="00D67D82">
      <w:pPr>
        <w:pStyle w:val="FootnoteText"/>
      </w:pPr>
      <w:r>
        <w:rPr>
          <w:rStyle w:val="FootnoteReference"/>
        </w:rPr>
        <w:footnoteRef/>
      </w:r>
      <w:r>
        <w:t xml:space="preserve"> </w:t>
      </w:r>
      <w:r>
        <w:tab/>
        <w:t>NER, cl 11.58.3(b); NEL, s 7, 7A; s 16(1</w:t>
      </w:r>
      <w:proofErr w:type="gramStart"/>
      <w:r>
        <w:t>)(</w:t>
      </w:r>
      <w:proofErr w:type="gramEnd"/>
      <w:r>
        <w:t>a) and (d); s 16(2)(a).</w:t>
      </w:r>
    </w:p>
  </w:footnote>
  <w:footnote w:id="33">
    <w:p w:rsidR="00713D60" w:rsidRDefault="00713D60" w:rsidP="006B787F">
      <w:pPr>
        <w:pStyle w:val="FootnoteText"/>
      </w:pPr>
      <w:r>
        <w:rPr>
          <w:rStyle w:val="FootnoteReference"/>
        </w:rPr>
        <w:footnoteRef/>
      </w:r>
      <w:r>
        <w:t xml:space="preserve"> </w:t>
      </w:r>
      <w:r>
        <w:tab/>
      </w:r>
      <w:proofErr w:type="gramStart"/>
      <w:r>
        <w:t xml:space="preserve">TransGrid, </w:t>
      </w:r>
      <w:r w:rsidRPr="00EF6A47">
        <w:rPr>
          <w:i/>
        </w:rPr>
        <w:t>Transitional revenue proposal 2014/15</w:t>
      </w:r>
      <w:r>
        <w:t>, January 2014, pp. 53–54.</w:t>
      </w:r>
      <w:proofErr w:type="gramEnd"/>
    </w:p>
  </w:footnote>
  <w:footnote w:id="34">
    <w:p w:rsidR="00713D60" w:rsidRDefault="00713D60" w:rsidP="006B787F">
      <w:pPr>
        <w:pStyle w:val="FootnoteText"/>
      </w:pPr>
      <w:r>
        <w:rPr>
          <w:rStyle w:val="FootnoteReference"/>
        </w:rPr>
        <w:footnoteRef/>
      </w:r>
      <w:r>
        <w:t xml:space="preserve"> </w:t>
      </w:r>
      <w:r>
        <w:tab/>
      </w:r>
      <w:proofErr w:type="gramStart"/>
      <w:r>
        <w:t>Transend</w:t>
      </w:r>
      <w:r w:rsidRPr="00046761">
        <w:t xml:space="preserve">, </w:t>
      </w:r>
      <w:r w:rsidRPr="00046761">
        <w:rPr>
          <w:i/>
        </w:rPr>
        <w:t>Transitional revenue proposal 1 July 2014–30 June 2015</w:t>
      </w:r>
      <w:r>
        <w:t>, January 2014, pp. 95–98.</w:t>
      </w:r>
      <w:proofErr w:type="gramEnd"/>
    </w:p>
  </w:footnote>
  <w:footnote w:id="35">
    <w:p w:rsidR="00713D60" w:rsidRDefault="00713D60" w:rsidP="006B787F">
      <w:pPr>
        <w:pStyle w:val="FootnoteText"/>
      </w:pPr>
      <w:r>
        <w:rPr>
          <w:rStyle w:val="FootnoteReference"/>
        </w:rPr>
        <w:footnoteRef/>
      </w:r>
      <w:r>
        <w:t xml:space="preserve"> </w:t>
      </w:r>
      <w:r>
        <w:tab/>
      </w:r>
      <w:proofErr w:type="gramStart"/>
      <w:r>
        <w:t>Transend</w:t>
      </w:r>
      <w:r w:rsidRPr="00046761">
        <w:t xml:space="preserve">, </w:t>
      </w:r>
      <w:r w:rsidRPr="00046761">
        <w:rPr>
          <w:i/>
        </w:rPr>
        <w:t>Transitional revenue proposal 1 July 2014–30 June 2015</w:t>
      </w:r>
      <w:r>
        <w:t>, January 2014, pp. 95–98.</w:t>
      </w:r>
      <w:proofErr w:type="gramEnd"/>
    </w:p>
  </w:footnote>
  <w:footnote w:id="36">
    <w:p w:rsidR="00713D60" w:rsidRDefault="00713D60" w:rsidP="006B787F">
      <w:pPr>
        <w:pStyle w:val="FootnoteText"/>
      </w:pPr>
      <w:r>
        <w:rPr>
          <w:rStyle w:val="FootnoteReference"/>
        </w:rPr>
        <w:footnoteRef/>
      </w:r>
      <w:r>
        <w:t xml:space="preserve"> </w:t>
      </w:r>
      <w:r>
        <w:tab/>
        <w:t>NER cl. 11.58.2(b)(2)</w:t>
      </w:r>
    </w:p>
  </w:footnote>
  <w:footnote w:id="37">
    <w:p w:rsidR="00713D60" w:rsidRDefault="00713D60" w:rsidP="006B787F">
      <w:pPr>
        <w:pStyle w:val="FootnoteText"/>
      </w:pPr>
      <w:r>
        <w:rPr>
          <w:rStyle w:val="FootnoteReference"/>
        </w:rPr>
        <w:footnoteRef/>
      </w:r>
      <w:r>
        <w:t xml:space="preserve"> </w:t>
      </w:r>
      <w:r>
        <w:tab/>
      </w:r>
      <w:proofErr w:type="gramStart"/>
      <w:r>
        <w:t xml:space="preserve">AER, </w:t>
      </w:r>
      <w:r w:rsidRPr="00EF6A47">
        <w:rPr>
          <w:i/>
        </w:rPr>
        <w:t>Better regulation rate of return guideline</w:t>
      </w:r>
      <w:r>
        <w:t>, December 2013.</w:t>
      </w:r>
      <w:proofErr w:type="gramEnd"/>
    </w:p>
  </w:footnote>
  <w:footnote w:id="38">
    <w:p w:rsidR="00713D60" w:rsidRDefault="00713D60" w:rsidP="006B787F">
      <w:pPr>
        <w:pStyle w:val="FootnoteText"/>
      </w:pPr>
      <w:r>
        <w:rPr>
          <w:rStyle w:val="FootnoteReference"/>
        </w:rPr>
        <w:footnoteRef/>
      </w:r>
      <w:r>
        <w:t xml:space="preserve"> </w:t>
      </w:r>
      <w:r>
        <w:tab/>
        <w:t xml:space="preserve">Major Energy Users, </w:t>
      </w:r>
      <w:r>
        <w:rPr>
          <w:rStyle w:val="AERtextitalic"/>
        </w:rPr>
        <w:t>Tasmanian e</w:t>
      </w:r>
      <w:r w:rsidRPr="000D0630">
        <w:rPr>
          <w:rStyle w:val="AERtextitalic"/>
        </w:rPr>
        <w:t xml:space="preserve">lectricity </w:t>
      </w:r>
      <w:r>
        <w:rPr>
          <w:rStyle w:val="AERtextitalic"/>
        </w:rPr>
        <w:t>t</w:t>
      </w:r>
      <w:r w:rsidRPr="000D0630">
        <w:rPr>
          <w:rStyle w:val="AERtextitalic"/>
        </w:rPr>
        <w:t>ransm</w:t>
      </w:r>
      <w:r>
        <w:rPr>
          <w:rStyle w:val="AERtextitalic"/>
        </w:rPr>
        <w:t>ission revenue reset: Transend a</w:t>
      </w:r>
      <w:r w:rsidRPr="000D0630">
        <w:rPr>
          <w:rStyle w:val="AERtextitalic"/>
        </w:rPr>
        <w:t xml:space="preserve">pplication for </w:t>
      </w:r>
      <w:r>
        <w:rPr>
          <w:rStyle w:val="AERtextitalic"/>
        </w:rPr>
        <w:t>t</w:t>
      </w:r>
      <w:r w:rsidRPr="000D0630">
        <w:rPr>
          <w:rStyle w:val="AERtextitalic"/>
        </w:rPr>
        <w:t xml:space="preserve">ransition </w:t>
      </w:r>
      <w:r>
        <w:rPr>
          <w:rStyle w:val="AERtextitalic"/>
        </w:rPr>
        <w:t>y</w:t>
      </w:r>
      <w:r w:rsidRPr="000D0630">
        <w:rPr>
          <w:rStyle w:val="AERtextitalic"/>
        </w:rPr>
        <w:t>ear 2014/15</w:t>
      </w:r>
      <w:r w:rsidRPr="000D0630">
        <w:rPr>
          <w:rStyle w:val="AERtextitalic"/>
          <w:rFonts w:hint="eastAsia"/>
        </w:rPr>
        <w:t>—</w:t>
      </w:r>
      <w:r w:rsidRPr="000D0630">
        <w:rPr>
          <w:rStyle w:val="AERtextitalic"/>
        </w:rPr>
        <w:t>A response</w:t>
      </w:r>
      <w:r>
        <w:t>, February 2010, p. 10</w:t>
      </w:r>
      <w:r>
        <w:rPr>
          <w:rFonts w:cs="Gautami"/>
        </w:rPr>
        <w:t>–</w:t>
      </w:r>
      <w:r>
        <w:t xml:space="preserve">11; Major Energy Users, </w:t>
      </w:r>
      <w:r>
        <w:rPr>
          <w:rStyle w:val="AERtextitalic"/>
        </w:rPr>
        <w:t>NSW e</w:t>
      </w:r>
      <w:r w:rsidRPr="00EF1C27">
        <w:rPr>
          <w:rStyle w:val="AERtextitalic"/>
        </w:rPr>
        <w:t xml:space="preserve">lectricity </w:t>
      </w:r>
      <w:r>
        <w:rPr>
          <w:rStyle w:val="AERtextitalic"/>
        </w:rPr>
        <w:t>t</w:t>
      </w:r>
      <w:r w:rsidRPr="00EF1C27">
        <w:rPr>
          <w:rStyle w:val="AERtextitalic"/>
        </w:rPr>
        <w:t>ransm</w:t>
      </w:r>
      <w:r>
        <w:rPr>
          <w:rStyle w:val="AERtextitalic"/>
        </w:rPr>
        <w:t>ission revenue reset: TransGrid a</w:t>
      </w:r>
      <w:r w:rsidRPr="00EF1C27">
        <w:rPr>
          <w:rStyle w:val="AERtextitalic"/>
        </w:rPr>
        <w:t xml:space="preserve">pplication for </w:t>
      </w:r>
      <w:r>
        <w:rPr>
          <w:rStyle w:val="AERtextitalic"/>
        </w:rPr>
        <w:t>t</w:t>
      </w:r>
      <w:r w:rsidRPr="00EF1C27">
        <w:rPr>
          <w:rStyle w:val="AERtextitalic"/>
        </w:rPr>
        <w:t xml:space="preserve">ransition </w:t>
      </w:r>
      <w:r>
        <w:rPr>
          <w:rStyle w:val="AERtextitalic"/>
        </w:rPr>
        <w:t>y</w:t>
      </w:r>
      <w:r w:rsidRPr="00EF1C27">
        <w:rPr>
          <w:rStyle w:val="AERtextitalic"/>
        </w:rPr>
        <w:t>ear 2014/15</w:t>
      </w:r>
      <w:r w:rsidRPr="00EF1C27">
        <w:rPr>
          <w:rStyle w:val="AERtextitalic"/>
          <w:rFonts w:hint="eastAsia"/>
        </w:rPr>
        <w:t>—</w:t>
      </w:r>
      <w:r w:rsidRPr="00EF1C27">
        <w:rPr>
          <w:rStyle w:val="AERtextitalic"/>
        </w:rPr>
        <w:t>A response</w:t>
      </w:r>
      <w:r>
        <w:t>, February 2014, pp. 11</w:t>
      </w:r>
      <w:r>
        <w:rPr>
          <w:rFonts w:cs="Gautami"/>
        </w:rPr>
        <w:t>–</w:t>
      </w:r>
      <w:r>
        <w:t>12.</w:t>
      </w:r>
    </w:p>
  </w:footnote>
  <w:footnote w:id="39">
    <w:p w:rsidR="00713D60" w:rsidRDefault="00713D60" w:rsidP="006B787F">
      <w:pPr>
        <w:pStyle w:val="FootnoteText"/>
      </w:pPr>
      <w:r>
        <w:rPr>
          <w:rStyle w:val="FootnoteReference"/>
        </w:rPr>
        <w:footnoteRef/>
      </w:r>
      <w:r>
        <w:t xml:space="preserve"> </w:t>
      </w:r>
      <w:r>
        <w:tab/>
        <w:t xml:space="preserve">Major Energy Users, </w:t>
      </w:r>
      <w:r>
        <w:rPr>
          <w:rStyle w:val="AERtextitalic"/>
        </w:rPr>
        <w:t>Tasmanian e</w:t>
      </w:r>
      <w:r w:rsidRPr="00EF1C27">
        <w:rPr>
          <w:rStyle w:val="AERtextitalic"/>
        </w:rPr>
        <w:t xml:space="preserve">lectricity </w:t>
      </w:r>
      <w:r>
        <w:rPr>
          <w:rStyle w:val="AERtextitalic"/>
        </w:rPr>
        <w:t>t</w:t>
      </w:r>
      <w:r w:rsidRPr="00EF1C27">
        <w:rPr>
          <w:rStyle w:val="AERtextitalic"/>
        </w:rPr>
        <w:t>ransm</w:t>
      </w:r>
      <w:r>
        <w:rPr>
          <w:rStyle w:val="AERtextitalic"/>
        </w:rPr>
        <w:t>ission revenue reset: Transend a</w:t>
      </w:r>
      <w:r w:rsidRPr="00EF1C27">
        <w:rPr>
          <w:rStyle w:val="AERtextitalic"/>
        </w:rPr>
        <w:t xml:space="preserve">pplication for </w:t>
      </w:r>
      <w:r>
        <w:rPr>
          <w:rStyle w:val="AERtextitalic"/>
        </w:rPr>
        <w:t>t</w:t>
      </w:r>
      <w:r w:rsidRPr="00EF1C27">
        <w:rPr>
          <w:rStyle w:val="AERtextitalic"/>
        </w:rPr>
        <w:t xml:space="preserve">ransition </w:t>
      </w:r>
      <w:r>
        <w:rPr>
          <w:rStyle w:val="AERtextitalic"/>
        </w:rPr>
        <w:t>y</w:t>
      </w:r>
      <w:r w:rsidRPr="00EF1C27">
        <w:rPr>
          <w:rStyle w:val="AERtextitalic"/>
        </w:rPr>
        <w:t>ear 2014/15</w:t>
      </w:r>
      <w:r w:rsidRPr="00EF1C27">
        <w:rPr>
          <w:rStyle w:val="AERtextitalic"/>
          <w:rFonts w:hint="eastAsia"/>
        </w:rPr>
        <w:t>—</w:t>
      </w:r>
      <w:r w:rsidRPr="00EF1C27">
        <w:rPr>
          <w:rStyle w:val="AERtextitalic"/>
        </w:rPr>
        <w:t>A response</w:t>
      </w:r>
      <w:r>
        <w:t>, February 2010, p. 10</w:t>
      </w:r>
      <w:r>
        <w:rPr>
          <w:rFonts w:cs="Gautami"/>
        </w:rPr>
        <w:t>–</w:t>
      </w:r>
      <w:r>
        <w:t xml:space="preserve">11; Major Energy Users, </w:t>
      </w:r>
      <w:r>
        <w:rPr>
          <w:rStyle w:val="AERtextitalic"/>
        </w:rPr>
        <w:t>NSW e</w:t>
      </w:r>
      <w:r w:rsidRPr="00EF1C27">
        <w:rPr>
          <w:rStyle w:val="AERtextitalic"/>
        </w:rPr>
        <w:t xml:space="preserve">lectricity </w:t>
      </w:r>
      <w:r>
        <w:rPr>
          <w:rStyle w:val="AERtextitalic"/>
        </w:rPr>
        <w:t>t</w:t>
      </w:r>
      <w:r w:rsidRPr="00EF1C27">
        <w:rPr>
          <w:rStyle w:val="AERtextitalic"/>
        </w:rPr>
        <w:t>ransm</w:t>
      </w:r>
      <w:r>
        <w:rPr>
          <w:rStyle w:val="AERtextitalic"/>
        </w:rPr>
        <w:t>ission revenue reset: TransGrid a</w:t>
      </w:r>
      <w:r w:rsidRPr="00EF1C27">
        <w:rPr>
          <w:rStyle w:val="AERtextitalic"/>
        </w:rPr>
        <w:t xml:space="preserve">pplication for </w:t>
      </w:r>
      <w:r>
        <w:rPr>
          <w:rStyle w:val="AERtextitalic"/>
        </w:rPr>
        <w:t>t</w:t>
      </w:r>
      <w:r w:rsidRPr="00EF1C27">
        <w:rPr>
          <w:rStyle w:val="AERtextitalic"/>
        </w:rPr>
        <w:t xml:space="preserve">ransition </w:t>
      </w:r>
      <w:r>
        <w:rPr>
          <w:rStyle w:val="AERtextitalic"/>
        </w:rPr>
        <w:t>y</w:t>
      </w:r>
      <w:r w:rsidRPr="00EF1C27">
        <w:rPr>
          <w:rStyle w:val="AERtextitalic"/>
        </w:rPr>
        <w:t>ear 2014/15</w:t>
      </w:r>
      <w:r w:rsidRPr="00EF1C27">
        <w:rPr>
          <w:rStyle w:val="AERtextitalic"/>
          <w:rFonts w:hint="eastAsia"/>
        </w:rPr>
        <w:t>—</w:t>
      </w:r>
      <w:r w:rsidRPr="00EF1C27">
        <w:rPr>
          <w:rStyle w:val="AERtextitalic"/>
        </w:rPr>
        <w:t>A response</w:t>
      </w:r>
      <w:r>
        <w:t>, February 2014, pp. 11</w:t>
      </w:r>
      <w:r>
        <w:rPr>
          <w:rFonts w:cs="Gautami"/>
        </w:rPr>
        <w:t>–</w:t>
      </w:r>
      <w:r>
        <w:t>12.</w:t>
      </w:r>
    </w:p>
  </w:footnote>
  <w:footnote w:id="40">
    <w:p w:rsidR="00713D60" w:rsidRDefault="00713D60" w:rsidP="006B787F">
      <w:pPr>
        <w:pStyle w:val="FootnoteText"/>
      </w:pPr>
      <w:r>
        <w:rPr>
          <w:rStyle w:val="FootnoteReference"/>
        </w:rPr>
        <w:footnoteRef/>
      </w:r>
      <w:r>
        <w:t xml:space="preserve"> </w:t>
      </w:r>
      <w:r>
        <w:tab/>
      </w:r>
      <w:proofErr w:type="gramStart"/>
      <w:r>
        <w:t xml:space="preserve">Tasmanian Small Business Council, </w:t>
      </w:r>
      <w:r w:rsidRPr="000D0630">
        <w:rPr>
          <w:rStyle w:val="AERtextitalic"/>
        </w:rPr>
        <w:t>Transend transitional revenue proposal, 2014/15</w:t>
      </w:r>
      <w:r w:rsidRPr="000D0630">
        <w:rPr>
          <w:rStyle w:val="AERtextitalic"/>
          <w:rFonts w:hint="eastAsia"/>
        </w:rPr>
        <w:t>—</w:t>
      </w:r>
      <w:r w:rsidRPr="000D0630">
        <w:rPr>
          <w:rStyle w:val="AERtextitalic"/>
        </w:rPr>
        <w:t>Submission</w:t>
      </w:r>
      <w:r>
        <w:t>, March 2014, pp. 21</w:t>
      </w:r>
      <w:r>
        <w:rPr>
          <w:rFonts w:cs="Gautami"/>
        </w:rPr>
        <w:t>–</w:t>
      </w:r>
      <w:r>
        <w:t>22.</w:t>
      </w:r>
      <w:proofErr w:type="gramEnd"/>
    </w:p>
  </w:footnote>
  <w:footnote w:id="41">
    <w:p w:rsidR="00713D60" w:rsidRDefault="00713D60" w:rsidP="006B787F">
      <w:pPr>
        <w:pStyle w:val="FootnoteText"/>
      </w:pPr>
      <w:r>
        <w:rPr>
          <w:rStyle w:val="FootnoteReference"/>
        </w:rPr>
        <w:footnoteRef/>
      </w:r>
      <w:r>
        <w:t xml:space="preserve"> </w:t>
      </w:r>
      <w:r>
        <w:tab/>
        <w:t xml:space="preserve">Public Interest Advocacy Centre Ltd, </w:t>
      </w:r>
      <w:r w:rsidRPr="00102D15">
        <w:rPr>
          <w:rStyle w:val="AERtextitalic"/>
        </w:rPr>
        <w:t>The opening act: PIAC response to the Transitional Regulatory Proposals by the electricity network service providers in NSW for 2014-15</w:t>
      </w:r>
      <w:r>
        <w:t>, March 2014, pp. 4</w:t>
      </w:r>
      <w:r>
        <w:rPr>
          <w:rFonts w:cs="Gautami"/>
        </w:rPr>
        <w:t>–</w:t>
      </w:r>
      <w:r>
        <w:t>5.</w:t>
      </w:r>
    </w:p>
  </w:footnote>
  <w:footnote w:id="42">
    <w:p w:rsidR="00713D60" w:rsidRDefault="00713D60" w:rsidP="00E77297">
      <w:pPr>
        <w:pStyle w:val="FootnoteText"/>
      </w:pPr>
      <w:r>
        <w:rPr>
          <w:rStyle w:val="FootnoteReference"/>
        </w:rPr>
        <w:footnoteRef/>
      </w:r>
      <w:r>
        <w:t xml:space="preserve"> </w:t>
      </w:r>
      <w:r>
        <w:tab/>
        <w:t xml:space="preserve">Public Interest Advocacy Centre Ltd, </w:t>
      </w:r>
      <w:r w:rsidRPr="00102D15">
        <w:rPr>
          <w:rStyle w:val="AERtextitalic"/>
        </w:rPr>
        <w:t>The opening act: PIAC response to the Transitional Regulatory Proposals by the electricity network service providers in NSW for 2014-15</w:t>
      </w:r>
      <w:r>
        <w:t>, March 2014, pp. 20</w:t>
      </w:r>
      <w:r>
        <w:rPr>
          <w:rFonts w:cs="Gautami"/>
        </w:rPr>
        <w:t>–21</w:t>
      </w:r>
      <w:r>
        <w:t>.</w:t>
      </w:r>
    </w:p>
  </w:footnote>
  <w:footnote w:id="43">
    <w:p w:rsidR="00713D60" w:rsidRDefault="00713D60" w:rsidP="00E77297">
      <w:pPr>
        <w:pStyle w:val="FootnoteText"/>
      </w:pPr>
      <w:r>
        <w:rPr>
          <w:rStyle w:val="FootnoteReference"/>
        </w:rPr>
        <w:footnoteRef/>
      </w:r>
      <w:r>
        <w:t xml:space="preserve"> </w:t>
      </w:r>
      <w:r>
        <w:tab/>
        <w:t xml:space="preserve">Public Interest Advocacy Centre Ltd, </w:t>
      </w:r>
      <w:r w:rsidRPr="00102D15">
        <w:rPr>
          <w:rStyle w:val="AERtextitalic"/>
        </w:rPr>
        <w:t>The opening act: PIAC response to the Transitional Regulatory Proposals by the electricity network service providers in NSW for 2014-15</w:t>
      </w:r>
      <w:r>
        <w:t>, March 2014, pp. 23</w:t>
      </w:r>
      <w:r>
        <w:rPr>
          <w:rFonts w:cs="Gautami"/>
        </w:rPr>
        <w:t>–</w:t>
      </w:r>
      <w:r>
        <w:t>24.</w:t>
      </w:r>
    </w:p>
  </w:footnote>
  <w:footnote w:id="44">
    <w:p w:rsidR="00713D60" w:rsidRDefault="00713D60" w:rsidP="00E77297">
      <w:pPr>
        <w:pStyle w:val="FootnoteText"/>
      </w:pPr>
      <w:r>
        <w:rPr>
          <w:rStyle w:val="FootnoteReference"/>
        </w:rPr>
        <w:footnoteRef/>
      </w:r>
      <w:r>
        <w:t xml:space="preserve"> </w:t>
      </w:r>
      <w:r>
        <w:tab/>
        <w:t xml:space="preserve">Public Interest Advocacy Centre Ltd, </w:t>
      </w:r>
      <w:r w:rsidRPr="00102D15">
        <w:rPr>
          <w:rStyle w:val="AERtextitalic"/>
        </w:rPr>
        <w:t>The opening act: PIAC response to the Transitional Regulatory Proposals by the electricity network service providers in NSW for 2014-15</w:t>
      </w:r>
      <w:r>
        <w:t>, March 2014, pp. 27</w:t>
      </w:r>
      <w:r>
        <w:rPr>
          <w:rFonts w:cs="Gautami"/>
        </w:rPr>
        <w:t>–</w:t>
      </w:r>
      <w:r>
        <w:t>30.</w:t>
      </w:r>
    </w:p>
  </w:footnote>
  <w:footnote w:id="45">
    <w:p w:rsidR="00713D60" w:rsidRDefault="00713D60" w:rsidP="006B787F">
      <w:pPr>
        <w:pStyle w:val="FootnoteText"/>
      </w:pPr>
      <w:r>
        <w:rPr>
          <w:rStyle w:val="FootnoteReference"/>
        </w:rPr>
        <w:footnoteRef/>
      </w:r>
      <w:r>
        <w:t xml:space="preserve"> </w:t>
      </w:r>
      <w:r>
        <w:tab/>
      </w:r>
      <w:proofErr w:type="gramStart"/>
      <w:r>
        <w:t xml:space="preserve">TransGrid, </w:t>
      </w:r>
      <w:r w:rsidRPr="00EF6A47">
        <w:rPr>
          <w:i/>
        </w:rPr>
        <w:t>Transitional revenue proposal 2014/15</w:t>
      </w:r>
      <w:r>
        <w:t>, January 2014, p. 48.</w:t>
      </w:r>
      <w:proofErr w:type="gramEnd"/>
    </w:p>
  </w:footnote>
  <w:footnote w:id="46">
    <w:p w:rsidR="00713D60" w:rsidRDefault="00713D60">
      <w:pPr>
        <w:pStyle w:val="FootnoteText"/>
      </w:pPr>
      <w:r>
        <w:rPr>
          <w:rStyle w:val="FootnoteReference"/>
        </w:rPr>
        <w:footnoteRef/>
      </w:r>
      <w:r>
        <w:t xml:space="preserve"> </w:t>
      </w:r>
      <w:r>
        <w:tab/>
        <w:t xml:space="preserve">Transend, </w:t>
      </w:r>
      <w:r w:rsidRPr="00791780">
        <w:rPr>
          <w:rStyle w:val="AERtextitalic"/>
        </w:rPr>
        <w:t>Transitional revenue proposal</w:t>
      </w:r>
      <w:r>
        <w:rPr>
          <w:rStyle w:val="AERtextitalic"/>
        </w:rPr>
        <w:t>, Regulatory control period 1 July 2014–30 June 2015</w:t>
      </w:r>
      <w:r>
        <w:t>, January 2014, pp. 97–98</w:t>
      </w:r>
    </w:p>
  </w:footnote>
  <w:footnote w:id="47">
    <w:p w:rsidR="00713D60" w:rsidRDefault="00713D60" w:rsidP="006B787F">
      <w:pPr>
        <w:pStyle w:val="FootnoteText"/>
      </w:pPr>
      <w:r>
        <w:rPr>
          <w:rStyle w:val="FootnoteReference"/>
        </w:rPr>
        <w:footnoteRef/>
      </w:r>
      <w:r>
        <w:t xml:space="preserve"> </w:t>
      </w:r>
      <w:r>
        <w:tab/>
        <w:t xml:space="preserve">In line with the rate of return guideline, we have rounded this to one decimal place. See: AER, </w:t>
      </w:r>
      <w:r w:rsidRPr="00EE34CB">
        <w:rPr>
          <w:rStyle w:val="AERtextitalic"/>
        </w:rPr>
        <w:t xml:space="preserve">Better regulation—Explanatory statement: Rate of return </w:t>
      </w:r>
      <w:r>
        <w:rPr>
          <w:rStyle w:val="AERtextitalic"/>
        </w:rPr>
        <w:t>g</w:t>
      </w:r>
      <w:r w:rsidRPr="00EE34CB">
        <w:rPr>
          <w:rStyle w:val="AERtextitalic"/>
        </w:rPr>
        <w:t>uideline</w:t>
      </w:r>
      <w:r>
        <w:t>, December 2013, p. 52.</w:t>
      </w:r>
    </w:p>
  </w:footnote>
  <w:footnote w:id="48">
    <w:p w:rsidR="00713D60" w:rsidRDefault="00713D60" w:rsidP="00E77297">
      <w:pPr>
        <w:pStyle w:val="FootnoteText"/>
      </w:pPr>
      <w:r>
        <w:rPr>
          <w:rStyle w:val="FootnoteReference"/>
        </w:rPr>
        <w:footnoteRef/>
      </w:r>
      <w:r>
        <w:t xml:space="preserve"> </w:t>
      </w:r>
      <w:r>
        <w:tab/>
        <w:t xml:space="preserve">Specifically, this was the averaging period used in the recent ACCC draft decision for NSW State Water. See: </w:t>
      </w:r>
      <w:r w:rsidRPr="00DA1EF9">
        <w:t xml:space="preserve">ACCC </w:t>
      </w:r>
      <w:r w:rsidRPr="001650A5">
        <w:rPr>
          <w:rStyle w:val="AERtextitalic"/>
        </w:rPr>
        <w:t xml:space="preserve">Draft decision on State Water Pricing Application: 2014-15 </w:t>
      </w:r>
      <w:r w:rsidRPr="001650A5">
        <w:rPr>
          <w:rStyle w:val="AERtextitalic"/>
          <w:rFonts w:hint="eastAsia"/>
        </w:rPr>
        <w:t>–</w:t>
      </w:r>
      <w:r w:rsidRPr="001650A5">
        <w:rPr>
          <w:rStyle w:val="AERtextitalic"/>
        </w:rPr>
        <w:t xml:space="preserve"> 2016-17</w:t>
      </w:r>
      <w:r w:rsidRPr="001650A5">
        <w:rPr>
          <w:rStyle w:val="AERtextitalic"/>
          <w:rFonts w:hint="eastAsia"/>
        </w:rPr>
        <w:t>—</w:t>
      </w:r>
      <w:r w:rsidRPr="001650A5">
        <w:rPr>
          <w:rStyle w:val="AERtextitalic"/>
        </w:rPr>
        <w:t>Attachments</w:t>
      </w:r>
      <w:r>
        <w:t xml:space="preserve">, March 2014, p. 143         </w:t>
      </w:r>
    </w:p>
  </w:footnote>
  <w:footnote w:id="49">
    <w:p w:rsidR="00713D60" w:rsidRDefault="00713D60" w:rsidP="00E77297">
      <w:pPr>
        <w:pStyle w:val="FootnoteText"/>
      </w:pPr>
      <w:r>
        <w:rPr>
          <w:rStyle w:val="FootnoteReference"/>
        </w:rPr>
        <w:footnoteRef/>
      </w:r>
      <w:r>
        <w:t xml:space="preserve"> </w:t>
      </w:r>
      <w:r>
        <w:tab/>
        <w:t>Specifically, during the 20 business day period from 14 February 2014 to 13 March 2014, the risk free rate was 4.15 per cent.</w:t>
      </w:r>
    </w:p>
  </w:footnote>
  <w:footnote w:id="50">
    <w:p w:rsidR="00713D60" w:rsidRDefault="00713D60" w:rsidP="006B787F">
      <w:pPr>
        <w:pStyle w:val="FootnoteText"/>
      </w:pPr>
      <w:r>
        <w:rPr>
          <w:rStyle w:val="FootnoteReference"/>
        </w:rPr>
        <w:footnoteRef/>
      </w:r>
      <w:r>
        <w:t xml:space="preserve"> </w:t>
      </w:r>
      <w:r>
        <w:tab/>
        <w:t xml:space="preserve">AER, </w:t>
      </w:r>
      <w:r w:rsidRPr="000D0630">
        <w:rPr>
          <w:rStyle w:val="AERtextitalic"/>
        </w:rPr>
        <w:t>Better regulation</w:t>
      </w:r>
      <w:r w:rsidRPr="000D0630">
        <w:rPr>
          <w:rStyle w:val="AERtextitalic"/>
          <w:rFonts w:hint="eastAsia"/>
        </w:rPr>
        <w:t>—</w:t>
      </w:r>
      <w:r w:rsidRPr="000D0630">
        <w:rPr>
          <w:rStyle w:val="AERtextitalic"/>
        </w:rPr>
        <w:t xml:space="preserve">Explanatory statement: Rate of return </w:t>
      </w:r>
      <w:r>
        <w:rPr>
          <w:rStyle w:val="AERtextitalic"/>
        </w:rPr>
        <w:t>g</w:t>
      </w:r>
      <w:r w:rsidRPr="000D0630">
        <w:rPr>
          <w:rStyle w:val="AERtextitalic"/>
        </w:rPr>
        <w:t>uideline</w:t>
      </w:r>
      <w:r>
        <w:t>, December 2013, p. 93.</w:t>
      </w:r>
    </w:p>
  </w:footnote>
  <w:footnote w:id="51">
    <w:p w:rsidR="00713D60" w:rsidRDefault="00713D60" w:rsidP="006B787F">
      <w:pPr>
        <w:pStyle w:val="FootnoteText"/>
      </w:pPr>
      <w:r>
        <w:rPr>
          <w:rStyle w:val="FootnoteReference"/>
        </w:rPr>
        <w:footnoteRef/>
      </w:r>
      <w:r>
        <w:t xml:space="preserve"> </w:t>
      </w:r>
      <w:r>
        <w:tab/>
        <w:t xml:space="preserve">AER, </w:t>
      </w:r>
      <w:r w:rsidRPr="000D0630">
        <w:rPr>
          <w:rStyle w:val="AERtextitalic"/>
        </w:rPr>
        <w:t>Better regulation</w:t>
      </w:r>
      <w:r w:rsidRPr="000D0630">
        <w:rPr>
          <w:rStyle w:val="AERtextitalic"/>
          <w:rFonts w:hint="eastAsia"/>
        </w:rPr>
        <w:t>—</w:t>
      </w:r>
      <w:r w:rsidRPr="000D0630">
        <w:rPr>
          <w:rStyle w:val="AERtextitalic"/>
        </w:rPr>
        <w:t xml:space="preserve">Explanatory statement: Rate of return </w:t>
      </w:r>
      <w:r>
        <w:rPr>
          <w:rStyle w:val="AERtextitalic"/>
        </w:rPr>
        <w:t>g</w:t>
      </w:r>
      <w:r w:rsidRPr="000D0630">
        <w:rPr>
          <w:rStyle w:val="AERtextitalic"/>
        </w:rPr>
        <w:t>uideline</w:t>
      </w:r>
      <w:r>
        <w:t>, December 2013, p. 86.</w:t>
      </w:r>
    </w:p>
  </w:footnote>
  <w:footnote w:id="52">
    <w:p w:rsidR="00713D60" w:rsidRDefault="00713D60" w:rsidP="006B787F">
      <w:pPr>
        <w:pStyle w:val="FootnoteText"/>
      </w:pPr>
      <w:r>
        <w:rPr>
          <w:rStyle w:val="FootnoteReference"/>
        </w:rPr>
        <w:footnoteRef/>
      </w:r>
      <w:r>
        <w:t xml:space="preserve"> </w:t>
      </w:r>
      <w:r>
        <w:tab/>
        <w:t xml:space="preserve">Specifically, this was the averaging period used in the recent ACCC draft decision for NSW State Water. See: </w:t>
      </w:r>
      <w:r w:rsidRPr="00DA1EF9">
        <w:t xml:space="preserve">ACCC </w:t>
      </w:r>
      <w:r w:rsidRPr="00EE34CB">
        <w:rPr>
          <w:rStyle w:val="AERtextitalic"/>
        </w:rPr>
        <w:t>Draft decision on State Water Pricing Application: 2014-15 – 2016-17—Attachments</w:t>
      </w:r>
      <w:r>
        <w:t xml:space="preserve">, March 2014, p. 143         </w:t>
      </w:r>
    </w:p>
  </w:footnote>
  <w:footnote w:id="53">
    <w:p w:rsidR="00713D60" w:rsidRDefault="00713D60" w:rsidP="006B787F">
      <w:pPr>
        <w:pStyle w:val="FootnoteText"/>
      </w:pPr>
      <w:r>
        <w:rPr>
          <w:rStyle w:val="FootnoteReference"/>
        </w:rPr>
        <w:footnoteRef/>
      </w:r>
      <w:r>
        <w:t xml:space="preserve"> </w:t>
      </w:r>
      <w:r>
        <w:tab/>
        <w:t xml:space="preserve">We calculated the RBA estimate using a simple average the RBA’s spread to CGS values for the end of November 2013, December 2013 and January 2014. </w:t>
      </w:r>
    </w:p>
  </w:footnote>
  <w:footnote w:id="54">
    <w:p w:rsidR="00713D60" w:rsidRDefault="00713D60" w:rsidP="006B787F">
      <w:pPr>
        <w:pStyle w:val="FootnoteText"/>
      </w:pPr>
      <w:r>
        <w:rPr>
          <w:rStyle w:val="FootnoteReference"/>
        </w:rPr>
        <w:footnoteRef/>
      </w:r>
      <w:r>
        <w:t xml:space="preserve"> </w:t>
      </w:r>
      <w:r>
        <w:tab/>
      </w:r>
      <w:r w:rsidRPr="00952513">
        <w:t xml:space="preserve">Applying a </w:t>
      </w:r>
      <w:r>
        <w:t>return on debt</w:t>
      </w:r>
      <w:r w:rsidRPr="00952513">
        <w:t xml:space="preserve"> of </w:t>
      </w:r>
      <w:r>
        <w:t>7.5 per cent</w:t>
      </w:r>
      <w:r w:rsidRPr="00952513">
        <w:t xml:space="preserve"> and </w:t>
      </w:r>
      <w:r>
        <w:t>a return on equity of 8.9 per cent gives a WACC of 8.06 per cent</w:t>
      </w:r>
      <w:r w:rsidRPr="00952513">
        <w:t>.</w:t>
      </w:r>
    </w:p>
  </w:footnote>
  <w:footnote w:id="55">
    <w:p w:rsidR="00713D60" w:rsidRDefault="00713D60" w:rsidP="00636D39">
      <w:pPr>
        <w:pStyle w:val="FootnoteText"/>
      </w:pPr>
      <w:r>
        <w:rPr>
          <w:rStyle w:val="FootnoteReference"/>
        </w:rPr>
        <w:footnoteRef/>
      </w:r>
      <w:r>
        <w:t xml:space="preserve"> </w:t>
      </w:r>
      <w:r>
        <w:tab/>
      </w:r>
      <w:r w:rsidRPr="00093635">
        <w:t xml:space="preserve">The post-tax revenue modelling approach takes the forecast capex incurred in one year and rolls it into the RAB at the end of the year. </w:t>
      </w:r>
      <w:r>
        <w:t xml:space="preserve">So </w:t>
      </w:r>
      <w:r w:rsidRPr="00093635">
        <w:t>forecast capex only starts receiving a return in the following year.</w:t>
      </w:r>
    </w:p>
  </w:footnote>
  <w:footnote w:id="56">
    <w:p w:rsidR="00713D60" w:rsidRDefault="00713D60">
      <w:pPr>
        <w:pStyle w:val="FootnoteText"/>
      </w:pPr>
      <w:r>
        <w:rPr>
          <w:rStyle w:val="FootnoteReference"/>
        </w:rPr>
        <w:footnoteRef/>
      </w:r>
      <w:r>
        <w:t xml:space="preserve"> </w:t>
      </w:r>
      <w:r>
        <w:tab/>
        <w:t>Unlike other revenue components, efficiency rewards have no offsetting tax expense associated with them. Therefore, a business receives a tax allowance proportional to the tax rate on this revenue component.</w:t>
      </w:r>
    </w:p>
  </w:footnote>
  <w:footnote w:id="57">
    <w:p w:rsidR="00713D60" w:rsidRDefault="00713D60">
      <w:pPr>
        <w:pStyle w:val="FootnoteText"/>
      </w:pPr>
      <w:r>
        <w:rPr>
          <w:rStyle w:val="FootnoteReference"/>
        </w:rPr>
        <w:footnoteRef/>
      </w:r>
      <w:r>
        <w:t xml:space="preserve"> </w:t>
      </w:r>
      <w:r>
        <w:tab/>
      </w:r>
      <w:proofErr w:type="gramStart"/>
      <w:r>
        <w:t xml:space="preserve">Australian </w:t>
      </w:r>
      <w:r w:rsidRPr="00232E6E">
        <w:t xml:space="preserve">Competition Tribunal, </w:t>
      </w:r>
      <w:r w:rsidRPr="008B030A">
        <w:rPr>
          <w:rStyle w:val="AERtextitalic"/>
        </w:rPr>
        <w:t xml:space="preserve">Application by </w:t>
      </w:r>
      <w:proofErr w:type="spellStart"/>
      <w:r w:rsidRPr="008B030A">
        <w:rPr>
          <w:rStyle w:val="AERtextitalic"/>
        </w:rPr>
        <w:t>Energex</w:t>
      </w:r>
      <w:proofErr w:type="spellEnd"/>
      <w:r w:rsidRPr="008B030A">
        <w:rPr>
          <w:rStyle w:val="AERtextitalic"/>
        </w:rPr>
        <w:t xml:space="preserve"> Limited (gamma) (No 5) [2011] ACompT9</w:t>
      </w:r>
      <w:r w:rsidRPr="00232E6E">
        <w:t>, May 2011</w:t>
      </w:r>
      <w:r>
        <w:t>.</w:t>
      </w:r>
      <w:proofErr w:type="gramEnd"/>
    </w:p>
  </w:footnote>
  <w:footnote w:id="58">
    <w:p w:rsidR="00713D60" w:rsidRDefault="00713D60" w:rsidP="00140F20">
      <w:pPr>
        <w:pStyle w:val="FootnoteText"/>
      </w:pPr>
      <w:r>
        <w:rPr>
          <w:rStyle w:val="FootnoteReference"/>
        </w:rPr>
        <w:footnoteRef/>
      </w:r>
      <w:r>
        <w:t xml:space="preserve"> </w:t>
      </w:r>
      <w:r>
        <w:tab/>
      </w:r>
      <w:proofErr w:type="gramStart"/>
      <w:r>
        <w:t xml:space="preserve">Tasmanian Small Business Council, </w:t>
      </w:r>
      <w:r w:rsidRPr="000D0630">
        <w:rPr>
          <w:rStyle w:val="AERtextitalic"/>
        </w:rPr>
        <w:t>Transend transitional revenue proposal, 2014/15</w:t>
      </w:r>
      <w:r w:rsidRPr="000D0630">
        <w:rPr>
          <w:rStyle w:val="AERtextitalic"/>
          <w:rFonts w:hint="eastAsia"/>
        </w:rPr>
        <w:t>—</w:t>
      </w:r>
      <w:r w:rsidRPr="000D0630">
        <w:rPr>
          <w:rStyle w:val="AERtextitalic"/>
        </w:rPr>
        <w:t>Submission</w:t>
      </w:r>
      <w:r>
        <w:t>, March 2014, p. 22.</w:t>
      </w:r>
      <w:proofErr w:type="gramEnd"/>
    </w:p>
  </w:footnote>
  <w:footnote w:id="59">
    <w:p w:rsidR="00713D60" w:rsidRDefault="00713D60">
      <w:pPr>
        <w:pStyle w:val="FootnoteText"/>
      </w:pPr>
      <w:r>
        <w:rPr>
          <w:rStyle w:val="FootnoteReference"/>
        </w:rPr>
        <w:footnoteRef/>
      </w:r>
      <w:r>
        <w:t xml:space="preserve"> </w:t>
      </w:r>
      <w:r>
        <w:tab/>
        <w:t>Clause 11.58.3(a</w:t>
      </w:r>
      <w:proofErr w:type="gramStart"/>
      <w:r>
        <w:t>)(</w:t>
      </w:r>
      <w:proofErr w:type="gramEnd"/>
      <w:r>
        <w:t>3) and clause 11.58.3(g).</w:t>
      </w:r>
    </w:p>
  </w:footnote>
  <w:footnote w:id="60">
    <w:p w:rsidR="00713D60" w:rsidRDefault="00713D60" w:rsidP="00367F60">
      <w:pPr>
        <w:pStyle w:val="FootnoteText"/>
      </w:pPr>
      <w:r>
        <w:rPr>
          <w:rStyle w:val="FootnoteReference"/>
        </w:rPr>
        <w:footnoteRef/>
      </w:r>
      <w:r>
        <w:t xml:space="preserve"> </w:t>
      </w:r>
      <w:r>
        <w:tab/>
        <w:t>Clause 11.58.3(a</w:t>
      </w:r>
      <w:proofErr w:type="gramStart"/>
      <w:r>
        <w:t>)(</w:t>
      </w:r>
      <w:proofErr w:type="gramEnd"/>
      <w:r>
        <w:t>3) and clause 11.58.3(g).</w:t>
      </w:r>
    </w:p>
  </w:footnote>
  <w:footnote w:id="61">
    <w:p w:rsidR="00713D60" w:rsidRPr="001F3725" w:rsidRDefault="00713D60" w:rsidP="007024B8">
      <w:pPr>
        <w:pStyle w:val="FootnoteText"/>
      </w:pPr>
      <w:r w:rsidRPr="00EB0F6B">
        <w:rPr>
          <w:rStyle w:val="FootnoteReference"/>
        </w:rPr>
        <w:footnoteRef/>
      </w:r>
      <w:r w:rsidRPr="00EB0F6B">
        <w:rPr>
          <w:vertAlign w:val="superscript"/>
        </w:rPr>
        <w:t xml:space="preserve"> </w:t>
      </w:r>
      <w:r w:rsidRPr="001F3725">
        <w:t xml:space="preserve">   </w:t>
      </w:r>
      <w:r>
        <w:tab/>
      </w:r>
      <w:r w:rsidRPr="001F3725">
        <w:t xml:space="preserve">At the time of the full determination, for the purpose of calculating the MAR, the subsequent regulatory control period comprises the transitional regulatory control period (as the first year of the subsequent regulatory control period) and all of the regulatory years of the subsequent regulatory control period, and the transitional regulatory control period is not a separate regulatory control period: NER clause 11.58.4(c).  Accordingly, any adjustment under the STPIS for the purpose of the transitional regulatory control period </w:t>
      </w:r>
      <w:r w:rsidRPr="00EB0F6B">
        <w:t xml:space="preserve">and the subsequent regulatory control period </w:t>
      </w:r>
      <w:r w:rsidRPr="001F3725">
        <w:t>will be to the MAR as determined in the full determination and will be based on the application of the STPIS in the corresponding period which commences 1 July 2014.</w:t>
      </w:r>
    </w:p>
  </w:footnote>
  <w:footnote w:id="62">
    <w:p w:rsidR="00713D60" w:rsidRDefault="00713D60" w:rsidP="00632BAF">
      <w:pPr>
        <w:pStyle w:val="FootnoteText"/>
      </w:pPr>
      <w:r>
        <w:rPr>
          <w:rStyle w:val="FootnoteReference"/>
        </w:rPr>
        <w:footnoteRef/>
      </w:r>
      <w:r>
        <w:t xml:space="preserve"> </w:t>
      </w:r>
      <w:r>
        <w:tab/>
        <w:t xml:space="preserve">Major Energy Users, </w:t>
      </w:r>
      <w:r>
        <w:rPr>
          <w:rStyle w:val="AERtextitalic"/>
        </w:rPr>
        <w:t>Tasmanian e</w:t>
      </w:r>
      <w:r w:rsidRPr="000D0630">
        <w:rPr>
          <w:rStyle w:val="AERtextitalic"/>
        </w:rPr>
        <w:t xml:space="preserve">lectricity </w:t>
      </w:r>
      <w:r>
        <w:rPr>
          <w:rStyle w:val="AERtextitalic"/>
        </w:rPr>
        <w:t>t</w:t>
      </w:r>
      <w:r w:rsidRPr="000D0630">
        <w:rPr>
          <w:rStyle w:val="AERtextitalic"/>
        </w:rPr>
        <w:t>ransm</w:t>
      </w:r>
      <w:r>
        <w:rPr>
          <w:rStyle w:val="AERtextitalic"/>
        </w:rPr>
        <w:t>ission revenue reset: Transend a</w:t>
      </w:r>
      <w:r w:rsidRPr="000D0630">
        <w:rPr>
          <w:rStyle w:val="AERtextitalic"/>
        </w:rPr>
        <w:t xml:space="preserve">pplication for </w:t>
      </w:r>
      <w:r>
        <w:rPr>
          <w:rStyle w:val="AERtextitalic"/>
        </w:rPr>
        <w:t>t</w:t>
      </w:r>
      <w:r w:rsidRPr="000D0630">
        <w:rPr>
          <w:rStyle w:val="AERtextitalic"/>
        </w:rPr>
        <w:t xml:space="preserve">ransition </w:t>
      </w:r>
      <w:r>
        <w:rPr>
          <w:rStyle w:val="AERtextitalic"/>
        </w:rPr>
        <w:t>y</w:t>
      </w:r>
      <w:r w:rsidRPr="000D0630">
        <w:rPr>
          <w:rStyle w:val="AERtextitalic"/>
        </w:rPr>
        <w:t>ear 2014/15</w:t>
      </w:r>
      <w:r w:rsidRPr="000D0630">
        <w:rPr>
          <w:rStyle w:val="AERtextitalic"/>
          <w:rFonts w:hint="eastAsia"/>
        </w:rPr>
        <w:t>—</w:t>
      </w:r>
      <w:r w:rsidRPr="000D0630">
        <w:rPr>
          <w:rStyle w:val="AERtextitalic"/>
        </w:rPr>
        <w:t>A response</w:t>
      </w:r>
      <w:r>
        <w:t>, February 2010, pp. 25</w:t>
      </w:r>
      <w:r>
        <w:rPr>
          <w:rFonts w:cs="Gautami"/>
        </w:rPr>
        <w:t>–</w:t>
      </w:r>
      <w:r>
        <w:t xml:space="preserve">28; Major Energy Users, </w:t>
      </w:r>
      <w:r>
        <w:rPr>
          <w:rStyle w:val="AERtextitalic"/>
        </w:rPr>
        <w:t>NSW e</w:t>
      </w:r>
      <w:r w:rsidRPr="00EF1C27">
        <w:rPr>
          <w:rStyle w:val="AERtextitalic"/>
        </w:rPr>
        <w:t xml:space="preserve">lectricity </w:t>
      </w:r>
      <w:r>
        <w:rPr>
          <w:rStyle w:val="AERtextitalic"/>
        </w:rPr>
        <w:t>t</w:t>
      </w:r>
      <w:r w:rsidRPr="00EF1C27">
        <w:rPr>
          <w:rStyle w:val="AERtextitalic"/>
        </w:rPr>
        <w:t>ransm</w:t>
      </w:r>
      <w:r>
        <w:rPr>
          <w:rStyle w:val="AERtextitalic"/>
        </w:rPr>
        <w:t>ission revenue reset: TransGrid a</w:t>
      </w:r>
      <w:r w:rsidRPr="00EF1C27">
        <w:rPr>
          <w:rStyle w:val="AERtextitalic"/>
        </w:rPr>
        <w:t xml:space="preserve">pplication for </w:t>
      </w:r>
      <w:r>
        <w:rPr>
          <w:rStyle w:val="AERtextitalic"/>
        </w:rPr>
        <w:t>t</w:t>
      </w:r>
      <w:r w:rsidRPr="00EF1C27">
        <w:rPr>
          <w:rStyle w:val="AERtextitalic"/>
        </w:rPr>
        <w:t xml:space="preserve">ransition </w:t>
      </w:r>
      <w:r>
        <w:rPr>
          <w:rStyle w:val="AERtextitalic"/>
        </w:rPr>
        <w:t>y</w:t>
      </w:r>
      <w:r w:rsidRPr="00EF1C27">
        <w:rPr>
          <w:rStyle w:val="AERtextitalic"/>
        </w:rPr>
        <w:t>ear 2014/15</w:t>
      </w:r>
      <w:r w:rsidRPr="00EF1C27">
        <w:rPr>
          <w:rStyle w:val="AERtextitalic"/>
          <w:rFonts w:hint="eastAsia"/>
        </w:rPr>
        <w:t>—</w:t>
      </w:r>
      <w:r w:rsidRPr="00EF1C27">
        <w:rPr>
          <w:rStyle w:val="AERtextitalic"/>
        </w:rPr>
        <w:t>A response</w:t>
      </w:r>
      <w:r>
        <w:t>, February 2014, pp. 19</w:t>
      </w:r>
      <w:r>
        <w:rPr>
          <w:rFonts w:cs="Gautami"/>
        </w:rPr>
        <w:t>–</w:t>
      </w:r>
      <w:r>
        <w:t>20.</w:t>
      </w:r>
    </w:p>
  </w:footnote>
  <w:footnote w:id="63">
    <w:p w:rsidR="00713D60" w:rsidRDefault="00713D60" w:rsidP="00632BAF">
      <w:pPr>
        <w:pStyle w:val="FootnoteText"/>
      </w:pPr>
      <w:r>
        <w:rPr>
          <w:rStyle w:val="FootnoteReference"/>
        </w:rPr>
        <w:footnoteRef/>
      </w:r>
      <w:r>
        <w:t xml:space="preserve"> </w:t>
      </w:r>
      <w:r>
        <w:tab/>
      </w:r>
      <w:proofErr w:type="gramStart"/>
      <w:r>
        <w:t xml:space="preserve">AER, </w:t>
      </w:r>
      <w:r>
        <w:rPr>
          <w:i/>
        </w:rPr>
        <w:t xml:space="preserve">Electricity TNSP, </w:t>
      </w:r>
      <w:r>
        <w:rPr>
          <w:rStyle w:val="AERtextitalic"/>
        </w:rPr>
        <w:t xml:space="preserve">STPIS, </w:t>
      </w:r>
      <w:r>
        <w:rPr>
          <w:rStyle w:val="AERtextitalic"/>
          <w:i w:val="0"/>
        </w:rPr>
        <w:t>December 2012, clause 5.3, pp. 13–14.</w:t>
      </w:r>
      <w:proofErr w:type="gramEnd"/>
      <w:r>
        <w:rPr>
          <w:rStyle w:val="AERtextitalic"/>
        </w:rPr>
        <w:t xml:space="preserve"> </w:t>
      </w:r>
    </w:p>
  </w:footnote>
  <w:footnote w:id="64">
    <w:p w:rsidR="00713D60" w:rsidRDefault="00713D60" w:rsidP="00AC3474">
      <w:pPr>
        <w:pStyle w:val="FootnoteText"/>
      </w:pPr>
      <w:r>
        <w:rPr>
          <w:rStyle w:val="FootnoteReference"/>
        </w:rPr>
        <w:footnoteRef/>
      </w:r>
      <w:r>
        <w:t xml:space="preserve"> </w:t>
      </w:r>
      <w:r>
        <w:tab/>
      </w:r>
      <w:proofErr w:type="gramStart"/>
      <w:r>
        <w:t xml:space="preserve">Tasmanian Small Business Council, </w:t>
      </w:r>
      <w:r w:rsidRPr="000D0630">
        <w:rPr>
          <w:rStyle w:val="AERtextitalic"/>
        </w:rPr>
        <w:t>Transend transitional revenue proposal, 2014/15</w:t>
      </w:r>
      <w:r w:rsidRPr="000D0630">
        <w:rPr>
          <w:rStyle w:val="AERtextitalic"/>
          <w:rFonts w:hint="eastAsia"/>
        </w:rPr>
        <w:t>—</w:t>
      </w:r>
      <w:r w:rsidRPr="000D0630">
        <w:rPr>
          <w:rStyle w:val="AERtextitalic"/>
        </w:rPr>
        <w:t>Submission</w:t>
      </w:r>
      <w:r>
        <w:t>, March 2014, p. 24.</w:t>
      </w:r>
      <w:proofErr w:type="gramEnd"/>
    </w:p>
  </w:footnote>
  <w:footnote w:id="65">
    <w:p w:rsidR="00713D60" w:rsidRDefault="00713D60" w:rsidP="002F11D2">
      <w:pPr>
        <w:pStyle w:val="FootnoteText"/>
      </w:pPr>
      <w:r>
        <w:rPr>
          <w:rStyle w:val="FootnoteReference"/>
        </w:rPr>
        <w:footnoteRef/>
      </w:r>
      <w:r>
        <w:t xml:space="preserve"> </w:t>
      </w:r>
      <w:r>
        <w:tab/>
        <w:t xml:space="preserve">AER, </w:t>
      </w:r>
      <w:r>
        <w:rPr>
          <w:i/>
        </w:rPr>
        <w:t xml:space="preserve">Electricity TNSP, </w:t>
      </w:r>
      <w:r>
        <w:rPr>
          <w:rStyle w:val="AERtextitalic"/>
        </w:rPr>
        <w:t xml:space="preserve">STPIS, </w:t>
      </w:r>
      <w:r>
        <w:rPr>
          <w:rStyle w:val="AERtextitalic"/>
          <w:i w:val="0"/>
        </w:rPr>
        <w:t>December 2012, clause 5.2(h</w:t>
      </w:r>
      <w:proofErr w:type="gramStart"/>
      <w:r>
        <w:rPr>
          <w:rStyle w:val="AERtextitalic"/>
          <w:i w:val="0"/>
        </w:rPr>
        <w:t>)(</w:t>
      </w:r>
      <w:proofErr w:type="spellStart"/>
      <w:proofErr w:type="gramEnd"/>
      <w:r>
        <w:rPr>
          <w:rStyle w:val="AERtextitalic"/>
          <w:i w:val="0"/>
        </w:rPr>
        <w:t>i</w:t>
      </w:r>
      <w:proofErr w:type="spellEnd"/>
      <w:r>
        <w:rPr>
          <w:rStyle w:val="AERtextitalic"/>
          <w:i w:val="0"/>
        </w:rPr>
        <w:t>)(j)</w:t>
      </w:r>
      <w:r w:rsidRPr="00AB1A03">
        <w:rPr>
          <w:rStyle w:val="AERtextitalic"/>
          <w:i w:val="0"/>
        </w:rPr>
        <w:t>.</w:t>
      </w:r>
      <w:r>
        <w:rPr>
          <w:rStyle w:val="AERtextitalic"/>
        </w:rPr>
        <w:t xml:space="preserve"> </w:t>
      </w:r>
    </w:p>
  </w:footnote>
  <w:footnote w:id="66">
    <w:p w:rsidR="00713D60" w:rsidRPr="00AF51F7" w:rsidRDefault="00713D60" w:rsidP="00EC08FC">
      <w:pPr>
        <w:pStyle w:val="FootnoteText"/>
        <w:rPr>
          <w:i/>
        </w:rPr>
      </w:pPr>
      <w:r>
        <w:rPr>
          <w:rStyle w:val="FootnoteReference"/>
        </w:rPr>
        <w:footnoteRef/>
      </w:r>
      <w:r>
        <w:t xml:space="preserve"> </w:t>
      </w:r>
      <w:r>
        <w:tab/>
      </w:r>
      <w:proofErr w:type="gramStart"/>
      <w:r w:rsidRPr="00EC08FC">
        <w:rPr>
          <w:rStyle w:val="AERtextitalic"/>
          <w:i w:val="0"/>
        </w:rPr>
        <w:t>AEMO,</w:t>
      </w:r>
      <w:r w:rsidRPr="00EC08FC">
        <w:rPr>
          <w:rStyle w:val="AERtextitalic"/>
        </w:rPr>
        <w:t xml:space="preserve"> AEMO endorsement of Transend Network Capability Incentive Parameter Action Plan (NCIPAP) for 1 July 2014 – </w:t>
      </w:r>
      <w:r w:rsidRPr="00AF51F7">
        <w:rPr>
          <w:rStyle w:val="AERtextitalic"/>
          <w:i w:val="0"/>
        </w:rPr>
        <w:t>30 June 2019, 4 February 2014.</w:t>
      </w:r>
      <w:proofErr w:type="gramEnd"/>
    </w:p>
  </w:footnote>
  <w:footnote w:id="67">
    <w:p w:rsidR="00713D60" w:rsidRDefault="00713D60">
      <w:pPr>
        <w:pStyle w:val="FootnoteText"/>
      </w:pPr>
      <w:r>
        <w:rPr>
          <w:rStyle w:val="FootnoteReference"/>
        </w:rPr>
        <w:footnoteRef/>
      </w:r>
      <w:r>
        <w:t xml:space="preserve"> </w:t>
      </w:r>
      <w:r>
        <w:tab/>
      </w:r>
      <w:r w:rsidRPr="00D241E5">
        <w:t>NER, clause 11.5</w:t>
      </w:r>
      <w:r>
        <w:t>8</w:t>
      </w:r>
      <w:r w:rsidRPr="00D241E5">
        <w:t>.3(a</w:t>
      </w:r>
      <w:proofErr w:type="gramStart"/>
      <w:r w:rsidRPr="00D241E5">
        <w:t>)(</w:t>
      </w:r>
      <w:proofErr w:type="gramEnd"/>
      <w:r>
        <w:t>2</w:t>
      </w:r>
      <w:r w:rsidRPr="00D241E5">
        <w:t>).</w:t>
      </w:r>
    </w:p>
  </w:footnote>
  <w:footnote w:id="68">
    <w:p w:rsidR="00713D60" w:rsidRDefault="00713D60">
      <w:pPr>
        <w:pStyle w:val="FootnoteText"/>
      </w:pPr>
      <w:r>
        <w:rPr>
          <w:rStyle w:val="FootnoteReference"/>
        </w:rPr>
        <w:footnoteRef/>
      </w:r>
      <w:r>
        <w:t xml:space="preserve"> </w:t>
      </w:r>
      <w:r>
        <w:tab/>
      </w:r>
      <w:proofErr w:type="gramStart"/>
      <w:r w:rsidRPr="0080239C">
        <w:t xml:space="preserve">NER, clause </w:t>
      </w:r>
      <w:r>
        <w:t>6A.7.5.</w:t>
      </w:r>
      <w:proofErr w:type="gramEnd"/>
    </w:p>
  </w:footnote>
  <w:footnote w:id="69">
    <w:p w:rsidR="00713D60" w:rsidRDefault="00713D60" w:rsidP="00E41E33">
      <w:pPr>
        <w:pStyle w:val="FootnoteText"/>
      </w:pPr>
      <w:r>
        <w:rPr>
          <w:rStyle w:val="FootnoteReference"/>
        </w:rPr>
        <w:footnoteRef/>
      </w:r>
      <w:r>
        <w:t xml:space="preserve"> </w:t>
      </w:r>
      <w:r>
        <w:tab/>
      </w:r>
      <w:r w:rsidRPr="00D241E5">
        <w:t>NER, clause 11.5</w:t>
      </w:r>
      <w:r>
        <w:t>8</w:t>
      </w:r>
      <w:r w:rsidRPr="00D241E5">
        <w:t>.3(a</w:t>
      </w:r>
      <w:proofErr w:type="gramStart"/>
      <w:r w:rsidRPr="00D241E5">
        <w:t>)(</w:t>
      </w:r>
      <w:proofErr w:type="gramEnd"/>
      <w:r>
        <w:t>2</w:t>
      </w:r>
      <w:r w:rsidRPr="00D241E5">
        <w:t>).</w:t>
      </w:r>
    </w:p>
  </w:footnote>
  <w:footnote w:id="70">
    <w:p w:rsidR="00713D60" w:rsidRDefault="00713D60" w:rsidP="00D9669E">
      <w:pPr>
        <w:pStyle w:val="FootnoteText"/>
      </w:pPr>
      <w:r>
        <w:rPr>
          <w:rStyle w:val="FootnoteReference"/>
        </w:rPr>
        <w:footnoteRef/>
      </w:r>
      <w:r>
        <w:t xml:space="preserve"> </w:t>
      </w:r>
      <w:r>
        <w:tab/>
      </w:r>
      <w:proofErr w:type="gramStart"/>
      <w:r>
        <w:t xml:space="preserve">TransGrid, </w:t>
      </w:r>
      <w:r w:rsidRPr="00EF6A47">
        <w:rPr>
          <w:i/>
        </w:rPr>
        <w:t>Transitional revenue proposal 2014/15</w:t>
      </w:r>
      <w:r>
        <w:t>, January 2014, pp. 73–74.</w:t>
      </w:r>
      <w:proofErr w:type="gramEnd"/>
    </w:p>
  </w:footnote>
  <w:footnote w:id="71">
    <w:p w:rsidR="00713D60" w:rsidRDefault="00713D60" w:rsidP="00EE180B">
      <w:pPr>
        <w:pStyle w:val="FootnoteText"/>
      </w:pPr>
      <w:r>
        <w:rPr>
          <w:rStyle w:val="FootnoteReference"/>
        </w:rPr>
        <w:footnoteRef/>
      </w:r>
      <w:r>
        <w:t xml:space="preserve"> </w:t>
      </w:r>
      <w:r>
        <w:tab/>
      </w:r>
      <w:proofErr w:type="gramStart"/>
      <w:r>
        <w:t xml:space="preserve">Transend, </w:t>
      </w:r>
      <w:r w:rsidRPr="00791780">
        <w:rPr>
          <w:rStyle w:val="AERtextitalic"/>
        </w:rPr>
        <w:t>Transitional revenue proposal</w:t>
      </w:r>
      <w:r>
        <w:rPr>
          <w:rStyle w:val="AERtextitalic"/>
        </w:rPr>
        <w:t>, Regulatory control period 1 July 2014–30 June 2015</w:t>
      </w:r>
      <w:r>
        <w:t>, January 2014, pp. 77–78.</w:t>
      </w:r>
      <w:proofErr w:type="gramEnd"/>
    </w:p>
  </w:footnote>
  <w:footnote w:id="72">
    <w:p w:rsidR="00713D60" w:rsidRDefault="00713D60">
      <w:pPr>
        <w:pStyle w:val="FootnoteText"/>
      </w:pPr>
      <w:r>
        <w:rPr>
          <w:rStyle w:val="FootnoteReference"/>
        </w:rPr>
        <w:footnoteRef/>
      </w:r>
      <w:r>
        <w:t xml:space="preserve"> </w:t>
      </w:r>
      <w:r w:rsidRPr="0059768B">
        <w:t xml:space="preserve"> </w:t>
      </w:r>
      <w:r>
        <w:tab/>
      </w:r>
      <w:proofErr w:type="gramStart"/>
      <w:r>
        <w:t xml:space="preserve">Tasmanian Small Business Council, </w:t>
      </w:r>
      <w:r w:rsidRPr="000D0630">
        <w:rPr>
          <w:rStyle w:val="AERtextitalic"/>
        </w:rPr>
        <w:t>Transend transitional revenue proposal, 2014/15</w:t>
      </w:r>
      <w:r w:rsidRPr="000D0630">
        <w:rPr>
          <w:rStyle w:val="AERtextitalic"/>
          <w:rFonts w:hint="eastAsia"/>
        </w:rPr>
        <w:t>—</w:t>
      </w:r>
      <w:r w:rsidRPr="000D0630">
        <w:rPr>
          <w:rStyle w:val="AERtextitalic"/>
        </w:rPr>
        <w:t>Submission</w:t>
      </w:r>
      <w:r>
        <w:t>, March 2014, p. 23.</w:t>
      </w:r>
      <w:proofErr w:type="gramEnd"/>
    </w:p>
  </w:footnote>
  <w:footnote w:id="73">
    <w:p w:rsidR="00713D60" w:rsidRDefault="00713D60" w:rsidP="00D9669E">
      <w:pPr>
        <w:pStyle w:val="FootnoteText"/>
      </w:pPr>
      <w:r>
        <w:rPr>
          <w:rStyle w:val="FootnoteReference"/>
        </w:rPr>
        <w:footnoteRef/>
      </w:r>
      <w:r>
        <w:t xml:space="preserve"> </w:t>
      </w:r>
      <w:r>
        <w:tab/>
        <w:t>NER, clause 11.58.3(a</w:t>
      </w:r>
      <w:proofErr w:type="gramStart"/>
      <w:r>
        <w:t>)(</w:t>
      </w:r>
      <w:proofErr w:type="gramEnd"/>
      <w:r>
        <w:t>4).</w:t>
      </w:r>
    </w:p>
  </w:footnote>
  <w:footnote w:id="74">
    <w:p w:rsidR="00713D60" w:rsidRDefault="00713D60" w:rsidP="00F14237">
      <w:pPr>
        <w:pStyle w:val="FootnoteText"/>
      </w:pPr>
      <w:r>
        <w:rPr>
          <w:rStyle w:val="FootnoteReference"/>
        </w:rPr>
        <w:footnoteRef/>
      </w:r>
      <w:r>
        <w:t xml:space="preserve"> </w:t>
      </w:r>
      <w:r>
        <w:tab/>
      </w:r>
      <w:proofErr w:type="gramStart"/>
      <w:r>
        <w:t>NER, clause 11.57.2(a).</w:t>
      </w:r>
      <w:proofErr w:type="gramEnd"/>
    </w:p>
  </w:footnote>
  <w:footnote w:id="75">
    <w:p w:rsidR="00713D60" w:rsidRDefault="00713D60" w:rsidP="00D9669E">
      <w:pPr>
        <w:pStyle w:val="FootnoteText"/>
      </w:pPr>
      <w:r>
        <w:rPr>
          <w:rStyle w:val="FootnoteReference"/>
        </w:rPr>
        <w:footnoteRef/>
      </w:r>
      <w:r>
        <w:t xml:space="preserve"> </w:t>
      </w:r>
      <w:r>
        <w:tab/>
        <w:t>NER, clause 11.58.3(a</w:t>
      </w:r>
      <w:proofErr w:type="gramStart"/>
      <w:r>
        <w:t>)(</w:t>
      </w:r>
      <w:proofErr w:type="gramEnd"/>
      <w:r>
        <w:t>5).</w:t>
      </w:r>
    </w:p>
  </w:footnote>
  <w:footnote w:id="76">
    <w:p w:rsidR="00713D60" w:rsidRDefault="00713D60" w:rsidP="00D9669E">
      <w:pPr>
        <w:pStyle w:val="FootnoteText"/>
      </w:pPr>
      <w:r>
        <w:rPr>
          <w:rStyle w:val="FootnoteReference"/>
        </w:rPr>
        <w:footnoteRef/>
      </w:r>
      <w:r>
        <w:t xml:space="preserve"> </w:t>
      </w:r>
      <w:r>
        <w:tab/>
        <w:t>NER, clause 11.58.3(a</w:t>
      </w:r>
      <w:proofErr w:type="gramStart"/>
      <w:r>
        <w:t>)(</w:t>
      </w:r>
      <w:proofErr w:type="gramEnd"/>
      <w:r>
        <w:t>6).</w:t>
      </w:r>
    </w:p>
  </w:footnote>
  <w:footnote w:id="77">
    <w:p w:rsidR="00713D60" w:rsidRDefault="00713D60" w:rsidP="00D9669E">
      <w:pPr>
        <w:pStyle w:val="FootnoteText"/>
      </w:pPr>
      <w:r>
        <w:rPr>
          <w:rStyle w:val="FootnoteReference"/>
        </w:rPr>
        <w:footnoteRef/>
      </w:r>
      <w:r>
        <w:t xml:space="preserve"> </w:t>
      </w:r>
      <w:r>
        <w:tab/>
        <w:t>NER, clause 11.58.3(a</w:t>
      </w:r>
      <w:proofErr w:type="gramStart"/>
      <w:r>
        <w:t>)(</w:t>
      </w:r>
      <w:proofErr w:type="gramEnd"/>
      <w:r>
        <w:t>7).</w:t>
      </w:r>
    </w:p>
  </w:footnote>
  <w:footnote w:id="78">
    <w:p w:rsidR="00713D60" w:rsidRDefault="00713D60" w:rsidP="00E736F9">
      <w:pPr>
        <w:pStyle w:val="FootnoteText"/>
      </w:pPr>
      <w:r>
        <w:rPr>
          <w:rStyle w:val="FootnoteReference"/>
        </w:rPr>
        <w:footnoteRef/>
      </w:r>
      <w:r>
        <w:t xml:space="preserve"> </w:t>
      </w:r>
      <w:r>
        <w:tab/>
        <w:t xml:space="preserve">AER, </w:t>
      </w:r>
      <w:r w:rsidRPr="00C96306">
        <w:rPr>
          <w:i/>
        </w:rPr>
        <w:t>Final – Service target performance incentive scheme</w:t>
      </w:r>
      <w:r>
        <w:t xml:space="preserve">, December 2012. </w:t>
      </w:r>
    </w:p>
  </w:footnote>
  <w:footnote w:id="79">
    <w:p w:rsidR="00713D60" w:rsidRDefault="00713D60" w:rsidP="002F5C83">
      <w:pPr>
        <w:pStyle w:val="FootnoteText"/>
      </w:pPr>
      <w:r>
        <w:rPr>
          <w:rStyle w:val="FootnoteReference"/>
        </w:rPr>
        <w:footnoteRef/>
      </w:r>
      <w:r>
        <w:t xml:space="preserve"> </w:t>
      </w:r>
      <w:r>
        <w:tab/>
        <w:t xml:space="preserve">AER, </w:t>
      </w:r>
      <w:r w:rsidRPr="00C96306">
        <w:rPr>
          <w:i/>
        </w:rPr>
        <w:t>Final – Service target performance incentive scheme</w:t>
      </w:r>
      <w:r>
        <w:t xml:space="preserve">, December 2012. </w:t>
      </w:r>
    </w:p>
  </w:footnote>
  <w:footnote w:id="80">
    <w:p w:rsidR="00713D60" w:rsidRDefault="00713D60" w:rsidP="003A72DE">
      <w:pPr>
        <w:pStyle w:val="FootnoteText"/>
      </w:pPr>
      <w:r>
        <w:rPr>
          <w:rStyle w:val="FootnoteReference"/>
        </w:rPr>
        <w:footnoteRef/>
      </w:r>
      <w:r>
        <w:t xml:space="preserve"> </w:t>
      </w:r>
      <w:r>
        <w:tab/>
        <w:t xml:space="preserve">To derive these nominal figures, TransGrid assumes inflation of 2.5 per cent across the period. </w:t>
      </w:r>
      <w:proofErr w:type="gramStart"/>
      <w:r>
        <w:t xml:space="preserve">TransGrid, </w:t>
      </w:r>
      <w:r w:rsidRPr="00836C60">
        <w:rPr>
          <w:i/>
        </w:rPr>
        <w:t>Transitional revenue proposal 2014/15</w:t>
      </w:r>
      <w:r>
        <w:t>, 31 January 2014, p. 62.</w:t>
      </w:r>
      <w:proofErr w:type="gramEnd"/>
    </w:p>
  </w:footnote>
  <w:footnote w:id="81">
    <w:p w:rsidR="00713D60" w:rsidRDefault="00713D60" w:rsidP="003A72DE">
      <w:pPr>
        <w:pStyle w:val="FootnoteText"/>
      </w:pPr>
      <w:r>
        <w:rPr>
          <w:rStyle w:val="FootnoteReference"/>
        </w:rPr>
        <w:footnoteRef/>
      </w:r>
      <w:r>
        <w:t xml:space="preserve"> </w:t>
      </w:r>
      <w:r>
        <w:tab/>
      </w:r>
      <w:proofErr w:type="gramStart"/>
      <w:r>
        <w:t xml:space="preserve">TransGrid, </w:t>
      </w:r>
      <w:r w:rsidRPr="00836C60">
        <w:rPr>
          <w:i/>
        </w:rPr>
        <w:t>Transitional revenue proposal 2014/15</w:t>
      </w:r>
      <w:r>
        <w:t>, 31 January 2014, p. 65.</w:t>
      </w:r>
      <w:proofErr w:type="gramEnd"/>
    </w:p>
  </w:footnote>
  <w:footnote w:id="82">
    <w:p w:rsidR="00713D60" w:rsidRDefault="00713D60" w:rsidP="003A72DE">
      <w:pPr>
        <w:pStyle w:val="FootnoteText"/>
      </w:pPr>
      <w:r>
        <w:rPr>
          <w:rStyle w:val="FootnoteReference"/>
        </w:rPr>
        <w:footnoteRef/>
      </w:r>
      <w:r>
        <w:t xml:space="preserve"> </w:t>
      </w:r>
      <w:r>
        <w:tab/>
      </w:r>
      <w:proofErr w:type="gramStart"/>
      <w:r>
        <w:t xml:space="preserve">TransGrid, </w:t>
      </w:r>
      <w:r w:rsidRPr="00836C60">
        <w:rPr>
          <w:i/>
        </w:rPr>
        <w:t>Transitional revenue proposal 2014/15</w:t>
      </w:r>
      <w:r>
        <w:t>, 31 January 2014, p. 65.</w:t>
      </w:r>
      <w:proofErr w:type="gramEnd"/>
    </w:p>
  </w:footnote>
  <w:footnote w:id="83">
    <w:p w:rsidR="00713D60" w:rsidRDefault="00713D60" w:rsidP="003A72DE">
      <w:pPr>
        <w:pStyle w:val="FootnoteText"/>
      </w:pPr>
      <w:r>
        <w:rPr>
          <w:rStyle w:val="FootnoteReference"/>
        </w:rPr>
        <w:footnoteRef/>
      </w:r>
      <w:r>
        <w:t xml:space="preserve"> </w:t>
      </w:r>
      <w:r>
        <w:tab/>
        <w:t>This is because the $863 million figure is the appropriate starting point for the price variation assessment we have undertaken.</w:t>
      </w:r>
    </w:p>
  </w:footnote>
  <w:footnote w:id="84">
    <w:p w:rsidR="00713D60" w:rsidRDefault="00713D60">
      <w:pPr>
        <w:pStyle w:val="FootnoteText"/>
      </w:pPr>
      <w:r>
        <w:rPr>
          <w:rStyle w:val="FootnoteReference"/>
        </w:rPr>
        <w:footnoteRef/>
      </w:r>
      <w:r>
        <w:t xml:space="preserve"> </w:t>
      </w:r>
      <w:r>
        <w:tab/>
        <w:t xml:space="preserve">Such a recovery would occur through </w:t>
      </w:r>
      <w:proofErr w:type="spellStart"/>
      <w:r>
        <w:t>TransGrid’s</w:t>
      </w:r>
      <w:proofErr w:type="spellEnd"/>
      <w:r>
        <w:t xml:space="preserve"> annual pricing process, not as part of this determination.</w:t>
      </w:r>
    </w:p>
  </w:footnote>
  <w:footnote w:id="85">
    <w:p w:rsidR="00713D60" w:rsidRDefault="00713D60">
      <w:pPr>
        <w:pStyle w:val="FootnoteText"/>
      </w:pPr>
      <w:r>
        <w:rPr>
          <w:rStyle w:val="FootnoteReference"/>
        </w:rPr>
        <w:footnoteRef/>
      </w:r>
      <w:r>
        <w:t xml:space="preserve"> </w:t>
      </w:r>
      <w:r>
        <w:tab/>
      </w:r>
      <w:proofErr w:type="gramStart"/>
      <w:r>
        <w:t xml:space="preserve">TransGrid, </w:t>
      </w:r>
      <w:r w:rsidRPr="00791780">
        <w:rPr>
          <w:rStyle w:val="AERtextitalic"/>
        </w:rPr>
        <w:t>Transitional revenue proposal 2014/15</w:t>
      </w:r>
      <w:r>
        <w:t>, January 2014, pp. 56–58.</w:t>
      </w:r>
      <w:proofErr w:type="gramEnd"/>
    </w:p>
  </w:footnote>
  <w:footnote w:id="86">
    <w:p w:rsidR="00713D60" w:rsidRDefault="00713D60" w:rsidP="000C203D">
      <w:pPr>
        <w:pStyle w:val="FootnoteText"/>
      </w:pPr>
      <w:r>
        <w:rPr>
          <w:rStyle w:val="FootnoteReference"/>
        </w:rPr>
        <w:footnoteRef/>
      </w:r>
      <w:r>
        <w:t xml:space="preserve"> </w:t>
      </w:r>
      <w:r>
        <w:tab/>
      </w:r>
      <w:proofErr w:type="gramStart"/>
      <w:r>
        <w:t xml:space="preserve">TransGrid, </w:t>
      </w:r>
      <w:r w:rsidRPr="00791780">
        <w:rPr>
          <w:rStyle w:val="AERtextitalic"/>
        </w:rPr>
        <w:t>Transitional revenue proposal 2014/15</w:t>
      </w:r>
      <w:r>
        <w:t>, January 2014, pp. 59–60.</w:t>
      </w:r>
      <w:proofErr w:type="gramEnd"/>
    </w:p>
  </w:footnote>
  <w:footnote w:id="87">
    <w:p w:rsidR="00713D60" w:rsidRDefault="00713D60" w:rsidP="000C203D">
      <w:pPr>
        <w:pStyle w:val="FootnoteText"/>
      </w:pPr>
      <w:r>
        <w:rPr>
          <w:rStyle w:val="FootnoteReference"/>
        </w:rPr>
        <w:footnoteRef/>
      </w:r>
      <w:r>
        <w:t xml:space="preserve"> </w:t>
      </w:r>
      <w:r>
        <w:tab/>
      </w:r>
      <w:proofErr w:type="gramStart"/>
      <w:r>
        <w:t xml:space="preserve">TransGrid, </w:t>
      </w:r>
      <w:r w:rsidRPr="00791780">
        <w:rPr>
          <w:rStyle w:val="AERtextitalic"/>
        </w:rPr>
        <w:t>Transitional revenue proposal 2014/15</w:t>
      </w:r>
      <w:r>
        <w:t>, January 2014, pp. 67–68.</w:t>
      </w:r>
      <w:proofErr w:type="gramEnd"/>
    </w:p>
  </w:footnote>
  <w:footnote w:id="88">
    <w:p w:rsidR="00713D60" w:rsidRDefault="00713D60" w:rsidP="00F25018">
      <w:pPr>
        <w:pStyle w:val="FootnoteText"/>
      </w:pPr>
      <w:r>
        <w:rPr>
          <w:rStyle w:val="FootnoteReference"/>
        </w:rPr>
        <w:footnoteRef/>
      </w:r>
      <w:r>
        <w:t xml:space="preserve"> </w:t>
      </w:r>
      <w:r>
        <w:tab/>
        <w:t>Actual opex is opex less movement in provisions.</w:t>
      </w:r>
    </w:p>
  </w:footnote>
  <w:footnote w:id="89">
    <w:p w:rsidR="00713D60" w:rsidRDefault="00713D60" w:rsidP="00F25018">
      <w:pPr>
        <w:pStyle w:val="FootnoteText"/>
      </w:pPr>
      <w:r>
        <w:rPr>
          <w:rStyle w:val="FootnoteReference"/>
        </w:rPr>
        <w:footnoteRef/>
      </w:r>
      <w:r>
        <w:t xml:space="preserve"> </w:t>
      </w:r>
      <w:r>
        <w:tab/>
      </w:r>
      <w:proofErr w:type="gramStart"/>
      <w:r>
        <w:t xml:space="preserve">TransGrid, </w:t>
      </w:r>
      <w:r w:rsidRPr="00791780">
        <w:rPr>
          <w:rStyle w:val="AERtextitalic"/>
        </w:rPr>
        <w:t>Transitional revenue proposal 2014/15</w:t>
      </w:r>
      <w:r>
        <w:t>, January 2014, p. 37.</w:t>
      </w:r>
      <w:proofErr w:type="gramEnd"/>
    </w:p>
  </w:footnote>
  <w:footnote w:id="90">
    <w:p w:rsidR="00713D60" w:rsidRDefault="00713D60" w:rsidP="00F25018">
      <w:pPr>
        <w:pStyle w:val="FootnoteText"/>
      </w:pPr>
      <w:r>
        <w:rPr>
          <w:rStyle w:val="FootnoteReference"/>
        </w:rPr>
        <w:footnoteRef/>
      </w:r>
      <w:r>
        <w:t xml:space="preserve"> </w:t>
      </w:r>
      <w:r>
        <w:tab/>
        <w:t xml:space="preserve">TransGrid, </w:t>
      </w:r>
      <w:r w:rsidRPr="00791780">
        <w:rPr>
          <w:rStyle w:val="AERtextitalic"/>
        </w:rPr>
        <w:t>Transitional revenue proposal 2014/15</w:t>
      </w:r>
      <w:r>
        <w:t>, January 2014, pp. 39–40</w:t>
      </w:r>
    </w:p>
  </w:footnote>
  <w:footnote w:id="91">
    <w:p w:rsidR="00713D60" w:rsidRDefault="00713D60" w:rsidP="00F25018">
      <w:pPr>
        <w:pStyle w:val="FootnoteText"/>
      </w:pPr>
      <w:r>
        <w:rPr>
          <w:rStyle w:val="FootnoteReference"/>
        </w:rPr>
        <w:footnoteRef/>
      </w:r>
      <w:r>
        <w:t xml:space="preserve"> </w:t>
      </w:r>
      <w:r>
        <w:tab/>
      </w:r>
      <w:proofErr w:type="gramStart"/>
      <w:r>
        <w:t xml:space="preserve">TransGrid, </w:t>
      </w:r>
      <w:r w:rsidRPr="00791780">
        <w:rPr>
          <w:rStyle w:val="AERtextitalic"/>
        </w:rPr>
        <w:t>Transitional revenue proposal 2014/15</w:t>
      </w:r>
      <w:r>
        <w:t>, January 2014, p. 41.</w:t>
      </w:r>
      <w:proofErr w:type="gramEnd"/>
    </w:p>
  </w:footnote>
  <w:footnote w:id="92">
    <w:p w:rsidR="00713D60" w:rsidRDefault="00713D60" w:rsidP="00F25018">
      <w:pPr>
        <w:pStyle w:val="FootnoteText"/>
      </w:pPr>
      <w:r>
        <w:rPr>
          <w:rStyle w:val="FootnoteReference"/>
        </w:rPr>
        <w:footnoteRef/>
      </w:r>
      <w:r>
        <w:t xml:space="preserve"> </w:t>
      </w:r>
      <w:r>
        <w:tab/>
        <w:t xml:space="preserve">TransGrid, </w:t>
      </w:r>
      <w:r w:rsidRPr="00791780">
        <w:rPr>
          <w:rStyle w:val="AERtextitalic"/>
        </w:rPr>
        <w:t>Transitional revenue proposal 2014/15</w:t>
      </w:r>
      <w:r>
        <w:t>, January 2014, pp. 42–43</w:t>
      </w:r>
    </w:p>
  </w:footnote>
  <w:footnote w:id="93">
    <w:p w:rsidR="00713D60" w:rsidRDefault="00713D60">
      <w:pPr>
        <w:pStyle w:val="FootnoteText"/>
      </w:pPr>
      <w:r>
        <w:rPr>
          <w:rStyle w:val="FootnoteReference"/>
        </w:rPr>
        <w:footnoteRef/>
      </w:r>
      <w:r>
        <w:t xml:space="preserve"> </w:t>
      </w:r>
      <w:r>
        <w:tab/>
      </w:r>
      <w:proofErr w:type="gramStart"/>
      <w:r>
        <w:t xml:space="preserve">TransGrid, </w:t>
      </w:r>
      <w:r w:rsidRPr="00791780">
        <w:rPr>
          <w:rStyle w:val="AERtextitalic"/>
        </w:rPr>
        <w:t>Transitional revenue proposal 2014/15</w:t>
      </w:r>
      <w:r>
        <w:t>, January 2014, p. 54.</w:t>
      </w:r>
      <w:proofErr w:type="gramEnd"/>
    </w:p>
  </w:footnote>
  <w:footnote w:id="94">
    <w:p w:rsidR="00713D60" w:rsidRDefault="00713D60" w:rsidP="00AB5F05">
      <w:pPr>
        <w:pStyle w:val="FootnoteText"/>
      </w:pPr>
      <w:r>
        <w:rPr>
          <w:rStyle w:val="FootnoteReference"/>
        </w:rPr>
        <w:footnoteRef/>
      </w:r>
      <w:r>
        <w:t xml:space="preserve"> </w:t>
      </w:r>
      <w:r>
        <w:tab/>
        <w:t xml:space="preserve">NER, clause </w:t>
      </w:r>
      <w:proofErr w:type="gramStart"/>
      <w:r>
        <w:t>6A.6.2(</w:t>
      </w:r>
      <w:proofErr w:type="gramEnd"/>
      <w:r>
        <w:t xml:space="preserve">e)(1). Although it is unclear from </w:t>
      </w:r>
      <w:proofErr w:type="spellStart"/>
      <w:r>
        <w:t>TransGrid’s</w:t>
      </w:r>
      <w:proofErr w:type="spellEnd"/>
      <w:r>
        <w:t xml:space="preserve"> proposal how the return on equity was calculated, it noted in its proposal that in developing WACC estimates for the transitional regulatory control period it relied on publicly available studies on the cost of capital for a benchmark energy network. The point estimate for return on equity as presented in its proposed post–tax revenue model (PTRM) is 10.7%. </w:t>
      </w:r>
      <w:proofErr w:type="gramStart"/>
      <w:r>
        <w:t xml:space="preserve">TransGrid, </w:t>
      </w:r>
      <w:r>
        <w:rPr>
          <w:rStyle w:val="AERtextitalic"/>
        </w:rPr>
        <w:t xml:space="preserve">Transitional revenue proposal </w:t>
      </w:r>
      <w:r w:rsidRPr="00791780">
        <w:rPr>
          <w:rStyle w:val="AERtextitalic"/>
        </w:rPr>
        <w:t>2014/15</w:t>
      </w:r>
      <w:r>
        <w:t>, January 2014, p. 54.</w:t>
      </w:r>
      <w:proofErr w:type="gramEnd"/>
      <w:r>
        <w:t xml:space="preserve"> </w:t>
      </w:r>
      <w:proofErr w:type="gramStart"/>
      <w:r>
        <w:t xml:space="preserve">TransGrid, </w:t>
      </w:r>
      <w:r w:rsidRPr="00833FA5">
        <w:rPr>
          <w:rStyle w:val="AERtextitalic"/>
        </w:rPr>
        <w:t>Post–tax revenue model</w:t>
      </w:r>
      <w:r>
        <w:t>, January 2014.</w:t>
      </w:r>
      <w:proofErr w:type="gramEnd"/>
    </w:p>
  </w:footnote>
  <w:footnote w:id="95">
    <w:p w:rsidR="00713D60" w:rsidRDefault="00713D60">
      <w:pPr>
        <w:pStyle w:val="FootnoteText"/>
      </w:pPr>
      <w:r>
        <w:rPr>
          <w:rStyle w:val="FootnoteReference"/>
        </w:rPr>
        <w:footnoteRef/>
      </w:r>
      <w:r>
        <w:t xml:space="preserve"> </w:t>
      </w:r>
      <w:r>
        <w:tab/>
        <w:t xml:space="preserve">NER, clause </w:t>
      </w:r>
      <w:proofErr w:type="gramStart"/>
      <w:r>
        <w:t>6A.6.2(</w:t>
      </w:r>
      <w:proofErr w:type="gramEnd"/>
      <w:r>
        <w:t xml:space="preserve">e)(1). </w:t>
      </w:r>
      <w:proofErr w:type="gramStart"/>
      <w:r>
        <w:t xml:space="preserve">TransGrid, </w:t>
      </w:r>
      <w:r w:rsidRPr="00791780">
        <w:rPr>
          <w:rStyle w:val="AERtextitalic"/>
        </w:rPr>
        <w:t>Transitional revenue proposal</w:t>
      </w:r>
      <w:r>
        <w:rPr>
          <w:rStyle w:val="AERtextitalic"/>
        </w:rPr>
        <w:t xml:space="preserve"> </w:t>
      </w:r>
      <w:r w:rsidRPr="00791780">
        <w:rPr>
          <w:rStyle w:val="AERtextitalic"/>
        </w:rPr>
        <w:t>2014/15</w:t>
      </w:r>
      <w:r>
        <w:t>, January 2014, pp. 53–54.</w:t>
      </w:r>
      <w:proofErr w:type="gramEnd"/>
    </w:p>
  </w:footnote>
  <w:footnote w:id="96">
    <w:p w:rsidR="00713D60" w:rsidRDefault="00713D60">
      <w:pPr>
        <w:pStyle w:val="FootnoteText"/>
      </w:pPr>
      <w:r>
        <w:rPr>
          <w:rStyle w:val="FootnoteReference"/>
        </w:rPr>
        <w:footnoteRef/>
      </w:r>
      <w:r>
        <w:t xml:space="preserve"> </w:t>
      </w:r>
      <w:r>
        <w:tab/>
      </w:r>
      <w:proofErr w:type="gramStart"/>
      <w:r>
        <w:t xml:space="preserve">TransGrid, </w:t>
      </w:r>
      <w:r w:rsidRPr="00791780">
        <w:rPr>
          <w:rStyle w:val="AERtextitalic"/>
        </w:rPr>
        <w:t>Transitional revenue proposal</w:t>
      </w:r>
      <w:r>
        <w:rPr>
          <w:rStyle w:val="AERtextitalic"/>
        </w:rPr>
        <w:t xml:space="preserve"> </w:t>
      </w:r>
      <w:r w:rsidRPr="00791780">
        <w:rPr>
          <w:rStyle w:val="AERtextitalic"/>
        </w:rPr>
        <w:t>2014/15</w:t>
      </w:r>
      <w:r>
        <w:t>, January 2014, p. 49.</w:t>
      </w:r>
      <w:proofErr w:type="gramEnd"/>
      <w:r>
        <w:t xml:space="preserve"> Although it is unclear from </w:t>
      </w:r>
      <w:proofErr w:type="spellStart"/>
      <w:r>
        <w:t>TransGrid’s</w:t>
      </w:r>
      <w:proofErr w:type="spellEnd"/>
      <w:r>
        <w:t xml:space="preserve"> proposal how the return on debt was calculated, it noted in its proposal that in developing WACC estimates for the transitional regulatory control period it relied on publicly available studies on the cost of capital for a benchmark energy network. The point estimate for the return on debt as presented in the PTRM is 7.7%. </w:t>
      </w:r>
      <w:proofErr w:type="gramStart"/>
      <w:r>
        <w:t xml:space="preserve">TransGrid, </w:t>
      </w:r>
      <w:r w:rsidRPr="00833FA5">
        <w:rPr>
          <w:rStyle w:val="AERtextitalic"/>
        </w:rPr>
        <w:t>Post–tax revenue model</w:t>
      </w:r>
      <w:r>
        <w:t>, January 2014.</w:t>
      </w:r>
      <w:proofErr w:type="gramEnd"/>
    </w:p>
  </w:footnote>
  <w:footnote w:id="97">
    <w:p w:rsidR="00713D60" w:rsidRDefault="00713D60">
      <w:pPr>
        <w:pStyle w:val="FootnoteText"/>
      </w:pPr>
      <w:r>
        <w:rPr>
          <w:rStyle w:val="FootnoteReference"/>
        </w:rPr>
        <w:footnoteRef/>
      </w:r>
      <w:r>
        <w:t xml:space="preserve"> </w:t>
      </w:r>
      <w:r>
        <w:tab/>
      </w:r>
      <w:proofErr w:type="gramStart"/>
      <w:r>
        <w:t xml:space="preserve">TransGrid, </w:t>
      </w:r>
      <w:r w:rsidRPr="00791780">
        <w:rPr>
          <w:rStyle w:val="AERtextitalic"/>
        </w:rPr>
        <w:t>Transitional revenue proposal</w:t>
      </w:r>
      <w:r>
        <w:rPr>
          <w:rStyle w:val="AERtextitalic"/>
        </w:rPr>
        <w:t xml:space="preserve"> </w:t>
      </w:r>
      <w:r w:rsidRPr="00791780">
        <w:rPr>
          <w:rStyle w:val="AERtextitalic"/>
        </w:rPr>
        <w:t>2014/15</w:t>
      </w:r>
      <w:r>
        <w:t>, January 2014, pp. 54–55.</w:t>
      </w:r>
      <w:proofErr w:type="gramEnd"/>
      <w:r>
        <w:t xml:space="preserve"> ENA, </w:t>
      </w:r>
      <w:r w:rsidRPr="00811803">
        <w:rPr>
          <w:rStyle w:val="AERtextitalic"/>
        </w:rPr>
        <w:t>Response to the draft rate of return guideline of the Australian Energy Regulator</w:t>
      </w:r>
      <w:r>
        <w:t>, October 2013.</w:t>
      </w:r>
    </w:p>
  </w:footnote>
  <w:footnote w:id="98">
    <w:p w:rsidR="00713D60" w:rsidRDefault="00713D60">
      <w:pPr>
        <w:pStyle w:val="FootnoteText"/>
      </w:pPr>
      <w:r>
        <w:rPr>
          <w:rStyle w:val="FootnoteReference"/>
        </w:rPr>
        <w:footnoteRef/>
      </w:r>
      <w:r>
        <w:t xml:space="preserve"> </w:t>
      </w:r>
      <w:r>
        <w:tab/>
      </w:r>
      <w:proofErr w:type="gramStart"/>
      <w:r>
        <w:t xml:space="preserve">TransGrid, </w:t>
      </w:r>
      <w:r w:rsidRPr="00791780">
        <w:rPr>
          <w:rStyle w:val="AERtextitalic"/>
        </w:rPr>
        <w:t>Transitional revenue proposal</w:t>
      </w:r>
      <w:r>
        <w:rPr>
          <w:rStyle w:val="AERtextitalic"/>
        </w:rPr>
        <w:t xml:space="preserve"> </w:t>
      </w:r>
      <w:r w:rsidRPr="00791780">
        <w:rPr>
          <w:rStyle w:val="AERtextitalic"/>
        </w:rPr>
        <w:t>2014/15</w:t>
      </w:r>
      <w:r>
        <w:t>, January 2014, pp. 54–55.</w:t>
      </w:r>
      <w:proofErr w:type="gramEnd"/>
    </w:p>
  </w:footnote>
  <w:footnote w:id="99">
    <w:p w:rsidR="00713D60" w:rsidRDefault="00713D60" w:rsidP="003A72DE">
      <w:pPr>
        <w:pStyle w:val="FootnoteText"/>
      </w:pPr>
      <w:r>
        <w:rPr>
          <w:rStyle w:val="FootnoteReference"/>
        </w:rPr>
        <w:footnoteRef/>
      </w:r>
      <w:r>
        <w:t xml:space="preserve"> </w:t>
      </w:r>
      <w:r>
        <w:tab/>
        <w:t>This includes an adjustment for the time value of money arising from the delay in making this adjustment.</w:t>
      </w:r>
    </w:p>
  </w:footnote>
  <w:footnote w:id="100">
    <w:p w:rsidR="00713D60" w:rsidRDefault="00713D60">
      <w:pPr>
        <w:pStyle w:val="FootnoteText"/>
      </w:pPr>
      <w:r>
        <w:rPr>
          <w:rStyle w:val="FootnoteReference"/>
        </w:rPr>
        <w:footnoteRef/>
      </w:r>
      <w:r>
        <w:t xml:space="preserve"> </w:t>
      </w:r>
      <w:r>
        <w:tab/>
        <w:t>To derive these nominal figures, Transend assumes 2.5 per cent inflation across the period.</w:t>
      </w:r>
    </w:p>
  </w:footnote>
  <w:footnote w:id="101">
    <w:p w:rsidR="00713D60" w:rsidRDefault="00713D60" w:rsidP="003A72DE">
      <w:pPr>
        <w:pStyle w:val="FootnoteText"/>
      </w:pPr>
      <w:r>
        <w:rPr>
          <w:rStyle w:val="FootnoteReference"/>
        </w:rPr>
        <w:footnoteRef/>
      </w:r>
      <w:r>
        <w:t xml:space="preserve"> </w:t>
      </w:r>
      <w:r>
        <w:tab/>
      </w:r>
      <w:proofErr w:type="gramStart"/>
      <w:r>
        <w:t xml:space="preserve">Transend, </w:t>
      </w:r>
      <w:r w:rsidRPr="00791780">
        <w:rPr>
          <w:rStyle w:val="AERtextitalic"/>
        </w:rPr>
        <w:t>Transitional revenue proposal</w:t>
      </w:r>
      <w:r>
        <w:rPr>
          <w:rStyle w:val="AERtextitalic"/>
        </w:rPr>
        <w:t>, Regulatory control period 1 July 2014–30 June 2015</w:t>
      </w:r>
      <w:r>
        <w:t>, January 2014, pp. 7–8.</w:t>
      </w:r>
      <w:proofErr w:type="gramEnd"/>
    </w:p>
  </w:footnote>
  <w:footnote w:id="102">
    <w:p w:rsidR="00713D60" w:rsidRDefault="00713D60" w:rsidP="003A72DE">
      <w:pPr>
        <w:pStyle w:val="FootnoteText"/>
      </w:pPr>
      <w:r>
        <w:rPr>
          <w:rStyle w:val="FootnoteReference"/>
        </w:rPr>
        <w:footnoteRef/>
      </w:r>
      <w:r>
        <w:t xml:space="preserve"> </w:t>
      </w:r>
      <w:r>
        <w:tab/>
      </w:r>
      <w:r w:rsidRPr="00551E19">
        <w:t xml:space="preserve"> </w:t>
      </w:r>
      <w:proofErr w:type="gramStart"/>
      <w:r>
        <w:t xml:space="preserve">Transend, </w:t>
      </w:r>
      <w:r w:rsidRPr="00791780">
        <w:rPr>
          <w:rStyle w:val="AERtextitalic"/>
        </w:rPr>
        <w:t>Transitional revenue proposal</w:t>
      </w:r>
      <w:r>
        <w:rPr>
          <w:rStyle w:val="AERtextitalic"/>
        </w:rPr>
        <w:t>, Regulatory control period 1 July 2014–30 June 2015</w:t>
      </w:r>
      <w:r>
        <w:t>, January 2014, p. 6, 8.</w:t>
      </w:r>
      <w:proofErr w:type="gramEnd"/>
    </w:p>
  </w:footnote>
  <w:footnote w:id="103">
    <w:p w:rsidR="00713D60" w:rsidRDefault="00713D60" w:rsidP="003A72DE">
      <w:pPr>
        <w:pStyle w:val="FootnoteText"/>
      </w:pPr>
      <w:r>
        <w:rPr>
          <w:rStyle w:val="FootnoteReference"/>
        </w:rPr>
        <w:footnoteRef/>
      </w:r>
      <w:r>
        <w:t xml:space="preserve"> </w:t>
      </w:r>
      <w:r>
        <w:tab/>
        <w:t>This is because the $221 million figure is the appropriate starting point for the price variation assessment we have undertaken.</w:t>
      </w:r>
    </w:p>
  </w:footnote>
  <w:footnote w:id="104">
    <w:p w:rsidR="00713D60" w:rsidRDefault="00713D60">
      <w:pPr>
        <w:pStyle w:val="FootnoteText"/>
      </w:pPr>
      <w:r>
        <w:rPr>
          <w:rStyle w:val="FootnoteReference"/>
        </w:rPr>
        <w:footnoteRef/>
      </w:r>
      <w:r>
        <w:t xml:space="preserve"> </w:t>
      </w:r>
      <w:r>
        <w:tab/>
      </w:r>
      <w:proofErr w:type="gramStart"/>
      <w:r>
        <w:t xml:space="preserve">Transend, </w:t>
      </w:r>
      <w:r w:rsidRPr="00791780">
        <w:rPr>
          <w:rStyle w:val="AERtextitalic"/>
        </w:rPr>
        <w:t>Transitional revenue proposal</w:t>
      </w:r>
      <w:r>
        <w:rPr>
          <w:rStyle w:val="AERtextitalic"/>
        </w:rPr>
        <w:t>, Regulatory control period 1 July 2014–30 June 2015</w:t>
      </w:r>
      <w:r>
        <w:t>, January 2014, pp. 67–68.</w:t>
      </w:r>
      <w:proofErr w:type="gramEnd"/>
    </w:p>
  </w:footnote>
  <w:footnote w:id="105">
    <w:p w:rsidR="00713D60" w:rsidRDefault="00713D60">
      <w:pPr>
        <w:pStyle w:val="FootnoteText"/>
      </w:pPr>
      <w:r>
        <w:rPr>
          <w:rStyle w:val="FootnoteReference"/>
        </w:rPr>
        <w:footnoteRef/>
      </w:r>
      <w:r>
        <w:t xml:space="preserve"> </w:t>
      </w:r>
      <w:r>
        <w:tab/>
        <w:t xml:space="preserve">Transend, </w:t>
      </w:r>
      <w:r w:rsidRPr="00791780">
        <w:rPr>
          <w:rStyle w:val="AERtextitalic"/>
        </w:rPr>
        <w:t>Transitional revenue proposal</w:t>
      </w:r>
      <w:r>
        <w:rPr>
          <w:rStyle w:val="AERtextitalic"/>
        </w:rPr>
        <w:t>, Regulatory control period 1 July 2014–30 June 2015</w:t>
      </w:r>
      <w:r>
        <w:t xml:space="preserve">, January 2014, p. 64 (tax </w:t>
      </w:r>
      <w:proofErr w:type="spellStart"/>
      <w:r>
        <w:t>cashflow</w:t>
      </w:r>
      <w:proofErr w:type="spellEnd"/>
      <w:r>
        <w:t xml:space="preserve"> calculations are included in the PTRM).</w:t>
      </w:r>
    </w:p>
  </w:footnote>
  <w:footnote w:id="106">
    <w:p w:rsidR="00713D60" w:rsidRDefault="00713D60">
      <w:pPr>
        <w:pStyle w:val="FootnoteText"/>
      </w:pPr>
      <w:r>
        <w:rPr>
          <w:rStyle w:val="FootnoteReference"/>
        </w:rPr>
        <w:footnoteRef/>
      </w:r>
      <w:r>
        <w:t xml:space="preserve"> </w:t>
      </w:r>
      <w:r>
        <w:tab/>
      </w:r>
      <w:proofErr w:type="gramStart"/>
      <w:r>
        <w:t xml:space="preserve">Transend, </w:t>
      </w:r>
      <w:r w:rsidRPr="00791780">
        <w:rPr>
          <w:rStyle w:val="AERtextitalic"/>
        </w:rPr>
        <w:t>Transitional revenue proposal</w:t>
      </w:r>
      <w:r>
        <w:rPr>
          <w:rStyle w:val="AERtextitalic"/>
        </w:rPr>
        <w:t>, Regulatory control period 1 July 2014–30 June 2015</w:t>
      </w:r>
      <w:r>
        <w:t>, January 2014, p. 91.</w:t>
      </w:r>
      <w:proofErr w:type="gramEnd"/>
    </w:p>
  </w:footnote>
  <w:footnote w:id="107">
    <w:p w:rsidR="00713D60" w:rsidRDefault="00713D60" w:rsidP="00F25018">
      <w:pPr>
        <w:pStyle w:val="FootnoteText"/>
      </w:pPr>
      <w:r>
        <w:rPr>
          <w:rStyle w:val="FootnoteReference"/>
        </w:rPr>
        <w:footnoteRef/>
      </w:r>
      <w:r>
        <w:t xml:space="preserve"> </w:t>
      </w:r>
      <w:r>
        <w:tab/>
      </w:r>
      <w:proofErr w:type="gramStart"/>
      <w:r>
        <w:t xml:space="preserve">Transend, </w:t>
      </w:r>
      <w:r w:rsidRPr="00791780">
        <w:rPr>
          <w:rStyle w:val="AERtextitalic"/>
        </w:rPr>
        <w:t>Transitional revenue proposal</w:t>
      </w:r>
      <w:r>
        <w:rPr>
          <w:rStyle w:val="AERtextitalic"/>
        </w:rPr>
        <w:t>, Regulatory control period 1 July 2014–30 June 2015</w:t>
      </w:r>
      <w:r>
        <w:t>, January 2014, p. 50.</w:t>
      </w:r>
      <w:proofErr w:type="gramEnd"/>
    </w:p>
  </w:footnote>
  <w:footnote w:id="108">
    <w:p w:rsidR="00713D60" w:rsidRDefault="00713D60" w:rsidP="00811803">
      <w:pPr>
        <w:pStyle w:val="FootnoteText"/>
      </w:pPr>
      <w:r>
        <w:rPr>
          <w:rStyle w:val="FootnoteReference"/>
        </w:rPr>
        <w:footnoteRef/>
      </w:r>
      <w:r>
        <w:t xml:space="preserve"> </w:t>
      </w:r>
      <w:r>
        <w:tab/>
      </w:r>
      <w:proofErr w:type="gramStart"/>
      <w:r>
        <w:t xml:space="preserve">Transend, </w:t>
      </w:r>
      <w:r w:rsidRPr="00791780">
        <w:rPr>
          <w:rStyle w:val="AERtextitalic"/>
        </w:rPr>
        <w:t xml:space="preserve">Transitional revenue proposal </w:t>
      </w:r>
      <w:r>
        <w:rPr>
          <w:rStyle w:val="AERtextitalic"/>
        </w:rPr>
        <w:t>regulatory control period 1 July 2014–30 June 2015</w:t>
      </w:r>
      <w:r>
        <w:t>, January 2014, p. 64.</w:t>
      </w:r>
      <w:proofErr w:type="gramEnd"/>
    </w:p>
  </w:footnote>
  <w:footnote w:id="109">
    <w:p w:rsidR="00713D60" w:rsidRDefault="00713D60">
      <w:pPr>
        <w:pStyle w:val="FootnoteText"/>
      </w:pPr>
      <w:r>
        <w:rPr>
          <w:rStyle w:val="FootnoteReference"/>
        </w:rPr>
        <w:footnoteRef/>
      </w:r>
      <w:r>
        <w:t xml:space="preserve"> </w:t>
      </w:r>
      <w:r>
        <w:tab/>
      </w:r>
      <w:proofErr w:type="gramStart"/>
      <w:r>
        <w:t xml:space="preserve">Transend, </w:t>
      </w:r>
      <w:r w:rsidRPr="00B15EFF">
        <w:rPr>
          <w:rStyle w:val="AERtextitalic"/>
        </w:rPr>
        <w:t>Transitional revenue proposal</w:t>
      </w:r>
      <w:r>
        <w:rPr>
          <w:rStyle w:val="AERtextitalic"/>
        </w:rPr>
        <w:t xml:space="preserve"> regulatory control period 1 July 2014–30 June 2015</w:t>
      </w:r>
      <w:r>
        <w:t>, January 2014, pp. 95–98.</w:t>
      </w:r>
      <w:proofErr w:type="gramEnd"/>
      <w:r>
        <w:t xml:space="preserve"> </w:t>
      </w:r>
    </w:p>
  </w:footnote>
  <w:footnote w:id="110">
    <w:p w:rsidR="00713D60" w:rsidRDefault="00713D60" w:rsidP="00F426D0">
      <w:pPr>
        <w:pStyle w:val="FootnoteText"/>
      </w:pPr>
      <w:r>
        <w:rPr>
          <w:rStyle w:val="FootnoteReference"/>
        </w:rPr>
        <w:footnoteRef/>
      </w:r>
      <w:r>
        <w:t xml:space="preserve"> </w:t>
      </w:r>
      <w:r>
        <w:tab/>
      </w:r>
      <w:proofErr w:type="gramStart"/>
      <w:r>
        <w:t xml:space="preserve">SFG, </w:t>
      </w:r>
      <w:r w:rsidRPr="00B15EFF">
        <w:rPr>
          <w:rStyle w:val="AERtextitalic"/>
        </w:rPr>
        <w:t>Regression–based estimates of risk parameters for the benchmark firm</w:t>
      </w:r>
      <w:r>
        <w:t>, June 2013.</w:t>
      </w:r>
      <w:proofErr w:type="gramEnd"/>
      <w:r>
        <w:t xml:space="preserve"> NERA, </w:t>
      </w:r>
      <w:r w:rsidRPr="00B15EFF">
        <w:rPr>
          <w:rStyle w:val="AERtextitalic"/>
        </w:rPr>
        <w:t>Estimates of the zero beta premium</w:t>
      </w:r>
      <w:r>
        <w:t xml:space="preserve">, June 2013. CEG, </w:t>
      </w:r>
      <w:proofErr w:type="gramStart"/>
      <w:r w:rsidRPr="00B15EFF">
        <w:rPr>
          <w:rStyle w:val="AERtextitalic"/>
        </w:rPr>
        <w:t>Estimating</w:t>
      </w:r>
      <w:proofErr w:type="gramEnd"/>
      <w:r w:rsidRPr="00B15EFF">
        <w:rPr>
          <w:rStyle w:val="AERtextitalic"/>
        </w:rPr>
        <w:t xml:space="preserve"> the return on the market</w:t>
      </w:r>
      <w:r>
        <w:t>, June 2013.</w:t>
      </w:r>
    </w:p>
  </w:footnote>
  <w:footnote w:id="111">
    <w:p w:rsidR="00713D60" w:rsidRDefault="00713D60" w:rsidP="00F034D9">
      <w:pPr>
        <w:pStyle w:val="FootnoteText"/>
      </w:pPr>
      <w:r>
        <w:rPr>
          <w:rStyle w:val="FootnoteReference"/>
        </w:rPr>
        <w:footnoteRef/>
      </w:r>
      <w:r>
        <w:t xml:space="preserve"> </w:t>
      </w:r>
      <w:r>
        <w:tab/>
      </w:r>
      <w:proofErr w:type="gramStart"/>
      <w:r>
        <w:t xml:space="preserve">Transend, </w:t>
      </w:r>
      <w:r w:rsidRPr="00B15EFF">
        <w:rPr>
          <w:rStyle w:val="AERtextitalic"/>
        </w:rPr>
        <w:t>Transitional revenue proposal</w:t>
      </w:r>
      <w:r>
        <w:rPr>
          <w:rStyle w:val="AERtextitalic"/>
        </w:rPr>
        <w:t xml:space="preserve"> regulatory control period 1 July 2014–30 June 2015</w:t>
      </w:r>
      <w:r>
        <w:t>, January 2014, pp. 98–99.</w:t>
      </w:r>
      <w:proofErr w:type="gramEnd"/>
    </w:p>
  </w:footnote>
  <w:footnote w:id="112">
    <w:p w:rsidR="00713D60" w:rsidRDefault="00713D60" w:rsidP="00232E6E">
      <w:pPr>
        <w:pStyle w:val="FootnoteText"/>
      </w:pPr>
      <w:r>
        <w:rPr>
          <w:rStyle w:val="FootnoteReference"/>
        </w:rPr>
        <w:footnoteRef/>
      </w:r>
      <w:r>
        <w:t xml:space="preserve"> </w:t>
      </w:r>
      <w:r>
        <w:tab/>
      </w:r>
      <w:proofErr w:type="gramStart"/>
      <w:r>
        <w:t xml:space="preserve">Transend, </w:t>
      </w:r>
      <w:r w:rsidRPr="00B15EFF">
        <w:rPr>
          <w:rStyle w:val="AERtextitalic"/>
        </w:rPr>
        <w:t>Transitional revenue proposal</w:t>
      </w:r>
      <w:r>
        <w:rPr>
          <w:rStyle w:val="AERtextitalic"/>
        </w:rPr>
        <w:t xml:space="preserve"> regulatory control period 1 July 2014–30 June 2015</w:t>
      </w:r>
      <w:r>
        <w:t>, January 2014, pp. 99–100.</w:t>
      </w:r>
      <w:proofErr w:type="gramEnd"/>
    </w:p>
  </w:footnote>
  <w:footnote w:id="113">
    <w:p w:rsidR="00713D60" w:rsidRDefault="00713D60">
      <w:pPr>
        <w:pStyle w:val="FootnoteText"/>
      </w:pPr>
      <w:r>
        <w:rPr>
          <w:rStyle w:val="FootnoteReference"/>
        </w:rPr>
        <w:footnoteRef/>
      </w:r>
      <w:r>
        <w:t xml:space="preserve"> </w:t>
      </w:r>
      <w:r>
        <w:tab/>
      </w:r>
      <w:proofErr w:type="gramStart"/>
      <w:r>
        <w:t xml:space="preserve">Australian </w:t>
      </w:r>
      <w:r w:rsidRPr="00232E6E">
        <w:t xml:space="preserve">Competition Tribunal, </w:t>
      </w:r>
      <w:r w:rsidRPr="008B030A">
        <w:rPr>
          <w:rStyle w:val="AERtextitalic"/>
        </w:rPr>
        <w:t xml:space="preserve">Application by </w:t>
      </w:r>
      <w:proofErr w:type="spellStart"/>
      <w:r w:rsidRPr="008B030A">
        <w:rPr>
          <w:rStyle w:val="AERtextitalic"/>
        </w:rPr>
        <w:t>Energex</w:t>
      </w:r>
      <w:proofErr w:type="spellEnd"/>
      <w:r w:rsidRPr="008B030A">
        <w:rPr>
          <w:rStyle w:val="AERtextitalic"/>
        </w:rPr>
        <w:t xml:space="preserve"> Limited (gamma) (No 5) [2011] ACompT9</w:t>
      </w:r>
      <w:r w:rsidRPr="00232E6E">
        <w:t>, May 2011.</w:t>
      </w:r>
      <w:proofErr w:type="gramEnd"/>
    </w:p>
  </w:footnote>
  <w:footnote w:id="114">
    <w:p w:rsidR="00713D60" w:rsidRDefault="00713D60" w:rsidP="003A72DE">
      <w:pPr>
        <w:pStyle w:val="FootnoteText"/>
      </w:pPr>
      <w:r>
        <w:rPr>
          <w:rStyle w:val="FootnoteReference"/>
        </w:rPr>
        <w:footnoteRef/>
      </w:r>
      <w:r>
        <w:t xml:space="preserve"> </w:t>
      </w:r>
      <w:r>
        <w:tab/>
        <w:t xml:space="preserve">This includes an adjustment for the time value of money arising from the delay in making this adjustment. </w:t>
      </w:r>
      <w:r>
        <w:rPr>
          <w:rStyle w:val="AERtextbold"/>
          <w:b w:val="0"/>
        </w:rPr>
        <w:t>Transend</w:t>
      </w:r>
      <w:r>
        <w:t xml:space="preserve">, </w:t>
      </w:r>
      <w:r w:rsidRPr="00791780">
        <w:rPr>
          <w:rStyle w:val="AERtextitalic"/>
        </w:rPr>
        <w:t xml:space="preserve">Transitional revenue proposal </w:t>
      </w:r>
      <w:r>
        <w:rPr>
          <w:rStyle w:val="AERtextitalic"/>
        </w:rPr>
        <w:t>regulatory control period 1 July 2014–30 June 2015</w:t>
      </w:r>
      <w:r>
        <w:t>, January 2014, pp. 59–60.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F584834"/>
    <w:multiLevelType w:val="hybridMultilevel"/>
    <w:tmpl w:val="CE9CDF46"/>
    <w:lvl w:ilvl="0" w:tplc="1F6600CA">
      <w:start w:val="1"/>
      <w:numFmt w:val="bullet"/>
      <w:lvlText w:val=""/>
      <w:lvlJc w:val="left"/>
      <w:pPr>
        <w:tabs>
          <w:tab w:val="num" w:pos="360"/>
        </w:tabs>
        <w:ind w:left="360" w:hanging="3"/>
      </w:pPr>
      <w:rPr>
        <w:rFonts w:ascii="Wingdings" w:hAnsi="Wingdings"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3597CF9"/>
    <w:multiLevelType w:val="multilevel"/>
    <w:tmpl w:val="B478DFE6"/>
    <w:numStyleLink w:val="AERnumberedlist"/>
  </w:abstractNum>
  <w:abstractNum w:abstractNumId="4">
    <w:nsid w:val="23507EE9"/>
    <w:multiLevelType w:val="hybridMultilevel"/>
    <w:tmpl w:val="09DEF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6">
    <w:nsid w:val="30416C63"/>
    <w:multiLevelType w:val="hybridMultilevel"/>
    <w:tmpl w:val="D1984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A627AA3"/>
    <w:multiLevelType w:val="hybridMultilevel"/>
    <w:tmpl w:val="1382B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AF336BC"/>
    <w:multiLevelType w:val="multilevel"/>
    <w:tmpl w:val="955A02C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B7247A1"/>
    <w:multiLevelType w:val="hybridMultilevel"/>
    <w:tmpl w:val="C3E6DBAE"/>
    <w:lvl w:ilvl="0" w:tplc="E6F4B170">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2">
    <w:nsid w:val="41C84961"/>
    <w:multiLevelType w:val="hybridMultilevel"/>
    <w:tmpl w:val="9E7A2D70"/>
    <w:lvl w:ilvl="0" w:tplc="053E6184">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E781271"/>
    <w:multiLevelType w:val="hybridMultilevel"/>
    <w:tmpl w:val="4C9EAAB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CEC123B"/>
    <w:multiLevelType w:val="hybridMultilevel"/>
    <w:tmpl w:val="7668D4B8"/>
    <w:lvl w:ilvl="0" w:tplc="2CBEBA4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7"/>
  </w:num>
  <w:num w:numId="4">
    <w:abstractNumId w:val="17"/>
  </w:num>
  <w:num w:numId="5">
    <w:abstractNumId w:val="1"/>
  </w:num>
  <w:num w:numId="6">
    <w:abstractNumId w:val="14"/>
  </w:num>
  <w:num w:numId="7">
    <w:abstractNumId w:val="8"/>
  </w:num>
  <w:num w:numId="8">
    <w:abstractNumId w:val="3"/>
  </w:num>
  <w:num w:numId="9">
    <w:abstractNumId w:val="15"/>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
  </w:num>
  <w:num w:numId="20">
    <w:abstractNumId w:val="3"/>
  </w:num>
  <w:num w:numId="21">
    <w:abstractNumId w:val="3"/>
  </w:num>
  <w:num w:numId="22">
    <w:abstractNumId w:val="3"/>
  </w:num>
  <w:num w:numId="23">
    <w:abstractNumId w:val="4"/>
  </w:num>
  <w:num w:numId="24">
    <w:abstractNumId w:val="3"/>
  </w:num>
  <w:num w:numId="25">
    <w:abstractNumId w:val="3"/>
  </w:num>
  <w:num w:numId="26">
    <w:abstractNumId w:val="9"/>
  </w:num>
  <w:num w:numId="27">
    <w:abstractNumId w:val="13"/>
  </w:num>
  <w:num w:numId="28">
    <w:abstractNumId w:val="11"/>
  </w:num>
  <w:num w:numId="29">
    <w:abstractNumId w:val="6"/>
  </w:num>
  <w:num w:numId="30">
    <w:abstractNumId w:val="2"/>
  </w:num>
  <w:num w:numId="31">
    <w:abstractNumId w:val="5"/>
    <w:lvlOverride w:ilvl="4">
      <w:lvl w:ilvl="4">
        <w:start w:val="1"/>
        <w:numFmt w:val="upperLetter"/>
        <w:lvlRestart w:val="1"/>
        <w:pStyle w:val="Heading7"/>
        <w:lvlText w:val="%5"/>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pStyle w:val="Heading8"/>
        <w:lvlText w:val="%5.%6"/>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2">
    <w:abstractNumId w:val="3"/>
  </w:num>
  <w:num w:numId="33">
    <w:abstractNumId w:val="3"/>
  </w:num>
  <w:num w:numId="34">
    <w:abstractNumId w:val="10"/>
  </w:num>
  <w:num w:numId="35">
    <w:abstractNumId w:val="5"/>
    <w:lvlOverride w:ilvl="2">
      <w:lvl w:ilvl="2">
        <w:start w:val="1"/>
        <w:numFmt w:val="decimal"/>
        <w:pStyle w:val="Heading2"/>
        <w:lvlText w:val="%1%2.%3"/>
        <w:lvlJc w:val="left"/>
        <w:pPr>
          <w:tabs>
            <w:tab w:val="num" w:pos="0"/>
          </w:tabs>
          <w:ind w:left="0" w:hanging="851"/>
        </w:pPr>
        <w:rPr>
          <w:rFonts w:hint="default"/>
        </w:rPr>
      </w:lvl>
    </w:lvlOverride>
  </w:num>
  <w:num w:numId="36">
    <w:abstractNumId w:val="16"/>
    <w:lvlOverride w:ilvl="2">
      <w:lvl w:ilvl="2">
        <w:start w:val="1"/>
        <w:numFmt w:val="decimal"/>
        <w:lvlText w:val="%1%2.%3"/>
        <w:lvlJc w:val="left"/>
        <w:pPr>
          <w:tabs>
            <w:tab w:val="num" w:pos="0"/>
          </w:tabs>
          <w:ind w:left="0" w:hanging="851"/>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7">
    <w:abstractNumId w:val="10"/>
  </w:num>
  <w:num w:numId="3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evenAndOddHeaders/>
  <w:drawingGridHorizontalSpacing w:val="100"/>
  <w:displayHorizontalDrawingGridEvery w:val="2"/>
  <w:characterSpacingControl w:val="doNotCompress"/>
  <w:hdrShapeDefaults>
    <o:shapedefaults v:ext="edit" spidmax="350209"/>
  </w:hdrShapeDefaults>
  <w:footnotePr>
    <w:footnote w:id="-1"/>
    <w:footnote w:id="0"/>
  </w:footnotePr>
  <w:endnotePr>
    <w:endnote w:id="-1"/>
    <w:endnote w:id="0"/>
  </w:endnotePr>
  <w:compat>
    <w:compatSetting w:name="compatibilityMode" w:uri="http://schemas.microsoft.com/office/word" w:val="12"/>
  </w:compat>
  <w:docVars>
    <w:docVar w:name="currentname" w:val="\\SCBRFS001\home$\PWu\aer transitional determination (D2014-00025311).docx"/>
  </w:docVars>
  <w:rsids>
    <w:rsidRoot w:val="000C052F"/>
    <w:rsid w:val="00000A6C"/>
    <w:rsid w:val="00002307"/>
    <w:rsid w:val="0000323A"/>
    <w:rsid w:val="000033C8"/>
    <w:rsid w:val="00003B6C"/>
    <w:rsid w:val="000079CC"/>
    <w:rsid w:val="000103DB"/>
    <w:rsid w:val="0001057B"/>
    <w:rsid w:val="00013C43"/>
    <w:rsid w:val="00016E9C"/>
    <w:rsid w:val="00022606"/>
    <w:rsid w:val="00024118"/>
    <w:rsid w:val="0002627D"/>
    <w:rsid w:val="00026B06"/>
    <w:rsid w:val="00026D1E"/>
    <w:rsid w:val="00034764"/>
    <w:rsid w:val="000363B3"/>
    <w:rsid w:val="00040599"/>
    <w:rsid w:val="00040749"/>
    <w:rsid w:val="0004239B"/>
    <w:rsid w:val="00045847"/>
    <w:rsid w:val="00047F24"/>
    <w:rsid w:val="0005160A"/>
    <w:rsid w:val="00055D07"/>
    <w:rsid w:val="00055EBB"/>
    <w:rsid w:val="00055EEA"/>
    <w:rsid w:val="00064F09"/>
    <w:rsid w:val="00065EE4"/>
    <w:rsid w:val="0006693B"/>
    <w:rsid w:val="00066E70"/>
    <w:rsid w:val="000673C0"/>
    <w:rsid w:val="00071CBE"/>
    <w:rsid w:val="000734DA"/>
    <w:rsid w:val="00075B72"/>
    <w:rsid w:val="00076FC7"/>
    <w:rsid w:val="00081FDA"/>
    <w:rsid w:val="00084BBD"/>
    <w:rsid w:val="00091CB1"/>
    <w:rsid w:val="0009294E"/>
    <w:rsid w:val="000938FA"/>
    <w:rsid w:val="00093AFC"/>
    <w:rsid w:val="0009426E"/>
    <w:rsid w:val="000945A2"/>
    <w:rsid w:val="000A1CC2"/>
    <w:rsid w:val="000A2E7A"/>
    <w:rsid w:val="000A3B0D"/>
    <w:rsid w:val="000A49F7"/>
    <w:rsid w:val="000A5342"/>
    <w:rsid w:val="000A6CFA"/>
    <w:rsid w:val="000B0CD4"/>
    <w:rsid w:val="000B15CA"/>
    <w:rsid w:val="000B1758"/>
    <w:rsid w:val="000B239A"/>
    <w:rsid w:val="000B2DCB"/>
    <w:rsid w:val="000B4290"/>
    <w:rsid w:val="000B5E36"/>
    <w:rsid w:val="000B6124"/>
    <w:rsid w:val="000C052F"/>
    <w:rsid w:val="000C0EB2"/>
    <w:rsid w:val="000C10DA"/>
    <w:rsid w:val="000C17FA"/>
    <w:rsid w:val="000C203D"/>
    <w:rsid w:val="000C221B"/>
    <w:rsid w:val="000C2517"/>
    <w:rsid w:val="000C3430"/>
    <w:rsid w:val="000C48BA"/>
    <w:rsid w:val="000C6EC1"/>
    <w:rsid w:val="000D03C2"/>
    <w:rsid w:val="000D04B1"/>
    <w:rsid w:val="000D06AB"/>
    <w:rsid w:val="000D18CA"/>
    <w:rsid w:val="000D2751"/>
    <w:rsid w:val="000D401F"/>
    <w:rsid w:val="000D42D2"/>
    <w:rsid w:val="000D4736"/>
    <w:rsid w:val="000D5F43"/>
    <w:rsid w:val="000D7ED0"/>
    <w:rsid w:val="000E066E"/>
    <w:rsid w:val="000E1A25"/>
    <w:rsid w:val="000F16FE"/>
    <w:rsid w:val="000F2072"/>
    <w:rsid w:val="000F29F9"/>
    <w:rsid w:val="000F349C"/>
    <w:rsid w:val="000F3A6A"/>
    <w:rsid w:val="000F7A95"/>
    <w:rsid w:val="001033B3"/>
    <w:rsid w:val="0010545E"/>
    <w:rsid w:val="00105636"/>
    <w:rsid w:val="001056EE"/>
    <w:rsid w:val="00105B9C"/>
    <w:rsid w:val="00111776"/>
    <w:rsid w:val="001126FA"/>
    <w:rsid w:val="00112DA0"/>
    <w:rsid w:val="00113456"/>
    <w:rsid w:val="00114218"/>
    <w:rsid w:val="001142AE"/>
    <w:rsid w:val="0011467A"/>
    <w:rsid w:val="00120C42"/>
    <w:rsid w:val="001224CC"/>
    <w:rsid w:val="00123399"/>
    <w:rsid w:val="00123766"/>
    <w:rsid w:val="00125289"/>
    <w:rsid w:val="001255AC"/>
    <w:rsid w:val="00127E4F"/>
    <w:rsid w:val="00130C92"/>
    <w:rsid w:val="00131096"/>
    <w:rsid w:val="00131FEB"/>
    <w:rsid w:val="001328E9"/>
    <w:rsid w:val="00137A87"/>
    <w:rsid w:val="00140F20"/>
    <w:rsid w:val="001415D3"/>
    <w:rsid w:val="001417B8"/>
    <w:rsid w:val="001441D5"/>
    <w:rsid w:val="00146473"/>
    <w:rsid w:val="00147999"/>
    <w:rsid w:val="00147D46"/>
    <w:rsid w:val="00150A88"/>
    <w:rsid w:val="00150FC7"/>
    <w:rsid w:val="00151244"/>
    <w:rsid w:val="00151F83"/>
    <w:rsid w:val="001538B9"/>
    <w:rsid w:val="00154288"/>
    <w:rsid w:val="001543D2"/>
    <w:rsid w:val="0015705A"/>
    <w:rsid w:val="00161C76"/>
    <w:rsid w:val="001652BD"/>
    <w:rsid w:val="00166482"/>
    <w:rsid w:val="00166931"/>
    <w:rsid w:val="00167640"/>
    <w:rsid w:val="0017052D"/>
    <w:rsid w:val="001706A9"/>
    <w:rsid w:val="00171283"/>
    <w:rsid w:val="00174026"/>
    <w:rsid w:val="00176B2D"/>
    <w:rsid w:val="0018158D"/>
    <w:rsid w:val="001856EE"/>
    <w:rsid w:val="00185DAA"/>
    <w:rsid w:val="00186694"/>
    <w:rsid w:val="00186852"/>
    <w:rsid w:val="00186EDA"/>
    <w:rsid w:val="00191339"/>
    <w:rsid w:val="00194C3C"/>
    <w:rsid w:val="001969DF"/>
    <w:rsid w:val="00196D2B"/>
    <w:rsid w:val="00197047"/>
    <w:rsid w:val="00197AAE"/>
    <w:rsid w:val="00197C42"/>
    <w:rsid w:val="001A096E"/>
    <w:rsid w:val="001A0E39"/>
    <w:rsid w:val="001A10EA"/>
    <w:rsid w:val="001A1924"/>
    <w:rsid w:val="001A2FAE"/>
    <w:rsid w:val="001A41B0"/>
    <w:rsid w:val="001A439F"/>
    <w:rsid w:val="001A4D27"/>
    <w:rsid w:val="001A7ECB"/>
    <w:rsid w:val="001B1309"/>
    <w:rsid w:val="001B1370"/>
    <w:rsid w:val="001B2570"/>
    <w:rsid w:val="001B2F01"/>
    <w:rsid w:val="001B2F4B"/>
    <w:rsid w:val="001B565F"/>
    <w:rsid w:val="001C12E5"/>
    <w:rsid w:val="001C344B"/>
    <w:rsid w:val="001C5BD7"/>
    <w:rsid w:val="001C7C23"/>
    <w:rsid w:val="001D0FDC"/>
    <w:rsid w:val="001D41C1"/>
    <w:rsid w:val="001D512C"/>
    <w:rsid w:val="001E1A71"/>
    <w:rsid w:val="001E1DB4"/>
    <w:rsid w:val="001E2AC6"/>
    <w:rsid w:val="001E31A1"/>
    <w:rsid w:val="001E37D4"/>
    <w:rsid w:val="001E4452"/>
    <w:rsid w:val="001E7598"/>
    <w:rsid w:val="001E7BAD"/>
    <w:rsid w:val="001F3725"/>
    <w:rsid w:val="001F3742"/>
    <w:rsid w:val="00200166"/>
    <w:rsid w:val="0020142E"/>
    <w:rsid w:val="00204B59"/>
    <w:rsid w:val="002056FC"/>
    <w:rsid w:val="002064EA"/>
    <w:rsid w:val="00206AE3"/>
    <w:rsid w:val="0020711E"/>
    <w:rsid w:val="00207DDF"/>
    <w:rsid w:val="002103D2"/>
    <w:rsid w:val="00210880"/>
    <w:rsid w:val="002117CF"/>
    <w:rsid w:val="0021190A"/>
    <w:rsid w:val="002136E9"/>
    <w:rsid w:val="0021373A"/>
    <w:rsid w:val="002154F6"/>
    <w:rsid w:val="00216567"/>
    <w:rsid w:val="00220FEA"/>
    <w:rsid w:val="002220F0"/>
    <w:rsid w:val="00223BE0"/>
    <w:rsid w:val="0022499F"/>
    <w:rsid w:val="002257B9"/>
    <w:rsid w:val="0022587C"/>
    <w:rsid w:val="00225C97"/>
    <w:rsid w:val="0022640A"/>
    <w:rsid w:val="0023137D"/>
    <w:rsid w:val="002327AA"/>
    <w:rsid w:val="00232E6E"/>
    <w:rsid w:val="00233202"/>
    <w:rsid w:val="002342F6"/>
    <w:rsid w:val="002345E7"/>
    <w:rsid w:val="00234732"/>
    <w:rsid w:val="00235FCC"/>
    <w:rsid w:val="00237055"/>
    <w:rsid w:val="002373A2"/>
    <w:rsid w:val="002375DC"/>
    <w:rsid w:val="002406B2"/>
    <w:rsid w:val="0024403B"/>
    <w:rsid w:val="0024477A"/>
    <w:rsid w:val="0025081D"/>
    <w:rsid w:val="002508DA"/>
    <w:rsid w:val="002514A3"/>
    <w:rsid w:val="002561D1"/>
    <w:rsid w:val="00261D1C"/>
    <w:rsid w:val="00262D5F"/>
    <w:rsid w:val="0026343B"/>
    <w:rsid w:val="0026468D"/>
    <w:rsid w:val="00266296"/>
    <w:rsid w:val="00266710"/>
    <w:rsid w:val="00272F63"/>
    <w:rsid w:val="0027384E"/>
    <w:rsid w:val="00273C1B"/>
    <w:rsid w:val="00274D27"/>
    <w:rsid w:val="00275038"/>
    <w:rsid w:val="00275AE9"/>
    <w:rsid w:val="002805B8"/>
    <w:rsid w:val="00283627"/>
    <w:rsid w:val="00285A23"/>
    <w:rsid w:val="002907BA"/>
    <w:rsid w:val="00290F5B"/>
    <w:rsid w:val="002938CE"/>
    <w:rsid w:val="00293AA7"/>
    <w:rsid w:val="00295BF2"/>
    <w:rsid w:val="00295CD8"/>
    <w:rsid w:val="002967DA"/>
    <w:rsid w:val="00297788"/>
    <w:rsid w:val="00297F93"/>
    <w:rsid w:val="002A0F25"/>
    <w:rsid w:val="002A2759"/>
    <w:rsid w:val="002A46B5"/>
    <w:rsid w:val="002A5BED"/>
    <w:rsid w:val="002A70C1"/>
    <w:rsid w:val="002A7EE8"/>
    <w:rsid w:val="002B470E"/>
    <w:rsid w:val="002B6364"/>
    <w:rsid w:val="002B6640"/>
    <w:rsid w:val="002C023B"/>
    <w:rsid w:val="002C2869"/>
    <w:rsid w:val="002C2D1F"/>
    <w:rsid w:val="002C666C"/>
    <w:rsid w:val="002C71DB"/>
    <w:rsid w:val="002C7E84"/>
    <w:rsid w:val="002D4752"/>
    <w:rsid w:val="002D61AC"/>
    <w:rsid w:val="002E3763"/>
    <w:rsid w:val="002E4D51"/>
    <w:rsid w:val="002E6F76"/>
    <w:rsid w:val="002F11D2"/>
    <w:rsid w:val="002F27C8"/>
    <w:rsid w:val="002F5C83"/>
    <w:rsid w:val="002F726D"/>
    <w:rsid w:val="00301FED"/>
    <w:rsid w:val="003023AB"/>
    <w:rsid w:val="003024D4"/>
    <w:rsid w:val="00302FCA"/>
    <w:rsid w:val="00303452"/>
    <w:rsid w:val="00304AD5"/>
    <w:rsid w:val="003059D3"/>
    <w:rsid w:val="003066B3"/>
    <w:rsid w:val="00310BF0"/>
    <w:rsid w:val="0031350B"/>
    <w:rsid w:val="00314887"/>
    <w:rsid w:val="0032513A"/>
    <w:rsid w:val="00325668"/>
    <w:rsid w:val="00327856"/>
    <w:rsid w:val="003321A4"/>
    <w:rsid w:val="003324F7"/>
    <w:rsid w:val="0033403C"/>
    <w:rsid w:val="00334F88"/>
    <w:rsid w:val="00341C1F"/>
    <w:rsid w:val="00341DD4"/>
    <w:rsid w:val="00344FC2"/>
    <w:rsid w:val="0034609B"/>
    <w:rsid w:val="00353689"/>
    <w:rsid w:val="00353F1A"/>
    <w:rsid w:val="00355442"/>
    <w:rsid w:val="00355DCD"/>
    <w:rsid w:val="003567E9"/>
    <w:rsid w:val="00360898"/>
    <w:rsid w:val="00360B17"/>
    <w:rsid w:val="00362BB0"/>
    <w:rsid w:val="00364B58"/>
    <w:rsid w:val="00365C57"/>
    <w:rsid w:val="00367099"/>
    <w:rsid w:val="003675EA"/>
    <w:rsid w:val="00367F60"/>
    <w:rsid w:val="003707DB"/>
    <w:rsid w:val="00372517"/>
    <w:rsid w:val="00373465"/>
    <w:rsid w:val="003754BF"/>
    <w:rsid w:val="00375AEC"/>
    <w:rsid w:val="00376236"/>
    <w:rsid w:val="0037652C"/>
    <w:rsid w:val="0037725B"/>
    <w:rsid w:val="003800E4"/>
    <w:rsid w:val="00380C18"/>
    <w:rsid w:val="00380FF5"/>
    <w:rsid w:val="00382FCF"/>
    <w:rsid w:val="0038557A"/>
    <w:rsid w:val="003863F1"/>
    <w:rsid w:val="0039039A"/>
    <w:rsid w:val="003949E0"/>
    <w:rsid w:val="00394D64"/>
    <w:rsid w:val="003A02F0"/>
    <w:rsid w:val="003A0DF8"/>
    <w:rsid w:val="003A173C"/>
    <w:rsid w:val="003A5CDA"/>
    <w:rsid w:val="003A6174"/>
    <w:rsid w:val="003A631F"/>
    <w:rsid w:val="003A72DE"/>
    <w:rsid w:val="003A76EA"/>
    <w:rsid w:val="003B1E13"/>
    <w:rsid w:val="003B2150"/>
    <w:rsid w:val="003B5023"/>
    <w:rsid w:val="003B56BD"/>
    <w:rsid w:val="003B75CA"/>
    <w:rsid w:val="003C200B"/>
    <w:rsid w:val="003C47D2"/>
    <w:rsid w:val="003C6C2E"/>
    <w:rsid w:val="003C7E7B"/>
    <w:rsid w:val="003D1B5A"/>
    <w:rsid w:val="003D22EF"/>
    <w:rsid w:val="003D2427"/>
    <w:rsid w:val="003D3929"/>
    <w:rsid w:val="003D5832"/>
    <w:rsid w:val="003D7FC8"/>
    <w:rsid w:val="003E0276"/>
    <w:rsid w:val="003E2286"/>
    <w:rsid w:val="003E5800"/>
    <w:rsid w:val="003E671C"/>
    <w:rsid w:val="003F4404"/>
    <w:rsid w:val="003F4571"/>
    <w:rsid w:val="003F5AA6"/>
    <w:rsid w:val="003F5E10"/>
    <w:rsid w:val="003F6CA6"/>
    <w:rsid w:val="0040035A"/>
    <w:rsid w:val="004003C9"/>
    <w:rsid w:val="004018E4"/>
    <w:rsid w:val="00402729"/>
    <w:rsid w:val="004030AB"/>
    <w:rsid w:val="00405B0C"/>
    <w:rsid w:val="00406B90"/>
    <w:rsid w:val="0041017E"/>
    <w:rsid w:val="00410D26"/>
    <w:rsid w:val="00411961"/>
    <w:rsid w:val="0041213E"/>
    <w:rsid w:val="00412282"/>
    <w:rsid w:val="00413BE3"/>
    <w:rsid w:val="00414E3D"/>
    <w:rsid w:val="004159FA"/>
    <w:rsid w:val="004161B6"/>
    <w:rsid w:val="00416506"/>
    <w:rsid w:val="00422020"/>
    <w:rsid w:val="0042335A"/>
    <w:rsid w:val="00425490"/>
    <w:rsid w:val="004256BA"/>
    <w:rsid w:val="00431999"/>
    <w:rsid w:val="00435682"/>
    <w:rsid w:val="00435E1E"/>
    <w:rsid w:val="00436E97"/>
    <w:rsid w:val="00440024"/>
    <w:rsid w:val="00441635"/>
    <w:rsid w:val="004418AE"/>
    <w:rsid w:val="00441CCF"/>
    <w:rsid w:val="00443D1C"/>
    <w:rsid w:val="00444377"/>
    <w:rsid w:val="004500F5"/>
    <w:rsid w:val="004503E9"/>
    <w:rsid w:val="0045144A"/>
    <w:rsid w:val="00452DB7"/>
    <w:rsid w:val="00455D2D"/>
    <w:rsid w:val="00456081"/>
    <w:rsid w:val="00457696"/>
    <w:rsid w:val="00461875"/>
    <w:rsid w:val="0046223E"/>
    <w:rsid w:val="004627F8"/>
    <w:rsid w:val="00463150"/>
    <w:rsid w:val="00464F5D"/>
    <w:rsid w:val="00470BE6"/>
    <w:rsid w:val="00473748"/>
    <w:rsid w:val="004749A4"/>
    <w:rsid w:val="00474FBD"/>
    <w:rsid w:val="00475FF2"/>
    <w:rsid w:val="00476D21"/>
    <w:rsid w:val="004829E5"/>
    <w:rsid w:val="00482A68"/>
    <w:rsid w:val="0048310E"/>
    <w:rsid w:val="00491D7D"/>
    <w:rsid w:val="0049633B"/>
    <w:rsid w:val="00496ABF"/>
    <w:rsid w:val="004A0EB3"/>
    <w:rsid w:val="004A1A76"/>
    <w:rsid w:val="004A43E9"/>
    <w:rsid w:val="004A726D"/>
    <w:rsid w:val="004B170A"/>
    <w:rsid w:val="004B3297"/>
    <w:rsid w:val="004B3978"/>
    <w:rsid w:val="004B4471"/>
    <w:rsid w:val="004B4727"/>
    <w:rsid w:val="004C3F45"/>
    <w:rsid w:val="004D08D9"/>
    <w:rsid w:val="004D1C37"/>
    <w:rsid w:val="004D48A7"/>
    <w:rsid w:val="004D54CA"/>
    <w:rsid w:val="004E2C01"/>
    <w:rsid w:val="004E40EF"/>
    <w:rsid w:val="004E4D0C"/>
    <w:rsid w:val="004E6405"/>
    <w:rsid w:val="004E67AA"/>
    <w:rsid w:val="004E6869"/>
    <w:rsid w:val="004E73F7"/>
    <w:rsid w:val="004E78F3"/>
    <w:rsid w:val="004E7E14"/>
    <w:rsid w:val="004F01F8"/>
    <w:rsid w:val="004F0C90"/>
    <w:rsid w:val="004F42FA"/>
    <w:rsid w:val="004F5A82"/>
    <w:rsid w:val="004F76A0"/>
    <w:rsid w:val="00500E7F"/>
    <w:rsid w:val="0051411A"/>
    <w:rsid w:val="00515D54"/>
    <w:rsid w:val="00517F5F"/>
    <w:rsid w:val="0052179D"/>
    <w:rsid w:val="00523B8A"/>
    <w:rsid w:val="00524648"/>
    <w:rsid w:val="005268ED"/>
    <w:rsid w:val="005276B7"/>
    <w:rsid w:val="00532854"/>
    <w:rsid w:val="00533278"/>
    <w:rsid w:val="00533A6C"/>
    <w:rsid w:val="00535679"/>
    <w:rsid w:val="00537A49"/>
    <w:rsid w:val="00541087"/>
    <w:rsid w:val="005417ED"/>
    <w:rsid w:val="0054300E"/>
    <w:rsid w:val="00543EDC"/>
    <w:rsid w:val="005456A9"/>
    <w:rsid w:val="00545D92"/>
    <w:rsid w:val="005477EA"/>
    <w:rsid w:val="00551E19"/>
    <w:rsid w:val="0055443A"/>
    <w:rsid w:val="00555D52"/>
    <w:rsid w:val="005566D7"/>
    <w:rsid w:val="00556CE2"/>
    <w:rsid w:val="00561F6A"/>
    <w:rsid w:val="00561F7F"/>
    <w:rsid w:val="0056399F"/>
    <w:rsid w:val="00564026"/>
    <w:rsid w:val="0056588C"/>
    <w:rsid w:val="00565C27"/>
    <w:rsid w:val="00566B35"/>
    <w:rsid w:val="0057058E"/>
    <w:rsid w:val="0057113F"/>
    <w:rsid w:val="005732CC"/>
    <w:rsid w:val="00574426"/>
    <w:rsid w:val="00575422"/>
    <w:rsid w:val="00581457"/>
    <w:rsid w:val="00581759"/>
    <w:rsid w:val="005819AB"/>
    <w:rsid w:val="00582A20"/>
    <w:rsid w:val="005843CB"/>
    <w:rsid w:val="0058507A"/>
    <w:rsid w:val="005938C6"/>
    <w:rsid w:val="005951B2"/>
    <w:rsid w:val="00596539"/>
    <w:rsid w:val="0059768B"/>
    <w:rsid w:val="005A0431"/>
    <w:rsid w:val="005A092E"/>
    <w:rsid w:val="005A1787"/>
    <w:rsid w:val="005A2DE5"/>
    <w:rsid w:val="005A6C5A"/>
    <w:rsid w:val="005B1456"/>
    <w:rsid w:val="005B3752"/>
    <w:rsid w:val="005B3754"/>
    <w:rsid w:val="005B4BBE"/>
    <w:rsid w:val="005B575E"/>
    <w:rsid w:val="005B61C2"/>
    <w:rsid w:val="005C26E9"/>
    <w:rsid w:val="005D26B7"/>
    <w:rsid w:val="005D44E7"/>
    <w:rsid w:val="005D4908"/>
    <w:rsid w:val="005D4AA1"/>
    <w:rsid w:val="005D5087"/>
    <w:rsid w:val="005D5323"/>
    <w:rsid w:val="005E05AD"/>
    <w:rsid w:val="005E2118"/>
    <w:rsid w:val="005F0D57"/>
    <w:rsid w:val="005F3B5A"/>
    <w:rsid w:val="005F48D5"/>
    <w:rsid w:val="00600349"/>
    <w:rsid w:val="0060146C"/>
    <w:rsid w:val="0060207D"/>
    <w:rsid w:val="006039F2"/>
    <w:rsid w:val="006061B0"/>
    <w:rsid w:val="0060732E"/>
    <w:rsid w:val="006076A9"/>
    <w:rsid w:val="00607950"/>
    <w:rsid w:val="00611955"/>
    <w:rsid w:val="0061239C"/>
    <w:rsid w:val="006139D6"/>
    <w:rsid w:val="00613ACA"/>
    <w:rsid w:val="0061486A"/>
    <w:rsid w:val="00614B02"/>
    <w:rsid w:val="00615563"/>
    <w:rsid w:val="006162E1"/>
    <w:rsid w:val="00620615"/>
    <w:rsid w:val="00632BAF"/>
    <w:rsid w:val="00633C5F"/>
    <w:rsid w:val="00635226"/>
    <w:rsid w:val="00636C70"/>
    <w:rsid w:val="00636C71"/>
    <w:rsid w:val="00636D39"/>
    <w:rsid w:val="006440E5"/>
    <w:rsid w:val="0064663B"/>
    <w:rsid w:val="00651DB9"/>
    <w:rsid w:val="0065241F"/>
    <w:rsid w:val="00653DCF"/>
    <w:rsid w:val="006544EA"/>
    <w:rsid w:val="00655A03"/>
    <w:rsid w:val="00660597"/>
    <w:rsid w:val="00664692"/>
    <w:rsid w:val="0066569F"/>
    <w:rsid w:val="0066602B"/>
    <w:rsid w:val="006669D2"/>
    <w:rsid w:val="00666D6A"/>
    <w:rsid w:val="00667505"/>
    <w:rsid w:val="00671C0C"/>
    <w:rsid w:val="0067326D"/>
    <w:rsid w:val="00674F52"/>
    <w:rsid w:val="00676D17"/>
    <w:rsid w:val="00677356"/>
    <w:rsid w:val="00681081"/>
    <w:rsid w:val="00681604"/>
    <w:rsid w:val="00683105"/>
    <w:rsid w:val="0068391E"/>
    <w:rsid w:val="00685004"/>
    <w:rsid w:val="0069004B"/>
    <w:rsid w:val="00690EC3"/>
    <w:rsid w:val="00694B22"/>
    <w:rsid w:val="00694C1B"/>
    <w:rsid w:val="0069513B"/>
    <w:rsid w:val="006A2DFC"/>
    <w:rsid w:val="006A69C6"/>
    <w:rsid w:val="006A6C1B"/>
    <w:rsid w:val="006A745D"/>
    <w:rsid w:val="006A7C60"/>
    <w:rsid w:val="006A7F5D"/>
    <w:rsid w:val="006B08EB"/>
    <w:rsid w:val="006B09A0"/>
    <w:rsid w:val="006B1245"/>
    <w:rsid w:val="006B3E41"/>
    <w:rsid w:val="006B457B"/>
    <w:rsid w:val="006B481F"/>
    <w:rsid w:val="006B49D3"/>
    <w:rsid w:val="006B5786"/>
    <w:rsid w:val="006B5F71"/>
    <w:rsid w:val="006B6A17"/>
    <w:rsid w:val="006B6CB5"/>
    <w:rsid w:val="006B787F"/>
    <w:rsid w:val="006C142A"/>
    <w:rsid w:val="006C1EDC"/>
    <w:rsid w:val="006C2932"/>
    <w:rsid w:val="006C2E82"/>
    <w:rsid w:val="006C3AEF"/>
    <w:rsid w:val="006C3DD6"/>
    <w:rsid w:val="006C5A1D"/>
    <w:rsid w:val="006D0404"/>
    <w:rsid w:val="006D2834"/>
    <w:rsid w:val="006D3356"/>
    <w:rsid w:val="006D37A4"/>
    <w:rsid w:val="006D6FB6"/>
    <w:rsid w:val="006E32F9"/>
    <w:rsid w:val="006E3CB5"/>
    <w:rsid w:val="006E3E79"/>
    <w:rsid w:val="006F0B8A"/>
    <w:rsid w:val="006F1D1D"/>
    <w:rsid w:val="006F1DF2"/>
    <w:rsid w:val="006F2B34"/>
    <w:rsid w:val="006F2D51"/>
    <w:rsid w:val="006F3548"/>
    <w:rsid w:val="006F582D"/>
    <w:rsid w:val="006F638E"/>
    <w:rsid w:val="007008B6"/>
    <w:rsid w:val="0070230E"/>
    <w:rsid w:val="007024B8"/>
    <w:rsid w:val="00703574"/>
    <w:rsid w:val="00703E42"/>
    <w:rsid w:val="00704065"/>
    <w:rsid w:val="00705DF4"/>
    <w:rsid w:val="007060C3"/>
    <w:rsid w:val="00713A52"/>
    <w:rsid w:val="00713D60"/>
    <w:rsid w:val="007158F0"/>
    <w:rsid w:val="0071727A"/>
    <w:rsid w:val="00720128"/>
    <w:rsid w:val="00720D83"/>
    <w:rsid w:val="00723962"/>
    <w:rsid w:val="007244CE"/>
    <w:rsid w:val="0072468E"/>
    <w:rsid w:val="0072540F"/>
    <w:rsid w:val="00725F80"/>
    <w:rsid w:val="00730A66"/>
    <w:rsid w:val="007318F0"/>
    <w:rsid w:val="00736014"/>
    <w:rsid w:val="007368AD"/>
    <w:rsid w:val="00737083"/>
    <w:rsid w:val="00740466"/>
    <w:rsid w:val="007436A4"/>
    <w:rsid w:val="00745054"/>
    <w:rsid w:val="00747576"/>
    <w:rsid w:val="00747FFE"/>
    <w:rsid w:val="00750D79"/>
    <w:rsid w:val="00751D2A"/>
    <w:rsid w:val="00752CD7"/>
    <w:rsid w:val="00753710"/>
    <w:rsid w:val="0075373D"/>
    <w:rsid w:val="00755095"/>
    <w:rsid w:val="0075554A"/>
    <w:rsid w:val="007567E0"/>
    <w:rsid w:val="00760D87"/>
    <w:rsid w:val="00764827"/>
    <w:rsid w:val="00764893"/>
    <w:rsid w:val="00765312"/>
    <w:rsid w:val="007656EE"/>
    <w:rsid w:val="007707A1"/>
    <w:rsid w:val="00770AD8"/>
    <w:rsid w:val="0077477B"/>
    <w:rsid w:val="00775A16"/>
    <w:rsid w:val="007805A8"/>
    <w:rsid w:val="007827B4"/>
    <w:rsid w:val="0078323C"/>
    <w:rsid w:val="00791780"/>
    <w:rsid w:val="00793997"/>
    <w:rsid w:val="00793D63"/>
    <w:rsid w:val="00794C25"/>
    <w:rsid w:val="00796A07"/>
    <w:rsid w:val="00797744"/>
    <w:rsid w:val="007A100A"/>
    <w:rsid w:val="007A1317"/>
    <w:rsid w:val="007A4DAC"/>
    <w:rsid w:val="007B06D3"/>
    <w:rsid w:val="007B1555"/>
    <w:rsid w:val="007B21C4"/>
    <w:rsid w:val="007B4470"/>
    <w:rsid w:val="007B5371"/>
    <w:rsid w:val="007B55DE"/>
    <w:rsid w:val="007B59D8"/>
    <w:rsid w:val="007B5FC6"/>
    <w:rsid w:val="007B64A1"/>
    <w:rsid w:val="007B6B10"/>
    <w:rsid w:val="007B7253"/>
    <w:rsid w:val="007B7982"/>
    <w:rsid w:val="007C0DE1"/>
    <w:rsid w:val="007C1675"/>
    <w:rsid w:val="007C2EDD"/>
    <w:rsid w:val="007C6DB3"/>
    <w:rsid w:val="007C6FD0"/>
    <w:rsid w:val="007D0268"/>
    <w:rsid w:val="007D20C1"/>
    <w:rsid w:val="007D5C3E"/>
    <w:rsid w:val="007D7180"/>
    <w:rsid w:val="007E1191"/>
    <w:rsid w:val="007E193E"/>
    <w:rsid w:val="007E32D3"/>
    <w:rsid w:val="007E3A81"/>
    <w:rsid w:val="007E51C0"/>
    <w:rsid w:val="007E74EE"/>
    <w:rsid w:val="007E7A25"/>
    <w:rsid w:val="007F0D5E"/>
    <w:rsid w:val="007F10E3"/>
    <w:rsid w:val="007F2074"/>
    <w:rsid w:val="007F2C0E"/>
    <w:rsid w:val="007F32D1"/>
    <w:rsid w:val="007F363C"/>
    <w:rsid w:val="0080239C"/>
    <w:rsid w:val="00803C1A"/>
    <w:rsid w:val="0080423A"/>
    <w:rsid w:val="00804AEB"/>
    <w:rsid w:val="00811803"/>
    <w:rsid w:val="00811E22"/>
    <w:rsid w:val="00812C26"/>
    <w:rsid w:val="0081711E"/>
    <w:rsid w:val="008203CD"/>
    <w:rsid w:val="00820FF1"/>
    <w:rsid w:val="00824CC8"/>
    <w:rsid w:val="00826405"/>
    <w:rsid w:val="00830215"/>
    <w:rsid w:val="00830A12"/>
    <w:rsid w:val="00830B45"/>
    <w:rsid w:val="00833FA5"/>
    <w:rsid w:val="00835B9C"/>
    <w:rsid w:val="00836570"/>
    <w:rsid w:val="00836D17"/>
    <w:rsid w:val="008378C8"/>
    <w:rsid w:val="00840A55"/>
    <w:rsid w:val="00840D2A"/>
    <w:rsid w:val="00840FA1"/>
    <w:rsid w:val="00841C26"/>
    <w:rsid w:val="00841E25"/>
    <w:rsid w:val="00843300"/>
    <w:rsid w:val="00844720"/>
    <w:rsid w:val="0084612B"/>
    <w:rsid w:val="008464CD"/>
    <w:rsid w:val="008467D6"/>
    <w:rsid w:val="008515EE"/>
    <w:rsid w:val="00852433"/>
    <w:rsid w:val="008535E5"/>
    <w:rsid w:val="008539C4"/>
    <w:rsid w:val="008562D0"/>
    <w:rsid w:val="00857605"/>
    <w:rsid w:val="00861321"/>
    <w:rsid w:val="00861C4E"/>
    <w:rsid w:val="00865470"/>
    <w:rsid w:val="00866D21"/>
    <w:rsid w:val="00871704"/>
    <w:rsid w:val="00871A71"/>
    <w:rsid w:val="00872D85"/>
    <w:rsid w:val="00875149"/>
    <w:rsid w:val="00875D97"/>
    <w:rsid w:val="00876B36"/>
    <w:rsid w:val="0087796D"/>
    <w:rsid w:val="0088128C"/>
    <w:rsid w:val="00882540"/>
    <w:rsid w:val="00883DDA"/>
    <w:rsid w:val="00885744"/>
    <w:rsid w:val="00885752"/>
    <w:rsid w:val="00891380"/>
    <w:rsid w:val="00891FF9"/>
    <w:rsid w:val="00892117"/>
    <w:rsid w:val="00893367"/>
    <w:rsid w:val="00897070"/>
    <w:rsid w:val="008A0FFA"/>
    <w:rsid w:val="008A1E50"/>
    <w:rsid w:val="008A209B"/>
    <w:rsid w:val="008A4009"/>
    <w:rsid w:val="008A53A2"/>
    <w:rsid w:val="008A621B"/>
    <w:rsid w:val="008A7068"/>
    <w:rsid w:val="008B030A"/>
    <w:rsid w:val="008B095B"/>
    <w:rsid w:val="008B1DB4"/>
    <w:rsid w:val="008B29BA"/>
    <w:rsid w:val="008B42C0"/>
    <w:rsid w:val="008B49B3"/>
    <w:rsid w:val="008B516F"/>
    <w:rsid w:val="008B7280"/>
    <w:rsid w:val="008B7956"/>
    <w:rsid w:val="008C1730"/>
    <w:rsid w:val="008C3ABE"/>
    <w:rsid w:val="008C3B67"/>
    <w:rsid w:val="008C3DE0"/>
    <w:rsid w:val="008C3F48"/>
    <w:rsid w:val="008D04BB"/>
    <w:rsid w:val="008D122E"/>
    <w:rsid w:val="008D30B2"/>
    <w:rsid w:val="008D49B4"/>
    <w:rsid w:val="008D7498"/>
    <w:rsid w:val="008F1935"/>
    <w:rsid w:val="008F1D59"/>
    <w:rsid w:val="008F25F1"/>
    <w:rsid w:val="008F5D78"/>
    <w:rsid w:val="00902768"/>
    <w:rsid w:val="00903A70"/>
    <w:rsid w:val="00904205"/>
    <w:rsid w:val="009053A7"/>
    <w:rsid w:val="009113D9"/>
    <w:rsid w:val="009115CC"/>
    <w:rsid w:val="0091218D"/>
    <w:rsid w:val="009134E5"/>
    <w:rsid w:val="0091615E"/>
    <w:rsid w:val="00916F59"/>
    <w:rsid w:val="00917525"/>
    <w:rsid w:val="009175CB"/>
    <w:rsid w:val="00920603"/>
    <w:rsid w:val="00921E56"/>
    <w:rsid w:val="00921FA1"/>
    <w:rsid w:val="0092290A"/>
    <w:rsid w:val="00923896"/>
    <w:rsid w:val="00924118"/>
    <w:rsid w:val="0092451F"/>
    <w:rsid w:val="009249C9"/>
    <w:rsid w:val="00924F9B"/>
    <w:rsid w:val="0092785B"/>
    <w:rsid w:val="00932E96"/>
    <w:rsid w:val="00933603"/>
    <w:rsid w:val="00933A34"/>
    <w:rsid w:val="00935962"/>
    <w:rsid w:val="0094013D"/>
    <w:rsid w:val="00940382"/>
    <w:rsid w:val="009418E6"/>
    <w:rsid w:val="009419A8"/>
    <w:rsid w:val="0094235F"/>
    <w:rsid w:val="0094279F"/>
    <w:rsid w:val="00946B98"/>
    <w:rsid w:val="009473EA"/>
    <w:rsid w:val="00947436"/>
    <w:rsid w:val="0095052A"/>
    <w:rsid w:val="0095270F"/>
    <w:rsid w:val="009537A4"/>
    <w:rsid w:val="00953A39"/>
    <w:rsid w:val="00953D61"/>
    <w:rsid w:val="00955DF1"/>
    <w:rsid w:val="009570E5"/>
    <w:rsid w:val="00963BE1"/>
    <w:rsid w:val="00963CD7"/>
    <w:rsid w:val="009658F0"/>
    <w:rsid w:val="00967399"/>
    <w:rsid w:val="00971655"/>
    <w:rsid w:val="00971987"/>
    <w:rsid w:val="00971C63"/>
    <w:rsid w:val="009737E6"/>
    <w:rsid w:val="00977766"/>
    <w:rsid w:val="009831BE"/>
    <w:rsid w:val="00983444"/>
    <w:rsid w:val="009850E5"/>
    <w:rsid w:val="00992064"/>
    <w:rsid w:val="00993598"/>
    <w:rsid w:val="0099477F"/>
    <w:rsid w:val="00996D1F"/>
    <w:rsid w:val="00997BF7"/>
    <w:rsid w:val="009A10B5"/>
    <w:rsid w:val="009A2E1B"/>
    <w:rsid w:val="009A4AE9"/>
    <w:rsid w:val="009A5415"/>
    <w:rsid w:val="009A68F5"/>
    <w:rsid w:val="009A691F"/>
    <w:rsid w:val="009A6F2C"/>
    <w:rsid w:val="009B16C6"/>
    <w:rsid w:val="009B2361"/>
    <w:rsid w:val="009B4BA1"/>
    <w:rsid w:val="009B7A63"/>
    <w:rsid w:val="009C05D0"/>
    <w:rsid w:val="009C0AF4"/>
    <w:rsid w:val="009C6AB3"/>
    <w:rsid w:val="009C71D5"/>
    <w:rsid w:val="009C74A7"/>
    <w:rsid w:val="009C7D71"/>
    <w:rsid w:val="009D2474"/>
    <w:rsid w:val="009E2AB0"/>
    <w:rsid w:val="009E31D3"/>
    <w:rsid w:val="009E39C8"/>
    <w:rsid w:val="009E54A3"/>
    <w:rsid w:val="009E7564"/>
    <w:rsid w:val="009F2769"/>
    <w:rsid w:val="009F45A9"/>
    <w:rsid w:val="009F4631"/>
    <w:rsid w:val="009F7CE4"/>
    <w:rsid w:val="00A00FB1"/>
    <w:rsid w:val="00A03B8D"/>
    <w:rsid w:val="00A050C5"/>
    <w:rsid w:val="00A05319"/>
    <w:rsid w:val="00A07075"/>
    <w:rsid w:val="00A11162"/>
    <w:rsid w:val="00A11ED4"/>
    <w:rsid w:val="00A12AD0"/>
    <w:rsid w:val="00A14EE0"/>
    <w:rsid w:val="00A16714"/>
    <w:rsid w:val="00A173DD"/>
    <w:rsid w:val="00A17819"/>
    <w:rsid w:val="00A1796B"/>
    <w:rsid w:val="00A26B05"/>
    <w:rsid w:val="00A30139"/>
    <w:rsid w:val="00A31794"/>
    <w:rsid w:val="00A34E86"/>
    <w:rsid w:val="00A35561"/>
    <w:rsid w:val="00A362BE"/>
    <w:rsid w:val="00A37C33"/>
    <w:rsid w:val="00A4010F"/>
    <w:rsid w:val="00A40C09"/>
    <w:rsid w:val="00A41B61"/>
    <w:rsid w:val="00A41FE5"/>
    <w:rsid w:val="00A42D4E"/>
    <w:rsid w:val="00A43227"/>
    <w:rsid w:val="00A4499C"/>
    <w:rsid w:val="00A455D0"/>
    <w:rsid w:val="00A46A5C"/>
    <w:rsid w:val="00A46CCD"/>
    <w:rsid w:val="00A50B1D"/>
    <w:rsid w:val="00A53A12"/>
    <w:rsid w:val="00A5564D"/>
    <w:rsid w:val="00A60A80"/>
    <w:rsid w:val="00A613B2"/>
    <w:rsid w:val="00A637FD"/>
    <w:rsid w:val="00A65133"/>
    <w:rsid w:val="00A652C5"/>
    <w:rsid w:val="00A65536"/>
    <w:rsid w:val="00A663FC"/>
    <w:rsid w:val="00A7155E"/>
    <w:rsid w:val="00A7656F"/>
    <w:rsid w:val="00A765E4"/>
    <w:rsid w:val="00A808A5"/>
    <w:rsid w:val="00A80D8A"/>
    <w:rsid w:val="00A83E34"/>
    <w:rsid w:val="00A84590"/>
    <w:rsid w:val="00A8530E"/>
    <w:rsid w:val="00A85C5A"/>
    <w:rsid w:val="00A90193"/>
    <w:rsid w:val="00A92059"/>
    <w:rsid w:val="00A94B4E"/>
    <w:rsid w:val="00A956E5"/>
    <w:rsid w:val="00A96A08"/>
    <w:rsid w:val="00A977B1"/>
    <w:rsid w:val="00AA0161"/>
    <w:rsid w:val="00AA04E8"/>
    <w:rsid w:val="00AA2E12"/>
    <w:rsid w:val="00AA320A"/>
    <w:rsid w:val="00AA3970"/>
    <w:rsid w:val="00AA5621"/>
    <w:rsid w:val="00AB1786"/>
    <w:rsid w:val="00AB188C"/>
    <w:rsid w:val="00AB1D08"/>
    <w:rsid w:val="00AB216D"/>
    <w:rsid w:val="00AB4345"/>
    <w:rsid w:val="00AB5B98"/>
    <w:rsid w:val="00AB5BD7"/>
    <w:rsid w:val="00AB5F05"/>
    <w:rsid w:val="00AB764B"/>
    <w:rsid w:val="00AC0135"/>
    <w:rsid w:val="00AC070D"/>
    <w:rsid w:val="00AC1A6B"/>
    <w:rsid w:val="00AC1B94"/>
    <w:rsid w:val="00AC25A7"/>
    <w:rsid w:val="00AC3474"/>
    <w:rsid w:val="00AC438F"/>
    <w:rsid w:val="00AC4E56"/>
    <w:rsid w:val="00AC60B1"/>
    <w:rsid w:val="00AC6813"/>
    <w:rsid w:val="00AC7D64"/>
    <w:rsid w:val="00AD0616"/>
    <w:rsid w:val="00AD34FF"/>
    <w:rsid w:val="00AD352E"/>
    <w:rsid w:val="00AD4B11"/>
    <w:rsid w:val="00AD4DE6"/>
    <w:rsid w:val="00AD52D5"/>
    <w:rsid w:val="00AD7231"/>
    <w:rsid w:val="00AE0945"/>
    <w:rsid w:val="00AE5CE6"/>
    <w:rsid w:val="00AF2639"/>
    <w:rsid w:val="00AF2E88"/>
    <w:rsid w:val="00AF3E95"/>
    <w:rsid w:val="00AF4159"/>
    <w:rsid w:val="00AF5163"/>
    <w:rsid w:val="00AF51F7"/>
    <w:rsid w:val="00AF57CF"/>
    <w:rsid w:val="00AF654B"/>
    <w:rsid w:val="00AF6577"/>
    <w:rsid w:val="00B00794"/>
    <w:rsid w:val="00B00827"/>
    <w:rsid w:val="00B00E77"/>
    <w:rsid w:val="00B01F0C"/>
    <w:rsid w:val="00B02724"/>
    <w:rsid w:val="00B02EEE"/>
    <w:rsid w:val="00B02EFB"/>
    <w:rsid w:val="00B03695"/>
    <w:rsid w:val="00B0384B"/>
    <w:rsid w:val="00B03A62"/>
    <w:rsid w:val="00B03F01"/>
    <w:rsid w:val="00B0468B"/>
    <w:rsid w:val="00B10BC9"/>
    <w:rsid w:val="00B128FA"/>
    <w:rsid w:val="00B14192"/>
    <w:rsid w:val="00B1438A"/>
    <w:rsid w:val="00B14657"/>
    <w:rsid w:val="00B15EFF"/>
    <w:rsid w:val="00B15FE9"/>
    <w:rsid w:val="00B16012"/>
    <w:rsid w:val="00B2294E"/>
    <w:rsid w:val="00B318E7"/>
    <w:rsid w:val="00B32A38"/>
    <w:rsid w:val="00B35B6B"/>
    <w:rsid w:val="00B36C4B"/>
    <w:rsid w:val="00B40552"/>
    <w:rsid w:val="00B40E3D"/>
    <w:rsid w:val="00B45603"/>
    <w:rsid w:val="00B46885"/>
    <w:rsid w:val="00B51883"/>
    <w:rsid w:val="00B53C42"/>
    <w:rsid w:val="00B5439C"/>
    <w:rsid w:val="00B55B64"/>
    <w:rsid w:val="00B56187"/>
    <w:rsid w:val="00B61FD4"/>
    <w:rsid w:val="00B674DB"/>
    <w:rsid w:val="00B67BAF"/>
    <w:rsid w:val="00B7011A"/>
    <w:rsid w:val="00B7224A"/>
    <w:rsid w:val="00B73275"/>
    <w:rsid w:val="00B754B1"/>
    <w:rsid w:val="00B755FB"/>
    <w:rsid w:val="00B76674"/>
    <w:rsid w:val="00B77572"/>
    <w:rsid w:val="00B82E8D"/>
    <w:rsid w:val="00B82F51"/>
    <w:rsid w:val="00B859A8"/>
    <w:rsid w:val="00B86B6D"/>
    <w:rsid w:val="00B91586"/>
    <w:rsid w:val="00B9264D"/>
    <w:rsid w:val="00B9340E"/>
    <w:rsid w:val="00B944BF"/>
    <w:rsid w:val="00B94513"/>
    <w:rsid w:val="00B94D99"/>
    <w:rsid w:val="00B97412"/>
    <w:rsid w:val="00B97B1F"/>
    <w:rsid w:val="00BA2812"/>
    <w:rsid w:val="00BA55B2"/>
    <w:rsid w:val="00BA578A"/>
    <w:rsid w:val="00BA78C5"/>
    <w:rsid w:val="00BA7A8C"/>
    <w:rsid w:val="00BA7DA8"/>
    <w:rsid w:val="00BB0145"/>
    <w:rsid w:val="00BB03C9"/>
    <w:rsid w:val="00BB3FA1"/>
    <w:rsid w:val="00BB59CD"/>
    <w:rsid w:val="00BB62BB"/>
    <w:rsid w:val="00BC05C5"/>
    <w:rsid w:val="00BC3C1F"/>
    <w:rsid w:val="00BC4B0E"/>
    <w:rsid w:val="00BC5E7D"/>
    <w:rsid w:val="00BC6047"/>
    <w:rsid w:val="00BC7B55"/>
    <w:rsid w:val="00BD04BE"/>
    <w:rsid w:val="00BD085F"/>
    <w:rsid w:val="00BD2FB2"/>
    <w:rsid w:val="00BD32B9"/>
    <w:rsid w:val="00BD67A0"/>
    <w:rsid w:val="00BE049C"/>
    <w:rsid w:val="00BE0B9C"/>
    <w:rsid w:val="00BE147B"/>
    <w:rsid w:val="00BE19DC"/>
    <w:rsid w:val="00BE2724"/>
    <w:rsid w:val="00BE37F8"/>
    <w:rsid w:val="00BE3B3A"/>
    <w:rsid w:val="00BE46B9"/>
    <w:rsid w:val="00BE6F28"/>
    <w:rsid w:val="00BE79E7"/>
    <w:rsid w:val="00BE7F18"/>
    <w:rsid w:val="00BF0847"/>
    <w:rsid w:val="00BF1C48"/>
    <w:rsid w:val="00BF2247"/>
    <w:rsid w:val="00BF277F"/>
    <w:rsid w:val="00BF29FA"/>
    <w:rsid w:val="00BF4310"/>
    <w:rsid w:val="00BF5501"/>
    <w:rsid w:val="00BF5E70"/>
    <w:rsid w:val="00BF634B"/>
    <w:rsid w:val="00BF6822"/>
    <w:rsid w:val="00C04047"/>
    <w:rsid w:val="00C04154"/>
    <w:rsid w:val="00C049D9"/>
    <w:rsid w:val="00C04D2B"/>
    <w:rsid w:val="00C07BC7"/>
    <w:rsid w:val="00C12359"/>
    <w:rsid w:val="00C12E3C"/>
    <w:rsid w:val="00C14214"/>
    <w:rsid w:val="00C17125"/>
    <w:rsid w:val="00C204C2"/>
    <w:rsid w:val="00C20F73"/>
    <w:rsid w:val="00C2157B"/>
    <w:rsid w:val="00C21AB5"/>
    <w:rsid w:val="00C21BB9"/>
    <w:rsid w:val="00C22962"/>
    <w:rsid w:val="00C23017"/>
    <w:rsid w:val="00C25B65"/>
    <w:rsid w:val="00C265B0"/>
    <w:rsid w:val="00C32043"/>
    <w:rsid w:val="00C324E2"/>
    <w:rsid w:val="00C34375"/>
    <w:rsid w:val="00C413CE"/>
    <w:rsid w:val="00C415B8"/>
    <w:rsid w:val="00C459AF"/>
    <w:rsid w:val="00C51403"/>
    <w:rsid w:val="00C52A93"/>
    <w:rsid w:val="00C55FC6"/>
    <w:rsid w:val="00C60734"/>
    <w:rsid w:val="00C61066"/>
    <w:rsid w:val="00C614A3"/>
    <w:rsid w:val="00C618BC"/>
    <w:rsid w:val="00C6304B"/>
    <w:rsid w:val="00C6442F"/>
    <w:rsid w:val="00C64DAF"/>
    <w:rsid w:val="00C665F5"/>
    <w:rsid w:val="00C67C73"/>
    <w:rsid w:val="00C7055A"/>
    <w:rsid w:val="00C70FF1"/>
    <w:rsid w:val="00C737C5"/>
    <w:rsid w:val="00C83184"/>
    <w:rsid w:val="00C841D5"/>
    <w:rsid w:val="00C84DA3"/>
    <w:rsid w:val="00C95D0E"/>
    <w:rsid w:val="00C96578"/>
    <w:rsid w:val="00C971F8"/>
    <w:rsid w:val="00CA0697"/>
    <w:rsid w:val="00CA1F18"/>
    <w:rsid w:val="00CA2942"/>
    <w:rsid w:val="00CA3540"/>
    <w:rsid w:val="00CA4BF5"/>
    <w:rsid w:val="00CA63F4"/>
    <w:rsid w:val="00CA6DED"/>
    <w:rsid w:val="00CB0DB5"/>
    <w:rsid w:val="00CB10B8"/>
    <w:rsid w:val="00CB26BA"/>
    <w:rsid w:val="00CB4358"/>
    <w:rsid w:val="00CC14B3"/>
    <w:rsid w:val="00CC1E19"/>
    <w:rsid w:val="00CC24D2"/>
    <w:rsid w:val="00CC324B"/>
    <w:rsid w:val="00CC49D4"/>
    <w:rsid w:val="00CC675F"/>
    <w:rsid w:val="00CD000B"/>
    <w:rsid w:val="00CD1A94"/>
    <w:rsid w:val="00CD208B"/>
    <w:rsid w:val="00CD214A"/>
    <w:rsid w:val="00CD2936"/>
    <w:rsid w:val="00CD4260"/>
    <w:rsid w:val="00CD5734"/>
    <w:rsid w:val="00CD7166"/>
    <w:rsid w:val="00CE040C"/>
    <w:rsid w:val="00CE37D0"/>
    <w:rsid w:val="00CE4AFC"/>
    <w:rsid w:val="00CE6F5A"/>
    <w:rsid w:val="00CE70DA"/>
    <w:rsid w:val="00CE7AC1"/>
    <w:rsid w:val="00CF27AB"/>
    <w:rsid w:val="00CF2C02"/>
    <w:rsid w:val="00CF42CF"/>
    <w:rsid w:val="00D007BB"/>
    <w:rsid w:val="00D02321"/>
    <w:rsid w:val="00D02514"/>
    <w:rsid w:val="00D02544"/>
    <w:rsid w:val="00D04C24"/>
    <w:rsid w:val="00D07A14"/>
    <w:rsid w:val="00D102E9"/>
    <w:rsid w:val="00D10B62"/>
    <w:rsid w:val="00D13D2C"/>
    <w:rsid w:val="00D15575"/>
    <w:rsid w:val="00D15C87"/>
    <w:rsid w:val="00D1688F"/>
    <w:rsid w:val="00D16ED8"/>
    <w:rsid w:val="00D16FCA"/>
    <w:rsid w:val="00D1719D"/>
    <w:rsid w:val="00D17D7F"/>
    <w:rsid w:val="00D2117F"/>
    <w:rsid w:val="00D21886"/>
    <w:rsid w:val="00D21DFB"/>
    <w:rsid w:val="00D21EA3"/>
    <w:rsid w:val="00D241E5"/>
    <w:rsid w:val="00D2506A"/>
    <w:rsid w:val="00D25317"/>
    <w:rsid w:val="00D257E7"/>
    <w:rsid w:val="00D31801"/>
    <w:rsid w:val="00D31BC4"/>
    <w:rsid w:val="00D34311"/>
    <w:rsid w:val="00D355B4"/>
    <w:rsid w:val="00D36B56"/>
    <w:rsid w:val="00D36CD1"/>
    <w:rsid w:val="00D439C4"/>
    <w:rsid w:val="00D43D5F"/>
    <w:rsid w:val="00D44499"/>
    <w:rsid w:val="00D456FC"/>
    <w:rsid w:val="00D46BA1"/>
    <w:rsid w:val="00D52AF1"/>
    <w:rsid w:val="00D53288"/>
    <w:rsid w:val="00D53E7D"/>
    <w:rsid w:val="00D5516E"/>
    <w:rsid w:val="00D571EC"/>
    <w:rsid w:val="00D6214D"/>
    <w:rsid w:val="00D635F0"/>
    <w:rsid w:val="00D65D03"/>
    <w:rsid w:val="00D66E8B"/>
    <w:rsid w:val="00D67510"/>
    <w:rsid w:val="00D67D82"/>
    <w:rsid w:val="00D72E7B"/>
    <w:rsid w:val="00D74801"/>
    <w:rsid w:val="00D74961"/>
    <w:rsid w:val="00D753CD"/>
    <w:rsid w:val="00D80754"/>
    <w:rsid w:val="00D813A1"/>
    <w:rsid w:val="00D85715"/>
    <w:rsid w:val="00D8706C"/>
    <w:rsid w:val="00D90D34"/>
    <w:rsid w:val="00D913A0"/>
    <w:rsid w:val="00D91B38"/>
    <w:rsid w:val="00D9456D"/>
    <w:rsid w:val="00D94BDF"/>
    <w:rsid w:val="00D96557"/>
    <w:rsid w:val="00D9669E"/>
    <w:rsid w:val="00D97B4B"/>
    <w:rsid w:val="00DA040B"/>
    <w:rsid w:val="00DA10E9"/>
    <w:rsid w:val="00DA1A1A"/>
    <w:rsid w:val="00DA1E4E"/>
    <w:rsid w:val="00DA2707"/>
    <w:rsid w:val="00DA28D9"/>
    <w:rsid w:val="00DA4C62"/>
    <w:rsid w:val="00DA6833"/>
    <w:rsid w:val="00DA6E48"/>
    <w:rsid w:val="00DB04AF"/>
    <w:rsid w:val="00DB155A"/>
    <w:rsid w:val="00DB2765"/>
    <w:rsid w:val="00DB2DA1"/>
    <w:rsid w:val="00DB35AF"/>
    <w:rsid w:val="00DB4BC5"/>
    <w:rsid w:val="00DB55C1"/>
    <w:rsid w:val="00DB575A"/>
    <w:rsid w:val="00DB6A17"/>
    <w:rsid w:val="00DB759E"/>
    <w:rsid w:val="00DC2529"/>
    <w:rsid w:val="00DC2B10"/>
    <w:rsid w:val="00DC519F"/>
    <w:rsid w:val="00DC6D5F"/>
    <w:rsid w:val="00DD18FE"/>
    <w:rsid w:val="00DD4E23"/>
    <w:rsid w:val="00DD5520"/>
    <w:rsid w:val="00DD7EE4"/>
    <w:rsid w:val="00DF16C2"/>
    <w:rsid w:val="00DF193E"/>
    <w:rsid w:val="00DF207F"/>
    <w:rsid w:val="00DF3A11"/>
    <w:rsid w:val="00DF4710"/>
    <w:rsid w:val="00DF636E"/>
    <w:rsid w:val="00E00F76"/>
    <w:rsid w:val="00E0167A"/>
    <w:rsid w:val="00E02D6C"/>
    <w:rsid w:val="00E0707F"/>
    <w:rsid w:val="00E11DCF"/>
    <w:rsid w:val="00E14A09"/>
    <w:rsid w:val="00E16472"/>
    <w:rsid w:val="00E21CBE"/>
    <w:rsid w:val="00E21E75"/>
    <w:rsid w:val="00E21F5C"/>
    <w:rsid w:val="00E2572B"/>
    <w:rsid w:val="00E261D8"/>
    <w:rsid w:val="00E26E3A"/>
    <w:rsid w:val="00E30ED0"/>
    <w:rsid w:val="00E3294F"/>
    <w:rsid w:val="00E35EC5"/>
    <w:rsid w:val="00E37B1D"/>
    <w:rsid w:val="00E41E33"/>
    <w:rsid w:val="00E42D6F"/>
    <w:rsid w:val="00E4401A"/>
    <w:rsid w:val="00E44A23"/>
    <w:rsid w:val="00E461C6"/>
    <w:rsid w:val="00E466B0"/>
    <w:rsid w:val="00E500E2"/>
    <w:rsid w:val="00E50488"/>
    <w:rsid w:val="00E50A26"/>
    <w:rsid w:val="00E50C09"/>
    <w:rsid w:val="00E519DC"/>
    <w:rsid w:val="00E52388"/>
    <w:rsid w:val="00E5345C"/>
    <w:rsid w:val="00E57DD1"/>
    <w:rsid w:val="00E62714"/>
    <w:rsid w:val="00E63995"/>
    <w:rsid w:val="00E65D2C"/>
    <w:rsid w:val="00E72CF9"/>
    <w:rsid w:val="00E7366E"/>
    <w:rsid w:val="00E736F9"/>
    <w:rsid w:val="00E73BC7"/>
    <w:rsid w:val="00E767D3"/>
    <w:rsid w:val="00E77297"/>
    <w:rsid w:val="00E807DA"/>
    <w:rsid w:val="00E80894"/>
    <w:rsid w:val="00E84E3A"/>
    <w:rsid w:val="00E91BB5"/>
    <w:rsid w:val="00E91DE4"/>
    <w:rsid w:val="00E9290E"/>
    <w:rsid w:val="00EA05AF"/>
    <w:rsid w:val="00EA2E60"/>
    <w:rsid w:val="00EA31DC"/>
    <w:rsid w:val="00EA60CF"/>
    <w:rsid w:val="00EA6EBD"/>
    <w:rsid w:val="00EA7528"/>
    <w:rsid w:val="00EB0F6B"/>
    <w:rsid w:val="00EB2073"/>
    <w:rsid w:val="00EB649E"/>
    <w:rsid w:val="00EC08FC"/>
    <w:rsid w:val="00EC0EAE"/>
    <w:rsid w:val="00EC2EA3"/>
    <w:rsid w:val="00EC3007"/>
    <w:rsid w:val="00EC3807"/>
    <w:rsid w:val="00EC43B9"/>
    <w:rsid w:val="00EC4D05"/>
    <w:rsid w:val="00EC6FE2"/>
    <w:rsid w:val="00EC766D"/>
    <w:rsid w:val="00ED4D69"/>
    <w:rsid w:val="00ED5083"/>
    <w:rsid w:val="00ED5AFB"/>
    <w:rsid w:val="00ED62D2"/>
    <w:rsid w:val="00ED6FA3"/>
    <w:rsid w:val="00ED718B"/>
    <w:rsid w:val="00EE180B"/>
    <w:rsid w:val="00EE362F"/>
    <w:rsid w:val="00EE4A98"/>
    <w:rsid w:val="00EE5FDA"/>
    <w:rsid w:val="00EE65D5"/>
    <w:rsid w:val="00EE6DAA"/>
    <w:rsid w:val="00EE7FB5"/>
    <w:rsid w:val="00EF01D9"/>
    <w:rsid w:val="00EF0E19"/>
    <w:rsid w:val="00EF2ABC"/>
    <w:rsid w:val="00EF4447"/>
    <w:rsid w:val="00EF46F9"/>
    <w:rsid w:val="00EF7932"/>
    <w:rsid w:val="00F01159"/>
    <w:rsid w:val="00F0166D"/>
    <w:rsid w:val="00F034D9"/>
    <w:rsid w:val="00F04D74"/>
    <w:rsid w:val="00F04E3B"/>
    <w:rsid w:val="00F06F1A"/>
    <w:rsid w:val="00F07BAF"/>
    <w:rsid w:val="00F10990"/>
    <w:rsid w:val="00F114AE"/>
    <w:rsid w:val="00F11560"/>
    <w:rsid w:val="00F12536"/>
    <w:rsid w:val="00F14237"/>
    <w:rsid w:val="00F15347"/>
    <w:rsid w:val="00F15420"/>
    <w:rsid w:val="00F16E85"/>
    <w:rsid w:val="00F25018"/>
    <w:rsid w:val="00F25EA9"/>
    <w:rsid w:val="00F27056"/>
    <w:rsid w:val="00F272FF"/>
    <w:rsid w:val="00F31F22"/>
    <w:rsid w:val="00F32BC8"/>
    <w:rsid w:val="00F341FA"/>
    <w:rsid w:val="00F37386"/>
    <w:rsid w:val="00F426D0"/>
    <w:rsid w:val="00F43CA0"/>
    <w:rsid w:val="00F4444C"/>
    <w:rsid w:val="00F44A1F"/>
    <w:rsid w:val="00F46382"/>
    <w:rsid w:val="00F4642A"/>
    <w:rsid w:val="00F46D0A"/>
    <w:rsid w:val="00F46D33"/>
    <w:rsid w:val="00F46F7F"/>
    <w:rsid w:val="00F50A19"/>
    <w:rsid w:val="00F527B2"/>
    <w:rsid w:val="00F52F4F"/>
    <w:rsid w:val="00F54F73"/>
    <w:rsid w:val="00F55030"/>
    <w:rsid w:val="00F56E81"/>
    <w:rsid w:val="00F6547A"/>
    <w:rsid w:val="00F66308"/>
    <w:rsid w:val="00F674FC"/>
    <w:rsid w:val="00F7069C"/>
    <w:rsid w:val="00F7098A"/>
    <w:rsid w:val="00F72631"/>
    <w:rsid w:val="00F72F4B"/>
    <w:rsid w:val="00F7696F"/>
    <w:rsid w:val="00F8209B"/>
    <w:rsid w:val="00F821A5"/>
    <w:rsid w:val="00F822C1"/>
    <w:rsid w:val="00F85FA8"/>
    <w:rsid w:val="00F86699"/>
    <w:rsid w:val="00F86F7F"/>
    <w:rsid w:val="00F943EF"/>
    <w:rsid w:val="00F94B44"/>
    <w:rsid w:val="00F95DCD"/>
    <w:rsid w:val="00F96DF5"/>
    <w:rsid w:val="00F97CD9"/>
    <w:rsid w:val="00FA0576"/>
    <w:rsid w:val="00FA05DA"/>
    <w:rsid w:val="00FA3C73"/>
    <w:rsid w:val="00FA3E6A"/>
    <w:rsid w:val="00FA74ED"/>
    <w:rsid w:val="00FB30AE"/>
    <w:rsid w:val="00FB4F80"/>
    <w:rsid w:val="00FB50B4"/>
    <w:rsid w:val="00FB682F"/>
    <w:rsid w:val="00FC1B58"/>
    <w:rsid w:val="00FC3F30"/>
    <w:rsid w:val="00FC4E3D"/>
    <w:rsid w:val="00FC700C"/>
    <w:rsid w:val="00FD1C98"/>
    <w:rsid w:val="00FD2FF7"/>
    <w:rsid w:val="00FD4024"/>
    <w:rsid w:val="00FD4B97"/>
    <w:rsid w:val="00FD62AA"/>
    <w:rsid w:val="00FD7762"/>
    <w:rsid w:val="00FD7828"/>
    <w:rsid w:val="00FE03F0"/>
    <w:rsid w:val="00FE55EB"/>
    <w:rsid w:val="00FE5D8E"/>
    <w:rsid w:val="00FE6883"/>
    <w:rsid w:val="00FE79AC"/>
    <w:rsid w:val="00FF2634"/>
    <w:rsid w:val="00FF2F9F"/>
    <w:rsid w:val="00FF5DC5"/>
    <w:rsid w:val="00FF72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50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9C7D71"/>
    <w:pPr>
      <w:spacing w:after="240" w:line="288" w:lineRule="auto"/>
      <w:jc w:val="both"/>
    </w:pPr>
  </w:style>
  <w:style w:type="paragraph" w:styleId="Heading1">
    <w:name w:val="heading 1"/>
    <w:next w:val="AERbodytext"/>
    <w:link w:val="Heading1Char"/>
    <w:uiPriority w:val="9"/>
    <w:qFormat/>
    <w:rsid w:val="00B94D99"/>
    <w:pPr>
      <w:keepNext/>
      <w:keepLines/>
      <w:pageBreakBefore/>
      <w:numPr>
        <w:ilvl w:val="1"/>
        <w:numId w:val="1"/>
      </w:numPr>
      <w:spacing w:before="120" w:after="120" w:line="288" w:lineRule="auto"/>
      <w:outlineLvl w:val="0"/>
    </w:pPr>
    <w:rPr>
      <w:rFonts w:eastAsia="Times New Roman"/>
      <w:b/>
      <w:bCs/>
      <w:color w:val="E36C0A"/>
      <w:sz w:val="36"/>
      <w:szCs w:val="28"/>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8"/>
      </w:numPr>
      <w:spacing w:after="240" w:line="288" w:lineRule="auto"/>
      <w:jc w:val="both"/>
    </w:pPr>
    <w:rPr>
      <w:rFonts w:eastAsia="Times New Roman"/>
      <w:szCs w:val="24"/>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0"/>
      </w:numPr>
      <w:tabs>
        <w:tab w:val="left" w:pos="357"/>
      </w:tabs>
      <w:spacing w:after="200"/>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ALTS FOOTNOTE,(NECG) Footnote Text,Footnote text,AR Footnote Text,Footnote Text Char2,Footnote Text Char Char1,Footnote Text Char1 Char Char,Footnote Text Char Char Char Char,Footnote Text Char1 Char Char Char Char,fn,f,Footnote Text1"/>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ALTS FOOTNOTE Char,(NECG) Footnote Text Char,Footnote text Char,AR Footnote Text Char,Footnote Text Char2 Char,Footnote Text Char Char1 Char,Footnote Text Char1 Char Char Char,Footnote Text Char Char Char Char Char,fn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A42D4E"/>
    <w:pPr>
      <w:keepNext/>
      <w:jc w:val="left"/>
    </w:pPr>
    <w:rPr>
      <w:b/>
      <w:color w:val="365F91" w:themeColor="accent1" w:themeShade="BF"/>
      <w:sz w:val="22"/>
    </w:rPr>
  </w:style>
  <w:style w:type="paragraph" w:customStyle="1" w:styleId="HeadingBoldItalic">
    <w:name w:val="Heading Bold Italic"/>
    <w:basedOn w:val="AERbodytext"/>
    <w:next w:val="AERbodytext"/>
    <w:qFormat/>
    <w:rsid w:val="00A42D4E"/>
    <w:pPr>
      <w:jc w:val="left"/>
    </w:pPr>
    <w:rPr>
      <w:b/>
      <w:i/>
    </w:rPr>
  </w:style>
  <w:style w:type="character" w:customStyle="1" w:styleId="AERbodytextChar">
    <w:name w:val="AER body text Char"/>
    <w:basedOn w:val="DefaultParagraphFont"/>
    <w:link w:val="AERbodytext"/>
    <w:rsid w:val="00BD04BE"/>
    <w:rPr>
      <w:rFonts w:eastAsia="Times New Roman"/>
      <w:szCs w:val="24"/>
    </w:rPr>
  </w:style>
  <w:style w:type="character" w:customStyle="1" w:styleId="HeadingBoldBlueChar">
    <w:name w:val="Heading Bold Blue Char"/>
    <w:basedOn w:val="AERbodytextChar"/>
    <w:link w:val="HeadingBoldBlue"/>
    <w:rsid w:val="00A42D4E"/>
    <w:rPr>
      <w:rFonts w:eastAsia="Times New Roman"/>
      <w:b/>
      <w:color w:val="365F91" w:themeColor="accent1" w:themeShade="BF"/>
      <w:sz w:val="22"/>
      <w:szCs w:val="24"/>
      <w:lang w:eastAsia="en-US"/>
    </w:rPr>
  </w:style>
  <w:style w:type="paragraph" w:customStyle="1" w:styleId="HeadingItalic">
    <w:name w:val="Heading Italic"/>
    <w:basedOn w:val="AERbodytext"/>
    <w:next w:val="AERbodytext"/>
    <w:qFormat/>
    <w:rsid w:val="00A42D4E"/>
    <w:pPr>
      <w:jc w:val="left"/>
    </w:pPr>
    <w:rPr>
      <w:i/>
    </w:rPr>
  </w:style>
  <w:style w:type="character" w:styleId="PageNumber">
    <w:name w:val="page number"/>
    <w:basedOn w:val="DefaultParagraphFont"/>
    <w:rsid w:val="00CC49D4"/>
    <w:rPr>
      <w:rFonts w:ascii="Gautami" w:hAnsi="Gautami"/>
      <w:sz w:val="18"/>
    </w:rPr>
  </w:style>
  <w:style w:type="paragraph" w:styleId="Revision">
    <w:name w:val="Revision"/>
    <w:hidden/>
    <w:uiPriority w:val="99"/>
    <w:semiHidden/>
    <w:rsid w:val="00D72E7B"/>
  </w:style>
  <w:style w:type="character" w:styleId="FollowedHyperlink">
    <w:name w:val="FollowedHyperlink"/>
    <w:basedOn w:val="DefaultParagraphFont"/>
    <w:uiPriority w:val="99"/>
    <w:semiHidden/>
    <w:unhideWhenUsed/>
    <w:rsid w:val="0067326D"/>
    <w:rPr>
      <w:color w:val="800080" w:themeColor="followedHyperlink"/>
      <w:u w:val="single"/>
    </w:rPr>
  </w:style>
  <w:style w:type="numbering" w:customStyle="1" w:styleId="AERnumberedlist1">
    <w:name w:val="AER numbered list1"/>
    <w:uiPriority w:val="99"/>
    <w:rsid w:val="00861321"/>
  </w:style>
  <w:style w:type="table" w:styleId="MediumShading1-Accent1">
    <w:name w:val="Medium Shading 1 Accent 1"/>
    <w:basedOn w:val="TableNormal"/>
    <w:uiPriority w:val="63"/>
    <w:locked/>
    <w:rsid w:val="00B53C42"/>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3A72DE"/>
    <w:pPr>
      <w:autoSpaceDE w:val="0"/>
      <w:autoSpaceDN w:val="0"/>
      <w:adjustRightInd w:val="0"/>
    </w:pPr>
    <w:rPr>
      <w:rFonts w:ascii="HelveticaNeueLT Std Lt" w:hAnsi="HelveticaNeueLT Std Lt" w:cs="HelveticaNeueLT Std Lt"/>
      <w:color w:val="000000"/>
      <w:sz w:val="24"/>
      <w:szCs w:val="24"/>
    </w:rPr>
  </w:style>
  <w:style w:type="paragraph" w:styleId="EndnoteText">
    <w:name w:val="endnote text"/>
    <w:basedOn w:val="Normal"/>
    <w:link w:val="EndnoteTextChar"/>
    <w:uiPriority w:val="99"/>
    <w:semiHidden/>
    <w:unhideWhenUsed/>
    <w:rsid w:val="00A4010F"/>
    <w:pPr>
      <w:spacing w:after="0" w:line="240" w:lineRule="auto"/>
    </w:pPr>
  </w:style>
  <w:style w:type="character" w:customStyle="1" w:styleId="EndnoteTextChar">
    <w:name w:val="Endnote Text Char"/>
    <w:basedOn w:val="DefaultParagraphFont"/>
    <w:link w:val="EndnoteText"/>
    <w:uiPriority w:val="99"/>
    <w:semiHidden/>
    <w:rsid w:val="00A4010F"/>
  </w:style>
  <w:style w:type="character" w:styleId="EndnoteReference">
    <w:name w:val="endnote reference"/>
    <w:basedOn w:val="DefaultParagraphFont"/>
    <w:uiPriority w:val="99"/>
    <w:semiHidden/>
    <w:unhideWhenUsed/>
    <w:rsid w:val="00A4010F"/>
    <w:rPr>
      <w:vertAlign w:val="superscript"/>
    </w:rPr>
  </w:style>
  <w:style w:type="numbering" w:customStyle="1" w:styleId="AERnumberedlist2">
    <w:name w:val="AER numbered list2"/>
    <w:uiPriority w:val="99"/>
    <w:rsid w:val="00E77297"/>
  </w:style>
  <w:style w:type="numbering" w:customStyle="1" w:styleId="AERnumberedlist3">
    <w:name w:val="AER numbered list3"/>
    <w:uiPriority w:val="99"/>
    <w:rsid w:val="00933A34"/>
  </w:style>
  <w:style w:type="numbering" w:customStyle="1" w:styleId="AERnumberedlist4">
    <w:name w:val="AER numbered list4"/>
    <w:uiPriority w:val="99"/>
    <w:rsid w:val="009C7D71"/>
  </w:style>
  <w:style w:type="paragraph" w:customStyle="1" w:styleId="Copyrighttext">
    <w:name w:val="Copyright text"/>
    <w:basedOn w:val="Normal"/>
    <w:link w:val="CopyrighttextChar"/>
    <w:qFormat/>
    <w:rsid w:val="00636D39"/>
    <w:pPr>
      <w:spacing w:before="120" w:after="0" w:line="240" w:lineRule="auto"/>
      <w:ind w:left="1225"/>
      <w:contextualSpacing/>
      <w:jc w:val="left"/>
    </w:pPr>
    <w:rPr>
      <w:rFonts w:ascii="Arial" w:eastAsiaTheme="minorHAnsi" w:hAnsi="Arial" w:cstheme="minorBidi"/>
      <w:sz w:val="16"/>
      <w:szCs w:val="16"/>
    </w:rPr>
  </w:style>
  <w:style w:type="character" w:customStyle="1" w:styleId="CopyrighttextChar">
    <w:name w:val="Copyright text Char"/>
    <w:basedOn w:val="DefaultParagraphFont"/>
    <w:link w:val="Copyrighttext"/>
    <w:rsid w:val="00636D39"/>
    <w:rPr>
      <w:rFonts w:ascii="Arial" w:eastAsiaTheme="minorHAnsi" w:hAnsi="Arial" w:cstheme="minorBidi"/>
      <w:sz w:val="16"/>
      <w:szCs w:val="16"/>
    </w:rPr>
  </w:style>
  <w:style w:type="paragraph" w:styleId="ListBullet2">
    <w:name w:val="List Bullet 2"/>
    <w:basedOn w:val="Normal"/>
    <w:uiPriority w:val="99"/>
    <w:semiHidden/>
    <w:unhideWhenUsed/>
    <w:locked/>
    <w:rsid w:val="00636D39"/>
    <w:pPr>
      <w:numPr>
        <w:numId w:val="38"/>
      </w:numPr>
      <w:spacing w:before="120" w:after="0" w:line="240" w:lineRule="auto"/>
      <w:contextualSpacing/>
      <w:jc w:val="left"/>
    </w:pPr>
    <w:rPr>
      <w:rFonts w:ascii="Arial" w:eastAsiaTheme="minorHAnsi" w:hAnsi="Arial"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937">
      <w:bodyDiv w:val="1"/>
      <w:marLeft w:val="0"/>
      <w:marRight w:val="0"/>
      <w:marTop w:val="0"/>
      <w:marBottom w:val="0"/>
      <w:divBdr>
        <w:top w:val="none" w:sz="0" w:space="0" w:color="auto"/>
        <w:left w:val="none" w:sz="0" w:space="0" w:color="auto"/>
        <w:bottom w:val="none" w:sz="0" w:space="0" w:color="auto"/>
        <w:right w:val="none" w:sz="0" w:space="0" w:color="auto"/>
      </w:divBdr>
    </w:div>
    <w:div w:id="432670512">
      <w:bodyDiv w:val="1"/>
      <w:marLeft w:val="0"/>
      <w:marRight w:val="0"/>
      <w:marTop w:val="0"/>
      <w:marBottom w:val="0"/>
      <w:divBdr>
        <w:top w:val="none" w:sz="0" w:space="0" w:color="auto"/>
        <w:left w:val="none" w:sz="0" w:space="0" w:color="auto"/>
        <w:bottom w:val="none" w:sz="0" w:space="0" w:color="auto"/>
        <w:right w:val="none" w:sz="0" w:space="0" w:color="auto"/>
      </w:divBdr>
    </w:div>
    <w:div w:id="486868680">
      <w:bodyDiv w:val="1"/>
      <w:marLeft w:val="0"/>
      <w:marRight w:val="0"/>
      <w:marTop w:val="0"/>
      <w:marBottom w:val="0"/>
      <w:divBdr>
        <w:top w:val="none" w:sz="0" w:space="0" w:color="auto"/>
        <w:left w:val="none" w:sz="0" w:space="0" w:color="auto"/>
        <w:bottom w:val="none" w:sz="0" w:space="0" w:color="auto"/>
        <w:right w:val="none" w:sz="0" w:space="0" w:color="auto"/>
      </w:divBdr>
    </w:div>
    <w:div w:id="770585556">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104762288">
      <w:bodyDiv w:val="1"/>
      <w:marLeft w:val="0"/>
      <w:marRight w:val="0"/>
      <w:marTop w:val="0"/>
      <w:marBottom w:val="0"/>
      <w:divBdr>
        <w:top w:val="none" w:sz="0" w:space="0" w:color="auto"/>
        <w:left w:val="none" w:sz="0" w:space="0" w:color="auto"/>
        <w:bottom w:val="none" w:sz="0" w:space="0" w:color="auto"/>
        <w:right w:val="none" w:sz="0" w:space="0" w:color="auto"/>
      </w:divBdr>
    </w:div>
    <w:div w:id="1203008860">
      <w:bodyDiv w:val="1"/>
      <w:marLeft w:val="0"/>
      <w:marRight w:val="0"/>
      <w:marTop w:val="0"/>
      <w:marBottom w:val="0"/>
      <w:divBdr>
        <w:top w:val="none" w:sz="0" w:space="0" w:color="auto"/>
        <w:left w:val="none" w:sz="0" w:space="0" w:color="auto"/>
        <w:bottom w:val="none" w:sz="0" w:space="0" w:color="auto"/>
        <w:right w:val="none" w:sz="0" w:space="0" w:color="auto"/>
      </w:divBdr>
    </w:div>
    <w:div w:id="1206482864">
      <w:bodyDiv w:val="1"/>
      <w:marLeft w:val="0"/>
      <w:marRight w:val="0"/>
      <w:marTop w:val="0"/>
      <w:marBottom w:val="0"/>
      <w:divBdr>
        <w:top w:val="none" w:sz="0" w:space="0" w:color="auto"/>
        <w:left w:val="none" w:sz="0" w:space="0" w:color="auto"/>
        <w:bottom w:val="none" w:sz="0" w:space="0" w:color="auto"/>
        <w:right w:val="none" w:sz="0" w:space="0" w:color="auto"/>
      </w:divBdr>
    </w:div>
    <w:div w:id="1423649449">
      <w:bodyDiv w:val="1"/>
      <w:marLeft w:val="0"/>
      <w:marRight w:val="0"/>
      <w:marTop w:val="0"/>
      <w:marBottom w:val="0"/>
      <w:divBdr>
        <w:top w:val="none" w:sz="0" w:space="0" w:color="auto"/>
        <w:left w:val="none" w:sz="0" w:space="0" w:color="auto"/>
        <w:bottom w:val="none" w:sz="0" w:space="0" w:color="auto"/>
        <w:right w:val="none" w:sz="0" w:space="0" w:color="auto"/>
      </w:divBdr>
    </w:div>
    <w:div w:id="1551071136">
      <w:bodyDiv w:val="1"/>
      <w:marLeft w:val="0"/>
      <w:marRight w:val="0"/>
      <w:marTop w:val="0"/>
      <w:marBottom w:val="0"/>
      <w:divBdr>
        <w:top w:val="none" w:sz="0" w:space="0" w:color="auto"/>
        <w:left w:val="none" w:sz="0" w:space="0" w:color="auto"/>
        <w:bottom w:val="none" w:sz="0" w:space="0" w:color="auto"/>
        <w:right w:val="none" w:sz="0" w:space="0" w:color="auto"/>
      </w:divBdr>
    </w:div>
    <w:div w:id="1643004168">
      <w:bodyDiv w:val="1"/>
      <w:marLeft w:val="0"/>
      <w:marRight w:val="0"/>
      <w:marTop w:val="0"/>
      <w:marBottom w:val="0"/>
      <w:divBdr>
        <w:top w:val="none" w:sz="0" w:space="0" w:color="auto"/>
        <w:left w:val="none" w:sz="0" w:space="0" w:color="auto"/>
        <w:bottom w:val="none" w:sz="0" w:space="0" w:color="auto"/>
        <w:right w:val="none" w:sz="0" w:space="0" w:color="auto"/>
      </w:divBdr>
    </w:div>
    <w:div w:id="1878541998">
      <w:bodyDiv w:val="1"/>
      <w:marLeft w:val="0"/>
      <w:marRight w:val="0"/>
      <w:marTop w:val="0"/>
      <w:marBottom w:val="0"/>
      <w:divBdr>
        <w:top w:val="none" w:sz="0" w:space="0" w:color="auto"/>
        <w:left w:val="none" w:sz="0" w:space="0" w:color="auto"/>
        <w:bottom w:val="none" w:sz="0" w:space="0" w:color="auto"/>
        <w:right w:val="none" w:sz="0" w:space="0" w:color="auto"/>
      </w:divBdr>
    </w:div>
    <w:div w:id="202940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mailto:AERInquiry@aer.gov.au"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ransgrid.com.au/aboutus/Pages/default.asp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SCBRFS001\home$\plawr\2014_15%20resets%20actual%20opex%20and%20(D2014-0001019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CBRFS001\home$\plawr\2014_15%20resets%20actual%20opex%20and%20(D2014-0001019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TransGrid forecast</c:v>
          </c:tx>
          <c:cat>
            <c:strRef>
              <c:f>Data!$I$27:$R$27</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Data!$I$80:$R$80</c:f>
              <c:numCache>
                <c:formatCode>General</c:formatCode>
                <c:ptCount val="10"/>
                <c:pt idx="4">
                  <c:v>171</c:v>
                </c:pt>
                <c:pt idx="5" formatCode="0.00">
                  <c:v>186.83291219934779</c:v>
                </c:pt>
                <c:pt idx="6" formatCode="0.00">
                  <c:v>186.20349489076105</c:v>
                </c:pt>
                <c:pt idx="7" formatCode="0.00">
                  <c:v>184.96430353370033</c:v>
                </c:pt>
                <c:pt idx="8" formatCode="0.00">
                  <c:v>186.12385442346968</c:v>
                </c:pt>
                <c:pt idx="9" formatCode="0.00">
                  <c:v>190.51126812378834</c:v>
                </c:pt>
              </c:numCache>
            </c:numRef>
          </c:val>
          <c:smooth val="0"/>
        </c:ser>
        <c:ser>
          <c:idx val="2"/>
          <c:order val="1"/>
          <c:tx>
            <c:v>Approved forecast</c:v>
          </c:tx>
          <c:cat>
            <c:strRef>
              <c:f>Data!$I$27:$R$27</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Data!$I$82:$R$82</c:f>
              <c:numCache>
                <c:formatCode>0.00</c:formatCode>
                <c:ptCount val="10"/>
                <c:pt idx="0">
                  <c:v>175.46222388204941</c:v>
                </c:pt>
                <c:pt idx="1">
                  <c:v>165.90327741011274</c:v>
                </c:pt>
                <c:pt idx="2">
                  <c:v>169.57913489620404</c:v>
                </c:pt>
                <c:pt idx="3">
                  <c:v>178.12540519841599</c:v>
                </c:pt>
                <c:pt idx="4">
                  <c:v>178.51845410363646</c:v>
                </c:pt>
              </c:numCache>
            </c:numRef>
          </c:val>
          <c:smooth val="0"/>
        </c:ser>
        <c:ser>
          <c:idx val="3"/>
          <c:order val="2"/>
          <c:tx>
            <c:v>TransGrid actual/estimated opex</c:v>
          </c:tx>
          <c:cat>
            <c:strRef>
              <c:f>Data!$I$27:$R$27</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Data!$I$85:$R$85</c:f>
              <c:numCache>
                <c:formatCode>0.00</c:formatCode>
                <c:ptCount val="10"/>
                <c:pt idx="0">
                  <c:v>164.63953135825884</c:v>
                </c:pt>
                <c:pt idx="1">
                  <c:v>164.33741449429061</c:v>
                </c:pt>
                <c:pt idx="2">
                  <c:v>167.45795395395393</c:v>
                </c:pt>
                <c:pt idx="3">
                  <c:v>169.96037499999997</c:v>
                </c:pt>
              </c:numCache>
            </c:numRef>
          </c:val>
          <c:smooth val="0"/>
        </c:ser>
        <c:dLbls>
          <c:showLegendKey val="0"/>
          <c:showVal val="0"/>
          <c:showCatName val="0"/>
          <c:showSerName val="0"/>
          <c:showPercent val="0"/>
          <c:showBubbleSize val="0"/>
        </c:dLbls>
        <c:marker val="1"/>
        <c:smooth val="0"/>
        <c:axId val="290817152"/>
        <c:axId val="290818688"/>
      </c:lineChart>
      <c:catAx>
        <c:axId val="290817152"/>
        <c:scaling>
          <c:orientation val="minMax"/>
        </c:scaling>
        <c:delete val="0"/>
        <c:axPos val="b"/>
        <c:majorTickMark val="out"/>
        <c:minorTickMark val="none"/>
        <c:tickLblPos val="nextTo"/>
        <c:txPr>
          <a:bodyPr/>
          <a:lstStyle/>
          <a:p>
            <a:pPr>
              <a:defRPr sz="800" baseline="0"/>
            </a:pPr>
            <a:endParaRPr lang="en-US"/>
          </a:p>
        </c:txPr>
        <c:crossAx val="290818688"/>
        <c:crosses val="autoZero"/>
        <c:auto val="1"/>
        <c:lblAlgn val="ctr"/>
        <c:lblOffset val="100"/>
        <c:noMultiLvlLbl val="0"/>
      </c:catAx>
      <c:valAx>
        <c:axId val="290818688"/>
        <c:scaling>
          <c:orientation val="minMax"/>
          <c:min val="0"/>
        </c:scaling>
        <c:delete val="0"/>
        <c:axPos val="l"/>
        <c:majorGridlines/>
        <c:title>
          <c:tx>
            <c:rich>
              <a:bodyPr rot="0" vert="horz"/>
              <a:lstStyle/>
              <a:p>
                <a:pPr>
                  <a:defRPr/>
                </a:pPr>
                <a:r>
                  <a:rPr lang="en-AU"/>
                  <a:t>TransGrid</a:t>
                </a:r>
              </a:p>
              <a:p>
                <a:pPr>
                  <a:defRPr/>
                </a:pPr>
                <a:r>
                  <a:rPr lang="en-AU"/>
                  <a:t>$</a:t>
                </a:r>
                <a:r>
                  <a:rPr lang="en-AU" baseline="0"/>
                  <a:t> 2013-14</a:t>
                </a:r>
              </a:p>
              <a:p>
                <a:pPr>
                  <a:defRPr/>
                </a:pPr>
                <a:r>
                  <a:rPr lang="en-AU" baseline="0"/>
                  <a:t>(million)</a:t>
                </a:r>
                <a:endParaRPr lang="en-AU"/>
              </a:p>
            </c:rich>
          </c:tx>
          <c:overlay val="0"/>
        </c:title>
        <c:numFmt formatCode="General" sourceLinked="1"/>
        <c:majorTickMark val="out"/>
        <c:minorTickMark val="none"/>
        <c:tickLblPos val="nextTo"/>
        <c:txPr>
          <a:bodyPr/>
          <a:lstStyle/>
          <a:p>
            <a:pPr>
              <a:defRPr sz="800" baseline="0"/>
            </a:pPr>
            <a:endParaRPr lang="en-US"/>
          </a:p>
        </c:txPr>
        <c:crossAx val="29081715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Transend forecast</c:v>
          </c:tx>
          <c:cat>
            <c:strRef>
              <c:f>Data!$I$27:$R$27</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Data!$I$71:$R$71</c:f>
              <c:numCache>
                <c:formatCode>General</c:formatCode>
                <c:ptCount val="10"/>
                <c:pt idx="4" formatCode="0.00">
                  <c:v>45.72</c:v>
                </c:pt>
                <c:pt idx="5" formatCode="0.00">
                  <c:v>46.61662975104845</c:v>
                </c:pt>
                <c:pt idx="6" formatCode="0.00">
                  <c:v>45.98983062254738</c:v>
                </c:pt>
                <c:pt idx="7" formatCode="0.00">
                  <c:v>46.199449470880424</c:v>
                </c:pt>
                <c:pt idx="8" formatCode="0.00">
                  <c:v>46.404063619969364</c:v>
                </c:pt>
                <c:pt idx="9" formatCode="0.00">
                  <c:v>45.895485604969423</c:v>
                </c:pt>
              </c:numCache>
            </c:numRef>
          </c:val>
          <c:smooth val="0"/>
        </c:ser>
        <c:ser>
          <c:idx val="2"/>
          <c:order val="1"/>
          <c:tx>
            <c:v>Approved forecast</c:v>
          </c:tx>
          <c:cat>
            <c:strRef>
              <c:f>Data!$I$27:$R$27</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Data!$I$73:$R$73</c:f>
              <c:numCache>
                <c:formatCode>0.00</c:formatCode>
                <c:ptCount val="10"/>
                <c:pt idx="0">
                  <c:v>54.877956995226498</c:v>
                </c:pt>
                <c:pt idx="1">
                  <c:v>55.601629278243045</c:v>
                </c:pt>
                <c:pt idx="2">
                  <c:v>55.108435751305052</c:v>
                </c:pt>
                <c:pt idx="3">
                  <c:v>57.758263031465589</c:v>
                </c:pt>
                <c:pt idx="4">
                  <c:v>57.37252006153836</c:v>
                </c:pt>
              </c:numCache>
            </c:numRef>
          </c:val>
          <c:smooth val="0"/>
        </c:ser>
        <c:ser>
          <c:idx val="3"/>
          <c:order val="2"/>
          <c:tx>
            <c:v>Transend actual opex</c:v>
          </c:tx>
          <c:cat>
            <c:strRef>
              <c:f>Data!$I$27:$R$27</c:f>
              <c:strCache>
                <c:ptCount val="10"/>
                <c:pt idx="0">
                  <c:v>2009-10</c:v>
                </c:pt>
                <c:pt idx="1">
                  <c:v>2010-11</c:v>
                </c:pt>
                <c:pt idx="2">
                  <c:v>2011-12</c:v>
                </c:pt>
                <c:pt idx="3">
                  <c:v>2012-13</c:v>
                </c:pt>
                <c:pt idx="4">
                  <c:v>2013-14</c:v>
                </c:pt>
                <c:pt idx="5">
                  <c:v>2014-15</c:v>
                </c:pt>
                <c:pt idx="6">
                  <c:v>2015-16</c:v>
                </c:pt>
                <c:pt idx="7">
                  <c:v>2016-17</c:v>
                </c:pt>
                <c:pt idx="8">
                  <c:v>2017-18</c:v>
                </c:pt>
                <c:pt idx="9">
                  <c:v>2018-19</c:v>
                </c:pt>
              </c:strCache>
            </c:strRef>
          </c:cat>
          <c:val>
            <c:numRef>
              <c:f>Data!$I$76:$R$76</c:f>
              <c:numCache>
                <c:formatCode>0.00</c:formatCode>
                <c:ptCount val="10"/>
                <c:pt idx="0">
                  <c:v>51.595846756698222</c:v>
                </c:pt>
                <c:pt idx="1">
                  <c:v>49.378603549786348</c:v>
                </c:pt>
                <c:pt idx="2">
                  <c:v>47.936986586586585</c:v>
                </c:pt>
                <c:pt idx="3">
                  <c:v>45.932299999999991</c:v>
                </c:pt>
              </c:numCache>
            </c:numRef>
          </c:val>
          <c:smooth val="0"/>
        </c:ser>
        <c:dLbls>
          <c:showLegendKey val="0"/>
          <c:showVal val="0"/>
          <c:showCatName val="0"/>
          <c:showSerName val="0"/>
          <c:showPercent val="0"/>
          <c:showBubbleSize val="0"/>
        </c:dLbls>
        <c:marker val="1"/>
        <c:smooth val="0"/>
        <c:axId val="290845440"/>
        <c:axId val="290846976"/>
      </c:lineChart>
      <c:catAx>
        <c:axId val="290845440"/>
        <c:scaling>
          <c:orientation val="minMax"/>
        </c:scaling>
        <c:delete val="0"/>
        <c:axPos val="b"/>
        <c:majorTickMark val="out"/>
        <c:minorTickMark val="none"/>
        <c:tickLblPos val="nextTo"/>
        <c:crossAx val="290846976"/>
        <c:crosses val="autoZero"/>
        <c:auto val="1"/>
        <c:lblAlgn val="ctr"/>
        <c:lblOffset val="100"/>
        <c:noMultiLvlLbl val="0"/>
      </c:catAx>
      <c:valAx>
        <c:axId val="290846976"/>
        <c:scaling>
          <c:orientation val="minMax"/>
        </c:scaling>
        <c:delete val="0"/>
        <c:axPos val="l"/>
        <c:majorGridlines/>
        <c:title>
          <c:tx>
            <c:rich>
              <a:bodyPr rot="0" vert="horz"/>
              <a:lstStyle/>
              <a:p>
                <a:pPr>
                  <a:defRPr/>
                </a:pPr>
                <a:r>
                  <a:rPr lang="en-AU"/>
                  <a:t>Transend opex</a:t>
                </a:r>
              </a:p>
              <a:p>
                <a:pPr>
                  <a:defRPr/>
                </a:pPr>
                <a:r>
                  <a:rPr lang="en-AU"/>
                  <a:t>$2013-14</a:t>
                </a:r>
              </a:p>
              <a:p>
                <a:pPr>
                  <a:defRPr/>
                </a:pPr>
                <a:r>
                  <a:rPr lang="en-AU"/>
                  <a:t>(million)</a:t>
                </a:r>
              </a:p>
            </c:rich>
          </c:tx>
          <c:overlay val="0"/>
        </c:title>
        <c:numFmt formatCode="General" sourceLinked="1"/>
        <c:majorTickMark val="out"/>
        <c:minorTickMark val="none"/>
        <c:tickLblPos val="nextTo"/>
        <c:crossAx val="290845440"/>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4EA59-075E-4ECD-B269-480D2DEB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CCDA0739.dotm</Template>
  <TotalTime>2</TotalTime>
  <Pages>59</Pages>
  <Words>18401</Words>
  <Characters>104890</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123045</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transitional decision - Transgrid &amp; Transend</dc:title>
  <dc:subject/>
  <dc:creator>AER</dc:creator>
  <cp:keywords/>
  <cp:lastModifiedBy>Le Cornu, Matthew</cp:lastModifiedBy>
  <cp:revision>3</cp:revision>
  <cp:lastPrinted>2014-03-28T00:33:00Z</cp:lastPrinted>
  <dcterms:created xsi:type="dcterms:W3CDTF">2014-03-28T00:37:00Z</dcterms:created>
  <dcterms:modified xsi:type="dcterms:W3CDTF">2014-03-28T01:07:00Z</dcterms:modified>
</cp:coreProperties>
</file>