
<file path=[Content_Types].xml><?xml version="1.0" encoding="utf-8"?>
<Types xmlns="http://schemas.openxmlformats.org/package/2006/content-types">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C2" w:rsidRPr="0020711E" w:rsidRDefault="00CA2AE8" w:rsidP="00824CC8">
      <w:pPr>
        <w:pStyle w:val="AERbodytextindent1"/>
        <w:rPr>
          <w:rStyle w:val="AERtextsize8"/>
        </w:rPr>
      </w:pPr>
      <w:bookmarkStart w:id="0" w:name="_GoBack"/>
      <w:bookmarkEnd w:id="0"/>
      <w:r w:rsidRPr="00CA2AE8">
        <w:rPr>
          <w:noProof/>
          <w:lang w:eastAsia="en-AU"/>
        </w:rPr>
        <w:drawing>
          <wp:anchor distT="0" distB="0" distL="114300" distR="114300" simplePos="0" relativeHeight="251666432" behindDoc="1" locked="0" layoutInCell="1" allowOverlap="1" wp14:anchorId="0655C8A6" wp14:editId="23FF2E25">
            <wp:simplePos x="0" y="0"/>
            <wp:positionH relativeFrom="column">
              <wp:posOffset>-909955</wp:posOffset>
            </wp:positionH>
            <wp:positionV relativeFrom="paragraph">
              <wp:posOffset>-935355</wp:posOffset>
            </wp:positionV>
            <wp:extent cx="7576185" cy="10706735"/>
            <wp:effectExtent l="0" t="0" r="0" b="0"/>
            <wp:wrapNone/>
            <wp:docPr id="1"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185" cy="10706735"/>
                    </a:xfrm>
                    <a:prstGeom prst="rect">
                      <a:avLst/>
                    </a:prstGeom>
                    <a:noFill/>
                    <a:ln w="9525">
                      <a:noFill/>
                      <a:miter lim="800000"/>
                      <a:headEnd/>
                      <a:tailEnd/>
                    </a:ln>
                  </pic:spPr>
                </pic:pic>
              </a:graphicData>
            </a:graphic>
          </wp:anchor>
        </w:drawing>
      </w:r>
      <w:r w:rsidR="00CC49D4" w:rsidRPr="00824CC8">
        <w:rPr>
          <w:noProof/>
          <w:lang w:eastAsia="en-AU"/>
        </w:rPr>
        <w:drawing>
          <wp:anchor distT="0" distB="0" distL="114300" distR="114300" simplePos="0" relativeHeight="251661312" behindDoc="1" locked="0" layoutInCell="1" allowOverlap="1" wp14:anchorId="32B0F0A5" wp14:editId="490CAD01">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9658F0" w:rsidRDefault="009658F0" w:rsidP="000A1CC2">
      <w:pPr>
        <w:pStyle w:val="AERtitle1"/>
      </w:pPr>
    </w:p>
    <w:p w:rsidR="009658F0" w:rsidRDefault="009658F0" w:rsidP="000A1CC2">
      <w:pPr>
        <w:pStyle w:val="AERtitle1"/>
      </w:pPr>
    </w:p>
    <w:p w:rsidR="00CA2AE8" w:rsidRDefault="00CA2AE8" w:rsidP="000A1CC2">
      <w:pPr>
        <w:pStyle w:val="AERtitle1"/>
      </w:pPr>
    </w:p>
    <w:p w:rsidR="00CA2AE8" w:rsidRDefault="00CA2AE8" w:rsidP="000A1CC2">
      <w:pPr>
        <w:pStyle w:val="AERtitle1"/>
      </w:pPr>
    </w:p>
    <w:p w:rsidR="000A1CC2" w:rsidRDefault="00CA2AE8" w:rsidP="000A1CC2">
      <w:pPr>
        <w:pStyle w:val="AERtitle1"/>
      </w:pPr>
      <w:r>
        <w:t xml:space="preserve">SP </w:t>
      </w:r>
      <w:proofErr w:type="spellStart"/>
      <w:r>
        <w:t>AusNet</w:t>
      </w:r>
      <w:proofErr w:type="spellEnd"/>
    </w:p>
    <w:p w:rsidR="00CA2AE8" w:rsidRDefault="00CA2AE8" w:rsidP="000A1CC2">
      <w:pPr>
        <w:pStyle w:val="AERtitle1"/>
      </w:pPr>
      <w:r>
        <w:t>Transmission determination</w:t>
      </w:r>
    </w:p>
    <w:p w:rsidR="00CA2AE8" w:rsidRDefault="00CA2AE8" w:rsidP="000A1CC2">
      <w:pPr>
        <w:pStyle w:val="AERtitle1"/>
      </w:pPr>
      <w:r>
        <w:t>2014–15 to 2016–17</w:t>
      </w:r>
    </w:p>
    <w:p w:rsidR="000A1CC2" w:rsidRDefault="000A1CC2" w:rsidP="000A1CC2">
      <w:pPr>
        <w:pStyle w:val="AERtitle1"/>
      </w:pPr>
    </w:p>
    <w:p w:rsidR="000B15CA" w:rsidRDefault="000B15CA" w:rsidP="000B15CA">
      <w:pPr>
        <w:pStyle w:val="AERtitle2"/>
      </w:pPr>
    </w:p>
    <w:p w:rsidR="00CA2AE8" w:rsidRPr="00CA2AE8" w:rsidRDefault="004418C3" w:rsidP="000B15CA">
      <w:pPr>
        <w:pStyle w:val="AERtitle2"/>
        <w:rPr>
          <w:rStyle w:val="AERtextbold"/>
        </w:rPr>
      </w:pPr>
      <w:r>
        <w:rPr>
          <w:rStyle w:val="AERtextbold"/>
        </w:rPr>
        <w:t>January</w:t>
      </w:r>
      <w:r w:rsidR="00CA2AE8" w:rsidRPr="00CA2AE8">
        <w:rPr>
          <w:rStyle w:val="AERtextbold"/>
        </w:rPr>
        <w:t xml:space="preserve"> 2014</w:t>
      </w:r>
    </w:p>
    <w:p w:rsidR="000B15CA" w:rsidRDefault="000B15CA" w:rsidP="000B15CA">
      <w:pPr>
        <w:pStyle w:val="AERtitle2"/>
      </w:pPr>
    </w:p>
    <w:p w:rsidR="000B15CA" w:rsidRDefault="000B15CA" w:rsidP="000B15CA">
      <w:pPr>
        <w:pStyle w:val="AERtitle2"/>
      </w:pPr>
    </w:p>
    <w:p w:rsidR="000B15CA" w:rsidRDefault="000B15CA" w:rsidP="00F97CD9">
      <w:pPr>
        <w:pStyle w:val="AERbodytextnospace"/>
        <w:numPr>
          <w:ilvl w:val="0"/>
          <w:numId w:val="13"/>
        </w:numPr>
      </w:pPr>
    </w:p>
    <w:p w:rsidR="00CA2AE8" w:rsidRPr="00CA2AE8" w:rsidRDefault="00CA2AE8" w:rsidP="00CA2AE8">
      <w:pPr>
        <w:pStyle w:val="AERbodytextnospace"/>
        <w:numPr>
          <w:ilvl w:val="0"/>
          <w:numId w:val="13"/>
        </w:numPr>
        <w:rPr>
          <w:b/>
        </w:rPr>
      </w:pPr>
      <w:bookmarkStart w:id="1" w:name="_Toc360023682"/>
      <w:bookmarkStart w:id="2" w:name="_Toc360024843"/>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B925C9" w:rsidRDefault="00B925C9" w:rsidP="00CA2AE8">
      <w:pPr>
        <w:pStyle w:val="AERbodytextnospace"/>
        <w:numPr>
          <w:ilvl w:val="0"/>
          <w:numId w:val="13"/>
        </w:numPr>
        <w:rPr>
          <w:rStyle w:val="AERtextbold"/>
        </w:rPr>
        <w:sectPr w:rsidR="00B925C9" w:rsidSect="00CA2AE8">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709" w:gutter="0"/>
          <w:cols w:space="708"/>
          <w:docGrid w:linePitch="360"/>
        </w:sectPr>
      </w:pPr>
    </w:p>
    <w:p w:rsidR="00CA2AE8" w:rsidRPr="008F1A4A" w:rsidRDefault="00CA2AE8" w:rsidP="00CA2AE8">
      <w:pPr>
        <w:pStyle w:val="AERbodytextnospace"/>
        <w:numPr>
          <w:ilvl w:val="0"/>
          <w:numId w:val="13"/>
        </w:numPr>
        <w:rPr>
          <w:rStyle w:val="AERtextbold"/>
        </w:rPr>
      </w:pPr>
      <w:r w:rsidRPr="008F1A4A">
        <w:rPr>
          <w:rStyle w:val="AERtextbold"/>
        </w:rPr>
        <w:lastRenderedPageBreak/>
        <w:t xml:space="preserve">© </w:t>
      </w:r>
      <w:r>
        <w:rPr>
          <w:rStyle w:val="AERtextbold"/>
        </w:rPr>
        <w:t>Commonwealth of Australia 2014</w:t>
      </w:r>
      <w:r w:rsidRPr="008F1A4A">
        <w:rPr>
          <w:rStyle w:val="AERtextbold"/>
        </w:rPr>
        <w:t xml:space="preserve"> </w:t>
      </w:r>
    </w:p>
    <w:p w:rsidR="00CA2AE8" w:rsidRPr="00F6235D" w:rsidRDefault="00CA2AE8" w:rsidP="00CA2AE8">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CA2AE8" w:rsidRDefault="00CA2AE8" w:rsidP="00CA2AE8">
      <w:r>
        <w:t>Inquiries about this document should be addressed to:</w:t>
      </w:r>
    </w:p>
    <w:p w:rsidR="00CA2AE8" w:rsidRDefault="00CA2AE8" w:rsidP="00CA2AE8">
      <w:pPr>
        <w:pStyle w:val="AERbodytextnospace"/>
        <w:numPr>
          <w:ilvl w:val="0"/>
          <w:numId w:val="13"/>
        </w:numPr>
      </w:pPr>
      <w:r>
        <w:t>Australian Energy Regulator</w:t>
      </w:r>
    </w:p>
    <w:p w:rsidR="00CA2AE8" w:rsidRDefault="00CA2AE8" w:rsidP="00CA2AE8">
      <w:pPr>
        <w:pStyle w:val="AERbodytextnospace"/>
        <w:numPr>
          <w:ilvl w:val="0"/>
          <w:numId w:val="13"/>
        </w:numPr>
      </w:pPr>
      <w:r>
        <w:t>GPO Box 520</w:t>
      </w:r>
    </w:p>
    <w:p w:rsidR="00CA2AE8" w:rsidRDefault="00CA2AE8" w:rsidP="00CA2AE8">
      <w:pPr>
        <w:pStyle w:val="AERbodytextnospace"/>
        <w:numPr>
          <w:ilvl w:val="0"/>
          <w:numId w:val="13"/>
        </w:numPr>
      </w:pPr>
      <w:r>
        <w:t>Melbourne  Vic  3001</w:t>
      </w:r>
    </w:p>
    <w:p w:rsidR="00CA2AE8" w:rsidRDefault="00CA2AE8" w:rsidP="00CA2AE8">
      <w:pPr>
        <w:pStyle w:val="AERbodytextnospace"/>
        <w:numPr>
          <w:ilvl w:val="0"/>
          <w:numId w:val="13"/>
        </w:numPr>
      </w:pPr>
      <w:r>
        <w:t>Tel: (03) 9290 1444</w:t>
      </w:r>
    </w:p>
    <w:p w:rsidR="00CA2AE8" w:rsidRDefault="00CA2AE8" w:rsidP="00CA2AE8">
      <w:pPr>
        <w:pStyle w:val="AERbodytextnospace"/>
        <w:numPr>
          <w:ilvl w:val="0"/>
          <w:numId w:val="13"/>
        </w:numPr>
      </w:pPr>
      <w:r>
        <w:t>Fax: (03) 9290 1457</w:t>
      </w:r>
    </w:p>
    <w:p w:rsidR="00CA2AE8" w:rsidRDefault="00CA2AE8" w:rsidP="00CA2AE8">
      <w:pPr>
        <w:pStyle w:val="AERbodytextnospace"/>
        <w:numPr>
          <w:ilvl w:val="0"/>
          <w:numId w:val="13"/>
        </w:numPr>
      </w:pPr>
      <w:r>
        <w:t xml:space="preserve">Email: </w:t>
      </w:r>
      <w:hyperlink r:id="rId16" w:history="1">
        <w:r w:rsidRPr="003E184A">
          <w:rPr>
            <w:rStyle w:val="Hyperlink"/>
          </w:rPr>
          <w:t>AERInquiry@aer.gov.au</w:t>
        </w:r>
      </w:hyperlink>
    </w:p>
    <w:p w:rsidR="00CA2AE8" w:rsidRPr="008F1A4A" w:rsidRDefault="00CA2AE8" w:rsidP="00CA2AE8"/>
    <w:p w:rsidR="00CA2AE8" w:rsidRDefault="00CA2AE8" w:rsidP="00CA2AE8">
      <w:r>
        <w:t>AER reference:   50377</w:t>
      </w:r>
    </w:p>
    <w:p w:rsidR="00AF3E95" w:rsidRDefault="00AF3E95" w:rsidP="00CA2AE8">
      <w:pPr>
        <w:pStyle w:val="UnnumberedHeading"/>
        <w:numPr>
          <w:ilvl w:val="0"/>
          <w:numId w:val="0"/>
        </w:numPr>
      </w:pPr>
      <w:bookmarkStart w:id="3" w:name="_Toc377546632"/>
      <w:r>
        <w:lastRenderedPageBreak/>
        <w:t>Contents</w:t>
      </w:r>
      <w:bookmarkEnd w:id="1"/>
      <w:bookmarkEnd w:id="2"/>
      <w:bookmarkEnd w:id="3"/>
    </w:p>
    <w:p w:rsidR="004418C3" w:rsidRDefault="00824CC8">
      <w:pPr>
        <w:pStyle w:val="TOC1"/>
        <w:tabs>
          <w:tab w:val="right" w:leader="dot" w:pos="9016"/>
        </w:tabs>
        <w:rPr>
          <w:rFonts w:asciiTheme="minorHAnsi" w:eastAsiaTheme="minorEastAsia" w:hAnsiTheme="minorHAnsi" w:cstheme="minorBidi"/>
          <w:b w:val="0"/>
          <w:bCs w:val="0"/>
          <w:noProof/>
          <w:sz w:val="22"/>
          <w:szCs w:val="22"/>
          <w:lang w:eastAsia="en-AU"/>
        </w:rPr>
      </w:pPr>
      <w:r w:rsidRPr="00AC1B94">
        <w:fldChar w:fldCharType="begin"/>
      </w:r>
      <w:r w:rsidRPr="00971655">
        <w:instrText xml:space="preserve"> TOC \o "1-2" \h \z \u </w:instrText>
      </w:r>
      <w:r w:rsidRPr="00AC1B94">
        <w:fldChar w:fldCharType="separate"/>
      </w:r>
      <w:hyperlink w:anchor="_Toc377546632" w:history="1">
        <w:r w:rsidR="004418C3" w:rsidRPr="008062D4">
          <w:rPr>
            <w:rStyle w:val="Hyperlink"/>
            <w:noProof/>
          </w:rPr>
          <w:t>Contents</w:t>
        </w:r>
        <w:r w:rsidR="004418C3">
          <w:rPr>
            <w:noProof/>
            <w:webHidden/>
          </w:rPr>
          <w:tab/>
        </w:r>
        <w:r w:rsidR="004418C3">
          <w:rPr>
            <w:noProof/>
            <w:webHidden/>
          </w:rPr>
          <w:fldChar w:fldCharType="begin"/>
        </w:r>
        <w:r w:rsidR="004418C3">
          <w:rPr>
            <w:noProof/>
            <w:webHidden/>
          </w:rPr>
          <w:instrText xml:space="preserve"> PAGEREF _Toc377546632 \h </w:instrText>
        </w:r>
        <w:r w:rsidR="004418C3">
          <w:rPr>
            <w:noProof/>
            <w:webHidden/>
          </w:rPr>
        </w:r>
        <w:r w:rsidR="004418C3">
          <w:rPr>
            <w:noProof/>
            <w:webHidden/>
          </w:rPr>
          <w:fldChar w:fldCharType="separate"/>
        </w:r>
        <w:r w:rsidR="00B42368">
          <w:rPr>
            <w:noProof/>
            <w:webHidden/>
          </w:rPr>
          <w:t>ii</w:t>
        </w:r>
        <w:r w:rsidR="004418C3">
          <w:rPr>
            <w:noProof/>
            <w:webHidden/>
          </w:rPr>
          <w:fldChar w:fldCharType="end"/>
        </w:r>
      </w:hyperlink>
    </w:p>
    <w:p w:rsidR="004418C3" w:rsidRDefault="00B4236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7546633" w:history="1">
        <w:r w:rsidR="004418C3" w:rsidRPr="008062D4">
          <w:rPr>
            <w:rStyle w:val="Hyperlink"/>
            <w:noProof/>
          </w:rPr>
          <w:t>Shortened forms</w:t>
        </w:r>
        <w:r w:rsidR="004418C3">
          <w:rPr>
            <w:noProof/>
            <w:webHidden/>
          </w:rPr>
          <w:tab/>
        </w:r>
        <w:r w:rsidR="004418C3">
          <w:rPr>
            <w:noProof/>
            <w:webHidden/>
          </w:rPr>
          <w:fldChar w:fldCharType="begin"/>
        </w:r>
        <w:r w:rsidR="004418C3">
          <w:rPr>
            <w:noProof/>
            <w:webHidden/>
          </w:rPr>
          <w:instrText xml:space="preserve"> PAGEREF _Toc377546633 \h </w:instrText>
        </w:r>
        <w:r w:rsidR="004418C3">
          <w:rPr>
            <w:noProof/>
            <w:webHidden/>
          </w:rPr>
        </w:r>
        <w:r w:rsidR="004418C3">
          <w:rPr>
            <w:noProof/>
            <w:webHidden/>
          </w:rPr>
          <w:fldChar w:fldCharType="separate"/>
        </w:r>
        <w:r>
          <w:rPr>
            <w:noProof/>
            <w:webHidden/>
          </w:rPr>
          <w:t>iii</w:t>
        </w:r>
        <w:r w:rsidR="004418C3">
          <w:rPr>
            <w:noProof/>
            <w:webHidden/>
          </w:rPr>
          <w:fldChar w:fldCharType="end"/>
        </w:r>
      </w:hyperlink>
    </w:p>
    <w:p w:rsidR="004418C3" w:rsidRDefault="00B4236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7546634" w:history="1">
        <w:r w:rsidR="004418C3" w:rsidRPr="008062D4">
          <w:rPr>
            <w:rStyle w:val="Hyperlink"/>
            <w:noProof/>
          </w:rPr>
          <w:t>Summary</w:t>
        </w:r>
        <w:r w:rsidR="004418C3">
          <w:rPr>
            <w:noProof/>
            <w:webHidden/>
          </w:rPr>
          <w:tab/>
        </w:r>
        <w:r w:rsidR="004418C3">
          <w:rPr>
            <w:noProof/>
            <w:webHidden/>
          </w:rPr>
          <w:fldChar w:fldCharType="begin"/>
        </w:r>
        <w:r w:rsidR="004418C3">
          <w:rPr>
            <w:noProof/>
            <w:webHidden/>
          </w:rPr>
          <w:instrText xml:space="preserve"> PAGEREF _Toc377546634 \h </w:instrText>
        </w:r>
        <w:r w:rsidR="004418C3">
          <w:rPr>
            <w:noProof/>
            <w:webHidden/>
          </w:rPr>
        </w:r>
        <w:r w:rsidR="004418C3">
          <w:rPr>
            <w:noProof/>
            <w:webHidden/>
          </w:rPr>
          <w:fldChar w:fldCharType="separate"/>
        </w:r>
        <w:r>
          <w:rPr>
            <w:noProof/>
            <w:webHidden/>
          </w:rPr>
          <w:t>1</w:t>
        </w:r>
        <w:r w:rsidR="004418C3">
          <w:rPr>
            <w:noProof/>
            <w:webHidden/>
          </w:rPr>
          <w:fldChar w:fldCharType="end"/>
        </w:r>
      </w:hyperlink>
    </w:p>
    <w:p w:rsidR="004418C3" w:rsidRDefault="00B4236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7546635" w:history="1">
        <w:r w:rsidR="004418C3" w:rsidRPr="008062D4">
          <w:rPr>
            <w:rStyle w:val="Hyperlink"/>
            <w:noProof/>
          </w:rPr>
          <w:t>1</w:t>
        </w:r>
        <w:r w:rsidR="004418C3">
          <w:rPr>
            <w:rFonts w:asciiTheme="minorHAnsi" w:eastAsiaTheme="minorEastAsia" w:hAnsiTheme="minorHAnsi" w:cstheme="minorBidi"/>
            <w:b w:val="0"/>
            <w:bCs w:val="0"/>
            <w:noProof/>
            <w:sz w:val="22"/>
            <w:szCs w:val="22"/>
            <w:lang w:eastAsia="en-AU"/>
          </w:rPr>
          <w:tab/>
        </w:r>
        <w:r w:rsidR="004418C3" w:rsidRPr="008062D4">
          <w:rPr>
            <w:rStyle w:val="Hyperlink"/>
            <w:noProof/>
          </w:rPr>
          <w:t>Revenue</w:t>
        </w:r>
        <w:r w:rsidR="004418C3">
          <w:rPr>
            <w:noProof/>
            <w:webHidden/>
          </w:rPr>
          <w:tab/>
        </w:r>
        <w:r w:rsidR="004418C3">
          <w:rPr>
            <w:noProof/>
            <w:webHidden/>
          </w:rPr>
          <w:fldChar w:fldCharType="begin"/>
        </w:r>
        <w:r w:rsidR="004418C3">
          <w:rPr>
            <w:noProof/>
            <w:webHidden/>
          </w:rPr>
          <w:instrText xml:space="preserve"> PAGEREF _Toc377546635 \h </w:instrText>
        </w:r>
        <w:r w:rsidR="004418C3">
          <w:rPr>
            <w:noProof/>
            <w:webHidden/>
          </w:rPr>
        </w:r>
        <w:r w:rsidR="004418C3">
          <w:rPr>
            <w:noProof/>
            <w:webHidden/>
          </w:rPr>
          <w:fldChar w:fldCharType="separate"/>
        </w:r>
        <w:r>
          <w:rPr>
            <w:noProof/>
            <w:webHidden/>
          </w:rPr>
          <w:t>3</w:t>
        </w:r>
        <w:r w:rsidR="004418C3">
          <w:rPr>
            <w:noProof/>
            <w:webHidden/>
          </w:rPr>
          <w:fldChar w:fldCharType="end"/>
        </w:r>
      </w:hyperlink>
    </w:p>
    <w:p w:rsidR="004418C3" w:rsidRDefault="00B4236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7546636" w:history="1">
        <w:r w:rsidR="004418C3" w:rsidRPr="008062D4">
          <w:rPr>
            <w:rStyle w:val="Hyperlink"/>
            <w:noProof/>
          </w:rPr>
          <w:t>2</w:t>
        </w:r>
        <w:r w:rsidR="004418C3">
          <w:rPr>
            <w:rFonts w:asciiTheme="minorHAnsi" w:eastAsiaTheme="minorEastAsia" w:hAnsiTheme="minorHAnsi" w:cstheme="minorBidi"/>
            <w:b w:val="0"/>
            <w:bCs w:val="0"/>
            <w:noProof/>
            <w:sz w:val="22"/>
            <w:szCs w:val="22"/>
            <w:lang w:eastAsia="en-AU"/>
          </w:rPr>
          <w:tab/>
        </w:r>
        <w:r w:rsidR="004418C3" w:rsidRPr="008062D4">
          <w:rPr>
            <w:rStyle w:val="Hyperlink"/>
            <w:noProof/>
          </w:rPr>
          <w:t>Negotiating framework</w:t>
        </w:r>
        <w:r w:rsidR="004418C3">
          <w:rPr>
            <w:noProof/>
            <w:webHidden/>
          </w:rPr>
          <w:tab/>
        </w:r>
        <w:r w:rsidR="004418C3">
          <w:rPr>
            <w:noProof/>
            <w:webHidden/>
          </w:rPr>
          <w:fldChar w:fldCharType="begin"/>
        </w:r>
        <w:r w:rsidR="004418C3">
          <w:rPr>
            <w:noProof/>
            <w:webHidden/>
          </w:rPr>
          <w:instrText xml:space="preserve"> PAGEREF _Toc377546636 \h </w:instrText>
        </w:r>
        <w:r w:rsidR="004418C3">
          <w:rPr>
            <w:noProof/>
            <w:webHidden/>
          </w:rPr>
        </w:r>
        <w:r w:rsidR="004418C3">
          <w:rPr>
            <w:noProof/>
            <w:webHidden/>
          </w:rPr>
          <w:fldChar w:fldCharType="separate"/>
        </w:r>
        <w:r>
          <w:rPr>
            <w:noProof/>
            <w:webHidden/>
          </w:rPr>
          <w:t>11</w:t>
        </w:r>
        <w:r w:rsidR="004418C3">
          <w:rPr>
            <w:noProof/>
            <w:webHidden/>
          </w:rPr>
          <w:fldChar w:fldCharType="end"/>
        </w:r>
      </w:hyperlink>
    </w:p>
    <w:p w:rsidR="004418C3" w:rsidRDefault="00B4236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7546637" w:history="1">
        <w:r w:rsidR="004418C3" w:rsidRPr="008062D4">
          <w:rPr>
            <w:rStyle w:val="Hyperlink"/>
            <w:noProof/>
          </w:rPr>
          <w:t>3</w:t>
        </w:r>
        <w:r w:rsidR="004418C3">
          <w:rPr>
            <w:rFonts w:asciiTheme="minorHAnsi" w:eastAsiaTheme="minorEastAsia" w:hAnsiTheme="minorHAnsi" w:cstheme="minorBidi"/>
            <w:b w:val="0"/>
            <w:bCs w:val="0"/>
            <w:noProof/>
            <w:sz w:val="22"/>
            <w:szCs w:val="22"/>
            <w:lang w:eastAsia="en-AU"/>
          </w:rPr>
          <w:tab/>
        </w:r>
        <w:r w:rsidR="004418C3" w:rsidRPr="008062D4">
          <w:rPr>
            <w:rStyle w:val="Hyperlink"/>
            <w:noProof/>
          </w:rPr>
          <w:t>Negotiated transmission service criteria</w:t>
        </w:r>
        <w:r w:rsidR="004418C3">
          <w:rPr>
            <w:noProof/>
            <w:webHidden/>
          </w:rPr>
          <w:tab/>
        </w:r>
        <w:r w:rsidR="004418C3">
          <w:rPr>
            <w:noProof/>
            <w:webHidden/>
          </w:rPr>
          <w:fldChar w:fldCharType="begin"/>
        </w:r>
        <w:r w:rsidR="004418C3">
          <w:rPr>
            <w:noProof/>
            <w:webHidden/>
          </w:rPr>
          <w:instrText xml:space="preserve"> PAGEREF _Toc377546637 \h </w:instrText>
        </w:r>
        <w:r w:rsidR="004418C3">
          <w:rPr>
            <w:noProof/>
            <w:webHidden/>
          </w:rPr>
        </w:r>
        <w:r w:rsidR="004418C3">
          <w:rPr>
            <w:noProof/>
            <w:webHidden/>
          </w:rPr>
          <w:fldChar w:fldCharType="separate"/>
        </w:r>
        <w:r>
          <w:rPr>
            <w:noProof/>
            <w:webHidden/>
          </w:rPr>
          <w:t>20</w:t>
        </w:r>
        <w:r w:rsidR="004418C3">
          <w:rPr>
            <w:noProof/>
            <w:webHidden/>
          </w:rPr>
          <w:fldChar w:fldCharType="end"/>
        </w:r>
      </w:hyperlink>
    </w:p>
    <w:p w:rsidR="004418C3" w:rsidRDefault="00B4236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7546641" w:history="1">
        <w:r w:rsidR="004418C3" w:rsidRPr="008062D4">
          <w:rPr>
            <w:rStyle w:val="Hyperlink"/>
            <w:noProof/>
          </w:rPr>
          <w:t>4</w:t>
        </w:r>
        <w:r w:rsidR="004418C3">
          <w:rPr>
            <w:rFonts w:asciiTheme="minorHAnsi" w:eastAsiaTheme="minorEastAsia" w:hAnsiTheme="minorHAnsi" w:cstheme="minorBidi"/>
            <w:b w:val="0"/>
            <w:bCs w:val="0"/>
            <w:noProof/>
            <w:sz w:val="22"/>
            <w:szCs w:val="22"/>
            <w:lang w:eastAsia="en-AU"/>
          </w:rPr>
          <w:tab/>
        </w:r>
        <w:r w:rsidR="004418C3" w:rsidRPr="008062D4">
          <w:rPr>
            <w:rStyle w:val="Hyperlink"/>
            <w:noProof/>
          </w:rPr>
          <w:t>Pricing methodology</w:t>
        </w:r>
        <w:r w:rsidR="004418C3">
          <w:rPr>
            <w:noProof/>
            <w:webHidden/>
          </w:rPr>
          <w:tab/>
        </w:r>
        <w:r w:rsidR="004418C3">
          <w:rPr>
            <w:noProof/>
            <w:webHidden/>
          </w:rPr>
          <w:fldChar w:fldCharType="begin"/>
        </w:r>
        <w:r w:rsidR="004418C3">
          <w:rPr>
            <w:noProof/>
            <w:webHidden/>
          </w:rPr>
          <w:instrText xml:space="preserve"> PAGEREF _Toc377546641 \h </w:instrText>
        </w:r>
        <w:r w:rsidR="004418C3">
          <w:rPr>
            <w:noProof/>
            <w:webHidden/>
          </w:rPr>
        </w:r>
        <w:r w:rsidR="004418C3">
          <w:rPr>
            <w:noProof/>
            <w:webHidden/>
          </w:rPr>
          <w:fldChar w:fldCharType="separate"/>
        </w:r>
        <w:r>
          <w:rPr>
            <w:noProof/>
            <w:webHidden/>
          </w:rPr>
          <w:t>22</w:t>
        </w:r>
        <w:r w:rsidR="004418C3">
          <w:rPr>
            <w:noProof/>
            <w:webHidden/>
          </w:rPr>
          <w:fldChar w:fldCharType="end"/>
        </w:r>
      </w:hyperlink>
    </w:p>
    <w:p w:rsidR="00AF3E95" w:rsidRPr="00AF3E95" w:rsidRDefault="00824CC8" w:rsidP="00DF16C2">
      <w:pPr>
        <w:pStyle w:val="TOC1"/>
      </w:pPr>
      <w:r w:rsidRPr="00AC1B94">
        <w:fldChar w:fldCharType="end"/>
      </w:r>
    </w:p>
    <w:p w:rsidR="009658F0" w:rsidRDefault="00CA2AE8" w:rsidP="00F97CD9">
      <w:pPr>
        <w:pStyle w:val="UnnumberedHeading"/>
        <w:numPr>
          <w:ilvl w:val="0"/>
          <w:numId w:val="2"/>
        </w:numPr>
      </w:pPr>
      <w:bookmarkStart w:id="4" w:name="_Toc377546633"/>
      <w:r>
        <w:lastRenderedPageBreak/>
        <w:t>Shortened forms</w:t>
      </w:r>
      <w:bookmarkEnd w:id="4"/>
    </w:p>
    <w:tbl>
      <w:tblPr>
        <w:tblStyle w:val="AERtable-text"/>
        <w:tblpPr w:leftFromText="180" w:rightFromText="180" w:vertAnchor="text" w:tblpY="1"/>
        <w:tblW w:w="0" w:type="auto"/>
        <w:tblLook w:val="01E0" w:firstRow="1" w:lastRow="1" w:firstColumn="1" w:lastColumn="1" w:noHBand="0" w:noVBand="0"/>
      </w:tblPr>
      <w:tblGrid>
        <w:gridCol w:w="2802"/>
        <w:gridCol w:w="5726"/>
      </w:tblGrid>
      <w:tr w:rsidR="00CA2AE8" w:rsidRPr="00CA2AE8" w:rsidTr="00CA2AE8">
        <w:trPr>
          <w:cnfStyle w:val="100000000000" w:firstRow="1" w:lastRow="0" w:firstColumn="0" w:lastColumn="0" w:oddVBand="0" w:evenVBand="0" w:oddHBand="0" w:evenHBand="0"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Shortened form</w:t>
            </w:r>
          </w:p>
        </w:tc>
        <w:tc>
          <w:tcPr>
            <w:tcW w:w="5726" w:type="dxa"/>
            <w:noWrap/>
          </w:tcPr>
          <w:p w:rsidR="00CA2AE8" w:rsidRPr="00CA2AE8" w:rsidRDefault="00CA2AE8" w:rsidP="00CA2AE8">
            <w:pPr>
              <w:numPr>
                <w:ilvl w:val="0"/>
                <w:numId w:val="13"/>
              </w:numPr>
            </w:pPr>
            <w:r w:rsidRPr="00CA2AE8">
              <w:t>Extended form</w:t>
            </w:r>
          </w:p>
        </w:tc>
      </w:tr>
      <w:tr w:rsidR="00CA2AE8" w:rsidRPr="00CA2AE8" w:rsidTr="00CA2AE8">
        <w:tc>
          <w:tcPr>
            <w:tcW w:w="2802" w:type="dxa"/>
            <w:noWrap/>
          </w:tcPr>
          <w:p w:rsidR="00CA2AE8" w:rsidRPr="00CA2AE8" w:rsidRDefault="00CA2AE8" w:rsidP="00CA2AE8">
            <w:pPr>
              <w:numPr>
                <w:ilvl w:val="0"/>
                <w:numId w:val="13"/>
              </w:numPr>
            </w:pPr>
            <w:r w:rsidRPr="00CA2AE8">
              <w:t>AER</w:t>
            </w:r>
          </w:p>
        </w:tc>
        <w:tc>
          <w:tcPr>
            <w:tcW w:w="5726" w:type="dxa"/>
            <w:noWrap/>
          </w:tcPr>
          <w:p w:rsidR="00CA2AE8" w:rsidRPr="00CA2AE8" w:rsidRDefault="00CA2AE8" w:rsidP="00CA2AE8">
            <w:pPr>
              <w:numPr>
                <w:ilvl w:val="0"/>
                <w:numId w:val="13"/>
              </w:numPr>
            </w:pPr>
            <w:r w:rsidRPr="00CA2AE8">
              <w:t>Australian Energy Regulator</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proofErr w:type="spellStart"/>
            <w:r w:rsidRPr="00CA2AE8">
              <w:t>capex</w:t>
            </w:r>
            <w:proofErr w:type="spellEnd"/>
          </w:p>
        </w:tc>
        <w:tc>
          <w:tcPr>
            <w:tcW w:w="5726" w:type="dxa"/>
            <w:noWrap/>
          </w:tcPr>
          <w:p w:rsidR="00CA2AE8" w:rsidRPr="00CA2AE8" w:rsidRDefault="00CA2AE8" w:rsidP="00CA2AE8">
            <w:pPr>
              <w:numPr>
                <w:ilvl w:val="0"/>
                <w:numId w:val="13"/>
              </w:numPr>
            </w:pPr>
            <w:r w:rsidRPr="00CA2AE8">
              <w:t>capital expenditure</w:t>
            </w:r>
          </w:p>
        </w:tc>
      </w:tr>
      <w:tr w:rsidR="00CA2AE8" w:rsidRPr="00CA2AE8" w:rsidTr="00CA2AE8">
        <w:tc>
          <w:tcPr>
            <w:tcW w:w="2802" w:type="dxa"/>
            <w:noWrap/>
          </w:tcPr>
          <w:p w:rsidR="00CA2AE8" w:rsidRPr="00CA2AE8" w:rsidRDefault="00CA2AE8" w:rsidP="00CA2AE8">
            <w:pPr>
              <w:numPr>
                <w:ilvl w:val="0"/>
                <w:numId w:val="13"/>
              </w:numPr>
            </w:pPr>
            <w:r w:rsidRPr="00CA2AE8">
              <w:t>CPI</w:t>
            </w:r>
          </w:p>
        </w:tc>
        <w:tc>
          <w:tcPr>
            <w:tcW w:w="5726" w:type="dxa"/>
            <w:noWrap/>
          </w:tcPr>
          <w:p w:rsidR="00CA2AE8" w:rsidRPr="00CA2AE8" w:rsidRDefault="00CA2AE8" w:rsidP="00CA2AE8">
            <w:pPr>
              <w:numPr>
                <w:ilvl w:val="0"/>
                <w:numId w:val="13"/>
              </w:numPr>
            </w:pPr>
            <w:r w:rsidRPr="00CA2AE8">
              <w:t>consumer price index</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DRP</w:t>
            </w:r>
          </w:p>
        </w:tc>
        <w:tc>
          <w:tcPr>
            <w:tcW w:w="5726" w:type="dxa"/>
            <w:noWrap/>
          </w:tcPr>
          <w:p w:rsidR="00CA2AE8" w:rsidRPr="00CA2AE8" w:rsidRDefault="00CA2AE8" w:rsidP="00CA2AE8">
            <w:pPr>
              <w:numPr>
                <w:ilvl w:val="0"/>
                <w:numId w:val="13"/>
              </w:numPr>
            </w:pPr>
            <w:r w:rsidRPr="00CA2AE8">
              <w:t>debt risk premium</w:t>
            </w:r>
          </w:p>
        </w:tc>
      </w:tr>
      <w:tr w:rsidR="00CA2AE8" w:rsidRPr="00CA2AE8" w:rsidTr="00CA2AE8">
        <w:tc>
          <w:tcPr>
            <w:tcW w:w="2802" w:type="dxa"/>
            <w:noWrap/>
          </w:tcPr>
          <w:p w:rsidR="00CA2AE8" w:rsidRPr="00CA2AE8" w:rsidRDefault="00CA2AE8" w:rsidP="00CA2AE8">
            <w:pPr>
              <w:numPr>
                <w:ilvl w:val="0"/>
                <w:numId w:val="13"/>
              </w:numPr>
            </w:pPr>
            <w:r w:rsidRPr="00CA2AE8">
              <w:t>EBSS</w:t>
            </w:r>
          </w:p>
        </w:tc>
        <w:tc>
          <w:tcPr>
            <w:tcW w:w="5726" w:type="dxa"/>
            <w:noWrap/>
          </w:tcPr>
          <w:p w:rsidR="00CA2AE8" w:rsidRPr="00CA2AE8" w:rsidRDefault="00CA2AE8" w:rsidP="00CA2AE8">
            <w:pPr>
              <w:numPr>
                <w:ilvl w:val="0"/>
                <w:numId w:val="13"/>
              </w:numPr>
            </w:pPr>
            <w:r w:rsidRPr="00CA2AE8">
              <w:t>efficiency benefit sharing scheme</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MAR</w:t>
            </w:r>
          </w:p>
        </w:tc>
        <w:tc>
          <w:tcPr>
            <w:tcW w:w="5726" w:type="dxa"/>
            <w:noWrap/>
          </w:tcPr>
          <w:p w:rsidR="00CA2AE8" w:rsidRPr="00CA2AE8" w:rsidRDefault="00CA2AE8" w:rsidP="00CA2AE8">
            <w:pPr>
              <w:numPr>
                <w:ilvl w:val="0"/>
                <w:numId w:val="13"/>
              </w:numPr>
            </w:pPr>
            <w:r w:rsidRPr="00CA2AE8">
              <w:t>maximum allowed revenue</w:t>
            </w:r>
          </w:p>
        </w:tc>
      </w:tr>
      <w:tr w:rsidR="00CA2AE8" w:rsidRPr="00CA2AE8" w:rsidTr="00CA2AE8">
        <w:tc>
          <w:tcPr>
            <w:tcW w:w="2802" w:type="dxa"/>
            <w:noWrap/>
          </w:tcPr>
          <w:p w:rsidR="00CA2AE8" w:rsidRPr="00CA2AE8" w:rsidRDefault="00CA2AE8" w:rsidP="00CA2AE8">
            <w:pPr>
              <w:numPr>
                <w:ilvl w:val="0"/>
                <w:numId w:val="13"/>
              </w:numPr>
            </w:pPr>
            <w:r w:rsidRPr="00CA2AE8">
              <w:t>MRP</w:t>
            </w:r>
          </w:p>
        </w:tc>
        <w:tc>
          <w:tcPr>
            <w:tcW w:w="5726" w:type="dxa"/>
            <w:noWrap/>
          </w:tcPr>
          <w:p w:rsidR="00CA2AE8" w:rsidRPr="00CA2AE8" w:rsidRDefault="00CA2AE8" w:rsidP="00CA2AE8">
            <w:pPr>
              <w:numPr>
                <w:ilvl w:val="0"/>
                <w:numId w:val="13"/>
              </w:numPr>
            </w:pPr>
            <w:r w:rsidRPr="00CA2AE8">
              <w:t>market risk premium</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NER</w:t>
            </w:r>
          </w:p>
        </w:tc>
        <w:tc>
          <w:tcPr>
            <w:tcW w:w="5726" w:type="dxa"/>
            <w:noWrap/>
          </w:tcPr>
          <w:p w:rsidR="00CA2AE8" w:rsidRPr="00CA2AE8" w:rsidRDefault="00CA2AE8" w:rsidP="00CA2AE8">
            <w:pPr>
              <w:numPr>
                <w:ilvl w:val="0"/>
                <w:numId w:val="13"/>
              </w:numPr>
            </w:pPr>
            <w:r w:rsidRPr="00CA2AE8">
              <w:t>National Electricity Rules</w:t>
            </w:r>
          </w:p>
        </w:tc>
      </w:tr>
      <w:tr w:rsidR="00CA2AE8" w:rsidRPr="00CA2AE8" w:rsidTr="00CA2AE8">
        <w:tc>
          <w:tcPr>
            <w:tcW w:w="2802" w:type="dxa"/>
            <w:noWrap/>
          </w:tcPr>
          <w:p w:rsidR="00CA2AE8" w:rsidRPr="00CA2AE8" w:rsidRDefault="00CA2AE8" w:rsidP="00CA2AE8">
            <w:pPr>
              <w:numPr>
                <w:ilvl w:val="0"/>
                <w:numId w:val="13"/>
              </w:numPr>
            </w:pPr>
            <w:r w:rsidRPr="00CA2AE8">
              <w:t>NTSC</w:t>
            </w:r>
          </w:p>
        </w:tc>
        <w:tc>
          <w:tcPr>
            <w:tcW w:w="5726" w:type="dxa"/>
            <w:noWrap/>
          </w:tcPr>
          <w:p w:rsidR="00CA2AE8" w:rsidRPr="00CA2AE8" w:rsidRDefault="00CA2AE8" w:rsidP="00CA2AE8">
            <w:pPr>
              <w:numPr>
                <w:ilvl w:val="0"/>
                <w:numId w:val="13"/>
              </w:numPr>
            </w:pPr>
            <w:r w:rsidRPr="00CA2AE8">
              <w:t>negotiated transmission service criteria</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proofErr w:type="spellStart"/>
            <w:r w:rsidRPr="00CA2AE8">
              <w:t>opex</w:t>
            </w:r>
            <w:proofErr w:type="spellEnd"/>
          </w:p>
        </w:tc>
        <w:tc>
          <w:tcPr>
            <w:tcW w:w="5726" w:type="dxa"/>
            <w:noWrap/>
          </w:tcPr>
          <w:p w:rsidR="00CA2AE8" w:rsidRPr="00CA2AE8" w:rsidRDefault="00CA2AE8" w:rsidP="00CA2AE8">
            <w:pPr>
              <w:numPr>
                <w:ilvl w:val="0"/>
                <w:numId w:val="13"/>
              </w:numPr>
            </w:pPr>
            <w:r w:rsidRPr="00CA2AE8">
              <w:t>operating expenditure</w:t>
            </w:r>
          </w:p>
        </w:tc>
      </w:tr>
      <w:tr w:rsidR="00CA2AE8" w:rsidRPr="00CA2AE8" w:rsidTr="00CA2AE8">
        <w:tc>
          <w:tcPr>
            <w:tcW w:w="2802" w:type="dxa"/>
            <w:noWrap/>
          </w:tcPr>
          <w:p w:rsidR="00CA2AE8" w:rsidRPr="00CA2AE8" w:rsidRDefault="00CA2AE8" w:rsidP="00CA2AE8">
            <w:pPr>
              <w:numPr>
                <w:ilvl w:val="0"/>
                <w:numId w:val="13"/>
              </w:numPr>
            </w:pPr>
            <w:r w:rsidRPr="00CA2AE8">
              <w:t>PTRM</w:t>
            </w:r>
          </w:p>
        </w:tc>
        <w:tc>
          <w:tcPr>
            <w:tcW w:w="5726" w:type="dxa"/>
            <w:noWrap/>
          </w:tcPr>
          <w:p w:rsidR="00CA2AE8" w:rsidRPr="00CA2AE8" w:rsidRDefault="00CA2AE8" w:rsidP="00CA2AE8">
            <w:pPr>
              <w:numPr>
                <w:ilvl w:val="0"/>
                <w:numId w:val="13"/>
              </w:numPr>
            </w:pPr>
            <w:r w:rsidRPr="00CA2AE8">
              <w:t>post tax revenue model</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RAB</w:t>
            </w:r>
          </w:p>
        </w:tc>
        <w:tc>
          <w:tcPr>
            <w:tcW w:w="5726" w:type="dxa"/>
            <w:noWrap/>
          </w:tcPr>
          <w:p w:rsidR="00CA2AE8" w:rsidRPr="00CA2AE8" w:rsidRDefault="00CA2AE8" w:rsidP="00CA2AE8">
            <w:pPr>
              <w:numPr>
                <w:ilvl w:val="0"/>
                <w:numId w:val="13"/>
              </w:numPr>
            </w:pPr>
            <w:r w:rsidRPr="00CA2AE8">
              <w:t>regulatory asset base</w:t>
            </w:r>
          </w:p>
        </w:tc>
      </w:tr>
      <w:tr w:rsidR="00CA2AE8" w:rsidRPr="00CA2AE8" w:rsidTr="00CA2AE8">
        <w:tc>
          <w:tcPr>
            <w:tcW w:w="2802" w:type="dxa"/>
            <w:noWrap/>
          </w:tcPr>
          <w:p w:rsidR="00CA2AE8" w:rsidRPr="00CA2AE8" w:rsidRDefault="00CA2AE8" w:rsidP="00CA2AE8">
            <w:pPr>
              <w:numPr>
                <w:ilvl w:val="0"/>
                <w:numId w:val="13"/>
              </w:numPr>
            </w:pPr>
            <w:r w:rsidRPr="00CA2AE8">
              <w:t>STPIS</w:t>
            </w:r>
          </w:p>
        </w:tc>
        <w:tc>
          <w:tcPr>
            <w:tcW w:w="5726" w:type="dxa"/>
            <w:noWrap/>
          </w:tcPr>
          <w:p w:rsidR="00CA2AE8" w:rsidRPr="00CA2AE8" w:rsidRDefault="00CA2AE8" w:rsidP="00CA2AE8">
            <w:pPr>
              <w:numPr>
                <w:ilvl w:val="0"/>
                <w:numId w:val="13"/>
              </w:numPr>
            </w:pPr>
            <w:r w:rsidRPr="00CA2AE8">
              <w:t>service target performance incentive scheme</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TNSP</w:t>
            </w:r>
          </w:p>
        </w:tc>
        <w:tc>
          <w:tcPr>
            <w:tcW w:w="5726" w:type="dxa"/>
            <w:noWrap/>
          </w:tcPr>
          <w:p w:rsidR="00CA2AE8" w:rsidRPr="00CA2AE8" w:rsidRDefault="00CA2AE8" w:rsidP="00CA2AE8">
            <w:pPr>
              <w:numPr>
                <w:ilvl w:val="0"/>
                <w:numId w:val="13"/>
              </w:numPr>
            </w:pPr>
            <w:r w:rsidRPr="00CA2AE8">
              <w:t>transmission network service provider</w:t>
            </w:r>
          </w:p>
        </w:tc>
      </w:tr>
      <w:tr w:rsidR="00CA2AE8" w:rsidRPr="00CA2AE8" w:rsidTr="00CA2AE8">
        <w:tc>
          <w:tcPr>
            <w:tcW w:w="2802" w:type="dxa"/>
            <w:noWrap/>
          </w:tcPr>
          <w:p w:rsidR="00CA2AE8" w:rsidRPr="00CA2AE8" w:rsidRDefault="00CA2AE8" w:rsidP="00CA2AE8">
            <w:pPr>
              <w:numPr>
                <w:ilvl w:val="0"/>
                <w:numId w:val="13"/>
              </w:numPr>
            </w:pPr>
            <w:r w:rsidRPr="00CA2AE8">
              <w:t>WACC</w:t>
            </w:r>
          </w:p>
        </w:tc>
        <w:tc>
          <w:tcPr>
            <w:tcW w:w="5726" w:type="dxa"/>
            <w:noWrap/>
          </w:tcPr>
          <w:p w:rsidR="00CA2AE8" w:rsidRPr="00CA2AE8" w:rsidRDefault="00CA2AE8" w:rsidP="00CA2AE8">
            <w:pPr>
              <w:numPr>
                <w:ilvl w:val="0"/>
                <w:numId w:val="13"/>
              </w:numPr>
            </w:pPr>
            <w:r w:rsidRPr="00CA2AE8">
              <w:t>weighted average cost of capital</w:t>
            </w:r>
          </w:p>
        </w:tc>
      </w:tr>
    </w:tbl>
    <w:p w:rsidR="009F7CE4" w:rsidRDefault="009F7CE4"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B925C9" w:rsidRDefault="00B925C9" w:rsidP="00CA2AE8">
      <w:pPr>
        <w:pStyle w:val="UnnumberedHeading"/>
        <w:sectPr w:rsidR="00B925C9" w:rsidSect="00B925C9">
          <w:pgSz w:w="11906" w:h="16838" w:code="9"/>
          <w:pgMar w:top="1440" w:right="1440" w:bottom="1440" w:left="1440" w:header="709" w:footer="709" w:gutter="0"/>
          <w:pgNumType w:fmt="lowerRoman" w:start="1"/>
          <w:cols w:space="708"/>
          <w:docGrid w:linePitch="360"/>
        </w:sectPr>
      </w:pPr>
      <w:bookmarkStart w:id="5" w:name="_Toc377546634"/>
    </w:p>
    <w:p w:rsidR="00CA2AE8" w:rsidRDefault="00CA2AE8" w:rsidP="00CA2AE8">
      <w:pPr>
        <w:pStyle w:val="UnnumberedHeading"/>
      </w:pPr>
      <w:r>
        <w:lastRenderedPageBreak/>
        <w:t>Summary</w:t>
      </w:r>
      <w:bookmarkEnd w:id="5"/>
    </w:p>
    <w:p w:rsidR="00CA2AE8" w:rsidRPr="00CA2AE8" w:rsidRDefault="00CA2AE8" w:rsidP="00CA2AE8">
      <w:r w:rsidRPr="00CA2AE8">
        <w:t xml:space="preserve">Clause 6A.13.4 of the National Electricity Rules (NER) requires the Australian Energy Regulator (AER) to make a transmission determination in relation to its final decision for </w:t>
      </w:r>
      <w:r>
        <w:t xml:space="preserve">SP </w:t>
      </w:r>
      <w:proofErr w:type="spellStart"/>
      <w:r>
        <w:t>AusNet</w:t>
      </w:r>
      <w:proofErr w:type="spellEnd"/>
      <w:r w:rsidRPr="00CA2AE8">
        <w:t>. In accordance with clause 6A.2.2 of the NER, this transmission determination consists of:</w:t>
      </w:r>
    </w:p>
    <w:p w:rsidR="00CA2AE8" w:rsidRDefault="00CA2AE8" w:rsidP="00CA2AE8">
      <w:pPr>
        <w:pStyle w:val="AERbulletlistfirststyle"/>
      </w:pPr>
      <w:r w:rsidRPr="00CA2AE8">
        <w:t xml:space="preserve">a revenue determination for </w:t>
      </w:r>
      <w:r>
        <w:t xml:space="preserve">SP </w:t>
      </w:r>
      <w:proofErr w:type="spellStart"/>
      <w:r>
        <w:t>AusNet</w:t>
      </w:r>
      <w:proofErr w:type="spellEnd"/>
      <w:r w:rsidRPr="00CA2AE8">
        <w:t xml:space="preserve"> in respect of the provision of prescribed transmission services</w:t>
      </w:r>
    </w:p>
    <w:p w:rsidR="00CA2AE8" w:rsidRDefault="00CA2AE8" w:rsidP="00CA2AE8">
      <w:pPr>
        <w:pStyle w:val="AERbulletlistfirststyle"/>
      </w:pPr>
      <w:r w:rsidRPr="00CA2AE8">
        <w:t xml:space="preserve">a determination relating to </w:t>
      </w:r>
      <w:r>
        <w:t xml:space="preserve">SP </w:t>
      </w:r>
      <w:proofErr w:type="spellStart"/>
      <w:r>
        <w:t>AusNet</w:t>
      </w:r>
      <w:r w:rsidRPr="00CA2AE8">
        <w:t>’s</w:t>
      </w:r>
      <w:proofErr w:type="spellEnd"/>
      <w:r w:rsidRPr="00CA2AE8">
        <w:t xml:space="preserve"> negotiating framework</w:t>
      </w:r>
    </w:p>
    <w:p w:rsidR="00CA2AE8" w:rsidRDefault="00CA2AE8" w:rsidP="00CA2AE8">
      <w:pPr>
        <w:pStyle w:val="AERbulletlistfirststyle"/>
      </w:pPr>
      <w:r w:rsidRPr="00CA2AE8">
        <w:t>a determination that specifies the negotiated transmission service criteria that apply to</w:t>
      </w:r>
      <w:r>
        <w:t xml:space="preserve"> SP </w:t>
      </w:r>
      <w:proofErr w:type="spellStart"/>
      <w:r>
        <w:t>AusNet</w:t>
      </w:r>
      <w:proofErr w:type="spellEnd"/>
    </w:p>
    <w:p w:rsidR="00CA2AE8" w:rsidRPr="00CA2AE8" w:rsidRDefault="00CA2AE8" w:rsidP="00CA2AE8">
      <w:pPr>
        <w:pStyle w:val="AERbulletlistfirststyle"/>
      </w:pPr>
      <w:proofErr w:type="gramStart"/>
      <w:r w:rsidRPr="00CA2AE8">
        <w:t>a</w:t>
      </w:r>
      <w:proofErr w:type="gramEnd"/>
      <w:r w:rsidRPr="00CA2AE8">
        <w:t xml:space="preserve"> determination that specifies the pricing methodology that applies to </w:t>
      </w:r>
      <w:r>
        <w:t xml:space="preserve">SP </w:t>
      </w:r>
      <w:proofErr w:type="spellStart"/>
      <w:r>
        <w:t>AusNet</w:t>
      </w:r>
      <w:proofErr w:type="spellEnd"/>
      <w:r w:rsidRPr="00CA2AE8">
        <w:t>.</w:t>
      </w:r>
    </w:p>
    <w:p w:rsidR="00CA2AE8" w:rsidRPr="00CA2AE8" w:rsidRDefault="00CA2AE8" w:rsidP="00CA2AE8">
      <w:pPr>
        <w:pStyle w:val="HeadingBoldBlue"/>
      </w:pPr>
      <w:r w:rsidRPr="00CA2AE8">
        <w:t>Revenue determination</w:t>
      </w:r>
    </w:p>
    <w:p w:rsidR="00CA2AE8" w:rsidRPr="00CA2AE8" w:rsidRDefault="00CA2AE8" w:rsidP="00CA2AE8">
      <w:r w:rsidRPr="00CA2AE8">
        <w:t xml:space="preserve">In accordance with clause </w:t>
      </w:r>
      <w:proofErr w:type="gramStart"/>
      <w:r w:rsidRPr="00CA2AE8">
        <w:t>6A.4.2(</w:t>
      </w:r>
      <w:proofErr w:type="gramEnd"/>
      <w:r w:rsidRPr="00CA2AE8">
        <w:t xml:space="preserve">a) of the NER, the AER has determined a revenue determination specifying the following matters applicable to </w:t>
      </w:r>
      <w:r>
        <w:t xml:space="preserve">SP </w:t>
      </w:r>
      <w:proofErr w:type="spellStart"/>
      <w:r>
        <w:t>AusNet</w:t>
      </w:r>
      <w:proofErr w:type="spellEnd"/>
      <w:r w:rsidRPr="00CA2AE8">
        <w:t xml:space="preserve"> for the </w:t>
      </w:r>
      <w:r>
        <w:t>2014–17</w:t>
      </w:r>
      <w:r w:rsidRPr="00CA2AE8">
        <w:t xml:space="preserve"> regulatory control period:</w:t>
      </w:r>
    </w:p>
    <w:p w:rsidR="00CA2AE8" w:rsidRDefault="00CA2AE8" w:rsidP="00CA2AE8">
      <w:pPr>
        <w:pStyle w:val="AERbulletlistfirststyle"/>
      </w:pPr>
      <w:r w:rsidRPr="00CA2AE8">
        <w:t>the method for calculating the total revenue cap and the amount of the estimated total revenue cap</w:t>
      </w:r>
    </w:p>
    <w:p w:rsidR="00CA2AE8" w:rsidRDefault="00CA2AE8" w:rsidP="00CA2AE8">
      <w:pPr>
        <w:pStyle w:val="AERbulletlistfirststyle"/>
      </w:pPr>
      <w:r w:rsidRPr="00CA2AE8">
        <w:t>annual building block revenue requirement for each regulatory year of the regulatory control period</w:t>
      </w:r>
    </w:p>
    <w:p w:rsidR="00CA2AE8" w:rsidRDefault="00CA2AE8" w:rsidP="00CA2AE8">
      <w:pPr>
        <w:pStyle w:val="AERbulletlistfirststyle"/>
      </w:pPr>
      <w:r w:rsidRPr="00CA2AE8">
        <w:t>the method of calculating the maximum allowed revenue (MAR) for each regulatory year of the regulatory control period</w:t>
      </w:r>
    </w:p>
    <w:p w:rsidR="00CA2AE8" w:rsidRDefault="00CA2AE8" w:rsidP="00CA2AE8">
      <w:pPr>
        <w:pStyle w:val="AERbulletlistfirststyle"/>
      </w:pPr>
      <w:r w:rsidRPr="00CA2AE8">
        <w:t>the method for indexation of the regulatory asset base (RAB)</w:t>
      </w:r>
    </w:p>
    <w:p w:rsidR="00CA2AE8" w:rsidRDefault="00CA2AE8" w:rsidP="00CA2AE8">
      <w:pPr>
        <w:pStyle w:val="AERbulletlistfirststyle"/>
      </w:pPr>
      <w:r w:rsidRPr="00CA2AE8">
        <w:t>performance incentive scheme parameter values</w:t>
      </w:r>
    </w:p>
    <w:p w:rsidR="00CA2AE8" w:rsidRDefault="00CA2AE8" w:rsidP="00CA2AE8">
      <w:pPr>
        <w:pStyle w:val="AERbulletlistfirststyle"/>
      </w:pPr>
      <w:r w:rsidRPr="00CA2AE8">
        <w:t>efficiency benefit sharing scheme parameter values</w:t>
      </w:r>
    </w:p>
    <w:p w:rsidR="00CA2AE8" w:rsidRDefault="00CA2AE8" w:rsidP="00CA2AE8">
      <w:pPr>
        <w:pStyle w:val="AERbulletlistfirststyle"/>
      </w:pPr>
      <w:r w:rsidRPr="00CA2AE8">
        <w:t>commencement and length of regulatory control period</w:t>
      </w:r>
    </w:p>
    <w:p w:rsidR="00CA2AE8" w:rsidRPr="00CA2AE8" w:rsidRDefault="00CA2AE8" w:rsidP="00CA2AE8">
      <w:pPr>
        <w:pStyle w:val="AERbulletlistfirststyle"/>
      </w:pPr>
      <w:proofErr w:type="gramStart"/>
      <w:r w:rsidRPr="00CA2AE8">
        <w:t>other</w:t>
      </w:r>
      <w:proofErr w:type="gramEnd"/>
      <w:r w:rsidRPr="00CA2AE8">
        <w:t xml:space="preserve"> amounts, values and inputs used by the AER.</w:t>
      </w:r>
    </w:p>
    <w:p w:rsidR="00CA2AE8" w:rsidRPr="00CA2AE8" w:rsidRDefault="00CA2AE8" w:rsidP="00CA2AE8">
      <w:pPr>
        <w:pStyle w:val="HeadingBoldBlue"/>
      </w:pPr>
      <w:r w:rsidRPr="00CA2AE8">
        <w:t>Negotiating framework</w:t>
      </w:r>
    </w:p>
    <w:p w:rsidR="00CA2AE8" w:rsidRPr="00CA2AE8" w:rsidRDefault="00CA2AE8" w:rsidP="00CA2AE8">
      <w:r w:rsidRPr="00CA2AE8">
        <w:t>The NER requires certain transmission services (negotiated transmission services) to be provided on terms and conditions of access that are negotiated between the transmission network service provider (TNSP) and the service applicant.</w:t>
      </w:r>
      <w:r>
        <w:rPr>
          <w:rStyle w:val="FootnoteReference"/>
        </w:rPr>
        <w:footnoteReference w:id="1"/>
      </w:r>
      <w:r w:rsidRPr="00CA2AE8">
        <w:t xml:space="preserve"> Each TNSP is required to prepare a negotiating framework, which sets out the procedure to be followed during negotiations. The negotiating framework must comply with and be consistent with:</w:t>
      </w:r>
    </w:p>
    <w:p w:rsidR="00CA2AE8" w:rsidRPr="00CA2AE8" w:rsidRDefault="00CA2AE8" w:rsidP="00CA2AE8">
      <w:pPr>
        <w:pStyle w:val="AERbulletlistfirststyle"/>
      </w:pPr>
      <w:r w:rsidRPr="00CA2AE8">
        <w:t>the applicable requirements of a transmission determination applying to the provider</w:t>
      </w:r>
    </w:p>
    <w:p w:rsidR="00CA2AE8" w:rsidRPr="00CA2AE8" w:rsidRDefault="00CA2AE8" w:rsidP="00CA2AE8">
      <w:pPr>
        <w:pStyle w:val="AERbulletlistfirststyle"/>
      </w:pPr>
      <w:proofErr w:type="gramStart"/>
      <w:r w:rsidRPr="00CA2AE8">
        <w:t>the</w:t>
      </w:r>
      <w:proofErr w:type="gramEnd"/>
      <w:r w:rsidRPr="00CA2AE8">
        <w:t xml:space="preserve"> minimum requirements for a negotiating framework, which are set out in clause 6A.9.5(c).</w:t>
      </w:r>
    </w:p>
    <w:p w:rsidR="00CA2AE8" w:rsidRPr="00CA2AE8" w:rsidRDefault="00CA2AE8" w:rsidP="00CA2AE8">
      <w:r w:rsidRPr="00CA2AE8">
        <w:t xml:space="preserve">The document at part 2 of this transmission determination is the negotiating framework that the AER has determined will apply to </w:t>
      </w:r>
      <w:r>
        <w:t xml:space="preserve">SP </w:t>
      </w:r>
      <w:proofErr w:type="spellStart"/>
      <w:r>
        <w:t>AusNet</w:t>
      </w:r>
      <w:proofErr w:type="spellEnd"/>
      <w:r w:rsidRPr="00CA2AE8">
        <w:t xml:space="preserve"> for the </w:t>
      </w:r>
      <w:r>
        <w:t>2014–17</w:t>
      </w:r>
      <w:r w:rsidRPr="00CA2AE8">
        <w:t xml:space="preserve"> regulatory control </w:t>
      </w:r>
      <w:proofErr w:type="gramStart"/>
      <w:r w:rsidRPr="00CA2AE8">
        <w:t>period</w:t>
      </w:r>
      <w:proofErr w:type="gramEnd"/>
      <w:r w:rsidRPr="00CA2AE8">
        <w:t>.</w:t>
      </w:r>
    </w:p>
    <w:p w:rsidR="00CA2AE8" w:rsidRPr="00CA2AE8" w:rsidRDefault="00CA2AE8" w:rsidP="00CA2AE8">
      <w:r>
        <w:lastRenderedPageBreak/>
        <w:t xml:space="preserve">SP </w:t>
      </w:r>
      <w:proofErr w:type="spellStart"/>
      <w:r>
        <w:t>AusNet</w:t>
      </w:r>
      <w:proofErr w:type="spellEnd"/>
      <w:r w:rsidRPr="00CA2AE8">
        <w:t xml:space="preserve"> may seek to amend or replace its negotiating framework at the time it submits its revenue proposal for the regulatory </w:t>
      </w:r>
      <w:r w:rsidR="004418C3">
        <w:t>control period commencing 1 April 2017</w:t>
      </w:r>
      <w:r w:rsidRPr="00CA2AE8">
        <w:t>, by submitting a new proposed negotiating framework in accordance with the NER as in force at that time.</w:t>
      </w:r>
    </w:p>
    <w:p w:rsidR="00CA2AE8" w:rsidRPr="00CA2AE8" w:rsidRDefault="00CA2AE8" w:rsidP="00CA2AE8">
      <w:pPr>
        <w:pStyle w:val="HeadingBoldBlue"/>
      </w:pPr>
      <w:r w:rsidRPr="00CA2AE8">
        <w:t>Negotiated transmission service criteria</w:t>
      </w:r>
    </w:p>
    <w:p w:rsidR="00CA2AE8" w:rsidRPr="00CA2AE8" w:rsidRDefault="00CA2AE8" w:rsidP="00CA2AE8">
      <w:r w:rsidRPr="00CA2AE8">
        <w:t>Clause 6A.9.4 requires the AER to set out the criteria that apply to a TNSP in negotiating the provision of negotiated transmission services, specifically:</w:t>
      </w:r>
    </w:p>
    <w:p w:rsidR="00CA2AE8" w:rsidRDefault="00CA2AE8" w:rsidP="00CA2AE8">
      <w:pPr>
        <w:pStyle w:val="AERbulletlistfirststyle"/>
      </w:pPr>
      <w:r w:rsidRPr="00CA2AE8">
        <w:t>the terms and conditions of access for negotiated transmission services, including the prices that are to be charged</w:t>
      </w:r>
    </w:p>
    <w:p w:rsidR="00CA2AE8" w:rsidRPr="00CA2AE8" w:rsidRDefault="00CA2AE8" w:rsidP="00CA2AE8">
      <w:pPr>
        <w:pStyle w:val="AERbulletlistfirststyle"/>
      </w:pPr>
      <w:proofErr w:type="gramStart"/>
      <w:r w:rsidRPr="00CA2AE8">
        <w:t>access</w:t>
      </w:r>
      <w:proofErr w:type="gramEnd"/>
      <w:r w:rsidRPr="00CA2AE8">
        <w:t xml:space="preserve"> charges that are negotiated by the provider during that regulatory control period.</w:t>
      </w:r>
    </w:p>
    <w:p w:rsidR="00CA2AE8" w:rsidRPr="00CA2AE8" w:rsidRDefault="00CA2AE8" w:rsidP="00CA2AE8">
      <w:r w:rsidRPr="00CA2AE8">
        <w:t xml:space="preserve">The criteria must also be applied by a commercial arbitrator to resolve disputes about negotiated transmission services, specifically: </w:t>
      </w:r>
    </w:p>
    <w:p w:rsidR="00CA2AE8" w:rsidRPr="00CA2AE8" w:rsidRDefault="00CA2AE8" w:rsidP="00CA2AE8">
      <w:pPr>
        <w:pStyle w:val="AERbulletlistfirststyle"/>
      </w:pPr>
      <w:r w:rsidRPr="00CA2AE8">
        <w:t>the terms and conditions of access for the negotiated transmission service, including the price that is to be charged for the provision of that service by the TNSP</w:t>
      </w:r>
    </w:p>
    <w:p w:rsidR="00CA2AE8" w:rsidRPr="00CA2AE8" w:rsidRDefault="00CA2AE8" w:rsidP="00CA2AE8">
      <w:pPr>
        <w:pStyle w:val="AERbulletlistfirststyle"/>
      </w:pPr>
      <w:proofErr w:type="gramStart"/>
      <w:r w:rsidRPr="00CA2AE8">
        <w:t>access</w:t>
      </w:r>
      <w:proofErr w:type="gramEnd"/>
      <w:r w:rsidRPr="00CA2AE8">
        <w:t xml:space="preserve"> charges that are to be paid to, or by, the TNSP.</w:t>
      </w:r>
    </w:p>
    <w:p w:rsidR="00CA2AE8" w:rsidRPr="00CA2AE8" w:rsidRDefault="00CA2AE8" w:rsidP="00CA2AE8">
      <w:r w:rsidRPr="00CA2AE8">
        <w:t xml:space="preserve">The AER has determined that the negotiated transmission service criteria at part 3 of this transmission determination will apply to </w:t>
      </w:r>
      <w:r>
        <w:t xml:space="preserve">SP </w:t>
      </w:r>
      <w:proofErr w:type="spellStart"/>
      <w:r>
        <w:t>AusNet</w:t>
      </w:r>
      <w:proofErr w:type="spellEnd"/>
      <w:r w:rsidRPr="00CA2AE8">
        <w:t xml:space="preserve"> for the </w:t>
      </w:r>
      <w:r>
        <w:t>2014–17</w:t>
      </w:r>
      <w:r w:rsidRPr="00CA2AE8">
        <w:t xml:space="preserve"> regulatory control </w:t>
      </w:r>
      <w:proofErr w:type="gramStart"/>
      <w:r w:rsidRPr="00CA2AE8">
        <w:t>period</w:t>
      </w:r>
      <w:proofErr w:type="gramEnd"/>
      <w:r w:rsidRPr="00CA2AE8">
        <w:t>.</w:t>
      </w:r>
    </w:p>
    <w:p w:rsidR="00CA2AE8" w:rsidRPr="00CA2AE8" w:rsidRDefault="00CA2AE8" w:rsidP="00CA2AE8">
      <w:pPr>
        <w:pStyle w:val="HeadingBoldBlue"/>
      </w:pPr>
      <w:r w:rsidRPr="00CA2AE8">
        <w:t>Pricing methodology</w:t>
      </w:r>
    </w:p>
    <w:p w:rsidR="00CA2AE8" w:rsidRPr="00CA2AE8" w:rsidRDefault="00CA2AE8" w:rsidP="00CA2AE8">
      <w:r w:rsidRPr="00CA2AE8">
        <w:t>The NER requires each TNSP to prepare a proposed pricing methodology. The pricing methodology must give effect to and be consistent with the pricing principles for prescribed transmission services, which are set out in rule 6A.23. It must also comply with the requirements of the AER’s pricing methodology guidelines.</w:t>
      </w:r>
    </w:p>
    <w:p w:rsidR="00CA2AE8" w:rsidRDefault="00CA2AE8" w:rsidP="00CA2AE8">
      <w:r w:rsidRPr="00CA2AE8">
        <w:t xml:space="preserve">The document at part 4 of this transmission determination is the pricing methodology that the AER has determined will apply to </w:t>
      </w:r>
      <w:r>
        <w:t xml:space="preserve">SP </w:t>
      </w:r>
      <w:proofErr w:type="spellStart"/>
      <w:r>
        <w:t>AusNet</w:t>
      </w:r>
      <w:proofErr w:type="spellEnd"/>
      <w:r w:rsidRPr="00CA2AE8">
        <w:t xml:space="preserve"> for the </w:t>
      </w:r>
      <w:r>
        <w:t>2014–17</w:t>
      </w:r>
      <w:r w:rsidRPr="00CA2AE8">
        <w:t xml:space="preserve"> regulatory control </w:t>
      </w:r>
      <w:proofErr w:type="gramStart"/>
      <w:r w:rsidRPr="00CA2AE8">
        <w:t>period</w:t>
      </w:r>
      <w:proofErr w:type="gramEnd"/>
      <w:r w:rsidRPr="00CA2AE8">
        <w:t>.</w:t>
      </w:r>
    </w:p>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Pr="000A1CC2" w:rsidRDefault="00CA2AE8" w:rsidP="00F63519">
      <w:pPr>
        <w:pStyle w:val="Heading1"/>
      </w:pPr>
      <w:bookmarkStart w:id="6" w:name="_Toc355024178"/>
      <w:bookmarkStart w:id="7" w:name="_Toc377546635"/>
      <w:r>
        <w:lastRenderedPageBreak/>
        <w:t>Revenue</w:t>
      </w:r>
      <w:bookmarkEnd w:id="6"/>
      <w:bookmarkEnd w:id="7"/>
    </w:p>
    <w:p w:rsidR="009A7DEC" w:rsidRDefault="009A7DEC" w:rsidP="009A7DEC">
      <w:pPr>
        <w:rPr>
          <w:rStyle w:val="AERtextbold"/>
        </w:rPr>
      </w:pPr>
      <w:r>
        <w:rPr>
          <w:rStyle w:val="AERtextbold"/>
        </w:rPr>
        <w:t>Introduction</w:t>
      </w:r>
    </w:p>
    <w:p w:rsidR="009A7DEC" w:rsidRDefault="009A7DEC" w:rsidP="009A7DEC">
      <w:r>
        <w:t xml:space="preserve">The AER is required to calculate the amount of revenue that SP </w:t>
      </w:r>
      <w:proofErr w:type="spellStart"/>
      <w:r>
        <w:t>AusNet</w:t>
      </w:r>
      <w:proofErr w:type="spellEnd"/>
      <w:r>
        <w:t xml:space="preserve"> requires each year of the regulatory cont</w:t>
      </w:r>
      <w:r w:rsidR="007F7511">
        <w:t>rol period in accordance with a building block approach</w:t>
      </w:r>
      <w:r>
        <w:t>.</w:t>
      </w:r>
      <w:r>
        <w:rPr>
          <w:rStyle w:val="FootnoteReference"/>
        </w:rPr>
        <w:footnoteReference w:id="2"/>
      </w:r>
      <w:r>
        <w:t xml:space="preserve"> This is referred to as the </w:t>
      </w:r>
      <w:r>
        <w:rPr>
          <w:i/>
          <w:iCs/>
        </w:rPr>
        <w:t>annual building block revenue requirement</w:t>
      </w:r>
      <w:r>
        <w:t>. The annual building block revenue is then</w:t>
      </w:r>
      <w:r w:rsidR="007055F7">
        <w:t xml:space="preserve"> used to calculate the expected</w:t>
      </w:r>
      <w:r>
        <w:t xml:space="preserve"> </w:t>
      </w:r>
      <w:r>
        <w:rPr>
          <w:i/>
          <w:iCs/>
        </w:rPr>
        <w:t>maximum allowed revenue</w:t>
      </w:r>
      <w:r>
        <w:t xml:space="preserve"> (MAR) for each year of the 2014–17 regulatory control period. The annual MAR that SP </w:t>
      </w:r>
      <w:proofErr w:type="spellStart"/>
      <w:r>
        <w:t>AusNet</w:t>
      </w:r>
      <w:proofErr w:type="spellEnd"/>
      <w:r>
        <w:t xml:space="preserve"> may earn from providing prescribed transmission services is subject to adjustments to account for factors such as inflation, approved pass through costs and annual performance rewards or penalties.</w:t>
      </w:r>
    </w:p>
    <w:p w:rsidR="009A7DEC" w:rsidRDefault="009A7DEC" w:rsidP="009A7DEC">
      <w:pPr>
        <w:rPr>
          <w:rStyle w:val="AERtextbold"/>
        </w:rPr>
      </w:pPr>
      <w:r w:rsidRPr="00CA2AE8">
        <w:rPr>
          <w:rStyle w:val="AERtextbold"/>
        </w:rPr>
        <w:t>Method for calculating total revenue cap</w:t>
      </w:r>
    </w:p>
    <w:p w:rsidR="009A7DEC" w:rsidRPr="00F81A2F" w:rsidRDefault="009A7DEC" w:rsidP="009A7DEC">
      <w:pPr>
        <w:pStyle w:val="AERbodytext"/>
        <w:rPr>
          <w:rStyle w:val="AERtextbold"/>
          <w:b w:val="0"/>
        </w:rPr>
      </w:pPr>
      <w:r>
        <w:t xml:space="preserve">The AER determines an estimated total MAR of $1600 million ($ nominal) for SP </w:t>
      </w:r>
      <w:proofErr w:type="spellStart"/>
      <w:r>
        <w:t>AusNet</w:t>
      </w:r>
      <w:proofErr w:type="spellEnd"/>
      <w:r>
        <w:t xml:space="preserve"> for the 2014–17 regulatory control period as shown in </w:t>
      </w:r>
      <w:r>
        <w:fldChar w:fldCharType="begin"/>
      </w:r>
      <w:r>
        <w:instrText xml:space="preserve"> REF _Ref378335263 \h </w:instrText>
      </w:r>
      <w:r>
        <w:fldChar w:fldCharType="separate"/>
      </w:r>
      <w:r w:rsidR="00B42368">
        <w:t xml:space="preserve">Table </w:t>
      </w:r>
      <w:r w:rsidR="00B42368">
        <w:rPr>
          <w:noProof/>
        </w:rPr>
        <w:t>1</w:t>
      </w:r>
      <w:r w:rsidR="00B42368">
        <w:t>.</w:t>
      </w:r>
      <w:r w:rsidR="00B42368">
        <w:rPr>
          <w:noProof/>
        </w:rPr>
        <w:t>1</w:t>
      </w:r>
      <w:r>
        <w:fldChar w:fldCharType="end"/>
      </w:r>
      <w:r>
        <w:t>.</w:t>
      </w:r>
      <w:r>
        <w:rPr>
          <w:color w:val="1F497D"/>
        </w:rPr>
        <w:t xml:space="preserve"> </w:t>
      </w:r>
      <w:r w:rsidRPr="00662AE7">
        <w:t xml:space="preserve">The estimated total </w:t>
      </w:r>
      <w:r>
        <w:t>MAR</w:t>
      </w:r>
      <w:r w:rsidRPr="00662AE7">
        <w:t xml:space="preserve"> is also known as the total revenue cap.</w:t>
      </w:r>
      <w:r w:rsidRPr="00662AE7">
        <w:rPr>
          <w:rFonts w:hint="eastAsia"/>
        </w:rPr>
        <w:t> </w:t>
      </w:r>
      <w:r w:rsidRPr="00662AE7">
        <w:t xml:space="preserve"> It is the sum of the </w:t>
      </w:r>
      <w:r w:rsidR="007055F7">
        <w:t>expected</w:t>
      </w:r>
      <w:r>
        <w:t xml:space="preserve"> MAR</w:t>
      </w:r>
      <w:r w:rsidRPr="00662AE7">
        <w:t xml:space="preserve"> for each regulatory year.</w:t>
      </w:r>
      <w:r>
        <w:rPr>
          <w:rStyle w:val="FootnoteReference"/>
        </w:rPr>
        <w:footnoteReference w:id="3"/>
      </w:r>
    </w:p>
    <w:p w:rsidR="009A7DEC" w:rsidRDefault="009A7DEC" w:rsidP="009A7DEC">
      <w:pPr>
        <w:pStyle w:val="Caption"/>
      </w:pPr>
      <w:bookmarkStart w:id="8" w:name="_Ref378335263"/>
      <w:bookmarkStart w:id="9" w:name="_Ref378335243"/>
      <w:proofErr w:type="gramStart"/>
      <w:r>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t>.</w:t>
      </w:r>
      <w:proofErr w:type="gramEnd"/>
      <w:r w:rsidR="007E4809">
        <w:fldChar w:fldCharType="begin"/>
      </w:r>
      <w:r w:rsidR="007E4809">
        <w:instrText xml:space="preserve"> SEQ Table \* ARABIC \s 1 </w:instrText>
      </w:r>
      <w:r w:rsidR="007E4809">
        <w:fldChar w:fldCharType="separate"/>
      </w:r>
      <w:r w:rsidR="00B42368">
        <w:rPr>
          <w:noProof/>
        </w:rPr>
        <w:t>1</w:t>
      </w:r>
      <w:r w:rsidR="007E4809">
        <w:rPr>
          <w:noProof/>
        </w:rPr>
        <w:fldChar w:fldCharType="end"/>
      </w:r>
      <w:bookmarkEnd w:id="8"/>
      <w:r>
        <w:tab/>
      </w:r>
      <w:r w:rsidRPr="005F7A1E">
        <w:t>AER</w:t>
      </w:r>
      <w:r>
        <w:t xml:space="preserve"> final determination on SP </w:t>
      </w:r>
      <w:proofErr w:type="spellStart"/>
      <w:r>
        <w:t>AusNet’s</w:t>
      </w:r>
      <w:proofErr w:type="spellEnd"/>
      <w:r w:rsidRPr="005F7A1E">
        <w:t xml:space="preserve"> annual </w:t>
      </w:r>
      <w:r w:rsidR="007055F7">
        <w:t>expected</w:t>
      </w:r>
      <w:r w:rsidRPr="005F7A1E">
        <w:t xml:space="preserve"> maximum allowed revenue ($</w:t>
      </w:r>
      <w:r>
        <w:t xml:space="preserve"> </w:t>
      </w:r>
      <w:r w:rsidRPr="005F7A1E">
        <w:t>m</w:t>
      </w:r>
      <w:r>
        <w:t>illion</w:t>
      </w:r>
      <w:r w:rsidRPr="005F7A1E">
        <w:t>, nominal)</w:t>
      </w:r>
      <w:bookmarkEnd w:id="9"/>
    </w:p>
    <w:tbl>
      <w:tblPr>
        <w:tblStyle w:val="AERtable-numbers"/>
        <w:tblW w:w="0" w:type="auto"/>
        <w:tblLook w:val="04A0" w:firstRow="1" w:lastRow="0" w:firstColumn="1" w:lastColumn="0" w:noHBand="0" w:noVBand="1"/>
      </w:tblPr>
      <w:tblGrid>
        <w:gridCol w:w="3454"/>
        <w:gridCol w:w="1424"/>
        <w:gridCol w:w="1424"/>
        <w:gridCol w:w="1424"/>
        <w:gridCol w:w="1424"/>
      </w:tblGrid>
      <w:tr w:rsidR="009A7DEC" w:rsidTr="00662AE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454" w:type="dxa"/>
          </w:tcPr>
          <w:p w:rsidR="009A7DEC" w:rsidRPr="00CA2AE8" w:rsidRDefault="009A7DEC" w:rsidP="00662AE7">
            <w:pPr>
              <w:pStyle w:val="AERtabletextright"/>
            </w:pPr>
          </w:p>
        </w:tc>
        <w:tc>
          <w:tcPr>
            <w:tcW w:w="1424" w:type="dxa"/>
          </w:tcPr>
          <w:p w:rsidR="009A7DEC" w:rsidRPr="00CA2AE8" w:rsidRDefault="009A7DEC" w:rsidP="00662AE7">
            <w:pPr>
              <w:pStyle w:val="AERtabletextright"/>
              <w:cnfStyle w:val="100000000000" w:firstRow="1" w:lastRow="0" w:firstColumn="0" w:lastColumn="0" w:oddVBand="0" w:evenVBand="0" w:oddHBand="0" w:evenHBand="0" w:firstRowFirstColumn="0" w:firstRowLastColumn="0" w:lastRowFirstColumn="0" w:lastRowLastColumn="0"/>
            </w:pPr>
            <w:r w:rsidRPr="00CA2AE8">
              <w:t>2014–15</w:t>
            </w:r>
          </w:p>
        </w:tc>
        <w:tc>
          <w:tcPr>
            <w:tcW w:w="1424" w:type="dxa"/>
          </w:tcPr>
          <w:p w:rsidR="009A7DEC" w:rsidRPr="00CA2AE8" w:rsidRDefault="009A7DEC" w:rsidP="00662AE7">
            <w:pPr>
              <w:pStyle w:val="AERtabletextright"/>
              <w:cnfStyle w:val="100000000000" w:firstRow="1" w:lastRow="0" w:firstColumn="0" w:lastColumn="0" w:oddVBand="0" w:evenVBand="0" w:oddHBand="0" w:evenHBand="0" w:firstRowFirstColumn="0" w:firstRowLastColumn="0" w:lastRowFirstColumn="0" w:lastRowLastColumn="0"/>
            </w:pPr>
            <w:r w:rsidRPr="00CA2AE8">
              <w:t>2015–16</w:t>
            </w:r>
          </w:p>
        </w:tc>
        <w:tc>
          <w:tcPr>
            <w:tcW w:w="1424" w:type="dxa"/>
          </w:tcPr>
          <w:p w:rsidR="009A7DEC" w:rsidRPr="00CA2AE8" w:rsidRDefault="009A7DEC" w:rsidP="00662AE7">
            <w:pPr>
              <w:pStyle w:val="AERtabletextright"/>
              <w:cnfStyle w:val="100000000000" w:firstRow="1" w:lastRow="0" w:firstColumn="0" w:lastColumn="0" w:oddVBand="0" w:evenVBand="0" w:oddHBand="0" w:evenHBand="0" w:firstRowFirstColumn="0" w:firstRowLastColumn="0" w:lastRowFirstColumn="0" w:lastRowLastColumn="0"/>
            </w:pPr>
            <w:r w:rsidRPr="00CA2AE8">
              <w:t>2016–17</w:t>
            </w:r>
          </w:p>
        </w:tc>
        <w:tc>
          <w:tcPr>
            <w:tcW w:w="1424" w:type="dxa"/>
          </w:tcPr>
          <w:p w:rsidR="009A7DEC" w:rsidRPr="00CA2AE8" w:rsidRDefault="009A7DEC" w:rsidP="00662AE7">
            <w:pPr>
              <w:pStyle w:val="AERtabletextright"/>
              <w:cnfStyle w:val="100000000000" w:firstRow="1" w:lastRow="0" w:firstColumn="0" w:lastColumn="0" w:oddVBand="0" w:evenVBand="0" w:oddHBand="0" w:evenHBand="0" w:firstRowFirstColumn="0" w:firstRowLastColumn="0" w:lastRowFirstColumn="0" w:lastRowLastColumn="0"/>
            </w:pPr>
            <w:r w:rsidRPr="00CA2AE8">
              <w:t>Total</w:t>
            </w:r>
          </w:p>
        </w:tc>
      </w:tr>
      <w:tr w:rsidR="009A7DEC" w:rsidTr="00662AE7">
        <w:trPr>
          <w:trHeight w:val="469"/>
        </w:trPr>
        <w:tc>
          <w:tcPr>
            <w:cnfStyle w:val="001000000000" w:firstRow="0" w:lastRow="0" w:firstColumn="1" w:lastColumn="0" w:oddVBand="0" w:evenVBand="0" w:oddHBand="0" w:evenHBand="0" w:firstRowFirstColumn="0" w:firstRowLastColumn="0" w:lastRowFirstColumn="0" w:lastRowLastColumn="0"/>
            <w:tcW w:w="3454" w:type="dxa"/>
          </w:tcPr>
          <w:p w:rsidR="009A7DEC" w:rsidRDefault="007055F7" w:rsidP="00662AE7">
            <w:pPr>
              <w:pStyle w:val="AERtabletextleft"/>
            </w:pPr>
            <w:r>
              <w:t>Expected</w:t>
            </w:r>
            <w:r w:rsidR="009A7DEC">
              <w:t xml:space="preserve"> MAR (smoothed)</w:t>
            </w:r>
          </w:p>
        </w:tc>
        <w:tc>
          <w:tcPr>
            <w:tcW w:w="1424" w:type="dxa"/>
          </w:tcPr>
          <w:p w:rsidR="009A7DEC" w:rsidRPr="00DF71F6" w:rsidRDefault="009A7DEC" w:rsidP="00662AE7">
            <w:pPr>
              <w:pStyle w:val="AERtabletextright"/>
              <w:cnfStyle w:val="000000000000" w:firstRow="0" w:lastRow="0" w:firstColumn="0" w:lastColumn="0" w:oddVBand="0" w:evenVBand="0" w:oddHBand="0" w:evenHBand="0" w:firstRowFirstColumn="0" w:firstRowLastColumn="0" w:lastRowFirstColumn="0" w:lastRowLastColumn="0"/>
            </w:pPr>
            <w:r>
              <w:t>538.1</w:t>
            </w:r>
          </w:p>
        </w:tc>
        <w:tc>
          <w:tcPr>
            <w:tcW w:w="1424" w:type="dxa"/>
          </w:tcPr>
          <w:p w:rsidR="009A7DEC" w:rsidRPr="00DF71F6" w:rsidRDefault="009A7DEC" w:rsidP="00662AE7">
            <w:pPr>
              <w:pStyle w:val="AERtabletextright"/>
              <w:cnfStyle w:val="000000000000" w:firstRow="0" w:lastRow="0" w:firstColumn="0" w:lastColumn="0" w:oddVBand="0" w:evenVBand="0" w:oddHBand="0" w:evenHBand="0" w:firstRowFirstColumn="0" w:firstRowLastColumn="0" w:lastRowFirstColumn="0" w:lastRowLastColumn="0"/>
            </w:pPr>
            <w:r>
              <w:t>533.4</w:t>
            </w:r>
          </w:p>
        </w:tc>
        <w:tc>
          <w:tcPr>
            <w:tcW w:w="1424" w:type="dxa"/>
          </w:tcPr>
          <w:p w:rsidR="009A7DEC" w:rsidRPr="00DF71F6" w:rsidRDefault="009A7DEC" w:rsidP="00662AE7">
            <w:pPr>
              <w:pStyle w:val="AERtabletextright"/>
              <w:cnfStyle w:val="000000000000" w:firstRow="0" w:lastRow="0" w:firstColumn="0" w:lastColumn="0" w:oddVBand="0" w:evenVBand="0" w:oddHBand="0" w:evenHBand="0" w:firstRowFirstColumn="0" w:firstRowLastColumn="0" w:lastRowFirstColumn="0" w:lastRowLastColumn="0"/>
            </w:pPr>
            <w:r>
              <w:t>528.8</w:t>
            </w:r>
          </w:p>
        </w:tc>
        <w:tc>
          <w:tcPr>
            <w:tcW w:w="1424" w:type="dxa"/>
          </w:tcPr>
          <w:p w:rsidR="009A7DEC" w:rsidRPr="00342793" w:rsidRDefault="009A7DEC" w:rsidP="00662AE7">
            <w:pPr>
              <w:pStyle w:val="AERtabletextright"/>
              <w:cnfStyle w:val="000000000000" w:firstRow="0" w:lastRow="0" w:firstColumn="0" w:lastColumn="0" w:oddVBand="0" w:evenVBand="0" w:oddHBand="0" w:evenHBand="0" w:firstRowFirstColumn="0" w:firstRowLastColumn="0" w:lastRowFirstColumn="0" w:lastRowLastColumn="0"/>
            </w:pPr>
            <w:r w:rsidRPr="00342793">
              <w:t>1</w:t>
            </w:r>
            <w:r>
              <w:t>600</w:t>
            </w:r>
            <w:r w:rsidRPr="00342793">
              <w:t>.</w:t>
            </w:r>
            <w:r>
              <w:t>3</w:t>
            </w:r>
          </w:p>
        </w:tc>
      </w:tr>
    </w:tbl>
    <w:p w:rsidR="009A7DEC" w:rsidRDefault="009A7DEC" w:rsidP="009A7DEC">
      <w:pPr>
        <w:pStyle w:val="AERtablesource"/>
      </w:pPr>
      <w:r>
        <w:t xml:space="preserve">Source: </w:t>
      </w:r>
      <w:r>
        <w:tab/>
        <w:t>AER analysis.</w:t>
      </w:r>
    </w:p>
    <w:p w:rsidR="009A7DEC" w:rsidRDefault="009A7DEC" w:rsidP="009A7DEC">
      <w:pPr>
        <w:pStyle w:val="AERbodytext"/>
        <w:numPr>
          <w:ilvl w:val="0"/>
          <w:numId w:val="13"/>
        </w:numPr>
      </w:pPr>
      <w:r>
        <w:t>The AER</w:t>
      </w:r>
      <w:r w:rsidR="007055F7">
        <w:t xml:space="preserve"> determines the annual expected</w:t>
      </w:r>
      <w:r>
        <w:t xml:space="preserve"> MAR by smoothing the annual building block revenue requirement as set out below.</w:t>
      </w:r>
    </w:p>
    <w:p w:rsidR="009A7DEC" w:rsidRPr="00CA2AE8" w:rsidRDefault="009A7DEC" w:rsidP="009A7DEC">
      <w:pPr>
        <w:rPr>
          <w:rStyle w:val="AERtextbold"/>
        </w:rPr>
      </w:pPr>
      <w:r w:rsidRPr="00CA2AE8">
        <w:rPr>
          <w:rStyle w:val="AERtextbold"/>
        </w:rPr>
        <w:t xml:space="preserve">SP </w:t>
      </w:r>
      <w:proofErr w:type="spellStart"/>
      <w:r w:rsidRPr="00CA2AE8">
        <w:rPr>
          <w:rStyle w:val="AERtextbold"/>
        </w:rPr>
        <w:t>AusNet’s</w:t>
      </w:r>
      <w:proofErr w:type="spellEnd"/>
      <w:r w:rsidRPr="00CA2AE8">
        <w:rPr>
          <w:rStyle w:val="AERtextbold"/>
        </w:rPr>
        <w:t xml:space="preserve"> annual building block revenue requirement</w:t>
      </w:r>
    </w:p>
    <w:p w:rsidR="009A7DEC" w:rsidRDefault="009A7DEC" w:rsidP="009A7DEC">
      <w:pPr>
        <w:pStyle w:val="AERbodytext"/>
        <w:numPr>
          <w:ilvl w:val="0"/>
          <w:numId w:val="13"/>
        </w:numPr>
      </w:pPr>
      <w:r>
        <w:t xml:space="preserve">The AER determines the annual building block revenue requirements for SP </w:t>
      </w:r>
      <w:proofErr w:type="spellStart"/>
      <w:r>
        <w:t>AusNet</w:t>
      </w:r>
      <w:proofErr w:type="spellEnd"/>
      <w:r>
        <w:t xml:space="preserve"> as shown in </w:t>
      </w:r>
      <w:r>
        <w:br/>
      </w:r>
      <w:r>
        <w:fldChar w:fldCharType="begin"/>
      </w:r>
      <w:r>
        <w:instrText xml:space="preserve"> REF  _Ref352226807 \* Lower \h </w:instrText>
      </w:r>
      <w:r>
        <w:fldChar w:fldCharType="separate"/>
      </w:r>
      <w:r w:rsidR="00B42368">
        <w:t xml:space="preserve">table </w:t>
      </w:r>
      <w:r w:rsidR="00B42368">
        <w:rPr>
          <w:noProof/>
        </w:rPr>
        <w:t>1</w:t>
      </w:r>
      <w:r w:rsidR="00B42368">
        <w:t>.</w:t>
      </w:r>
      <w:r w:rsidR="00B42368">
        <w:rPr>
          <w:noProof/>
        </w:rPr>
        <w:t>2</w:t>
      </w:r>
      <w:r>
        <w:fldChar w:fldCharType="end"/>
      </w:r>
    </w:p>
    <w:p w:rsidR="009A7DEC" w:rsidRDefault="009A7DEC" w:rsidP="0014593A">
      <w:pPr>
        <w:pStyle w:val="Caption"/>
      </w:pPr>
      <w:bookmarkStart w:id="10" w:name="_Ref352226807"/>
      <w:proofErr w:type="gramStart"/>
      <w:r>
        <w:lastRenderedPageBreak/>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t>.</w:t>
      </w:r>
      <w:proofErr w:type="gramEnd"/>
      <w:r w:rsidR="007E4809">
        <w:fldChar w:fldCharType="begin"/>
      </w:r>
      <w:r w:rsidR="007E4809">
        <w:instrText xml:space="preserve"> SEQ Table \* ARABIC \s 1 </w:instrText>
      </w:r>
      <w:r w:rsidR="007E4809">
        <w:fldChar w:fldCharType="separate"/>
      </w:r>
      <w:r w:rsidR="00B42368">
        <w:rPr>
          <w:noProof/>
        </w:rPr>
        <w:t>2</w:t>
      </w:r>
      <w:r w:rsidR="007E4809">
        <w:rPr>
          <w:noProof/>
        </w:rPr>
        <w:fldChar w:fldCharType="end"/>
      </w:r>
      <w:bookmarkEnd w:id="10"/>
      <w:r>
        <w:tab/>
      </w:r>
      <w:r w:rsidRPr="0064293C">
        <w:t xml:space="preserve">AER final determination on </w:t>
      </w:r>
      <w:r>
        <w:t xml:space="preserve">SP </w:t>
      </w:r>
      <w:proofErr w:type="spellStart"/>
      <w:r>
        <w:t>AusNet’s</w:t>
      </w:r>
      <w:proofErr w:type="spellEnd"/>
      <w:r w:rsidRPr="005F7A1E">
        <w:t xml:space="preserve"> </w:t>
      </w:r>
      <w:r w:rsidRPr="0064293C">
        <w:t>annual building block revenue requirement ($</w:t>
      </w:r>
      <w:r>
        <w:t> </w:t>
      </w:r>
      <w:r w:rsidRPr="0064293C">
        <w:t>million, nominal)</w:t>
      </w:r>
    </w:p>
    <w:tbl>
      <w:tblPr>
        <w:tblStyle w:val="AERtable-numbers"/>
        <w:tblW w:w="0" w:type="auto"/>
        <w:tblLook w:val="04A0" w:firstRow="1" w:lastRow="0" w:firstColumn="1" w:lastColumn="0" w:noHBand="0" w:noVBand="1"/>
      </w:tblPr>
      <w:tblGrid>
        <w:gridCol w:w="3453"/>
        <w:gridCol w:w="1424"/>
        <w:gridCol w:w="1424"/>
        <w:gridCol w:w="1424"/>
        <w:gridCol w:w="1424"/>
      </w:tblGrid>
      <w:tr w:rsidR="009A7DEC" w:rsidTr="00662AE7">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tabletextright"/>
              <w:keepNext/>
            </w:pPr>
          </w:p>
        </w:tc>
        <w:tc>
          <w:tcPr>
            <w:tcW w:w="1424" w:type="dxa"/>
          </w:tcPr>
          <w:p w:rsidR="009A7DEC" w:rsidRPr="00CA2AE8" w:rsidRDefault="009A7DEC" w:rsidP="0014593A">
            <w:pPr>
              <w:pStyle w:val="AERtabletextright"/>
              <w:keepNext/>
              <w:cnfStyle w:val="100000000000" w:firstRow="1" w:lastRow="0" w:firstColumn="0" w:lastColumn="0" w:oddVBand="0" w:evenVBand="0" w:oddHBand="0" w:evenHBand="0" w:firstRowFirstColumn="0" w:firstRowLastColumn="0" w:lastRowFirstColumn="0" w:lastRowLastColumn="0"/>
            </w:pPr>
            <w:r w:rsidRPr="00CA2AE8">
              <w:t>2014–15</w:t>
            </w:r>
          </w:p>
        </w:tc>
        <w:tc>
          <w:tcPr>
            <w:tcW w:w="1424" w:type="dxa"/>
          </w:tcPr>
          <w:p w:rsidR="009A7DEC" w:rsidRPr="00CA2AE8" w:rsidRDefault="009A7DEC" w:rsidP="0014593A">
            <w:pPr>
              <w:pStyle w:val="AERtabletextright"/>
              <w:keepNext/>
              <w:cnfStyle w:val="100000000000" w:firstRow="1" w:lastRow="0" w:firstColumn="0" w:lastColumn="0" w:oddVBand="0" w:evenVBand="0" w:oddHBand="0" w:evenHBand="0" w:firstRowFirstColumn="0" w:firstRowLastColumn="0" w:lastRowFirstColumn="0" w:lastRowLastColumn="0"/>
            </w:pPr>
            <w:r w:rsidRPr="00CA2AE8">
              <w:t>2015–16</w:t>
            </w:r>
          </w:p>
        </w:tc>
        <w:tc>
          <w:tcPr>
            <w:tcW w:w="1424" w:type="dxa"/>
          </w:tcPr>
          <w:p w:rsidR="009A7DEC" w:rsidRPr="00CA2AE8" w:rsidRDefault="009A7DEC" w:rsidP="0014593A">
            <w:pPr>
              <w:pStyle w:val="AERtabletextright"/>
              <w:keepNext/>
              <w:cnfStyle w:val="100000000000" w:firstRow="1" w:lastRow="0" w:firstColumn="0" w:lastColumn="0" w:oddVBand="0" w:evenVBand="0" w:oddHBand="0" w:evenHBand="0" w:firstRowFirstColumn="0" w:firstRowLastColumn="0" w:lastRowFirstColumn="0" w:lastRowLastColumn="0"/>
            </w:pPr>
            <w:r w:rsidRPr="00CA2AE8">
              <w:t>2016–17</w:t>
            </w:r>
          </w:p>
        </w:tc>
        <w:tc>
          <w:tcPr>
            <w:tcW w:w="1424" w:type="dxa"/>
          </w:tcPr>
          <w:p w:rsidR="009A7DEC" w:rsidRPr="00CA2AE8" w:rsidRDefault="009A7DEC" w:rsidP="0014593A">
            <w:pPr>
              <w:pStyle w:val="AERtabletextright"/>
              <w:keepNext/>
              <w:cnfStyle w:val="100000000000" w:firstRow="1" w:lastRow="0" w:firstColumn="0" w:lastColumn="0" w:oddVBand="0" w:evenVBand="0" w:oddHBand="0" w:evenHBand="0" w:firstRowFirstColumn="0" w:firstRowLastColumn="0" w:lastRowFirstColumn="0" w:lastRowLastColumn="0"/>
            </w:pPr>
            <w:r w:rsidRPr="00CA2AE8">
              <w:t>Total</w:t>
            </w:r>
          </w:p>
        </w:tc>
      </w:tr>
      <w:tr w:rsidR="009A7DEC" w:rsidTr="00662AE7">
        <w:trPr>
          <w:trHeight w:val="465"/>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Return on capital</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226.5</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233.0</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242.0</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701.4</w:t>
            </w:r>
          </w:p>
        </w:tc>
      </w:tr>
      <w:tr w:rsidR="009A7DEC" w:rsidTr="00662AE7">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Regulatory depreciation</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75.1</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81.0</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86.6</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242.7</w:t>
            </w:r>
          </w:p>
        </w:tc>
      </w:tr>
      <w:tr w:rsidR="009A7DEC" w:rsidTr="00662AE7">
        <w:trPr>
          <w:trHeight w:val="486"/>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Operating expenditure</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189.7</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199.2</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202.2</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591.1</w:t>
            </w:r>
          </w:p>
        </w:tc>
      </w:tr>
      <w:tr w:rsidR="009A7DEC" w:rsidTr="00662AE7">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Efficiency benefit sharing scheme (carryover amounts)</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18.4</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16.1</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4.9</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39.4</w:t>
            </w:r>
          </w:p>
        </w:tc>
      </w:tr>
      <w:tr w:rsidR="009A7DEC" w:rsidTr="00662AE7">
        <w:trPr>
          <w:trHeight w:val="486"/>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Net tax allowance</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9.5</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9.3</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9.8</w:t>
            </w:r>
          </w:p>
        </w:tc>
        <w:tc>
          <w:tcPr>
            <w:tcW w:w="1424" w:type="dxa"/>
          </w:tcPr>
          <w:p w:rsidR="009A7DEC" w:rsidRPr="00DF71F6" w:rsidRDefault="009A7DEC" w:rsidP="0014593A">
            <w:pPr>
              <w:pStyle w:val="AERtabletextright"/>
              <w:keepNext/>
              <w:cnfStyle w:val="000000000000" w:firstRow="0" w:lastRow="0" w:firstColumn="0" w:lastColumn="0" w:oddVBand="0" w:evenVBand="0" w:oddHBand="0" w:evenHBand="0" w:firstRowFirstColumn="0" w:firstRowLastColumn="0" w:lastRowFirstColumn="0" w:lastRowLastColumn="0"/>
            </w:pPr>
            <w:r>
              <w:t>28.6</w:t>
            </w:r>
          </w:p>
        </w:tc>
      </w:tr>
      <w:tr w:rsidR="009A7DEC" w:rsidTr="00662AE7">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3453" w:type="dxa"/>
          </w:tcPr>
          <w:p w:rsidR="009A7DEC" w:rsidRPr="00CA2AE8" w:rsidRDefault="009A7DEC" w:rsidP="0014593A">
            <w:pPr>
              <w:pStyle w:val="AERbodytext"/>
              <w:keepNext/>
              <w:numPr>
                <w:ilvl w:val="0"/>
                <w:numId w:val="13"/>
              </w:numPr>
            </w:pPr>
            <w:r w:rsidRPr="00CA2AE8">
              <w:t>Annual building block revenue requirement (unsmoothed)</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519.0</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538.7</w:t>
            </w:r>
          </w:p>
        </w:tc>
        <w:tc>
          <w:tcPr>
            <w:tcW w:w="1424" w:type="dxa"/>
          </w:tcPr>
          <w:p w:rsidR="009A7DEC" w:rsidRPr="00DF71F6"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545.4</w:t>
            </w:r>
          </w:p>
        </w:tc>
        <w:tc>
          <w:tcPr>
            <w:tcW w:w="1424" w:type="dxa"/>
          </w:tcPr>
          <w:p w:rsidR="009A7DEC" w:rsidRPr="00CA2AE8" w:rsidRDefault="009A7DEC" w:rsidP="0014593A">
            <w:pPr>
              <w:pStyle w:val="AERtabletextright"/>
              <w:keepNext/>
              <w:cnfStyle w:val="000000010000" w:firstRow="0" w:lastRow="0" w:firstColumn="0" w:lastColumn="0" w:oddVBand="0" w:evenVBand="0" w:oddHBand="0" w:evenHBand="1" w:firstRowFirstColumn="0" w:firstRowLastColumn="0" w:lastRowFirstColumn="0" w:lastRowLastColumn="0"/>
            </w:pPr>
            <w:r>
              <w:t>1603.1</w:t>
            </w:r>
          </w:p>
        </w:tc>
      </w:tr>
    </w:tbl>
    <w:p w:rsidR="00CA2AE8" w:rsidRDefault="009A7DEC" w:rsidP="0014593A">
      <w:pPr>
        <w:pStyle w:val="AERtablesource"/>
        <w:keepNext/>
      </w:pPr>
      <w:r>
        <w:t xml:space="preserve">Source: </w:t>
      </w:r>
      <w:r>
        <w:tab/>
        <w:t>AER analysis.</w:t>
      </w:r>
    </w:p>
    <w:p w:rsidR="00CA2AE8" w:rsidRPr="00CA2AE8" w:rsidRDefault="00CA2AE8" w:rsidP="00CA2AE8">
      <w:pPr>
        <w:rPr>
          <w:rStyle w:val="AERtextbold"/>
        </w:rPr>
      </w:pPr>
      <w:r w:rsidRPr="00CA2AE8">
        <w:rPr>
          <w:rStyle w:val="AERtextbold"/>
        </w:rPr>
        <w:t xml:space="preserve">Method of calculating SP </w:t>
      </w:r>
      <w:proofErr w:type="spellStart"/>
      <w:r w:rsidRPr="00CA2AE8">
        <w:rPr>
          <w:rStyle w:val="AERtextbold"/>
        </w:rPr>
        <w:t>AusNet’s</w:t>
      </w:r>
      <w:proofErr w:type="spellEnd"/>
      <w:r w:rsidRPr="00CA2AE8">
        <w:rPr>
          <w:rStyle w:val="AERtextbold"/>
        </w:rPr>
        <w:t xml:space="preserve"> maximum allowed revenue</w:t>
      </w:r>
    </w:p>
    <w:p w:rsidR="009A7DEC" w:rsidRDefault="009A7DEC" w:rsidP="009A7DEC">
      <w:pPr>
        <w:pStyle w:val="AERbodytext"/>
        <w:numPr>
          <w:ilvl w:val="0"/>
          <w:numId w:val="13"/>
        </w:numPr>
      </w:pPr>
      <w:r>
        <w:t xml:space="preserve">The AER uses </w:t>
      </w:r>
      <w:r w:rsidRPr="00803AEC">
        <w:t xml:space="preserve">a forecast inflation rate </w:t>
      </w:r>
      <w:r>
        <w:t xml:space="preserve">in its post-tax revenue model (PTRM) </w:t>
      </w:r>
      <w:r w:rsidRPr="00803AEC">
        <w:t>to calculate the expected MAR</w:t>
      </w:r>
      <w:r>
        <w:t xml:space="preserve"> (as shown in </w:t>
      </w:r>
      <w:r>
        <w:fldChar w:fldCharType="begin"/>
      </w:r>
      <w:r>
        <w:instrText xml:space="preserve"> REF _Ref378335263 \h </w:instrText>
      </w:r>
      <w:r>
        <w:fldChar w:fldCharType="separate"/>
      </w:r>
      <w:r w:rsidR="00B42368">
        <w:t xml:space="preserve">Table </w:t>
      </w:r>
      <w:r w:rsidR="00B42368">
        <w:rPr>
          <w:noProof/>
        </w:rPr>
        <w:t>1</w:t>
      </w:r>
      <w:r w:rsidR="00B42368">
        <w:t>.</w:t>
      </w:r>
      <w:r w:rsidR="00B42368">
        <w:rPr>
          <w:noProof/>
        </w:rPr>
        <w:t>1</w:t>
      </w:r>
      <w:r>
        <w:fldChar w:fldCharType="end"/>
      </w:r>
      <w:r>
        <w:t>) in nominal dollar terms. Therefore,</w:t>
      </w:r>
      <w:r w:rsidRPr="00803AEC">
        <w:t xml:space="preserve"> the</w:t>
      </w:r>
      <w:r>
        <w:t xml:space="preserve"> calculation of the </w:t>
      </w:r>
      <w:r w:rsidRPr="00803AEC">
        <w:t xml:space="preserve">actual </w:t>
      </w:r>
      <w:r>
        <w:t xml:space="preserve">annual </w:t>
      </w:r>
      <w:r w:rsidRPr="00803AEC">
        <w:t xml:space="preserve">MAR </w:t>
      </w:r>
      <w:r>
        <w:t>will require an</w:t>
      </w:r>
      <w:r w:rsidRPr="00803AEC">
        <w:t xml:space="preserve"> adjust</w:t>
      </w:r>
      <w:r>
        <w:t>ment</w:t>
      </w:r>
      <w:r w:rsidRPr="00803AEC">
        <w:t xml:space="preserve"> for actual inflation.</w:t>
      </w:r>
      <w:r>
        <w:t xml:space="preserve"> The MAR is also subject to adjustments for revenue increment or decrement determined in accordance with the AER’s service target performance incentive scheme (STPIS) and any approved pass through amounts. This section sets out the method of this annual </w:t>
      </w:r>
      <w:r w:rsidRPr="00803AEC">
        <w:t>adjustment process.</w:t>
      </w:r>
      <w:r>
        <w:t xml:space="preserve"> </w:t>
      </w:r>
    </w:p>
    <w:p w:rsidR="00CA2AE8" w:rsidRDefault="009A7DEC" w:rsidP="009A7DEC">
      <w:pPr>
        <w:pStyle w:val="AERbodytext"/>
        <w:numPr>
          <w:ilvl w:val="0"/>
          <w:numId w:val="13"/>
        </w:numPr>
      </w:pPr>
      <w:r>
        <w:t xml:space="preserve">The AER has determined that the method of calculating SP </w:t>
      </w:r>
      <w:proofErr w:type="spellStart"/>
      <w:r>
        <w:t>AusNet’s</w:t>
      </w:r>
      <w:proofErr w:type="spellEnd"/>
      <w:r>
        <w:t xml:space="preserve"> MAR for each year of the </w:t>
      </w:r>
      <w:r>
        <w:br/>
        <w:t>2014–17 regulatory control period will be the sum of its allowed revenue (AR) for that year and adjustments arising from the AER’s STPIS and any approved pass through amounts.</w:t>
      </w:r>
      <w:r w:rsidR="00CA2AE8">
        <w:t xml:space="preserve"> </w:t>
      </w:r>
    </w:p>
    <w:p w:rsidR="00CA2AE8" w:rsidRDefault="00CA2AE8" w:rsidP="00CA2AE8">
      <w:pPr>
        <w:pStyle w:val="AERbodytext"/>
        <w:numPr>
          <w:ilvl w:val="0"/>
          <w:numId w:val="13"/>
        </w:numPr>
      </w:pPr>
      <w:r>
        <w:t xml:space="preserve">The AER determines SP </w:t>
      </w:r>
      <w:proofErr w:type="spellStart"/>
      <w:r>
        <w:t>AusNet’s</w:t>
      </w:r>
      <w:proofErr w:type="spellEnd"/>
      <w:r>
        <w:t xml:space="preserve"> AR for 2014–15 is $</w:t>
      </w:r>
      <w:r w:rsidR="006802B3" w:rsidRPr="007102B7">
        <w:rPr>
          <w:rStyle w:val="AERbody"/>
        </w:rPr>
        <w:t>53</w:t>
      </w:r>
      <w:r w:rsidR="007102B7" w:rsidRPr="007102B7">
        <w:rPr>
          <w:rStyle w:val="AERbody"/>
        </w:rPr>
        <w:t>8</w:t>
      </w:r>
      <w:r w:rsidR="006802B3" w:rsidRPr="007102B7">
        <w:rPr>
          <w:rStyle w:val="AERbody"/>
        </w:rPr>
        <w:t>.</w:t>
      </w:r>
      <w:r w:rsidR="007102B7" w:rsidRPr="007102B7">
        <w:rPr>
          <w:rStyle w:val="AERbody"/>
        </w:rPr>
        <w:t>1</w:t>
      </w:r>
      <w:r w:rsidR="006802B3" w:rsidRPr="007102B7">
        <w:rPr>
          <w:rStyle w:val="AERbody"/>
        </w:rPr>
        <w:t xml:space="preserve"> </w:t>
      </w:r>
      <w:r>
        <w:t>million. The 2014–15 AR value may be adjusted for any service standards incentive rewards or pena</w:t>
      </w:r>
      <w:r w:rsidR="001B26CC">
        <w:t>lties carried over from the 2008–14</w:t>
      </w:r>
      <w:r>
        <w:t xml:space="preserve"> regulatory control period, as determined in accordance with the AER’s 2008 revenue cap decision for SP </w:t>
      </w:r>
      <w:proofErr w:type="spellStart"/>
      <w:r>
        <w:t>AusNet</w:t>
      </w:r>
      <w:proofErr w:type="spellEnd"/>
      <w:r>
        <w:t xml:space="preserve">. </w:t>
      </w:r>
    </w:p>
    <w:p w:rsidR="00CA2AE8" w:rsidRDefault="00CA2AE8" w:rsidP="00CA2AE8">
      <w:pPr>
        <w:pStyle w:val="AERbodytext"/>
        <w:numPr>
          <w:ilvl w:val="0"/>
          <w:numId w:val="13"/>
        </w:numPr>
      </w:pPr>
      <w:r>
        <w:t xml:space="preserve">SP </w:t>
      </w:r>
      <w:proofErr w:type="spellStart"/>
      <w:r>
        <w:t>AusNet’s</w:t>
      </w:r>
      <w:proofErr w:type="spellEnd"/>
      <w:r>
        <w:t xml:space="preserve"> AR </w:t>
      </w:r>
      <w:r w:rsidR="001B26CC">
        <w:t>for subsequent years of the 2014</w:t>
      </w:r>
      <w:r>
        <w:t>–17 regulatory control period requires an annual adjustment based on the previous year’s AR and is calculated using the CPI–X methodology:</w:t>
      </w:r>
    </w:p>
    <w:p w:rsidR="00CA2AE8" w:rsidRDefault="00CA2AE8" w:rsidP="00CA2AE8">
      <w:pPr>
        <w:pStyle w:val="AERbodytext"/>
        <w:numPr>
          <w:ilvl w:val="0"/>
          <w:numId w:val="13"/>
        </w:numPr>
      </w:pPr>
      <w:r>
        <w:tab/>
      </w:r>
    </w:p>
    <w:p w:rsidR="00CA2AE8" w:rsidRDefault="00CA2AE8" w:rsidP="00CA2AE8">
      <w:pPr>
        <w:pStyle w:val="AERbodytext"/>
        <w:numPr>
          <w:ilvl w:val="0"/>
          <w:numId w:val="13"/>
        </w:numPr>
      </w:pPr>
      <w:r>
        <w:br w:type="page"/>
      </w:r>
      <w:proofErr w:type="spellStart"/>
      <w:r>
        <w:lastRenderedPageBreak/>
        <w:t>AR</w:t>
      </w:r>
      <w:r w:rsidR="00DA278F" w:rsidRPr="00F82F3F">
        <w:rPr>
          <w:rStyle w:val="AERsubscript"/>
          <w:i/>
        </w:rPr>
        <w:t>t</w:t>
      </w:r>
      <w:proofErr w:type="spellEnd"/>
      <w:r>
        <w:t xml:space="preserve"> </w:t>
      </w:r>
      <w:r>
        <w:tab/>
        <w:t>=</w:t>
      </w:r>
      <w:r>
        <w:tab/>
      </w:r>
      <w:r w:rsidR="00AF20FA">
        <w:t>AR</w:t>
      </w:r>
      <w:r w:rsidR="00AF20FA" w:rsidRPr="00F82F3F">
        <w:rPr>
          <w:rStyle w:val="AERsubscript"/>
          <w:i/>
        </w:rPr>
        <w:t xml:space="preserve">t-1 </w:t>
      </w:r>
      <w:r>
        <w:t xml:space="preserve">× (1 + ∆CPI) × (1 – </w:t>
      </w:r>
      <w:proofErr w:type="spellStart"/>
      <w:r>
        <w:t>X</w:t>
      </w:r>
      <w:r w:rsidR="00DA278F" w:rsidRPr="00F82F3F">
        <w:rPr>
          <w:rStyle w:val="AERsubscript"/>
          <w:i/>
        </w:rPr>
        <w:t>t</w:t>
      </w:r>
      <w:proofErr w:type="spellEnd"/>
      <w:r>
        <w:t>)</w:t>
      </w:r>
    </w:p>
    <w:p w:rsidR="00CA2AE8" w:rsidRDefault="00CA2AE8" w:rsidP="00CA2AE8">
      <w:pPr>
        <w:pStyle w:val="AERbodytext"/>
        <w:numPr>
          <w:ilvl w:val="0"/>
          <w:numId w:val="13"/>
        </w:numPr>
      </w:pPr>
      <w:r>
        <w:t>where:</w:t>
      </w:r>
    </w:p>
    <w:p w:rsidR="00CA2AE8" w:rsidRDefault="00CA2AE8" w:rsidP="00CA2AE8">
      <w:pPr>
        <w:pStyle w:val="AERbodytext"/>
        <w:numPr>
          <w:ilvl w:val="0"/>
          <w:numId w:val="13"/>
        </w:numPr>
      </w:pPr>
      <w:r>
        <w:t xml:space="preserve"> </w:t>
      </w:r>
      <w:r>
        <w:tab/>
        <w:t>AR</w:t>
      </w:r>
      <w:r>
        <w:tab/>
        <w:t>=</w:t>
      </w:r>
      <w:r>
        <w:tab/>
        <w:t>the allowed revenue</w:t>
      </w:r>
    </w:p>
    <w:p w:rsidR="00CA2AE8" w:rsidRDefault="00CA2AE8" w:rsidP="00CA2AE8">
      <w:pPr>
        <w:pStyle w:val="AERbodytext"/>
        <w:numPr>
          <w:ilvl w:val="0"/>
          <w:numId w:val="13"/>
        </w:numPr>
      </w:pPr>
      <w:r>
        <w:t xml:space="preserve"> </w:t>
      </w:r>
      <w:r>
        <w:tab/>
      </w:r>
      <w:r w:rsidRPr="00FB4ACE">
        <w:rPr>
          <w:rStyle w:val="AERtextitalic"/>
        </w:rPr>
        <w:t>t</w:t>
      </w:r>
      <w:r>
        <w:tab/>
        <w:t>=</w:t>
      </w:r>
      <w:r>
        <w:tab/>
        <w:t xml:space="preserve">time period/financial year (for </w:t>
      </w:r>
      <w:r w:rsidRPr="00342793">
        <w:rPr>
          <w:rStyle w:val="AERtextitalic"/>
        </w:rPr>
        <w:t>t</w:t>
      </w:r>
      <w:r w:rsidRPr="00D440CA">
        <w:t xml:space="preserve"> </w:t>
      </w:r>
      <w:r>
        <w:t>= 2, 3)</w:t>
      </w:r>
    </w:p>
    <w:p w:rsidR="00CA2AE8" w:rsidRDefault="00CA2AE8" w:rsidP="00CA2AE8">
      <w:pPr>
        <w:pStyle w:val="AERbodytext"/>
        <w:numPr>
          <w:ilvl w:val="0"/>
          <w:numId w:val="13"/>
        </w:numPr>
      </w:pPr>
      <w:r>
        <w:t xml:space="preserve"> </w:t>
      </w:r>
      <w:r>
        <w:tab/>
        <w:t>∆CPI</w:t>
      </w:r>
      <w:r>
        <w:tab/>
        <w:t>=</w:t>
      </w:r>
      <w:r>
        <w:tab/>
        <w:t xml:space="preserve">the annual percentage change in the ABS </w:t>
      </w:r>
      <w:r w:rsidR="00E12A44">
        <w:t>C</w:t>
      </w:r>
      <w:r w:rsidRPr="00D40018">
        <w:t xml:space="preserve">onsumer price index </w:t>
      </w:r>
      <w:r>
        <w:tab/>
      </w:r>
      <w:r w:rsidR="00A228A1">
        <w:t>(CPI)</w:t>
      </w:r>
      <w:r>
        <w:tab/>
      </w:r>
      <w:r>
        <w:tab/>
      </w:r>
      <w:r>
        <w:tab/>
      </w:r>
      <w:r>
        <w:tab/>
      </w:r>
      <w:r w:rsidRPr="00D40018">
        <w:t>all groups, weighted average of eight capital cities</w:t>
      </w:r>
      <w:r>
        <w:t xml:space="preserve"> from </w:t>
      </w:r>
      <w:r w:rsidR="00E12A44">
        <w:t xml:space="preserve">September </w:t>
      </w:r>
      <w:r>
        <w:tab/>
      </w:r>
      <w:r>
        <w:tab/>
      </w:r>
      <w:r>
        <w:tab/>
      </w:r>
      <w:r>
        <w:tab/>
        <w:t xml:space="preserve">in year </w:t>
      </w:r>
      <w:r w:rsidRPr="00CA2AE8">
        <w:t>t</w:t>
      </w:r>
      <w:r>
        <w:t xml:space="preserve"> – 2 to </w:t>
      </w:r>
      <w:r w:rsidR="00E12A44">
        <w:t>September</w:t>
      </w:r>
      <w:r w:rsidR="00E12A44" w:rsidDel="00E12A44">
        <w:t xml:space="preserve"> </w:t>
      </w:r>
      <w:r>
        <w:t xml:space="preserve">in year </w:t>
      </w:r>
      <w:r w:rsidRPr="00CA2AE8">
        <w:t>t</w:t>
      </w:r>
      <w:r>
        <w:t xml:space="preserve"> – 1</w:t>
      </w:r>
      <w:r w:rsidR="002D7BC0">
        <w:rPr>
          <w:rStyle w:val="FootnoteReference"/>
        </w:rPr>
        <w:footnoteReference w:id="4"/>
      </w:r>
    </w:p>
    <w:p w:rsidR="00CA2AE8" w:rsidRDefault="00CA2AE8" w:rsidP="00CA2AE8">
      <w:pPr>
        <w:pStyle w:val="AERbodytext"/>
        <w:numPr>
          <w:ilvl w:val="0"/>
          <w:numId w:val="13"/>
        </w:numPr>
      </w:pPr>
      <w:r>
        <w:t xml:space="preserve"> </w:t>
      </w:r>
      <w:r>
        <w:tab/>
        <w:t>X</w:t>
      </w:r>
      <w:r>
        <w:tab/>
        <w:t>=</w:t>
      </w:r>
      <w:r>
        <w:tab/>
        <w:t>the smoothing factor</w:t>
      </w:r>
      <w:r w:rsidR="00FB4ACE">
        <w:t xml:space="preserve"> of 3.24 per cent</w:t>
      </w:r>
      <w:r>
        <w:t>.</w:t>
      </w:r>
    </w:p>
    <w:p w:rsidR="00CA2AE8" w:rsidRDefault="00CA2AE8" w:rsidP="00CA2AE8">
      <w:pPr>
        <w:pStyle w:val="AERbodytext"/>
        <w:numPr>
          <w:ilvl w:val="0"/>
          <w:numId w:val="13"/>
        </w:numPr>
      </w:pPr>
      <w:r>
        <w:t>The MAR is determined annually by adding to (or deducting from) the AR</w:t>
      </w:r>
      <w:r w:rsidR="00DA278F">
        <w:t>:</w:t>
      </w:r>
      <w:r>
        <w:t xml:space="preserve"> </w:t>
      </w:r>
    </w:p>
    <w:p w:rsidR="00DA278F" w:rsidRDefault="00DA278F" w:rsidP="00342793">
      <w:pPr>
        <w:pStyle w:val="AERbulletlistfirststyle"/>
      </w:pPr>
      <w:r>
        <w:t>the service target performance incentive scheme revenue increment (or revenue decrement)</w:t>
      </w:r>
      <w:r>
        <w:rPr>
          <w:rStyle w:val="FootnoteReference"/>
        </w:rPr>
        <w:footnoteReference w:id="5"/>
      </w:r>
    </w:p>
    <w:p w:rsidR="00DA278F" w:rsidRDefault="00DA278F" w:rsidP="00342793">
      <w:pPr>
        <w:pStyle w:val="AERbulletlistfirststyle"/>
      </w:pPr>
      <w:proofErr w:type="gramStart"/>
      <w:r>
        <w:t>any</w:t>
      </w:r>
      <w:proofErr w:type="gramEnd"/>
      <w:r>
        <w:t xml:space="preserve"> approved pass through amounts.</w:t>
      </w:r>
      <w:r>
        <w:rPr>
          <w:rStyle w:val="FootnoteReference"/>
        </w:rPr>
        <w:footnoteReference w:id="6"/>
      </w:r>
    </w:p>
    <w:p w:rsidR="006731C3" w:rsidRDefault="006731C3" w:rsidP="00342793">
      <w:pPr>
        <w:pStyle w:val="AERbodytext"/>
      </w:pPr>
      <w:r>
        <w:fldChar w:fldCharType="begin"/>
      </w:r>
      <w:r>
        <w:instrText xml:space="preserve"> REF _Ref377546648 \h </w:instrText>
      </w:r>
      <w:r>
        <w:fldChar w:fldCharType="separate"/>
      </w:r>
      <w:r w:rsidR="00B42368">
        <w:t xml:space="preserve">Table </w:t>
      </w:r>
      <w:r w:rsidR="00B42368">
        <w:rPr>
          <w:noProof/>
        </w:rPr>
        <w:t>1</w:t>
      </w:r>
      <w:r w:rsidR="00B42368">
        <w:t>.</w:t>
      </w:r>
      <w:r w:rsidR="00B42368">
        <w:rPr>
          <w:noProof/>
        </w:rPr>
        <w:t>3</w:t>
      </w:r>
      <w:r>
        <w:fldChar w:fldCharType="end"/>
      </w:r>
      <w:r>
        <w:t xml:space="preserve"> sets out the timing of the annual calculation of the AR and performance incentive:</w:t>
      </w:r>
    </w:p>
    <w:p w:rsidR="00CA2AE8" w:rsidRDefault="00CA2AE8" w:rsidP="00CA2AE8">
      <w:pPr>
        <w:pStyle w:val="AERbodytext"/>
        <w:numPr>
          <w:ilvl w:val="0"/>
          <w:numId w:val="13"/>
        </w:numPr>
      </w:pPr>
      <w:r>
        <w:tab/>
      </w:r>
      <w:proofErr w:type="spellStart"/>
      <w:r w:rsidR="00AF20FA">
        <w:t>MAR</w:t>
      </w:r>
      <w:r w:rsidR="00AF20FA" w:rsidRPr="004F32D1">
        <w:rPr>
          <w:rStyle w:val="AERtextitalic"/>
          <w:sz w:val="16"/>
          <w:szCs w:val="16"/>
        </w:rPr>
        <w:t>t</w:t>
      </w:r>
      <w:proofErr w:type="spellEnd"/>
      <w:r>
        <w:tab/>
        <w:t>=</w:t>
      </w:r>
      <w:r>
        <w:tab/>
        <w:t>allowed revenue + performance incentive + pass through</w:t>
      </w:r>
    </w:p>
    <w:p w:rsidR="00CA2AE8" w:rsidRPr="00976461" w:rsidRDefault="00CA2AE8" w:rsidP="00CA2AE8">
      <w:pPr>
        <w:pStyle w:val="AERbodytext"/>
        <w:numPr>
          <w:ilvl w:val="0"/>
          <w:numId w:val="13"/>
        </w:numPr>
      </w:pPr>
      <w:r>
        <w:tab/>
      </w:r>
      <w:r>
        <w:tab/>
        <w:t>=</w:t>
      </w:r>
      <w:r>
        <w:tab/>
      </w:r>
      <w:proofErr w:type="spellStart"/>
      <w:r>
        <w:t>AR</w:t>
      </w:r>
      <w:r w:rsidR="006731C3" w:rsidRPr="004F32D1">
        <w:rPr>
          <w:rStyle w:val="AERtextitalic"/>
          <w:sz w:val="16"/>
          <w:szCs w:val="16"/>
        </w:rPr>
        <w:t>t</w:t>
      </w:r>
      <w:proofErr w:type="spellEnd"/>
      <w:r w:rsidRPr="00AE034B">
        <w:rPr>
          <w:rStyle w:val="AERsubscript"/>
        </w:rPr>
        <w:t xml:space="preserve"> </w:t>
      </w:r>
      <w:r>
        <w:t xml:space="preserve">+ </w:t>
      </w:r>
      <w:r w:rsidR="002A6F55" w:rsidRPr="007942AE">
        <w:rPr>
          <w:position w:val="-30"/>
        </w:rPr>
        <w:object w:dxaOrig="34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36.7pt" o:ole="">
            <v:imagedata r:id="rId17" o:title=""/>
          </v:shape>
          <o:OLEObject Type="Embed" ProgID="Equation.3" ShapeID="_x0000_i1025" DrawAspect="Content" ObjectID="_1452945115" r:id="rId18"/>
        </w:object>
      </w:r>
      <w:r>
        <w:t xml:space="preserve">+ </w:t>
      </w:r>
      <w:proofErr w:type="spellStart"/>
      <w:r>
        <w:t>P</w:t>
      </w:r>
      <w:r w:rsidR="006731C3" w:rsidRPr="004F32D1">
        <w:rPr>
          <w:rStyle w:val="AERtextitalic"/>
          <w:sz w:val="16"/>
          <w:szCs w:val="16"/>
        </w:rPr>
        <w:t>t</w:t>
      </w:r>
      <w:proofErr w:type="spellEnd"/>
      <w:r>
        <w:t xml:space="preserve"> </w:t>
      </w:r>
    </w:p>
    <w:p w:rsidR="00CA2AE8" w:rsidRDefault="00CA2AE8" w:rsidP="00CA2AE8">
      <w:pPr>
        <w:pStyle w:val="AERbodytext"/>
        <w:numPr>
          <w:ilvl w:val="0"/>
          <w:numId w:val="13"/>
        </w:numPr>
      </w:pPr>
      <w:r>
        <w:t>where:</w:t>
      </w:r>
    </w:p>
    <w:p w:rsidR="00CA2AE8" w:rsidRDefault="00CA2AE8" w:rsidP="00CA2AE8">
      <w:pPr>
        <w:pStyle w:val="AERbodytext"/>
        <w:numPr>
          <w:ilvl w:val="0"/>
          <w:numId w:val="13"/>
        </w:numPr>
      </w:pPr>
      <w:r>
        <w:t xml:space="preserve"> </w:t>
      </w:r>
      <w:r>
        <w:tab/>
        <w:t>MAR</w:t>
      </w:r>
      <w:r>
        <w:tab/>
        <w:t>=</w:t>
      </w:r>
      <w:r>
        <w:tab/>
        <w:t>the maximum allowed revenue</w:t>
      </w:r>
    </w:p>
    <w:p w:rsidR="00CA2AE8" w:rsidRDefault="00CA2AE8" w:rsidP="00CA2AE8">
      <w:pPr>
        <w:pStyle w:val="AERbodytext"/>
        <w:numPr>
          <w:ilvl w:val="0"/>
          <w:numId w:val="13"/>
        </w:numPr>
      </w:pPr>
      <w:r>
        <w:t xml:space="preserve"> </w:t>
      </w:r>
      <w:r>
        <w:tab/>
        <w:t>AR</w:t>
      </w:r>
      <w:r>
        <w:tab/>
        <w:t>=</w:t>
      </w:r>
      <w:r>
        <w:tab/>
        <w:t>the allowed revenue</w:t>
      </w:r>
    </w:p>
    <w:p w:rsidR="00CA2AE8" w:rsidRDefault="00CA2AE8" w:rsidP="00CA2AE8">
      <w:pPr>
        <w:pStyle w:val="AERbodytext"/>
        <w:numPr>
          <w:ilvl w:val="0"/>
          <w:numId w:val="13"/>
        </w:numPr>
      </w:pPr>
      <w:r>
        <w:t xml:space="preserve"> </w:t>
      </w:r>
      <w:r>
        <w:tab/>
        <w:t>S</w:t>
      </w:r>
      <w:r>
        <w:tab/>
        <w:t>=</w:t>
      </w:r>
      <w:r>
        <w:tab/>
        <w:t xml:space="preserve">the revenue increment or decrement determined in accordance with </w:t>
      </w:r>
      <w:r>
        <w:tab/>
      </w:r>
      <w:r>
        <w:tab/>
      </w:r>
      <w:r>
        <w:tab/>
      </w:r>
      <w:r>
        <w:tab/>
        <w:t xml:space="preserve">the service target performance incentive scheme </w:t>
      </w:r>
    </w:p>
    <w:p w:rsidR="00CA2AE8" w:rsidRDefault="00CA2AE8" w:rsidP="00CA2AE8">
      <w:pPr>
        <w:pStyle w:val="AERbodytext"/>
        <w:numPr>
          <w:ilvl w:val="0"/>
          <w:numId w:val="13"/>
        </w:numPr>
      </w:pPr>
      <w:r>
        <w:t xml:space="preserve"> </w:t>
      </w:r>
      <w:r>
        <w:tab/>
        <w:t>P</w:t>
      </w:r>
      <w:r>
        <w:tab/>
        <w:t>=</w:t>
      </w:r>
      <w:r>
        <w:tab/>
        <w:t xml:space="preserve">the pass through amount that the AER has determined in </w:t>
      </w:r>
      <w:r>
        <w:tab/>
      </w:r>
      <w:r>
        <w:tab/>
      </w:r>
      <w:r>
        <w:tab/>
      </w:r>
      <w:r>
        <w:tab/>
      </w:r>
      <w:r>
        <w:tab/>
        <w:t xml:space="preserve">accordance with clauses 6A.7.2 and 6A.7.3 of the NER </w:t>
      </w:r>
    </w:p>
    <w:p w:rsidR="00CA2AE8" w:rsidRDefault="00CA2AE8" w:rsidP="00CA2AE8">
      <w:pPr>
        <w:pStyle w:val="AERbodytext"/>
        <w:numPr>
          <w:ilvl w:val="0"/>
          <w:numId w:val="13"/>
        </w:numPr>
      </w:pPr>
      <w:r>
        <w:t xml:space="preserve"> </w:t>
      </w:r>
      <w:r>
        <w:tab/>
      </w:r>
      <w:r w:rsidRPr="00342793">
        <w:rPr>
          <w:rStyle w:val="AERtextitalic"/>
        </w:rPr>
        <w:t>t</w:t>
      </w:r>
      <w:r>
        <w:tab/>
        <w:t>=</w:t>
      </w:r>
      <w:r>
        <w:tab/>
        <w:t xml:space="preserve">time period/financial year (for </w:t>
      </w:r>
      <w:r w:rsidRPr="00342793">
        <w:rPr>
          <w:rStyle w:val="AERtextitalic"/>
        </w:rPr>
        <w:t>t</w:t>
      </w:r>
      <w:r>
        <w:t xml:space="preserve"> = 2, 3)</w:t>
      </w:r>
    </w:p>
    <w:p w:rsidR="00CA2AE8" w:rsidRDefault="00CA2AE8" w:rsidP="00CA2AE8">
      <w:pPr>
        <w:pStyle w:val="AERbodytext"/>
        <w:numPr>
          <w:ilvl w:val="0"/>
          <w:numId w:val="13"/>
        </w:numPr>
      </w:pPr>
      <w:r>
        <w:t xml:space="preserve"> </w:t>
      </w:r>
      <w:r>
        <w:tab/>
      </w:r>
      <w:proofErr w:type="spellStart"/>
      <w:proofErr w:type="gramStart"/>
      <w:r w:rsidRPr="00342793">
        <w:rPr>
          <w:rStyle w:val="AERtextitalic"/>
        </w:rPr>
        <w:t>ct</w:t>
      </w:r>
      <w:proofErr w:type="spellEnd"/>
      <w:proofErr w:type="gramEnd"/>
      <w:r>
        <w:tab/>
        <w:t>=</w:t>
      </w:r>
      <w:r>
        <w:tab/>
        <w:t xml:space="preserve">time period/calendar year (for </w:t>
      </w:r>
      <w:proofErr w:type="spellStart"/>
      <w:r w:rsidRPr="00342793">
        <w:rPr>
          <w:rStyle w:val="AERtextitalic"/>
        </w:rPr>
        <w:t>ct</w:t>
      </w:r>
      <w:proofErr w:type="spellEnd"/>
      <w:r>
        <w:t xml:space="preserve"> = 2, 3).</w:t>
      </w:r>
    </w:p>
    <w:p w:rsidR="00AA66FF" w:rsidRDefault="00AA66FF" w:rsidP="00AA66FF">
      <w:pPr>
        <w:pStyle w:val="AERbodytext"/>
      </w:pPr>
      <w:r w:rsidRPr="005C0B02">
        <w:t>Under the NER, a TNSP must also adjust the MAR for under or over recovery amounts.</w:t>
      </w:r>
      <w:r w:rsidRPr="005C0B02">
        <w:rPr>
          <w:rStyle w:val="FootnoteReference"/>
        </w:rPr>
        <w:footnoteReference w:id="7"/>
      </w:r>
    </w:p>
    <w:p w:rsidR="00CA2AE8" w:rsidRDefault="004418C3" w:rsidP="004418C3">
      <w:pPr>
        <w:pStyle w:val="Caption"/>
      </w:pPr>
      <w:bookmarkStart w:id="11" w:name="_Ref377546648"/>
      <w:proofErr w:type="gramStart"/>
      <w:r>
        <w:lastRenderedPageBreak/>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t>.</w:t>
      </w:r>
      <w:proofErr w:type="gramEnd"/>
      <w:r w:rsidR="007E4809">
        <w:fldChar w:fldCharType="begin"/>
      </w:r>
      <w:r w:rsidR="007E4809">
        <w:instrText xml:space="preserve"> SEQ Table \* ARABIC \s 1 </w:instrText>
      </w:r>
      <w:r w:rsidR="007E4809">
        <w:fldChar w:fldCharType="separate"/>
      </w:r>
      <w:r w:rsidR="00B42368">
        <w:rPr>
          <w:noProof/>
        </w:rPr>
        <w:t>3</w:t>
      </w:r>
      <w:r w:rsidR="007E4809">
        <w:rPr>
          <w:noProof/>
        </w:rPr>
        <w:fldChar w:fldCharType="end"/>
      </w:r>
      <w:bookmarkEnd w:id="11"/>
      <w:r>
        <w:tab/>
        <w:t>Timing of annual calculation of annual revenue an</w:t>
      </w:r>
      <w:r w:rsidR="007A7879">
        <w:t>d</w:t>
      </w:r>
      <w:r>
        <w:t xml:space="preserve"> performance incentive</w:t>
      </w:r>
    </w:p>
    <w:tbl>
      <w:tblPr>
        <w:tblStyle w:val="AERtable-text"/>
        <w:tblW w:w="0" w:type="auto"/>
        <w:tblLook w:val="04A0" w:firstRow="1" w:lastRow="0" w:firstColumn="1" w:lastColumn="0" w:noHBand="0" w:noVBand="1"/>
      </w:tblPr>
      <w:tblGrid>
        <w:gridCol w:w="1101"/>
        <w:gridCol w:w="3519"/>
        <w:gridCol w:w="1158"/>
        <w:gridCol w:w="3464"/>
      </w:tblGrid>
      <w:tr w:rsidR="00CA2AE8" w:rsidTr="001B26CC">
        <w:trPr>
          <w:cnfStyle w:val="100000000000" w:firstRow="1" w:lastRow="0" w:firstColumn="0" w:lastColumn="0" w:oddVBand="0" w:evenVBand="0" w:oddHBand="0" w:evenHBand="0" w:firstRowFirstColumn="0" w:firstRowLastColumn="0" w:lastRowFirstColumn="0" w:lastRowLastColumn="0"/>
        </w:trPr>
        <w:tc>
          <w:tcPr>
            <w:tcW w:w="1101" w:type="dxa"/>
          </w:tcPr>
          <w:p w:rsidR="00CA2AE8" w:rsidRPr="00CA2AE8" w:rsidRDefault="00CA2AE8" w:rsidP="00CA2AE8">
            <w:pPr>
              <w:pStyle w:val="AERbodytext"/>
              <w:numPr>
                <w:ilvl w:val="0"/>
                <w:numId w:val="13"/>
              </w:numPr>
              <w:rPr>
                <w:rStyle w:val="AERtextitalic"/>
              </w:rPr>
            </w:pPr>
            <w:r w:rsidRPr="00CA2AE8">
              <w:rPr>
                <w:rStyle w:val="AERtextitalic"/>
              </w:rPr>
              <w:t>t</w:t>
            </w:r>
          </w:p>
        </w:tc>
        <w:tc>
          <w:tcPr>
            <w:tcW w:w="3519" w:type="dxa"/>
          </w:tcPr>
          <w:p w:rsidR="00CA2AE8" w:rsidRPr="00CA2AE8" w:rsidRDefault="00CA2AE8" w:rsidP="00CA2AE8">
            <w:pPr>
              <w:pStyle w:val="AERbodytext"/>
              <w:numPr>
                <w:ilvl w:val="0"/>
                <w:numId w:val="13"/>
              </w:numPr>
            </w:pPr>
            <w:r w:rsidRPr="00CA2AE8">
              <w:t>Allowed revenue (financial year)</w:t>
            </w:r>
          </w:p>
        </w:tc>
        <w:tc>
          <w:tcPr>
            <w:tcW w:w="1158" w:type="dxa"/>
          </w:tcPr>
          <w:p w:rsidR="00CA2AE8" w:rsidRPr="00CA2AE8" w:rsidRDefault="00CA2AE8" w:rsidP="00CA2AE8">
            <w:pPr>
              <w:pStyle w:val="AERbodytext"/>
              <w:numPr>
                <w:ilvl w:val="0"/>
                <w:numId w:val="13"/>
              </w:numPr>
              <w:rPr>
                <w:rStyle w:val="AERtextitalic"/>
              </w:rPr>
            </w:pPr>
            <w:proofErr w:type="spellStart"/>
            <w:r w:rsidRPr="00CA2AE8">
              <w:rPr>
                <w:rStyle w:val="AERtextitalic"/>
              </w:rPr>
              <w:t>ct</w:t>
            </w:r>
            <w:proofErr w:type="spellEnd"/>
          </w:p>
        </w:tc>
        <w:tc>
          <w:tcPr>
            <w:tcW w:w="3464" w:type="dxa"/>
          </w:tcPr>
          <w:p w:rsidR="00CA2AE8" w:rsidRPr="00CA2AE8" w:rsidRDefault="00CA2AE8" w:rsidP="00CA2AE8">
            <w:pPr>
              <w:pStyle w:val="AERbodytext"/>
              <w:numPr>
                <w:ilvl w:val="0"/>
                <w:numId w:val="13"/>
              </w:numPr>
            </w:pPr>
            <w:r w:rsidRPr="00CA2AE8">
              <w:t>Performance incentive (calendar year)</w:t>
            </w:r>
          </w:p>
        </w:tc>
      </w:tr>
      <w:tr w:rsidR="00CA2AE8" w:rsidTr="001B26CC">
        <w:tc>
          <w:tcPr>
            <w:tcW w:w="1101" w:type="dxa"/>
          </w:tcPr>
          <w:p w:rsidR="00CA2AE8" w:rsidRPr="00CA2AE8" w:rsidRDefault="00CA2AE8" w:rsidP="00CA2AE8">
            <w:pPr>
              <w:pStyle w:val="AERbodytext"/>
              <w:numPr>
                <w:ilvl w:val="0"/>
                <w:numId w:val="13"/>
              </w:numPr>
            </w:pPr>
            <w:r w:rsidRPr="00CA2AE8">
              <w:t>2</w:t>
            </w:r>
          </w:p>
        </w:tc>
        <w:tc>
          <w:tcPr>
            <w:tcW w:w="3519" w:type="dxa"/>
          </w:tcPr>
          <w:p w:rsidR="00CA2AE8" w:rsidRPr="00CA2AE8" w:rsidRDefault="00CA2AE8" w:rsidP="001B26CC">
            <w:pPr>
              <w:pStyle w:val="AERbodytext"/>
              <w:numPr>
                <w:ilvl w:val="0"/>
                <w:numId w:val="13"/>
              </w:numPr>
            </w:pPr>
            <w:r w:rsidRPr="00CA2AE8">
              <w:t xml:space="preserve">1 </w:t>
            </w:r>
            <w:r w:rsidR="001B26CC">
              <w:t>April 2015–31 March 2016</w:t>
            </w:r>
          </w:p>
        </w:tc>
        <w:tc>
          <w:tcPr>
            <w:tcW w:w="1158" w:type="dxa"/>
          </w:tcPr>
          <w:p w:rsidR="00CA2AE8" w:rsidRPr="00CA2AE8" w:rsidRDefault="00CA2AE8" w:rsidP="00CA2AE8">
            <w:pPr>
              <w:pStyle w:val="AERbodytext"/>
              <w:numPr>
                <w:ilvl w:val="0"/>
                <w:numId w:val="13"/>
              </w:numPr>
            </w:pPr>
            <w:r w:rsidRPr="00CA2AE8">
              <w:t>2</w:t>
            </w:r>
          </w:p>
        </w:tc>
        <w:tc>
          <w:tcPr>
            <w:tcW w:w="3464" w:type="dxa"/>
          </w:tcPr>
          <w:p w:rsidR="00CA2AE8" w:rsidRPr="00CA2AE8" w:rsidRDefault="001B26CC" w:rsidP="00CA2AE8">
            <w:pPr>
              <w:pStyle w:val="AERbodytext"/>
              <w:numPr>
                <w:ilvl w:val="0"/>
                <w:numId w:val="13"/>
              </w:numPr>
            </w:pPr>
            <w:r>
              <w:t>1 January 2014–31 December 2014</w:t>
            </w:r>
          </w:p>
        </w:tc>
      </w:tr>
      <w:tr w:rsidR="00CA2AE8" w:rsidTr="001B26CC">
        <w:trPr>
          <w:cnfStyle w:val="000000010000" w:firstRow="0" w:lastRow="0" w:firstColumn="0" w:lastColumn="0" w:oddVBand="0" w:evenVBand="0" w:oddHBand="0" w:evenHBand="1" w:firstRowFirstColumn="0" w:firstRowLastColumn="0" w:lastRowFirstColumn="0" w:lastRowLastColumn="0"/>
        </w:trPr>
        <w:tc>
          <w:tcPr>
            <w:tcW w:w="1101" w:type="dxa"/>
          </w:tcPr>
          <w:p w:rsidR="00CA2AE8" w:rsidRPr="00CA2AE8" w:rsidRDefault="00CA2AE8" w:rsidP="00CA2AE8">
            <w:pPr>
              <w:pStyle w:val="AERbodytext"/>
              <w:numPr>
                <w:ilvl w:val="0"/>
                <w:numId w:val="13"/>
              </w:numPr>
            </w:pPr>
            <w:r w:rsidRPr="00CA2AE8">
              <w:t>3</w:t>
            </w:r>
          </w:p>
        </w:tc>
        <w:tc>
          <w:tcPr>
            <w:tcW w:w="3519" w:type="dxa"/>
          </w:tcPr>
          <w:p w:rsidR="00CA2AE8" w:rsidRPr="00CA2AE8" w:rsidRDefault="00CA2AE8" w:rsidP="001B26CC">
            <w:pPr>
              <w:pStyle w:val="AERbodytext"/>
              <w:numPr>
                <w:ilvl w:val="0"/>
                <w:numId w:val="13"/>
              </w:numPr>
            </w:pPr>
            <w:r w:rsidRPr="00CA2AE8">
              <w:t xml:space="preserve">1 </w:t>
            </w:r>
            <w:r w:rsidR="001B26CC">
              <w:t>April 2016–31 March 2017</w:t>
            </w:r>
          </w:p>
        </w:tc>
        <w:tc>
          <w:tcPr>
            <w:tcW w:w="1158" w:type="dxa"/>
          </w:tcPr>
          <w:p w:rsidR="00CA2AE8" w:rsidRPr="00CA2AE8" w:rsidRDefault="00CA2AE8" w:rsidP="00CA2AE8">
            <w:pPr>
              <w:pStyle w:val="AERbodytext"/>
              <w:numPr>
                <w:ilvl w:val="0"/>
                <w:numId w:val="13"/>
              </w:numPr>
            </w:pPr>
            <w:r w:rsidRPr="00CA2AE8">
              <w:t>3</w:t>
            </w:r>
          </w:p>
        </w:tc>
        <w:tc>
          <w:tcPr>
            <w:tcW w:w="3464" w:type="dxa"/>
          </w:tcPr>
          <w:p w:rsidR="00CA2AE8" w:rsidRPr="00CA2AE8" w:rsidRDefault="001B26CC" w:rsidP="00CA2AE8">
            <w:pPr>
              <w:pStyle w:val="AERbodytext"/>
              <w:numPr>
                <w:ilvl w:val="0"/>
                <w:numId w:val="13"/>
              </w:numPr>
            </w:pPr>
            <w:r>
              <w:t>1 January 2015–31 December 2015</w:t>
            </w:r>
          </w:p>
        </w:tc>
      </w:tr>
    </w:tbl>
    <w:p w:rsidR="00CA2AE8" w:rsidRDefault="00CA2AE8" w:rsidP="00CA2AE8">
      <w:pPr>
        <w:pStyle w:val="AERbodytext"/>
        <w:numPr>
          <w:ilvl w:val="0"/>
          <w:numId w:val="13"/>
        </w:numPr>
      </w:pPr>
    </w:p>
    <w:p w:rsidR="00CA2AE8" w:rsidRPr="001B26CC" w:rsidRDefault="00CA2AE8" w:rsidP="00CA2AE8">
      <w:pPr>
        <w:rPr>
          <w:rStyle w:val="AERtextbold"/>
        </w:rPr>
      </w:pPr>
      <w:r w:rsidRPr="001B26CC">
        <w:rPr>
          <w:rStyle w:val="AERtextbold"/>
        </w:rPr>
        <w:t>Method for indexation of the regulatory asset base</w:t>
      </w:r>
    </w:p>
    <w:p w:rsidR="00CA2AE8" w:rsidRDefault="00CA2AE8" w:rsidP="00CA2AE8">
      <w:pPr>
        <w:pStyle w:val="AERbodytext"/>
        <w:numPr>
          <w:ilvl w:val="0"/>
          <w:numId w:val="13"/>
        </w:numPr>
      </w:pPr>
      <w:r>
        <w:t xml:space="preserve">The AER has determined that the method for indexing SP </w:t>
      </w:r>
      <w:proofErr w:type="spellStart"/>
      <w:r>
        <w:t>AusNet’s</w:t>
      </w:r>
      <w:proofErr w:type="spellEnd"/>
      <w:r>
        <w:t xml:space="preserve"> RAB for each year of the </w:t>
      </w:r>
      <w:r w:rsidR="000779D8">
        <w:t xml:space="preserve">2014–17 </w:t>
      </w:r>
      <w:r>
        <w:t xml:space="preserve">regulatory control period will be the same as that used to escalate its AR for that relevant year—that is, to apply the annual percentage change in the most recently published Australian Bureau of Statistics’ (ABS) CPI all groups, weighted average of eight capital cities. For SP </w:t>
      </w:r>
      <w:proofErr w:type="spellStart"/>
      <w:r>
        <w:t>AusNet</w:t>
      </w:r>
      <w:proofErr w:type="spellEnd"/>
      <w:r>
        <w:t xml:space="preserve">, this will be the </w:t>
      </w:r>
      <w:r w:rsidR="000779D8">
        <w:t xml:space="preserve">September </w:t>
      </w:r>
      <w:r>
        <w:t xml:space="preserve">quarter CPI. This method will be used to roll forward SP </w:t>
      </w:r>
      <w:proofErr w:type="spellStart"/>
      <w:r>
        <w:t>AusNet’s</w:t>
      </w:r>
      <w:proofErr w:type="spellEnd"/>
      <w:r>
        <w:t xml:space="preserve"> RAB for the purposes of the AER’s transmission revenue determination for the regulatory</w:t>
      </w:r>
      <w:r w:rsidR="004418C3">
        <w:t xml:space="preserve"> control period commencing on 1 April 2017</w:t>
      </w:r>
      <w:r>
        <w:t>.</w:t>
      </w:r>
    </w:p>
    <w:p w:rsidR="00CA2AE8" w:rsidRPr="001B26CC" w:rsidRDefault="00CA2AE8" w:rsidP="00CA2AE8">
      <w:pPr>
        <w:rPr>
          <w:rStyle w:val="AERtextbold"/>
        </w:rPr>
      </w:pPr>
      <w:r w:rsidRPr="001B26CC">
        <w:rPr>
          <w:rStyle w:val="AERtextbold"/>
        </w:rPr>
        <w:t>Performance incentive scheme parameters</w:t>
      </w:r>
    </w:p>
    <w:p w:rsidR="00CA2AE8" w:rsidRPr="008D265C" w:rsidRDefault="00CA2AE8" w:rsidP="00CA2AE8">
      <w:pPr>
        <w:pStyle w:val="AERbodytext"/>
        <w:numPr>
          <w:ilvl w:val="0"/>
          <w:numId w:val="13"/>
        </w:numPr>
      </w:pPr>
      <w:r w:rsidRPr="008D265C">
        <w:t xml:space="preserve">The AER has determined the values for the performance targets, caps, collars and weightings for each of the parameters for the service component of the </w:t>
      </w:r>
      <w:r w:rsidR="002D6BFB">
        <w:t>service target performance incentive scheme (</w:t>
      </w:r>
      <w:r w:rsidRPr="008D265C">
        <w:t>STPIS</w:t>
      </w:r>
      <w:r w:rsidR="002D6BFB">
        <w:t>)</w:t>
      </w:r>
      <w:r w:rsidRPr="008D265C">
        <w:t xml:space="preserve"> applicable to </w:t>
      </w:r>
      <w:r>
        <w:t xml:space="preserve">SP </w:t>
      </w:r>
      <w:proofErr w:type="spellStart"/>
      <w:r>
        <w:t>AusNet</w:t>
      </w:r>
      <w:proofErr w:type="spellEnd"/>
      <w:r w:rsidRPr="008D265C">
        <w:t xml:space="preserve"> for the </w:t>
      </w:r>
      <w:r>
        <w:t>2014–17</w:t>
      </w:r>
      <w:r w:rsidRPr="008D265C">
        <w:t xml:space="preserve"> regulatory control </w:t>
      </w:r>
      <w:proofErr w:type="gramStart"/>
      <w:r w:rsidRPr="008D265C">
        <w:t>period</w:t>
      </w:r>
      <w:proofErr w:type="gramEnd"/>
      <w:r w:rsidRPr="008D265C">
        <w:t>.</w:t>
      </w:r>
      <w:r w:rsidR="00C96306">
        <w:rPr>
          <w:rStyle w:val="FootnoteReference"/>
        </w:rPr>
        <w:footnoteReference w:id="8"/>
      </w:r>
      <w:r w:rsidRPr="008D265C">
        <w:t xml:space="preserve"> These are shown in </w:t>
      </w:r>
      <w:r w:rsidR="002E7359">
        <w:t>table </w:t>
      </w:r>
      <w:r w:rsidR="002E5FEA">
        <w:t xml:space="preserve">1.4. </w:t>
      </w:r>
    </w:p>
    <w:p w:rsidR="003F409F" w:rsidRDefault="003F409F">
      <w:pPr>
        <w:spacing w:after="0" w:line="240" w:lineRule="auto"/>
        <w:jc w:val="left"/>
        <w:rPr>
          <w:rFonts w:eastAsia="Times New Roman"/>
          <w:b/>
          <w:bCs/>
          <w:szCs w:val="18"/>
        </w:rPr>
      </w:pPr>
      <w:r>
        <w:br w:type="page"/>
      </w:r>
    </w:p>
    <w:p w:rsidR="00CA2AE8" w:rsidRPr="001D52B3" w:rsidRDefault="00CA2AE8" w:rsidP="00CA2AE8">
      <w:pPr>
        <w:pStyle w:val="Caption"/>
      </w:pPr>
      <w:proofErr w:type="gramStart"/>
      <w:r>
        <w:lastRenderedPageBreak/>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rsidR="004418C3">
        <w:t>.</w:t>
      </w:r>
      <w:proofErr w:type="gramEnd"/>
      <w:r w:rsidR="007E4809">
        <w:fldChar w:fldCharType="begin"/>
      </w:r>
      <w:r w:rsidR="007E4809">
        <w:instrText xml:space="preserve"> SEQ Table \* ARABIC \s 1 </w:instrText>
      </w:r>
      <w:r w:rsidR="007E4809">
        <w:fldChar w:fldCharType="separate"/>
      </w:r>
      <w:r w:rsidR="00B42368">
        <w:rPr>
          <w:noProof/>
        </w:rPr>
        <w:t>4</w:t>
      </w:r>
      <w:r w:rsidR="007E4809">
        <w:rPr>
          <w:noProof/>
        </w:rPr>
        <w:fldChar w:fldCharType="end"/>
      </w:r>
      <w:r>
        <w:tab/>
        <w:t xml:space="preserve">SP </w:t>
      </w:r>
      <w:proofErr w:type="spellStart"/>
      <w:r>
        <w:t>AusNet</w:t>
      </w:r>
      <w:proofErr w:type="spellEnd"/>
      <w:r>
        <w:t xml:space="preserve"> service component performance targets, caps, collars and weightings to apply for the 2014–17 regulatory control period</w:t>
      </w:r>
    </w:p>
    <w:tbl>
      <w:tblPr>
        <w:tblStyle w:val="AERtable-text"/>
        <w:tblW w:w="0" w:type="auto"/>
        <w:tblLook w:val="04A0" w:firstRow="1" w:lastRow="0" w:firstColumn="1" w:lastColumn="0" w:noHBand="0" w:noVBand="1"/>
      </w:tblPr>
      <w:tblGrid>
        <w:gridCol w:w="4494"/>
        <w:gridCol w:w="995"/>
        <w:gridCol w:w="995"/>
        <w:gridCol w:w="995"/>
        <w:gridCol w:w="1701"/>
      </w:tblGrid>
      <w:tr w:rsidR="00CA2AE8" w:rsidTr="001B26CC">
        <w:trPr>
          <w:cnfStyle w:val="100000000000" w:firstRow="1" w:lastRow="0" w:firstColumn="0" w:lastColumn="0" w:oddVBand="0" w:evenVBand="0" w:oddHBand="0" w:evenHBand="0" w:firstRowFirstColumn="0" w:firstRowLastColumn="0" w:lastRowFirstColumn="0" w:lastRowLastColumn="0"/>
        </w:trPr>
        <w:tc>
          <w:tcPr>
            <w:tcW w:w="4494" w:type="dxa"/>
          </w:tcPr>
          <w:p w:rsidR="00CA2AE8" w:rsidRPr="00CA2AE8" w:rsidRDefault="00CA2AE8" w:rsidP="00CA2AE8">
            <w:pPr>
              <w:pStyle w:val="AERbodytext"/>
            </w:pPr>
            <w:r w:rsidRPr="00CA2AE8">
              <w:t>Service component parameters</w:t>
            </w:r>
          </w:p>
        </w:tc>
        <w:tc>
          <w:tcPr>
            <w:tcW w:w="995" w:type="dxa"/>
          </w:tcPr>
          <w:p w:rsidR="00CA2AE8" w:rsidRPr="00CA2AE8" w:rsidRDefault="00CA2AE8" w:rsidP="00CA2AE8">
            <w:pPr>
              <w:pStyle w:val="AERtabletextright"/>
            </w:pPr>
            <w:r w:rsidRPr="00CA2AE8">
              <w:t>Collar</w:t>
            </w:r>
          </w:p>
        </w:tc>
        <w:tc>
          <w:tcPr>
            <w:tcW w:w="995" w:type="dxa"/>
          </w:tcPr>
          <w:p w:rsidR="00CA2AE8" w:rsidRPr="00CA2AE8" w:rsidRDefault="00CA2AE8" w:rsidP="00CA2AE8">
            <w:pPr>
              <w:pStyle w:val="AERtabletextright"/>
            </w:pPr>
            <w:r w:rsidRPr="00CA2AE8">
              <w:t>Target</w:t>
            </w:r>
          </w:p>
        </w:tc>
        <w:tc>
          <w:tcPr>
            <w:tcW w:w="995" w:type="dxa"/>
          </w:tcPr>
          <w:p w:rsidR="00CA2AE8" w:rsidRPr="00CA2AE8" w:rsidRDefault="00CA2AE8" w:rsidP="00CA2AE8">
            <w:pPr>
              <w:pStyle w:val="AERtabletextright"/>
            </w:pPr>
            <w:r w:rsidRPr="00CA2AE8">
              <w:t>Cap</w:t>
            </w:r>
          </w:p>
        </w:tc>
        <w:tc>
          <w:tcPr>
            <w:tcW w:w="1701" w:type="dxa"/>
          </w:tcPr>
          <w:p w:rsidR="00CA2AE8" w:rsidRPr="00CA2AE8" w:rsidRDefault="00CA2AE8" w:rsidP="00CA2AE8">
            <w:pPr>
              <w:pStyle w:val="AERtabletextright"/>
            </w:pPr>
            <w:r w:rsidRPr="00CA2AE8">
              <w:t xml:space="preserve">Weightings </w:t>
            </w:r>
            <w:r w:rsidRPr="00CA2AE8">
              <w:br/>
              <w:t>(per cent of MAR)</w:t>
            </w:r>
          </w:p>
        </w:tc>
      </w:tr>
      <w:tr w:rsidR="00CA2AE8" w:rsidTr="001B26CC">
        <w:tc>
          <w:tcPr>
            <w:tcW w:w="4494" w:type="dxa"/>
          </w:tcPr>
          <w:p w:rsidR="00CA2AE8" w:rsidRPr="00CA2AE8" w:rsidRDefault="00624103" w:rsidP="00CA2AE8">
            <w:pPr>
              <w:pStyle w:val="AERbodytext"/>
              <w:rPr>
                <w:rStyle w:val="AERtextbold"/>
              </w:rPr>
            </w:pPr>
            <w:r>
              <w:rPr>
                <w:rStyle w:val="AERtextbold"/>
              </w:rPr>
              <w:t>Average circuit outage rate (%)</w:t>
            </w:r>
          </w:p>
        </w:tc>
        <w:tc>
          <w:tcPr>
            <w:tcW w:w="995" w:type="dxa"/>
          </w:tcPr>
          <w:p w:rsidR="00CA2AE8" w:rsidRDefault="00CA2AE8" w:rsidP="00CA2AE8">
            <w:pPr>
              <w:pStyle w:val="AERtabletextright"/>
            </w:pPr>
          </w:p>
        </w:tc>
        <w:tc>
          <w:tcPr>
            <w:tcW w:w="995" w:type="dxa"/>
          </w:tcPr>
          <w:p w:rsidR="00CA2AE8" w:rsidRDefault="00CA2AE8" w:rsidP="00CA2AE8">
            <w:pPr>
              <w:pStyle w:val="AERtabletextright"/>
            </w:pPr>
          </w:p>
        </w:tc>
        <w:tc>
          <w:tcPr>
            <w:tcW w:w="995" w:type="dxa"/>
          </w:tcPr>
          <w:p w:rsidR="00CA2AE8" w:rsidRDefault="00CA2AE8" w:rsidP="00CA2AE8">
            <w:pPr>
              <w:pStyle w:val="AERtabletextright"/>
            </w:pPr>
          </w:p>
        </w:tc>
        <w:tc>
          <w:tcPr>
            <w:tcW w:w="1701" w:type="dxa"/>
          </w:tcPr>
          <w:p w:rsidR="00CA2AE8" w:rsidRDefault="00CA2AE8" w:rsidP="00CA2AE8">
            <w:pPr>
              <w:pStyle w:val="AERtabletextright"/>
            </w:pPr>
          </w:p>
        </w:tc>
      </w:tr>
      <w:tr w:rsidR="00CA2AE8"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CA2AE8" w:rsidRPr="00CA2AE8" w:rsidRDefault="00624103" w:rsidP="00CA2AE8">
            <w:pPr>
              <w:pStyle w:val="AERbodytext"/>
              <w:numPr>
                <w:ilvl w:val="0"/>
                <w:numId w:val="13"/>
              </w:numPr>
            </w:pPr>
            <w:r>
              <w:t>Line outage – fault</w:t>
            </w:r>
          </w:p>
        </w:tc>
        <w:tc>
          <w:tcPr>
            <w:tcW w:w="995" w:type="dxa"/>
          </w:tcPr>
          <w:p w:rsidR="00CA2AE8" w:rsidRDefault="00624103" w:rsidP="00CA2AE8">
            <w:pPr>
              <w:pStyle w:val="AERtabletextright"/>
            </w:pPr>
            <w:r>
              <w:t>42.0</w:t>
            </w:r>
          </w:p>
        </w:tc>
        <w:tc>
          <w:tcPr>
            <w:tcW w:w="995" w:type="dxa"/>
          </w:tcPr>
          <w:p w:rsidR="00CA2AE8" w:rsidRDefault="00624103" w:rsidP="00CA2AE8">
            <w:pPr>
              <w:pStyle w:val="AERtabletextright"/>
            </w:pPr>
            <w:r>
              <w:t>25.9</w:t>
            </w:r>
          </w:p>
        </w:tc>
        <w:tc>
          <w:tcPr>
            <w:tcW w:w="995" w:type="dxa"/>
          </w:tcPr>
          <w:p w:rsidR="00CA2AE8" w:rsidRDefault="00624103" w:rsidP="00CA2AE8">
            <w:pPr>
              <w:pStyle w:val="AERtabletextright"/>
            </w:pPr>
            <w:r>
              <w:t>14.8</w:t>
            </w:r>
          </w:p>
        </w:tc>
        <w:tc>
          <w:tcPr>
            <w:tcW w:w="1701" w:type="dxa"/>
          </w:tcPr>
          <w:p w:rsidR="00CA2AE8" w:rsidRDefault="00624103" w:rsidP="00CA2AE8">
            <w:pPr>
              <w:pStyle w:val="AERtabletextright"/>
            </w:pPr>
            <w:r>
              <w:t>0.2</w:t>
            </w:r>
          </w:p>
        </w:tc>
      </w:tr>
      <w:tr w:rsidR="00CA2AE8" w:rsidTr="001B26CC">
        <w:tc>
          <w:tcPr>
            <w:tcW w:w="4494" w:type="dxa"/>
          </w:tcPr>
          <w:p w:rsidR="00CA2AE8" w:rsidRPr="00CA2AE8" w:rsidRDefault="00624103" w:rsidP="00CA2AE8">
            <w:pPr>
              <w:pStyle w:val="AERbodytext"/>
              <w:numPr>
                <w:ilvl w:val="0"/>
                <w:numId w:val="13"/>
              </w:numPr>
            </w:pPr>
            <w:r>
              <w:t>Transformer outage – fault</w:t>
            </w:r>
          </w:p>
        </w:tc>
        <w:tc>
          <w:tcPr>
            <w:tcW w:w="995" w:type="dxa"/>
          </w:tcPr>
          <w:p w:rsidR="00CA2AE8" w:rsidRDefault="00624103" w:rsidP="00CA2AE8">
            <w:pPr>
              <w:pStyle w:val="AERtabletextright"/>
            </w:pPr>
            <w:r>
              <w:t>31.7</w:t>
            </w:r>
          </w:p>
        </w:tc>
        <w:tc>
          <w:tcPr>
            <w:tcW w:w="995" w:type="dxa"/>
          </w:tcPr>
          <w:p w:rsidR="00CA2AE8" w:rsidRDefault="00624103" w:rsidP="00CA2AE8">
            <w:pPr>
              <w:pStyle w:val="AERtabletextright"/>
            </w:pPr>
            <w:r>
              <w:t>16.1</w:t>
            </w:r>
          </w:p>
        </w:tc>
        <w:tc>
          <w:tcPr>
            <w:tcW w:w="995" w:type="dxa"/>
          </w:tcPr>
          <w:p w:rsidR="00CA2AE8" w:rsidRDefault="00624103" w:rsidP="00CA2AE8">
            <w:pPr>
              <w:pStyle w:val="AERtabletextright"/>
            </w:pPr>
            <w:r>
              <w:t>7.4</w:t>
            </w:r>
          </w:p>
        </w:tc>
        <w:tc>
          <w:tcPr>
            <w:tcW w:w="1701" w:type="dxa"/>
          </w:tcPr>
          <w:p w:rsidR="00CA2AE8" w:rsidRDefault="00624103" w:rsidP="00CA2AE8">
            <w:pPr>
              <w:pStyle w:val="AERtabletextright"/>
            </w:pPr>
            <w:r>
              <w:t>0.2</w:t>
            </w: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pPr>
            <w:r>
              <w:t>Reactive plant – fault</w:t>
            </w:r>
          </w:p>
        </w:tc>
        <w:tc>
          <w:tcPr>
            <w:tcW w:w="995" w:type="dxa"/>
          </w:tcPr>
          <w:p w:rsidR="00624103" w:rsidRDefault="000A3DFC" w:rsidP="00624103">
            <w:pPr>
              <w:pStyle w:val="AERtabletextright"/>
              <w:tabs>
                <w:tab w:val="num" w:pos="0"/>
              </w:tabs>
            </w:pPr>
            <w:r>
              <w:t>46.4</w:t>
            </w:r>
          </w:p>
        </w:tc>
        <w:tc>
          <w:tcPr>
            <w:tcW w:w="995" w:type="dxa"/>
          </w:tcPr>
          <w:p w:rsidR="00624103" w:rsidRDefault="000A3DFC" w:rsidP="00624103">
            <w:pPr>
              <w:pStyle w:val="AERtabletextright"/>
              <w:tabs>
                <w:tab w:val="num" w:pos="0"/>
              </w:tabs>
            </w:pPr>
            <w:r>
              <w:t>35.1</w:t>
            </w:r>
          </w:p>
        </w:tc>
        <w:tc>
          <w:tcPr>
            <w:tcW w:w="995" w:type="dxa"/>
          </w:tcPr>
          <w:p w:rsidR="00624103" w:rsidRDefault="000A3DFC" w:rsidP="00624103">
            <w:pPr>
              <w:pStyle w:val="AERtabletextright"/>
              <w:tabs>
                <w:tab w:val="num" w:pos="0"/>
              </w:tabs>
            </w:pPr>
            <w:r>
              <w:t>2.5</w:t>
            </w:r>
          </w:p>
        </w:tc>
        <w:tc>
          <w:tcPr>
            <w:tcW w:w="1701" w:type="dxa"/>
          </w:tcPr>
          <w:p w:rsidR="00624103" w:rsidRDefault="00624103" w:rsidP="00624103">
            <w:pPr>
              <w:pStyle w:val="AERtabletextright"/>
              <w:tabs>
                <w:tab w:val="num" w:pos="0"/>
              </w:tabs>
            </w:pPr>
            <w:r>
              <w:t>0.1</w:t>
            </w:r>
          </w:p>
        </w:tc>
      </w:tr>
      <w:tr w:rsidR="00624103" w:rsidTr="001B26CC">
        <w:tc>
          <w:tcPr>
            <w:tcW w:w="4494" w:type="dxa"/>
          </w:tcPr>
          <w:p w:rsidR="00624103" w:rsidRPr="00624103" w:rsidRDefault="00624103" w:rsidP="00624103">
            <w:pPr>
              <w:pStyle w:val="AERtabletextleft"/>
              <w:rPr>
                <w:rStyle w:val="AERtextbold"/>
                <w:b w:val="0"/>
              </w:rPr>
            </w:pPr>
            <w:r w:rsidRPr="00624103">
              <w:rPr>
                <w:rStyle w:val="AERtextbold"/>
                <w:b w:val="0"/>
              </w:rPr>
              <w:t>Line outage – forced</w:t>
            </w:r>
          </w:p>
        </w:tc>
        <w:tc>
          <w:tcPr>
            <w:tcW w:w="995" w:type="dxa"/>
          </w:tcPr>
          <w:p w:rsidR="00624103" w:rsidRDefault="00624103" w:rsidP="00624103">
            <w:pPr>
              <w:pStyle w:val="AERtabletextright"/>
              <w:tabs>
                <w:tab w:val="num" w:pos="0"/>
              </w:tabs>
            </w:pPr>
            <w:r>
              <w:t>17.7</w:t>
            </w:r>
          </w:p>
        </w:tc>
        <w:tc>
          <w:tcPr>
            <w:tcW w:w="995" w:type="dxa"/>
          </w:tcPr>
          <w:p w:rsidR="00624103" w:rsidRDefault="00624103" w:rsidP="00624103">
            <w:pPr>
              <w:pStyle w:val="AERtabletextright"/>
              <w:tabs>
                <w:tab w:val="num" w:pos="0"/>
              </w:tabs>
            </w:pPr>
            <w:r>
              <w:t>14.9</w:t>
            </w:r>
          </w:p>
        </w:tc>
        <w:tc>
          <w:tcPr>
            <w:tcW w:w="995" w:type="dxa"/>
          </w:tcPr>
          <w:p w:rsidR="00624103" w:rsidRDefault="00624103" w:rsidP="00624103">
            <w:pPr>
              <w:pStyle w:val="AERtabletextright"/>
              <w:tabs>
                <w:tab w:val="num" w:pos="0"/>
              </w:tabs>
            </w:pPr>
            <w:r>
              <w:t>12.3</w:t>
            </w:r>
          </w:p>
        </w:tc>
        <w:tc>
          <w:tcPr>
            <w:tcW w:w="1701" w:type="dxa"/>
          </w:tcPr>
          <w:p w:rsidR="00624103" w:rsidRDefault="00624103" w:rsidP="00624103">
            <w:pPr>
              <w:pStyle w:val="AERtabletextright"/>
              <w:tabs>
                <w:tab w:val="num" w:pos="0"/>
              </w:tabs>
            </w:pPr>
            <w:r>
              <w:t>0.0</w:t>
            </w: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624103" w:rsidRDefault="00624103" w:rsidP="00624103">
            <w:pPr>
              <w:pStyle w:val="AERtabletextleft"/>
              <w:rPr>
                <w:rStyle w:val="AERtextbold"/>
                <w:b w:val="0"/>
              </w:rPr>
            </w:pPr>
            <w:r w:rsidRPr="00624103">
              <w:rPr>
                <w:rStyle w:val="AERtextbold"/>
                <w:b w:val="0"/>
              </w:rPr>
              <w:t>Transformer outage – forced</w:t>
            </w:r>
          </w:p>
        </w:tc>
        <w:tc>
          <w:tcPr>
            <w:tcW w:w="995" w:type="dxa"/>
          </w:tcPr>
          <w:p w:rsidR="00624103" w:rsidRDefault="00624103" w:rsidP="00624103">
            <w:pPr>
              <w:pStyle w:val="AERtabletextright"/>
              <w:tabs>
                <w:tab w:val="num" w:pos="0"/>
              </w:tabs>
            </w:pPr>
            <w:r>
              <w:t>17.6</w:t>
            </w:r>
          </w:p>
        </w:tc>
        <w:tc>
          <w:tcPr>
            <w:tcW w:w="995" w:type="dxa"/>
          </w:tcPr>
          <w:p w:rsidR="00624103" w:rsidRDefault="00624103" w:rsidP="00624103">
            <w:pPr>
              <w:pStyle w:val="AERtabletextright"/>
              <w:tabs>
                <w:tab w:val="num" w:pos="0"/>
              </w:tabs>
            </w:pPr>
            <w:r>
              <w:t>12.0</w:t>
            </w:r>
          </w:p>
        </w:tc>
        <w:tc>
          <w:tcPr>
            <w:tcW w:w="995" w:type="dxa"/>
          </w:tcPr>
          <w:p w:rsidR="00624103" w:rsidRDefault="00624103" w:rsidP="00624103">
            <w:pPr>
              <w:pStyle w:val="AERtabletextright"/>
              <w:tabs>
                <w:tab w:val="num" w:pos="0"/>
              </w:tabs>
            </w:pPr>
            <w:r>
              <w:t>6.2</w:t>
            </w:r>
          </w:p>
        </w:tc>
        <w:tc>
          <w:tcPr>
            <w:tcW w:w="1701" w:type="dxa"/>
          </w:tcPr>
          <w:p w:rsidR="00624103" w:rsidRDefault="00624103" w:rsidP="00624103">
            <w:pPr>
              <w:pStyle w:val="AERtabletextright"/>
              <w:tabs>
                <w:tab w:val="num" w:pos="0"/>
              </w:tabs>
            </w:pPr>
            <w:r>
              <w:t>0.0</w:t>
            </w:r>
          </w:p>
        </w:tc>
      </w:tr>
      <w:tr w:rsidR="00624103" w:rsidTr="001B26CC">
        <w:tc>
          <w:tcPr>
            <w:tcW w:w="4494" w:type="dxa"/>
          </w:tcPr>
          <w:p w:rsidR="00624103" w:rsidRPr="00624103" w:rsidRDefault="00624103" w:rsidP="00624103">
            <w:pPr>
              <w:pStyle w:val="AERtabletextleft"/>
              <w:rPr>
                <w:rStyle w:val="AERtextbold"/>
                <w:b w:val="0"/>
              </w:rPr>
            </w:pPr>
            <w:r w:rsidRPr="00624103">
              <w:rPr>
                <w:rStyle w:val="AERtextbold"/>
                <w:b w:val="0"/>
              </w:rPr>
              <w:t>Reactive plant – forced</w:t>
            </w:r>
          </w:p>
        </w:tc>
        <w:tc>
          <w:tcPr>
            <w:tcW w:w="995" w:type="dxa"/>
          </w:tcPr>
          <w:p w:rsidR="00624103" w:rsidRDefault="000A3DFC" w:rsidP="00624103">
            <w:pPr>
              <w:pStyle w:val="AERtabletextright"/>
              <w:tabs>
                <w:tab w:val="num" w:pos="0"/>
              </w:tabs>
            </w:pPr>
            <w:r>
              <w:t>32.7</w:t>
            </w:r>
          </w:p>
        </w:tc>
        <w:tc>
          <w:tcPr>
            <w:tcW w:w="995" w:type="dxa"/>
          </w:tcPr>
          <w:p w:rsidR="00624103" w:rsidRDefault="000A3DFC" w:rsidP="00624103">
            <w:pPr>
              <w:pStyle w:val="AERtabletextright"/>
              <w:tabs>
                <w:tab w:val="num" w:pos="0"/>
              </w:tabs>
            </w:pPr>
            <w:r>
              <w:t>15.4</w:t>
            </w:r>
          </w:p>
        </w:tc>
        <w:tc>
          <w:tcPr>
            <w:tcW w:w="995" w:type="dxa"/>
          </w:tcPr>
          <w:p w:rsidR="00624103" w:rsidRDefault="000A3DFC" w:rsidP="00624103">
            <w:pPr>
              <w:pStyle w:val="AERtabletextright"/>
              <w:tabs>
                <w:tab w:val="num" w:pos="0"/>
              </w:tabs>
            </w:pPr>
            <w:r>
              <w:t>6.2</w:t>
            </w:r>
          </w:p>
        </w:tc>
        <w:tc>
          <w:tcPr>
            <w:tcW w:w="1701" w:type="dxa"/>
          </w:tcPr>
          <w:p w:rsidR="00624103" w:rsidRDefault="00624103" w:rsidP="00624103">
            <w:pPr>
              <w:pStyle w:val="AERtabletextright"/>
              <w:tabs>
                <w:tab w:val="num" w:pos="0"/>
              </w:tabs>
            </w:pPr>
            <w:r>
              <w:t>0.0</w:t>
            </w: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rPr>
                <w:rStyle w:val="AERtextbold"/>
              </w:rPr>
            </w:pPr>
            <w:r w:rsidRPr="00CA2AE8">
              <w:rPr>
                <w:rStyle w:val="AERtextbold"/>
              </w:rPr>
              <w:t>Loss of supply event frequency parameter</w:t>
            </w: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1701" w:type="dxa"/>
          </w:tcPr>
          <w:p w:rsidR="00624103" w:rsidRDefault="00624103" w:rsidP="00624103">
            <w:pPr>
              <w:pStyle w:val="AERtabletextright"/>
            </w:pPr>
          </w:p>
        </w:tc>
      </w:tr>
      <w:tr w:rsidR="00624103" w:rsidTr="001B26CC">
        <w:tc>
          <w:tcPr>
            <w:tcW w:w="4494" w:type="dxa"/>
          </w:tcPr>
          <w:p w:rsidR="00624103" w:rsidRPr="00CA2AE8" w:rsidRDefault="00624103" w:rsidP="00624103">
            <w:pPr>
              <w:pStyle w:val="AERbodytext"/>
              <w:numPr>
                <w:ilvl w:val="0"/>
                <w:numId w:val="13"/>
              </w:numPr>
            </w:pPr>
            <w:r w:rsidRPr="00CA2AE8">
              <w:t>&gt;0.05 system minutes (number of events per annum)</w:t>
            </w:r>
          </w:p>
        </w:tc>
        <w:tc>
          <w:tcPr>
            <w:tcW w:w="995" w:type="dxa"/>
          </w:tcPr>
          <w:p w:rsidR="00624103" w:rsidRDefault="00624103" w:rsidP="00624103">
            <w:pPr>
              <w:pStyle w:val="AERtabletextright"/>
              <w:tabs>
                <w:tab w:val="num" w:pos="0"/>
              </w:tabs>
            </w:pPr>
            <w:r>
              <w:t>6</w:t>
            </w:r>
          </w:p>
        </w:tc>
        <w:tc>
          <w:tcPr>
            <w:tcW w:w="995" w:type="dxa"/>
          </w:tcPr>
          <w:p w:rsidR="00624103" w:rsidRDefault="00624103" w:rsidP="00624103">
            <w:pPr>
              <w:pStyle w:val="AERtabletextright"/>
              <w:tabs>
                <w:tab w:val="num" w:pos="0"/>
              </w:tabs>
            </w:pPr>
            <w:r>
              <w:t>2</w:t>
            </w:r>
          </w:p>
        </w:tc>
        <w:tc>
          <w:tcPr>
            <w:tcW w:w="995" w:type="dxa"/>
          </w:tcPr>
          <w:p w:rsidR="00624103" w:rsidRDefault="00624103" w:rsidP="00624103">
            <w:pPr>
              <w:pStyle w:val="AERtabletextright"/>
              <w:tabs>
                <w:tab w:val="num" w:pos="0"/>
              </w:tabs>
            </w:pPr>
            <w:r>
              <w:t>0</w:t>
            </w:r>
          </w:p>
        </w:tc>
        <w:tc>
          <w:tcPr>
            <w:tcW w:w="1701" w:type="dxa"/>
          </w:tcPr>
          <w:p w:rsidR="00624103" w:rsidRDefault="00624103" w:rsidP="00624103">
            <w:pPr>
              <w:pStyle w:val="AERtabletextright"/>
              <w:tabs>
                <w:tab w:val="num" w:pos="0"/>
              </w:tabs>
            </w:pPr>
            <w:r>
              <w:t>0.15</w:t>
            </w: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pPr>
            <w:r>
              <w:t>&gt;0.3</w:t>
            </w:r>
            <w:r w:rsidRPr="00CA2AE8">
              <w:t xml:space="preserve"> system minutes (number of events per annum)</w:t>
            </w:r>
          </w:p>
        </w:tc>
        <w:tc>
          <w:tcPr>
            <w:tcW w:w="995" w:type="dxa"/>
          </w:tcPr>
          <w:p w:rsidR="00624103" w:rsidRDefault="00624103" w:rsidP="00624103">
            <w:pPr>
              <w:pStyle w:val="AERtabletextright"/>
              <w:tabs>
                <w:tab w:val="num" w:pos="0"/>
              </w:tabs>
            </w:pPr>
            <w:r>
              <w:t>2</w:t>
            </w:r>
          </w:p>
        </w:tc>
        <w:tc>
          <w:tcPr>
            <w:tcW w:w="995" w:type="dxa"/>
          </w:tcPr>
          <w:p w:rsidR="00624103" w:rsidRDefault="00624103" w:rsidP="00624103">
            <w:pPr>
              <w:pStyle w:val="AERtabletextright"/>
              <w:tabs>
                <w:tab w:val="num" w:pos="0"/>
              </w:tabs>
            </w:pPr>
            <w:r>
              <w:t>1</w:t>
            </w:r>
          </w:p>
        </w:tc>
        <w:tc>
          <w:tcPr>
            <w:tcW w:w="995" w:type="dxa"/>
          </w:tcPr>
          <w:p w:rsidR="00624103" w:rsidRDefault="00624103" w:rsidP="00624103">
            <w:pPr>
              <w:pStyle w:val="AERtabletextright"/>
              <w:tabs>
                <w:tab w:val="num" w:pos="0"/>
              </w:tabs>
            </w:pPr>
            <w:r>
              <w:t>0</w:t>
            </w:r>
          </w:p>
        </w:tc>
        <w:tc>
          <w:tcPr>
            <w:tcW w:w="1701" w:type="dxa"/>
          </w:tcPr>
          <w:p w:rsidR="00624103" w:rsidRDefault="00624103" w:rsidP="00624103">
            <w:pPr>
              <w:pStyle w:val="AERtabletextright"/>
              <w:tabs>
                <w:tab w:val="num" w:pos="0"/>
              </w:tabs>
            </w:pPr>
            <w:r>
              <w:t>0.15</w:t>
            </w:r>
          </w:p>
        </w:tc>
      </w:tr>
      <w:tr w:rsidR="00624103" w:rsidTr="001B26CC">
        <w:tc>
          <w:tcPr>
            <w:tcW w:w="4494" w:type="dxa"/>
          </w:tcPr>
          <w:p w:rsidR="00624103" w:rsidRPr="00CA2AE8" w:rsidRDefault="00624103" w:rsidP="00624103">
            <w:pPr>
              <w:pStyle w:val="AERbodytext"/>
              <w:numPr>
                <w:ilvl w:val="0"/>
                <w:numId w:val="13"/>
              </w:numPr>
              <w:rPr>
                <w:rStyle w:val="AERtextbold"/>
              </w:rPr>
            </w:pPr>
            <w:r w:rsidRPr="00CA2AE8">
              <w:rPr>
                <w:rStyle w:val="AERtextbold"/>
              </w:rPr>
              <w:t>Average outage duration parameter</w:t>
            </w: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1701" w:type="dxa"/>
          </w:tcPr>
          <w:p w:rsidR="00624103" w:rsidRDefault="00624103" w:rsidP="00624103">
            <w:pPr>
              <w:pStyle w:val="AERtabletextright"/>
            </w:pP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pPr>
            <w:r w:rsidRPr="00CA2AE8">
              <w:t>Average outage duration (minutes)</w:t>
            </w:r>
          </w:p>
        </w:tc>
        <w:tc>
          <w:tcPr>
            <w:tcW w:w="995" w:type="dxa"/>
          </w:tcPr>
          <w:p w:rsidR="00624103" w:rsidRPr="00624103" w:rsidRDefault="00624103" w:rsidP="00624103">
            <w:pPr>
              <w:pStyle w:val="AERtabletextright"/>
            </w:pPr>
            <w:r>
              <w:t>293.5</w:t>
            </w:r>
          </w:p>
        </w:tc>
        <w:tc>
          <w:tcPr>
            <w:tcW w:w="995" w:type="dxa"/>
          </w:tcPr>
          <w:p w:rsidR="00624103" w:rsidRPr="00624103" w:rsidRDefault="00624103" w:rsidP="00624103">
            <w:pPr>
              <w:pStyle w:val="AERtabletextright"/>
            </w:pPr>
            <w:r>
              <w:t>98.0</w:t>
            </w:r>
          </w:p>
        </w:tc>
        <w:tc>
          <w:tcPr>
            <w:tcW w:w="995" w:type="dxa"/>
          </w:tcPr>
          <w:p w:rsidR="00624103" w:rsidRPr="00624103" w:rsidRDefault="00624103" w:rsidP="00624103">
            <w:pPr>
              <w:pStyle w:val="AERtabletextright"/>
            </w:pPr>
            <w:r>
              <w:t>5</w:t>
            </w:r>
          </w:p>
        </w:tc>
        <w:tc>
          <w:tcPr>
            <w:tcW w:w="1701" w:type="dxa"/>
          </w:tcPr>
          <w:p w:rsidR="00624103" w:rsidRPr="00624103" w:rsidRDefault="00624103" w:rsidP="00624103">
            <w:pPr>
              <w:pStyle w:val="AERtabletextright"/>
            </w:pPr>
            <w:r>
              <w:t>0.2</w:t>
            </w:r>
          </w:p>
        </w:tc>
      </w:tr>
      <w:tr w:rsidR="00624103" w:rsidTr="001B26CC">
        <w:tc>
          <w:tcPr>
            <w:tcW w:w="4494" w:type="dxa"/>
          </w:tcPr>
          <w:p w:rsidR="00624103" w:rsidRPr="00CA2AE8" w:rsidRDefault="00624103" w:rsidP="00624103">
            <w:pPr>
              <w:pStyle w:val="AERbodytext"/>
              <w:numPr>
                <w:ilvl w:val="0"/>
                <w:numId w:val="13"/>
              </w:numPr>
            </w:pPr>
            <w:r>
              <w:rPr>
                <w:rStyle w:val="AERtextbold"/>
              </w:rPr>
              <w:t>Proper operation of equipment</w:t>
            </w: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1701" w:type="dxa"/>
          </w:tcPr>
          <w:p w:rsidR="00624103" w:rsidRPr="00CA2AE8" w:rsidRDefault="00624103" w:rsidP="00624103">
            <w:pPr>
              <w:pStyle w:val="AERtabletextright"/>
            </w:pP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pPr>
            <w:r>
              <w:t>Failure of protection system</w:t>
            </w:r>
          </w:p>
        </w:tc>
        <w:tc>
          <w:tcPr>
            <w:tcW w:w="995" w:type="dxa"/>
          </w:tcPr>
          <w:p w:rsidR="00624103" w:rsidRPr="00624103" w:rsidRDefault="00624103" w:rsidP="00624103">
            <w:pPr>
              <w:pStyle w:val="AERtabletextright"/>
            </w:pPr>
            <w:r>
              <w:t>n/a</w:t>
            </w:r>
          </w:p>
        </w:tc>
        <w:tc>
          <w:tcPr>
            <w:tcW w:w="995" w:type="dxa"/>
          </w:tcPr>
          <w:p w:rsidR="00624103" w:rsidRPr="00624103" w:rsidRDefault="00624103" w:rsidP="00624103">
            <w:pPr>
              <w:pStyle w:val="AERtabletextright"/>
            </w:pPr>
            <w:r>
              <w:t>n/a</w:t>
            </w:r>
          </w:p>
        </w:tc>
        <w:tc>
          <w:tcPr>
            <w:tcW w:w="995" w:type="dxa"/>
          </w:tcPr>
          <w:p w:rsidR="00624103" w:rsidRPr="00624103" w:rsidRDefault="00624103" w:rsidP="00624103">
            <w:pPr>
              <w:pStyle w:val="AERtabletextright"/>
            </w:pPr>
            <w:r>
              <w:t>n/a</w:t>
            </w:r>
          </w:p>
        </w:tc>
        <w:tc>
          <w:tcPr>
            <w:tcW w:w="1701" w:type="dxa"/>
          </w:tcPr>
          <w:p w:rsidR="00624103" w:rsidRPr="00624103" w:rsidRDefault="00624103" w:rsidP="00624103">
            <w:pPr>
              <w:pStyle w:val="AERtabletextright"/>
            </w:pPr>
            <w:r>
              <w:t>0.0</w:t>
            </w:r>
          </w:p>
        </w:tc>
      </w:tr>
      <w:tr w:rsidR="00624103" w:rsidTr="001B26CC">
        <w:tc>
          <w:tcPr>
            <w:tcW w:w="4494" w:type="dxa"/>
          </w:tcPr>
          <w:p w:rsidR="00624103" w:rsidRPr="00CA2AE8" w:rsidRDefault="00624103" w:rsidP="00624103">
            <w:pPr>
              <w:pStyle w:val="AERbodytext"/>
              <w:numPr>
                <w:ilvl w:val="0"/>
                <w:numId w:val="13"/>
              </w:numPr>
            </w:pPr>
            <w:r>
              <w:t>Material failure of SCADA</w:t>
            </w:r>
          </w:p>
        </w:tc>
        <w:tc>
          <w:tcPr>
            <w:tcW w:w="995" w:type="dxa"/>
          </w:tcPr>
          <w:p w:rsidR="00624103" w:rsidRPr="00624103" w:rsidRDefault="00624103" w:rsidP="00624103">
            <w:pPr>
              <w:pStyle w:val="AERtabletextright"/>
            </w:pPr>
            <w:r>
              <w:t>2</w:t>
            </w:r>
          </w:p>
        </w:tc>
        <w:tc>
          <w:tcPr>
            <w:tcW w:w="995" w:type="dxa"/>
          </w:tcPr>
          <w:p w:rsidR="00624103" w:rsidRPr="00624103" w:rsidRDefault="00624103" w:rsidP="00624103">
            <w:pPr>
              <w:pStyle w:val="AERtabletextright"/>
            </w:pPr>
            <w:r>
              <w:t>1</w:t>
            </w:r>
          </w:p>
        </w:tc>
        <w:tc>
          <w:tcPr>
            <w:tcW w:w="995" w:type="dxa"/>
          </w:tcPr>
          <w:p w:rsidR="00624103" w:rsidRPr="00624103" w:rsidRDefault="00624103" w:rsidP="00624103">
            <w:pPr>
              <w:pStyle w:val="AERtabletextright"/>
            </w:pPr>
            <w:r>
              <w:t>0</w:t>
            </w:r>
          </w:p>
        </w:tc>
        <w:tc>
          <w:tcPr>
            <w:tcW w:w="1701" w:type="dxa"/>
          </w:tcPr>
          <w:p w:rsidR="00624103" w:rsidRPr="00624103" w:rsidRDefault="00624103" w:rsidP="00624103">
            <w:pPr>
              <w:pStyle w:val="AERtabletextright"/>
            </w:pPr>
            <w:r>
              <w:t>0.0</w:t>
            </w:r>
          </w:p>
        </w:tc>
      </w:tr>
      <w:tr w:rsidR="00624103" w:rsidTr="001B26CC">
        <w:trPr>
          <w:cnfStyle w:val="000000010000" w:firstRow="0" w:lastRow="0" w:firstColumn="0" w:lastColumn="0" w:oddVBand="0" w:evenVBand="0" w:oddHBand="0" w:evenHBand="1" w:firstRowFirstColumn="0" w:firstRowLastColumn="0" w:lastRowFirstColumn="0" w:lastRowLastColumn="0"/>
        </w:trPr>
        <w:tc>
          <w:tcPr>
            <w:tcW w:w="4494" w:type="dxa"/>
          </w:tcPr>
          <w:p w:rsidR="00624103" w:rsidRPr="00CA2AE8" w:rsidRDefault="00624103" w:rsidP="00624103">
            <w:pPr>
              <w:pStyle w:val="AERbodytext"/>
              <w:numPr>
                <w:ilvl w:val="0"/>
                <w:numId w:val="13"/>
              </w:numPr>
            </w:pPr>
            <w:r>
              <w:t>Incorrect operational isolation of primary or secondary equipment</w:t>
            </w:r>
          </w:p>
        </w:tc>
        <w:tc>
          <w:tcPr>
            <w:tcW w:w="995" w:type="dxa"/>
          </w:tcPr>
          <w:p w:rsidR="00624103" w:rsidRPr="00624103" w:rsidRDefault="00624103" w:rsidP="00624103">
            <w:pPr>
              <w:pStyle w:val="AERtabletextright"/>
            </w:pPr>
            <w:r>
              <w:t>n/a</w:t>
            </w:r>
          </w:p>
        </w:tc>
        <w:tc>
          <w:tcPr>
            <w:tcW w:w="995" w:type="dxa"/>
          </w:tcPr>
          <w:p w:rsidR="00624103" w:rsidRPr="00624103" w:rsidRDefault="00624103" w:rsidP="00624103">
            <w:pPr>
              <w:pStyle w:val="AERtabletextright"/>
            </w:pPr>
            <w:r>
              <w:t>n/a</w:t>
            </w:r>
          </w:p>
        </w:tc>
        <w:tc>
          <w:tcPr>
            <w:tcW w:w="995" w:type="dxa"/>
          </w:tcPr>
          <w:p w:rsidR="00624103" w:rsidRPr="00624103" w:rsidRDefault="00624103" w:rsidP="00624103">
            <w:pPr>
              <w:pStyle w:val="AERtabletextright"/>
            </w:pPr>
            <w:r>
              <w:t>n/a</w:t>
            </w:r>
          </w:p>
        </w:tc>
        <w:tc>
          <w:tcPr>
            <w:tcW w:w="1701" w:type="dxa"/>
          </w:tcPr>
          <w:p w:rsidR="00624103" w:rsidRPr="00624103" w:rsidRDefault="00624103" w:rsidP="00624103">
            <w:pPr>
              <w:pStyle w:val="AERtabletextright"/>
            </w:pPr>
            <w:r>
              <w:t>0.0</w:t>
            </w:r>
          </w:p>
        </w:tc>
      </w:tr>
      <w:tr w:rsidR="00624103" w:rsidTr="001B26CC">
        <w:tc>
          <w:tcPr>
            <w:tcW w:w="4494" w:type="dxa"/>
          </w:tcPr>
          <w:p w:rsidR="00624103" w:rsidRPr="00624103" w:rsidRDefault="00624103" w:rsidP="00624103">
            <w:pPr>
              <w:pStyle w:val="AERbodytext"/>
              <w:numPr>
                <w:ilvl w:val="0"/>
                <w:numId w:val="13"/>
              </w:numPr>
              <w:rPr>
                <w:rStyle w:val="AERtextbold"/>
              </w:rPr>
            </w:pPr>
            <w:r w:rsidRPr="00624103">
              <w:rPr>
                <w:rStyle w:val="AERtextbold"/>
              </w:rPr>
              <w:t>Total service component weighting</w:t>
            </w: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995" w:type="dxa"/>
          </w:tcPr>
          <w:p w:rsidR="00624103" w:rsidRDefault="00624103" w:rsidP="00624103">
            <w:pPr>
              <w:pStyle w:val="AERtabletextright"/>
            </w:pPr>
          </w:p>
        </w:tc>
        <w:tc>
          <w:tcPr>
            <w:tcW w:w="1701" w:type="dxa"/>
          </w:tcPr>
          <w:p w:rsidR="00624103" w:rsidRPr="00CA2AE8" w:rsidRDefault="00624103" w:rsidP="00624103">
            <w:pPr>
              <w:pStyle w:val="AERtabletextright"/>
            </w:pPr>
            <w:r>
              <w:t>1.0</w:t>
            </w:r>
          </w:p>
        </w:tc>
      </w:tr>
    </w:tbl>
    <w:p w:rsidR="00CA2AE8" w:rsidRDefault="00CA2AE8" w:rsidP="00CA2AE8">
      <w:pPr>
        <w:pStyle w:val="AERtablesource"/>
      </w:pPr>
      <w:r>
        <w:t xml:space="preserve">n/a: </w:t>
      </w:r>
      <w:r>
        <w:tab/>
        <w:t>Not applicable.</w:t>
      </w:r>
    </w:p>
    <w:p w:rsidR="00CA2AE8" w:rsidRDefault="00CA2AE8" w:rsidP="00CA2AE8">
      <w:pPr>
        <w:pStyle w:val="AERtablesource"/>
      </w:pPr>
      <w:r>
        <w:t xml:space="preserve">Source: </w:t>
      </w:r>
      <w:r>
        <w:tab/>
        <w:t>AER analysis.</w:t>
      </w:r>
    </w:p>
    <w:p w:rsidR="002E5FEA" w:rsidRDefault="00C96306" w:rsidP="002E5FEA">
      <w:pPr>
        <w:pStyle w:val="AERbodytext"/>
      </w:pPr>
      <w:bookmarkStart w:id="12" w:name="_Ref352227988"/>
      <w:r>
        <w:t>The AER has determined that the market impact component parameter values will be calculated in accordance with section four and appendices C and F of the STPIS.</w:t>
      </w:r>
      <w:r>
        <w:rPr>
          <w:rStyle w:val="FootnoteReference"/>
        </w:rPr>
        <w:footnoteReference w:id="9"/>
      </w:r>
      <w:r>
        <w:t xml:space="preserve"> That is, the performance target will be set equal to the average performance over a rolling three calendar year period, while performance will be measured as the average performance over a two calendar year period. </w:t>
      </w:r>
    </w:p>
    <w:bookmarkEnd w:id="12"/>
    <w:p w:rsidR="00624103" w:rsidRPr="002E5FEA" w:rsidRDefault="002E5FEA" w:rsidP="000A3DFC">
      <w:pPr>
        <w:pStyle w:val="AERbodytext"/>
        <w:rPr>
          <w:rStyle w:val="AERtextbold"/>
          <w:b w:val="0"/>
        </w:rPr>
      </w:pPr>
      <w:r w:rsidRPr="002E5FEA">
        <w:rPr>
          <w:rStyle w:val="AERtextbold"/>
          <w:b w:val="0"/>
        </w:rPr>
        <w:lastRenderedPageBreak/>
        <w:t xml:space="preserve">The AER has determined that </w:t>
      </w:r>
      <w:r w:rsidRPr="000A3DFC">
        <w:rPr>
          <w:rStyle w:val="AERtextbold"/>
          <w:b w:val="0"/>
        </w:rPr>
        <w:t xml:space="preserve">the </w:t>
      </w:r>
      <w:r w:rsidR="000A3DFC" w:rsidRPr="000A3DFC">
        <w:rPr>
          <w:rStyle w:val="AERtextbold"/>
          <w:b w:val="0"/>
        </w:rPr>
        <w:t>priority projects</w:t>
      </w:r>
      <w:r w:rsidRPr="000A3DFC">
        <w:rPr>
          <w:rStyle w:val="AERtextbold"/>
          <w:b w:val="0"/>
        </w:rPr>
        <w:t xml:space="preserve"> </w:t>
      </w:r>
      <w:r w:rsidR="000A3DFC" w:rsidRPr="000A3DFC">
        <w:rPr>
          <w:rStyle w:val="AERtextbold"/>
          <w:b w:val="0"/>
        </w:rPr>
        <w:t xml:space="preserve">and improvement targets </w:t>
      </w:r>
      <w:r w:rsidRPr="000A3DFC">
        <w:rPr>
          <w:rStyle w:val="AERtextbold"/>
          <w:b w:val="0"/>
        </w:rPr>
        <w:t>shown</w:t>
      </w:r>
      <w:r w:rsidRPr="002E5FEA">
        <w:rPr>
          <w:rStyle w:val="AERtextbold"/>
          <w:b w:val="0"/>
        </w:rPr>
        <w:t xml:space="preserve"> in </w:t>
      </w:r>
      <w:r>
        <w:rPr>
          <w:rStyle w:val="AERtextbold"/>
          <w:b w:val="0"/>
        </w:rPr>
        <w:fldChar w:fldCharType="begin"/>
      </w:r>
      <w:r>
        <w:rPr>
          <w:rStyle w:val="AERtextbold"/>
          <w:b w:val="0"/>
        </w:rPr>
        <w:instrText xml:space="preserve"> REF _Ref374528779 \h </w:instrText>
      </w:r>
      <w:r>
        <w:rPr>
          <w:rStyle w:val="AERtextbold"/>
          <w:b w:val="0"/>
        </w:rPr>
      </w:r>
      <w:r>
        <w:rPr>
          <w:rStyle w:val="AERtextbold"/>
          <w:b w:val="0"/>
        </w:rPr>
        <w:fldChar w:fldCharType="separate"/>
      </w:r>
      <w:r w:rsidR="00B42368">
        <w:t xml:space="preserve">Table </w:t>
      </w:r>
      <w:r w:rsidR="00B42368">
        <w:rPr>
          <w:noProof/>
        </w:rPr>
        <w:t>1</w:t>
      </w:r>
      <w:r w:rsidR="00B42368">
        <w:t>.</w:t>
      </w:r>
      <w:r w:rsidR="00B42368">
        <w:rPr>
          <w:noProof/>
        </w:rPr>
        <w:t>5</w:t>
      </w:r>
      <w:r>
        <w:rPr>
          <w:rStyle w:val="AERtextbold"/>
          <w:b w:val="0"/>
        </w:rPr>
        <w:fldChar w:fldCharType="end"/>
      </w:r>
      <w:r>
        <w:rPr>
          <w:rStyle w:val="AERtextbold"/>
        </w:rPr>
        <w:t xml:space="preserve"> </w:t>
      </w:r>
      <w:r w:rsidR="007A7879" w:rsidRPr="00342793">
        <w:rPr>
          <w:rStyle w:val="AERtextbold"/>
          <w:b w:val="0"/>
        </w:rPr>
        <w:t>will</w:t>
      </w:r>
      <w:r w:rsidR="007A7879">
        <w:rPr>
          <w:rStyle w:val="AERtextbold"/>
        </w:rPr>
        <w:t xml:space="preserve"> </w:t>
      </w:r>
      <w:r w:rsidRPr="002E5FEA">
        <w:rPr>
          <w:rStyle w:val="AERtextbold"/>
          <w:b w:val="0"/>
        </w:rPr>
        <w:t xml:space="preserve">apply to SP </w:t>
      </w:r>
      <w:proofErr w:type="spellStart"/>
      <w:r w:rsidRPr="002E5FEA">
        <w:rPr>
          <w:rStyle w:val="AERtextbold"/>
          <w:b w:val="0"/>
        </w:rPr>
        <w:t>AusNet</w:t>
      </w:r>
      <w:proofErr w:type="spellEnd"/>
      <w:r w:rsidRPr="002E5FEA">
        <w:rPr>
          <w:rStyle w:val="AERtextbold"/>
          <w:b w:val="0"/>
        </w:rPr>
        <w:t xml:space="preserve"> during the 2014–17 regulatory control </w:t>
      </w:r>
      <w:proofErr w:type="gramStart"/>
      <w:r w:rsidRPr="002E5FEA">
        <w:rPr>
          <w:rStyle w:val="AERtextbold"/>
          <w:b w:val="0"/>
        </w:rPr>
        <w:t>period</w:t>
      </w:r>
      <w:proofErr w:type="gramEnd"/>
      <w:r w:rsidRPr="002E5FEA">
        <w:rPr>
          <w:rStyle w:val="AERtextbold"/>
          <w:b w:val="0"/>
        </w:rPr>
        <w:t xml:space="preserve">.  </w:t>
      </w:r>
    </w:p>
    <w:p w:rsidR="00624103" w:rsidRDefault="002E5FEA" w:rsidP="002E5FEA">
      <w:pPr>
        <w:pStyle w:val="Caption"/>
      </w:pPr>
      <w:bookmarkStart w:id="13" w:name="_Ref374528779"/>
      <w:proofErr w:type="gramStart"/>
      <w:r>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rsidR="004418C3">
        <w:t>.</w:t>
      </w:r>
      <w:proofErr w:type="gramEnd"/>
      <w:r w:rsidR="007E4809">
        <w:fldChar w:fldCharType="begin"/>
      </w:r>
      <w:r w:rsidR="007E4809">
        <w:instrText xml:space="preserve"> SEQ Table \* ARABIC \s 1 </w:instrText>
      </w:r>
      <w:r w:rsidR="007E4809">
        <w:fldChar w:fldCharType="separate"/>
      </w:r>
      <w:r w:rsidR="00B42368">
        <w:rPr>
          <w:noProof/>
        </w:rPr>
        <w:t>5</w:t>
      </w:r>
      <w:r w:rsidR="007E4809">
        <w:rPr>
          <w:noProof/>
        </w:rPr>
        <w:fldChar w:fldCharType="end"/>
      </w:r>
      <w:bookmarkEnd w:id="13"/>
      <w:r>
        <w:tab/>
        <w:t xml:space="preserve">SP </w:t>
      </w:r>
      <w:proofErr w:type="spellStart"/>
      <w:r>
        <w:t>AusNet</w:t>
      </w:r>
      <w:proofErr w:type="spellEnd"/>
      <w:r>
        <w:t xml:space="preserve"> </w:t>
      </w:r>
      <w:r w:rsidR="000A3DFC">
        <w:t>priority projects and improvement targets under the network capability component of the STPIS to apply for</w:t>
      </w:r>
      <w:r>
        <w:t xml:space="preserve"> the 2014–17 regulatory control period</w:t>
      </w:r>
    </w:p>
    <w:tbl>
      <w:tblPr>
        <w:tblStyle w:val="AERtable-numbers"/>
        <w:tblW w:w="0" w:type="auto"/>
        <w:tblLook w:val="04A0" w:firstRow="1" w:lastRow="0" w:firstColumn="1" w:lastColumn="0" w:noHBand="0" w:noVBand="1"/>
      </w:tblPr>
      <w:tblGrid>
        <w:gridCol w:w="608"/>
        <w:gridCol w:w="1910"/>
        <w:gridCol w:w="2149"/>
        <w:gridCol w:w="4575"/>
      </w:tblGrid>
      <w:tr w:rsidR="000A3DFC" w:rsidTr="004A2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0A3DFC" w:rsidRDefault="004A2BFB" w:rsidP="002E5FEA">
            <w:pPr>
              <w:pStyle w:val="AERbodytext"/>
            </w:pPr>
            <w:r>
              <w:t>Rank</w:t>
            </w:r>
          </w:p>
        </w:tc>
        <w:tc>
          <w:tcPr>
            <w:tcW w:w="1910" w:type="dxa"/>
          </w:tcPr>
          <w:p w:rsidR="000A3DFC" w:rsidRDefault="004A2BFB" w:rsidP="002E5FEA">
            <w:pPr>
              <w:pStyle w:val="AERbodytext"/>
              <w:cnfStyle w:val="100000000000" w:firstRow="1" w:lastRow="0" w:firstColumn="0" w:lastColumn="0" w:oddVBand="0" w:evenVBand="0" w:oddHBand="0" w:evenHBand="0" w:firstRowFirstColumn="0" w:firstRowLastColumn="0" w:lastRowFirstColumn="0" w:lastRowLastColumn="0"/>
            </w:pPr>
            <w:r>
              <w:t>Project circuit/injection point</w:t>
            </w:r>
          </w:p>
        </w:tc>
        <w:tc>
          <w:tcPr>
            <w:tcW w:w="2149" w:type="dxa"/>
          </w:tcPr>
          <w:p w:rsidR="000A3DFC" w:rsidRDefault="004A2BFB" w:rsidP="002E5FEA">
            <w:pPr>
              <w:pStyle w:val="AERbodytext"/>
              <w:cnfStyle w:val="100000000000" w:firstRow="1" w:lastRow="0" w:firstColumn="0" w:lastColumn="0" w:oddVBand="0" w:evenVBand="0" w:oddHBand="0" w:evenHBand="0" w:firstRowFirstColumn="0" w:firstRowLastColumn="0" w:lastRowFirstColumn="0" w:lastRowLastColumn="0"/>
            </w:pPr>
            <w:r>
              <w:t>Description</w:t>
            </w:r>
          </w:p>
        </w:tc>
        <w:tc>
          <w:tcPr>
            <w:tcW w:w="4575" w:type="dxa"/>
          </w:tcPr>
          <w:p w:rsidR="000A3DFC" w:rsidRDefault="004A2BFB" w:rsidP="002E5FEA">
            <w:pPr>
              <w:pStyle w:val="AERbodytext"/>
              <w:cnfStyle w:val="100000000000" w:firstRow="1" w:lastRow="0" w:firstColumn="0" w:lastColumn="0" w:oddVBand="0" w:evenVBand="0" w:oddHBand="0" w:evenHBand="0" w:firstRowFirstColumn="0" w:firstRowLastColumn="0" w:lastRowFirstColumn="0" w:lastRowLastColumn="0"/>
            </w:pPr>
            <w:r>
              <w:t>Improvement target</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1</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rsidRPr="004A2BFB">
              <w:t>220kV switchyards at HTS, KTS, MLTS, ROTS, RTS, RWTS, SVTS, TTS and WMTS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Assess fault level at nominated terminal stations</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Provision of report detailing the fault level capability of the equipment, structures and earth grid at the nine specified terminal stations.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2</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Altona 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Protection setting change</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ATS B4 220/66 kV transformer capability 174MVA.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3</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rsidRPr="004A2BFB">
              <w:t>Templestowe TS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Replace 66kV interplant connections, review and uprate equipment ratings in RADAR</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TSTS 220/66 kV B1 transformer rating 187 MVA and limited by 66 kV busbar rating of 181 MVA</w:t>
            </w:r>
          </w:p>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TSTS 220/66 kV B3 transformer rating 192 MVA and limited by 66 kV busbar rating of 181 MVA</w:t>
            </w:r>
          </w:p>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TSTS 220/66 kV B2 transformer capability of 175 MVA.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4</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Both Dederang –Murray 330kV lines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Installation of an emergency control scheme</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Fully functioning emergency control scheme provided for the loss of both Dederang–Murray 330kV lines.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5</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rsidRPr="004A2BFB">
              <w:t>Both Dederang–South Morang 330kV lines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Installation of an emergency control scheme</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Fully functioning emergency control scheme provided for the loss of both DDTS–SMTS 330 kV lines, or both the DDTS–SMTS 330 kV lines together with 220 kV EPS–MBTS 1 &amp; 2 lines, or both DDTS–SMTS 330 kV lines together with 220 kV EPS–TTS line.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6</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Rowville–East Rowville No 1 &amp; 2 and Rowville–Springvale No 2 220kV circuits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Replacement of two 220kV isolators, protection setting changes</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ROTS–ERTS No 1 &amp; 2 220 kV circuits capability limited by circuit rating of 800 MVA. </w:t>
            </w:r>
          </w:p>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Rating of isolators between ROTS No 1 220 kV bus and ROTS–SVTS No 2 line increased to 800 MVA or higher.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7</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rsidRPr="004A2BFB">
              <w:t>Eleven 220 kV and 330 kV circuits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Increase instrumentation range on 11 circuits</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Increase instrumentation range of the 11 circuits as set out on p. 13 of NCIPAP.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8</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Rowville–Malvern No 1 &amp; 2 220kV circuits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Install a wind monitoring scheme</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Implement dynamic rating for both ROTS–MTS 220 kV circuits. The scheme will be designed to achieve ratings of ROTS–MTS circuits under favourable ambient conditions as 234 MVA for system normal operation and 267 MVA under contingent conditions provided pre–contingency loading is less than 60% of 234 MVA.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9</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proofErr w:type="spellStart"/>
            <w:r w:rsidRPr="004A2BFB">
              <w:t>Moorabool</w:t>
            </w:r>
            <w:proofErr w:type="spellEnd"/>
            <w:r w:rsidRPr="004A2BFB">
              <w:t>–Mortlake–Heywood–Portland Aluminium customer substation No 2 500 kV circuit</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Implement inter–trip control schemes</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Fully functional APD inter–trip control scheme provided for this circuit to prevent potential overvoltage at APD 500 kV bus during a prior outage of plant connected at APD.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10</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Hazelwood–Loy Yang No 1, 2 and 3 500 kV circuits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Dynamic line model development and implementation</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Hazelwood–Loy Yang No 1, 2 and 3 500 kV circuit </w:t>
            </w:r>
            <w:proofErr w:type="gramStart"/>
            <w:r>
              <w:t>capability</w:t>
            </w:r>
            <w:proofErr w:type="gramEnd"/>
            <w:r>
              <w:t xml:space="preserve"> implemented in the thermal line model based on ambient temperatures.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11</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proofErr w:type="spellStart"/>
            <w:r w:rsidRPr="004A2BFB">
              <w:t>Moorabool</w:t>
            </w:r>
            <w:proofErr w:type="spellEnd"/>
            <w:r w:rsidRPr="004A2BFB">
              <w:t xml:space="preserve">–Mortlake No 2 and </w:t>
            </w:r>
            <w:proofErr w:type="spellStart"/>
            <w:r w:rsidRPr="004A2BFB">
              <w:t>Moorabool</w:t>
            </w:r>
            <w:proofErr w:type="spellEnd"/>
            <w:r w:rsidRPr="004A2BFB">
              <w:t>–</w:t>
            </w:r>
            <w:proofErr w:type="spellStart"/>
            <w:r w:rsidRPr="004A2BFB">
              <w:lastRenderedPageBreak/>
              <w:t>Tarrone</w:t>
            </w:r>
            <w:proofErr w:type="spellEnd"/>
            <w:r w:rsidRPr="004A2BFB">
              <w:t xml:space="preserve"> 500 kV circuits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lastRenderedPageBreak/>
              <w:t xml:space="preserve">Review and uprate protection settings in </w:t>
            </w:r>
            <w:r>
              <w:lastRenderedPageBreak/>
              <w:t>TRESIS</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proofErr w:type="spellStart"/>
            <w:r>
              <w:lastRenderedPageBreak/>
              <w:t>Moorabool</w:t>
            </w:r>
            <w:proofErr w:type="spellEnd"/>
            <w:r>
              <w:t xml:space="preserve">–Mortlake No 2 500 kV circuit capability at 2858 MVA </w:t>
            </w:r>
          </w:p>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proofErr w:type="spellStart"/>
            <w:r>
              <w:lastRenderedPageBreak/>
              <w:t>Moorabool</w:t>
            </w:r>
            <w:proofErr w:type="spellEnd"/>
            <w:r>
              <w:t>–</w:t>
            </w:r>
            <w:proofErr w:type="spellStart"/>
            <w:r>
              <w:t>Tarrone</w:t>
            </w:r>
            <w:proofErr w:type="spellEnd"/>
            <w:r>
              <w:t xml:space="preserve"> No 1 500 kV circuit capability at 2858 MVA.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lastRenderedPageBreak/>
              <w:t>12</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Keilor–Sydenham No 1 and Keilor–South Morang No 1 500 kV circuits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Review and uprate equipment ratings in RADAR</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Keilor–Sydenham No 1 500 kV circuit secondary plant limit 2078 MVA</w:t>
            </w:r>
          </w:p>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Keilor–South Morang No 1 500 kV circuit secondary plant limit 2078 MVA. </w:t>
            </w:r>
          </w:p>
        </w:tc>
      </w:tr>
      <w:tr w:rsidR="004A2BFB" w:rsidTr="004A2BFB">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13</w:t>
            </w:r>
          </w:p>
        </w:tc>
        <w:tc>
          <w:tcPr>
            <w:tcW w:w="1910" w:type="dxa"/>
          </w:tcPr>
          <w:p w:rsidR="004A2BFB" w:rsidRP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rsidRPr="004A2BFB">
              <w:t>Geelong TS</w:t>
            </w:r>
          </w:p>
        </w:tc>
        <w:tc>
          <w:tcPr>
            <w:tcW w:w="2149"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Review and uprate equipment ratings in RADAR</w:t>
            </w:r>
          </w:p>
        </w:tc>
        <w:tc>
          <w:tcPr>
            <w:tcW w:w="4575" w:type="dxa"/>
          </w:tcPr>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GTS 220/66 kV B2 transformer rating 169 MVA</w:t>
            </w:r>
          </w:p>
          <w:p w:rsidR="004A2BFB" w:rsidRDefault="004A2BFB" w:rsidP="004A2BFB">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GTS 220/66 kV B4 transformer rating 177 MVA. </w:t>
            </w:r>
          </w:p>
        </w:tc>
      </w:tr>
      <w:tr w:rsidR="004A2BFB" w:rsidTr="004A2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4A2BFB" w:rsidRDefault="004A2BFB" w:rsidP="004A2BFB">
            <w:pPr>
              <w:pStyle w:val="AERbodytext"/>
              <w:numPr>
                <w:ilvl w:val="0"/>
                <w:numId w:val="13"/>
              </w:numPr>
            </w:pPr>
            <w:r>
              <w:t>14</w:t>
            </w:r>
          </w:p>
        </w:tc>
        <w:tc>
          <w:tcPr>
            <w:tcW w:w="1910" w:type="dxa"/>
          </w:tcPr>
          <w:p w:rsidR="004A2BFB" w:rsidRP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rsidRPr="004A2BFB">
              <w:t>Ringwood TS</w:t>
            </w:r>
          </w:p>
        </w:tc>
        <w:tc>
          <w:tcPr>
            <w:tcW w:w="2149"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Review and uprate equipment ratings in RADAR</w:t>
            </w:r>
          </w:p>
        </w:tc>
        <w:tc>
          <w:tcPr>
            <w:tcW w:w="4575" w:type="dxa"/>
          </w:tcPr>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RWTS 220/66 kV B2 transformer rating 185 MVA and limited by 66 kV busbar rating of 181 MVA</w:t>
            </w:r>
          </w:p>
          <w:p w:rsidR="004A2BFB" w:rsidRDefault="004A2BFB" w:rsidP="004A2BFB">
            <w:pPr>
              <w:pStyle w:val="AERtabletextleft"/>
              <w:jc w:val="left"/>
              <w:cnfStyle w:val="000000010000" w:firstRow="0" w:lastRow="0" w:firstColumn="0" w:lastColumn="0" w:oddVBand="0" w:evenVBand="0" w:oddHBand="0" w:evenHBand="1" w:firstRowFirstColumn="0" w:firstRowLastColumn="0" w:lastRowFirstColumn="0" w:lastRowLastColumn="0"/>
            </w:pPr>
            <w:r>
              <w:t>RWTS 220/66 kV B3 transformer rating 190 MVA and limited by 66 kV busbar rating of 181 MVA</w:t>
            </w:r>
          </w:p>
        </w:tc>
      </w:tr>
    </w:tbl>
    <w:p w:rsidR="002E5FEA" w:rsidRPr="002E5FEA" w:rsidRDefault="004A2BFB" w:rsidP="004A2BFB">
      <w:pPr>
        <w:pStyle w:val="AERtablesource"/>
      </w:pPr>
      <w:r>
        <w:t xml:space="preserve">Source: </w:t>
      </w:r>
      <w:r w:rsidR="00F640E3">
        <w:tab/>
      </w:r>
      <w:r>
        <w:t xml:space="preserve">AER analysis; SP </w:t>
      </w:r>
      <w:proofErr w:type="spellStart"/>
      <w:r>
        <w:t>AusNet</w:t>
      </w:r>
      <w:proofErr w:type="spellEnd"/>
      <w:r>
        <w:t xml:space="preserve">, </w:t>
      </w:r>
      <w:r w:rsidRPr="00B80554">
        <w:rPr>
          <w:rStyle w:val="AERtextitalic"/>
        </w:rPr>
        <w:t>Revised Appendix 6B: Network Capability Incentive Parameter Action Plan (NCIPAP) 2014–17</w:t>
      </w:r>
      <w:r>
        <w:t xml:space="preserve">, 20 December 2013; AEMO, </w:t>
      </w:r>
      <w:r w:rsidRPr="001D1FF3">
        <w:rPr>
          <w:rStyle w:val="AERtextitalic"/>
        </w:rPr>
        <w:t xml:space="preserve">AEMO endorsement of SP </w:t>
      </w:r>
      <w:proofErr w:type="spellStart"/>
      <w:r w:rsidRPr="001D1FF3">
        <w:rPr>
          <w:rStyle w:val="AERtextitalic"/>
        </w:rPr>
        <w:t>AusNet</w:t>
      </w:r>
      <w:proofErr w:type="spellEnd"/>
      <w:r>
        <w:t xml:space="preserve"> </w:t>
      </w:r>
      <w:r w:rsidRPr="00B80554">
        <w:rPr>
          <w:rStyle w:val="AERtextitalic"/>
        </w:rPr>
        <w:t>Network Capability Incentive Parameter Action Plan (NCIPAP) 2014–17</w:t>
      </w:r>
      <w:r>
        <w:rPr>
          <w:rStyle w:val="AERtextitalic"/>
        </w:rPr>
        <w:t xml:space="preserve"> (with additional projects and quantified net benefits), </w:t>
      </w:r>
      <w:r w:rsidRPr="001D1FF3">
        <w:rPr>
          <w:rStyle w:val="AERtextitalic"/>
          <w:i w:val="0"/>
        </w:rPr>
        <w:t>20 December 2013</w:t>
      </w:r>
      <w:r>
        <w:rPr>
          <w:rStyle w:val="AERtextitalic"/>
          <w:i w:val="0"/>
        </w:rPr>
        <w:t>.</w:t>
      </w:r>
    </w:p>
    <w:p w:rsidR="00CA2AE8" w:rsidRPr="002739EE" w:rsidRDefault="00CA2AE8" w:rsidP="00CA2AE8">
      <w:pPr>
        <w:rPr>
          <w:rStyle w:val="AERtextbold"/>
        </w:rPr>
      </w:pPr>
      <w:r w:rsidRPr="002739EE">
        <w:rPr>
          <w:rStyle w:val="AERtextbold"/>
        </w:rPr>
        <w:t>Efficiency benefit sharing scheme parameters</w:t>
      </w:r>
    </w:p>
    <w:p w:rsidR="00CA2AE8" w:rsidRPr="00CA2AE8" w:rsidRDefault="00CA2AE8" w:rsidP="00CA2AE8">
      <w:pPr>
        <w:pStyle w:val="AERbodytext"/>
      </w:pPr>
      <w:r>
        <w:t xml:space="preserve">The AER has determined the values for the efficiency benefit sharing scheme (EBSS) parameters that are to apply to SP </w:t>
      </w:r>
      <w:proofErr w:type="spellStart"/>
      <w:r>
        <w:t>AusNet</w:t>
      </w:r>
      <w:proofErr w:type="spellEnd"/>
      <w:r>
        <w:t xml:space="preserve"> in the 2014–17 regulatory control </w:t>
      </w:r>
      <w:proofErr w:type="gramStart"/>
      <w:r>
        <w:t>period</w:t>
      </w:r>
      <w:proofErr w:type="gramEnd"/>
      <w:r>
        <w:t xml:space="preserve">, subject to adjustments required by the EBSS. These values are set out in </w:t>
      </w:r>
      <w:r w:rsidRPr="00CA2AE8">
        <w:fldChar w:fldCharType="begin"/>
      </w:r>
      <w:r w:rsidRPr="00CA2AE8">
        <w:instrText xml:space="preserve"> REF  _Ref352228767 \* Lower \h </w:instrText>
      </w:r>
      <w:r w:rsidRPr="00CA2AE8">
        <w:fldChar w:fldCharType="separate"/>
      </w:r>
      <w:r w:rsidR="00B42368">
        <w:t xml:space="preserve">table </w:t>
      </w:r>
      <w:r w:rsidR="00B42368">
        <w:rPr>
          <w:noProof/>
        </w:rPr>
        <w:t>1</w:t>
      </w:r>
      <w:r w:rsidR="00B42368">
        <w:t>.</w:t>
      </w:r>
      <w:r w:rsidR="00B42368">
        <w:rPr>
          <w:noProof/>
        </w:rPr>
        <w:t>6</w:t>
      </w:r>
      <w:r w:rsidRPr="00CA2AE8">
        <w:fldChar w:fldCharType="end"/>
      </w:r>
      <w:r w:rsidRPr="00CA2AE8">
        <w:t>.</w:t>
      </w:r>
    </w:p>
    <w:p w:rsidR="00CA2AE8" w:rsidRDefault="00CA2AE8" w:rsidP="00CA2AE8">
      <w:pPr>
        <w:pStyle w:val="Caption"/>
      </w:pPr>
      <w:bookmarkStart w:id="14" w:name="_Ref352228767"/>
      <w:proofErr w:type="gramStart"/>
      <w:r>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rsidR="004418C3">
        <w:t>.</w:t>
      </w:r>
      <w:proofErr w:type="gramEnd"/>
      <w:r w:rsidR="007E4809">
        <w:fldChar w:fldCharType="begin"/>
      </w:r>
      <w:r w:rsidR="007E4809">
        <w:instrText xml:space="preserve"> SEQ Table \* ARABIC \s 1 </w:instrText>
      </w:r>
      <w:r w:rsidR="007E4809">
        <w:fldChar w:fldCharType="separate"/>
      </w:r>
      <w:r w:rsidR="00B42368">
        <w:rPr>
          <w:noProof/>
        </w:rPr>
        <w:t>6</w:t>
      </w:r>
      <w:r w:rsidR="007E4809">
        <w:rPr>
          <w:noProof/>
        </w:rPr>
        <w:fldChar w:fldCharType="end"/>
      </w:r>
      <w:bookmarkEnd w:id="14"/>
      <w:r w:rsidRPr="00566E13">
        <w:tab/>
        <w:t xml:space="preserve">AER forecast </w:t>
      </w:r>
      <w:proofErr w:type="spellStart"/>
      <w:r w:rsidRPr="00566E13">
        <w:t>opex</w:t>
      </w:r>
      <w:proofErr w:type="spellEnd"/>
      <w:r w:rsidRPr="00566E13">
        <w:t xml:space="preserve"> for </w:t>
      </w:r>
      <w:r w:rsidR="00BF2213">
        <w:t xml:space="preserve">the </w:t>
      </w:r>
      <w:r w:rsidRPr="00566E13">
        <w:t xml:space="preserve">EBSS </w:t>
      </w:r>
      <w:r w:rsidR="00BF2213">
        <w:t>target</w:t>
      </w:r>
      <w:r w:rsidRPr="00566E13">
        <w:t xml:space="preserve"> ($</w:t>
      </w:r>
      <w:r>
        <w:t xml:space="preserve"> </w:t>
      </w:r>
      <w:r w:rsidRPr="00566E13">
        <w:t>million, 201</w:t>
      </w:r>
      <w:r w:rsidR="00B45A56">
        <w:t>3</w:t>
      </w:r>
      <w:r w:rsidRPr="00566E13">
        <w:t>–1</w:t>
      </w:r>
      <w:r w:rsidR="00B45A56">
        <w:t>4</w:t>
      </w:r>
      <w:r w:rsidRPr="00566E13">
        <w:t>)</w:t>
      </w:r>
    </w:p>
    <w:tbl>
      <w:tblPr>
        <w:tblStyle w:val="AERtable-numbers"/>
        <w:tblW w:w="0" w:type="auto"/>
        <w:tblLook w:val="04A0" w:firstRow="1" w:lastRow="0" w:firstColumn="1" w:lastColumn="0" w:noHBand="0" w:noVBand="1"/>
      </w:tblPr>
      <w:tblGrid>
        <w:gridCol w:w="3482"/>
        <w:gridCol w:w="1436"/>
        <w:gridCol w:w="1436"/>
        <w:gridCol w:w="1436"/>
        <w:gridCol w:w="1436"/>
      </w:tblGrid>
      <w:tr w:rsidR="002739EE" w:rsidTr="002739EE">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482" w:type="dxa"/>
          </w:tcPr>
          <w:p w:rsidR="002739EE" w:rsidRPr="00CA2AE8" w:rsidRDefault="002739EE" w:rsidP="00CA2AE8">
            <w:pPr>
              <w:pStyle w:val="AERtabletextright"/>
            </w:pPr>
          </w:p>
        </w:tc>
        <w:tc>
          <w:tcPr>
            <w:tcW w:w="1436" w:type="dxa"/>
          </w:tcPr>
          <w:p w:rsidR="002739EE" w:rsidRPr="00CA2AE8" w:rsidRDefault="002739EE" w:rsidP="00CA2AE8">
            <w:pPr>
              <w:pStyle w:val="AERtabletextright"/>
              <w:cnfStyle w:val="100000000000" w:firstRow="1" w:lastRow="0" w:firstColumn="0" w:lastColumn="0" w:oddVBand="0" w:evenVBand="0" w:oddHBand="0" w:evenHBand="0" w:firstRowFirstColumn="0" w:firstRowLastColumn="0" w:lastRowFirstColumn="0" w:lastRowLastColumn="0"/>
            </w:pPr>
            <w:r w:rsidRPr="00CA2AE8">
              <w:t>2014–15</w:t>
            </w:r>
          </w:p>
        </w:tc>
        <w:tc>
          <w:tcPr>
            <w:tcW w:w="1436" w:type="dxa"/>
          </w:tcPr>
          <w:p w:rsidR="002739EE" w:rsidRPr="00CA2AE8" w:rsidRDefault="002739EE" w:rsidP="00CA2AE8">
            <w:pPr>
              <w:pStyle w:val="AERtabletextright"/>
              <w:cnfStyle w:val="100000000000" w:firstRow="1" w:lastRow="0" w:firstColumn="0" w:lastColumn="0" w:oddVBand="0" w:evenVBand="0" w:oddHBand="0" w:evenHBand="0" w:firstRowFirstColumn="0" w:firstRowLastColumn="0" w:lastRowFirstColumn="0" w:lastRowLastColumn="0"/>
            </w:pPr>
            <w:r w:rsidRPr="00CA2AE8">
              <w:t>2015–16</w:t>
            </w:r>
          </w:p>
        </w:tc>
        <w:tc>
          <w:tcPr>
            <w:tcW w:w="1436" w:type="dxa"/>
          </w:tcPr>
          <w:p w:rsidR="002739EE" w:rsidRPr="00CA2AE8" w:rsidRDefault="002739EE" w:rsidP="00CA2AE8">
            <w:pPr>
              <w:pStyle w:val="AERtabletextright"/>
              <w:cnfStyle w:val="100000000000" w:firstRow="1" w:lastRow="0" w:firstColumn="0" w:lastColumn="0" w:oddVBand="0" w:evenVBand="0" w:oddHBand="0" w:evenHBand="0" w:firstRowFirstColumn="0" w:firstRowLastColumn="0" w:lastRowFirstColumn="0" w:lastRowLastColumn="0"/>
            </w:pPr>
            <w:r w:rsidRPr="00CA2AE8">
              <w:t>2016–17</w:t>
            </w:r>
          </w:p>
        </w:tc>
        <w:tc>
          <w:tcPr>
            <w:tcW w:w="1436" w:type="dxa"/>
          </w:tcPr>
          <w:p w:rsidR="002739EE" w:rsidRPr="00CA2AE8" w:rsidRDefault="002739EE" w:rsidP="00CA2AE8">
            <w:pPr>
              <w:pStyle w:val="AERtabletextright"/>
              <w:cnfStyle w:val="100000000000" w:firstRow="1" w:lastRow="0" w:firstColumn="0" w:lastColumn="0" w:oddVBand="0" w:evenVBand="0" w:oddHBand="0" w:evenHBand="0" w:firstRowFirstColumn="0" w:firstRowLastColumn="0" w:lastRowFirstColumn="0" w:lastRowLastColumn="0"/>
            </w:pPr>
            <w:r w:rsidRPr="00CA2AE8">
              <w:t>Total</w:t>
            </w:r>
          </w:p>
        </w:tc>
      </w:tr>
      <w:tr w:rsidR="00B04082" w:rsidTr="002739EE">
        <w:trPr>
          <w:trHeight w:val="415"/>
        </w:trPr>
        <w:tc>
          <w:tcPr>
            <w:cnfStyle w:val="001000000000" w:firstRow="0" w:lastRow="0" w:firstColumn="1" w:lastColumn="0" w:oddVBand="0" w:evenVBand="0" w:oddHBand="0" w:evenHBand="0" w:firstRowFirstColumn="0" w:firstRowLastColumn="0" w:lastRowFirstColumn="0" w:lastRowLastColumn="0"/>
            <w:tcW w:w="3482" w:type="dxa"/>
          </w:tcPr>
          <w:p w:rsidR="00B04082" w:rsidRPr="00B04082" w:rsidRDefault="00B04082" w:rsidP="00BF2213">
            <w:pPr>
              <w:pStyle w:val="AERtabletextleft"/>
            </w:pPr>
            <w:r w:rsidRPr="00566E13">
              <w:t xml:space="preserve">Forecast </w:t>
            </w:r>
            <w:proofErr w:type="spellStart"/>
            <w:r w:rsidRPr="00566E13">
              <w:t>opex</w:t>
            </w:r>
            <w:proofErr w:type="spellEnd"/>
            <w:r w:rsidRPr="00566E13">
              <w:t xml:space="preserve"> for </w:t>
            </w:r>
            <w:r w:rsidR="00BF2213">
              <w:t xml:space="preserve">the </w:t>
            </w:r>
            <w:r w:rsidRPr="00566E13">
              <w:t xml:space="preserve">EBSS </w:t>
            </w:r>
            <w:r w:rsidR="00BF2213">
              <w:t>target</w:t>
            </w:r>
          </w:p>
        </w:tc>
        <w:tc>
          <w:tcPr>
            <w:tcW w:w="1436" w:type="dxa"/>
          </w:tcPr>
          <w:p w:rsidR="00B04082" w:rsidRPr="00320336" w:rsidRDefault="00BF1056" w:rsidP="00320336">
            <w:pPr>
              <w:pStyle w:val="AERtabletextright"/>
              <w:cnfStyle w:val="000000000000" w:firstRow="0" w:lastRow="0" w:firstColumn="0" w:lastColumn="0" w:oddVBand="0" w:evenVBand="0" w:oddHBand="0" w:evenHBand="0" w:firstRowFirstColumn="0" w:firstRowLastColumn="0" w:lastRowFirstColumn="0" w:lastRowLastColumn="0"/>
            </w:pPr>
            <w:r>
              <w:t>78.7</w:t>
            </w:r>
          </w:p>
        </w:tc>
        <w:tc>
          <w:tcPr>
            <w:tcW w:w="1436" w:type="dxa"/>
          </w:tcPr>
          <w:p w:rsidR="00B04082" w:rsidRPr="00320336" w:rsidRDefault="00BF1056" w:rsidP="00320336">
            <w:pPr>
              <w:pStyle w:val="AERtabletextright"/>
              <w:cnfStyle w:val="000000000000" w:firstRow="0" w:lastRow="0" w:firstColumn="0" w:lastColumn="0" w:oddVBand="0" w:evenVBand="0" w:oddHBand="0" w:evenHBand="0" w:firstRowFirstColumn="0" w:firstRowLastColumn="0" w:lastRowFirstColumn="0" w:lastRowLastColumn="0"/>
            </w:pPr>
            <w:r>
              <w:t>80.8</w:t>
            </w:r>
          </w:p>
        </w:tc>
        <w:tc>
          <w:tcPr>
            <w:tcW w:w="1436" w:type="dxa"/>
          </w:tcPr>
          <w:p w:rsidR="00B04082" w:rsidRPr="00320336" w:rsidRDefault="00BF1056" w:rsidP="00320336">
            <w:pPr>
              <w:pStyle w:val="AERtabletextright"/>
              <w:cnfStyle w:val="000000000000" w:firstRow="0" w:lastRow="0" w:firstColumn="0" w:lastColumn="0" w:oddVBand="0" w:evenVBand="0" w:oddHBand="0" w:evenHBand="0" w:firstRowFirstColumn="0" w:firstRowLastColumn="0" w:lastRowFirstColumn="0" w:lastRowLastColumn="0"/>
            </w:pPr>
            <w:r>
              <w:t>81.6</w:t>
            </w:r>
          </w:p>
        </w:tc>
        <w:tc>
          <w:tcPr>
            <w:tcW w:w="1436" w:type="dxa"/>
          </w:tcPr>
          <w:p w:rsidR="00B04082" w:rsidRPr="00320336" w:rsidRDefault="00BF1056" w:rsidP="006E62FF">
            <w:pPr>
              <w:pStyle w:val="AERtabletextright"/>
              <w:cnfStyle w:val="000000000000" w:firstRow="0" w:lastRow="0" w:firstColumn="0" w:lastColumn="0" w:oddVBand="0" w:evenVBand="0" w:oddHBand="0" w:evenHBand="0" w:firstRowFirstColumn="0" w:firstRowLastColumn="0" w:lastRowFirstColumn="0" w:lastRowLastColumn="0"/>
            </w:pPr>
            <w:r>
              <w:t>241.1</w:t>
            </w:r>
          </w:p>
        </w:tc>
      </w:tr>
    </w:tbl>
    <w:p w:rsidR="00CA2AE8" w:rsidRDefault="00CA2AE8" w:rsidP="00CA2AE8">
      <w:pPr>
        <w:pStyle w:val="AERtablesource"/>
      </w:pPr>
      <w:r>
        <w:t xml:space="preserve">Source: </w:t>
      </w:r>
      <w:r>
        <w:tab/>
        <w:t>AER analysis.</w:t>
      </w:r>
    </w:p>
    <w:p w:rsidR="00CA2AE8" w:rsidRDefault="00CA2AE8" w:rsidP="00CA2AE8">
      <w:pPr>
        <w:pStyle w:val="AERtablesource"/>
      </w:pPr>
      <w:r>
        <w:t>Note:</w:t>
      </w:r>
      <w:r>
        <w:tab/>
        <w:t xml:space="preserve">Forecast </w:t>
      </w:r>
      <w:proofErr w:type="spellStart"/>
      <w:r>
        <w:t>opex</w:t>
      </w:r>
      <w:proofErr w:type="spellEnd"/>
      <w:r>
        <w:t xml:space="preserve"> for </w:t>
      </w:r>
      <w:r w:rsidR="00BF2213">
        <w:t xml:space="preserve">the </w:t>
      </w:r>
      <w:r>
        <w:t xml:space="preserve">EBSS </w:t>
      </w:r>
      <w:r w:rsidR="00BF2213">
        <w:t>target</w:t>
      </w:r>
      <w:r>
        <w:t xml:space="preserve"> excludes the categories listed below.</w:t>
      </w:r>
      <w:r w:rsidR="00BF1056">
        <w:t xml:space="preserve"> Dollars are in end of year terms</w:t>
      </w:r>
      <w:r w:rsidR="00BF2213">
        <w:t xml:space="preserve"> consistent with our final decision post-tax revenue model</w:t>
      </w:r>
      <w:r w:rsidR="00BF1056">
        <w:t>.</w:t>
      </w:r>
    </w:p>
    <w:p w:rsidR="00CA2AE8" w:rsidRPr="0074463F" w:rsidRDefault="00CA2AE8" w:rsidP="00CA2AE8">
      <w:pPr>
        <w:pStyle w:val="AERbodytext"/>
        <w:numPr>
          <w:ilvl w:val="0"/>
          <w:numId w:val="13"/>
        </w:numPr>
      </w:pPr>
      <w:r>
        <w:t xml:space="preserve">The AER will not </w:t>
      </w:r>
      <w:r w:rsidRPr="0074463F">
        <w:t xml:space="preserve">adjust </w:t>
      </w:r>
      <w:r>
        <w:t>the forecast</w:t>
      </w:r>
      <w:r w:rsidRPr="0074463F">
        <w:t xml:space="preserve"> </w:t>
      </w:r>
      <w:proofErr w:type="spellStart"/>
      <w:r w:rsidRPr="0074463F">
        <w:t>opex</w:t>
      </w:r>
      <w:proofErr w:type="spellEnd"/>
      <w:r w:rsidRPr="0074463F">
        <w:t xml:space="preserve"> </w:t>
      </w:r>
      <w:r>
        <w:t xml:space="preserve">used to calculate the EBSS carryover amounts for changes in demand over the 2014–17 regulatory control </w:t>
      </w:r>
      <w:proofErr w:type="gramStart"/>
      <w:r>
        <w:t>period</w:t>
      </w:r>
      <w:proofErr w:type="gramEnd"/>
      <w:r>
        <w:t>.</w:t>
      </w:r>
    </w:p>
    <w:p w:rsidR="00CA2AE8" w:rsidRPr="00AC665E" w:rsidRDefault="00CA2AE8" w:rsidP="00CA2AE8">
      <w:pPr>
        <w:pStyle w:val="AERbodytext"/>
        <w:numPr>
          <w:ilvl w:val="0"/>
          <w:numId w:val="13"/>
        </w:numPr>
      </w:pPr>
      <w:r w:rsidRPr="00AC665E">
        <w:t>The AER will exclude the following cost categories from the EBSS for calculating EBSS carryovers:</w:t>
      </w:r>
    </w:p>
    <w:p w:rsidR="00CA2AE8" w:rsidRDefault="00B04082" w:rsidP="00CA2AE8">
      <w:pPr>
        <w:pStyle w:val="AERbulletlistfirststyle"/>
      </w:pPr>
      <w:r>
        <w:t>easement land tax</w:t>
      </w:r>
    </w:p>
    <w:p w:rsidR="00CA2AE8" w:rsidRDefault="00B04082" w:rsidP="00CA2AE8">
      <w:pPr>
        <w:pStyle w:val="AERbulletlistfirststyle"/>
      </w:pPr>
      <w:r>
        <w:t>self-insurance</w:t>
      </w:r>
    </w:p>
    <w:p w:rsidR="00CA2AE8" w:rsidRDefault="00B04082" w:rsidP="00B04082">
      <w:pPr>
        <w:pStyle w:val="AERbulletlistfirststyle"/>
      </w:pPr>
      <w:r w:rsidRPr="00B04082">
        <w:t>rebates made under the Availability Incentive Scheme</w:t>
      </w:r>
    </w:p>
    <w:p w:rsidR="00CA2AE8" w:rsidRDefault="00B04082" w:rsidP="00B04082">
      <w:pPr>
        <w:pStyle w:val="AERbulletlistfirststyle"/>
      </w:pPr>
      <w:r w:rsidRPr="00B04082">
        <w:t>debt raising costs</w:t>
      </w:r>
      <w:r w:rsidR="00CA2AE8">
        <w:t xml:space="preserve"> </w:t>
      </w:r>
    </w:p>
    <w:p w:rsidR="00CA2AE8" w:rsidRDefault="00B04082" w:rsidP="00B04082">
      <w:pPr>
        <w:pStyle w:val="AERbulletlistfirststyle"/>
      </w:pPr>
      <w:proofErr w:type="gramStart"/>
      <w:r>
        <w:t>the</w:t>
      </w:r>
      <w:proofErr w:type="gramEnd"/>
      <w:r>
        <w:t xml:space="preserve"> cost of priority projects approved under the network capability component of the STPIS.</w:t>
      </w:r>
    </w:p>
    <w:p w:rsidR="00CA2AE8" w:rsidRDefault="00CA2AE8" w:rsidP="00CA2AE8">
      <w:pPr>
        <w:pStyle w:val="AERbodytext"/>
        <w:numPr>
          <w:ilvl w:val="0"/>
          <w:numId w:val="13"/>
        </w:numPr>
      </w:pPr>
      <w:r>
        <w:t xml:space="preserve">The AER will also adjust actual </w:t>
      </w:r>
      <w:proofErr w:type="spellStart"/>
      <w:r>
        <w:t>opex</w:t>
      </w:r>
      <w:proofErr w:type="spellEnd"/>
      <w:r>
        <w:t xml:space="preserve"> for the 2014–17 regulatory control </w:t>
      </w:r>
      <w:proofErr w:type="gramStart"/>
      <w:r>
        <w:t>period</w:t>
      </w:r>
      <w:proofErr w:type="gramEnd"/>
      <w:r>
        <w:t xml:space="preserve"> to reverse any movements in provisions, consistent with the approach used to forecast </w:t>
      </w:r>
      <w:proofErr w:type="spellStart"/>
      <w:r>
        <w:t>opex</w:t>
      </w:r>
      <w:proofErr w:type="spellEnd"/>
      <w:r>
        <w:t xml:space="preserve"> for the period.</w:t>
      </w:r>
    </w:p>
    <w:p w:rsidR="00B04082" w:rsidRDefault="00B04082" w:rsidP="00B04082">
      <w:pPr>
        <w:pStyle w:val="AERbodytext"/>
      </w:pPr>
      <w:r>
        <w:t>T</w:t>
      </w:r>
      <w:r w:rsidRPr="00B04082">
        <w:t>he length of the carryover period for efficiency gains (or losses) realised in 2014–17 will be the same as the length of the regulatory control period commencing in 2017</w:t>
      </w:r>
      <w:r>
        <w:t>.</w:t>
      </w:r>
    </w:p>
    <w:p w:rsidR="00BF2213" w:rsidRPr="00AC665E" w:rsidRDefault="00BF2213" w:rsidP="00B04082">
      <w:pPr>
        <w:pStyle w:val="AERbodytext"/>
      </w:pPr>
    </w:p>
    <w:p w:rsidR="00CA2AE8" w:rsidRPr="002739EE" w:rsidRDefault="00CA2AE8" w:rsidP="00CA2AE8">
      <w:pPr>
        <w:rPr>
          <w:rStyle w:val="AERtextbold"/>
        </w:rPr>
      </w:pPr>
      <w:bookmarkStart w:id="15" w:name="_Toc346787158"/>
      <w:bookmarkStart w:id="16" w:name="_Toc346790643"/>
      <w:bookmarkStart w:id="17" w:name="_Toc346790653"/>
      <w:r w:rsidRPr="002739EE">
        <w:rPr>
          <w:rStyle w:val="AERtextbold"/>
        </w:rPr>
        <w:lastRenderedPageBreak/>
        <w:t>Commencement and length of regulatory control period</w:t>
      </w:r>
    </w:p>
    <w:p w:rsidR="00CA2AE8" w:rsidRDefault="00CA2AE8" w:rsidP="00CA2AE8">
      <w:pPr>
        <w:pStyle w:val="AERbodytext"/>
        <w:numPr>
          <w:ilvl w:val="0"/>
          <w:numId w:val="13"/>
        </w:numPr>
      </w:pPr>
      <w:r>
        <w:t xml:space="preserve">The regulatory control period will be </w:t>
      </w:r>
      <w:r w:rsidR="008C5272">
        <w:t>three</w:t>
      </w:r>
      <w:r>
        <w:t xml:space="preserve"> </w:t>
      </w:r>
      <w:r w:rsidR="008C5272">
        <w:t xml:space="preserve">years, commencing on 1 April 2014 and ending on </w:t>
      </w:r>
      <w:r w:rsidR="008C5272">
        <w:br/>
        <w:t>31 March 2017</w:t>
      </w:r>
      <w:r>
        <w:t>.</w:t>
      </w:r>
    </w:p>
    <w:p w:rsidR="00CA2AE8" w:rsidRPr="002739EE" w:rsidRDefault="00CA2AE8" w:rsidP="00CA2AE8">
      <w:pPr>
        <w:rPr>
          <w:rStyle w:val="AERtextbold"/>
        </w:rPr>
      </w:pPr>
      <w:r w:rsidRPr="002739EE">
        <w:rPr>
          <w:rStyle w:val="AERtextbold"/>
        </w:rPr>
        <w:t>Other amounts, values and inputs</w:t>
      </w:r>
    </w:p>
    <w:p w:rsidR="00CA2AE8" w:rsidRDefault="00CA2AE8" w:rsidP="00CA2AE8">
      <w:pPr>
        <w:pStyle w:val="AERbodytext"/>
        <w:numPr>
          <w:ilvl w:val="0"/>
          <w:numId w:val="13"/>
        </w:numPr>
      </w:pPr>
      <w:r>
        <w:t xml:space="preserve">The AER has also determined the following values that could not be determined before the submission of the revenue proposal or were required to be estimated, approved or otherwise determined by the AER but are not so estimated, approved or otherwise determined before the submission of the revenue proposal. These are shown in </w:t>
      </w:r>
      <w:r>
        <w:fldChar w:fldCharType="begin"/>
      </w:r>
      <w:r>
        <w:instrText xml:space="preserve"> REF  _Ref352229327 \* Lower \h </w:instrText>
      </w:r>
      <w:r>
        <w:fldChar w:fldCharType="separate"/>
      </w:r>
      <w:r w:rsidR="00B42368">
        <w:t xml:space="preserve">table </w:t>
      </w:r>
      <w:r w:rsidR="00B42368">
        <w:rPr>
          <w:noProof/>
        </w:rPr>
        <w:t>1</w:t>
      </w:r>
      <w:r w:rsidR="00B42368">
        <w:t>.</w:t>
      </w:r>
      <w:r w:rsidR="00B42368">
        <w:rPr>
          <w:noProof/>
        </w:rPr>
        <w:t>7</w:t>
      </w:r>
      <w:r>
        <w:fldChar w:fldCharType="end"/>
      </w:r>
      <w:r>
        <w:t>.</w:t>
      </w:r>
    </w:p>
    <w:p w:rsidR="00CA2AE8" w:rsidRDefault="00CA2AE8" w:rsidP="00CA2AE8">
      <w:pPr>
        <w:pStyle w:val="Caption"/>
      </w:pPr>
      <w:bookmarkStart w:id="18" w:name="_Ref352229327"/>
      <w:proofErr w:type="gramStart"/>
      <w:r>
        <w:t xml:space="preserve">Table </w:t>
      </w:r>
      <w:proofErr w:type="gramEnd"/>
      <w:r w:rsidR="00B42368">
        <w:fldChar w:fldCharType="begin"/>
      </w:r>
      <w:r w:rsidR="00B42368">
        <w:instrText xml:space="preserve"> STYLEREF 1 \s </w:instrText>
      </w:r>
      <w:r w:rsidR="00B42368">
        <w:fldChar w:fldCharType="separate"/>
      </w:r>
      <w:r w:rsidR="00B42368">
        <w:rPr>
          <w:noProof/>
        </w:rPr>
        <w:t>1</w:t>
      </w:r>
      <w:r w:rsidR="00B42368">
        <w:rPr>
          <w:noProof/>
        </w:rPr>
        <w:fldChar w:fldCharType="end"/>
      </w:r>
      <w:proofErr w:type="gramStart"/>
      <w:r w:rsidR="004418C3">
        <w:t>.</w:t>
      </w:r>
      <w:proofErr w:type="gramEnd"/>
      <w:r w:rsidR="007E4809">
        <w:fldChar w:fldCharType="begin"/>
      </w:r>
      <w:r w:rsidR="007E4809">
        <w:instrText xml:space="preserve"> SEQ Table \* ARABIC \s 1 </w:instrText>
      </w:r>
      <w:r w:rsidR="007E4809">
        <w:fldChar w:fldCharType="separate"/>
      </w:r>
      <w:r w:rsidR="00B42368">
        <w:rPr>
          <w:noProof/>
        </w:rPr>
        <w:t>7</w:t>
      </w:r>
      <w:r w:rsidR="007E4809">
        <w:rPr>
          <w:noProof/>
        </w:rPr>
        <w:fldChar w:fldCharType="end"/>
      </w:r>
      <w:bookmarkEnd w:id="18"/>
      <w:r>
        <w:tab/>
      </w:r>
      <w:r w:rsidRPr="00AC665E">
        <w:t>Other amounts, values and inputs (per cent)</w:t>
      </w:r>
    </w:p>
    <w:tbl>
      <w:tblPr>
        <w:tblStyle w:val="AERtable-numbers"/>
        <w:tblW w:w="0" w:type="auto"/>
        <w:tblLook w:val="04A0" w:firstRow="1" w:lastRow="0" w:firstColumn="1" w:lastColumn="0" w:noHBand="0" w:noVBand="1"/>
      </w:tblPr>
      <w:tblGrid>
        <w:gridCol w:w="4077"/>
        <w:gridCol w:w="2410"/>
      </w:tblGrid>
      <w:tr w:rsidR="00CA2AE8" w:rsidTr="0027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A2AE8" w:rsidRPr="00CA2AE8" w:rsidRDefault="00CA2AE8" w:rsidP="00CA2AE8">
            <w:pPr>
              <w:pStyle w:val="AERbodytext"/>
              <w:numPr>
                <w:ilvl w:val="0"/>
                <w:numId w:val="13"/>
              </w:numPr>
            </w:pPr>
            <w:r w:rsidRPr="00CA2AE8">
              <w:t>Parameter</w:t>
            </w:r>
          </w:p>
        </w:tc>
        <w:tc>
          <w:tcPr>
            <w:tcW w:w="2410" w:type="dxa"/>
          </w:tcPr>
          <w:p w:rsidR="00CA2AE8" w:rsidRPr="00CA2AE8" w:rsidRDefault="00CA2AE8" w:rsidP="00CA2AE8">
            <w:pPr>
              <w:pStyle w:val="AERtabletextright"/>
              <w:cnfStyle w:val="100000000000" w:firstRow="1" w:lastRow="0" w:firstColumn="0" w:lastColumn="0" w:oddVBand="0" w:evenVBand="0" w:oddHBand="0" w:evenHBand="0" w:firstRowFirstColumn="0" w:firstRowLastColumn="0" w:lastRowFirstColumn="0" w:lastRowLastColumn="0"/>
            </w:pPr>
            <w:r w:rsidRPr="00CA2AE8">
              <w:t>Value</w:t>
            </w:r>
          </w:p>
        </w:tc>
      </w:tr>
      <w:tr w:rsidR="00072085" w:rsidTr="002739EE">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 xml:space="preserve">Nominal risk free rate </w:t>
            </w:r>
          </w:p>
        </w:tc>
        <w:tc>
          <w:tcPr>
            <w:tcW w:w="2410" w:type="dxa"/>
          </w:tcPr>
          <w:p w:rsidR="00072085" w:rsidRDefault="00072085" w:rsidP="00CA2AE8">
            <w:pPr>
              <w:pStyle w:val="AERtabletextright"/>
              <w:cnfStyle w:val="000000000000" w:firstRow="0" w:lastRow="0" w:firstColumn="0" w:lastColumn="0" w:oddVBand="0" w:evenVBand="0" w:oddHBand="0" w:evenHBand="0" w:firstRowFirstColumn="0" w:firstRowLastColumn="0" w:lastRowFirstColumn="0" w:lastRowLastColumn="0"/>
            </w:pPr>
            <w:r w:rsidRPr="00C723E1">
              <w:rPr>
                <w:rStyle w:val="AERtexthighlight"/>
                <w:shd w:val="clear" w:color="auto" w:fill="auto"/>
              </w:rPr>
              <w:t>4.31%</w:t>
            </w:r>
          </w:p>
        </w:tc>
      </w:tr>
      <w:tr w:rsidR="00072085" w:rsidTr="00273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 xml:space="preserve">Inflation forecast </w:t>
            </w:r>
          </w:p>
        </w:tc>
        <w:tc>
          <w:tcPr>
            <w:tcW w:w="2410" w:type="dxa"/>
          </w:tcPr>
          <w:p w:rsidR="00072085" w:rsidRDefault="00072085" w:rsidP="00CA2AE8">
            <w:pPr>
              <w:pStyle w:val="AERtabletextright"/>
              <w:cnfStyle w:val="000000010000" w:firstRow="0" w:lastRow="0" w:firstColumn="0" w:lastColumn="0" w:oddVBand="0" w:evenVBand="0" w:oddHBand="0" w:evenHBand="1" w:firstRowFirstColumn="0" w:firstRowLastColumn="0" w:lastRowFirstColumn="0" w:lastRowLastColumn="0"/>
            </w:pPr>
            <w:r>
              <w:t>2.45%</w:t>
            </w:r>
          </w:p>
        </w:tc>
      </w:tr>
      <w:tr w:rsidR="00072085" w:rsidTr="002739EE">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 xml:space="preserve">Debt risk premium </w:t>
            </w:r>
          </w:p>
        </w:tc>
        <w:tc>
          <w:tcPr>
            <w:tcW w:w="2410" w:type="dxa"/>
          </w:tcPr>
          <w:p w:rsidR="00072085" w:rsidRDefault="00072085" w:rsidP="00CA2AE8">
            <w:pPr>
              <w:pStyle w:val="AERtabletextright"/>
              <w:cnfStyle w:val="000000000000" w:firstRow="0" w:lastRow="0" w:firstColumn="0" w:lastColumn="0" w:oddVBand="0" w:evenVBand="0" w:oddHBand="0" w:evenHBand="0" w:firstRowFirstColumn="0" w:firstRowLastColumn="0" w:lastRowFirstColumn="0" w:lastRowLastColumn="0"/>
            </w:pPr>
            <w:r>
              <w:t>2.48%</w:t>
            </w:r>
          </w:p>
        </w:tc>
      </w:tr>
      <w:tr w:rsidR="00072085" w:rsidTr="00273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Effective tax rate</w:t>
            </w:r>
          </w:p>
        </w:tc>
        <w:tc>
          <w:tcPr>
            <w:tcW w:w="2410" w:type="dxa"/>
          </w:tcPr>
          <w:p w:rsidR="00072085" w:rsidRDefault="00072085" w:rsidP="00252AC5">
            <w:pPr>
              <w:pStyle w:val="AERtabletextright"/>
              <w:cnfStyle w:val="000000010000" w:firstRow="0" w:lastRow="0" w:firstColumn="0" w:lastColumn="0" w:oddVBand="0" w:evenVBand="0" w:oddHBand="0" w:evenHBand="1" w:firstRowFirstColumn="0" w:firstRowLastColumn="0" w:lastRowFirstColumn="0" w:lastRowLastColumn="0"/>
            </w:pPr>
            <w:r>
              <w:rPr>
                <w:rStyle w:val="AERtexthighlight"/>
                <w:shd w:val="clear" w:color="auto" w:fill="auto"/>
              </w:rPr>
              <w:t>22.7</w:t>
            </w:r>
            <w:r w:rsidR="00252AC5">
              <w:rPr>
                <w:rStyle w:val="AERtexthighlight"/>
                <w:shd w:val="clear" w:color="auto" w:fill="auto"/>
              </w:rPr>
              <w:t>5</w:t>
            </w:r>
            <w:r>
              <w:rPr>
                <w:rStyle w:val="AERtexthighlight"/>
                <w:shd w:val="clear" w:color="auto" w:fill="auto"/>
              </w:rPr>
              <w:t>%</w:t>
            </w:r>
          </w:p>
        </w:tc>
      </w:tr>
      <w:tr w:rsidR="00072085" w:rsidTr="002739EE">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Cost of equity</w:t>
            </w:r>
          </w:p>
        </w:tc>
        <w:tc>
          <w:tcPr>
            <w:tcW w:w="2410" w:type="dxa"/>
          </w:tcPr>
          <w:p w:rsidR="00072085" w:rsidRDefault="00072085" w:rsidP="00CA2AE8">
            <w:pPr>
              <w:pStyle w:val="AERtabletextright"/>
              <w:cnfStyle w:val="000000000000" w:firstRow="0" w:lastRow="0" w:firstColumn="0" w:lastColumn="0" w:oddVBand="0" w:evenVBand="0" w:oddHBand="0" w:evenHBand="0" w:firstRowFirstColumn="0" w:firstRowLastColumn="0" w:lastRowFirstColumn="0" w:lastRowLastColumn="0"/>
            </w:pPr>
            <w:r>
              <w:t>9.51%</w:t>
            </w:r>
          </w:p>
        </w:tc>
      </w:tr>
      <w:tr w:rsidR="00072085" w:rsidTr="00273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numPr>
                <w:ilvl w:val="0"/>
                <w:numId w:val="13"/>
              </w:numPr>
            </w:pPr>
            <w:r w:rsidRPr="00CA2AE8">
              <w:t>Cost of debt</w:t>
            </w:r>
          </w:p>
        </w:tc>
        <w:tc>
          <w:tcPr>
            <w:tcW w:w="2410" w:type="dxa"/>
          </w:tcPr>
          <w:p w:rsidR="00072085" w:rsidRDefault="00072085" w:rsidP="00CA2AE8">
            <w:pPr>
              <w:pStyle w:val="AERtabletextright"/>
              <w:cnfStyle w:val="000000010000" w:firstRow="0" w:lastRow="0" w:firstColumn="0" w:lastColumn="0" w:oddVBand="0" w:evenVBand="0" w:oddHBand="0" w:evenHBand="1" w:firstRowFirstColumn="0" w:firstRowLastColumn="0" w:lastRowFirstColumn="0" w:lastRowLastColumn="0"/>
            </w:pPr>
            <w:r>
              <w:t>6.79%</w:t>
            </w:r>
          </w:p>
        </w:tc>
      </w:tr>
      <w:tr w:rsidR="00072085" w:rsidRPr="0054759F" w:rsidTr="002739EE">
        <w:tc>
          <w:tcPr>
            <w:cnfStyle w:val="001000000000" w:firstRow="0" w:lastRow="0" w:firstColumn="1" w:lastColumn="0" w:oddVBand="0" w:evenVBand="0" w:oddHBand="0" w:evenHBand="0" w:firstRowFirstColumn="0" w:firstRowLastColumn="0" w:lastRowFirstColumn="0" w:lastRowLastColumn="0"/>
            <w:tcW w:w="4077" w:type="dxa"/>
          </w:tcPr>
          <w:p w:rsidR="00072085" w:rsidRPr="00CA2AE8" w:rsidRDefault="00072085" w:rsidP="00CA2AE8">
            <w:pPr>
              <w:pStyle w:val="AERbodytext"/>
              <w:rPr>
                <w:rStyle w:val="AERtextbold"/>
              </w:rPr>
            </w:pPr>
            <w:r w:rsidRPr="00CA2AE8">
              <w:rPr>
                <w:rStyle w:val="AERtextbold"/>
              </w:rPr>
              <w:t>Nominal vanilla WACC</w:t>
            </w:r>
          </w:p>
        </w:tc>
        <w:tc>
          <w:tcPr>
            <w:tcW w:w="2410" w:type="dxa"/>
          </w:tcPr>
          <w:p w:rsidR="00072085" w:rsidRPr="0054759F" w:rsidRDefault="00072085" w:rsidP="00CA2AE8">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Pr>
                <w:rStyle w:val="AERtexthighlight"/>
                <w:shd w:val="clear" w:color="auto" w:fill="auto"/>
              </w:rPr>
              <w:t>7.87%</w:t>
            </w:r>
          </w:p>
        </w:tc>
      </w:tr>
    </w:tbl>
    <w:p w:rsidR="00CA2AE8" w:rsidRPr="00AC665E" w:rsidRDefault="00CA2AE8" w:rsidP="00CA2AE8">
      <w:pPr>
        <w:pStyle w:val="AERtablesource"/>
      </w:pPr>
      <w:r w:rsidRPr="0054759F">
        <w:t>Source:</w:t>
      </w:r>
      <w:r w:rsidRPr="0054759F">
        <w:tab/>
        <w:t>AER analysis</w:t>
      </w:r>
      <w:r>
        <w:t>.</w:t>
      </w:r>
    </w:p>
    <w:bookmarkEnd w:id="15"/>
    <w:bookmarkEnd w:id="16"/>
    <w:bookmarkEnd w:id="17"/>
    <w:p w:rsidR="00CA2AE8" w:rsidRPr="00CA2AE8" w:rsidRDefault="00CA2AE8" w:rsidP="00CA2AE8"/>
    <w:p w:rsidR="00CA2AE8" w:rsidRDefault="00CA2AE8" w:rsidP="00CA2AE8"/>
    <w:p w:rsidR="00F63519" w:rsidRDefault="00F63519" w:rsidP="00CA2AE8"/>
    <w:p w:rsidR="00F63519" w:rsidRDefault="00F63519" w:rsidP="00CA2AE8"/>
    <w:p w:rsidR="00F63519" w:rsidRDefault="00F63519" w:rsidP="00CA2AE8"/>
    <w:p w:rsidR="00F63519" w:rsidRDefault="00F63519" w:rsidP="00CA2AE8"/>
    <w:p w:rsidR="00F63519" w:rsidRDefault="00F63519" w:rsidP="00CA2AE8"/>
    <w:p w:rsidR="00F63519" w:rsidRDefault="00F63519" w:rsidP="00CA2AE8"/>
    <w:p w:rsidR="00F63519" w:rsidRDefault="00F63519" w:rsidP="00F63519">
      <w:pPr>
        <w:pStyle w:val="Heading1"/>
      </w:pPr>
      <w:bookmarkStart w:id="19" w:name="_Toc377546636"/>
      <w:r>
        <w:lastRenderedPageBreak/>
        <w:t>Negotiating framework</w:t>
      </w:r>
      <w:bookmarkEnd w:id="19"/>
    </w:p>
    <w:p w:rsidR="00F63519" w:rsidRDefault="00F63519" w:rsidP="00F63519">
      <w:pPr>
        <w:pStyle w:val="AERbodytext"/>
      </w:pPr>
      <w:r>
        <w:rPr>
          <w:noProof/>
          <w:lang w:eastAsia="en-AU"/>
        </w:rPr>
        <w:drawing>
          <wp:inline distT="0" distB="0" distL="0" distR="0" wp14:anchorId="5F517324" wp14:editId="52BB02C5">
            <wp:extent cx="5731510" cy="8147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D.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8147685"/>
                    </a:xfrm>
                    <a:prstGeom prst="rect">
                      <a:avLst/>
                    </a:prstGeom>
                  </pic:spPr>
                </pic:pic>
              </a:graphicData>
            </a:graphic>
          </wp:inline>
        </w:drawing>
      </w:r>
    </w:p>
    <w:p w:rsidR="00F63519" w:rsidRPr="00F63519" w:rsidRDefault="00F63519" w:rsidP="00F63519">
      <w:pPr>
        <w:pStyle w:val="AERbodytext"/>
      </w:pPr>
      <w:r>
        <w:rPr>
          <w:noProof/>
          <w:lang w:eastAsia="en-AU"/>
        </w:rPr>
        <w:lastRenderedPageBreak/>
        <w:drawing>
          <wp:inline distT="0" distB="0" distL="0" distR="0" wp14:anchorId="6B661F79" wp14:editId="47D251FA">
            <wp:extent cx="5731510" cy="8114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E.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rsidR="00CA2AE8" w:rsidRDefault="00CA2AE8" w:rsidP="00F63519">
      <w:pPr>
        <w:pStyle w:val="AERbodytext"/>
        <w:numPr>
          <w:ilvl w:val="0"/>
          <w:numId w:val="0"/>
        </w:numPr>
      </w:pPr>
    </w:p>
    <w:p w:rsidR="00076E48" w:rsidRDefault="00076E48" w:rsidP="00CA2AE8">
      <w:pPr>
        <w:pStyle w:val="AERbodytext"/>
        <w:numPr>
          <w:ilvl w:val="0"/>
          <w:numId w:val="0"/>
        </w:numPr>
      </w:pPr>
    </w:p>
    <w:p w:rsidR="00CA2AE8" w:rsidRDefault="00F63519" w:rsidP="00CA2AE8">
      <w:pPr>
        <w:pStyle w:val="AERbodytext"/>
        <w:numPr>
          <w:ilvl w:val="0"/>
          <w:numId w:val="0"/>
        </w:numPr>
      </w:pPr>
      <w:r>
        <w:rPr>
          <w:noProof/>
          <w:lang w:eastAsia="en-AU"/>
        </w:rPr>
        <w:lastRenderedPageBreak/>
        <w:drawing>
          <wp:inline distT="0" distB="0" distL="0" distR="0" wp14:anchorId="6A9FC8BF" wp14:editId="0EE53AEE">
            <wp:extent cx="5731510" cy="8079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F.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807910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076E48" w:rsidP="00CA2AE8">
      <w:pPr>
        <w:pStyle w:val="AERbodytext"/>
        <w:numPr>
          <w:ilvl w:val="0"/>
          <w:numId w:val="0"/>
        </w:numPr>
      </w:pPr>
      <w:r>
        <w:rPr>
          <w:noProof/>
          <w:lang w:eastAsia="en-AU"/>
        </w:rPr>
        <w:lastRenderedPageBreak/>
        <w:drawing>
          <wp:inline distT="0" distB="0" distL="0" distR="0" wp14:anchorId="0B127363" wp14:editId="5DE155E9">
            <wp:extent cx="5731510" cy="8041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0.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804100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076E48" w:rsidP="00CA2AE8">
      <w:pPr>
        <w:pStyle w:val="AERbodytext"/>
        <w:numPr>
          <w:ilvl w:val="0"/>
          <w:numId w:val="0"/>
        </w:numPr>
      </w:pPr>
      <w:r>
        <w:rPr>
          <w:noProof/>
          <w:lang w:eastAsia="en-AU"/>
        </w:rPr>
        <w:lastRenderedPageBreak/>
        <w:drawing>
          <wp:inline distT="0" distB="0" distL="0" distR="0" wp14:anchorId="28A9A749" wp14:editId="0F83549E">
            <wp:extent cx="5731510" cy="7966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1.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71347D" w:rsidP="00CA2AE8">
      <w:pPr>
        <w:pStyle w:val="AERbodytext"/>
        <w:numPr>
          <w:ilvl w:val="0"/>
          <w:numId w:val="0"/>
        </w:numPr>
      </w:pPr>
      <w:r>
        <w:rPr>
          <w:noProof/>
          <w:lang w:eastAsia="en-AU"/>
        </w:rPr>
        <w:lastRenderedPageBreak/>
        <w:drawing>
          <wp:inline distT="0" distB="0" distL="0" distR="0" wp14:anchorId="3C51F49C" wp14:editId="2F21DBE4">
            <wp:extent cx="5731510" cy="8058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2.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805878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40FD7DCA" wp14:editId="57CF7E8E">
            <wp:extent cx="5731510" cy="8044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3.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804481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4E36F510" wp14:editId="2D643ABC">
            <wp:extent cx="5731510" cy="811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4.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8115300"/>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792E028E" wp14:editId="7524EDA1">
            <wp:extent cx="5731510" cy="8113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5.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811339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71347D">
      <w:pPr>
        <w:pStyle w:val="Heading1"/>
      </w:pPr>
      <w:bookmarkStart w:id="20" w:name="_Toc377546637"/>
      <w:r>
        <w:lastRenderedPageBreak/>
        <w:t>Negotiated transmission service criteria</w:t>
      </w:r>
      <w:bookmarkEnd w:id="20"/>
    </w:p>
    <w:p w:rsidR="0071347D" w:rsidRPr="00F71E9B" w:rsidRDefault="0071347D" w:rsidP="0071347D">
      <w:pPr>
        <w:pStyle w:val="Heading2"/>
      </w:pPr>
      <w:bookmarkStart w:id="21" w:name="_Toc355023222"/>
      <w:bookmarkStart w:id="22" w:name="_Toc377546638"/>
      <w:r w:rsidRPr="00F71E9B">
        <w:t>National Electricity Objective</w:t>
      </w:r>
      <w:bookmarkEnd w:id="21"/>
      <w:bookmarkEnd w:id="22"/>
    </w:p>
    <w:p w:rsidR="0071347D" w:rsidRPr="00F71E9B" w:rsidRDefault="0071347D" w:rsidP="0071347D">
      <w:pPr>
        <w:pStyle w:val="AERnumberedlistfirststyle"/>
        <w:numPr>
          <w:ilvl w:val="1"/>
          <w:numId w:val="13"/>
        </w:numPr>
      </w:pPr>
      <w:r w:rsidRPr="00F71E9B">
        <w:t>The terms and conditions of access for a negotiated transmission service, including the price that is to be charged for the provision of that service and any access charges, should promote the achievement of the national electricity objective.</w:t>
      </w:r>
    </w:p>
    <w:p w:rsidR="0071347D" w:rsidRPr="00F71E9B" w:rsidRDefault="0071347D" w:rsidP="0071347D">
      <w:pPr>
        <w:pStyle w:val="Heading2"/>
      </w:pPr>
      <w:bookmarkStart w:id="23" w:name="_Toc355023223"/>
      <w:bookmarkStart w:id="24" w:name="_Toc377546639"/>
      <w:r w:rsidRPr="00F71E9B">
        <w:t>Criteria for terms and conditions of access</w:t>
      </w:r>
      <w:bookmarkEnd w:id="23"/>
      <w:bookmarkEnd w:id="24"/>
    </w:p>
    <w:p w:rsidR="0071347D" w:rsidRPr="00F71E9B" w:rsidRDefault="0071347D" w:rsidP="0071347D">
      <w:pPr>
        <w:pStyle w:val="HeadingBoldBlue"/>
      </w:pPr>
      <w:r w:rsidRPr="00F71E9B">
        <w:t>Terms and conditions of access</w:t>
      </w:r>
    </w:p>
    <w:p w:rsidR="0071347D" w:rsidRPr="00F71E9B" w:rsidRDefault="0071347D" w:rsidP="0071347D">
      <w:pPr>
        <w:pStyle w:val="AERnumberedlistfirststyle"/>
        <w:numPr>
          <w:ilvl w:val="1"/>
          <w:numId w:val="13"/>
        </w:numPr>
      </w:pPr>
      <w:r w:rsidRPr="00F71E9B">
        <w:t>The terms and conditions of access for a negotiated transmission service must be fair, reasonable, and consistent with the safe and reliable operation of the power system in accordance with the NER.</w:t>
      </w:r>
    </w:p>
    <w:p w:rsidR="0071347D" w:rsidRPr="00F71E9B" w:rsidRDefault="0071347D" w:rsidP="0071347D">
      <w:pPr>
        <w:pStyle w:val="AERnumberedlistfirststyle"/>
        <w:numPr>
          <w:ilvl w:val="1"/>
          <w:numId w:val="13"/>
        </w:numPr>
      </w:pPr>
      <w:r w:rsidRPr="00F71E9B">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71347D" w:rsidRPr="00F71E9B" w:rsidRDefault="0071347D" w:rsidP="0071347D">
      <w:pPr>
        <w:pStyle w:val="AERnumberedlistfirststyle"/>
        <w:numPr>
          <w:ilvl w:val="1"/>
          <w:numId w:val="13"/>
        </w:numPr>
      </w:pPr>
      <w:r w:rsidRPr="00F71E9B">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71347D" w:rsidRPr="00F71E9B" w:rsidRDefault="0071347D" w:rsidP="0071347D">
      <w:pPr>
        <w:pStyle w:val="HeadingBoldBlue"/>
      </w:pPr>
      <w:r w:rsidRPr="00F71E9B">
        <w:t>Price of services</w:t>
      </w:r>
    </w:p>
    <w:p w:rsidR="0071347D" w:rsidRPr="00F71E9B" w:rsidRDefault="0071347D" w:rsidP="0071347D">
      <w:pPr>
        <w:pStyle w:val="AERnumberedlistfirststyle"/>
        <w:numPr>
          <w:ilvl w:val="1"/>
          <w:numId w:val="13"/>
        </w:numPr>
      </w:pPr>
      <w:r w:rsidRPr="00F71E9B">
        <w:t>The price of a negotiated transmission service must reflect the cost that the TNSP has incurred or incurs in providing that service, and must be determined in accordance with the principles and policies set out in the Cost Allocation Methodology.</w:t>
      </w:r>
    </w:p>
    <w:p w:rsidR="0071347D" w:rsidRPr="00F71E9B" w:rsidRDefault="0071347D" w:rsidP="0071347D">
      <w:pPr>
        <w:pStyle w:val="AERnumberedlistfirststyle"/>
        <w:numPr>
          <w:ilvl w:val="1"/>
          <w:numId w:val="13"/>
        </w:numPr>
      </w:pPr>
      <w:r w:rsidRPr="00F71E9B">
        <w:t xml:space="preserve">Subject to criteria 7 and 8, the price for a negotiated transmission service must be at least equal to the avoided cost of providing that service but no more than the cost of providing it on a </w:t>
      </w:r>
      <w:proofErr w:type="spellStart"/>
      <w:r w:rsidRPr="00F71E9B">
        <w:t>stand alone</w:t>
      </w:r>
      <w:proofErr w:type="spellEnd"/>
      <w:r w:rsidRPr="00F71E9B">
        <w:t xml:space="preserve"> basis.</w:t>
      </w:r>
    </w:p>
    <w:p w:rsidR="0071347D" w:rsidRPr="00F71E9B" w:rsidRDefault="0071347D" w:rsidP="0071347D">
      <w:pPr>
        <w:pStyle w:val="AERnumberedlistfirststyle"/>
        <w:numPr>
          <w:ilvl w:val="1"/>
          <w:numId w:val="13"/>
        </w:numPr>
      </w:pPr>
      <w:r w:rsidRPr="00F71E9B">
        <w:t>If the negotiated transmission service is a shared transmission service that:</w:t>
      </w:r>
    </w:p>
    <w:p w:rsidR="0071347D" w:rsidRPr="00F71E9B" w:rsidRDefault="0071347D" w:rsidP="0071347D">
      <w:pPr>
        <w:pStyle w:val="AERnumberedlistthirdstyle"/>
        <w:numPr>
          <w:ilvl w:val="3"/>
          <w:numId w:val="13"/>
        </w:numPr>
      </w:pPr>
      <w:r w:rsidRPr="00F71E9B">
        <w:t>exceeds any network performance requirements which it is required to meet under any relevant electricity legislation; or</w:t>
      </w:r>
    </w:p>
    <w:p w:rsidR="0071347D" w:rsidRPr="00F71E9B" w:rsidRDefault="0071347D" w:rsidP="0071347D">
      <w:pPr>
        <w:pStyle w:val="AERnumberedlistthirdstyle"/>
        <w:numPr>
          <w:ilvl w:val="3"/>
          <w:numId w:val="13"/>
        </w:numPr>
      </w:pPr>
      <w:r w:rsidRPr="00F71E9B">
        <w:t>exceeds the network performance requirements set out in schedule 5.1a and 5.1 of the NER</w:t>
      </w:r>
    </w:p>
    <w:p w:rsidR="0071347D" w:rsidRPr="00F71E9B" w:rsidRDefault="0071347D" w:rsidP="0071347D">
      <w:pPr>
        <w:pStyle w:val="AERnumberedlistfirststyle"/>
        <w:numPr>
          <w:ilvl w:val="0"/>
          <w:numId w:val="0"/>
        </w:numPr>
        <w:ind w:left="357"/>
      </w:pPr>
      <w:r w:rsidRPr="00F71E9B">
        <w:t>then the difference between the price for that service and the price for the shared transmission service which meets network performance requirements must reflect the TNSP’s incremental cost of providing that service (as appropriate).</w:t>
      </w:r>
    </w:p>
    <w:p w:rsidR="0071347D" w:rsidRPr="00F71E9B" w:rsidRDefault="0071347D" w:rsidP="0071347D">
      <w:pPr>
        <w:pStyle w:val="AERnumberedlistfirststyle"/>
        <w:numPr>
          <w:ilvl w:val="1"/>
          <w:numId w:val="13"/>
        </w:numPr>
      </w:pPr>
      <w:r w:rsidRPr="00F71E9B">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71347D" w:rsidRPr="00F71E9B" w:rsidRDefault="0071347D" w:rsidP="0071347D">
      <w:pPr>
        <w:pStyle w:val="AERnumberedlistfirststyle"/>
        <w:numPr>
          <w:ilvl w:val="1"/>
          <w:numId w:val="13"/>
        </w:numPr>
      </w:pPr>
      <w:r w:rsidRPr="00F71E9B">
        <w:lastRenderedPageBreak/>
        <w:t>The price for a negotiated transmission service must be the same for all Transmission Network Users.  The exception is if there is a material difference in the costs of providing the negotiated transmission service to different Transmission Network Users or classes of Transmission Network Users.</w:t>
      </w:r>
    </w:p>
    <w:p w:rsidR="0071347D" w:rsidRPr="00F71E9B" w:rsidRDefault="0071347D" w:rsidP="0071347D">
      <w:pPr>
        <w:pStyle w:val="AERnumberedlistfirststyle"/>
        <w:numPr>
          <w:ilvl w:val="1"/>
          <w:numId w:val="13"/>
        </w:numPr>
      </w:pPr>
      <w:r w:rsidRPr="00F71E9B">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71347D" w:rsidRPr="00F71E9B" w:rsidRDefault="0071347D" w:rsidP="0071347D">
      <w:pPr>
        <w:pStyle w:val="AERnumberedlistfirststyle"/>
        <w:numPr>
          <w:ilvl w:val="1"/>
          <w:numId w:val="13"/>
        </w:numPr>
      </w:pPr>
      <w:r w:rsidRPr="00F71E9B">
        <w:t>The price for a negotiated transmission service must be such as to enable the TNSP to recover the efficient costs of complying with all regulatory obligations associated with the provision of the negotiated transmission service.</w:t>
      </w:r>
    </w:p>
    <w:p w:rsidR="0071347D" w:rsidRPr="00F71E9B" w:rsidRDefault="0071347D" w:rsidP="0071347D">
      <w:pPr>
        <w:pStyle w:val="Heading2"/>
      </w:pPr>
      <w:bookmarkStart w:id="25" w:name="_Toc355023224"/>
      <w:bookmarkStart w:id="26" w:name="_Toc377546640"/>
      <w:r w:rsidRPr="00F71E9B">
        <w:t>Criteria for access charges</w:t>
      </w:r>
      <w:bookmarkEnd w:id="25"/>
      <w:bookmarkEnd w:id="26"/>
    </w:p>
    <w:p w:rsidR="0071347D" w:rsidRPr="00F71E9B" w:rsidRDefault="0071347D" w:rsidP="0071347D">
      <w:pPr>
        <w:pStyle w:val="HeadingBoldBlue"/>
      </w:pPr>
      <w:r w:rsidRPr="00F71E9B">
        <w:t>Access charges</w:t>
      </w:r>
    </w:p>
    <w:p w:rsidR="0071347D" w:rsidRDefault="0071347D" w:rsidP="0071347D">
      <w:pPr>
        <w:pStyle w:val="AERbodytext"/>
        <w:numPr>
          <w:ilvl w:val="0"/>
          <w:numId w:val="13"/>
        </w:numPr>
      </w:pPr>
      <w:r w:rsidRPr="00F71E9B">
        <w:t xml:space="preserve">Any access charges must be based on the costs reasonably incurred by the TNSP in providing transmission network user access. This includes the compensation for foregone revenue referred to in clause </w:t>
      </w:r>
      <w:proofErr w:type="gramStart"/>
      <w:r w:rsidRPr="00F71E9B">
        <w:t>5.4A(</w:t>
      </w:r>
      <w:proofErr w:type="gramEnd"/>
      <w:r w:rsidRPr="00F71E9B">
        <w:t>h) to (j) of the NER and the costs that are likely to be incurred by a person referred to in clause 5.4A(h)</w:t>
      </w:r>
      <w:r>
        <w:t>.</w:t>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Pr="00F71E9B"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Heading1"/>
      </w:pPr>
      <w:bookmarkStart w:id="27" w:name="_Toc377546641"/>
      <w:r>
        <w:lastRenderedPageBreak/>
        <w:t>Pricing methodology</w:t>
      </w:r>
      <w:bookmarkEnd w:id="27"/>
    </w:p>
    <w:p w:rsidR="0071347D" w:rsidRDefault="0071347D" w:rsidP="0071347D">
      <w:pPr>
        <w:pStyle w:val="AERbodytext"/>
      </w:pPr>
      <w:r>
        <w:rPr>
          <w:noProof/>
          <w:lang w:eastAsia="en-AU"/>
        </w:rPr>
        <w:drawing>
          <wp:inline distT="0" distB="0" distL="0" distR="0" wp14:anchorId="24BD36D8" wp14:editId="09EDD1F7">
            <wp:extent cx="5731510" cy="8162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6.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8162290"/>
                    </a:xfrm>
                    <a:prstGeom prst="rect">
                      <a:avLst/>
                    </a:prstGeom>
                  </pic:spPr>
                </pic:pic>
              </a:graphicData>
            </a:graphic>
          </wp:inline>
        </w:drawing>
      </w:r>
    </w:p>
    <w:p w:rsidR="0071347D" w:rsidRDefault="0071347D" w:rsidP="0071347D">
      <w:pPr>
        <w:pStyle w:val="AERbodytext"/>
      </w:pPr>
      <w:r>
        <w:rPr>
          <w:noProof/>
          <w:lang w:eastAsia="en-AU"/>
        </w:rPr>
        <w:lastRenderedPageBreak/>
        <w:drawing>
          <wp:inline distT="0" distB="0" distL="0" distR="0" wp14:anchorId="039CADE0" wp14:editId="2CC7263F">
            <wp:extent cx="5731510" cy="8133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7.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813371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6F12F761" wp14:editId="45A942CB">
            <wp:extent cx="5731510" cy="8105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8.tmp"/>
                    <pic:cNvPicPr/>
                  </pic:nvPicPr>
                  <pic:blipFill>
                    <a:blip r:embed="rId30">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097437A5" wp14:editId="4A877CDF">
            <wp:extent cx="5731510" cy="8025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9.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802576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4ACE5F3D" wp14:editId="6A287409">
            <wp:extent cx="5731510" cy="8015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A.tmp"/>
                    <pic:cNvPicPr/>
                  </pic:nvPicPr>
                  <pic:blipFill>
                    <a:blip r:embed="rId32">
                      <a:extLst>
                        <a:ext uri="{28A0092B-C50C-407E-A947-70E740481C1C}">
                          <a14:useLocalDpi xmlns:a14="http://schemas.microsoft.com/office/drawing/2010/main" val="0"/>
                        </a:ext>
                      </a:extLst>
                    </a:blip>
                    <a:stretch>
                      <a:fillRect/>
                    </a:stretch>
                  </pic:blipFill>
                  <pic:spPr>
                    <a:xfrm>
                      <a:off x="0" y="0"/>
                      <a:ext cx="5731510" cy="801560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2CF8650C" wp14:editId="504946CA">
            <wp:extent cx="5731510" cy="7907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B.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790765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262D8D86" wp14:editId="3C9B14DD">
            <wp:extent cx="5731510" cy="7879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C.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787971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r>
        <w:rPr>
          <w:noProof/>
          <w:lang w:eastAsia="en-AU"/>
        </w:rPr>
        <w:lastRenderedPageBreak/>
        <w:drawing>
          <wp:inline distT="0" distB="0" distL="0" distR="0" wp14:anchorId="247C2B31" wp14:editId="4A91C686">
            <wp:extent cx="5731510" cy="7807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D.tmp"/>
                    <pic:cNvPicPr/>
                  </pic:nvPicPr>
                  <pic:blipFill>
                    <a:blip r:embed="rId35">
                      <a:extLst>
                        <a:ext uri="{28A0092B-C50C-407E-A947-70E740481C1C}">
                          <a14:useLocalDpi xmlns:a14="http://schemas.microsoft.com/office/drawing/2010/main" val="0"/>
                        </a:ext>
                      </a:extLst>
                    </a:blip>
                    <a:stretch>
                      <a:fillRect/>
                    </a:stretch>
                  </pic:blipFill>
                  <pic:spPr>
                    <a:xfrm>
                      <a:off x="0" y="0"/>
                      <a:ext cx="5731510" cy="7807325"/>
                    </a:xfrm>
                    <a:prstGeom prst="rect">
                      <a:avLst/>
                    </a:prstGeom>
                  </pic:spPr>
                </pic:pic>
              </a:graphicData>
            </a:graphic>
          </wp:inline>
        </w:drawing>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C25F63" w:rsidP="0071347D">
      <w:pPr>
        <w:pStyle w:val="AERbodytext"/>
        <w:numPr>
          <w:ilvl w:val="0"/>
          <w:numId w:val="0"/>
        </w:numPr>
      </w:pPr>
      <w:r>
        <w:rPr>
          <w:noProof/>
          <w:lang w:eastAsia="en-AU"/>
        </w:rPr>
        <w:lastRenderedPageBreak/>
        <w:drawing>
          <wp:inline distT="0" distB="0" distL="0" distR="0" wp14:anchorId="5579E6B5" wp14:editId="40949A66">
            <wp:extent cx="5731510" cy="8121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E.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812165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1FF4236F" wp14:editId="74000DC5">
            <wp:extent cx="5731510" cy="8119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F.tmp"/>
                    <pic:cNvPicPr/>
                  </pic:nvPicPr>
                  <pic:blipFill>
                    <a:blip r:embed="rId37">
                      <a:extLst>
                        <a:ext uri="{28A0092B-C50C-407E-A947-70E740481C1C}">
                          <a14:useLocalDpi xmlns:a14="http://schemas.microsoft.com/office/drawing/2010/main" val="0"/>
                        </a:ext>
                      </a:extLst>
                    </a:blip>
                    <a:stretch>
                      <a:fillRect/>
                    </a:stretch>
                  </pic:blipFill>
                  <pic:spPr>
                    <a:xfrm>
                      <a:off x="0" y="0"/>
                      <a:ext cx="5731510" cy="811974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411D4477" wp14:editId="1AD8537D">
            <wp:extent cx="5731510" cy="8092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0.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809244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drawing>
          <wp:inline distT="0" distB="0" distL="0" distR="0" wp14:anchorId="7807961C" wp14:editId="561696BF">
            <wp:extent cx="5731510" cy="8028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1.tmp"/>
                    <pic:cNvPicPr/>
                  </pic:nvPicPr>
                  <pic:blipFill>
                    <a:blip r:embed="rId39">
                      <a:extLst>
                        <a:ext uri="{28A0092B-C50C-407E-A947-70E740481C1C}">
                          <a14:useLocalDpi xmlns:a14="http://schemas.microsoft.com/office/drawing/2010/main" val="0"/>
                        </a:ext>
                      </a:extLst>
                    </a:blip>
                    <a:stretch>
                      <a:fillRect/>
                    </a:stretch>
                  </pic:blipFill>
                  <pic:spPr>
                    <a:xfrm>
                      <a:off x="0" y="0"/>
                      <a:ext cx="5731510" cy="802894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3BA210DA" wp14:editId="536D5183">
            <wp:extent cx="5731510" cy="79965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2.tmp"/>
                    <pic:cNvPicPr/>
                  </pic:nvPicPr>
                  <pic:blipFill>
                    <a:blip r:embed="rId40">
                      <a:extLst>
                        <a:ext uri="{28A0092B-C50C-407E-A947-70E740481C1C}">
                          <a14:useLocalDpi xmlns:a14="http://schemas.microsoft.com/office/drawing/2010/main" val="0"/>
                        </a:ext>
                      </a:extLst>
                    </a:blip>
                    <a:stretch>
                      <a:fillRect/>
                    </a:stretch>
                  </pic:blipFill>
                  <pic:spPr>
                    <a:xfrm>
                      <a:off x="0" y="0"/>
                      <a:ext cx="5731510" cy="799655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23DCF206" wp14:editId="6E3D8514">
            <wp:extent cx="5731510" cy="8049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3.tmp"/>
                    <pic:cNvPicPr/>
                  </pic:nvPicPr>
                  <pic:blipFill>
                    <a:blip r:embed="rId41">
                      <a:extLst>
                        <a:ext uri="{28A0092B-C50C-407E-A947-70E740481C1C}">
                          <a14:useLocalDpi xmlns:a14="http://schemas.microsoft.com/office/drawing/2010/main" val="0"/>
                        </a:ext>
                      </a:extLst>
                    </a:blip>
                    <a:stretch>
                      <a:fillRect/>
                    </a:stretch>
                  </pic:blipFill>
                  <pic:spPr>
                    <a:xfrm>
                      <a:off x="0" y="0"/>
                      <a:ext cx="5731510" cy="804989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4927333F" wp14:editId="7FE5CFC6">
            <wp:extent cx="5731510" cy="8067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4.tmp"/>
                    <pic:cNvPicPr/>
                  </pic:nvPicPr>
                  <pic:blipFill>
                    <a:blip r:embed="rId42">
                      <a:extLst>
                        <a:ext uri="{28A0092B-C50C-407E-A947-70E740481C1C}">
                          <a14:useLocalDpi xmlns:a14="http://schemas.microsoft.com/office/drawing/2010/main" val="0"/>
                        </a:ext>
                      </a:extLst>
                    </a:blip>
                    <a:stretch>
                      <a:fillRect/>
                    </a:stretch>
                  </pic:blipFill>
                  <pic:spPr>
                    <a:xfrm>
                      <a:off x="0" y="0"/>
                      <a:ext cx="5731510" cy="806704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2E60E19B" wp14:editId="55BBC8C1">
            <wp:extent cx="5731510" cy="807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5.tmp"/>
                    <pic:cNvPicPr/>
                  </pic:nvPicPr>
                  <pic:blipFill>
                    <a:blip r:embed="rId43">
                      <a:extLst>
                        <a:ext uri="{28A0092B-C50C-407E-A947-70E740481C1C}">
                          <a14:useLocalDpi xmlns:a14="http://schemas.microsoft.com/office/drawing/2010/main" val="0"/>
                        </a:ext>
                      </a:extLst>
                    </a:blip>
                    <a:stretch>
                      <a:fillRect/>
                    </a:stretch>
                  </pic:blipFill>
                  <pic:spPr>
                    <a:xfrm>
                      <a:off x="0" y="0"/>
                      <a:ext cx="5731510" cy="807720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20117EF7" wp14:editId="5A407DF4">
            <wp:extent cx="5731510" cy="8121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6.tmp"/>
                    <pic:cNvPicPr/>
                  </pic:nvPicPr>
                  <pic:blipFill>
                    <a:blip r:embed="rId44">
                      <a:extLst>
                        <a:ext uri="{28A0092B-C50C-407E-A947-70E740481C1C}">
                          <a14:useLocalDpi xmlns:a14="http://schemas.microsoft.com/office/drawing/2010/main" val="0"/>
                        </a:ext>
                      </a:extLst>
                    </a:blip>
                    <a:stretch>
                      <a:fillRect/>
                    </a:stretch>
                  </pic:blipFill>
                  <pic:spPr>
                    <a:xfrm>
                      <a:off x="0" y="0"/>
                      <a:ext cx="5731510" cy="812165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772CEAA1" wp14:editId="11321F66">
            <wp:extent cx="5731510" cy="8115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7.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811530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4AEB37BD" wp14:editId="3CC62387">
            <wp:extent cx="5731510" cy="8089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8.tmp"/>
                    <pic:cNvPicPr/>
                  </pic:nvPicPr>
                  <pic:blipFill>
                    <a:blip r:embed="rId46">
                      <a:extLst>
                        <a:ext uri="{28A0092B-C50C-407E-A947-70E740481C1C}">
                          <a14:useLocalDpi xmlns:a14="http://schemas.microsoft.com/office/drawing/2010/main" val="0"/>
                        </a:ext>
                      </a:extLst>
                    </a:blip>
                    <a:stretch>
                      <a:fillRect/>
                    </a:stretch>
                  </pic:blipFill>
                  <pic:spPr>
                    <a:xfrm>
                      <a:off x="0" y="0"/>
                      <a:ext cx="5731510" cy="808926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184DD207" wp14:editId="7C7F242A">
            <wp:extent cx="5731510" cy="7972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9.tmp"/>
                    <pic:cNvPicPr/>
                  </pic:nvPicPr>
                  <pic:blipFill>
                    <a:blip r:embed="rId47">
                      <a:extLst>
                        <a:ext uri="{28A0092B-C50C-407E-A947-70E740481C1C}">
                          <a14:useLocalDpi xmlns:a14="http://schemas.microsoft.com/office/drawing/2010/main" val="0"/>
                        </a:ext>
                      </a:extLst>
                    </a:blip>
                    <a:stretch>
                      <a:fillRect/>
                    </a:stretch>
                  </pic:blipFill>
                  <pic:spPr>
                    <a:xfrm>
                      <a:off x="0" y="0"/>
                      <a:ext cx="5731510" cy="797242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349B665B" wp14:editId="48B277B7">
            <wp:extent cx="5731510" cy="7982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A.tmp"/>
                    <pic:cNvPicPr/>
                  </pic:nvPicPr>
                  <pic:blipFill>
                    <a:blip r:embed="rId48">
                      <a:extLst>
                        <a:ext uri="{28A0092B-C50C-407E-A947-70E740481C1C}">
                          <a14:useLocalDpi xmlns:a14="http://schemas.microsoft.com/office/drawing/2010/main" val="0"/>
                        </a:ext>
                      </a:extLst>
                    </a:blip>
                    <a:stretch>
                      <a:fillRect/>
                    </a:stretch>
                  </pic:blipFill>
                  <pic:spPr>
                    <a:xfrm>
                      <a:off x="0" y="0"/>
                      <a:ext cx="5731510" cy="798258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01A78C57" wp14:editId="13BF8574">
            <wp:extent cx="5731510" cy="79419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B.tmp"/>
                    <pic:cNvPicPr/>
                  </pic:nvPicPr>
                  <pic:blipFill>
                    <a:blip r:embed="rId49">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356F6E30" wp14:editId="0EE2EB83">
            <wp:extent cx="5731510" cy="7856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C.tmp"/>
                    <pic:cNvPicPr/>
                  </pic:nvPicPr>
                  <pic:blipFill>
                    <a:blip r:embed="rId50">
                      <a:extLst>
                        <a:ext uri="{28A0092B-C50C-407E-A947-70E740481C1C}">
                          <a14:useLocalDpi xmlns:a14="http://schemas.microsoft.com/office/drawing/2010/main" val="0"/>
                        </a:ext>
                      </a:extLst>
                    </a:blip>
                    <a:stretch>
                      <a:fillRect/>
                    </a:stretch>
                  </pic:blipFill>
                  <pic:spPr>
                    <a:xfrm>
                      <a:off x="0" y="0"/>
                      <a:ext cx="5731510" cy="785622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3271C813" wp14:editId="52153F51">
            <wp:extent cx="5731510" cy="7801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D.tmp"/>
                    <pic:cNvPicPr/>
                  </pic:nvPicPr>
                  <pic:blipFill>
                    <a:blip r:embed="rId51">
                      <a:extLst>
                        <a:ext uri="{28A0092B-C50C-407E-A947-70E740481C1C}">
                          <a14:useLocalDpi xmlns:a14="http://schemas.microsoft.com/office/drawing/2010/main" val="0"/>
                        </a:ext>
                      </a:extLst>
                    </a:blip>
                    <a:stretch>
                      <a:fillRect/>
                    </a:stretch>
                  </pic:blipFill>
                  <pic:spPr>
                    <a:xfrm>
                      <a:off x="0" y="0"/>
                      <a:ext cx="5731510" cy="780161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142AEC08" wp14:editId="4DADAE12">
            <wp:extent cx="5731510" cy="8171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E.tmp"/>
                    <pic:cNvPicPr/>
                  </pic:nvPicPr>
                  <pic:blipFill>
                    <a:blip r:embed="rId52">
                      <a:extLst>
                        <a:ext uri="{28A0092B-C50C-407E-A947-70E740481C1C}">
                          <a14:useLocalDpi xmlns:a14="http://schemas.microsoft.com/office/drawing/2010/main" val="0"/>
                        </a:ext>
                      </a:extLst>
                    </a:blip>
                    <a:stretch>
                      <a:fillRect/>
                    </a:stretch>
                  </pic:blipFill>
                  <pic:spPr>
                    <a:xfrm>
                      <a:off x="0" y="0"/>
                      <a:ext cx="5731510" cy="817181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1AFBC71A" wp14:editId="4811ECC3">
            <wp:extent cx="5731510" cy="8179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EF.tmp"/>
                    <pic:cNvPicPr/>
                  </pic:nvPicPr>
                  <pic:blipFill>
                    <a:blip r:embed="rId53">
                      <a:extLst>
                        <a:ext uri="{28A0092B-C50C-407E-A947-70E740481C1C}">
                          <a14:useLocalDpi xmlns:a14="http://schemas.microsoft.com/office/drawing/2010/main" val="0"/>
                        </a:ext>
                      </a:extLst>
                    </a:blip>
                    <a:stretch>
                      <a:fillRect/>
                    </a:stretch>
                  </pic:blipFill>
                  <pic:spPr>
                    <a:xfrm>
                      <a:off x="0" y="0"/>
                      <a:ext cx="5731510" cy="817943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72B4D725" wp14:editId="1EAE8C45">
            <wp:extent cx="5731510" cy="8094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F0.tmp"/>
                    <pic:cNvPicPr/>
                  </pic:nvPicPr>
                  <pic:blipFill>
                    <a:blip r:embed="rId54">
                      <a:extLst>
                        <a:ext uri="{28A0092B-C50C-407E-A947-70E740481C1C}">
                          <a14:useLocalDpi xmlns:a14="http://schemas.microsoft.com/office/drawing/2010/main" val="0"/>
                        </a:ext>
                      </a:extLst>
                    </a:blip>
                    <a:stretch>
                      <a:fillRect/>
                    </a:stretch>
                  </pic:blipFill>
                  <pic:spPr>
                    <a:xfrm>
                      <a:off x="0" y="0"/>
                      <a:ext cx="5731510" cy="8094345"/>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Default="00C25F63" w:rsidP="0071347D">
      <w:pPr>
        <w:pStyle w:val="AERbodytext"/>
        <w:numPr>
          <w:ilvl w:val="0"/>
          <w:numId w:val="0"/>
        </w:numPr>
      </w:pPr>
      <w:r>
        <w:rPr>
          <w:noProof/>
          <w:lang w:eastAsia="en-AU"/>
        </w:rPr>
        <w:lastRenderedPageBreak/>
        <w:drawing>
          <wp:inline distT="0" distB="0" distL="0" distR="0" wp14:anchorId="29480736" wp14:editId="4B497BC8">
            <wp:extent cx="5731510" cy="79984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F1.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7998460"/>
                    </a:xfrm>
                    <a:prstGeom prst="rect">
                      <a:avLst/>
                    </a:prstGeom>
                  </pic:spPr>
                </pic:pic>
              </a:graphicData>
            </a:graphic>
          </wp:inline>
        </w:drawing>
      </w:r>
    </w:p>
    <w:p w:rsidR="00C25F63" w:rsidRDefault="00C25F63" w:rsidP="0071347D">
      <w:pPr>
        <w:pStyle w:val="AERbodytext"/>
        <w:numPr>
          <w:ilvl w:val="0"/>
          <w:numId w:val="0"/>
        </w:numPr>
      </w:pPr>
    </w:p>
    <w:p w:rsidR="00C25F63" w:rsidRDefault="00C25F63" w:rsidP="0071347D">
      <w:pPr>
        <w:pStyle w:val="AERbodytext"/>
        <w:numPr>
          <w:ilvl w:val="0"/>
          <w:numId w:val="0"/>
        </w:numPr>
      </w:pPr>
    </w:p>
    <w:p w:rsidR="00C25F63" w:rsidRPr="0071347D" w:rsidRDefault="00BC18AF" w:rsidP="0071347D">
      <w:pPr>
        <w:pStyle w:val="AERbodytext"/>
        <w:numPr>
          <w:ilvl w:val="0"/>
          <w:numId w:val="0"/>
        </w:numPr>
      </w:pPr>
      <w:r>
        <w:rPr>
          <w:noProof/>
          <w:lang w:eastAsia="en-AU"/>
        </w:rPr>
        <w:lastRenderedPageBreak/>
        <w:drawing>
          <wp:inline distT="0" distB="0" distL="0" distR="0" wp14:anchorId="5D1E8757" wp14:editId="773AECB8">
            <wp:extent cx="5731510" cy="81095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F2.tmp"/>
                    <pic:cNvPicPr/>
                  </pic:nvPicPr>
                  <pic:blipFill>
                    <a:blip r:embed="rId56">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p>
    <w:sectPr w:rsidR="00C25F63" w:rsidRPr="0071347D" w:rsidSect="00B925C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306" w:rsidRPr="00AB4345" w:rsidRDefault="00C96306" w:rsidP="00AB4345">
      <w:r>
        <w:separator/>
      </w:r>
    </w:p>
  </w:endnote>
  <w:endnote w:type="continuationSeparator" w:id="0">
    <w:p w:rsidR="00C96306" w:rsidRPr="00AB4345" w:rsidRDefault="00C96306"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97381"/>
      <w:docPartObj>
        <w:docPartGallery w:val="Page Numbers (Bottom of Page)"/>
        <w:docPartUnique/>
      </w:docPartObj>
    </w:sdtPr>
    <w:sdtEndPr/>
    <w:sdtContent>
      <w:p w:rsidR="00C96306" w:rsidRPr="00824CC8" w:rsidRDefault="00C96306" w:rsidP="00824CC8">
        <w:pPr>
          <w:pStyle w:val="Footer"/>
        </w:pPr>
        <w:r w:rsidRPr="00824CC8">
          <w:fldChar w:fldCharType="begin"/>
        </w:r>
        <w:r w:rsidRPr="00824CC8">
          <w:instrText xml:space="preserve"> PAGE   \* MERGEFORMAT </w:instrText>
        </w:r>
        <w:r w:rsidRPr="00824CC8">
          <w:fldChar w:fldCharType="separate"/>
        </w:r>
        <w:r w:rsidR="00B42368">
          <w:rPr>
            <w:noProof/>
          </w:rPr>
          <w:t>10</w:t>
        </w:r>
        <w:r w:rsidRPr="00824CC8">
          <w:fldChar w:fldCharType="end"/>
        </w:r>
        <w:r w:rsidRPr="00824CC8">
          <w:tab/>
        </w:r>
        <w:r>
          <w:t xml:space="preserve">                                         </w:t>
        </w:r>
        <w:r w:rsidR="002E7359">
          <w:t xml:space="preserve">                              </w:t>
        </w:r>
        <w:r>
          <w:rPr>
            <w:rStyle w:val="AERtextorange"/>
          </w:rPr>
          <w:t>AER transmission determination</w:t>
        </w:r>
        <w:r>
          <w:rPr>
            <w:rStyle w:val="AERbody"/>
          </w:rPr>
          <w:t xml:space="preserve"> </w:t>
        </w:r>
        <w:r w:rsidRPr="00210880">
          <w:rPr>
            <w:rStyle w:val="AERbody"/>
          </w:rPr>
          <w:t xml:space="preserve">| </w:t>
        </w:r>
        <w:r w:rsidR="000B4BAD">
          <w:rPr>
            <w:rStyle w:val="AERtextblue"/>
          </w:rPr>
          <w:t xml:space="preserve">SP </w:t>
        </w:r>
        <w:proofErr w:type="spellStart"/>
        <w:r w:rsidR="000B4BAD">
          <w:rPr>
            <w:rStyle w:val="AERtextblue"/>
          </w:rPr>
          <w:t>AusNet</w:t>
        </w:r>
        <w:proofErr w:type="spellEnd"/>
        <w:r w:rsidR="000B4BAD">
          <w:rPr>
            <w:rStyle w:val="AERtextblue"/>
          </w:rPr>
          <w:t xml:space="preserve"> 2014–1</w:t>
        </w:r>
        <w:r w:rsidR="002E7359">
          <w:rPr>
            <w:rStyle w:val="AERtextblue"/>
          </w:rPr>
          <w:t>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306" w:rsidRPr="00824CC8" w:rsidRDefault="00C96306" w:rsidP="00824CC8">
    <w:pPr>
      <w:pStyle w:val="Footer"/>
      <w:rPr>
        <w:rStyle w:val="AERbody"/>
      </w:rPr>
    </w:pPr>
    <w:r>
      <w:rPr>
        <w:rStyle w:val="AERtextorange"/>
      </w:rPr>
      <w:t>AER transmission determination</w:t>
    </w:r>
    <w:r>
      <w:rPr>
        <w:rStyle w:val="AERbody"/>
      </w:rPr>
      <w:t xml:space="preserve"> </w:t>
    </w:r>
    <w:r w:rsidRPr="00210880">
      <w:rPr>
        <w:rStyle w:val="AERbody"/>
      </w:rPr>
      <w:t xml:space="preserve">| </w:t>
    </w:r>
    <w:r w:rsidRPr="002A0750">
      <w:rPr>
        <w:rStyle w:val="AERtextblue"/>
      </w:rPr>
      <w:t xml:space="preserve">SP </w:t>
    </w:r>
    <w:proofErr w:type="spellStart"/>
    <w:r w:rsidRPr="002A0750">
      <w:rPr>
        <w:rStyle w:val="AERtextblue"/>
      </w:rPr>
      <w:t>AusNet</w:t>
    </w:r>
    <w:proofErr w:type="spellEnd"/>
    <w:r w:rsidRPr="002A0750">
      <w:rPr>
        <w:rStyle w:val="AERtextblue"/>
      </w:rPr>
      <w:t xml:space="preserve"> 2014–17</w:t>
    </w:r>
    <w:r>
      <w:rPr>
        <w:rStyle w:val="AERbody"/>
      </w:rPr>
      <w:tab/>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B42368">
      <w:rPr>
        <w:rStyle w:val="AERbody"/>
        <w:noProof/>
      </w:rPr>
      <w:t>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72" w:rsidRDefault="00AF3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306" w:rsidRPr="00AB4345" w:rsidRDefault="00C96306" w:rsidP="00AB4345">
      <w:r>
        <w:separator/>
      </w:r>
    </w:p>
  </w:footnote>
  <w:footnote w:type="continuationSeparator" w:id="0">
    <w:p w:rsidR="00C96306" w:rsidRPr="00AB4345" w:rsidRDefault="00C96306" w:rsidP="00AB4345">
      <w:r>
        <w:continuationSeparator/>
      </w:r>
    </w:p>
  </w:footnote>
  <w:footnote w:id="1">
    <w:p w:rsidR="00C96306" w:rsidRDefault="00C96306">
      <w:pPr>
        <w:pStyle w:val="FootnoteText"/>
      </w:pPr>
      <w:r>
        <w:rPr>
          <w:rStyle w:val="FootnoteReference"/>
        </w:rPr>
        <w:footnoteRef/>
      </w:r>
      <w:r>
        <w:t xml:space="preserve"> </w:t>
      </w:r>
      <w:r>
        <w:tab/>
        <w:t xml:space="preserve">NER, clause </w:t>
      </w:r>
      <w:proofErr w:type="gramStart"/>
      <w:r>
        <w:t>6A.9.5(</w:t>
      </w:r>
      <w:proofErr w:type="gramEnd"/>
      <w:r>
        <w:t>a).</w:t>
      </w:r>
    </w:p>
  </w:footnote>
  <w:footnote w:id="2">
    <w:p w:rsidR="009A7DEC" w:rsidRDefault="009A7DEC" w:rsidP="009A7DEC">
      <w:pPr>
        <w:pStyle w:val="FootnoteText"/>
      </w:pPr>
      <w:r>
        <w:rPr>
          <w:rStyle w:val="FootnoteReference"/>
        </w:rPr>
        <w:footnoteRef/>
      </w:r>
      <w:r>
        <w:t xml:space="preserve"> </w:t>
      </w:r>
      <w:r>
        <w:tab/>
      </w:r>
      <w:proofErr w:type="gramStart"/>
      <w:r>
        <w:t>NER, clause 6A.5.4.</w:t>
      </w:r>
      <w:proofErr w:type="gramEnd"/>
    </w:p>
  </w:footnote>
  <w:footnote w:id="3">
    <w:p w:rsidR="009A7DEC" w:rsidRDefault="009A7DEC" w:rsidP="009A7DEC">
      <w:pPr>
        <w:pStyle w:val="FootnoteText"/>
      </w:pPr>
      <w:r>
        <w:rPr>
          <w:rStyle w:val="FootnoteReference"/>
        </w:rPr>
        <w:footnoteRef/>
      </w:r>
      <w:r>
        <w:t xml:space="preserve"> </w:t>
      </w:r>
      <w:r>
        <w:tab/>
      </w:r>
      <w:proofErr w:type="gramStart"/>
      <w:r w:rsidRPr="007A5394">
        <w:t>NER</w:t>
      </w:r>
      <w:r>
        <w:t>,</w:t>
      </w:r>
      <w:r w:rsidRPr="007A5394">
        <w:t xml:space="preserve"> cl</w:t>
      </w:r>
      <w:r>
        <w:t>ause</w:t>
      </w:r>
      <w:r w:rsidRPr="007A5394">
        <w:t xml:space="preserve"> 6A.5.3</w:t>
      </w:r>
      <w:r>
        <w:t>.</w:t>
      </w:r>
      <w:proofErr w:type="gramEnd"/>
    </w:p>
  </w:footnote>
  <w:footnote w:id="4">
    <w:p w:rsidR="00C96306" w:rsidRDefault="00C96306" w:rsidP="002D7BC0">
      <w:pPr>
        <w:pStyle w:val="FootnoteText"/>
      </w:pPr>
      <w:r>
        <w:rPr>
          <w:rStyle w:val="FootnoteReference"/>
        </w:rPr>
        <w:footnoteRef/>
      </w:r>
      <w:r>
        <w:t xml:space="preserve"> </w:t>
      </w:r>
      <w:r>
        <w:tab/>
        <w:t xml:space="preserve">In the 2008–14 transmission determination, the CPI required for the annual MAR adjustment process reflects the December quarter CPI, which is typically published by the ABS in late January of the following year. For this transmission determination we require SP </w:t>
      </w:r>
      <w:proofErr w:type="spellStart"/>
      <w:r>
        <w:t>AusNet</w:t>
      </w:r>
      <w:proofErr w:type="spellEnd"/>
      <w:r>
        <w:t xml:space="preserve"> to use the September quarter CPI for the annual MAR adjustment for the 2014–17 regulatory control period. The same set of CPI will be used for the RAB roll forward at the next reset for SP </w:t>
      </w:r>
      <w:proofErr w:type="spellStart"/>
      <w:r>
        <w:t>AusNet</w:t>
      </w:r>
      <w:proofErr w:type="spellEnd"/>
      <w:r w:rsidRPr="007E1FDA">
        <w:t xml:space="preserve"> (</w:t>
      </w:r>
      <w:r>
        <w:t xml:space="preserve">31 January </w:t>
      </w:r>
      <w:r w:rsidRPr="007E1FDA">
        <w:t>2017)</w:t>
      </w:r>
      <w:r>
        <w:t>. This change will ensure the release of the September quarter CPI is available (typically towards the end of October) for use well before the publication date of the AER's final decision at</w:t>
      </w:r>
      <w:r w:rsidRPr="007E1FDA">
        <w:t xml:space="preserve"> the next </w:t>
      </w:r>
      <w:r>
        <w:t>reset</w:t>
      </w:r>
      <w:r w:rsidRPr="007E1FDA">
        <w:t>.</w:t>
      </w:r>
    </w:p>
  </w:footnote>
  <w:footnote w:id="5">
    <w:p w:rsidR="00C96306" w:rsidRDefault="00C96306" w:rsidP="00DA278F">
      <w:pPr>
        <w:pStyle w:val="FootnoteText"/>
      </w:pPr>
      <w:r>
        <w:rPr>
          <w:rStyle w:val="FootnoteReference"/>
        </w:rPr>
        <w:footnoteRef/>
      </w:r>
      <w:r>
        <w:t xml:space="preserve"> </w:t>
      </w:r>
      <w:r>
        <w:tab/>
      </w:r>
      <w:proofErr w:type="gramStart"/>
      <w:r>
        <w:t>NER, clauses 6A.7.4 and 6A.7.3.</w:t>
      </w:r>
      <w:proofErr w:type="gramEnd"/>
    </w:p>
  </w:footnote>
  <w:footnote w:id="6">
    <w:p w:rsidR="00C96306" w:rsidRDefault="00C96306" w:rsidP="00DA278F">
      <w:pPr>
        <w:pStyle w:val="FootnoteText"/>
      </w:pPr>
      <w:r>
        <w:rPr>
          <w:rStyle w:val="FootnoteReference"/>
        </w:rPr>
        <w:footnoteRef/>
      </w:r>
      <w:r>
        <w:t xml:space="preserve"> </w:t>
      </w:r>
      <w:r>
        <w:tab/>
      </w:r>
      <w:proofErr w:type="gramStart"/>
      <w:r>
        <w:t>NER, clauses 6A.7.2 and 6A.7.3.</w:t>
      </w:r>
      <w:proofErr w:type="gramEnd"/>
      <w:r>
        <w:t xml:space="preserve"> </w:t>
      </w:r>
    </w:p>
  </w:footnote>
  <w:footnote w:id="7">
    <w:p w:rsidR="00C96306" w:rsidRDefault="00C96306" w:rsidP="00AA66FF">
      <w:pPr>
        <w:pStyle w:val="FootnoteText"/>
      </w:pPr>
      <w:r>
        <w:rPr>
          <w:rStyle w:val="FootnoteReference"/>
        </w:rPr>
        <w:footnoteRef/>
      </w:r>
      <w:r>
        <w:t xml:space="preserve"> </w:t>
      </w:r>
      <w:r>
        <w:tab/>
        <w:t>NER, clauses 6A.23.3(c</w:t>
      </w:r>
      <w:proofErr w:type="gramStart"/>
      <w:r>
        <w:t>)(</w:t>
      </w:r>
      <w:proofErr w:type="gramEnd"/>
      <w:r>
        <w:t>2)(iii) and 6A.24.4(c).</w:t>
      </w:r>
    </w:p>
  </w:footnote>
  <w:footnote w:id="8">
    <w:p w:rsidR="00C96306" w:rsidRDefault="00C96306">
      <w:pPr>
        <w:pStyle w:val="FootnoteText"/>
      </w:pPr>
      <w:r>
        <w:rPr>
          <w:rStyle w:val="FootnoteReference"/>
        </w:rPr>
        <w:footnoteRef/>
      </w:r>
      <w:r>
        <w:t xml:space="preserve"> </w:t>
      </w:r>
      <w:r>
        <w:tab/>
        <w:t xml:space="preserve">AER, </w:t>
      </w:r>
      <w:r w:rsidRPr="00C96306">
        <w:rPr>
          <w:i/>
        </w:rPr>
        <w:t>Final – Service target performance incentive scheme</w:t>
      </w:r>
      <w:r>
        <w:t xml:space="preserve">, December 2012. </w:t>
      </w:r>
    </w:p>
  </w:footnote>
  <w:footnote w:id="9">
    <w:p w:rsidR="00C96306" w:rsidRDefault="00C96306">
      <w:pPr>
        <w:pStyle w:val="FootnoteText"/>
      </w:pPr>
      <w:r>
        <w:rPr>
          <w:rStyle w:val="FootnoteReference"/>
        </w:rPr>
        <w:footnoteRef/>
      </w:r>
      <w:r>
        <w:t xml:space="preserve"> </w:t>
      </w:r>
      <w:r>
        <w:tab/>
        <w:t xml:space="preserve">AER, </w:t>
      </w:r>
      <w:r w:rsidRPr="00C96306">
        <w:rPr>
          <w:i/>
        </w:rPr>
        <w:t>Final – Service target performance incentive scheme</w:t>
      </w:r>
      <w:r>
        <w:t xml:space="preserve">, December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72" w:rsidRDefault="00AF3B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72" w:rsidRDefault="00AF3B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72" w:rsidRDefault="00AF3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478DFE6"/>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B478DFE6"/>
    <w:numStyleLink w:val="AERnumberedlist"/>
  </w:abstractNum>
  <w:abstractNum w:abstractNumId="5">
    <w:nsid w:val="176B27A6"/>
    <w:multiLevelType w:val="multilevel"/>
    <w:tmpl w:val="950A1C52"/>
    <w:numStyleLink w:val="AERHeadings"/>
  </w:abstractNum>
  <w:abstractNum w:abstractNumId="6">
    <w:nsid w:val="1972601F"/>
    <w:multiLevelType w:val="multilevel"/>
    <w:tmpl w:val="950A1C52"/>
    <w:numStyleLink w:val="AERHeadings"/>
  </w:abstractNum>
  <w:abstractNum w:abstractNumId="7">
    <w:nsid w:val="1DFA331B"/>
    <w:multiLevelType w:val="multilevel"/>
    <w:tmpl w:val="B478DFE6"/>
    <w:numStyleLink w:val="AERnumberedlist"/>
  </w:abstractNum>
  <w:abstractNum w:abstractNumId="8">
    <w:nsid w:val="233428C7"/>
    <w:multiLevelType w:val="multilevel"/>
    <w:tmpl w:val="B478DFE6"/>
    <w:numStyleLink w:val="AERnumberedlist"/>
  </w:abstractNum>
  <w:abstractNum w:abstractNumId="9">
    <w:nsid w:val="2776270C"/>
    <w:multiLevelType w:val="multilevel"/>
    <w:tmpl w:val="B478DFE6"/>
    <w:numStyleLink w:val="AERnumberedlist"/>
  </w:abstractNum>
  <w:abstractNum w:abstractNumId="10">
    <w:nsid w:val="281977C0"/>
    <w:multiLevelType w:val="multilevel"/>
    <w:tmpl w:val="950A1C52"/>
    <w:numStyleLink w:val="AERHeadings"/>
  </w:abstractNum>
  <w:abstractNum w:abstractNumId="11">
    <w:nsid w:val="295C7239"/>
    <w:multiLevelType w:val="multilevel"/>
    <w:tmpl w:val="950A1C52"/>
    <w:numStyleLink w:val="AERHeadings"/>
  </w:abstractNum>
  <w:abstractNum w:abstractNumId="12">
    <w:nsid w:val="2C2D6B9E"/>
    <w:multiLevelType w:val="multilevel"/>
    <w:tmpl w:val="950A1C52"/>
    <w:numStyleLink w:val="AERHeadings"/>
  </w:abstractNum>
  <w:abstractNum w:abstractNumId="13">
    <w:nsid w:val="2DB12A3A"/>
    <w:multiLevelType w:val="multilevel"/>
    <w:tmpl w:val="950A1C52"/>
    <w:numStyleLink w:val="AERHeadings"/>
  </w:abstractNum>
  <w:abstractNum w:abstractNumId="14">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33E0E05"/>
    <w:multiLevelType w:val="multilevel"/>
    <w:tmpl w:val="950A1C52"/>
    <w:numStyleLink w:val="AERHeadings"/>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21288"/>
    <w:multiLevelType w:val="multilevel"/>
    <w:tmpl w:val="950A1C52"/>
    <w:numStyleLink w:val="AERHeadings"/>
  </w:abstractNum>
  <w:abstractNum w:abstractNumId="2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2">
    <w:nsid w:val="4F037C49"/>
    <w:multiLevelType w:val="multilevel"/>
    <w:tmpl w:val="B478DFE6"/>
    <w:numStyleLink w:val="AERnumberedlist"/>
  </w:abstractNum>
  <w:abstractNum w:abstractNumId="23">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807103"/>
    <w:multiLevelType w:val="multilevel"/>
    <w:tmpl w:val="B478DFE6"/>
    <w:numStyleLink w:val="AERnumberedlist"/>
  </w:abstractNum>
  <w:abstractNum w:abstractNumId="26">
    <w:nsid w:val="5D386EA7"/>
    <w:multiLevelType w:val="multilevel"/>
    <w:tmpl w:val="950A1C52"/>
    <w:numStyleLink w:val="AERHeadings"/>
  </w:abstractNum>
  <w:abstractNum w:abstractNumId="27">
    <w:nsid w:val="5DCC1B18"/>
    <w:multiLevelType w:val="multilevel"/>
    <w:tmpl w:val="B478DFE6"/>
    <w:numStyleLink w:val="AERnumberedlist"/>
  </w:abstractNum>
  <w:abstractNum w:abstractNumId="28">
    <w:nsid w:val="68247CF7"/>
    <w:multiLevelType w:val="multilevel"/>
    <w:tmpl w:val="950A1C52"/>
    <w:numStyleLink w:val="AERHeadings"/>
  </w:abstractNum>
  <w:abstractNum w:abstractNumId="29">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4595980"/>
    <w:multiLevelType w:val="multilevel"/>
    <w:tmpl w:val="950A1C52"/>
    <w:numStyleLink w:val="AERHeadings"/>
  </w:abstractNum>
  <w:abstractNum w:abstractNumId="31">
    <w:nsid w:val="74F81DDF"/>
    <w:multiLevelType w:val="multilevel"/>
    <w:tmpl w:val="950A1C52"/>
    <w:numStyleLink w:val="AERHeadings"/>
  </w:abstractNum>
  <w:abstractNum w:abstractNumId="32">
    <w:nsid w:val="787F66A4"/>
    <w:multiLevelType w:val="multilevel"/>
    <w:tmpl w:val="950A1C52"/>
    <w:numStyleLink w:val="AERHeadings"/>
  </w:abstractNum>
  <w:abstractNum w:abstractNumId="33">
    <w:nsid w:val="7AAC6DD7"/>
    <w:multiLevelType w:val="multilevel"/>
    <w:tmpl w:val="950A1C52"/>
    <w:numStyleLink w:val="AERHeadings"/>
  </w:abstractNum>
  <w:abstractNum w:abstractNumId="34">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E97BF8"/>
    <w:multiLevelType w:val="multilevel"/>
    <w:tmpl w:val="950A1C52"/>
    <w:numStyleLink w:val="AERHeadings"/>
  </w:abstractNum>
  <w:abstractNum w:abstractNumId="36">
    <w:nsid w:val="7CDA0F5F"/>
    <w:multiLevelType w:val="multilevel"/>
    <w:tmpl w:val="950A1C52"/>
    <w:numStyleLink w:val="AERHeadings"/>
  </w:abstractNum>
  <w:num w:numId="1">
    <w:abstractNumId w:val="29"/>
  </w:num>
  <w:num w:numId="2">
    <w:abstractNumId w:val="14"/>
    <w:lvlOverride w:ilvl="2">
      <w:lvl w:ilvl="2">
        <w:start w:val="1"/>
        <w:numFmt w:val="decimal"/>
        <w:pStyle w:val="Heading2"/>
        <w:lvlText w:val="%1%2.%3"/>
        <w:lvlJc w:val="left"/>
        <w:pPr>
          <w:tabs>
            <w:tab w:val="num" w:pos="0"/>
          </w:tabs>
          <w:ind w:left="0" w:hanging="851"/>
        </w:pPr>
        <w:rPr>
          <w:rFonts w:hint="default"/>
        </w:rPr>
      </w:lvl>
    </w:lvlOverride>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lvlOverride w:ilvl="0">
      <w:startOverride w:val="1"/>
    </w:lvlOverride>
  </w:num>
  <w:num w:numId="7">
    <w:abstractNumId w:val="19"/>
  </w:num>
  <w:num w:numId="8">
    <w:abstractNumId w:val="16"/>
  </w:num>
  <w:num w:numId="9">
    <w:abstractNumId w:val="34"/>
  </w:num>
  <w:num w:numId="10">
    <w:abstractNumId w:val="21"/>
    <w:lvlOverride w:ilvl="0">
      <w:startOverride w:val="1"/>
    </w:lvlOverride>
  </w:num>
  <w:num w:numId="11">
    <w:abstractNumId w:val="1"/>
  </w:num>
  <w:num w:numId="12">
    <w:abstractNumId w:val="21"/>
    <w:lvlOverride w:ilvl="0">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2"/>
  </w:num>
  <w:num w:numId="18">
    <w:abstractNumId w:val="7"/>
  </w:num>
  <w:num w:numId="19">
    <w:abstractNumId w:val="9"/>
  </w:num>
  <w:num w:numId="20">
    <w:abstractNumId w:val="31"/>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6"/>
  </w:num>
  <w:num w:numId="28">
    <w:abstractNumId w:val="17"/>
  </w:num>
  <w:num w:numId="29">
    <w:abstractNumId w:val="10"/>
  </w:num>
  <w:num w:numId="30">
    <w:abstractNumId w:val="5"/>
  </w:num>
  <w:num w:numId="31">
    <w:abstractNumId w:val="0"/>
  </w:num>
  <w:num w:numId="32">
    <w:abstractNumId w:val="6"/>
  </w:num>
  <w:num w:numId="33">
    <w:abstractNumId w:val="32"/>
  </w:num>
  <w:num w:numId="34">
    <w:abstractNumId w:val="28"/>
  </w:num>
  <w:num w:numId="35">
    <w:abstractNumId w:val="30"/>
  </w:num>
  <w:num w:numId="36">
    <w:abstractNumId w:val="35"/>
  </w:num>
  <w:num w:numId="37">
    <w:abstractNumId w:val="26"/>
  </w:num>
  <w:num w:numId="38">
    <w:abstractNumId w:val="12"/>
  </w:num>
  <w:num w:numId="39">
    <w:abstractNumId w:val="13"/>
  </w:num>
  <w:num w:numId="40">
    <w:abstractNumId w:val="20"/>
  </w:num>
  <w:num w:numId="41">
    <w:abstractNumId w:val="25"/>
  </w:num>
  <w:num w:numId="42">
    <w:abstractNumId w:val="4"/>
  </w:num>
  <w:num w:numId="43">
    <w:abstractNumId w:val="33"/>
    <w:lvlOverride w:ilvl="2">
      <w:lvl w:ilvl="2">
        <w:start w:val="1"/>
        <w:numFmt w:val="decimal"/>
        <w:pStyle w:val="Heading2"/>
        <w:lvlText w:val="%1%2.%3"/>
        <w:lvlJc w:val="left"/>
        <w:pPr>
          <w:tabs>
            <w:tab w:val="num" w:pos="0"/>
          </w:tabs>
          <w:ind w:left="0" w:hanging="851"/>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23"/>
  </w:num>
  <w:num w:numId="45">
    <w:abstractNumId w:val="20"/>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evenAndOddHeaders/>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docVars>
    <w:docVar w:name="currentname" w:val="C:\Documents and Settings\jbutl\Local Settings\Temporary Internet Files\Content.Outlook\46YEFGFV\AER transmission determination for SP AusNet s 2014-17 regulatory control period - 31 January 2014.DOCX"/>
  </w:docVars>
  <w:rsids>
    <w:rsidRoot w:val="000C052F"/>
    <w:rsid w:val="00011129"/>
    <w:rsid w:val="00022606"/>
    <w:rsid w:val="0002727C"/>
    <w:rsid w:val="00040599"/>
    <w:rsid w:val="00040749"/>
    <w:rsid w:val="00072085"/>
    <w:rsid w:val="00076A2C"/>
    <w:rsid w:val="00076E48"/>
    <w:rsid w:val="000779D8"/>
    <w:rsid w:val="000A1CC2"/>
    <w:rsid w:val="000A3DFC"/>
    <w:rsid w:val="000A5342"/>
    <w:rsid w:val="000B15CA"/>
    <w:rsid w:val="000B4BAD"/>
    <w:rsid w:val="000C052F"/>
    <w:rsid w:val="000C3430"/>
    <w:rsid w:val="000D03C2"/>
    <w:rsid w:val="000D04B1"/>
    <w:rsid w:val="000D401F"/>
    <w:rsid w:val="000E1A25"/>
    <w:rsid w:val="000F3A6A"/>
    <w:rsid w:val="001033B3"/>
    <w:rsid w:val="00105636"/>
    <w:rsid w:val="0014593A"/>
    <w:rsid w:val="001543D2"/>
    <w:rsid w:val="00174026"/>
    <w:rsid w:val="001856EE"/>
    <w:rsid w:val="00194C3C"/>
    <w:rsid w:val="001B26CC"/>
    <w:rsid w:val="001B5B5B"/>
    <w:rsid w:val="001C12E5"/>
    <w:rsid w:val="00205818"/>
    <w:rsid w:val="0020711E"/>
    <w:rsid w:val="00210880"/>
    <w:rsid w:val="002257B9"/>
    <w:rsid w:val="0023137D"/>
    <w:rsid w:val="002325F4"/>
    <w:rsid w:val="00245C73"/>
    <w:rsid w:val="00252AC5"/>
    <w:rsid w:val="00266710"/>
    <w:rsid w:val="002739EE"/>
    <w:rsid w:val="002805B8"/>
    <w:rsid w:val="002938CE"/>
    <w:rsid w:val="002A0750"/>
    <w:rsid w:val="002A6F55"/>
    <w:rsid w:val="002B6640"/>
    <w:rsid w:val="002D61AC"/>
    <w:rsid w:val="002D6BFB"/>
    <w:rsid w:val="002D7BC0"/>
    <w:rsid w:val="002E2A37"/>
    <w:rsid w:val="002E4720"/>
    <w:rsid w:val="002E5FEA"/>
    <w:rsid w:val="002E7359"/>
    <w:rsid w:val="00303452"/>
    <w:rsid w:val="00320336"/>
    <w:rsid w:val="003324F7"/>
    <w:rsid w:val="00334F88"/>
    <w:rsid w:val="00342620"/>
    <w:rsid w:val="00342793"/>
    <w:rsid w:val="003610D2"/>
    <w:rsid w:val="003707DB"/>
    <w:rsid w:val="00375AEC"/>
    <w:rsid w:val="00376236"/>
    <w:rsid w:val="0037652C"/>
    <w:rsid w:val="003800E4"/>
    <w:rsid w:val="00380FF5"/>
    <w:rsid w:val="003933EA"/>
    <w:rsid w:val="0039548F"/>
    <w:rsid w:val="003A6174"/>
    <w:rsid w:val="003F409F"/>
    <w:rsid w:val="004030AB"/>
    <w:rsid w:val="004047DE"/>
    <w:rsid w:val="00412282"/>
    <w:rsid w:val="004256BA"/>
    <w:rsid w:val="00431999"/>
    <w:rsid w:val="00435682"/>
    <w:rsid w:val="004418C3"/>
    <w:rsid w:val="00456081"/>
    <w:rsid w:val="00464F5D"/>
    <w:rsid w:val="00474FBD"/>
    <w:rsid w:val="00491D7D"/>
    <w:rsid w:val="004A2BFB"/>
    <w:rsid w:val="004C3F45"/>
    <w:rsid w:val="004E40EF"/>
    <w:rsid w:val="004E73F7"/>
    <w:rsid w:val="004F76A0"/>
    <w:rsid w:val="00500E7F"/>
    <w:rsid w:val="005021CE"/>
    <w:rsid w:val="0052179D"/>
    <w:rsid w:val="00527D92"/>
    <w:rsid w:val="005318F1"/>
    <w:rsid w:val="005456A9"/>
    <w:rsid w:val="00555D52"/>
    <w:rsid w:val="005566D7"/>
    <w:rsid w:val="00561F7F"/>
    <w:rsid w:val="00566B35"/>
    <w:rsid w:val="005727C7"/>
    <w:rsid w:val="005732CC"/>
    <w:rsid w:val="00575422"/>
    <w:rsid w:val="005938C6"/>
    <w:rsid w:val="005A0431"/>
    <w:rsid w:val="005B3752"/>
    <w:rsid w:val="005B61C2"/>
    <w:rsid w:val="005C2390"/>
    <w:rsid w:val="005D26B7"/>
    <w:rsid w:val="005D4AA1"/>
    <w:rsid w:val="0060146C"/>
    <w:rsid w:val="0060207D"/>
    <w:rsid w:val="006039F2"/>
    <w:rsid w:val="006061B0"/>
    <w:rsid w:val="0060732E"/>
    <w:rsid w:val="006076A9"/>
    <w:rsid w:val="00624103"/>
    <w:rsid w:val="006544EA"/>
    <w:rsid w:val="0066569F"/>
    <w:rsid w:val="006731C3"/>
    <w:rsid w:val="0067671B"/>
    <w:rsid w:val="006802B3"/>
    <w:rsid w:val="0069004B"/>
    <w:rsid w:val="006967F9"/>
    <w:rsid w:val="006B007E"/>
    <w:rsid w:val="006B08EB"/>
    <w:rsid w:val="006B1BE8"/>
    <w:rsid w:val="006B481F"/>
    <w:rsid w:val="006C14C9"/>
    <w:rsid w:val="006C238C"/>
    <w:rsid w:val="006D7B6E"/>
    <w:rsid w:val="006E62FF"/>
    <w:rsid w:val="006F638E"/>
    <w:rsid w:val="00703E42"/>
    <w:rsid w:val="007055F7"/>
    <w:rsid w:val="007102B7"/>
    <w:rsid w:val="0071347D"/>
    <w:rsid w:val="007368AD"/>
    <w:rsid w:val="00751D2A"/>
    <w:rsid w:val="00755095"/>
    <w:rsid w:val="007721D5"/>
    <w:rsid w:val="00796A07"/>
    <w:rsid w:val="00797CD5"/>
    <w:rsid w:val="007A7879"/>
    <w:rsid w:val="007E4809"/>
    <w:rsid w:val="007F10E3"/>
    <w:rsid w:val="007F2C0E"/>
    <w:rsid w:val="007F7511"/>
    <w:rsid w:val="008025AC"/>
    <w:rsid w:val="00804AEB"/>
    <w:rsid w:val="008244C4"/>
    <w:rsid w:val="00824CC8"/>
    <w:rsid w:val="00836D17"/>
    <w:rsid w:val="00840A55"/>
    <w:rsid w:val="00841E25"/>
    <w:rsid w:val="008464CD"/>
    <w:rsid w:val="008515EE"/>
    <w:rsid w:val="00852989"/>
    <w:rsid w:val="00861C4E"/>
    <w:rsid w:val="00866D21"/>
    <w:rsid w:val="00872D85"/>
    <w:rsid w:val="00883DDA"/>
    <w:rsid w:val="00891546"/>
    <w:rsid w:val="00891FF9"/>
    <w:rsid w:val="00893367"/>
    <w:rsid w:val="00894B9F"/>
    <w:rsid w:val="008B7956"/>
    <w:rsid w:val="008C3B67"/>
    <w:rsid w:val="008C3F48"/>
    <w:rsid w:val="008C5272"/>
    <w:rsid w:val="008D49B4"/>
    <w:rsid w:val="008D7498"/>
    <w:rsid w:val="009158AD"/>
    <w:rsid w:val="009278D1"/>
    <w:rsid w:val="00932E96"/>
    <w:rsid w:val="009418E6"/>
    <w:rsid w:val="0094235F"/>
    <w:rsid w:val="0094279F"/>
    <w:rsid w:val="00946B98"/>
    <w:rsid w:val="0095052A"/>
    <w:rsid w:val="009658F0"/>
    <w:rsid w:val="00971655"/>
    <w:rsid w:val="00971C63"/>
    <w:rsid w:val="009A4AE9"/>
    <w:rsid w:val="009A7DEC"/>
    <w:rsid w:val="009C71D5"/>
    <w:rsid w:val="009F7CE4"/>
    <w:rsid w:val="00A11162"/>
    <w:rsid w:val="00A228A1"/>
    <w:rsid w:val="00A43227"/>
    <w:rsid w:val="00A46CCD"/>
    <w:rsid w:val="00A6368C"/>
    <w:rsid w:val="00A65133"/>
    <w:rsid w:val="00A652C5"/>
    <w:rsid w:val="00A85B72"/>
    <w:rsid w:val="00A85C5A"/>
    <w:rsid w:val="00A93B7B"/>
    <w:rsid w:val="00A96A08"/>
    <w:rsid w:val="00AA0161"/>
    <w:rsid w:val="00AA66FF"/>
    <w:rsid w:val="00AB1D08"/>
    <w:rsid w:val="00AB4345"/>
    <w:rsid w:val="00AB5BD7"/>
    <w:rsid w:val="00AC0135"/>
    <w:rsid w:val="00AC070D"/>
    <w:rsid w:val="00AC1B94"/>
    <w:rsid w:val="00AC6FE6"/>
    <w:rsid w:val="00AD0616"/>
    <w:rsid w:val="00AD34FF"/>
    <w:rsid w:val="00AD4DE6"/>
    <w:rsid w:val="00AE6DBC"/>
    <w:rsid w:val="00AF20FA"/>
    <w:rsid w:val="00AF3B72"/>
    <w:rsid w:val="00AF3E95"/>
    <w:rsid w:val="00AF7C67"/>
    <w:rsid w:val="00B04082"/>
    <w:rsid w:val="00B07456"/>
    <w:rsid w:val="00B15FE9"/>
    <w:rsid w:val="00B30E91"/>
    <w:rsid w:val="00B42368"/>
    <w:rsid w:val="00B45A56"/>
    <w:rsid w:val="00B51883"/>
    <w:rsid w:val="00B61FD4"/>
    <w:rsid w:val="00B674DB"/>
    <w:rsid w:val="00B82E8D"/>
    <w:rsid w:val="00B874FB"/>
    <w:rsid w:val="00B91014"/>
    <w:rsid w:val="00B925C9"/>
    <w:rsid w:val="00B9264D"/>
    <w:rsid w:val="00B94D99"/>
    <w:rsid w:val="00BA40A0"/>
    <w:rsid w:val="00BB3FA1"/>
    <w:rsid w:val="00BB62BB"/>
    <w:rsid w:val="00BC05C5"/>
    <w:rsid w:val="00BC18AF"/>
    <w:rsid w:val="00BD04BE"/>
    <w:rsid w:val="00BD0E08"/>
    <w:rsid w:val="00BD5488"/>
    <w:rsid w:val="00BE6F28"/>
    <w:rsid w:val="00BF1056"/>
    <w:rsid w:val="00BF2213"/>
    <w:rsid w:val="00BF29FA"/>
    <w:rsid w:val="00C04D2B"/>
    <w:rsid w:val="00C25F63"/>
    <w:rsid w:val="00C465DA"/>
    <w:rsid w:val="00C737C5"/>
    <w:rsid w:val="00C96306"/>
    <w:rsid w:val="00CA2AE8"/>
    <w:rsid w:val="00CA2D0C"/>
    <w:rsid w:val="00CA3540"/>
    <w:rsid w:val="00CA6DED"/>
    <w:rsid w:val="00CC31A6"/>
    <w:rsid w:val="00CC49D4"/>
    <w:rsid w:val="00CE6F5A"/>
    <w:rsid w:val="00CF0123"/>
    <w:rsid w:val="00CF42CF"/>
    <w:rsid w:val="00D102E9"/>
    <w:rsid w:val="00D1688F"/>
    <w:rsid w:val="00D2117F"/>
    <w:rsid w:val="00D25317"/>
    <w:rsid w:val="00D66E8B"/>
    <w:rsid w:val="00D85715"/>
    <w:rsid w:val="00D8706C"/>
    <w:rsid w:val="00D941F7"/>
    <w:rsid w:val="00DA278F"/>
    <w:rsid w:val="00DA4C62"/>
    <w:rsid w:val="00DB6A17"/>
    <w:rsid w:val="00DD5520"/>
    <w:rsid w:val="00DF16C2"/>
    <w:rsid w:val="00E00F76"/>
    <w:rsid w:val="00E12A44"/>
    <w:rsid w:val="00E21E75"/>
    <w:rsid w:val="00E519DC"/>
    <w:rsid w:val="00E60764"/>
    <w:rsid w:val="00E807DA"/>
    <w:rsid w:val="00E84E3A"/>
    <w:rsid w:val="00EA05AF"/>
    <w:rsid w:val="00EC43B9"/>
    <w:rsid w:val="00ED4D69"/>
    <w:rsid w:val="00EE362F"/>
    <w:rsid w:val="00EF0E19"/>
    <w:rsid w:val="00F114AE"/>
    <w:rsid w:val="00F3324C"/>
    <w:rsid w:val="00F43CA0"/>
    <w:rsid w:val="00F52129"/>
    <w:rsid w:val="00F55030"/>
    <w:rsid w:val="00F63519"/>
    <w:rsid w:val="00F640E3"/>
    <w:rsid w:val="00F7696F"/>
    <w:rsid w:val="00F8209B"/>
    <w:rsid w:val="00F97CD9"/>
    <w:rsid w:val="00FA0576"/>
    <w:rsid w:val="00FB4ACE"/>
    <w:rsid w:val="00FB50B4"/>
    <w:rsid w:val="00FD4B97"/>
    <w:rsid w:val="00FE5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4A2BFB"/>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46"/>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2E4720"/>
    <w:pPr>
      <w:keepNext/>
      <w:spacing w:before="120" w:after="120"/>
    </w:pPr>
    <w:rPr>
      <w:b/>
      <w:color w:val="365F91" w:themeColor="accent1" w:themeShade="BF"/>
      <w:sz w:val="22"/>
    </w:rPr>
  </w:style>
  <w:style w:type="paragraph" w:customStyle="1" w:styleId="HeadingBoldItalic">
    <w:name w:val="Heading Bold Italic"/>
    <w:basedOn w:val="AERbodytext"/>
    <w:next w:val="AERbodytext"/>
    <w:qFormat/>
    <w:rsid w:val="002E4720"/>
    <w:pPr>
      <w:keepNext/>
      <w:spacing w:before="120" w:after="120"/>
    </w:pPr>
    <w:rPr>
      <w:b/>
      <w:i/>
      <w:color w:val="E36C0A"/>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2E4720"/>
    <w:rPr>
      <w:rFonts w:eastAsia="Times New Roman"/>
      <w:b/>
      <w:color w:val="365F91" w:themeColor="accent1" w:themeShade="BF"/>
      <w:sz w:val="22"/>
      <w:szCs w:val="24"/>
      <w:lang w:eastAsia="en-US"/>
    </w:rPr>
  </w:style>
  <w:style w:type="paragraph" w:customStyle="1" w:styleId="HeadingItalic">
    <w:name w:val="Heading Italic"/>
    <w:basedOn w:val="AERbodytext"/>
    <w:next w:val="AERbodytext"/>
    <w:qFormat/>
    <w:rsid w:val="002E4720"/>
    <w:pPr>
      <w:keepNext/>
      <w:spacing w:before="120" w:after="120"/>
    </w:pPr>
    <w:rPr>
      <w:i/>
      <w:color w:val="365F91" w:themeColor="accent1" w:themeShade="BF"/>
    </w:rPr>
  </w:style>
  <w:style w:type="character" w:styleId="PageNumber">
    <w:name w:val="page number"/>
    <w:basedOn w:val="DefaultParagraphFont"/>
    <w:rsid w:val="00CC49D4"/>
    <w:rPr>
      <w:rFonts w:ascii="Gautami" w:hAnsi="Gautami"/>
      <w:sz w:val="18"/>
    </w:rPr>
  </w:style>
  <w:style w:type="paragraph" w:styleId="Revision">
    <w:name w:val="Revision"/>
    <w:hidden/>
    <w:uiPriority w:val="99"/>
    <w:semiHidden/>
    <w:rsid w:val="00072085"/>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46"/>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10.tmp"/><Relationship Id="rId39" Type="http://schemas.openxmlformats.org/officeDocument/2006/relationships/image" Target="media/image23.tmp"/><Relationship Id="rId21" Type="http://schemas.openxmlformats.org/officeDocument/2006/relationships/image" Target="media/image5.tmp"/><Relationship Id="rId34" Type="http://schemas.openxmlformats.org/officeDocument/2006/relationships/image" Target="media/image18.tmp"/><Relationship Id="rId42" Type="http://schemas.openxmlformats.org/officeDocument/2006/relationships/image" Target="media/image26.tmp"/><Relationship Id="rId47" Type="http://schemas.openxmlformats.org/officeDocument/2006/relationships/image" Target="media/image31.tmp"/><Relationship Id="rId50" Type="http://schemas.openxmlformats.org/officeDocument/2006/relationships/image" Target="media/image34.tmp"/><Relationship Id="rId55" Type="http://schemas.openxmlformats.org/officeDocument/2006/relationships/image" Target="media/image39.tm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image" Target="media/image22.tmp"/><Relationship Id="rId46"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hyperlink" Target="mailto:AERInquiry@aer.gov.au" TargetMode="External"/><Relationship Id="rId20" Type="http://schemas.openxmlformats.org/officeDocument/2006/relationships/image" Target="media/image4.tmp"/><Relationship Id="rId29" Type="http://schemas.openxmlformats.org/officeDocument/2006/relationships/image" Target="media/image13.tmp"/><Relationship Id="rId41" Type="http://schemas.openxmlformats.org/officeDocument/2006/relationships/image" Target="media/image25.tmp"/><Relationship Id="rId54" Type="http://schemas.openxmlformats.org/officeDocument/2006/relationships/image" Target="media/image38.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tmp"/><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image" Target="media/image24.tmp"/><Relationship Id="rId45" Type="http://schemas.openxmlformats.org/officeDocument/2006/relationships/image" Target="media/image29.tmp"/><Relationship Id="rId53" Type="http://schemas.openxmlformats.org/officeDocument/2006/relationships/image" Target="media/image37.tmp"/><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image" Target="media/image20.tmp"/><Relationship Id="rId49" Type="http://schemas.openxmlformats.org/officeDocument/2006/relationships/image" Target="media/image33.tmp"/><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tmp"/><Relationship Id="rId31" Type="http://schemas.openxmlformats.org/officeDocument/2006/relationships/image" Target="media/image15.tmp"/><Relationship Id="rId44" Type="http://schemas.openxmlformats.org/officeDocument/2006/relationships/image" Target="media/image28.tmp"/><Relationship Id="rId52" Type="http://schemas.openxmlformats.org/officeDocument/2006/relationships/image" Target="media/image36.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9.tmp"/><Relationship Id="rId43" Type="http://schemas.openxmlformats.org/officeDocument/2006/relationships/image" Target="media/image27.tmp"/><Relationship Id="rId48" Type="http://schemas.openxmlformats.org/officeDocument/2006/relationships/image" Target="media/image32.tmp"/><Relationship Id="rId56" Type="http://schemas.openxmlformats.org/officeDocument/2006/relationships/image" Target="media/image40.tmp"/><Relationship Id="rId8" Type="http://schemas.openxmlformats.org/officeDocument/2006/relationships/endnotes" Target="endnotes.xml"/><Relationship Id="rId51" Type="http://schemas.openxmlformats.org/officeDocument/2006/relationships/image" Target="media/image35.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4B567-FF54-4392-AA89-C455B5D8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3635</Words>
  <Characters>20723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24310</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2014-02-03T04:04:00Z</dcterms:created>
  <dcterms:modified xsi:type="dcterms:W3CDTF">2014-02-03T04:06:00Z</dcterms:modified>
  <cp:contentStatus/>
</cp:coreProperties>
</file>