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57" w:rsidRPr="008C5121" w:rsidRDefault="00D3578B" w:rsidP="002D1557">
      <w:pPr>
        <w:pStyle w:val="RecipientDetails"/>
        <w:rPr>
          <w:b w:val="0"/>
          <w:sz w:val="20"/>
        </w:rPr>
      </w:pPr>
      <w:r>
        <w:rPr>
          <w:b w:val="0"/>
          <w:sz w:val="20"/>
        </w:rPr>
        <w:t>3</w:t>
      </w:r>
      <w:r w:rsidR="00E00E47">
        <w:rPr>
          <w:b w:val="0"/>
          <w:sz w:val="20"/>
        </w:rPr>
        <w:t xml:space="preserve"> January</w:t>
      </w:r>
      <w:r w:rsidR="002D1557">
        <w:rPr>
          <w:b w:val="0"/>
          <w:sz w:val="20"/>
        </w:rPr>
        <w:t xml:space="preserve"> 201</w:t>
      </w:r>
      <w:r w:rsidR="00E00E47">
        <w:rPr>
          <w:b w:val="0"/>
          <w:sz w:val="20"/>
        </w:rPr>
        <w:t>3</w:t>
      </w:r>
    </w:p>
    <w:p w:rsidR="002D1557" w:rsidRPr="00B1447E" w:rsidRDefault="002D1557" w:rsidP="002D1557"/>
    <w:p w:rsidR="002D1557" w:rsidRDefault="002D1557" w:rsidP="002D1557">
      <w:pPr>
        <w:pStyle w:val="RecipientDetails"/>
        <w:spacing w:before="0" w:after="0"/>
        <w:rPr>
          <w:b w:val="0"/>
          <w:sz w:val="20"/>
        </w:rPr>
      </w:pPr>
      <w:r>
        <w:rPr>
          <w:b w:val="0"/>
          <w:sz w:val="20"/>
        </w:rPr>
        <w:t xml:space="preserve">Mr </w:t>
      </w:r>
      <w:r w:rsidR="00FA132F">
        <w:rPr>
          <w:b w:val="0"/>
          <w:sz w:val="20"/>
        </w:rPr>
        <w:t>Sebastian Roberts</w:t>
      </w:r>
    </w:p>
    <w:p w:rsidR="002D1557" w:rsidRDefault="00FA132F" w:rsidP="002D1557">
      <w:pPr>
        <w:pStyle w:val="RecipientDetails"/>
        <w:spacing w:before="0" w:after="0"/>
        <w:rPr>
          <w:b w:val="0"/>
          <w:sz w:val="20"/>
        </w:rPr>
      </w:pPr>
      <w:r w:rsidRPr="00FA132F">
        <w:rPr>
          <w:b w:val="0"/>
          <w:sz w:val="20"/>
        </w:rPr>
        <w:t>General Manager</w:t>
      </w:r>
      <w:r w:rsidRPr="00FA132F">
        <w:rPr>
          <w:b w:val="0"/>
          <w:sz w:val="20"/>
        </w:rPr>
        <w:br/>
        <w:t>2012 Victorian Gas Access Arrangement Review</w:t>
      </w:r>
      <w:r w:rsidRPr="00FA132F">
        <w:rPr>
          <w:b w:val="0"/>
          <w:sz w:val="20"/>
        </w:rPr>
        <w:br/>
        <w:t>Australian Energy Regulator</w:t>
      </w:r>
    </w:p>
    <w:p w:rsidR="002D1557" w:rsidRPr="006A1993" w:rsidRDefault="002D1557" w:rsidP="006A1993"/>
    <w:p w:rsidR="002D1557" w:rsidRDefault="002D1557" w:rsidP="002D1557">
      <w:pPr>
        <w:spacing w:before="0" w:after="0"/>
        <w:rPr>
          <w:sz w:val="20"/>
        </w:rPr>
      </w:pPr>
      <w:r>
        <w:rPr>
          <w:sz w:val="20"/>
        </w:rPr>
        <w:t>Email</w:t>
      </w:r>
      <w:r>
        <w:rPr>
          <w:sz w:val="20"/>
        </w:rPr>
        <w:tab/>
      </w:r>
      <w:r w:rsidR="00FA132F" w:rsidRPr="00420F04">
        <w:rPr>
          <w:color w:val="4F81BD" w:themeColor="accent1"/>
          <w:sz w:val="20"/>
        </w:rPr>
        <w:t>VicGAAR@accc.gov.au</w:t>
      </w:r>
    </w:p>
    <w:p w:rsidR="002D1557" w:rsidRPr="006A1993" w:rsidRDefault="002D1557" w:rsidP="006A1993"/>
    <w:p w:rsidR="002D1557" w:rsidRPr="008C5121" w:rsidRDefault="00E41B70" w:rsidP="002D1557">
      <w:pPr>
        <w:jc w:val="center"/>
        <w:rPr>
          <w:b/>
          <w:sz w:val="20"/>
        </w:rPr>
      </w:pPr>
      <w:r>
        <w:rPr>
          <w:b/>
          <w:sz w:val="20"/>
        </w:rPr>
        <w:t>AGL Submission — GasNet AA 2013</w:t>
      </w:r>
      <w:r w:rsidR="00FA132F">
        <w:rPr>
          <w:b/>
          <w:sz w:val="20"/>
        </w:rPr>
        <w:t>-2017</w:t>
      </w:r>
      <w:r>
        <w:rPr>
          <w:b/>
          <w:sz w:val="20"/>
        </w:rPr>
        <w:t xml:space="preserve"> Draft Decision</w:t>
      </w:r>
    </w:p>
    <w:p w:rsidR="002D1557" w:rsidRPr="008C5121" w:rsidRDefault="002D1557" w:rsidP="002D1557">
      <w:pPr>
        <w:rPr>
          <w:sz w:val="20"/>
        </w:rPr>
      </w:pPr>
    </w:p>
    <w:p w:rsidR="002D1557" w:rsidRPr="008C5121" w:rsidRDefault="002D1557" w:rsidP="002D1557">
      <w:pPr>
        <w:spacing w:before="0" w:after="0"/>
        <w:rPr>
          <w:sz w:val="20"/>
        </w:rPr>
      </w:pPr>
      <w:r w:rsidRPr="008C5121">
        <w:rPr>
          <w:sz w:val="20"/>
        </w:rPr>
        <w:t xml:space="preserve">Dear </w:t>
      </w:r>
      <w:r>
        <w:rPr>
          <w:sz w:val="20"/>
        </w:rPr>
        <w:t xml:space="preserve">Mr </w:t>
      </w:r>
      <w:r w:rsidR="00FA132F">
        <w:rPr>
          <w:sz w:val="20"/>
        </w:rPr>
        <w:t>Roberts</w:t>
      </w:r>
      <w:r w:rsidRPr="008C5121">
        <w:rPr>
          <w:sz w:val="20"/>
        </w:rPr>
        <w:t>,</w:t>
      </w:r>
    </w:p>
    <w:p w:rsidR="002D1557" w:rsidRDefault="002D1557" w:rsidP="002D1557">
      <w:pPr>
        <w:rPr>
          <w:sz w:val="20"/>
        </w:rPr>
      </w:pPr>
    </w:p>
    <w:p w:rsidR="006925A6" w:rsidRDefault="006925A6" w:rsidP="006925A6">
      <w:pPr>
        <w:spacing w:after="0"/>
        <w:rPr>
          <w:sz w:val="20"/>
        </w:rPr>
      </w:pPr>
      <w:r w:rsidRPr="00010E76">
        <w:rPr>
          <w:sz w:val="20"/>
        </w:rPr>
        <w:t>AGL Energy Limited (“</w:t>
      </w:r>
      <w:r w:rsidRPr="00010E76">
        <w:rPr>
          <w:b/>
          <w:sz w:val="20"/>
        </w:rPr>
        <w:t>AGL</w:t>
      </w:r>
      <w:r w:rsidRPr="00010E76">
        <w:rPr>
          <w:sz w:val="20"/>
        </w:rPr>
        <w:t xml:space="preserve">”) </w:t>
      </w:r>
      <w:r w:rsidR="00B31075">
        <w:rPr>
          <w:sz w:val="20"/>
        </w:rPr>
        <w:t>lodge</w:t>
      </w:r>
      <w:r w:rsidR="00E41B70">
        <w:rPr>
          <w:sz w:val="20"/>
        </w:rPr>
        <w:t>s</w:t>
      </w:r>
      <w:r w:rsidRPr="00010E76">
        <w:rPr>
          <w:sz w:val="20"/>
        </w:rPr>
        <w:t xml:space="preserve"> this </w:t>
      </w:r>
      <w:r w:rsidR="00E41B70">
        <w:rPr>
          <w:sz w:val="20"/>
        </w:rPr>
        <w:t>submission</w:t>
      </w:r>
      <w:r w:rsidRPr="00010E76">
        <w:rPr>
          <w:sz w:val="20"/>
        </w:rPr>
        <w:t xml:space="preserve"> in relation to the </w:t>
      </w:r>
      <w:r w:rsidR="00010E76" w:rsidRPr="00010E76">
        <w:rPr>
          <w:sz w:val="20"/>
        </w:rPr>
        <w:t xml:space="preserve">AER’s Draft Decision on the revisions to the </w:t>
      </w:r>
      <w:r w:rsidR="00295C63">
        <w:rPr>
          <w:sz w:val="20"/>
        </w:rPr>
        <w:t>a</w:t>
      </w:r>
      <w:r w:rsidRPr="00010E76">
        <w:rPr>
          <w:sz w:val="20"/>
        </w:rPr>
        <w:t xml:space="preserve">ccess </w:t>
      </w:r>
      <w:r w:rsidR="00295C63">
        <w:rPr>
          <w:sz w:val="20"/>
        </w:rPr>
        <w:t>a</w:t>
      </w:r>
      <w:r w:rsidRPr="00010E76">
        <w:rPr>
          <w:sz w:val="20"/>
        </w:rPr>
        <w:t xml:space="preserve">rrangement </w:t>
      </w:r>
      <w:r w:rsidR="009C11F6" w:rsidRPr="00010E76">
        <w:rPr>
          <w:sz w:val="20"/>
        </w:rPr>
        <w:t>for the Victorian Transmission System (“</w:t>
      </w:r>
      <w:r w:rsidR="009C11F6" w:rsidRPr="00010E76">
        <w:rPr>
          <w:b/>
          <w:sz w:val="20"/>
        </w:rPr>
        <w:t>VTS</w:t>
      </w:r>
      <w:r w:rsidR="009C11F6" w:rsidRPr="00010E76">
        <w:rPr>
          <w:sz w:val="20"/>
        </w:rPr>
        <w:t>”)</w:t>
      </w:r>
      <w:r w:rsidR="009C11F6">
        <w:rPr>
          <w:sz w:val="20"/>
        </w:rPr>
        <w:t xml:space="preserve"> </w:t>
      </w:r>
      <w:r w:rsidR="00010E76" w:rsidRPr="00010E76">
        <w:rPr>
          <w:sz w:val="20"/>
        </w:rPr>
        <w:t xml:space="preserve">proposed </w:t>
      </w:r>
      <w:r w:rsidRPr="00010E76">
        <w:rPr>
          <w:sz w:val="20"/>
        </w:rPr>
        <w:t>by APA.  AGL is an active Market Participant in Victoria, being both a shipper and an incumbent user (licensed retailer), and therefore has a very keen interest in the outcome of this consultation.</w:t>
      </w:r>
    </w:p>
    <w:p w:rsidR="00210DCB" w:rsidRDefault="00E00208" w:rsidP="00E00208">
      <w:pPr>
        <w:spacing w:after="0"/>
        <w:rPr>
          <w:sz w:val="20"/>
        </w:rPr>
      </w:pPr>
      <w:r w:rsidRPr="00E00208">
        <w:rPr>
          <w:sz w:val="20"/>
        </w:rPr>
        <w:t xml:space="preserve">The review of the gas access </w:t>
      </w:r>
      <w:r w:rsidR="003F4271">
        <w:rPr>
          <w:sz w:val="20"/>
        </w:rPr>
        <w:t xml:space="preserve">arrangement </w:t>
      </w:r>
      <w:r w:rsidRPr="00E00208">
        <w:rPr>
          <w:sz w:val="20"/>
        </w:rPr>
        <w:t xml:space="preserve">for the </w:t>
      </w:r>
      <w:r w:rsidR="00CD5C09">
        <w:rPr>
          <w:sz w:val="20"/>
        </w:rPr>
        <w:t>VTS</w:t>
      </w:r>
      <w:r w:rsidRPr="00E00208">
        <w:rPr>
          <w:sz w:val="20"/>
        </w:rPr>
        <w:t xml:space="preserve"> for the period 2013-2017 has consisted </w:t>
      </w:r>
      <w:r w:rsidR="00420F04">
        <w:rPr>
          <w:sz w:val="20"/>
        </w:rPr>
        <w:t xml:space="preserve">thus far </w:t>
      </w:r>
      <w:r w:rsidRPr="00E00208">
        <w:rPr>
          <w:sz w:val="20"/>
        </w:rPr>
        <w:t>of APA’s AA Proposal (March 2012), the AER’s Draft Decision (Sep</w:t>
      </w:r>
      <w:r>
        <w:rPr>
          <w:sz w:val="20"/>
        </w:rPr>
        <w:t>tember</w:t>
      </w:r>
      <w:r w:rsidRPr="00E00208">
        <w:rPr>
          <w:sz w:val="20"/>
        </w:rPr>
        <w:t xml:space="preserve"> </w:t>
      </w:r>
      <w:r>
        <w:rPr>
          <w:sz w:val="20"/>
        </w:rPr>
        <w:t>20</w:t>
      </w:r>
      <w:r w:rsidRPr="00E00208">
        <w:rPr>
          <w:sz w:val="20"/>
        </w:rPr>
        <w:t>12)</w:t>
      </w:r>
      <w:r w:rsidR="00420F04">
        <w:rPr>
          <w:sz w:val="20"/>
        </w:rPr>
        <w:t>,</w:t>
      </w:r>
      <w:r w:rsidRPr="00E00208">
        <w:rPr>
          <w:sz w:val="20"/>
        </w:rPr>
        <w:t xml:space="preserve"> and APA</w:t>
      </w:r>
      <w:r>
        <w:rPr>
          <w:sz w:val="20"/>
        </w:rPr>
        <w:t>’s</w:t>
      </w:r>
      <w:r w:rsidRPr="00E00208">
        <w:rPr>
          <w:sz w:val="20"/>
        </w:rPr>
        <w:t xml:space="preserve"> AA Revised Proposal (Nov</w:t>
      </w:r>
      <w:r>
        <w:rPr>
          <w:sz w:val="20"/>
        </w:rPr>
        <w:t>ember 20</w:t>
      </w:r>
      <w:r w:rsidRPr="00E00208">
        <w:rPr>
          <w:sz w:val="20"/>
        </w:rPr>
        <w:t xml:space="preserve">12). </w:t>
      </w:r>
      <w:r>
        <w:rPr>
          <w:sz w:val="20"/>
        </w:rPr>
        <w:t xml:space="preserve"> </w:t>
      </w:r>
      <w:r w:rsidRPr="00E00208">
        <w:rPr>
          <w:sz w:val="20"/>
        </w:rPr>
        <w:t>The AER has invited submissions by 7 January 2013 ahead of issuing a Final Decision</w:t>
      </w:r>
      <w:r w:rsidR="005A2E54">
        <w:rPr>
          <w:sz w:val="20"/>
        </w:rPr>
        <w:t xml:space="preserve"> in March 2013</w:t>
      </w:r>
      <w:r w:rsidRPr="00E00208">
        <w:rPr>
          <w:sz w:val="20"/>
        </w:rPr>
        <w:t>.</w:t>
      </w:r>
    </w:p>
    <w:p w:rsidR="00CD5DFA" w:rsidRDefault="00A05E8A" w:rsidP="00E00208">
      <w:pPr>
        <w:spacing w:after="0"/>
        <w:rPr>
          <w:sz w:val="20"/>
        </w:rPr>
      </w:pPr>
      <w:r>
        <w:rPr>
          <w:sz w:val="20"/>
        </w:rPr>
        <w:t xml:space="preserve">AGL is generally supportive of the </w:t>
      </w:r>
      <w:r w:rsidR="009C11F6">
        <w:rPr>
          <w:sz w:val="20"/>
        </w:rPr>
        <w:t xml:space="preserve">AER’s </w:t>
      </w:r>
      <w:r>
        <w:rPr>
          <w:sz w:val="20"/>
        </w:rPr>
        <w:t>amendments to APA’s initial proposal, as set out in the Dra</w:t>
      </w:r>
      <w:r w:rsidR="00901BE6">
        <w:rPr>
          <w:sz w:val="20"/>
        </w:rPr>
        <w:t>f</w:t>
      </w:r>
      <w:r>
        <w:rPr>
          <w:sz w:val="20"/>
        </w:rPr>
        <w:t xml:space="preserve">t Decision.  </w:t>
      </w:r>
      <w:r w:rsidR="00210DCB">
        <w:rPr>
          <w:sz w:val="20"/>
        </w:rPr>
        <w:t>There are</w:t>
      </w:r>
      <w:r>
        <w:rPr>
          <w:sz w:val="20"/>
        </w:rPr>
        <w:t>, however,</w:t>
      </w:r>
      <w:r w:rsidR="00210DCB">
        <w:rPr>
          <w:sz w:val="20"/>
        </w:rPr>
        <w:t xml:space="preserve"> two issues that AGL would like to raise in this submission.  The first is our support for APA’s view that AMDQ CC is not a pipeline service.  The second major </w:t>
      </w:r>
      <w:r w:rsidR="00E671EB">
        <w:rPr>
          <w:sz w:val="20"/>
        </w:rPr>
        <w:t>issue</w:t>
      </w:r>
      <w:r w:rsidR="00210DCB">
        <w:rPr>
          <w:sz w:val="20"/>
        </w:rPr>
        <w:t xml:space="preserve"> is </w:t>
      </w:r>
      <w:r w:rsidR="00CD5DFA">
        <w:rPr>
          <w:sz w:val="20"/>
        </w:rPr>
        <w:t>AGL’s continuing concern</w:t>
      </w:r>
      <w:r w:rsidR="00066B64">
        <w:rPr>
          <w:sz w:val="20"/>
        </w:rPr>
        <w:t xml:space="preserve"> (similar concerns were </w:t>
      </w:r>
      <w:r w:rsidR="009C11F6">
        <w:rPr>
          <w:sz w:val="20"/>
        </w:rPr>
        <w:t>express</w:t>
      </w:r>
      <w:r w:rsidR="00066B64">
        <w:rPr>
          <w:sz w:val="20"/>
        </w:rPr>
        <w:t xml:space="preserve">ed in our </w:t>
      </w:r>
      <w:r w:rsidR="00E671EB">
        <w:rPr>
          <w:sz w:val="20"/>
        </w:rPr>
        <w:t xml:space="preserve">first </w:t>
      </w:r>
      <w:r w:rsidR="00066B64">
        <w:rPr>
          <w:sz w:val="20"/>
        </w:rPr>
        <w:t>submission of 18 June 2012)</w:t>
      </w:r>
      <w:r w:rsidR="00CD5DFA">
        <w:rPr>
          <w:sz w:val="20"/>
        </w:rPr>
        <w:t xml:space="preserve"> about </w:t>
      </w:r>
      <w:r w:rsidR="00210DCB">
        <w:rPr>
          <w:sz w:val="20"/>
        </w:rPr>
        <w:t xml:space="preserve">the level of capex that is being proposed for augmentation of the South West Pipeline </w:t>
      </w:r>
      <w:r w:rsidR="00CD5C09">
        <w:rPr>
          <w:sz w:val="20"/>
        </w:rPr>
        <w:t>(“</w:t>
      </w:r>
      <w:r w:rsidR="00CD5C09" w:rsidRPr="00CD5C09">
        <w:rPr>
          <w:b/>
          <w:sz w:val="20"/>
        </w:rPr>
        <w:t>SWP</w:t>
      </w:r>
      <w:r w:rsidR="00CD5C09">
        <w:rPr>
          <w:sz w:val="20"/>
        </w:rPr>
        <w:t>”</w:t>
      </w:r>
      <w:r w:rsidR="005B21C1">
        <w:rPr>
          <w:sz w:val="20"/>
        </w:rPr>
        <w:t>) in</w:t>
      </w:r>
      <w:r w:rsidR="00210DCB">
        <w:rPr>
          <w:sz w:val="20"/>
        </w:rPr>
        <w:t xml:space="preserve"> an environment where th</w:t>
      </w:r>
      <w:r w:rsidR="00E671EB">
        <w:rPr>
          <w:sz w:val="20"/>
        </w:rPr>
        <w:t>e</w:t>
      </w:r>
      <w:r w:rsidR="00210DCB">
        <w:rPr>
          <w:sz w:val="20"/>
        </w:rPr>
        <w:t>re is unused capacity and where gas supply from the Otways is expected to wind down</w:t>
      </w:r>
      <w:r w:rsidR="00CD5DFA">
        <w:rPr>
          <w:sz w:val="20"/>
        </w:rPr>
        <w:t xml:space="preserve"> in the near future</w:t>
      </w:r>
      <w:r w:rsidR="00210DCB">
        <w:rPr>
          <w:sz w:val="20"/>
        </w:rPr>
        <w:t>.</w:t>
      </w:r>
    </w:p>
    <w:p w:rsidR="00066B64" w:rsidRDefault="00066B64" w:rsidP="006A1993">
      <w:pPr>
        <w:spacing w:before="0" w:after="0"/>
        <w:rPr>
          <w:sz w:val="20"/>
        </w:rPr>
      </w:pPr>
    </w:p>
    <w:p w:rsidR="00210DCB" w:rsidRPr="00CD5DFA" w:rsidRDefault="00CD5DFA" w:rsidP="00E00208">
      <w:pPr>
        <w:spacing w:after="0"/>
        <w:rPr>
          <w:b/>
          <w:sz w:val="20"/>
        </w:rPr>
      </w:pPr>
      <w:r w:rsidRPr="00CD5DFA">
        <w:rPr>
          <w:b/>
          <w:sz w:val="20"/>
        </w:rPr>
        <w:t>AMDQ Credit Certificates</w:t>
      </w:r>
    </w:p>
    <w:p w:rsidR="00544560" w:rsidRDefault="00F21BA8" w:rsidP="00544560">
      <w:pPr>
        <w:spacing w:after="0"/>
        <w:rPr>
          <w:sz w:val="20"/>
        </w:rPr>
      </w:pPr>
      <w:r>
        <w:rPr>
          <w:sz w:val="20"/>
        </w:rPr>
        <w:t xml:space="preserve">AGL fully agrees with the position put by APA GasNet </w:t>
      </w:r>
      <w:r w:rsidR="00361D02">
        <w:rPr>
          <w:sz w:val="20"/>
        </w:rPr>
        <w:t xml:space="preserve">in their revised November submission </w:t>
      </w:r>
      <w:r>
        <w:rPr>
          <w:sz w:val="20"/>
        </w:rPr>
        <w:t xml:space="preserve">that AMDQ CC is not a pipeline service in the sense that forward haulage or back haul are </w:t>
      </w:r>
      <w:r w:rsidR="009C11F6">
        <w:rPr>
          <w:sz w:val="20"/>
        </w:rPr>
        <w:t xml:space="preserve">recognised </w:t>
      </w:r>
      <w:r>
        <w:rPr>
          <w:sz w:val="20"/>
        </w:rPr>
        <w:t xml:space="preserve">pipeline services.  </w:t>
      </w:r>
      <w:r w:rsidR="00361D02">
        <w:rPr>
          <w:sz w:val="20"/>
        </w:rPr>
        <w:t>The AER’s assessment that</w:t>
      </w:r>
      <w:r w:rsidR="00FC4FB1">
        <w:rPr>
          <w:sz w:val="20"/>
        </w:rPr>
        <w:t xml:space="preserve"> </w:t>
      </w:r>
      <w:r w:rsidR="00361D02">
        <w:rPr>
          <w:sz w:val="20"/>
        </w:rPr>
        <w:t>AMDQ CC</w:t>
      </w:r>
      <w:r w:rsidR="00544560">
        <w:rPr>
          <w:sz w:val="20"/>
        </w:rPr>
        <w:t xml:space="preserve"> </w:t>
      </w:r>
      <w:r w:rsidR="00361D02">
        <w:rPr>
          <w:sz w:val="20"/>
        </w:rPr>
        <w:t>is a service</w:t>
      </w:r>
      <w:r w:rsidR="00FC4FB1">
        <w:rPr>
          <w:sz w:val="20"/>
        </w:rPr>
        <w:t xml:space="preserve"> </w:t>
      </w:r>
      <w:r w:rsidR="00361D02">
        <w:rPr>
          <w:sz w:val="20"/>
        </w:rPr>
        <w:t xml:space="preserve">likely to be sought </w:t>
      </w:r>
      <w:r w:rsidR="00FC4FB1">
        <w:rPr>
          <w:sz w:val="20"/>
        </w:rPr>
        <w:t>by a significant part of the market</w:t>
      </w:r>
      <w:r w:rsidR="00361D02">
        <w:rPr>
          <w:sz w:val="20"/>
        </w:rPr>
        <w:t xml:space="preserve"> </w:t>
      </w:r>
      <w:r w:rsidR="007F79A9">
        <w:rPr>
          <w:sz w:val="20"/>
        </w:rPr>
        <w:t xml:space="preserve">also </w:t>
      </w:r>
      <w:r w:rsidR="00361D02">
        <w:rPr>
          <w:sz w:val="20"/>
        </w:rPr>
        <w:t xml:space="preserve">needs to be </w:t>
      </w:r>
      <w:r w:rsidR="00544560">
        <w:rPr>
          <w:sz w:val="20"/>
        </w:rPr>
        <w:t xml:space="preserve">heavily </w:t>
      </w:r>
      <w:r w:rsidR="00361D02">
        <w:rPr>
          <w:sz w:val="20"/>
        </w:rPr>
        <w:t>qualified — it</w:t>
      </w:r>
      <w:r w:rsidR="00544560">
        <w:rPr>
          <w:sz w:val="20"/>
        </w:rPr>
        <w:t xml:space="preserve"> </w:t>
      </w:r>
      <w:r w:rsidR="00361D02">
        <w:rPr>
          <w:sz w:val="20"/>
        </w:rPr>
        <w:t>will only be sought by that part of the market that has injection rights to the South West Pipeline</w:t>
      </w:r>
      <w:r w:rsidR="00FC4FB1">
        <w:rPr>
          <w:sz w:val="20"/>
        </w:rPr>
        <w:t>.</w:t>
      </w:r>
    </w:p>
    <w:p w:rsidR="00544560" w:rsidRDefault="00066B64" w:rsidP="00544560">
      <w:pPr>
        <w:spacing w:after="0"/>
        <w:rPr>
          <w:sz w:val="20"/>
        </w:rPr>
      </w:pPr>
      <w:r w:rsidRPr="00B950F2">
        <w:rPr>
          <w:sz w:val="20"/>
        </w:rPr>
        <w:t>Gas h</w:t>
      </w:r>
      <w:r w:rsidR="00CD5DFA" w:rsidRPr="00CD5DFA">
        <w:rPr>
          <w:sz w:val="20"/>
        </w:rPr>
        <w:t>aulage in the V</w:t>
      </w:r>
      <w:r w:rsidR="00882641">
        <w:rPr>
          <w:sz w:val="20"/>
        </w:rPr>
        <w:t>TS</w:t>
      </w:r>
      <w:r w:rsidR="00CD5DFA" w:rsidRPr="00CD5DFA">
        <w:rPr>
          <w:sz w:val="20"/>
        </w:rPr>
        <w:t xml:space="preserve"> context is market carriage</w:t>
      </w:r>
      <w:r w:rsidR="00497A96">
        <w:rPr>
          <w:sz w:val="20"/>
        </w:rPr>
        <w:t xml:space="preserve"> — market dispatch is in price merit order and transmission charges are based on usage</w:t>
      </w:r>
      <w:r w:rsidR="00A05E8A">
        <w:rPr>
          <w:sz w:val="20"/>
        </w:rPr>
        <w:t>, not on contractual MDQ.</w:t>
      </w:r>
      <w:r w:rsidR="00CD5DFA" w:rsidRPr="00CD5DFA">
        <w:rPr>
          <w:sz w:val="20"/>
        </w:rPr>
        <w:t xml:space="preserve"> </w:t>
      </w:r>
      <w:r w:rsidRPr="00B950F2">
        <w:rPr>
          <w:sz w:val="20"/>
        </w:rPr>
        <w:t xml:space="preserve"> The market rules (NGR</w:t>
      </w:r>
      <w:r w:rsidR="00544560">
        <w:rPr>
          <w:sz w:val="20"/>
        </w:rPr>
        <w:t>, Part 19</w:t>
      </w:r>
      <w:r w:rsidRPr="00B950F2">
        <w:rPr>
          <w:sz w:val="20"/>
        </w:rPr>
        <w:t xml:space="preserve">) </w:t>
      </w:r>
      <w:r w:rsidR="00B950F2" w:rsidRPr="00B950F2">
        <w:rPr>
          <w:sz w:val="20"/>
        </w:rPr>
        <w:t>h</w:t>
      </w:r>
      <w:r w:rsidR="00CD5DFA" w:rsidRPr="00CD5DFA">
        <w:rPr>
          <w:sz w:val="20"/>
        </w:rPr>
        <w:t>owever do recognise AMDQ credit certificates (AMDQ</w:t>
      </w:r>
      <w:r w:rsidR="00F21BA8">
        <w:rPr>
          <w:sz w:val="20"/>
        </w:rPr>
        <w:t xml:space="preserve"> CC</w:t>
      </w:r>
      <w:r w:rsidR="00CD5DFA" w:rsidRPr="00CD5DFA">
        <w:rPr>
          <w:sz w:val="20"/>
        </w:rPr>
        <w:t>), which give priority to holders in the event of a pipeline constraint and may provide relief from certain market uplift charges</w:t>
      </w:r>
      <w:r w:rsidR="00B950F2" w:rsidRPr="00B950F2">
        <w:rPr>
          <w:sz w:val="20"/>
        </w:rPr>
        <w:t xml:space="preserve"> </w:t>
      </w:r>
      <w:r w:rsidR="006E6890">
        <w:rPr>
          <w:sz w:val="20"/>
        </w:rPr>
        <w:t>levied</w:t>
      </w:r>
      <w:r w:rsidR="00B950F2" w:rsidRPr="00B950F2">
        <w:rPr>
          <w:sz w:val="20"/>
        </w:rPr>
        <w:t xml:space="preserve"> by AEMO as the market operator</w:t>
      </w:r>
      <w:r w:rsidR="00CD5DFA" w:rsidRPr="00CD5DFA">
        <w:rPr>
          <w:sz w:val="20"/>
        </w:rPr>
        <w:t xml:space="preserve">. </w:t>
      </w:r>
      <w:r w:rsidR="00B950F2" w:rsidRPr="00B950F2">
        <w:rPr>
          <w:sz w:val="20"/>
        </w:rPr>
        <w:t xml:space="preserve"> </w:t>
      </w:r>
      <w:r w:rsidR="00CD5DFA" w:rsidRPr="00CD5DFA">
        <w:rPr>
          <w:sz w:val="20"/>
        </w:rPr>
        <w:t>Participants acquire AMDQ</w:t>
      </w:r>
      <w:r w:rsidR="00F21BA8">
        <w:rPr>
          <w:sz w:val="20"/>
        </w:rPr>
        <w:t xml:space="preserve"> CC</w:t>
      </w:r>
      <w:r w:rsidR="00CD5DFA" w:rsidRPr="00CD5DFA">
        <w:rPr>
          <w:sz w:val="20"/>
        </w:rPr>
        <w:t xml:space="preserve"> through a periodic auction process conducted by APA GasNet.  </w:t>
      </w:r>
      <w:r w:rsidR="00A05E8A">
        <w:rPr>
          <w:sz w:val="20"/>
        </w:rPr>
        <w:t>B</w:t>
      </w:r>
      <w:r w:rsidR="00CD5DFA" w:rsidRPr="00CD5DFA">
        <w:rPr>
          <w:sz w:val="20"/>
        </w:rPr>
        <w:t>id</w:t>
      </w:r>
      <w:r w:rsidR="00A05E8A">
        <w:rPr>
          <w:sz w:val="20"/>
        </w:rPr>
        <w:t xml:space="preserve">s submitted by </w:t>
      </w:r>
      <w:r w:rsidR="009A2470">
        <w:rPr>
          <w:sz w:val="20"/>
        </w:rPr>
        <w:t>m</w:t>
      </w:r>
      <w:r w:rsidR="00A05E8A">
        <w:rPr>
          <w:sz w:val="20"/>
        </w:rPr>
        <w:t xml:space="preserve">arket </w:t>
      </w:r>
      <w:r w:rsidR="009A2470">
        <w:rPr>
          <w:sz w:val="20"/>
        </w:rPr>
        <w:t>p</w:t>
      </w:r>
      <w:r w:rsidR="00A05E8A">
        <w:rPr>
          <w:sz w:val="20"/>
        </w:rPr>
        <w:t xml:space="preserve">articipants </w:t>
      </w:r>
      <w:r w:rsidR="00CD5DFA" w:rsidRPr="00CD5DFA">
        <w:rPr>
          <w:sz w:val="20"/>
        </w:rPr>
        <w:t xml:space="preserve">can be thought of as </w:t>
      </w:r>
      <w:r w:rsidR="009A2470">
        <w:rPr>
          <w:sz w:val="20"/>
        </w:rPr>
        <w:t>consisting of</w:t>
      </w:r>
      <w:r w:rsidR="00CD5DFA" w:rsidRPr="00CD5DFA">
        <w:rPr>
          <w:sz w:val="20"/>
        </w:rPr>
        <w:t xml:space="preserve"> two parts: pre-paid haulage</w:t>
      </w:r>
      <w:r w:rsidR="00B06182">
        <w:rPr>
          <w:sz w:val="20"/>
        </w:rPr>
        <w:t xml:space="preserve"> over </w:t>
      </w:r>
      <w:r w:rsidR="00C44F2B">
        <w:rPr>
          <w:sz w:val="20"/>
        </w:rPr>
        <w:t xml:space="preserve">the stipulated term of </w:t>
      </w:r>
      <w:r w:rsidR="00B06182">
        <w:rPr>
          <w:sz w:val="20"/>
        </w:rPr>
        <w:t>X years</w:t>
      </w:r>
      <w:r w:rsidR="00C44F2B">
        <w:rPr>
          <w:sz w:val="20"/>
        </w:rPr>
        <w:t xml:space="preserve"> </w:t>
      </w:r>
      <w:r w:rsidR="00C44F2B">
        <w:rPr>
          <w:sz w:val="20"/>
        </w:rPr>
        <w:lastRenderedPageBreak/>
        <w:t>(</w:t>
      </w:r>
      <w:r w:rsidR="00FB69B9">
        <w:rPr>
          <w:sz w:val="20"/>
        </w:rPr>
        <w:t>which happens to be the reserve set by APA GasNet</w:t>
      </w:r>
      <w:r w:rsidR="00C44F2B">
        <w:rPr>
          <w:sz w:val="20"/>
        </w:rPr>
        <w:t>)</w:t>
      </w:r>
      <w:r w:rsidR="00FB69B9">
        <w:rPr>
          <w:sz w:val="20"/>
        </w:rPr>
        <w:t xml:space="preserve"> plus</w:t>
      </w:r>
      <w:r w:rsidR="00CD5DFA" w:rsidRPr="00CD5DFA">
        <w:rPr>
          <w:sz w:val="20"/>
        </w:rPr>
        <w:t xml:space="preserve"> </w:t>
      </w:r>
      <w:r w:rsidR="00C44F2B">
        <w:rPr>
          <w:sz w:val="20"/>
        </w:rPr>
        <w:t>any</w:t>
      </w:r>
      <w:r w:rsidR="00CD5DFA" w:rsidRPr="00CD5DFA">
        <w:rPr>
          <w:sz w:val="20"/>
        </w:rPr>
        <w:t xml:space="preserve"> premium that a participant is prepared to pay on top of that</w:t>
      </w:r>
      <w:r w:rsidR="00B950F2" w:rsidRPr="00B950F2">
        <w:rPr>
          <w:sz w:val="20"/>
        </w:rPr>
        <w:t xml:space="preserve"> minimum</w:t>
      </w:r>
      <w:r w:rsidR="00497A96">
        <w:rPr>
          <w:sz w:val="20"/>
        </w:rPr>
        <w:t xml:space="preserve"> or reserve </w:t>
      </w:r>
      <w:r w:rsidR="00B950F2" w:rsidRPr="00B950F2">
        <w:rPr>
          <w:sz w:val="20"/>
        </w:rPr>
        <w:t>to secure that right</w:t>
      </w:r>
      <w:r w:rsidR="00CD5DFA" w:rsidRPr="00CD5DFA">
        <w:rPr>
          <w:sz w:val="20"/>
        </w:rPr>
        <w:t>.</w:t>
      </w:r>
    </w:p>
    <w:p w:rsidR="00544560" w:rsidRDefault="00497A96" w:rsidP="00544560">
      <w:pPr>
        <w:spacing w:after="0"/>
        <w:rPr>
          <w:sz w:val="20"/>
        </w:rPr>
      </w:pPr>
      <w:r>
        <w:rPr>
          <w:sz w:val="20"/>
        </w:rPr>
        <w:t>AGL’s</w:t>
      </w:r>
      <w:r w:rsidR="00B950F2" w:rsidRPr="00CD5DFA">
        <w:rPr>
          <w:sz w:val="20"/>
        </w:rPr>
        <w:t xml:space="preserve"> view is </w:t>
      </w:r>
      <w:r w:rsidR="00A05E8A">
        <w:rPr>
          <w:sz w:val="20"/>
        </w:rPr>
        <w:t xml:space="preserve">very much </w:t>
      </w:r>
      <w:r w:rsidR="00B950F2" w:rsidRPr="00CD5DFA">
        <w:rPr>
          <w:sz w:val="20"/>
        </w:rPr>
        <w:t>that AMDQ</w:t>
      </w:r>
      <w:r w:rsidR="00BB3860">
        <w:rPr>
          <w:sz w:val="20"/>
        </w:rPr>
        <w:t xml:space="preserve"> CC</w:t>
      </w:r>
      <w:r w:rsidR="00B950F2" w:rsidRPr="00CD5DFA">
        <w:rPr>
          <w:sz w:val="20"/>
        </w:rPr>
        <w:t xml:space="preserve"> are not haulage rights but an additional </w:t>
      </w:r>
      <w:r>
        <w:rPr>
          <w:sz w:val="20"/>
        </w:rPr>
        <w:t>product</w:t>
      </w:r>
      <w:r w:rsidR="00B950F2" w:rsidRPr="00CD5DFA">
        <w:rPr>
          <w:sz w:val="20"/>
        </w:rPr>
        <w:t xml:space="preserve"> </w:t>
      </w:r>
      <w:r w:rsidR="008B0835">
        <w:rPr>
          <w:sz w:val="20"/>
        </w:rPr>
        <w:t xml:space="preserve">or attribute </w:t>
      </w:r>
      <w:r w:rsidR="00B950F2" w:rsidRPr="00CD5DFA">
        <w:rPr>
          <w:sz w:val="20"/>
        </w:rPr>
        <w:t xml:space="preserve">that confers certain </w:t>
      </w:r>
      <w:r w:rsidR="00BB3860" w:rsidRPr="009A2470">
        <w:rPr>
          <w:sz w:val="20"/>
          <w:u w:val="single"/>
        </w:rPr>
        <w:t xml:space="preserve">market </w:t>
      </w:r>
      <w:r w:rsidR="00B06182" w:rsidRPr="009A2470">
        <w:rPr>
          <w:sz w:val="20"/>
          <w:u w:val="single"/>
        </w:rPr>
        <w:t>benefits</w:t>
      </w:r>
      <w:r w:rsidR="00B950F2" w:rsidRPr="00CD5DFA">
        <w:rPr>
          <w:sz w:val="20"/>
        </w:rPr>
        <w:t xml:space="preserve"> to holders</w:t>
      </w:r>
      <w:r w:rsidR="007F79A9">
        <w:rPr>
          <w:sz w:val="20"/>
        </w:rPr>
        <w:t xml:space="preserve"> and is better characterised as an insurance product</w:t>
      </w:r>
      <w:r w:rsidR="00B950F2" w:rsidRPr="00CD5DFA">
        <w:rPr>
          <w:sz w:val="20"/>
        </w:rPr>
        <w:t>.  In the absence of constraints, market dispatch is always based on price (and not on rights).  Therefore the premium p</w:t>
      </w:r>
      <w:r w:rsidR="002E422D">
        <w:rPr>
          <w:sz w:val="20"/>
        </w:rPr>
        <w:t>artici</w:t>
      </w:r>
      <w:r w:rsidR="00BB3860">
        <w:rPr>
          <w:sz w:val="20"/>
        </w:rPr>
        <w:t>p</w:t>
      </w:r>
      <w:r w:rsidR="002E422D">
        <w:rPr>
          <w:sz w:val="20"/>
        </w:rPr>
        <w:t xml:space="preserve">ants </w:t>
      </w:r>
      <w:r w:rsidR="00B950F2" w:rsidRPr="00CD5DFA">
        <w:rPr>
          <w:sz w:val="20"/>
        </w:rPr>
        <w:t>are prepared to pay is reflective of how they value this insurance product which sees their gas dispatched ahead of others in the ev</w:t>
      </w:r>
      <w:r w:rsidR="00544560">
        <w:rPr>
          <w:sz w:val="20"/>
        </w:rPr>
        <w:t>ent of a constraint.</w:t>
      </w:r>
    </w:p>
    <w:p w:rsidR="00EC5172" w:rsidRDefault="00EC5172" w:rsidP="00544560">
      <w:pPr>
        <w:spacing w:after="0"/>
        <w:rPr>
          <w:sz w:val="20"/>
        </w:rPr>
      </w:pPr>
      <w:r>
        <w:rPr>
          <w:sz w:val="20"/>
        </w:rPr>
        <w:t>AGL fully agrees with APA</w:t>
      </w:r>
      <w:r w:rsidR="00B31075">
        <w:rPr>
          <w:sz w:val="20"/>
        </w:rPr>
        <w:t xml:space="preserve"> </w:t>
      </w:r>
      <w:r>
        <w:rPr>
          <w:sz w:val="20"/>
        </w:rPr>
        <w:t xml:space="preserve">GasNet and their rationale that AMDQ CC is not an ancillary service </w:t>
      </w:r>
      <w:r w:rsidR="009A2470">
        <w:rPr>
          <w:sz w:val="20"/>
        </w:rPr>
        <w:t xml:space="preserve">either, </w:t>
      </w:r>
      <w:r>
        <w:rPr>
          <w:sz w:val="20"/>
        </w:rPr>
        <w:t xml:space="preserve">if it is not to be regarded as a pipeline service.  To the extent that gas dispatch is in price merit order, purchase of AMDQ CC is not a prerequisite to </w:t>
      </w:r>
      <w:r w:rsidR="00CF0B0E">
        <w:rPr>
          <w:sz w:val="20"/>
        </w:rPr>
        <w:t>participate</w:t>
      </w:r>
      <w:r>
        <w:rPr>
          <w:sz w:val="20"/>
        </w:rPr>
        <w:t xml:space="preserve"> in the Victorian gas market.</w:t>
      </w:r>
    </w:p>
    <w:p w:rsidR="00CD5DFA" w:rsidRPr="00CD5DFA" w:rsidRDefault="00B950F2" w:rsidP="00544560">
      <w:pPr>
        <w:spacing w:after="0"/>
        <w:rPr>
          <w:sz w:val="20"/>
        </w:rPr>
      </w:pPr>
      <w:r w:rsidRPr="00B950F2">
        <w:rPr>
          <w:sz w:val="20"/>
        </w:rPr>
        <w:t xml:space="preserve">Neither does AGL see </w:t>
      </w:r>
      <w:r w:rsidR="00BB3860">
        <w:rPr>
          <w:sz w:val="20"/>
        </w:rPr>
        <w:t>AMDQ CC</w:t>
      </w:r>
      <w:r w:rsidRPr="00B950F2">
        <w:rPr>
          <w:sz w:val="20"/>
        </w:rPr>
        <w:t xml:space="preserve"> as a </w:t>
      </w:r>
      <w:r w:rsidR="00B31075" w:rsidRPr="00B950F2">
        <w:rPr>
          <w:sz w:val="20"/>
        </w:rPr>
        <w:t>rebatea</w:t>
      </w:r>
      <w:r w:rsidR="00B31075">
        <w:rPr>
          <w:sz w:val="20"/>
        </w:rPr>
        <w:t>b</w:t>
      </w:r>
      <w:r w:rsidR="00B31075" w:rsidRPr="00B950F2">
        <w:rPr>
          <w:sz w:val="20"/>
        </w:rPr>
        <w:t>le</w:t>
      </w:r>
      <w:r w:rsidRPr="00B950F2">
        <w:rPr>
          <w:sz w:val="20"/>
        </w:rPr>
        <w:t xml:space="preserve"> service, as is adv</w:t>
      </w:r>
      <w:r w:rsidR="00882641">
        <w:rPr>
          <w:sz w:val="20"/>
        </w:rPr>
        <w:t>anc</w:t>
      </w:r>
      <w:r w:rsidRPr="00B950F2">
        <w:rPr>
          <w:sz w:val="20"/>
        </w:rPr>
        <w:t>ed by some market participants</w:t>
      </w:r>
      <w:r w:rsidR="009A4CE1">
        <w:rPr>
          <w:sz w:val="20"/>
        </w:rPr>
        <w:t xml:space="preserve"> who</w:t>
      </w:r>
      <w:r w:rsidRPr="00B950F2">
        <w:rPr>
          <w:sz w:val="20"/>
        </w:rPr>
        <w:t xml:space="preserve"> </w:t>
      </w:r>
      <w:r w:rsidR="00C44F2B">
        <w:rPr>
          <w:sz w:val="20"/>
        </w:rPr>
        <w:t>suggest</w:t>
      </w:r>
      <w:r w:rsidRPr="00B950F2">
        <w:rPr>
          <w:sz w:val="20"/>
        </w:rPr>
        <w:t xml:space="preserve"> </w:t>
      </w:r>
      <w:r w:rsidR="00CD5DFA" w:rsidRPr="00CD5DFA">
        <w:rPr>
          <w:sz w:val="20"/>
        </w:rPr>
        <w:t xml:space="preserve">that APA GasNet is double dipping on a regulated forward haul service, and that the premium paid </w:t>
      </w:r>
      <w:r w:rsidR="008000FE">
        <w:rPr>
          <w:sz w:val="20"/>
        </w:rPr>
        <w:t xml:space="preserve">by them </w:t>
      </w:r>
      <w:r w:rsidR="00497A96">
        <w:rPr>
          <w:sz w:val="20"/>
        </w:rPr>
        <w:t>(on AMDQ</w:t>
      </w:r>
      <w:r w:rsidR="00F21BA8">
        <w:rPr>
          <w:sz w:val="20"/>
        </w:rPr>
        <w:t xml:space="preserve"> CC</w:t>
      </w:r>
      <w:r w:rsidRPr="00B950F2">
        <w:rPr>
          <w:sz w:val="20"/>
        </w:rPr>
        <w:t xml:space="preserve">) </w:t>
      </w:r>
      <w:r w:rsidR="00CD5DFA" w:rsidRPr="00CD5DFA">
        <w:rPr>
          <w:sz w:val="20"/>
        </w:rPr>
        <w:t>should be refunded</w:t>
      </w:r>
      <w:r w:rsidR="00544560">
        <w:rPr>
          <w:sz w:val="20"/>
        </w:rPr>
        <w:t>.</w:t>
      </w:r>
      <w:r w:rsidR="00CD5DFA" w:rsidRPr="00CD5DFA">
        <w:rPr>
          <w:sz w:val="20"/>
        </w:rPr>
        <w:t xml:space="preserve">  </w:t>
      </w:r>
      <w:r w:rsidR="002E422D">
        <w:rPr>
          <w:sz w:val="20"/>
        </w:rPr>
        <w:t>This line of argument is</w:t>
      </w:r>
      <w:r w:rsidR="00BB3860">
        <w:rPr>
          <w:sz w:val="20"/>
        </w:rPr>
        <w:t xml:space="preserve"> </w:t>
      </w:r>
      <w:r w:rsidR="002E422D">
        <w:rPr>
          <w:sz w:val="20"/>
        </w:rPr>
        <w:t>not logical or sustainable in AGL’s view</w:t>
      </w:r>
      <w:r w:rsidR="008B0835">
        <w:rPr>
          <w:sz w:val="20"/>
        </w:rPr>
        <w:t xml:space="preserve"> —</w:t>
      </w:r>
      <w:r w:rsidR="002E422D">
        <w:rPr>
          <w:sz w:val="20"/>
        </w:rPr>
        <w:t xml:space="preserve"> </w:t>
      </w:r>
      <w:r w:rsidR="008B0835">
        <w:rPr>
          <w:sz w:val="20"/>
        </w:rPr>
        <w:t>y</w:t>
      </w:r>
      <w:r w:rsidR="00CD5DFA" w:rsidRPr="00CD5DFA">
        <w:rPr>
          <w:sz w:val="20"/>
        </w:rPr>
        <w:t xml:space="preserve">ou want something, you pay over the odds, and then </w:t>
      </w:r>
      <w:r w:rsidR="008B0835">
        <w:rPr>
          <w:sz w:val="20"/>
        </w:rPr>
        <w:t xml:space="preserve">subsequently </w:t>
      </w:r>
      <w:r w:rsidR="00CD5DFA" w:rsidRPr="00CD5DFA">
        <w:rPr>
          <w:sz w:val="20"/>
        </w:rPr>
        <w:t>argue that</w:t>
      </w:r>
      <w:r w:rsidR="009A4CE1">
        <w:rPr>
          <w:sz w:val="20"/>
        </w:rPr>
        <w:t xml:space="preserve"> the premium should be refunded</w:t>
      </w:r>
      <w:r w:rsidR="00CD5DFA" w:rsidRPr="00CD5DFA">
        <w:rPr>
          <w:sz w:val="20"/>
        </w:rPr>
        <w:t xml:space="preserve">.  But in the meantime you possess these certificates, which do have value. </w:t>
      </w:r>
      <w:r w:rsidR="002E422D">
        <w:rPr>
          <w:sz w:val="20"/>
        </w:rPr>
        <w:t xml:space="preserve"> And any value conferred </w:t>
      </w:r>
      <w:r w:rsidR="009A4CE1">
        <w:rPr>
          <w:sz w:val="20"/>
        </w:rPr>
        <w:t xml:space="preserve">or realised </w:t>
      </w:r>
      <w:r w:rsidR="002E422D">
        <w:rPr>
          <w:sz w:val="20"/>
        </w:rPr>
        <w:t>is held by the certificate holder</w:t>
      </w:r>
      <w:r w:rsidR="00544560">
        <w:rPr>
          <w:sz w:val="20"/>
        </w:rPr>
        <w:t xml:space="preserve"> and not socialised</w:t>
      </w:r>
      <w:r w:rsidR="002E422D">
        <w:rPr>
          <w:sz w:val="20"/>
        </w:rPr>
        <w:t>.</w:t>
      </w:r>
    </w:p>
    <w:p w:rsidR="00CD5DFA" w:rsidRDefault="00CD5DFA" w:rsidP="006A1993">
      <w:pPr>
        <w:spacing w:before="0" w:after="0"/>
        <w:rPr>
          <w:sz w:val="20"/>
        </w:rPr>
      </w:pPr>
    </w:p>
    <w:p w:rsidR="00FB69B9" w:rsidRDefault="00704D01" w:rsidP="006A1993">
      <w:pPr>
        <w:spacing w:before="0" w:after="0"/>
        <w:rPr>
          <w:sz w:val="20"/>
        </w:rPr>
      </w:pPr>
      <w:r>
        <w:rPr>
          <w:sz w:val="20"/>
        </w:rPr>
        <w:t xml:space="preserve">AGL does not believe that AMDQ CC represents a pipeline service for the reasons outlined above and therefore does not warrant a reference tariff as is being suggested by AER.  AGL’s view is very much that </w:t>
      </w:r>
      <w:r w:rsidR="008933A3">
        <w:rPr>
          <w:sz w:val="20"/>
        </w:rPr>
        <w:t>the only requirements to be imposed on GasNet by the AER are around the transparency and visibility of the tender process run by APA for the sale of AMDQ CC.</w:t>
      </w:r>
    </w:p>
    <w:p w:rsidR="00FB69B9" w:rsidRPr="00CD5DFA" w:rsidRDefault="00FB69B9" w:rsidP="006A1993">
      <w:pPr>
        <w:spacing w:before="0" w:after="0"/>
        <w:rPr>
          <w:sz w:val="20"/>
        </w:rPr>
      </w:pPr>
    </w:p>
    <w:p w:rsidR="00CD5DFA" w:rsidRPr="006A1993" w:rsidRDefault="00CD5DFA" w:rsidP="006A1993">
      <w:pPr>
        <w:spacing w:after="0"/>
        <w:rPr>
          <w:b/>
          <w:sz w:val="20"/>
        </w:rPr>
      </w:pPr>
      <w:r w:rsidRPr="006A1993">
        <w:rPr>
          <w:b/>
          <w:sz w:val="20"/>
        </w:rPr>
        <w:t>Capex 2013-2017</w:t>
      </w:r>
    </w:p>
    <w:p w:rsidR="00103DA9" w:rsidRDefault="00103DA9" w:rsidP="00103DA9">
      <w:pPr>
        <w:spacing w:after="0"/>
        <w:rPr>
          <w:sz w:val="20"/>
        </w:rPr>
      </w:pPr>
      <w:r w:rsidRPr="00D80337">
        <w:rPr>
          <w:sz w:val="20"/>
        </w:rPr>
        <w:t xml:space="preserve">The key financial parameters of the </w:t>
      </w:r>
      <w:r>
        <w:rPr>
          <w:sz w:val="20"/>
        </w:rPr>
        <w:t xml:space="preserve">evolving </w:t>
      </w:r>
      <w:r w:rsidRPr="00D80337">
        <w:rPr>
          <w:sz w:val="20"/>
        </w:rPr>
        <w:t xml:space="preserve">VTS Access Arrangement are </w:t>
      </w:r>
      <w:r>
        <w:rPr>
          <w:sz w:val="20"/>
        </w:rPr>
        <w:t>set out in Table 1</w:t>
      </w:r>
      <w:r w:rsidR="0008564A">
        <w:rPr>
          <w:sz w:val="20"/>
        </w:rPr>
        <w:t xml:space="preserve"> below</w:t>
      </w:r>
      <w:r>
        <w:rPr>
          <w:sz w:val="20"/>
        </w:rPr>
        <w:t>.  This table</w:t>
      </w:r>
      <w:r w:rsidRPr="00D80337">
        <w:rPr>
          <w:sz w:val="20"/>
        </w:rPr>
        <w:t xml:space="preserve"> reflect</w:t>
      </w:r>
      <w:r>
        <w:rPr>
          <w:sz w:val="20"/>
        </w:rPr>
        <w:t>s</w:t>
      </w:r>
      <w:r w:rsidRPr="00D80337">
        <w:rPr>
          <w:sz w:val="20"/>
        </w:rPr>
        <w:t xml:space="preserve"> the APA Proposal (March 2012), AER</w:t>
      </w:r>
      <w:r>
        <w:rPr>
          <w:sz w:val="20"/>
        </w:rPr>
        <w:t>’s</w:t>
      </w:r>
      <w:r w:rsidRPr="00D80337">
        <w:rPr>
          <w:sz w:val="20"/>
        </w:rPr>
        <w:t xml:space="preserve"> Draft Decision (September 2012)</w:t>
      </w:r>
      <w:r>
        <w:rPr>
          <w:sz w:val="20"/>
        </w:rPr>
        <w:t>, and APA’s</w:t>
      </w:r>
      <w:r w:rsidRPr="00D80337">
        <w:rPr>
          <w:sz w:val="20"/>
        </w:rPr>
        <w:t xml:space="preserve"> Revised Proposal (November 2012)</w:t>
      </w:r>
      <w:r>
        <w:rPr>
          <w:sz w:val="20"/>
        </w:rPr>
        <w:t xml:space="preserve"> as well as the total revenue requirement associated with each version.</w:t>
      </w:r>
      <w:r w:rsidRPr="00D80337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E43A34" w:rsidRPr="00E43A34" w:rsidRDefault="00E43A34" w:rsidP="00E43A34">
      <w:pPr>
        <w:rPr>
          <w:b/>
          <w:iCs/>
          <w:szCs w:val="18"/>
        </w:rPr>
      </w:pPr>
      <w:r w:rsidRPr="00E43A34">
        <w:rPr>
          <w:b/>
          <w:iCs/>
          <w:szCs w:val="18"/>
        </w:rPr>
        <w:t>Table 1</w:t>
      </w:r>
      <w:r w:rsidR="00457697">
        <w:rPr>
          <w:b/>
          <w:iCs/>
          <w:szCs w:val="18"/>
        </w:rPr>
        <w:t>.</w:t>
      </w:r>
      <w:r w:rsidRPr="00E43A34">
        <w:rPr>
          <w:b/>
          <w:iCs/>
          <w:szCs w:val="18"/>
        </w:rPr>
        <w:t xml:space="preserve"> – Victorian Gas Transmission AA Financials</w:t>
      </w:r>
    </w:p>
    <w:p w:rsidR="00E43A34" w:rsidRDefault="00E43A34" w:rsidP="006925A6">
      <w:pPr>
        <w:spacing w:before="0"/>
        <w:rPr>
          <w:sz w:val="20"/>
          <w:highlight w:val="yellow"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E43A34" w:rsidRPr="00E43A34" w:rsidTr="00E43A34">
        <w:tc>
          <w:tcPr>
            <w:tcW w:w="1848" w:type="dxa"/>
          </w:tcPr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Key Financial</w:t>
            </w:r>
          </w:p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Overview</w:t>
            </w:r>
          </w:p>
        </w:tc>
        <w:tc>
          <w:tcPr>
            <w:tcW w:w="1848" w:type="dxa"/>
          </w:tcPr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Historical</w:t>
            </w:r>
          </w:p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AA 2008-2012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APA Proposal</w:t>
            </w:r>
          </w:p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March 2012</w:t>
            </w:r>
          </w:p>
        </w:tc>
        <w:tc>
          <w:tcPr>
            <w:tcW w:w="1849" w:type="dxa"/>
          </w:tcPr>
          <w:p w:rsid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AER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43A34">
              <w:rPr>
                <w:b/>
                <w:sz w:val="16"/>
                <w:szCs w:val="16"/>
              </w:rPr>
              <w:t>Draft Decision</w:t>
            </w:r>
          </w:p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September 2012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APA Revised Proposal</w:t>
            </w:r>
          </w:p>
          <w:p w:rsidR="00E43A34" w:rsidRPr="00E43A34" w:rsidRDefault="00E43A34" w:rsidP="00E43A3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3A34">
              <w:rPr>
                <w:b/>
                <w:sz w:val="16"/>
                <w:szCs w:val="16"/>
              </w:rPr>
              <w:t>November 2012</w:t>
            </w:r>
          </w:p>
        </w:tc>
      </w:tr>
      <w:tr w:rsidR="00E43A34" w:rsidRPr="00E43A34" w:rsidTr="00E43A34">
        <w:tc>
          <w:tcPr>
            <w:tcW w:w="1848" w:type="dxa"/>
          </w:tcPr>
          <w:p w:rsidR="00E43A34" w:rsidRDefault="00E43A34" w:rsidP="006925A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Revenue</w:t>
            </w:r>
          </w:p>
        </w:tc>
        <w:tc>
          <w:tcPr>
            <w:tcW w:w="1848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$766.0m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$464.4m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$624.5m</w:t>
            </w:r>
          </w:p>
        </w:tc>
      </w:tr>
      <w:tr w:rsidR="00E43A34" w:rsidRPr="00E43A34" w:rsidTr="00E43A34">
        <w:tc>
          <w:tcPr>
            <w:tcW w:w="1848" w:type="dxa"/>
          </w:tcPr>
          <w:p w:rsidR="00E43A34" w:rsidRPr="00E43A34" w:rsidRDefault="00E43A34" w:rsidP="006925A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Capex</w:t>
            </w:r>
          </w:p>
        </w:tc>
        <w:tc>
          <w:tcPr>
            <w:tcW w:w="1848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$160.4m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$340.8m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$153.8m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$185.4m</w:t>
            </w:r>
          </w:p>
        </w:tc>
      </w:tr>
      <w:tr w:rsidR="00E43A34" w:rsidRPr="00E43A34" w:rsidTr="00E43A34">
        <w:tc>
          <w:tcPr>
            <w:tcW w:w="1848" w:type="dxa"/>
          </w:tcPr>
          <w:p w:rsidR="00E43A34" w:rsidRPr="00E43A34" w:rsidRDefault="00E43A34" w:rsidP="006925A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WACC</w:t>
            </w:r>
          </w:p>
        </w:tc>
        <w:tc>
          <w:tcPr>
            <w:tcW w:w="1848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10.55%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9.06%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7.16%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8.09%</w:t>
            </w:r>
          </w:p>
        </w:tc>
      </w:tr>
      <w:tr w:rsidR="00E43A34" w:rsidRPr="00E43A34" w:rsidTr="00E43A34">
        <w:tc>
          <w:tcPr>
            <w:tcW w:w="1848" w:type="dxa"/>
          </w:tcPr>
          <w:p w:rsidR="00E43A34" w:rsidRPr="00E43A34" w:rsidRDefault="00E43A34" w:rsidP="006925A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Regulatory Depreciation</w:t>
            </w:r>
          </w:p>
        </w:tc>
        <w:tc>
          <w:tcPr>
            <w:tcW w:w="1848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$157.5m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$56.2m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$136.3m</w:t>
            </w:r>
          </w:p>
        </w:tc>
      </w:tr>
      <w:tr w:rsidR="00E43A34" w:rsidRPr="00E43A34" w:rsidTr="00882641">
        <w:trPr>
          <w:trHeight w:val="323"/>
        </w:trPr>
        <w:tc>
          <w:tcPr>
            <w:tcW w:w="1848" w:type="dxa"/>
          </w:tcPr>
          <w:p w:rsidR="00E43A34" w:rsidRPr="00E43A34" w:rsidRDefault="00E43A34" w:rsidP="006925A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Opex</w:t>
            </w:r>
          </w:p>
        </w:tc>
        <w:tc>
          <w:tcPr>
            <w:tcW w:w="1848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$182.2m</w:t>
            </w:r>
          </w:p>
        </w:tc>
        <w:tc>
          <w:tcPr>
            <w:tcW w:w="1849" w:type="dxa"/>
          </w:tcPr>
          <w:p w:rsidR="00E43A34" w:rsidRPr="00E43A34" w:rsidRDefault="00E43A34" w:rsidP="00E43A34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$140.6m</w:t>
            </w:r>
          </w:p>
        </w:tc>
        <w:tc>
          <w:tcPr>
            <w:tcW w:w="1849" w:type="dxa"/>
          </w:tcPr>
          <w:p w:rsidR="00E43A34" w:rsidRPr="00E43A34" w:rsidRDefault="00E43A34" w:rsidP="00882641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$164.9m</w:t>
            </w:r>
          </w:p>
        </w:tc>
      </w:tr>
    </w:tbl>
    <w:p w:rsidR="00FA2396" w:rsidRDefault="00FA2396" w:rsidP="00D80337">
      <w:pPr>
        <w:spacing w:after="0"/>
        <w:rPr>
          <w:sz w:val="20"/>
        </w:rPr>
      </w:pPr>
    </w:p>
    <w:p w:rsidR="008000FE" w:rsidRDefault="00FA2396" w:rsidP="00D80337">
      <w:pPr>
        <w:spacing w:after="0"/>
        <w:rPr>
          <w:sz w:val="20"/>
        </w:rPr>
      </w:pPr>
      <w:r>
        <w:rPr>
          <w:sz w:val="20"/>
        </w:rPr>
        <w:t xml:space="preserve">The </w:t>
      </w:r>
      <w:r w:rsidR="00E00E47" w:rsidRPr="00D80337">
        <w:rPr>
          <w:sz w:val="20"/>
        </w:rPr>
        <w:t xml:space="preserve">corresponding </w:t>
      </w:r>
      <w:r w:rsidR="00E90954">
        <w:rPr>
          <w:sz w:val="20"/>
        </w:rPr>
        <w:t xml:space="preserve">favourable </w:t>
      </w:r>
      <w:r w:rsidR="00E00E47" w:rsidRPr="00D80337">
        <w:rPr>
          <w:sz w:val="20"/>
        </w:rPr>
        <w:t xml:space="preserve">impact on the indicative reference tariff </w:t>
      </w:r>
      <w:r w:rsidR="00457697">
        <w:rPr>
          <w:sz w:val="20"/>
        </w:rPr>
        <w:t xml:space="preserve">flowing from the AER’s Draft Decision </w:t>
      </w:r>
      <w:r w:rsidR="00E00E47" w:rsidRPr="00D80337">
        <w:rPr>
          <w:sz w:val="20"/>
        </w:rPr>
        <w:t xml:space="preserve">is presented in </w:t>
      </w:r>
      <w:r w:rsidR="003F4271">
        <w:rPr>
          <w:sz w:val="20"/>
        </w:rPr>
        <w:t>Fi</w:t>
      </w:r>
      <w:r w:rsidR="003F4271" w:rsidRPr="00D80337">
        <w:rPr>
          <w:sz w:val="20"/>
        </w:rPr>
        <w:t>gure</w:t>
      </w:r>
      <w:r w:rsidR="00E00E47" w:rsidRPr="00D80337">
        <w:rPr>
          <w:sz w:val="20"/>
        </w:rPr>
        <w:t xml:space="preserve"> 1</w:t>
      </w:r>
      <w:r>
        <w:rPr>
          <w:sz w:val="20"/>
        </w:rPr>
        <w:t xml:space="preserve">, </w:t>
      </w:r>
      <w:r w:rsidR="00457697">
        <w:rPr>
          <w:sz w:val="20"/>
        </w:rPr>
        <w:t>which is a</w:t>
      </w:r>
      <w:r>
        <w:rPr>
          <w:sz w:val="20"/>
        </w:rPr>
        <w:t xml:space="preserve"> graph produced by the AER</w:t>
      </w:r>
      <w:r w:rsidR="00420F04">
        <w:rPr>
          <w:sz w:val="20"/>
        </w:rPr>
        <w:t>.</w:t>
      </w:r>
      <w:r w:rsidR="00457697">
        <w:rPr>
          <w:sz w:val="20"/>
        </w:rPr>
        <w:t xml:space="preserve">  APA’s revised proposal of November 2012 would</w:t>
      </w:r>
      <w:r w:rsidR="00F209C7">
        <w:rPr>
          <w:sz w:val="20"/>
        </w:rPr>
        <w:t xml:space="preserve"> have the effect of </w:t>
      </w:r>
      <w:r w:rsidR="005B21C1">
        <w:rPr>
          <w:sz w:val="20"/>
        </w:rPr>
        <w:t>raising</w:t>
      </w:r>
      <w:r w:rsidR="00F209C7">
        <w:rPr>
          <w:sz w:val="20"/>
        </w:rPr>
        <w:t xml:space="preserve"> </w:t>
      </w:r>
      <w:r w:rsidR="00882641">
        <w:rPr>
          <w:sz w:val="20"/>
        </w:rPr>
        <w:t xml:space="preserve">and shifting </w:t>
      </w:r>
      <w:r w:rsidR="00F209C7">
        <w:rPr>
          <w:sz w:val="20"/>
        </w:rPr>
        <w:t>th</w:t>
      </w:r>
      <w:r w:rsidR="005B21C1">
        <w:rPr>
          <w:sz w:val="20"/>
        </w:rPr>
        <w:t>e</w:t>
      </w:r>
      <w:r w:rsidR="00F209C7">
        <w:rPr>
          <w:sz w:val="20"/>
        </w:rPr>
        <w:t xml:space="preserve"> green line which reflects the </w:t>
      </w:r>
      <w:r w:rsidR="00C44F2B">
        <w:rPr>
          <w:sz w:val="20"/>
        </w:rPr>
        <w:t xml:space="preserve">AER’s </w:t>
      </w:r>
      <w:r w:rsidR="00F209C7">
        <w:rPr>
          <w:sz w:val="20"/>
        </w:rPr>
        <w:t>Draft Decision</w:t>
      </w:r>
      <w:r w:rsidR="00CF0B0E">
        <w:rPr>
          <w:sz w:val="20"/>
        </w:rPr>
        <w:t>.</w:t>
      </w:r>
    </w:p>
    <w:p w:rsidR="00882641" w:rsidRDefault="00882641">
      <w:pPr>
        <w:spacing w:before="0" w:after="0"/>
        <w:rPr>
          <w:sz w:val="20"/>
        </w:rPr>
      </w:pPr>
      <w:r>
        <w:rPr>
          <w:sz w:val="20"/>
        </w:rPr>
        <w:br w:type="page"/>
      </w:r>
    </w:p>
    <w:p w:rsidR="00E00E47" w:rsidRDefault="00E00E47" w:rsidP="00E00E47">
      <w:pPr>
        <w:rPr>
          <w:b/>
          <w:bCs/>
          <w:sz w:val="20"/>
        </w:rPr>
      </w:pPr>
      <w:r>
        <w:rPr>
          <w:b/>
          <w:bCs/>
          <w:sz w:val="20"/>
        </w:rPr>
        <w:t>Figure 1</w:t>
      </w:r>
      <w:r w:rsidR="00457697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 Indicative reference tariff paths</w:t>
      </w:r>
    </w:p>
    <w:p w:rsidR="00E00E47" w:rsidRDefault="00E00E47" w:rsidP="00E00E47">
      <w:pPr>
        <w:rPr>
          <w:i/>
          <w:iCs/>
          <w:sz w:val="22"/>
          <w:szCs w:val="22"/>
        </w:rPr>
      </w:pPr>
      <w:r>
        <w:rPr>
          <w:i/>
          <w:iCs/>
          <w:noProof/>
        </w:rPr>
        <w:drawing>
          <wp:inline distT="0" distB="0" distL="0" distR="0">
            <wp:extent cx="3733800" cy="2661930"/>
            <wp:effectExtent l="19050" t="0" r="0" b="0"/>
            <wp:docPr id="7" name="Picture 26" descr="cid:image002.png@01CDD6B4.5F57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id:image002.png@01CDD6B4.5F5733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42" cy="266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8B6" w:rsidRPr="00E90954" w:rsidRDefault="00B168B6" w:rsidP="00B168B6">
      <w:pPr>
        <w:rPr>
          <w:szCs w:val="18"/>
        </w:rPr>
      </w:pPr>
      <w:r w:rsidRPr="00E90954">
        <w:rPr>
          <w:i/>
          <w:iCs/>
          <w:szCs w:val="18"/>
        </w:rPr>
        <w:t>[Source: Access arrangement draft decision APA GasNet Australia (Operations) Pty Ltd, Australian Energy Regulator, September 2012</w:t>
      </w:r>
      <w:r w:rsidRPr="00E90954">
        <w:rPr>
          <w:szCs w:val="18"/>
        </w:rPr>
        <w:t>]</w:t>
      </w:r>
    </w:p>
    <w:p w:rsidR="00CF0B0E" w:rsidRDefault="00CF0B0E" w:rsidP="00CF0B0E">
      <w:pPr>
        <w:spacing w:after="0"/>
        <w:rPr>
          <w:sz w:val="20"/>
        </w:rPr>
      </w:pPr>
    </w:p>
    <w:p w:rsidR="00CF0B0E" w:rsidRDefault="00CF0B0E" w:rsidP="00CF0B0E">
      <w:pPr>
        <w:spacing w:after="0"/>
        <w:rPr>
          <w:sz w:val="20"/>
        </w:rPr>
      </w:pPr>
      <w:r>
        <w:rPr>
          <w:sz w:val="20"/>
        </w:rPr>
        <w:t xml:space="preserve">As we will establish further on in our submission, APA GasNet are requesting sizeable capex for the Gas to Culcairn project, which is claimed to have the additional </w:t>
      </w:r>
      <w:r w:rsidR="003A5745">
        <w:rPr>
          <w:sz w:val="20"/>
        </w:rPr>
        <w:t>benefits</w:t>
      </w:r>
      <w:r>
        <w:rPr>
          <w:sz w:val="20"/>
        </w:rPr>
        <w:t xml:space="preserve"> of system security for Victoria.  AGL will argue that the main benefit appears to be an expansion of the winter export capacity out of </w:t>
      </w:r>
      <w:r w:rsidR="003A5745">
        <w:rPr>
          <w:sz w:val="20"/>
        </w:rPr>
        <w:t>Culcairn</w:t>
      </w:r>
      <w:r>
        <w:rPr>
          <w:sz w:val="20"/>
        </w:rPr>
        <w:t xml:space="preserve"> </w:t>
      </w:r>
      <w:r w:rsidR="003A5745">
        <w:rPr>
          <w:sz w:val="20"/>
        </w:rPr>
        <w:t>into</w:t>
      </w:r>
      <w:r>
        <w:rPr>
          <w:sz w:val="20"/>
        </w:rPr>
        <w:t xml:space="preserve"> NSW</w:t>
      </w:r>
      <w:r w:rsidR="0091708A">
        <w:rPr>
          <w:sz w:val="20"/>
        </w:rPr>
        <w:t xml:space="preserve">. </w:t>
      </w:r>
      <w:r>
        <w:rPr>
          <w:sz w:val="20"/>
        </w:rPr>
        <w:t xml:space="preserve"> </w:t>
      </w:r>
      <w:r w:rsidR="0091708A">
        <w:rPr>
          <w:sz w:val="20"/>
        </w:rPr>
        <w:t xml:space="preserve">We do not agree with </w:t>
      </w:r>
      <w:r>
        <w:rPr>
          <w:sz w:val="20"/>
        </w:rPr>
        <w:t xml:space="preserve">the Victorian </w:t>
      </w:r>
      <w:r w:rsidR="0091708A">
        <w:rPr>
          <w:sz w:val="20"/>
        </w:rPr>
        <w:t xml:space="preserve">gas </w:t>
      </w:r>
      <w:r>
        <w:rPr>
          <w:sz w:val="20"/>
        </w:rPr>
        <w:t xml:space="preserve">customer base </w:t>
      </w:r>
      <w:r w:rsidR="0091708A">
        <w:rPr>
          <w:sz w:val="20"/>
        </w:rPr>
        <w:t>being asked to fund this through higher Victorian transmission tariffs.</w:t>
      </w:r>
    </w:p>
    <w:p w:rsidR="00E90954" w:rsidRDefault="00E90954" w:rsidP="00186930">
      <w:pPr>
        <w:spacing w:before="0" w:after="0"/>
        <w:rPr>
          <w:sz w:val="20"/>
        </w:rPr>
      </w:pPr>
    </w:p>
    <w:p w:rsidR="008000FE" w:rsidRDefault="00186930" w:rsidP="00186930">
      <w:pPr>
        <w:spacing w:before="0" w:after="0"/>
        <w:rPr>
          <w:sz w:val="20"/>
        </w:rPr>
      </w:pPr>
      <w:r w:rsidRPr="00186930">
        <w:rPr>
          <w:sz w:val="20"/>
        </w:rPr>
        <w:t>AGL</w:t>
      </w:r>
      <w:r w:rsidR="00E00E47" w:rsidRPr="00186930">
        <w:rPr>
          <w:sz w:val="20"/>
        </w:rPr>
        <w:t xml:space="preserve"> note</w:t>
      </w:r>
      <w:r w:rsidRPr="00186930">
        <w:rPr>
          <w:sz w:val="20"/>
        </w:rPr>
        <w:t>s</w:t>
      </w:r>
      <w:r w:rsidR="00E00E47" w:rsidRPr="00186930">
        <w:rPr>
          <w:sz w:val="20"/>
        </w:rPr>
        <w:t xml:space="preserve"> that $83.2m of the proposed Capital Expenditure in the APA Revised Proposal for the 2013-2017 period is attributable to the Gas to Culcairn Project</w:t>
      </w:r>
      <w:r w:rsidR="0008564A">
        <w:rPr>
          <w:sz w:val="20"/>
        </w:rPr>
        <w:t>,</w:t>
      </w:r>
      <w:r w:rsidR="00E00E47" w:rsidRPr="00186930">
        <w:rPr>
          <w:sz w:val="20"/>
        </w:rPr>
        <w:t xml:space="preserve"> without transparency of </w:t>
      </w:r>
      <w:r w:rsidR="003F4271" w:rsidRPr="00186930">
        <w:rPr>
          <w:sz w:val="20"/>
        </w:rPr>
        <w:t>its</w:t>
      </w:r>
      <w:r w:rsidR="00E00E47" w:rsidRPr="00186930">
        <w:rPr>
          <w:sz w:val="20"/>
        </w:rPr>
        <w:t xml:space="preserve"> justification or the potential impact </w:t>
      </w:r>
      <w:r w:rsidR="00F209C7">
        <w:rPr>
          <w:sz w:val="20"/>
        </w:rPr>
        <w:t>on</w:t>
      </w:r>
      <w:r w:rsidR="00E00E47" w:rsidRPr="00186930">
        <w:rPr>
          <w:sz w:val="20"/>
        </w:rPr>
        <w:t xml:space="preserve"> reference tariffs.</w:t>
      </w:r>
      <w:r w:rsidR="00CF0B0E">
        <w:rPr>
          <w:sz w:val="20"/>
        </w:rPr>
        <w:t xml:space="preserve">  </w:t>
      </w:r>
      <w:r w:rsidR="00E00E47" w:rsidRPr="00186930">
        <w:rPr>
          <w:sz w:val="20"/>
        </w:rPr>
        <w:t xml:space="preserve">APA’s justification of </w:t>
      </w:r>
      <w:r w:rsidR="00103DA9">
        <w:rPr>
          <w:sz w:val="20"/>
        </w:rPr>
        <w:t>t</w:t>
      </w:r>
      <w:r w:rsidR="00D46686">
        <w:rPr>
          <w:sz w:val="20"/>
        </w:rPr>
        <w:t xml:space="preserve">he </w:t>
      </w:r>
      <w:r w:rsidR="00E00E47" w:rsidRPr="00186930">
        <w:rPr>
          <w:sz w:val="20"/>
        </w:rPr>
        <w:t>Gas to Culcairn Project relies on the criteri</w:t>
      </w:r>
      <w:r w:rsidR="00D50CF2">
        <w:rPr>
          <w:sz w:val="20"/>
        </w:rPr>
        <w:t>on</w:t>
      </w:r>
      <w:r w:rsidR="00E00E47" w:rsidRPr="00186930">
        <w:rPr>
          <w:sz w:val="20"/>
        </w:rPr>
        <w:t xml:space="preserve"> of </w:t>
      </w:r>
      <w:r w:rsidR="00D46686">
        <w:rPr>
          <w:sz w:val="20"/>
        </w:rPr>
        <w:t>r</w:t>
      </w:r>
      <w:r w:rsidR="00E00E47" w:rsidRPr="00186930">
        <w:rPr>
          <w:sz w:val="20"/>
        </w:rPr>
        <w:t>ule 79(2)</w:t>
      </w:r>
      <w:r w:rsidR="00D46686">
        <w:rPr>
          <w:sz w:val="20"/>
        </w:rPr>
        <w:t>(</w:t>
      </w:r>
      <w:r w:rsidR="00E00E47" w:rsidRPr="00186930">
        <w:rPr>
          <w:sz w:val="20"/>
        </w:rPr>
        <w:t>b</w:t>
      </w:r>
      <w:r w:rsidR="00D46686">
        <w:rPr>
          <w:sz w:val="20"/>
        </w:rPr>
        <w:t>),</w:t>
      </w:r>
      <w:r w:rsidR="00E00E47" w:rsidRPr="00186930">
        <w:rPr>
          <w:sz w:val="20"/>
        </w:rPr>
        <w:t xml:space="preserve"> </w:t>
      </w:r>
      <w:r w:rsidR="003A5745">
        <w:rPr>
          <w:sz w:val="20"/>
        </w:rPr>
        <w:t>t</w:t>
      </w:r>
      <w:r w:rsidR="00D46686">
        <w:rPr>
          <w:sz w:val="20"/>
        </w:rPr>
        <w:t xml:space="preserve">hat </w:t>
      </w:r>
      <w:r w:rsidR="00E00E47" w:rsidRPr="00186930">
        <w:rPr>
          <w:sz w:val="20"/>
        </w:rPr>
        <w:t>the project has achieved a positive net present value</w:t>
      </w:r>
      <w:r w:rsidR="00F209C7">
        <w:rPr>
          <w:sz w:val="20"/>
        </w:rPr>
        <w:t xml:space="preserve"> and </w:t>
      </w:r>
      <w:r w:rsidR="00D50CF2">
        <w:rPr>
          <w:sz w:val="20"/>
        </w:rPr>
        <w:t xml:space="preserve">the expenditure </w:t>
      </w:r>
      <w:r w:rsidR="00F209C7">
        <w:rPr>
          <w:sz w:val="20"/>
        </w:rPr>
        <w:t>is thus seen to be</w:t>
      </w:r>
      <w:r w:rsidR="00E00E47" w:rsidRPr="00186930">
        <w:rPr>
          <w:sz w:val="20"/>
        </w:rPr>
        <w:t xml:space="preserve"> conforming for the purpose of its inclusion in the </w:t>
      </w:r>
      <w:r w:rsidR="00F209C7">
        <w:rPr>
          <w:sz w:val="20"/>
        </w:rPr>
        <w:t>Capital Base.</w:t>
      </w:r>
      <w:r w:rsidR="008000FE">
        <w:rPr>
          <w:sz w:val="20"/>
        </w:rPr>
        <w:t xml:space="preserve">  </w:t>
      </w:r>
      <w:r w:rsidR="00E00E47" w:rsidRPr="00186930">
        <w:rPr>
          <w:sz w:val="20"/>
        </w:rPr>
        <w:t xml:space="preserve">The NPV analysis supporting the APA justification of </w:t>
      </w:r>
      <w:r w:rsidR="0008564A" w:rsidRPr="00186930">
        <w:rPr>
          <w:sz w:val="20"/>
        </w:rPr>
        <w:t>the Gas to Culcairn Project</w:t>
      </w:r>
      <w:r w:rsidR="00E00E47" w:rsidRPr="00186930">
        <w:rPr>
          <w:sz w:val="20"/>
        </w:rPr>
        <w:t xml:space="preserve"> has not </w:t>
      </w:r>
      <w:r w:rsidR="00D46686">
        <w:rPr>
          <w:sz w:val="20"/>
        </w:rPr>
        <w:t xml:space="preserve">been made </w:t>
      </w:r>
      <w:r w:rsidR="0008564A" w:rsidRPr="00186930">
        <w:rPr>
          <w:sz w:val="20"/>
        </w:rPr>
        <w:t xml:space="preserve">publicly </w:t>
      </w:r>
      <w:r w:rsidR="00E00E47" w:rsidRPr="00186930">
        <w:rPr>
          <w:sz w:val="20"/>
        </w:rPr>
        <w:t>available.</w:t>
      </w:r>
      <w:r w:rsidR="00F209C7">
        <w:rPr>
          <w:sz w:val="20"/>
        </w:rPr>
        <w:t xml:space="preserve">  </w:t>
      </w:r>
      <w:r w:rsidR="00E00E47" w:rsidRPr="00186930">
        <w:rPr>
          <w:sz w:val="20"/>
        </w:rPr>
        <w:t xml:space="preserve">Further it is noted that </w:t>
      </w:r>
      <w:r w:rsidRPr="00186930">
        <w:rPr>
          <w:sz w:val="20"/>
        </w:rPr>
        <w:t>r</w:t>
      </w:r>
      <w:r w:rsidR="00E00E47" w:rsidRPr="00186930">
        <w:rPr>
          <w:sz w:val="20"/>
        </w:rPr>
        <w:t xml:space="preserve">ule 79(2)(b) requires the </w:t>
      </w:r>
      <w:r w:rsidR="00D46686">
        <w:rPr>
          <w:sz w:val="20"/>
        </w:rPr>
        <w:t xml:space="preserve">net </w:t>
      </w:r>
      <w:r w:rsidR="00E00E47" w:rsidRPr="00186930">
        <w:rPr>
          <w:sz w:val="20"/>
        </w:rPr>
        <w:t xml:space="preserve">present value of the </w:t>
      </w:r>
      <w:r w:rsidR="00D46686">
        <w:rPr>
          <w:sz w:val="20"/>
        </w:rPr>
        <w:t xml:space="preserve">project to be positive, i.e. that the present value of the </w:t>
      </w:r>
      <w:r w:rsidR="00E00E47" w:rsidRPr="00186930">
        <w:rPr>
          <w:sz w:val="20"/>
          <w:u w:val="single"/>
        </w:rPr>
        <w:t>incremental revenue</w:t>
      </w:r>
      <w:r w:rsidR="00E00E47" w:rsidRPr="00186930">
        <w:rPr>
          <w:sz w:val="20"/>
        </w:rPr>
        <w:t xml:space="preserve"> generated </w:t>
      </w:r>
      <w:r w:rsidR="00D46686">
        <w:rPr>
          <w:sz w:val="20"/>
        </w:rPr>
        <w:t xml:space="preserve">exceeds the present value of </w:t>
      </w:r>
      <w:r w:rsidR="00103DA9">
        <w:rPr>
          <w:sz w:val="20"/>
        </w:rPr>
        <w:t>the</w:t>
      </w:r>
      <w:r w:rsidR="005F3D0A">
        <w:rPr>
          <w:sz w:val="20"/>
        </w:rPr>
        <w:t xml:space="preserve"> capital expenditure.</w:t>
      </w:r>
    </w:p>
    <w:p w:rsidR="008000FE" w:rsidRDefault="008000FE" w:rsidP="00186930">
      <w:pPr>
        <w:spacing w:before="0" w:after="0"/>
        <w:rPr>
          <w:sz w:val="20"/>
        </w:rPr>
      </w:pPr>
    </w:p>
    <w:p w:rsidR="00E00E47" w:rsidRPr="00186930" w:rsidRDefault="008000FE" w:rsidP="00186930">
      <w:pPr>
        <w:spacing w:before="0" w:after="0"/>
        <w:rPr>
          <w:sz w:val="20"/>
        </w:rPr>
      </w:pPr>
      <w:r>
        <w:rPr>
          <w:sz w:val="20"/>
        </w:rPr>
        <w:t>In AGL’s view, t</w:t>
      </w:r>
      <w:r w:rsidR="00E00E47" w:rsidRPr="00186930">
        <w:rPr>
          <w:sz w:val="20"/>
        </w:rPr>
        <w:t xml:space="preserve">he capital expenditure </w:t>
      </w:r>
      <w:r w:rsidR="00D46686">
        <w:rPr>
          <w:sz w:val="20"/>
        </w:rPr>
        <w:t xml:space="preserve">of </w:t>
      </w:r>
      <w:r w:rsidR="00E00E47" w:rsidRPr="00186930">
        <w:rPr>
          <w:sz w:val="20"/>
        </w:rPr>
        <w:t xml:space="preserve">this project should </w:t>
      </w:r>
      <w:r w:rsidRPr="00186930">
        <w:rPr>
          <w:sz w:val="20"/>
        </w:rPr>
        <w:t xml:space="preserve">therefore </w:t>
      </w:r>
      <w:r w:rsidR="00E00E47" w:rsidRPr="00186930">
        <w:rPr>
          <w:sz w:val="20"/>
        </w:rPr>
        <w:t xml:space="preserve">be justified without change to the base reference tariff incurred by network users and only where this investment results in incremental gas flows. </w:t>
      </w:r>
      <w:r>
        <w:rPr>
          <w:sz w:val="20"/>
        </w:rPr>
        <w:t xml:space="preserve"> </w:t>
      </w:r>
      <w:r w:rsidR="00E00E47" w:rsidRPr="00186930">
        <w:rPr>
          <w:sz w:val="20"/>
        </w:rPr>
        <w:t xml:space="preserve">It is difficult to see </w:t>
      </w:r>
      <w:r w:rsidR="00103DA9">
        <w:rPr>
          <w:sz w:val="20"/>
        </w:rPr>
        <w:t xml:space="preserve">what </w:t>
      </w:r>
      <w:r w:rsidR="00E00E47" w:rsidRPr="00186930">
        <w:rPr>
          <w:sz w:val="20"/>
        </w:rPr>
        <w:t>substantial increment</w:t>
      </w:r>
      <w:r w:rsidR="00D50CF2">
        <w:rPr>
          <w:sz w:val="20"/>
        </w:rPr>
        <w:t>al revenues are generated by the Gas to Culcairn</w:t>
      </w:r>
      <w:r w:rsidR="00E00E47" w:rsidRPr="00186930">
        <w:rPr>
          <w:sz w:val="20"/>
        </w:rPr>
        <w:t xml:space="preserve"> Project that are not already deliverable through greater utilisation of the existing network. </w:t>
      </w:r>
      <w:r w:rsidR="00D46686">
        <w:rPr>
          <w:sz w:val="20"/>
        </w:rPr>
        <w:t xml:space="preserve"> </w:t>
      </w:r>
      <w:r w:rsidR="00103DA9">
        <w:rPr>
          <w:sz w:val="20"/>
        </w:rPr>
        <w:t>AGL notes</w:t>
      </w:r>
      <w:r w:rsidR="00E00E47" w:rsidRPr="00186930">
        <w:rPr>
          <w:sz w:val="20"/>
        </w:rPr>
        <w:t xml:space="preserve"> that the Victorian Gas System demand has not increased materially across the previous 5-year reset period (2008-2012) and </w:t>
      </w:r>
      <w:r w:rsidR="00103DA9">
        <w:rPr>
          <w:sz w:val="20"/>
        </w:rPr>
        <w:t xml:space="preserve">that </w:t>
      </w:r>
      <w:r w:rsidR="00E00E47" w:rsidRPr="00186930">
        <w:rPr>
          <w:sz w:val="20"/>
        </w:rPr>
        <w:t xml:space="preserve">the system has displayed sufficient adequacy from both </w:t>
      </w:r>
      <w:r w:rsidR="003F4271" w:rsidRPr="00186930">
        <w:rPr>
          <w:sz w:val="20"/>
        </w:rPr>
        <w:t>an</w:t>
      </w:r>
      <w:r w:rsidR="00E00E47" w:rsidRPr="00186930">
        <w:rPr>
          <w:sz w:val="20"/>
        </w:rPr>
        <w:t xml:space="preserve"> energy and capacity perspective (see </w:t>
      </w:r>
      <w:r w:rsidR="0008564A">
        <w:rPr>
          <w:sz w:val="20"/>
        </w:rPr>
        <w:t xml:space="preserve">our </w:t>
      </w:r>
      <w:r w:rsidR="00B31075">
        <w:rPr>
          <w:sz w:val="20"/>
        </w:rPr>
        <w:t>A</w:t>
      </w:r>
      <w:r w:rsidR="00B31075" w:rsidRPr="00186930">
        <w:rPr>
          <w:sz w:val="20"/>
        </w:rPr>
        <w:t>ttachment</w:t>
      </w:r>
      <w:r w:rsidR="00E00E47" w:rsidRPr="00186930">
        <w:rPr>
          <w:sz w:val="20"/>
        </w:rPr>
        <w:t xml:space="preserve"> 2 for extracts from </w:t>
      </w:r>
      <w:r>
        <w:rPr>
          <w:sz w:val="20"/>
        </w:rPr>
        <w:t xml:space="preserve">AEMO’s </w:t>
      </w:r>
      <w:r w:rsidR="00E00E47" w:rsidRPr="00186930">
        <w:rPr>
          <w:sz w:val="20"/>
        </w:rPr>
        <w:t>2012 Victorian Annual Planning Report</w:t>
      </w:r>
      <w:r w:rsidR="00D50CF2">
        <w:rPr>
          <w:sz w:val="20"/>
        </w:rPr>
        <w:t xml:space="preserve"> which support our observations</w:t>
      </w:r>
      <w:r w:rsidR="008933A3">
        <w:rPr>
          <w:sz w:val="20"/>
        </w:rPr>
        <w:t xml:space="preserve"> that there is no pipeline constraint within Victoria</w:t>
      </w:r>
      <w:r w:rsidR="00E00E47" w:rsidRPr="00186930">
        <w:rPr>
          <w:sz w:val="20"/>
        </w:rPr>
        <w:t>).</w:t>
      </w:r>
    </w:p>
    <w:p w:rsidR="00186930" w:rsidRPr="00186930" w:rsidRDefault="00186930" w:rsidP="00186930">
      <w:pPr>
        <w:spacing w:before="0" w:after="0"/>
        <w:rPr>
          <w:sz w:val="20"/>
        </w:rPr>
      </w:pPr>
    </w:p>
    <w:p w:rsidR="008933A3" w:rsidRDefault="00E00E47" w:rsidP="00186930">
      <w:pPr>
        <w:spacing w:before="0" w:after="0"/>
        <w:rPr>
          <w:sz w:val="20"/>
        </w:rPr>
      </w:pPr>
      <w:r w:rsidRPr="00186930">
        <w:rPr>
          <w:sz w:val="20"/>
        </w:rPr>
        <w:t xml:space="preserve">The proposed extensions </w:t>
      </w:r>
      <w:r w:rsidR="00D50CF2">
        <w:rPr>
          <w:sz w:val="20"/>
        </w:rPr>
        <w:t>and augmentations wh</w:t>
      </w:r>
      <w:r w:rsidR="008000FE">
        <w:rPr>
          <w:sz w:val="20"/>
        </w:rPr>
        <w:t>ich</w:t>
      </w:r>
      <w:r w:rsidR="00D50CF2">
        <w:rPr>
          <w:sz w:val="20"/>
        </w:rPr>
        <w:t xml:space="preserve"> comprise </w:t>
      </w:r>
      <w:r w:rsidRPr="00186930">
        <w:rPr>
          <w:sz w:val="20"/>
        </w:rPr>
        <w:t>the Gas to Culcairn Project only extend the operating envelop</w:t>
      </w:r>
      <w:r w:rsidR="001761D6">
        <w:rPr>
          <w:sz w:val="20"/>
        </w:rPr>
        <w:t>e</w:t>
      </w:r>
      <w:r w:rsidRPr="00186930">
        <w:rPr>
          <w:sz w:val="20"/>
        </w:rPr>
        <w:t xml:space="preserve"> on the South West Pipeline during peak system demand periods. </w:t>
      </w:r>
      <w:r w:rsidR="001761D6">
        <w:rPr>
          <w:sz w:val="20"/>
        </w:rPr>
        <w:t xml:space="preserve"> </w:t>
      </w:r>
      <w:r w:rsidRPr="00186930">
        <w:rPr>
          <w:sz w:val="20"/>
        </w:rPr>
        <w:t xml:space="preserve">As displayed in Attachment 3, </w:t>
      </w:r>
      <w:r w:rsidR="005A3CF1">
        <w:rPr>
          <w:sz w:val="20"/>
        </w:rPr>
        <w:t xml:space="preserve">the graphs that </w:t>
      </w:r>
      <w:r w:rsidR="008933A3">
        <w:rPr>
          <w:sz w:val="20"/>
        </w:rPr>
        <w:t>AGL has</w:t>
      </w:r>
      <w:r w:rsidR="005A3CF1">
        <w:rPr>
          <w:sz w:val="20"/>
        </w:rPr>
        <w:t xml:space="preserve"> generated from publicly available Gas Bulletin Board data show </w:t>
      </w:r>
      <w:r w:rsidRPr="00186930">
        <w:rPr>
          <w:sz w:val="20"/>
        </w:rPr>
        <w:t xml:space="preserve">the SWP has only exceeded 320TJ/d of </w:t>
      </w:r>
      <w:r w:rsidR="00D50CF2">
        <w:rPr>
          <w:sz w:val="20"/>
        </w:rPr>
        <w:t>gas flows</w:t>
      </w:r>
      <w:r w:rsidRPr="00186930">
        <w:rPr>
          <w:sz w:val="20"/>
        </w:rPr>
        <w:t xml:space="preserve"> for less than 1% of the time between 2008-2012</w:t>
      </w:r>
      <w:r w:rsidR="004A6401">
        <w:rPr>
          <w:sz w:val="20"/>
        </w:rPr>
        <w:t xml:space="preserve"> — and </w:t>
      </w:r>
      <w:r w:rsidR="00C44F2B">
        <w:rPr>
          <w:sz w:val="20"/>
        </w:rPr>
        <w:t xml:space="preserve">it needs to be remembered that </w:t>
      </w:r>
      <w:r w:rsidR="004A6401">
        <w:rPr>
          <w:sz w:val="20"/>
        </w:rPr>
        <w:t>the official capacity of SWP is 353TJ</w:t>
      </w:r>
      <w:r w:rsidRPr="00186930">
        <w:rPr>
          <w:sz w:val="20"/>
        </w:rPr>
        <w:t xml:space="preserve">. </w:t>
      </w:r>
      <w:r w:rsidR="00D50CF2">
        <w:rPr>
          <w:sz w:val="20"/>
        </w:rPr>
        <w:t xml:space="preserve"> </w:t>
      </w:r>
      <w:r w:rsidRPr="00186930">
        <w:rPr>
          <w:sz w:val="20"/>
        </w:rPr>
        <w:t>Even though there has not been material demand grow</w:t>
      </w:r>
      <w:r w:rsidR="00D46686">
        <w:rPr>
          <w:sz w:val="20"/>
        </w:rPr>
        <w:t xml:space="preserve">th </w:t>
      </w:r>
      <w:r w:rsidR="00775C70">
        <w:rPr>
          <w:sz w:val="20"/>
        </w:rPr>
        <w:t>or</w:t>
      </w:r>
      <w:r w:rsidR="00D46686">
        <w:rPr>
          <w:sz w:val="20"/>
        </w:rPr>
        <w:t xml:space="preserve"> full network utilisation, </w:t>
      </w:r>
      <w:r w:rsidRPr="00186930">
        <w:rPr>
          <w:sz w:val="20"/>
        </w:rPr>
        <w:t xml:space="preserve">APA has proposed to extend this network by 61TJ/d on the basis that there is a positive NPV. </w:t>
      </w:r>
      <w:r w:rsidR="00D46686">
        <w:rPr>
          <w:sz w:val="20"/>
        </w:rPr>
        <w:t xml:space="preserve"> </w:t>
      </w:r>
      <w:r w:rsidR="00E90954">
        <w:rPr>
          <w:sz w:val="20"/>
        </w:rPr>
        <w:t>It</w:t>
      </w:r>
      <w:r w:rsidRPr="00186930">
        <w:rPr>
          <w:sz w:val="20"/>
        </w:rPr>
        <w:t xml:space="preserve"> is difficult to see how a positive NPV is possible on either </w:t>
      </w:r>
      <w:r w:rsidR="00B168B6" w:rsidRPr="00186930">
        <w:rPr>
          <w:sz w:val="20"/>
        </w:rPr>
        <w:t>an</w:t>
      </w:r>
      <w:r w:rsidR="008933A3">
        <w:rPr>
          <w:sz w:val="20"/>
        </w:rPr>
        <w:t xml:space="preserve"> energy or capacity basis, given that the expansion is likely to be used less that 1% of the time.  </w:t>
      </w:r>
    </w:p>
    <w:p w:rsidR="008933A3" w:rsidRDefault="008933A3" w:rsidP="00186930">
      <w:pPr>
        <w:spacing w:before="0" w:after="0"/>
        <w:rPr>
          <w:sz w:val="20"/>
        </w:rPr>
      </w:pPr>
    </w:p>
    <w:p w:rsidR="00E00E47" w:rsidRPr="00186930" w:rsidRDefault="008933A3" w:rsidP="00186930">
      <w:pPr>
        <w:spacing w:before="0" w:after="0"/>
        <w:rPr>
          <w:sz w:val="20"/>
        </w:rPr>
      </w:pPr>
      <w:r>
        <w:rPr>
          <w:sz w:val="20"/>
        </w:rPr>
        <w:t>What is also relevant in this cont</w:t>
      </w:r>
      <w:r w:rsidR="00045991">
        <w:rPr>
          <w:sz w:val="20"/>
        </w:rPr>
        <w:t xml:space="preserve">ext is the </w:t>
      </w:r>
      <w:r>
        <w:rPr>
          <w:sz w:val="20"/>
        </w:rPr>
        <w:t xml:space="preserve">discussion currently taking place at the GWCF, the AEMO-run consultative forum for the Victorian wholesale gas market, to introduce </w:t>
      </w:r>
      <w:r w:rsidR="00045991">
        <w:rPr>
          <w:sz w:val="20"/>
        </w:rPr>
        <w:t>Portfolio Trading Rights (“</w:t>
      </w:r>
      <w:r w:rsidR="00045991" w:rsidRPr="00045991">
        <w:rPr>
          <w:b/>
          <w:sz w:val="20"/>
        </w:rPr>
        <w:t>PRT</w:t>
      </w:r>
      <w:r w:rsidR="00045991">
        <w:rPr>
          <w:sz w:val="20"/>
        </w:rPr>
        <w:t xml:space="preserve">”) into the market.  PRT will allow the assignment of rights associated with AMDQ or AMDQ CC from one market participant to another for some specified period of time.  A recent review of the </w:t>
      </w:r>
      <w:r w:rsidR="003A5745">
        <w:rPr>
          <w:sz w:val="20"/>
        </w:rPr>
        <w:t>transmission</w:t>
      </w:r>
      <w:r w:rsidR="00045991">
        <w:rPr>
          <w:sz w:val="20"/>
        </w:rPr>
        <w:t xml:space="preserve"> arrangements by a sub-working group of the GWCF recommended such a facility </w:t>
      </w:r>
      <w:r w:rsidR="000F0539">
        <w:rPr>
          <w:sz w:val="20"/>
        </w:rPr>
        <w:t xml:space="preserve">on the grounds that it </w:t>
      </w:r>
      <w:r w:rsidR="00045991">
        <w:rPr>
          <w:sz w:val="20"/>
        </w:rPr>
        <w:t xml:space="preserve">might encourage fuller utilisation of the Longford to </w:t>
      </w:r>
      <w:r w:rsidR="003A5745">
        <w:rPr>
          <w:sz w:val="20"/>
        </w:rPr>
        <w:t>Dandenong</w:t>
      </w:r>
      <w:r w:rsidR="00045991">
        <w:rPr>
          <w:sz w:val="20"/>
        </w:rPr>
        <w:t xml:space="preserve"> Pipeline (up to a level of 990TJ per day, </w:t>
      </w:r>
      <w:r w:rsidR="00914708">
        <w:rPr>
          <w:sz w:val="20"/>
        </w:rPr>
        <w:t xml:space="preserve">which is the </w:t>
      </w:r>
      <w:r w:rsidR="003A5745">
        <w:rPr>
          <w:sz w:val="20"/>
        </w:rPr>
        <w:t>sum</w:t>
      </w:r>
      <w:r w:rsidR="00914708">
        <w:rPr>
          <w:sz w:val="20"/>
        </w:rPr>
        <w:t xml:space="preserve"> of Tariff V and D AMDQ) </w:t>
      </w:r>
      <w:r w:rsidR="00045991">
        <w:rPr>
          <w:sz w:val="20"/>
        </w:rPr>
        <w:t xml:space="preserve">as well </w:t>
      </w:r>
      <w:r w:rsidR="004A6401">
        <w:rPr>
          <w:sz w:val="20"/>
        </w:rPr>
        <w:t xml:space="preserve">as </w:t>
      </w:r>
      <w:r w:rsidR="00914708">
        <w:rPr>
          <w:sz w:val="20"/>
        </w:rPr>
        <w:t>efficiencies at other injection points</w:t>
      </w:r>
      <w:r w:rsidR="00045991">
        <w:rPr>
          <w:sz w:val="20"/>
        </w:rPr>
        <w:t>.</w:t>
      </w:r>
    </w:p>
    <w:p w:rsidR="00954A1E" w:rsidRDefault="00954A1E" w:rsidP="00954A1E">
      <w:pPr>
        <w:spacing w:before="0" w:after="0"/>
      </w:pPr>
    </w:p>
    <w:p w:rsidR="00954A1E" w:rsidRDefault="001761D6" w:rsidP="00954A1E">
      <w:pPr>
        <w:spacing w:before="0" w:after="0"/>
        <w:rPr>
          <w:sz w:val="20"/>
        </w:rPr>
      </w:pPr>
      <w:r w:rsidRPr="001761D6">
        <w:rPr>
          <w:sz w:val="20"/>
        </w:rPr>
        <w:t>A further point to note is that the existing fields in the Otway Basin have finite lives, as shown below in a table that sets out 2P reserves and contrasts that with present production levels</w:t>
      </w:r>
      <w:r w:rsidR="00E90954">
        <w:rPr>
          <w:sz w:val="20"/>
        </w:rPr>
        <w:t xml:space="preserve"> to derive remaining lives</w:t>
      </w:r>
      <w:r w:rsidRPr="001761D6">
        <w:rPr>
          <w:sz w:val="20"/>
        </w:rPr>
        <w:t xml:space="preserve">.  Whilst this is a rough </w:t>
      </w:r>
      <w:r w:rsidR="00D50CF2">
        <w:rPr>
          <w:sz w:val="20"/>
        </w:rPr>
        <w:t xml:space="preserve">and crude </w:t>
      </w:r>
      <w:r w:rsidRPr="001761D6">
        <w:rPr>
          <w:sz w:val="20"/>
        </w:rPr>
        <w:t xml:space="preserve">guide, the outlook </w:t>
      </w:r>
      <w:r w:rsidR="008000FE">
        <w:rPr>
          <w:sz w:val="20"/>
        </w:rPr>
        <w:t xml:space="preserve">on economic life </w:t>
      </w:r>
      <w:r w:rsidRPr="001761D6">
        <w:rPr>
          <w:sz w:val="20"/>
        </w:rPr>
        <w:t xml:space="preserve">that emerges from </w:t>
      </w:r>
      <w:r w:rsidR="00E90954">
        <w:rPr>
          <w:sz w:val="20"/>
        </w:rPr>
        <w:t>this analysis</w:t>
      </w:r>
      <w:r w:rsidRPr="001761D6">
        <w:rPr>
          <w:sz w:val="20"/>
        </w:rPr>
        <w:t xml:space="preserve"> is not one that would support any upgrade to the South West Pipeline.  </w:t>
      </w:r>
      <w:r w:rsidR="0091708A">
        <w:rPr>
          <w:sz w:val="20"/>
        </w:rPr>
        <w:t xml:space="preserve">Assets that </w:t>
      </w:r>
      <w:r w:rsidR="003A5745">
        <w:rPr>
          <w:sz w:val="20"/>
        </w:rPr>
        <w:t>would</w:t>
      </w:r>
      <w:r w:rsidR="0091708A">
        <w:rPr>
          <w:sz w:val="20"/>
        </w:rPr>
        <w:t xml:space="preserve"> feature in an augmentation would have a minimum life of 30 years for compressors and 50+ years in the case of cathodically protected coated steel piping.</w:t>
      </w:r>
    </w:p>
    <w:p w:rsidR="00184BE7" w:rsidRPr="001761D6" w:rsidRDefault="00184BE7" w:rsidP="00954A1E">
      <w:pPr>
        <w:spacing w:before="0" w:after="0"/>
        <w:rPr>
          <w:sz w:val="20"/>
        </w:rPr>
      </w:pPr>
    </w:p>
    <w:p w:rsidR="00954A1E" w:rsidRPr="00E90954" w:rsidRDefault="00184BE7" w:rsidP="00954A1E">
      <w:pPr>
        <w:rPr>
          <w:b/>
          <w:iCs/>
          <w:sz w:val="20"/>
        </w:rPr>
      </w:pPr>
      <w:r w:rsidRPr="00E90954">
        <w:rPr>
          <w:b/>
          <w:iCs/>
          <w:sz w:val="20"/>
        </w:rPr>
        <w:t>Table 2</w:t>
      </w:r>
      <w:r w:rsidR="00457697">
        <w:rPr>
          <w:b/>
          <w:iCs/>
          <w:sz w:val="20"/>
        </w:rPr>
        <w:t>.</w:t>
      </w:r>
      <w:r w:rsidRPr="00E90954">
        <w:rPr>
          <w:b/>
          <w:iCs/>
          <w:sz w:val="20"/>
        </w:rPr>
        <w:t xml:space="preserve"> - </w:t>
      </w:r>
      <w:r w:rsidR="005A3CF1">
        <w:rPr>
          <w:b/>
          <w:iCs/>
          <w:sz w:val="20"/>
        </w:rPr>
        <w:t xml:space="preserve">Projected </w:t>
      </w:r>
      <w:r w:rsidRPr="00E90954">
        <w:rPr>
          <w:b/>
          <w:iCs/>
          <w:sz w:val="20"/>
        </w:rPr>
        <w:t>Remaining Life of Otway Basin</w:t>
      </w:r>
    </w:p>
    <w:tbl>
      <w:tblPr>
        <w:tblW w:w="8321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743"/>
        <w:gridCol w:w="2381"/>
        <w:gridCol w:w="1746"/>
        <w:gridCol w:w="2101"/>
        <w:gridCol w:w="152"/>
        <w:gridCol w:w="1198"/>
      </w:tblGrid>
      <w:tr w:rsidR="00954A1E" w:rsidRPr="00E90954" w:rsidTr="00244F44">
        <w:trPr>
          <w:gridBefore w:val="1"/>
          <w:wBefore w:w="743" w:type="dxa"/>
          <w:trHeight w:val="364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1E" w:rsidRPr="00E90954" w:rsidRDefault="00954A1E" w:rsidP="005A3CF1">
            <w:pPr>
              <w:spacing w:before="0" w:after="0"/>
              <w:rPr>
                <w:szCs w:val="18"/>
                <w:lang w:val="en-US" w:eastAsia="en-US"/>
              </w:rPr>
            </w:pPr>
            <w:r w:rsidRPr="00E90954">
              <w:rPr>
                <w:b/>
                <w:bCs/>
                <w:color w:val="000000"/>
                <w:szCs w:val="18"/>
                <w:lang w:val="en-US" w:eastAsia="en-US"/>
              </w:rPr>
              <w:t>Field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1E" w:rsidRPr="00E90954" w:rsidRDefault="00954A1E" w:rsidP="005A3CF1">
            <w:pPr>
              <w:spacing w:before="0" w:after="0"/>
              <w:rPr>
                <w:szCs w:val="18"/>
                <w:lang w:val="en-US" w:eastAsia="en-US"/>
              </w:rPr>
            </w:pPr>
            <w:r w:rsidRPr="00E90954">
              <w:rPr>
                <w:b/>
                <w:bCs/>
                <w:color w:val="000000"/>
                <w:szCs w:val="18"/>
                <w:lang w:val="en-US" w:eastAsia="en-US"/>
              </w:rPr>
              <w:t xml:space="preserve">2P Reserves in PJ (Nov 12) 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1E" w:rsidRPr="00E90954" w:rsidRDefault="00954A1E" w:rsidP="005A3CF1">
            <w:pPr>
              <w:spacing w:before="0" w:after="0"/>
              <w:rPr>
                <w:szCs w:val="18"/>
                <w:lang w:val="en-US" w:eastAsia="en-US"/>
              </w:rPr>
            </w:pPr>
            <w:r w:rsidRPr="00E90954">
              <w:rPr>
                <w:b/>
                <w:bCs/>
                <w:color w:val="000000"/>
                <w:szCs w:val="18"/>
                <w:lang w:val="en-US" w:eastAsia="en-US"/>
              </w:rPr>
              <w:t>Annual Production (PJ)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1E" w:rsidRPr="00E90954" w:rsidRDefault="00954A1E" w:rsidP="005A3CF1">
            <w:pPr>
              <w:spacing w:before="0" w:after="0"/>
              <w:rPr>
                <w:szCs w:val="18"/>
                <w:lang w:val="en-US" w:eastAsia="en-US"/>
              </w:rPr>
            </w:pPr>
            <w:r w:rsidRPr="00E90954">
              <w:rPr>
                <w:b/>
                <w:bCs/>
                <w:color w:val="000000"/>
                <w:szCs w:val="18"/>
                <w:lang w:val="en-US" w:eastAsia="en-US"/>
              </w:rPr>
              <w:t>Years to End of Life</w:t>
            </w:r>
          </w:p>
        </w:tc>
      </w:tr>
      <w:tr w:rsidR="00954A1E" w:rsidRPr="00E90954" w:rsidTr="00244F44">
        <w:trPr>
          <w:gridBefore w:val="1"/>
          <w:wBefore w:w="743" w:type="dxa"/>
          <w:trHeight w:val="12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rPr>
                <w:szCs w:val="18"/>
                <w:lang w:val="en-US" w:eastAsia="en-US"/>
              </w:rPr>
            </w:pPr>
            <w:r w:rsidRPr="00E90954">
              <w:rPr>
                <w:rFonts w:cs="Arial"/>
                <w:color w:val="000000"/>
                <w:szCs w:val="18"/>
                <w:lang w:val="en-US" w:eastAsia="en-US"/>
              </w:rPr>
              <w:t>Thylacine/Geog</w:t>
            </w:r>
            <w:r w:rsidR="001761D6" w:rsidRPr="00E90954">
              <w:rPr>
                <w:rFonts w:cs="Arial"/>
                <w:color w:val="000000"/>
                <w:szCs w:val="18"/>
                <w:lang w:val="en-US" w:eastAsia="en-US"/>
              </w:rPr>
              <w:t>raphe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467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48.6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9.6</w:t>
            </w:r>
          </w:p>
        </w:tc>
      </w:tr>
      <w:tr w:rsidR="00954A1E" w:rsidRPr="00E90954" w:rsidTr="00244F44">
        <w:trPr>
          <w:gridBefore w:val="1"/>
          <w:wBefore w:w="743" w:type="dxa"/>
          <w:trHeight w:val="12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rPr>
                <w:szCs w:val="18"/>
                <w:lang w:val="en-US" w:eastAsia="en-US"/>
              </w:rPr>
            </w:pPr>
            <w:r w:rsidRPr="00E90954">
              <w:rPr>
                <w:rFonts w:cs="Arial"/>
                <w:color w:val="000000"/>
                <w:szCs w:val="18"/>
                <w:lang w:val="en-US" w:eastAsia="en-US"/>
              </w:rPr>
              <w:t>Minerva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143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23.8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6.0</w:t>
            </w:r>
          </w:p>
        </w:tc>
      </w:tr>
      <w:tr w:rsidR="00954A1E" w:rsidRPr="00E90954" w:rsidTr="00244F44">
        <w:trPr>
          <w:gridBefore w:val="1"/>
          <w:wBefore w:w="743" w:type="dxa"/>
          <w:trHeight w:val="12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rPr>
                <w:szCs w:val="18"/>
                <w:lang w:val="en-US" w:eastAsia="en-US"/>
              </w:rPr>
            </w:pPr>
            <w:r w:rsidRPr="00E90954">
              <w:rPr>
                <w:rFonts w:cs="Arial"/>
                <w:color w:val="000000"/>
                <w:szCs w:val="18"/>
                <w:lang w:val="en-US" w:eastAsia="en-US"/>
              </w:rPr>
              <w:t>Casino*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221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32</w:t>
            </w:r>
            <w:r w:rsidR="005A3CF1">
              <w:rPr>
                <w:color w:val="000000"/>
                <w:szCs w:val="18"/>
                <w:lang w:val="en-US" w:eastAsia="en-US"/>
              </w:rPr>
              <w:t>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E90954" w:rsidRDefault="00954A1E" w:rsidP="00FD7DC8">
            <w:pPr>
              <w:spacing w:before="0" w:after="0" w:line="126" w:lineRule="atLeast"/>
              <w:jc w:val="right"/>
              <w:rPr>
                <w:szCs w:val="18"/>
                <w:lang w:val="en-US" w:eastAsia="en-US"/>
              </w:rPr>
            </w:pPr>
            <w:r w:rsidRPr="00E90954">
              <w:rPr>
                <w:color w:val="000000"/>
                <w:szCs w:val="18"/>
                <w:lang w:val="en-US" w:eastAsia="en-US"/>
              </w:rPr>
              <w:t>6.9</w:t>
            </w:r>
          </w:p>
        </w:tc>
      </w:tr>
      <w:tr w:rsidR="00954A1E" w:rsidRPr="00873761" w:rsidTr="00244F44">
        <w:trPr>
          <w:gridAfter w:val="1"/>
          <w:wAfter w:w="1198" w:type="dxa"/>
          <w:trHeight w:val="119"/>
        </w:trPr>
        <w:tc>
          <w:tcPr>
            <w:tcW w:w="712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4A1E" w:rsidRPr="00873761" w:rsidRDefault="00954A1E" w:rsidP="00FD7DC8">
            <w:pPr>
              <w:spacing w:before="0" w:after="0"/>
              <w:rPr>
                <w:rFonts w:ascii="Times New Roman" w:hAnsi="Times New Roman"/>
                <w:sz w:val="12"/>
                <w:szCs w:val="24"/>
                <w:lang w:val="en-US" w:eastAsia="en-US"/>
              </w:rPr>
            </w:pPr>
          </w:p>
        </w:tc>
      </w:tr>
    </w:tbl>
    <w:p w:rsidR="00954A1E" w:rsidRPr="00E90954" w:rsidRDefault="00954A1E" w:rsidP="00954A1E">
      <w:pPr>
        <w:spacing w:before="0" w:after="0"/>
        <w:rPr>
          <w:sz w:val="16"/>
          <w:szCs w:val="16"/>
          <w:lang w:val="en-US" w:eastAsia="en-US"/>
        </w:rPr>
      </w:pPr>
      <w:r w:rsidRPr="00E90954">
        <w:rPr>
          <w:rFonts w:cs="Arial"/>
          <w:color w:val="000000"/>
          <w:sz w:val="16"/>
          <w:szCs w:val="16"/>
          <w:lang w:val="en-US" w:eastAsia="en-US"/>
        </w:rPr>
        <w:t>*Henry Field (163PJ 2P Reserves) production tied into Casino as p</w:t>
      </w:r>
      <w:r w:rsidR="00103DA9" w:rsidRPr="00E90954">
        <w:rPr>
          <w:rFonts w:cs="Arial"/>
          <w:color w:val="000000"/>
          <w:sz w:val="16"/>
          <w:szCs w:val="16"/>
          <w:lang w:val="en-US" w:eastAsia="en-US"/>
        </w:rPr>
        <w:t xml:space="preserve">er Santos statement on 26th February </w:t>
      </w:r>
      <w:r w:rsidRPr="00E90954">
        <w:rPr>
          <w:rFonts w:cs="Arial"/>
          <w:color w:val="000000"/>
          <w:sz w:val="16"/>
          <w:szCs w:val="16"/>
          <w:lang w:val="en-US" w:eastAsia="en-US"/>
        </w:rPr>
        <w:t>2010.</w:t>
      </w:r>
    </w:p>
    <w:p w:rsidR="00954A1E" w:rsidRPr="00873761" w:rsidRDefault="00954A1E" w:rsidP="00954A1E">
      <w:pPr>
        <w:spacing w:before="0" w:after="0"/>
        <w:rPr>
          <w:rFonts w:ascii="Calibri" w:hAnsi="Calibri"/>
          <w:sz w:val="22"/>
          <w:szCs w:val="22"/>
          <w:lang w:val="en-US" w:eastAsia="en-US"/>
        </w:rPr>
      </w:pPr>
      <w:r w:rsidRPr="00873761">
        <w:rPr>
          <w:rFonts w:ascii="Calibri" w:hAnsi="Calibri"/>
          <w:i/>
          <w:iCs/>
          <w:sz w:val="22"/>
          <w:szCs w:val="22"/>
          <w:lang w:eastAsia="en-US"/>
        </w:rPr>
        <w:t> </w:t>
      </w:r>
    </w:p>
    <w:p w:rsidR="00954A1E" w:rsidRPr="001761D6" w:rsidRDefault="00184BE7" w:rsidP="00954A1E">
      <w:pPr>
        <w:spacing w:before="0" w:after="0"/>
        <w:rPr>
          <w:szCs w:val="18"/>
          <w:lang w:val="en-US" w:eastAsia="en-US"/>
        </w:rPr>
      </w:pPr>
      <w:r>
        <w:rPr>
          <w:i/>
          <w:iCs/>
          <w:szCs w:val="18"/>
          <w:lang w:eastAsia="en-US"/>
        </w:rPr>
        <w:t>[</w:t>
      </w:r>
      <w:r w:rsidR="00954A1E" w:rsidRPr="001761D6">
        <w:rPr>
          <w:i/>
          <w:iCs/>
          <w:szCs w:val="18"/>
          <w:lang w:eastAsia="en-US"/>
        </w:rPr>
        <w:t>Source: EnergyQuest’s Energy Quarterly for November 2012 Report, 21 November 2012</w:t>
      </w:r>
      <w:r>
        <w:rPr>
          <w:i/>
          <w:iCs/>
          <w:szCs w:val="18"/>
          <w:lang w:eastAsia="en-US"/>
        </w:rPr>
        <w:t>]</w:t>
      </w:r>
    </w:p>
    <w:p w:rsidR="00D50CF2" w:rsidRPr="0004520A" w:rsidRDefault="00D50CF2" w:rsidP="0004520A">
      <w:pPr>
        <w:spacing w:after="0"/>
        <w:rPr>
          <w:sz w:val="20"/>
        </w:rPr>
      </w:pPr>
    </w:p>
    <w:p w:rsidR="004B508A" w:rsidRDefault="00E00E47" w:rsidP="00FB365A">
      <w:pPr>
        <w:spacing w:before="0" w:after="0"/>
        <w:rPr>
          <w:sz w:val="20"/>
        </w:rPr>
      </w:pPr>
      <w:r w:rsidRPr="00FB365A">
        <w:rPr>
          <w:sz w:val="20"/>
        </w:rPr>
        <w:t>It seems the main contribution of the Gas to Culcairn project is to expand the winter export capacity out of Culcairn by 30TJ/d</w:t>
      </w:r>
      <w:r w:rsidR="00E90954">
        <w:rPr>
          <w:sz w:val="20"/>
        </w:rPr>
        <w:t>,</w:t>
      </w:r>
      <w:r w:rsidRPr="00FB365A">
        <w:rPr>
          <w:sz w:val="20"/>
        </w:rPr>
        <w:t xml:space="preserve"> enabling </w:t>
      </w:r>
      <w:r w:rsidR="00E90954">
        <w:rPr>
          <w:sz w:val="20"/>
        </w:rPr>
        <w:t>g</w:t>
      </w:r>
      <w:r w:rsidRPr="00FB365A">
        <w:rPr>
          <w:sz w:val="20"/>
        </w:rPr>
        <w:t xml:space="preserve">as </w:t>
      </w:r>
      <w:r w:rsidR="00E90954">
        <w:rPr>
          <w:sz w:val="20"/>
        </w:rPr>
        <w:t>f</w:t>
      </w:r>
      <w:r w:rsidRPr="00FB365A">
        <w:rPr>
          <w:sz w:val="20"/>
        </w:rPr>
        <w:t>lows from Victoria to NSW across the year.</w:t>
      </w:r>
      <w:r w:rsidR="00E90954">
        <w:rPr>
          <w:sz w:val="20"/>
        </w:rPr>
        <w:t xml:space="preserve"> </w:t>
      </w:r>
      <w:r w:rsidRPr="00FB365A">
        <w:rPr>
          <w:sz w:val="20"/>
        </w:rPr>
        <w:t xml:space="preserve"> </w:t>
      </w:r>
      <w:r w:rsidR="00E90954">
        <w:rPr>
          <w:sz w:val="20"/>
        </w:rPr>
        <w:t>AGL</w:t>
      </w:r>
      <w:r w:rsidRPr="00FB365A">
        <w:rPr>
          <w:sz w:val="20"/>
        </w:rPr>
        <w:t xml:space="preserve"> note</w:t>
      </w:r>
      <w:r w:rsidR="00E90954">
        <w:rPr>
          <w:sz w:val="20"/>
        </w:rPr>
        <w:t>s</w:t>
      </w:r>
      <w:r w:rsidRPr="00FB365A">
        <w:rPr>
          <w:sz w:val="20"/>
        </w:rPr>
        <w:t xml:space="preserve"> that this is not for the benefit of the Victorian customer base </w:t>
      </w:r>
      <w:r w:rsidR="00D50CF2">
        <w:rPr>
          <w:sz w:val="20"/>
        </w:rPr>
        <w:t xml:space="preserve">and </w:t>
      </w:r>
      <w:r w:rsidRPr="00FB365A">
        <w:rPr>
          <w:sz w:val="20"/>
        </w:rPr>
        <w:t xml:space="preserve">therefore should not be recoverable against their fees. </w:t>
      </w:r>
      <w:r w:rsidR="00457697">
        <w:rPr>
          <w:sz w:val="20"/>
        </w:rPr>
        <w:t xml:space="preserve"> </w:t>
      </w:r>
      <w:r w:rsidR="004B508A">
        <w:rPr>
          <w:sz w:val="20"/>
        </w:rPr>
        <w:t xml:space="preserve">AEMO’s </w:t>
      </w:r>
      <w:r w:rsidR="00D91511">
        <w:rPr>
          <w:sz w:val="20"/>
        </w:rPr>
        <w:t xml:space="preserve">published </w:t>
      </w:r>
      <w:r w:rsidR="004B508A">
        <w:rPr>
          <w:sz w:val="20"/>
        </w:rPr>
        <w:t xml:space="preserve">operational procedures for Culcairn make it clear that northbound flows will stop being supported via the operation of compressors </w:t>
      </w:r>
      <w:r w:rsidR="0027568A">
        <w:rPr>
          <w:sz w:val="20"/>
        </w:rPr>
        <w:t>at</w:t>
      </w:r>
      <w:r w:rsidR="004B508A">
        <w:rPr>
          <w:sz w:val="20"/>
        </w:rPr>
        <w:t xml:space="preserve"> Euroa and Wollert when achievement of Victorian gas demand is under threat.  If the system operator is </w:t>
      </w:r>
      <w:r w:rsidR="0027568A">
        <w:rPr>
          <w:sz w:val="20"/>
        </w:rPr>
        <w:t>known</w:t>
      </w:r>
      <w:r w:rsidR="004B508A">
        <w:rPr>
          <w:sz w:val="20"/>
        </w:rPr>
        <w:t xml:space="preserve"> to behave thus, why is the </w:t>
      </w:r>
      <w:r w:rsidR="0027568A">
        <w:rPr>
          <w:sz w:val="20"/>
        </w:rPr>
        <w:t>system</w:t>
      </w:r>
      <w:r w:rsidR="004B508A">
        <w:rPr>
          <w:sz w:val="20"/>
        </w:rPr>
        <w:t xml:space="preserve"> owner persisting with this proposal?</w:t>
      </w:r>
    </w:p>
    <w:p w:rsidR="004B508A" w:rsidRDefault="004B508A" w:rsidP="00FB365A">
      <w:pPr>
        <w:spacing w:before="0" w:after="0"/>
        <w:rPr>
          <w:sz w:val="20"/>
        </w:rPr>
      </w:pPr>
    </w:p>
    <w:p w:rsidR="00140110" w:rsidRPr="00FB365A" w:rsidRDefault="00E00E47" w:rsidP="00FB365A">
      <w:pPr>
        <w:spacing w:before="0" w:after="0"/>
        <w:rPr>
          <w:sz w:val="20"/>
        </w:rPr>
      </w:pPr>
      <w:r w:rsidRPr="00FB365A">
        <w:rPr>
          <w:sz w:val="20"/>
        </w:rPr>
        <w:t>Further</w:t>
      </w:r>
      <w:r w:rsidR="00457697">
        <w:rPr>
          <w:sz w:val="20"/>
        </w:rPr>
        <w:t>,</w:t>
      </w:r>
      <w:r w:rsidRPr="00FB365A">
        <w:rPr>
          <w:sz w:val="20"/>
        </w:rPr>
        <w:t xml:space="preserve"> it is unclear that the Gas to Culcairn Project is the most efficient alternative </w:t>
      </w:r>
      <w:r w:rsidR="00457697">
        <w:rPr>
          <w:sz w:val="20"/>
        </w:rPr>
        <w:t>for</w:t>
      </w:r>
      <w:r w:rsidRPr="00FB365A">
        <w:rPr>
          <w:sz w:val="20"/>
        </w:rPr>
        <w:t xml:space="preserve"> transporting </w:t>
      </w:r>
      <w:r w:rsidR="00457697">
        <w:rPr>
          <w:sz w:val="20"/>
        </w:rPr>
        <w:t xml:space="preserve">additional </w:t>
      </w:r>
      <w:r w:rsidRPr="00FB365A">
        <w:rPr>
          <w:sz w:val="20"/>
        </w:rPr>
        <w:t>gas to NSW</w:t>
      </w:r>
      <w:r w:rsidR="008000FE">
        <w:rPr>
          <w:sz w:val="20"/>
        </w:rPr>
        <w:t>.  A</w:t>
      </w:r>
      <w:r w:rsidRPr="00FB365A">
        <w:rPr>
          <w:sz w:val="20"/>
        </w:rPr>
        <w:t xml:space="preserve">n expansion of the Eastern Gas Pipeline </w:t>
      </w:r>
      <w:r w:rsidR="008000FE">
        <w:rPr>
          <w:sz w:val="20"/>
        </w:rPr>
        <w:t>may well prove to be more effective.</w:t>
      </w:r>
    </w:p>
    <w:p w:rsidR="00F121F1" w:rsidRPr="008C5121" w:rsidRDefault="00F121F1" w:rsidP="002D1557">
      <w:pPr>
        <w:rPr>
          <w:sz w:val="20"/>
        </w:rPr>
      </w:pPr>
    </w:p>
    <w:p w:rsidR="002D1557" w:rsidRPr="008C5121" w:rsidRDefault="002D1557" w:rsidP="002D1557">
      <w:pPr>
        <w:spacing w:before="0" w:after="0"/>
        <w:rPr>
          <w:sz w:val="20"/>
        </w:rPr>
      </w:pPr>
      <w:r w:rsidRPr="008C5121">
        <w:rPr>
          <w:sz w:val="20"/>
        </w:rPr>
        <w:t xml:space="preserve">Should you require any further information in relation to </w:t>
      </w:r>
      <w:r w:rsidR="008D304A">
        <w:rPr>
          <w:sz w:val="20"/>
        </w:rPr>
        <w:t>AGL’s submission</w:t>
      </w:r>
      <w:r w:rsidRPr="008C5121">
        <w:rPr>
          <w:sz w:val="20"/>
        </w:rPr>
        <w:t xml:space="preserve">, please contact me on (03) 8633 </w:t>
      </w:r>
      <w:r w:rsidR="00CE531A">
        <w:rPr>
          <w:rStyle w:val="psrch-metadata1"/>
          <w:sz w:val="20"/>
        </w:rPr>
        <w:t>6239</w:t>
      </w:r>
      <w:r w:rsidRPr="008C5121">
        <w:rPr>
          <w:sz w:val="20"/>
        </w:rPr>
        <w:t>.</w:t>
      </w:r>
    </w:p>
    <w:p w:rsidR="00914708" w:rsidRDefault="00914708" w:rsidP="002D1557">
      <w:pPr>
        <w:spacing w:before="0" w:after="0"/>
        <w:rPr>
          <w:sz w:val="20"/>
        </w:rPr>
      </w:pPr>
    </w:p>
    <w:p w:rsidR="002D1557" w:rsidRPr="008C5121" w:rsidRDefault="002D1557" w:rsidP="002D1557">
      <w:pPr>
        <w:spacing w:before="0" w:after="0"/>
        <w:rPr>
          <w:sz w:val="20"/>
        </w:rPr>
      </w:pPr>
    </w:p>
    <w:p w:rsidR="002D1557" w:rsidRPr="008C5121" w:rsidRDefault="002D1557" w:rsidP="002D1557">
      <w:pPr>
        <w:spacing w:before="0" w:after="0"/>
        <w:rPr>
          <w:sz w:val="20"/>
        </w:rPr>
      </w:pPr>
      <w:r w:rsidRPr="008C5121">
        <w:rPr>
          <w:sz w:val="20"/>
        </w:rPr>
        <w:t>Yours sincerely,</w:t>
      </w:r>
    </w:p>
    <w:p w:rsidR="002D1557" w:rsidRDefault="002D1557" w:rsidP="002D1557">
      <w:pPr>
        <w:rPr>
          <w:sz w:val="20"/>
        </w:rPr>
      </w:pPr>
    </w:p>
    <w:p w:rsidR="00914708" w:rsidRPr="008C5121" w:rsidRDefault="00914708" w:rsidP="002D1557">
      <w:pPr>
        <w:rPr>
          <w:sz w:val="20"/>
        </w:rPr>
      </w:pPr>
    </w:p>
    <w:p w:rsidR="002D1557" w:rsidRPr="008C5121" w:rsidRDefault="002D1557" w:rsidP="002D1557">
      <w:pPr>
        <w:rPr>
          <w:sz w:val="20"/>
        </w:rPr>
      </w:pPr>
    </w:p>
    <w:p w:rsidR="002D1557" w:rsidRPr="008C5121" w:rsidRDefault="00FA132F" w:rsidP="002D1557">
      <w:pPr>
        <w:spacing w:before="40" w:after="40"/>
        <w:rPr>
          <w:sz w:val="20"/>
        </w:rPr>
      </w:pPr>
      <w:r>
        <w:rPr>
          <w:sz w:val="20"/>
        </w:rPr>
        <w:t>G M Foley</w:t>
      </w:r>
    </w:p>
    <w:p w:rsidR="002D1557" w:rsidRDefault="002D1557" w:rsidP="002D1557">
      <w:pPr>
        <w:pStyle w:val="RecipientDetails"/>
        <w:spacing w:before="40" w:after="40"/>
        <w:rPr>
          <w:rStyle w:val="psrch-metadata1"/>
          <w:sz w:val="20"/>
        </w:rPr>
      </w:pPr>
      <w:r w:rsidRPr="00C80054">
        <w:rPr>
          <w:rStyle w:val="psrch-metadata1"/>
          <w:sz w:val="20"/>
        </w:rPr>
        <w:t>M</w:t>
      </w:r>
      <w:r>
        <w:rPr>
          <w:rStyle w:val="psrch-metadata1"/>
          <w:sz w:val="20"/>
        </w:rPr>
        <w:t>anager</w:t>
      </w:r>
      <w:r w:rsidR="00FA132F">
        <w:rPr>
          <w:rStyle w:val="psrch-metadata1"/>
          <w:sz w:val="20"/>
        </w:rPr>
        <w:t xml:space="preserve"> Gas Market Development</w:t>
      </w:r>
    </w:p>
    <w:p w:rsidR="00D56FF7" w:rsidRDefault="00D56FF7" w:rsidP="00D56FF7">
      <w:pPr>
        <w:rPr>
          <w:b/>
          <w:bCs/>
          <w:u w:val="single"/>
        </w:rPr>
      </w:pPr>
      <w:r>
        <w:rPr>
          <w:b/>
          <w:bCs/>
          <w:u w:val="single"/>
        </w:rPr>
        <w:t>Attachment 2 - Historical demand forecast</w:t>
      </w:r>
    </w:p>
    <w:p w:rsidR="00F209C7" w:rsidRDefault="00F209C7" w:rsidP="002D1557">
      <w:pPr>
        <w:pStyle w:val="RecipientDetails"/>
        <w:spacing w:before="40" w:after="40"/>
        <w:rPr>
          <w:noProof/>
          <w:lang w:val="en-US" w:eastAsia="en-US"/>
        </w:rPr>
      </w:pPr>
    </w:p>
    <w:p w:rsidR="00F209C7" w:rsidRDefault="00F209C7" w:rsidP="002D1557">
      <w:pPr>
        <w:pStyle w:val="RecipientDetails"/>
        <w:spacing w:before="40" w:after="40"/>
        <w:rPr>
          <w:noProof/>
          <w:lang w:val="en-US" w:eastAsia="en-US"/>
        </w:rPr>
      </w:pPr>
    </w:p>
    <w:p w:rsidR="002D1557" w:rsidRDefault="00D56FF7" w:rsidP="002D1557">
      <w:pPr>
        <w:pStyle w:val="RecipientDetails"/>
        <w:spacing w:before="40" w:after="40"/>
      </w:pPr>
      <w:r w:rsidRPr="00D56FF7">
        <w:rPr>
          <w:noProof/>
        </w:rPr>
        <w:drawing>
          <wp:inline distT="0" distB="0" distL="0" distR="0">
            <wp:extent cx="5143500" cy="3574547"/>
            <wp:effectExtent l="19050" t="0" r="0" b="0"/>
            <wp:docPr id="8" name="Picture 7" descr="cid:image006.png@01CDD6AE.C851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CDD6AE.C851307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10" cy="35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CF1" w:rsidRPr="005A3CF1" w:rsidRDefault="005A3CF1" w:rsidP="005A3CF1"/>
    <w:p w:rsidR="005A3CF1" w:rsidRDefault="005A3CF1" w:rsidP="00D56FF7"/>
    <w:p w:rsidR="0008564A" w:rsidRDefault="0008564A" w:rsidP="00D56FF7">
      <w:pPr>
        <w:rPr>
          <w:b/>
          <w:bCs/>
          <w:u w:val="single"/>
        </w:rPr>
      </w:pPr>
      <w:r w:rsidRPr="0008564A">
        <w:rPr>
          <w:b/>
          <w:bCs/>
          <w:noProof/>
          <w:u w:val="single"/>
        </w:rPr>
        <w:drawing>
          <wp:inline distT="0" distB="0" distL="0" distR="0">
            <wp:extent cx="4991100" cy="3477109"/>
            <wp:effectExtent l="19050" t="0" r="0" b="0"/>
            <wp:docPr id="3" name="Picture 3" descr="cid:image004.png@01CDD6AC.38AA8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CDD6AC.38AA827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57" cy="347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5D9" w:rsidRDefault="00184BE7" w:rsidP="009825D9">
      <w:pPr>
        <w:rPr>
          <w:i/>
          <w:iCs/>
        </w:rPr>
      </w:pPr>
      <w:r>
        <w:rPr>
          <w:i/>
          <w:iCs/>
        </w:rPr>
        <w:t>[</w:t>
      </w:r>
      <w:r w:rsidR="009825D9">
        <w:rPr>
          <w:i/>
          <w:iCs/>
        </w:rPr>
        <w:t>Source: Victorian Annual Planning Report 2012, Australian Energy Market Operator</w:t>
      </w:r>
      <w:r>
        <w:rPr>
          <w:i/>
          <w:iCs/>
        </w:rPr>
        <w:t>]</w:t>
      </w:r>
    </w:p>
    <w:p w:rsidR="0008564A" w:rsidRDefault="0008564A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8564A" w:rsidRDefault="0008564A" w:rsidP="00D56FF7">
      <w:pPr>
        <w:rPr>
          <w:b/>
          <w:bCs/>
          <w:u w:val="single"/>
        </w:rPr>
      </w:pPr>
    </w:p>
    <w:p w:rsidR="00D56FF7" w:rsidRDefault="00D56FF7" w:rsidP="00D56FF7">
      <w:pPr>
        <w:rPr>
          <w:b/>
          <w:bCs/>
          <w:u w:val="single"/>
        </w:rPr>
      </w:pPr>
      <w:r>
        <w:rPr>
          <w:b/>
          <w:bCs/>
          <w:u w:val="single"/>
        </w:rPr>
        <w:t>Attachment 3 - Historical Network utilisation  (SWP / Culcairn)</w:t>
      </w:r>
    </w:p>
    <w:p w:rsidR="00D56FF7" w:rsidRDefault="00D56FF7" w:rsidP="00D56FF7"/>
    <w:p w:rsidR="00D56FF7" w:rsidRDefault="00D56FF7" w:rsidP="00D56FF7">
      <w:r w:rsidRPr="00D56FF7">
        <w:rPr>
          <w:noProof/>
        </w:rPr>
        <w:drawing>
          <wp:inline distT="0" distB="0" distL="0" distR="0">
            <wp:extent cx="5732145" cy="3751312"/>
            <wp:effectExtent l="19050" t="0" r="1905" b="0"/>
            <wp:docPr id="9" name="Picture 4" descr="cid:image005.jpg@01CDD6B4.5F57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jpg@01CDD6B4.5F57332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75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FF7" w:rsidRDefault="00D56FF7" w:rsidP="00D56FF7">
      <w:r w:rsidRPr="00D56FF7">
        <w:rPr>
          <w:noProof/>
        </w:rPr>
        <w:drawing>
          <wp:inline distT="0" distB="0" distL="0" distR="0">
            <wp:extent cx="5732145" cy="3747256"/>
            <wp:effectExtent l="19050" t="0" r="1905" b="0"/>
            <wp:docPr id="11" name="Picture 5" descr="cid:image015.jpg@01CDD6B4.5F57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5.jpg@01CDD6B4.5F57332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74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FF7" w:rsidRDefault="00184BE7" w:rsidP="00D56FF7">
      <w:pPr>
        <w:rPr>
          <w:i/>
          <w:iCs/>
        </w:rPr>
      </w:pPr>
      <w:r>
        <w:rPr>
          <w:i/>
          <w:iCs/>
        </w:rPr>
        <w:t>[</w:t>
      </w:r>
      <w:r w:rsidR="00D56FF7">
        <w:rPr>
          <w:i/>
          <w:iCs/>
        </w:rPr>
        <w:t>Source: Gas Bulletin Board (June 2008 – November 2012)</w:t>
      </w:r>
      <w:r>
        <w:rPr>
          <w:i/>
          <w:iCs/>
        </w:rPr>
        <w:t>]</w:t>
      </w:r>
    </w:p>
    <w:sectPr w:rsidR="00D56FF7" w:rsidSect="00914708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440" w:right="1080" w:bottom="1440" w:left="1080" w:header="454" w:footer="110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FD" w:rsidRDefault="00E57CFD">
      <w:r>
        <w:separator/>
      </w:r>
    </w:p>
  </w:endnote>
  <w:endnote w:type="continuationSeparator" w:id="0">
    <w:p w:rsidR="00E57CFD" w:rsidRDefault="00E5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horzAnchor="page" w:tblpX="540" w:tblpYSpec="bottom"/>
      <w:tblOverlap w:val="never"/>
      <w:tblW w:w="11088" w:type="dxa"/>
      <w:tblLayout w:type="fixed"/>
      <w:tblLook w:val="01E0"/>
    </w:tblPr>
    <w:tblGrid>
      <w:gridCol w:w="8208"/>
      <w:gridCol w:w="2880"/>
    </w:tblGrid>
    <w:tr w:rsidR="005378B8" w:rsidTr="009366E2">
      <w:tc>
        <w:tcPr>
          <w:tcW w:w="8208" w:type="dxa"/>
          <w:tcBorders>
            <w:top w:val="single" w:sz="4" w:space="0" w:color="auto"/>
          </w:tcBorders>
        </w:tcPr>
        <w:p w:rsidR="005378B8" w:rsidRPr="00A0124D" w:rsidRDefault="005378B8" w:rsidP="009366E2">
          <w:pPr>
            <w:pStyle w:val="Footer"/>
            <w:tabs>
              <w:tab w:val="clear" w:pos="4153"/>
              <w:tab w:val="clear" w:pos="8306"/>
            </w:tabs>
          </w:pPr>
        </w:p>
      </w:tc>
      <w:tc>
        <w:tcPr>
          <w:tcW w:w="2880" w:type="dxa"/>
          <w:tcBorders>
            <w:top w:val="single" w:sz="4" w:space="0" w:color="auto"/>
          </w:tcBorders>
        </w:tcPr>
        <w:p w:rsidR="005378B8" w:rsidRPr="00A0124D" w:rsidRDefault="00192F44" w:rsidP="009366E2">
          <w:pPr>
            <w:pStyle w:val="Footer"/>
            <w:jc w:val="right"/>
          </w:pPr>
          <w:fldSimple w:instr=" PAGE ">
            <w:r w:rsidR="004D6825">
              <w:rPr>
                <w:noProof/>
              </w:rPr>
              <w:t>2</w:t>
            </w:r>
          </w:fldSimple>
        </w:p>
      </w:tc>
    </w:tr>
    <w:tr w:rsidR="005378B8" w:rsidTr="009366E2">
      <w:tc>
        <w:tcPr>
          <w:tcW w:w="8208" w:type="dxa"/>
        </w:tcPr>
        <w:p w:rsidR="005378B8" w:rsidRDefault="005378B8" w:rsidP="009366E2">
          <w:pPr>
            <w:pStyle w:val="Footerbullets"/>
            <w:numPr>
              <w:ilvl w:val="0"/>
              <w:numId w:val="0"/>
            </w:numPr>
            <w:ind w:left="357"/>
          </w:pPr>
        </w:p>
      </w:tc>
      <w:tc>
        <w:tcPr>
          <w:tcW w:w="2880" w:type="dxa"/>
        </w:tcPr>
        <w:p w:rsidR="005378B8" w:rsidRPr="00A0124D" w:rsidRDefault="005378B8" w:rsidP="009366E2">
          <w:pPr>
            <w:pStyle w:val="Footer"/>
          </w:pPr>
        </w:p>
      </w:tc>
    </w:tr>
  </w:tbl>
  <w:p w:rsidR="005378B8" w:rsidRPr="00E239EC" w:rsidRDefault="005378B8" w:rsidP="004E5F3F">
    <w:pPr>
      <w:pStyle w:val="Footer"/>
      <w:tabs>
        <w:tab w:val="clear" w:pos="415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horzAnchor="page" w:tblpX="540" w:tblpYSpec="bottom"/>
      <w:tblOverlap w:val="never"/>
      <w:tblW w:w="11088" w:type="dxa"/>
      <w:tblLayout w:type="fixed"/>
      <w:tblLook w:val="01E0"/>
    </w:tblPr>
    <w:tblGrid>
      <w:gridCol w:w="8208"/>
      <w:gridCol w:w="2880"/>
    </w:tblGrid>
    <w:tr w:rsidR="005378B8" w:rsidTr="009366E2">
      <w:tc>
        <w:tcPr>
          <w:tcW w:w="8208" w:type="dxa"/>
          <w:tcBorders>
            <w:top w:val="single" w:sz="4" w:space="0" w:color="auto"/>
          </w:tcBorders>
        </w:tcPr>
        <w:p w:rsidR="005378B8" w:rsidRPr="00A0124D" w:rsidRDefault="005378B8" w:rsidP="009366E2">
          <w:pPr>
            <w:pStyle w:val="Footer"/>
            <w:tabs>
              <w:tab w:val="clear" w:pos="4153"/>
              <w:tab w:val="clear" w:pos="8306"/>
            </w:tabs>
          </w:pPr>
        </w:p>
      </w:tc>
      <w:tc>
        <w:tcPr>
          <w:tcW w:w="2880" w:type="dxa"/>
          <w:tcBorders>
            <w:top w:val="single" w:sz="4" w:space="0" w:color="auto"/>
          </w:tcBorders>
        </w:tcPr>
        <w:p w:rsidR="005378B8" w:rsidRPr="00A0124D" w:rsidRDefault="005378B8" w:rsidP="009366E2">
          <w:pPr>
            <w:pStyle w:val="Footer"/>
            <w:jc w:val="right"/>
          </w:pPr>
        </w:p>
      </w:tc>
    </w:tr>
    <w:tr w:rsidR="005378B8" w:rsidTr="009366E2">
      <w:tc>
        <w:tcPr>
          <w:tcW w:w="8208" w:type="dxa"/>
        </w:tcPr>
        <w:p w:rsidR="005378B8" w:rsidRDefault="005378B8" w:rsidP="009366E2">
          <w:pPr>
            <w:pStyle w:val="Footerbullets"/>
            <w:numPr>
              <w:ilvl w:val="0"/>
              <w:numId w:val="0"/>
            </w:numPr>
            <w:ind w:left="357"/>
          </w:pPr>
        </w:p>
        <w:p w:rsidR="005378B8" w:rsidRDefault="005378B8" w:rsidP="009366E2">
          <w:pPr>
            <w:pStyle w:val="Footerbullets"/>
            <w:numPr>
              <w:ilvl w:val="0"/>
              <w:numId w:val="0"/>
            </w:numPr>
            <w:ind w:left="357"/>
          </w:pPr>
        </w:p>
      </w:tc>
      <w:tc>
        <w:tcPr>
          <w:tcW w:w="2880" w:type="dxa"/>
        </w:tcPr>
        <w:p w:rsidR="005378B8" w:rsidRPr="00A0124D" w:rsidRDefault="005378B8" w:rsidP="009366E2">
          <w:pPr>
            <w:pStyle w:val="Footer"/>
          </w:pPr>
        </w:p>
      </w:tc>
    </w:tr>
  </w:tbl>
  <w:p w:rsidR="005378B8" w:rsidRPr="00E239EC" w:rsidRDefault="005378B8" w:rsidP="00E239EC">
    <w:pPr>
      <w:pStyle w:val="Footer"/>
      <w:tabs>
        <w:tab w:val="clear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FD" w:rsidRDefault="00E57CFD">
      <w:r>
        <w:separator/>
      </w:r>
    </w:p>
  </w:footnote>
  <w:footnote w:type="continuationSeparator" w:id="0">
    <w:p w:rsidR="00E57CFD" w:rsidRDefault="00E5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B8" w:rsidRDefault="005378B8" w:rsidP="004E5F3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4907915</wp:posOffset>
          </wp:positionH>
          <wp:positionV relativeFrom="paragraph">
            <wp:posOffset>-47625</wp:posOffset>
          </wp:positionV>
          <wp:extent cx="1123315" cy="1142365"/>
          <wp:effectExtent l="19050" t="0" r="635" b="0"/>
          <wp:wrapSquare wrapText="bothSides"/>
          <wp:docPr id="2" name="Picture 3" descr="lt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rhea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83" t="56381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42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page" w:tblpX="584" w:tblpY="1"/>
      <w:tblOverlap w:val="never"/>
      <w:tblW w:w="0" w:type="auto"/>
      <w:tblLayout w:type="fixed"/>
      <w:tblLook w:val="0000"/>
    </w:tblPr>
    <w:tblGrid>
      <w:gridCol w:w="2011"/>
      <w:gridCol w:w="2012"/>
      <w:gridCol w:w="2011"/>
      <w:gridCol w:w="2012"/>
    </w:tblGrid>
    <w:tr w:rsidR="005378B8">
      <w:tc>
        <w:tcPr>
          <w:tcW w:w="2011" w:type="dxa"/>
        </w:tcPr>
        <w:p w:rsidR="005378B8" w:rsidRDefault="00192F44" w:rsidP="00E239EC">
          <w:pPr>
            <w:pStyle w:val="Header"/>
          </w:pPr>
          <w:fldSimple w:instr=" DOCPROPERTY &quot;SCompany&quot;  \* MERGEFORMAT ">
            <w:r w:rsidR="00D3578B">
              <w:t>AGL Energy Limited</w:t>
            </w:r>
          </w:fldSimple>
        </w:p>
        <w:p w:rsidR="005378B8" w:rsidRPr="00E239EC" w:rsidRDefault="00192F44" w:rsidP="00E239EC">
          <w:pPr>
            <w:pStyle w:val="Header"/>
          </w:pPr>
          <w:fldSimple w:instr=" DOCPROPERTY &quot;ABN&quot;  \* MERGEFORMAT ">
            <w:r w:rsidR="00D3578B">
              <w:t>ABN: 74 115 061 375</w:t>
            </w:r>
          </w:fldSimple>
        </w:p>
      </w:tc>
      <w:tc>
        <w:tcPr>
          <w:tcW w:w="2012" w:type="dxa"/>
        </w:tcPr>
        <w:p w:rsidR="005378B8" w:rsidRDefault="00192F44" w:rsidP="00A12DF3">
          <w:pPr>
            <w:pStyle w:val="Header"/>
          </w:pPr>
          <w:fldSimple w:instr=" DOCPROPERTY  SAddress2  \* MERGEFORMAT ">
            <w:r w:rsidR="00D3578B">
              <w:t>72 Christie Street</w:t>
            </w:r>
          </w:fldSimple>
        </w:p>
        <w:p w:rsidR="005378B8" w:rsidRDefault="00192F44" w:rsidP="00A12DF3">
          <w:pPr>
            <w:pStyle w:val="Header"/>
          </w:pPr>
          <w:fldSimple w:instr=" DOCPROPERTY &quot;SAddressSub&quot;  \* MERGEFORMAT ">
            <w:r w:rsidR="00D3578B">
              <w:t>St Leonards NSW 2065</w:t>
            </w:r>
          </w:fldSimple>
        </w:p>
      </w:tc>
      <w:tc>
        <w:tcPr>
          <w:tcW w:w="2011" w:type="dxa"/>
        </w:tcPr>
        <w:p w:rsidR="005378B8" w:rsidRDefault="00192F44" w:rsidP="00E239EC">
          <w:pPr>
            <w:pStyle w:val="Header"/>
          </w:pPr>
          <w:fldSimple w:instr=" DOCPROPERTY &quot;SPostal&quot;  \* MERGEFORMAT ">
            <w:r w:rsidR="00D3578B">
              <w:t>Locked Bag 1837</w:t>
            </w:r>
          </w:fldSimple>
        </w:p>
        <w:p w:rsidR="005378B8" w:rsidRDefault="00192F44" w:rsidP="00E239EC">
          <w:pPr>
            <w:pStyle w:val="Header"/>
          </w:pPr>
          <w:fldSimple w:instr=" DOCPROPERTY &quot;PaddressSub&quot;  \* MERGEFORMAT ">
            <w:r w:rsidR="00D3578B">
              <w:t>St Leonards  NSW  2065</w:t>
            </w:r>
          </w:fldSimple>
        </w:p>
      </w:tc>
      <w:tc>
        <w:tcPr>
          <w:tcW w:w="2012" w:type="dxa"/>
        </w:tcPr>
        <w:p w:rsidR="005378B8" w:rsidRDefault="005378B8" w:rsidP="00E239EC">
          <w:pPr>
            <w:pStyle w:val="Header"/>
          </w:pPr>
          <w:r>
            <w:t xml:space="preserve">T: </w:t>
          </w:r>
          <w:fldSimple w:instr=" DOCPROPERTY  STel  \* MERGEFORMAT ">
            <w:r w:rsidR="00D3578B">
              <w:t>02 9921 2999</w:t>
            </w:r>
          </w:fldSimple>
        </w:p>
        <w:p w:rsidR="005378B8" w:rsidRDefault="005378B8" w:rsidP="00E239EC">
          <w:pPr>
            <w:pStyle w:val="Header"/>
          </w:pPr>
          <w:r>
            <w:t xml:space="preserve">F: </w:t>
          </w:r>
          <w:fldSimple w:instr=" DOCPROPERTY  SFax  \* MERGEFORMAT ">
            <w:r w:rsidR="00D3578B">
              <w:t>02 9921 2552</w:t>
            </w:r>
          </w:fldSimple>
        </w:p>
        <w:p w:rsidR="005378B8" w:rsidRDefault="005378B8" w:rsidP="00E239EC">
          <w:pPr>
            <w:pStyle w:val="Header"/>
          </w:pPr>
          <w:r>
            <w:t>www.agl.com.au</w:t>
          </w:r>
        </w:p>
      </w:tc>
    </w:tr>
  </w:tbl>
  <w:p w:rsidR="005378B8" w:rsidRDefault="005378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4664710</wp:posOffset>
          </wp:positionH>
          <wp:positionV relativeFrom="paragraph">
            <wp:posOffset>-15240</wp:posOffset>
          </wp:positionV>
          <wp:extent cx="1794510" cy="3062605"/>
          <wp:effectExtent l="1905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306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  <w:p w:rsidR="005378B8" w:rsidRDefault="005378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CE3"/>
    <w:multiLevelType w:val="hybridMultilevel"/>
    <w:tmpl w:val="AEDEFC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B3711"/>
    <w:multiLevelType w:val="hybridMultilevel"/>
    <w:tmpl w:val="836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3F29"/>
    <w:multiLevelType w:val="hybridMultilevel"/>
    <w:tmpl w:val="6AEC3FBA"/>
    <w:lvl w:ilvl="0" w:tplc="EF58AC82">
      <w:start w:val="1"/>
      <w:numFmt w:val="bullet"/>
      <w:pStyle w:val="Footerbullets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E33EF"/>
    <w:multiLevelType w:val="hybridMultilevel"/>
    <w:tmpl w:val="4DFC2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32540"/>
    <w:multiLevelType w:val="singleLevel"/>
    <w:tmpl w:val="301E4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BA57ED"/>
    <w:multiLevelType w:val="hybridMultilevel"/>
    <w:tmpl w:val="D8FC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D2A85"/>
    <w:multiLevelType w:val="hybridMultilevel"/>
    <w:tmpl w:val="B6509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597890"/>
    <w:multiLevelType w:val="hybridMultilevel"/>
    <w:tmpl w:val="E0FA7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7402EB"/>
    <w:multiLevelType w:val="hybridMultilevel"/>
    <w:tmpl w:val="2854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6522A"/>
    <w:multiLevelType w:val="hybridMultilevel"/>
    <w:tmpl w:val="D74E76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222DF5"/>
    <w:multiLevelType w:val="hybridMultilevel"/>
    <w:tmpl w:val="D87A65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82474"/>
    <w:multiLevelType w:val="hybridMultilevel"/>
    <w:tmpl w:val="A37E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825D22"/>
    <w:multiLevelType w:val="multilevel"/>
    <w:tmpl w:val="3340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E6207"/>
    <w:multiLevelType w:val="hybridMultilevel"/>
    <w:tmpl w:val="CADC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B33E2"/>
    <w:multiLevelType w:val="hybridMultilevel"/>
    <w:tmpl w:val="605C14D8"/>
    <w:lvl w:ilvl="0" w:tplc="E61094A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0649E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AAA4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8219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4C41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C487D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26E9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CB042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5EE1DA">
      <w:start w:val="778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4B4187C"/>
    <w:multiLevelType w:val="hybridMultilevel"/>
    <w:tmpl w:val="2B08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8784C"/>
    <w:multiLevelType w:val="hybridMultilevel"/>
    <w:tmpl w:val="A06863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B4F5600"/>
    <w:multiLevelType w:val="hybridMultilevel"/>
    <w:tmpl w:val="0ABAF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</w:num>
  <w:num w:numId="5">
    <w:abstractNumId w:val="14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7"/>
  </w:num>
  <w:num w:numId="11">
    <w:abstractNumId w:val="15"/>
  </w:num>
  <w:num w:numId="12">
    <w:abstractNumId w:val="10"/>
  </w:num>
  <w:num w:numId="13">
    <w:abstractNumId w:val="10"/>
  </w:num>
  <w:num w:numId="14">
    <w:abstractNumId w:val="0"/>
  </w:num>
  <w:num w:numId="15">
    <w:abstractNumId w:val="8"/>
  </w:num>
  <w:num w:numId="16">
    <w:abstractNumId w:val="9"/>
  </w:num>
  <w:num w:numId="17">
    <w:abstractNumId w:val="16"/>
  </w:num>
  <w:num w:numId="18">
    <w:abstractNumId w:val="11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en-AU" w:vendorID="8" w:dllVersion="513" w:checkStyle="1"/>
  <w:proofState w:spelling="clean" w:grammar="clean"/>
  <w:stylePaneFormatFilter w:val="3F01"/>
  <w:defaultTabStop w:val="720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docVars>
    <w:docVar w:name="currentname" w:val="C:\Documents and Settings\cmart\Local Settings\Temporary Internet Files\Content.Outlook\1MDH3DA5\AGL submission_GasNetAA_Draft Decision_Final.docx"/>
  </w:docVars>
  <w:rsids>
    <w:rsidRoot w:val="009405E3"/>
    <w:rsid w:val="00000CFB"/>
    <w:rsid w:val="00002473"/>
    <w:rsid w:val="00002B94"/>
    <w:rsid w:val="00002CB6"/>
    <w:rsid w:val="00004C8C"/>
    <w:rsid w:val="00004F49"/>
    <w:rsid w:val="000075E1"/>
    <w:rsid w:val="00010E76"/>
    <w:rsid w:val="00011D15"/>
    <w:rsid w:val="000169B8"/>
    <w:rsid w:val="00016C23"/>
    <w:rsid w:val="00016D92"/>
    <w:rsid w:val="0002535A"/>
    <w:rsid w:val="0004520A"/>
    <w:rsid w:val="00045991"/>
    <w:rsid w:val="00045E49"/>
    <w:rsid w:val="00054DE0"/>
    <w:rsid w:val="00060D05"/>
    <w:rsid w:val="00061DA0"/>
    <w:rsid w:val="00065C5B"/>
    <w:rsid w:val="00066B64"/>
    <w:rsid w:val="00077371"/>
    <w:rsid w:val="0008564A"/>
    <w:rsid w:val="000923DF"/>
    <w:rsid w:val="00092442"/>
    <w:rsid w:val="0009601A"/>
    <w:rsid w:val="000B3377"/>
    <w:rsid w:val="000B37C0"/>
    <w:rsid w:val="000B3EE6"/>
    <w:rsid w:val="000B6A80"/>
    <w:rsid w:val="000C231E"/>
    <w:rsid w:val="000D05C7"/>
    <w:rsid w:val="000D170E"/>
    <w:rsid w:val="000D6FA4"/>
    <w:rsid w:val="000E2DA1"/>
    <w:rsid w:val="000E4AB8"/>
    <w:rsid w:val="000E513C"/>
    <w:rsid w:val="000E7A55"/>
    <w:rsid w:val="000F0539"/>
    <w:rsid w:val="0010274F"/>
    <w:rsid w:val="00103DA9"/>
    <w:rsid w:val="001041EB"/>
    <w:rsid w:val="001045DC"/>
    <w:rsid w:val="00104B19"/>
    <w:rsid w:val="001103C9"/>
    <w:rsid w:val="00114738"/>
    <w:rsid w:val="00116BA7"/>
    <w:rsid w:val="00120BFD"/>
    <w:rsid w:val="00122392"/>
    <w:rsid w:val="00126F22"/>
    <w:rsid w:val="00126F8E"/>
    <w:rsid w:val="001333CC"/>
    <w:rsid w:val="00134873"/>
    <w:rsid w:val="00140110"/>
    <w:rsid w:val="001457E2"/>
    <w:rsid w:val="00160840"/>
    <w:rsid w:val="00167F94"/>
    <w:rsid w:val="00172AF6"/>
    <w:rsid w:val="001761D6"/>
    <w:rsid w:val="00184BE7"/>
    <w:rsid w:val="00186930"/>
    <w:rsid w:val="001912DA"/>
    <w:rsid w:val="00192B21"/>
    <w:rsid w:val="00192F44"/>
    <w:rsid w:val="001958EA"/>
    <w:rsid w:val="00195A52"/>
    <w:rsid w:val="001A1DD7"/>
    <w:rsid w:val="001A70DD"/>
    <w:rsid w:val="001A759B"/>
    <w:rsid w:val="001B57C0"/>
    <w:rsid w:val="001B660B"/>
    <w:rsid w:val="001B7C1F"/>
    <w:rsid w:val="001C192A"/>
    <w:rsid w:val="001D22BB"/>
    <w:rsid w:val="001D26FD"/>
    <w:rsid w:val="001E0001"/>
    <w:rsid w:val="001E0542"/>
    <w:rsid w:val="001E1F3A"/>
    <w:rsid w:val="001E44DE"/>
    <w:rsid w:val="001F34A2"/>
    <w:rsid w:val="001F66E6"/>
    <w:rsid w:val="00210DCB"/>
    <w:rsid w:val="00223422"/>
    <w:rsid w:val="00223578"/>
    <w:rsid w:val="00227732"/>
    <w:rsid w:val="00230161"/>
    <w:rsid w:val="00230316"/>
    <w:rsid w:val="00232E54"/>
    <w:rsid w:val="00235BD8"/>
    <w:rsid w:val="00236330"/>
    <w:rsid w:val="002364FB"/>
    <w:rsid w:val="00240248"/>
    <w:rsid w:val="00244F44"/>
    <w:rsid w:val="002646E1"/>
    <w:rsid w:val="0027568A"/>
    <w:rsid w:val="00280038"/>
    <w:rsid w:val="00295C63"/>
    <w:rsid w:val="002A0166"/>
    <w:rsid w:val="002A7B98"/>
    <w:rsid w:val="002B40C8"/>
    <w:rsid w:val="002B5063"/>
    <w:rsid w:val="002B60EC"/>
    <w:rsid w:val="002C423D"/>
    <w:rsid w:val="002D1557"/>
    <w:rsid w:val="002D1FF9"/>
    <w:rsid w:val="002D5011"/>
    <w:rsid w:val="002D565E"/>
    <w:rsid w:val="002E422D"/>
    <w:rsid w:val="002F20AF"/>
    <w:rsid w:val="002F351E"/>
    <w:rsid w:val="002F658E"/>
    <w:rsid w:val="003003CE"/>
    <w:rsid w:val="00303407"/>
    <w:rsid w:val="0031365E"/>
    <w:rsid w:val="00316F55"/>
    <w:rsid w:val="00317BC6"/>
    <w:rsid w:val="00332226"/>
    <w:rsid w:val="003360C4"/>
    <w:rsid w:val="00346862"/>
    <w:rsid w:val="00361D02"/>
    <w:rsid w:val="00362A82"/>
    <w:rsid w:val="0037521F"/>
    <w:rsid w:val="00380CF7"/>
    <w:rsid w:val="00380E61"/>
    <w:rsid w:val="00381BDC"/>
    <w:rsid w:val="003849CF"/>
    <w:rsid w:val="00387757"/>
    <w:rsid w:val="00396592"/>
    <w:rsid w:val="003A1FEE"/>
    <w:rsid w:val="003A370F"/>
    <w:rsid w:val="003A5745"/>
    <w:rsid w:val="003B12E0"/>
    <w:rsid w:val="003C7179"/>
    <w:rsid w:val="003C778F"/>
    <w:rsid w:val="003D52B7"/>
    <w:rsid w:val="003F3980"/>
    <w:rsid w:val="003F4271"/>
    <w:rsid w:val="00401FA5"/>
    <w:rsid w:val="00417071"/>
    <w:rsid w:val="00420F04"/>
    <w:rsid w:val="00424EC1"/>
    <w:rsid w:val="004273B2"/>
    <w:rsid w:val="00432994"/>
    <w:rsid w:val="004376F0"/>
    <w:rsid w:val="00441E31"/>
    <w:rsid w:val="004453E7"/>
    <w:rsid w:val="00446E8B"/>
    <w:rsid w:val="00447785"/>
    <w:rsid w:val="00453783"/>
    <w:rsid w:val="00457697"/>
    <w:rsid w:val="00463ABD"/>
    <w:rsid w:val="004703A7"/>
    <w:rsid w:val="004823EB"/>
    <w:rsid w:val="004832FD"/>
    <w:rsid w:val="00484395"/>
    <w:rsid w:val="00497A96"/>
    <w:rsid w:val="004A0B4B"/>
    <w:rsid w:val="004A37D6"/>
    <w:rsid w:val="004A6401"/>
    <w:rsid w:val="004B3D4A"/>
    <w:rsid w:val="004B4CC1"/>
    <w:rsid w:val="004B508A"/>
    <w:rsid w:val="004C02BE"/>
    <w:rsid w:val="004C23A3"/>
    <w:rsid w:val="004C2BCB"/>
    <w:rsid w:val="004C46CE"/>
    <w:rsid w:val="004D1A10"/>
    <w:rsid w:val="004D2A6A"/>
    <w:rsid w:val="004D2F0D"/>
    <w:rsid w:val="004D6825"/>
    <w:rsid w:val="004E5F3F"/>
    <w:rsid w:val="00500FE3"/>
    <w:rsid w:val="00506A5F"/>
    <w:rsid w:val="005161D4"/>
    <w:rsid w:val="005249ED"/>
    <w:rsid w:val="0053324F"/>
    <w:rsid w:val="005370DD"/>
    <w:rsid w:val="005378B8"/>
    <w:rsid w:val="0054396B"/>
    <w:rsid w:val="00544560"/>
    <w:rsid w:val="005567C4"/>
    <w:rsid w:val="00564159"/>
    <w:rsid w:val="00576BAA"/>
    <w:rsid w:val="005A0B48"/>
    <w:rsid w:val="005A13B6"/>
    <w:rsid w:val="005A1546"/>
    <w:rsid w:val="005A2E54"/>
    <w:rsid w:val="005A3CF1"/>
    <w:rsid w:val="005B21C1"/>
    <w:rsid w:val="005C1167"/>
    <w:rsid w:val="005C1A70"/>
    <w:rsid w:val="005D2EEB"/>
    <w:rsid w:val="005D7D0E"/>
    <w:rsid w:val="005E3E06"/>
    <w:rsid w:val="005F2BED"/>
    <w:rsid w:val="005F3D0A"/>
    <w:rsid w:val="005F4B79"/>
    <w:rsid w:val="00621CF8"/>
    <w:rsid w:val="00621E0F"/>
    <w:rsid w:val="00624066"/>
    <w:rsid w:val="00626BD4"/>
    <w:rsid w:val="00631913"/>
    <w:rsid w:val="006332B8"/>
    <w:rsid w:val="00633A52"/>
    <w:rsid w:val="00635FDA"/>
    <w:rsid w:val="00636C29"/>
    <w:rsid w:val="00640AEA"/>
    <w:rsid w:val="00645560"/>
    <w:rsid w:val="00651ACC"/>
    <w:rsid w:val="00652FCC"/>
    <w:rsid w:val="00654B09"/>
    <w:rsid w:val="006644C8"/>
    <w:rsid w:val="006754B7"/>
    <w:rsid w:val="0067611F"/>
    <w:rsid w:val="00676810"/>
    <w:rsid w:val="00683BED"/>
    <w:rsid w:val="00685C06"/>
    <w:rsid w:val="006925A6"/>
    <w:rsid w:val="006A043C"/>
    <w:rsid w:val="006A1993"/>
    <w:rsid w:val="006B1060"/>
    <w:rsid w:val="006B5402"/>
    <w:rsid w:val="006C190B"/>
    <w:rsid w:val="006C6C07"/>
    <w:rsid w:val="006D2A01"/>
    <w:rsid w:val="006E0F5E"/>
    <w:rsid w:val="006E3E4E"/>
    <w:rsid w:val="006E6890"/>
    <w:rsid w:val="006F480B"/>
    <w:rsid w:val="006F50ED"/>
    <w:rsid w:val="007011C6"/>
    <w:rsid w:val="00701E1E"/>
    <w:rsid w:val="00701EAB"/>
    <w:rsid w:val="00704D01"/>
    <w:rsid w:val="00706699"/>
    <w:rsid w:val="007148DE"/>
    <w:rsid w:val="00733FB3"/>
    <w:rsid w:val="00736625"/>
    <w:rsid w:val="00736F8F"/>
    <w:rsid w:val="00737BA2"/>
    <w:rsid w:val="00742B41"/>
    <w:rsid w:val="007464A6"/>
    <w:rsid w:val="00750163"/>
    <w:rsid w:val="00752231"/>
    <w:rsid w:val="007600C2"/>
    <w:rsid w:val="00762FF7"/>
    <w:rsid w:val="0076356E"/>
    <w:rsid w:val="0076382A"/>
    <w:rsid w:val="00766168"/>
    <w:rsid w:val="0077540D"/>
    <w:rsid w:val="00775C70"/>
    <w:rsid w:val="00777038"/>
    <w:rsid w:val="00781143"/>
    <w:rsid w:val="00786052"/>
    <w:rsid w:val="00791DAE"/>
    <w:rsid w:val="0079588A"/>
    <w:rsid w:val="00795CAC"/>
    <w:rsid w:val="00796619"/>
    <w:rsid w:val="007A50B9"/>
    <w:rsid w:val="007A65EA"/>
    <w:rsid w:val="007B0BCD"/>
    <w:rsid w:val="007B3328"/>
    <w:rsid w:val="007B3478"/>
    <w:rsid w:val="007C41B3"/>
    <w:rsid w:val="007D05FF"/>
    <w:rsid w:val="007D0BA8"/>
    <w:rsid w:val="007D1B3B"/>
    <w:rsid w:val="007D276A"/>
    <w:rsid w:val="007E207D"/>
    <w:rsid w:val="007E5544"/>
    <w:rsid w:val="007F059B"/>
    <w:rsid w:val="007F6ECD"/>
    <w:rsid w:val="007F79A9"/>
    <w:rsid w:val="008000FE"/>
    <w:rsid w:val="00821D01"/>
    <w:rsid w:val="00830E39"/>
    <w:rsid w:val="00850BA3"/>
    <w:rsid w:val="00855C6E"/>
    <w:rsid w:val="00862909"/>
    <w:rsid w:val="00863951"/>
    <w:rsid w:val="00865834"/>
    <w:rsid w:val="00867598"/>
    <w:rsid w:val="00872407"/>
    <w:rsid w:val="00873761"/>
    <w:rsid w:val="00882641"/>
    <w:rsid w:val="00883045"/>
    <w:rsid w:val="0089309C"/>
    <w:rsid w:val="008933A3"/>
    <w:rsid w:val="00895C04"/>
    <w:rsid w:val="008A50F6"/>
    <w:rsid w:val="008B0835"/>
    <w:rsid w:val="008B0FEB"/>
    <w:rsid w:val="008B17E3"/>
    <w:rsid w:val="008B31AB"/>
    <w:rsid w:val="008B3699"/>
    <w:rsid w:val="008B45B8"/>
    <w:rsid w:val="008C1EDD"/>
    <w:rsid w:val="008C4E8C"/>
    <w:rsid w:val="008C5121"/>
    <w:rsid w:val="008C5A7E"/>
    <w:rsid w:val="008D304A"/>
    <w:rsid w:val="008E2106"/>
    <w:rsid w:val="008F1D89"/>
    <w:rsid w:val="008F2498"/>
    <w:rsid w:val="008F7677"/>
    <w:rsid w:val="00901BB0"/>
    <w:rsid w:val="00901BE6"/>
    <w:rsid w:val="009026C5"/>
    <w:rsid w:val="0091251C"/>
    <w:rsid w:val="00914708"/>
    <w:rsid w:val="009157B0"/>
    <w:rsid w:val="0091708A"/>
    <w:rsid w:val="0092152C"/>
    <w:rsid w:val="009330BC"/>
    <w:rsid w:val="00933540"/>
    <w:rsid w:val="00933FAF"/>
    <w:rsid w:val="009366E2"/>
    <w:rsid w:val="009405E3"/>
    <w:rsid w:val="009440B4"/>
    <w:rsid w:val="00950FC7"/>
    <w:rsid w:val="00954A1E"/>
    <w:rsid w:val="00956C20"/>
    <w:rsid w:val="009604DB"/>
    <w:rsid w:val="00967735"/>
    <w:rsid w:val="009745E0"/>
    <w:rsid w:val="00976D9E"/>
    <w:rsid w:val="009825D9"/>
    <w:rsid w:val="00983683"/>
    <w:rsid w:val="00985833"/>
    <w:rsid w:val="009953AC"/>
    <w:rsid w:val="009971FD"/>
    <w:rsid w:val="009A2470"/>
    <w:rsid w:val="009A4CE1"/>
    <w:rsid w:val="009B2100"/>
    <w:rsid w:val="009B7DE7"/>
    <w:rsid w:val="009C11F6"/>
    <w:rsid w:val="009E14BB"/>
    <w:rsid w:val="009E19FA"/>
    <w:rsid w:val="009F3C31"/>
    <w:rsid w:val="009F7BFF"/>
    <w:rsid w:val="00A05E8A"/>
    <w:rsid w:val="00A11B78"/>
    <w:rsid w:val="00A12DF3"/>
    <w:rsid w:val="00A13C03"/>
    <w:rsid w:val="00A27A23"/>
    <w:rsid w:val="00A31C3B"/>
    <w:rsid w:val="00A44ACE"/>
    <w:rsid w:val="00A552D8"/>
    <w:rsid w:val="00A73734"/>
    <w:rsid w:val="00A74091"/>
    <w:rsid w:val="00A82891"/>
    <w:rsid w:val="00A84DCF"/>
    <w:rsid w:val="00A862A2"/>
    <w:rsid w:val="00A95BFB"/>
    <w:rsid w:val="00AB0A2C"/>
    <w:rsid w:val="00AB24FE"/>
    <w:rsid w:val="00AC25E1"/>
    <w:rsid w:val="00AD55C3"/>
    <w:rsid w:val="00AE237B"/>
    <w:rsid w:val="00AF5D14"/>
    <w:rsid w:val="00AF5E64"/>
    <w:rsid w:val="00B01D8D"/>
    <w:rsid w:val="00B06182"/>
    <w:rsid w:val="00B168B6"/>
    <w:rsid w:val="00B27D02"/>
    <w:rsid w:val="00B31075"/>
    <w:rsid w:val="00B35C5D"/>
    <w:rsid w:val="00B43A15"/>
    <w:rsid w:val="00B64250"/>
    <w:rsid w:val="00B64930"/>
    <w:rsid w:val="00B66CE0"/>
    <w:rsid w:val="00B67BBF"/>
    <w:rsid w:val="00B70900"/>
    <w:rsid w:val="00B75B0F"/>
    <w:rsid w:val="00B75C75"/>
    <w:rsid w:val="00B7663A"/>
    <w:rsid w:val="00B81F1F"/>
    <w:rsid w:val="00B846FE"/>
    <w:rsid w:val="00B9049B"/>
    <w:rsid w:val="00B92323"/>
    <w:rsid w:val="00B9243A"/>
    <w:rsid w:val="00B950F2"/>
    <w:rsid w:val="00B960BE"/>
    <w:rsid w:val="00B9694D"/>
    <w:rsid w:val="00BA3897"/>
    <w:rsid w:val="00BA4DCE"/>
    <w:rsid w:val="00BA7424"/>
    <w:rsid w:val="00BA7BD3"/>
    <w:rsid w:val="00BA7E08"/>
    <w:rsid w:val="00BB0C76"/>
    <w:rsid w:val="00BB3860"/>
    <w:rsid w:val="00BB4076"/>
    <w:rsid w:val="00BB638B"/>
    <w:rsid w:val="00BC1FE8"/>
    <w:rsid w:val="00BC2D31"/>
    <w:rsid w:val="00BC58B3"/>
    <w:rsid w:val="00BC727B"/>
    <w:rsid w:val="00BC7FDE"/>
    <w:rsid w:val="00BD1CC8"/>
    <w:rsid w:val="00BD5741"/>
    <w:rsid w:val="00BE7A38"/>
    <w:rsid w:val="00C0361B"/>
    <w:rsid w:val="00C10F93"/>
    <w:rsid w:val="00C15AF4"/>
    <w:rsid w:val="00C212F8"/>
    <w:rsid w:val="00C258F9"/>
    <w:rsid w:val="00C359D9"/>
    <w:rsid w:val="00C35BFE"/>
    <w:rsid w:val="00C37C5E"/>
    <w:rsid w:val="00C401E5"/>
    <w:rsid w:val="00C44F2B"/>
    <w:rsid w:val="00C47FE9"/>
    <w:rsid w:val="00C56A9D"/>
    <w:rsid w:val="00C57F8C"/>
    <w:rsid w:val="00C6122D"/>
    <w:rsid w:val="00C65FB5"/>
    <w:rsid w:val="00C73688"/>
    <w:rsid w:val="00C765D8"/>
    <w:rsid w:val="00C810B4"/>
    <w:rsid w:val="00C87FA8"/>
    <w:rsid w:val="00C90B35"/>
    <w:rsid w:val="00C92170"/>
    <w:rsid w:val="00CA1BE3"/>
    <w:rsid w:val="00CA3402"/>
    <w:rsid w:val="00CC2255"/>
    <w:rsid w:val="00CC572F"/>
    <w:rsid w:val="00CD162C"/>
    <w:rsid w:val="00CD5C09"/>
    <w:rsid w:val="00CD5DFA"/>
    <w:rsid w:val="00CD6EB8"/>
    <w:rsid w:val="00CE0F08"/>
    <w:rsid w:val="00CE2BD3"/>
    <w:rsid w:val="00CE531A"/>
    <w:rsid w:val="00CF0B0E"/>
    <w:rsid w:val="00CF28C4"/>
    <w:rsid w:val="00CF4DAC"/>
    <w:rsid w:val="00CF6455"/>
    <w:rsid w:val="00CF738B"/>
    <w:rsid w:val="00D01868"/>
    <w:rsid w:val="00D019AE"/>
    <w:rsid w:val="00D11884"/>
    <w:rsid w:val="00D13D3C"/>
    <w:rsid w:val="00D271DB"/>
    <w:rsid w:val="00D32CBF"/>
    <w:rsid w:val="00D3578B"/>
    <w:rsid w:val="00D46686"/>
    <w:rsid w:val="00D50CF2"/>
    <w:rsid w:val="00D50E17"/>
    <w:rsid w:val="00D51B79"/>
    <w:rsid w:val="00D54F96"/>
    <w:rsid w:val="00D56FF7"/>
    <w:rsid w:val="00D60A7C"/>
    <w:rsid w:val="00D70054"/>
    <w:rsid w:val="00D74566"/>
    <w:rsid w:val="00D74D8E"/>
    <w:rsid w:val="00D77CDC"/>
    <w:rsid w:val="00D80337"/>
    <w:rsid w:val="00D8175C"/>
    <w:rsid w:val="00D82796"/>
    <w:rsid w:val="00D87A18"/>
    <w:rsid w:val="00D91511"/>
    <w:rsid w:val="00DA0E25"/>
    <w:rsid w:val="00DB040C"/>
    <w:rsid w:val="00DB345E"/>
    <w:rsid w:val="00DB5077"/>
    <w:rsid w:val="00DC3218"/>
    <w:rsid w:val="00DC6C21"/>
    <w:rsid w:val="00DC6D8B"/>
    <w:rsid w:val="00DC7884"/>
    <w:rsid w:val="00DD001E"/>
    <w:rsid w:val="00DD3E02"/>
    <w:rsid w:val="00DD600F"/>
    <w:rsid w:val="00DD7874"/>
    <w:rsid w:val="00DE21DA"/>
    <w:rsid w:val="00E00208"/>
    <w:rsid w:val="00E00E47"/>
    <w:rsid w:val="00E01BFD"/>
    <w:rsid w:val="00E06417"/>
    <w:rsid w:val="00E101B2"/>
    <w:rsid w:val="00E12D63"/>
    <w:rsid w:val="00E13FBE"/>
    <w:rsid w:val="00E17824"/>
    <w:rsid w:val="00E239EC"/>
    <w:rsid w:val="00E23EE5"/>
    <w:rsid w:val="00E30E69"/>
    <w:rsid w:val="00E41B70"/>
    <w:rsid w:val="00E43A34"/>
    <w:rsid w:val="00E454B0"/>
    <w:rsid w:val="00E45FFE"/>
    <w:rsid w:val="00E47BC7"/>
    <w:rsid w:val="00E50B43"/>
    <w:rsid w:val="00E5396F"/>
    <w:rsid w:val="00E57B13"/>
    <w:rsid w:val="00E57CFD"/>
    <w:rsid w:val="00E646A0"/>
    <w:rsid w:val="00E671EB"/>
    <w:rsid w:val="00E72B50"/>
    <w:rsid w:val="00E74C5D"/>
    <w:rsid w:val="00E81F75"/>
    <w:rsid w:val="00E8236F"/>
    <w:rsid w:val="00E8639D"/>
    <w:rsid w:val="00E90954"/>
    <w:rsid w:val="00E936A0"/>
    <w:rsid w:val="00E9531B"/>
    <w:rsid w:val="00E954B7"/>
    <w:rsid w:val="00EA0D21"/>
    <w:rsid w:val="00EA3B9A"/>
    <w:rsid w:val="00EA61EE"/>
    <w:rsid w:val="00EA7802"/>
    <w:rsid w:val="00EB1FDC"/>
    <w:rsid w:val="00EC1990"/>
    <w:rsid w:val="00EC5172"/>
    <w:rsid w:val="00ED040F"/>
    <w:rsid w:val="00ED1C95"/>
    <w:rsid w:val="00EE6B58"/>
    <w:rsid w:val="00EF7C9A"/>
    <w:rsid w:val="00F017F7"/>
    <w:rsid w:val="00F0284D"/>
    <w:rsid w:val="00F03257"/>
    <w:rsid w:val="00F0486A"/>
    <w:rsid w:val="00F121F1"/>
    <w:rsid w:val="00F209C7"/>
    <w:rsid w:val="00F21BA8"/>
    <w:rsid w:val="00F235F4"/>
    <w:rsid w:val="00F35D49"/>
    <w:rsid w:val="00F3625C"/>
    <w:rsid w:val="00F40665"/>
    <w:rsid w:val="00F4509A"/>
    <w:rsid w:val="00F479A7"/>
    <w:rsid w:val="00F668B6"/>
    <w:rsid w:val="00FA132F"/>
    <w:rsid w:val="00FA2396"/>
    <w:rsid w:val="00FB22BE"/>
    <w:rsid w:val="00FB365A"/>
    <w:rsid w:val="00FB69B9"/>
    <w:rsid w:val="00FC135A"/>
    <w:rsid w:val="00FC4FB1"/>
    <w:rsid w:val="00FD0B80"/>
    <w:rsid w:val="00FD26CB"/>
    <w:rsid w:val="00FE2992"/>
    <w:rsid w:val="00FE4689"/>
    <w:rsid w:val="00FE6852"/>
    <w:rsid w:val="00FF2367"/>
    <w:rsid w:val="00FF57AC"/>
    <w:rsid w:val="00FF5C95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9EC"/>
    <w:pPr>
      <w:spacing w:before="120" w:after="120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B01D8D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B01D8D"/>
    <w:pPr>
      <w:keepNext/>
      <w:spacing w:before="240" w:after="60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Normal"/>
    <w:next w:val="Normal"/>
    <w:qFormat/>
    <w:rsid w:val="00B01D8D"/>
    <w:pPr>
      <w:keepNext/>
      <w:spacing w:before="240" w:after="60"/>
      <w:ind w:left="567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01D8D"/>
    <w:pPr>
      <w:keepNext/>
      <w:spacing w:before="240" w:after="60"/>
      <w:ind w:left="567"/>
      <w:outlineLvl w:val="3"/>
    </w:pPr>
    <w:rPr>
      <w:rFonts w:ascii="Arial Bold" w:hAnsi="Arial Bold"/>
      <w:b/>
    </w:rPr>
  </w:style>
  <w:style w:type="paragraph" w:styleId="Heading5">
    <w:name w:val="heading 5"/>
    <w:basedOn w:val="Normal"/>
    <w:next w:val="Normal"/>
    <w:qFormat/>
    <w:rsid w:val="00B01D8D"/>
    <w:pPr>
      <w:spacing w:before="240" w:after="60"/>
      <w:ind w:left="567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239EC"/>
    <w:pPr>
      <w:tabs>
        <w:tab w:val="center" w:pos="4153"/>
        <w:tab w:val="right" w:pos="8306"/>
      </w:tabs>
      <w:spacing w:before="20" w:after="20"/>
    </w:pPr>
    <w:rPr>
      <w:rFonts w:ascii="Verdana" w:hAnsi="Verdana"/>
      <w:sz w:val="12"/>
    </w:rPr>
  </w:style>
  <w:style w:type="paragraph" w:styleId="Footer">
    <w:name w:val="footer"/>
    <w:basedOn w:val="Normal"/>
    <w:rsid w:val="00E239EC"/>
    <w:pPr>
      <w:tabs>
        <w:tab w:val="center" w:pos="4153"/>
        <w:tab w:val="right" w:pos="8306"/>
      </w:tabs>
    </w:pPr>
    <w:rPr>
      <w:b/>
      <w:sz w:val="14"/>
    </w:rPr>
  </w:style>
  <w:style w:type="paragraph" w:customStyle="1" w:styleId="RecipientDetails">
    <w:name w:val="Recipient Details"/>
    <w:next w:val="Normal"/>
    <w:rsid w:val="00E239EC"/>
    <w:pPr>
      <w:spacing w:before="120" w:after="120"/>
    </w:pPr>
    <w:rPr>
      <w:rFonts w:ascii="Verdana" w:hAnsi="Verdana"/>
      <w:b/>
      <w:sz w:val="18"/>
    </w:rPr>
  </w:style>
  <w:style w:type="table" w:styleId="TableGrid">
    <w:name w:val="Table Grid"/>
    <w:basedOn w:val="TableNormal"/>
    <w:semiHidden/>
    <w:rsid w:val="00E23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bullets">
    <w:name w:val="Footer bullets"/>
    <w:rsid w:val="00E239EC"/>
    <w:pPr>
      <w:numPr>
        <w:numId w:val="3"/>
      </w:numPr>
      <w:spacing w:before="20" w:after="20"/>
      <w:ind w:left="714" w:hanging="357"/>
    </w:pPr>
    <w:rPr>
      <w:rFonts w:ascii="Verdana" w:hAnsi="Verdana"/>
      <w:sz w:val="10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3360C4"/>
    <w:pPr>
      <w:spacing w:before="0"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B01D8D"/>
    <w:rPr>
      <w:rFonts w:ascii="Arial Bold" w:hAnsi="Arial Bold"/>
      <w:b/>
      <w:sz w:val="24"/>
    </w:rPr>
  </w:style>
  <w:style w:type="paragraph" w:styleId="TOC2">
    <w:name w:val="toc 2"/>
    <w:basedOn w:val="Normal"/>
    <w:next w:val="Normal"/>
    <w:autoRedefine/>
    <w:semiHidden/>
    <w:rsid w:val="00B01D8D"/>
  </w:style>
  <w:style w:type="paragraph" w:styleId="TOC3">
    <w:name w:val="toc 3"/>
    <w:basedOn w:val="Normal"/>
    <w:next w:val="Normal"/>
    <w:autoRedefine/>
    <w:semiHidden/>
    <w:rsid w:val="00B01D8D"/>
    <w:pPr>
      <w:ind w:left="567"/>
    </w:pPr>
  </w:style>
  <w:style w:type="character" w:customStyle="1" w:styleId="BalloonTextChar">
    <w:name w:val="Balloon Text Char"/>
    <w:basedOn w:val="DefaultParagraphFont"/>
    <w:link w:val="BalloonText"/>
    <w:rsid w:val="003360C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35D49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5D49"/>
    <w:rPr>
      <w:rFonts w:ascii="Verdana" w:hAnsi="Verdana"/>
    </w:rPr>
  </w:style>
  <w:style w:type="character" w:styleId="FootnoteReference">
    <w:name w:val="footnote reference"/>
    <w:basedOn w:val="DefaultParagraphFont"/>
    <w:rsid w:val="00F35D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C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2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87A18"/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87A18"/>
    <w:rPr>
      <w:rFonts w:ascii="Calibri" w:hAnsi="Calibri"/>
      <w:sz w:val="22"/>
      <w:szCs w:val="22"/>
      <w:lang w:val="en-US" w:eastAsia="en-US"/>
    </w:rPr>
  </w:style>
  <w:style w:type="character" w:customStyle="1" w:styleId="psrch-metadata1">
    <w:name w:val="psrch-metadata1"/>
    <w:basedOn w:val="DefaultParagraphFont"/>
    <w:rsid w:val="002D1557"/>
    <w:rPr>
      <w:rFonts w:ascii="Tahoma" w:hAnsi="Tahoma" w:cs="Tahoma" w:hint="default"/>
      <w:color w:val="333333"/>
      <w:sz w:val="24"/>
      <w:szCs w:val="24"/>
    </w:rPr>
  </w:style>
  <w:style w:type="paragraph" w:customStyle="1" w:styleId="EMR-RSR-List-1-MNum">
    <w:name w:val="EMR-RSR-List-1-MNum"/>
    <w:basedOn w:val="Normal"/>
    <w:uiPriority w:val="99"/>
    <w:rsid w:val="00E00E47"/>
    <w:pPr>
      <w:autoSpaceDE w:val="0"/>
      <w:autoSpaceDN w:val="0"/>
      <w:ind w:left="1701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EMR-RSR-List-2-MNum">
    <w:name w:val="EMR-RSR-List-2-MNum"/>
    <w:basedOn w:val="Normal"/>
    <w:uiPriority w:val="99"/>
    <w:rsid w:val="00E00E47"/>
    <w:pPr>
      <w:autoSpaceDE w:val="0"/>
      <w:autoSpaceDN w:val="0"/>
      <w:ind w:left="2268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EMR-Subrule">
    <w:name w:val="EMR-Subrule"/>
    <w:basedOn w:val="Normal"/>
    <w:uiPriority w:val="99"/>
    <w:rsid w:val="00E00E47"/>
    <w:pPr>
      <w:autoSpaceDE w:val="0"/>
      <w:autoSpaceDN w:val="0"/>
      <w:spacing w:before="240" w:after="60"/>
      <w:ind w:left="1134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157">
          <w:marLeft w:val="57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752">
          <w:marLeft w:val="50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png@01CDD6AC.38AA827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id:image015.jpg@01CDD6B4.5F5733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png@01CDD6AE.C851307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5.jpg@01CDD6B4.5F5733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CDD6B4.5F573320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CCDE-B635-47CC-A8D7-79DAEBB5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Colour logo</vt:lpstr>
    </vt:vector>
  </TitlesOfParts>
  <Company>AGL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Colour logo</dc:title>
  <dc:subject/>
  <dc:creator>a3380</dc:creator>
  <cp:keywords/>
  <dc:description>St Leonards Address, Phone and PO Box _x000d_
Nth Syd, Fdk, Chullora and Mount st removed as locations_x000d_
</dc:description>
  <cp:lastModifiedBy>cmart</cp:lastModifiedBy>
  <cp:revision>2</cp:revision>
  <cp:lastPrinted>2013-01-03T01:28:00Z</cp:lastPrinted>
  <dcterms:created xsi:type="dcterms:W3CDTF">2013-01-16T03:10:00Z</dcterms:created>
  <dcterms:modified xsi:type="dcterms:W3CDTF">2013-01-16T03:10:00Z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">
    <vt:lpwstr>Recipient</vt:lpwstr>
  </property>
  <property fmtid="{D5CDD505-2E9C-101B-9397-08002B2CF9AE}" pid="3" name="RTitle">
    <vt:lpwstr>Title</vt:lpwstr>
  </property>
  <property fmtid="{D5CDD505-2E9C-101B-9397-08002B2CF9AE}" pid="4" name="RDept">
    <vt:lpwstr>Dept</vt:lpwstr>
  </property>
  <property fmtid="{D5CDD505-2E9C-101B-9397-08002B2CF9AE}" pid="5" name="RStreet">
    <vt:lpwstr>Street</vt:lpwstr>
  </property>
  <property fmtid="{D5CDD505-2E9C-101B-9397-08002B2CF9AE}" pid="6" name="RSuburb">
    <vt:lpwstr>Suburb</vt:lpwstr>
  </property>
  <property fmtid="{D5CDD505-2E9C-101B-9397-08002B2CF9AE}" pid="7" name="RState">
    <vt:lpwstr>State</vt:lpwstr>
  </property>
  <property fmtid="{D5CDD505-2E9C-101B-9397-08002B2CF9AE}" pid="8" name="RPostcode">
    <vt:lpwstr>Pcode</vt:lpwstr>
  </property>
  <property fmtid="{D5CDD505-2E9C-101B-9397-08002B2CF9AE}" pid="9" name="Dear">
    <vt:lpwstr>Name</vt:lpwstr>
  </property>
  <property fmtid="{D5CDD505-2E9C-101B-9397-08002B2CF9AE}" pid="10" name="Sender">
    <vt:lpwstr>Your name</vt:lpwstr>
  </property>
  <property fmtid="{D5CDD505-2E9C-101B-9397-08002B2CF9AE}" pid="11" name="STitle">
    <vt:lpwstr/>
  </property>
  <property fmtid="{D5CDD505-2E9C-101B-9397-08002B2CF9AE}" pid="12" name="SCompany">
    <vt:lpwstr>AGL Energy Limited</vt:lpwstr>
  </property>
  <property fmtid="{D5CDD505-2E9C-101B-9397-08002B2CF9AE}" pid="13" name="SAddress">
    <vt:lpwstr/>
  </property>
  <property fmtid="{D5CDD505-2E9C-101B-9397-08002B2CF9AE}" pid="14" name="SAddress2">
    <vt:lpwstr>72 Christie Street</vt:lpwstr>
  </property>
  <property fmtid="{D5CDD505-2E9C-101B-9397-08002B2CF9AE}" pid="15" name="SPostal">
    <vt:lpwstr>Locked Bag 1837</vt:lpwstr>
  </property>
  <property fmtid="{D5CDD505-2E9C-101B-9397-08002B2CF9AE}" pid="16" name="PaddressSub">
    <vt:lpwstr>St Leonards  NSW  2065</vt:lpwstr>
  </property>
  <property fmtid="{D5CDD505-2E9C-101B-9397-08002B2CF9AE}" pid="17" name="STel">
    <vt:lpwstr>02 9921 2999</vt:lpwstr>
  </property>
  <property fmtid="{D5CDD505-2E9C-101B-9397-08002B2CF9AE}" pid="18" name="SFax">
    <vt:lpwstr>02 9921 2552</vt:lpwstr>
  </property>
  <property fmtid="{D5CDD505-2E9C-101B-9397-08002B2CF9AE}" pid="19" name="SAddressSub">
    <vt:lpwstr>St Leonards NSW 2065</vt:lpwstr>
  </property>
  <property fmtid="{D5CDD505-2E9C-101B-9397-08002B2CF9AE}" pid="20" name="SLocation">
    <vt:lpwstr>St Leonards</vt:lpwstr>
  </property>
  <property fmtid="{D5CDD505-2E9C-101B-9397-08002B2CF9AE}" pid="21" name="ABN">
    <vt:lpwstr>ABN: 74 115 061 375</vt:lpwstr>
  </property>
  <property fmtid="{D5CDD505-2E9C-101B-9397-08002B2CF9AE}" pid="22" name="SState">
    <vt:lpwstr>NSW</vt:lpwstr>
  </property>
  <property fmtid="{D5CDD505-2E9C-101B-9397-08002B2CF9AE}" pid="23" name="SBranch">
    <vt:lpwstr>St Leonards</vt:lpwstr>
  </property>
  <property fmtid="{D5CDD505-2E9C-101B-9397-08002B2CF9AE}" pid="24" name="ACN">
    <vt:lpwstr>xxxxxxxxx</vt:lpwstr>
  </property>
  <property fmtid="{D5CDD505-2E9C-101B-9397-08002B2CF9AE}" pid="25" name="Re">
    <vt:lpwstr>Subject</vt:lpwstr>
  </property>
</Properties>
</file>