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12" w:rsidRPr="006B5723" w:rsidRDefault="00170553" w:rsidP="001E787A">
      <w:pPr>
        <w:jc w:val="both"/>
        <w:rPr>
          <w:rFonts w:ascii="Arial Narrow" w:hAnsi="Arial Narrow"/>
        </w:rPr>
      </w:pPr>
      <w:bookmarkStart w:id="0" w:name="_GoBack"/>
      <w:bookmarkEnd w:id="0"/>
      <w:r w:rsidRPr="002F38C0">
        <w:rPr>
          <w:b/>
          <w:noProof/>
          <w:sz w:val="72"/>
          <w:lang w:eastAsia="en-AU"/>
        </w:rPr>
        <w:drawing>
          <wp:anchor distT="0" distB="0" distL="114300" distR="114300" simplePos="0" relativeHeight="251661312" behindDoc="0" locked="0" layoutInCell="1" allowOverlap="1" wp14:anchorId="4B1A97DE" wp14:editId="56410314">
            <wp:simplePos x="0" y="0"/>
            <wp:positionH relativeFrom="column">
              <wp:posOffset>2914650</wp:posOffset>
            </wp:positionH>
            <wp:positionV relativeFrom="paragraph">
              <wp:posOffset>0</wp:posOffset>
            </wp:positionV>
            <wp:extent cx="2302053" cy="648586"/>
            <wp:effectExtent l="0" t="0" r="3175" b="0"/>
            <wp:wrapNone/>
            <wp:docPr id="8" name="Picture 7" descr="C:\Users\mcmillanj\AppData\Local\Microsoft\Windows\Temporary Internet Files\Content.Outlook\C420YX02\AusGasNetworks.jpg"/>
            <wp:cNvGraphicFramePr/>
            <a:graphic xmlns:a="http://schemas.openxmlformats.org/drawingml/2006/main">
              <a:graphicData uri="http://schemas.openxmlformats.org/drawingml/2006/picture">
                <pic:pic xmlns:pic="http://schemas.openxmlformats.org/drawingml/2006/picture">
                  <pic:nvPicPr>
                    <pic:cNvPr id="8" name="Picture 7" descr="C:\Users\mcmillanj\AppData\Local\Microsoft\Windows\Temporary Internet Files\Content.Outlook\C420YX02\AusGasNetwork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2053" cy="6485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3112" w:rsidRPr="006B5723" w:rsidRDefault="00993112" w:rsidP="001E787A">
      <w:pPr>
        <w:jc w:val="both"/>
        <w:rPr>
          <w:rFonts w:ascii="Arial Narrow" w:hAnsi="Arial Narrow"/>
        </w:rPr>
      </w:pPr>
    </w:p>
    <w:p w:rsidR="00993112" w:rsidRPr="006B5723" w:rsidRDefault="00993112" w:rsidP="001E787A">
      <w:pPr>
        <w:jc w:val="both"/>
        <w:rPr>
          <w:rFonts w:ascii="Arial Narrow" w:hAnsi="Arial Narrow"/>
        </w:rPr>
      </w:pPr>
    </w:p>
    <w:p w:rsidR="00993112" w:rsidRPr="006B5723" w:rsidRDefault="00993112" w:rsidP="001E787A">
      <w:pPr>
        <w:pStyle w:val="BoxTitle"/>
        <w:spacing w:before="0" w:after="0" w:line="276" w:lineRule="auto"/>
        <w:ind w:left="0" w:firstLine="0"/>
        <w:rPr>
          <w:sz w:val="36"/>
          <w:szCs w:val="24"/>
          <w:lang w:val="en-US"/>
        </w:rPr>
      </w:pPr>
    </w:p>
    <w:p w:rsidR="00993112" w:rsidRPr="006B5723" w:rsidRDefault="00993112" w:rsidP="001E787A">
      <w:pPr>
        <w:pStyle w:val="BoxTitle"/>
        <w:spacing w:before="0" w:after="0" w:line="276" w:lineRule="auto"/>
        <w:ind w:left="0" w:firstLine="0"/>
        <w:rPr>
          <w:sz w:val="36"/>
          <w:szCs w:val="24"/>
          <w:lang w:val="en-US"/>
        </w:rPr>
      </w:pPr>
    </w:p>
    <w:p w:rsidR="00993112" w:rsidRPr="006B5723" w:rsidRDefault="00993112" w:rsidP="001E787A">
      <w:pPr>
        <w:pStyle w:val="BoxTitle"/>
        <w:spacing w:before="0" w:after="0" w:line="276" w:lineRule="auto"/>
        <w:ind w:left="0" w:firstLine="0"/>
        <w:rPr>
          <w:sz w:val="36"/>
          <w:szCs w:val="24"/>
          <w:lang w:val="en-US"/>
        </w:rPr>
      </w:pPr>
    </w:p>
    <w:p w:rsidR="00993112" w:rsidRPr="00170553" w:rsidRDefault="0034086D" w:rsidP="00170553">
      <w:pPr>
        <w:pStyle w:val="TableContentsHeading"/>
        <w:spacing w:after="320"/>
        <w:rPr>
          <w:color w:val="FF0000"/>
          <w:lang w:val="en-US"/>
        </w:rPr>
      </w:pPr>
      <w:r w:rsidRPr="00170553">
        <w:rPr>
          <w:b/>
          <w:color w:val="4F81BD" w:themeColor="accent1"/>
          <w:sz w:val="72"/>
          <w:lang w:val="en-US" w:eastAsia="ja-JP"/>
        </w:rPr>
        <w:t xml:space="preserve">Application </w:t>
      </w:r>
      <w:r w:rsidR="00556158" w:rsidRPr="00170553">
        <w:rPr>
          <w:b/>
          <w:color w:val="4F81BD" w:themeColor="accent1"/>
          <w:sz w:val="72"/>
          <w:lang w:val="en-US" w:eastAsia="ja-JP"/>
        </w:rPr>
        <w:t>to Consolidate the A</w:t>
      </w:r>
      <w:r w:rsidR="00993112" w:rsidRPr="00170553">
        <w:rPr>
          <w:b/>
          <w:color w:val="4F81BD" w:themeColor="accent1"/>
          <w:sz w:val="72"/>
          <w:lang w:val="en-US" w:eastAsia="ja-JP"/>
        </w:rPr>
        <w:t xml:space="preserve">ccess </w:t>
      </w:r>
      <w:r w:rsidR="00556158" w:rsidRPr="00170553">
        <w:rPr>
          <w:b/>
          <w:color w:val="4F81BD" w:themeColor="accent1"/>
          <w:sz w:val="72"/>
          <w:lang w:val="en-US" w:eastAsia="ja-JP"/>
        </w:rPr>
        <w:t>A</w:t>
      </w:r>
      <w:r w:rsidR="00993112" w:rsidRPr="00170553">
        <w:rPr>
          <w:b/>
          <w:color w:val="4F81BD" w:themeColor="accent1"/>
          <w:sz w:val="72"/>
          <w:lang w:val="en-US" w:eastAsia="ja-JP"/>
        </w:rPr>
        <w:t>rrangement</w:t>
      </w:r>
      <w:r w:rsidR="00556158" w:rsidRPr="00170553">
        <w:rPr>
          <w:b/>
          <w:color w:val="4F81BD" w:themeColor="accent1"/>
          <w:sz w:val="72"/>
          <w:lang w:val="en-US" w:eastAsia="ja-JP"/>
        </w:rPr>
        <w:t>s</w:t>
      </w:r>
      <w:r w:rsidR="00993112" w:rsidRPr="00170553">
        <w:rPr>
          <w:b/>
          <w:color w:val="4F81BD" w:themeColor="accent1"/>
          <w:sz w:val="72"/>
          <w:lang w:val="en-US" w:eastAsia="ja-JP"/>
        </w:rPr>
        <w:t xml:space="preserve"> for the Victorian and Albury</w:t>
      </w:r>
      <w:r w:rsidR="00556158" w:rsidRPr="00170553">
        <w:rPr>
          <w:b/>
          <w:color w:val="4F81BD" w:themeColor="accent1"/>
          <w:sz w:val="72"/>
          <w:lang w:val="en-US" w:eastAsia="ja-JP"/>
        </w:rPr>
        <w:t xml:space="preserve"> Gas D</w:t>
      </w:r>
      <w:r w:rsidR="00993112" w:rsidRPr="00170553">
        <w:rPr>
          <w:b/>
          <w:color w:val="4F81BD" w:themeColor="accent1"/>
          <w:sz w:val="72"/>
          <w:lang w:val="en-US" w:eastAsia="ja-JP"/>
        </w:rPr>
        <w:t>istribution</w:t>
      </w:r>
      <w:r w:rsidR="00993112" w:rsidRPr="00170553">
        <w:rPr>
          <w:color w:val="FF0000"/>
          <w:lang w:val="en-US"/>
        </w:rPr>
        <w:t xml:space="preserve"> </w:t>
      </w:r>
      <w:r w:rsidR="00556158" w:rsidRPr="00170553">
        <w:rPr>
          <w:b/>
          <w:color w:val="4F81BD" w:themeColor="accent1"/>
          <w:sz w:val="72"/>
          <w:lang w:val="en-US" w:eastAsia="ja-JP"/>
        </w:rPr>
        <w:t>N</w:t>
      </w:r>
      <w:r w:rsidR="00993112" w:rsidRPr="00170553">
        <w:rPr>
          <w:b/>
          <w:color w:val="4F81BD" w:themeColor="accent1"/>
          <w:sz w:val="72"/>
          <w:lang w:val="en-US" w:eastAsia="ja-JP"/>
        </w:rPr>
        <w:t>etworks</w:t>
      </w:r>
    </w:p>
    <w:p w:rsidR="00993112" w:rsidRPr="006B5723" w:rsidRDefault="00993112" w:rsidP="001E787A">
      <w:pPr>
        <w:pStyle w:val="BoxTitle"/>
        <w:spacing w:before="0" w:after="0" w:line="276" w:lineRule="auto"/>
        <w:ind w:left="0" w:firstLine="0"/>
        <w:rPr>
          <w:sz w:val="36"/>
          <w:szCs w:val="24"/>
          <w:lang w:val="en-US"/>
        </w:rPr>
      </w:pPr>
    </w:p>
    <w:p w:rsidR="00556158" w:rsidRPr="00170553" w:rsidRDefault="00556158" w:rsidP="00170553">
      <w:pPr>
        <w:pStyle w:val="TableContentsHeading"/>
        <w:rPr>
          <w:color w:val="4F81BD" w:themeColor="accent1"/>
          <w:sz w:val="22"/>
          <w:lang w:val="en-US" w:eastAsia="ja-JP"/>
        </w:rPr>
      </w:pPr>
      <w:r w:rsidRPr="00170553">
        <w:rPr>
          <w:color w:val="4F81BD" w:themeColor="accent1"/>
          <w:sz w:val="22"/>
          <w:lang w:val="en-US" w:eastAsia="ja-JP"/>
        </w:rPr>
        <w:t>Prepared by</w:t>
      </w:r>
    </w:p>
    <w:p w:rsidR="00556158" w:rsidRPr="00170553" w:rsidRDefault="00993112" w:rsidP="00170553">
      <w:pPr>
        <w:pStyle w:val="TableContentsHeading"/>
        <w:rPr>
          <w:color w:val="4F81BD" w:themeColor="accent1"/>
          <w:sz w:val="32"/>
          <w:lang w:val="en-US" w:eastAsia="ja-JP"/>
        </w:rPr>
      </w:pPr>
      <w:r w:rsidRPr="00170553">
        <w:rPr>
          <w:color w:val="4F81BD" w:themeColor="accent1"/>
          <w:sz w:val="32"/>
          <w:lang w:val="en-US" w:eastAsia="ja-JP"/>
        </w:rPr>
        <w:t>Australian Gas Networks</w:t>
      </w:r>
    </w:p>
    <w:p w:rsidR="00556158" w:rsidRPr="00170553" w:rsidRDefault="00556158" w:rsidP="00170553">
      <w:pPr>
        <w:pStyle w:val="TableContentsHeading"/>
        <w:rPr>
          <w:color w:val="4F81BD" w:themeColor="accent1"/>
          <w:sz w:val="22"/>
          <w:lang w:val="en-US" w:eastAsia="ja-JP"/>
        </w:rPr>
      </w:pPr>
    </w:p>
    <w:p w:rsidR="00556158" w:rsidRPr="00170553" w:rsidRDefault="00556158" w:rsidP="00170553">
      <w:pPr>
        <w:pStyle w:val="TableContentsHeading"/>
        <w:rPr>
          <w:color w:val="4F81BD" w:themeColor="accent1"/>
          <w:sz w:val="22"/>
          <w:lang w:val="en-US" w:eastAsia="ja-JP"/>
        </w:rPr>
      </w:pPr>
      <w:r w:rsidRPr="00170553">
        <w:rPr>
          <w:color w:val="4F81BD" w:themeColor="accent1"/>
          <w:sz w:val="22"/>
          <w:lang w:val="en-US" w:eastAsia="ja-JP"/>
        </w:rPr>
        <w:t>November 2015</w:t>
      </w:r>
    </w:p>
    <w:p w:rsidR="001765E4" w:rsidRDefault="001765E4" w:rsidP="001E787A">
      <w:pPr>
        <w:jc w:val="both"/>
        <w:rPr>
          <w:rFonts w:ascii="Arial Narrow" w:hAnsi="Arial Narrow"/>
        </w:rPr>
      </w:pPr>
    </w:p>
    <w:p w:rsidR="002E1EE1" w:rsidRDefault="002E1EE1" w:rsidP="001E787A">
      <w:pPr>
        <w:jc w:val="both"/>
        <w:rPr>
          <w:rFonts w:ascii="Arial Narrow" w:hAnsi="Arial Narrow"/>
        </w:rPr>
      </w:pPr>
    </w:p>
    <w:p w:rsidR="002E1EE1" w:rsidRDefault="002E1EE1" w:rsidP="001E787A">
      <w:pPr>
        <w:jc w:val="both"/>
        <w:rPr>
          <w:rFonts w:ascii="Arial Narrow" w:hAnsi="Arial Narrow"/>
        </w:rPr>
        <w:sectPr w:rsidR="002E1EE1" w:rsidSect="001765E4">
          <w:pgSz w:w="11906" w:h="16838"/>
          <w:pgMar w:top="1440" w:right="1133" w:bottom="1276" w:left="2268" w:header="708" w:footer="0" w:gutter="0"/>
          <w:pgNumType w:start="1"/>
          <w:cols w:space="708"/>
          <w:docGrid w:linePitch="360"/>
        </w:sectPr>
      </w:pPr>
    </w:p>
    <w:p w:rsidR="00993112" w:rsidRPr="001765E4" w:rsidRDefault="001765E4" w:rsidP="001765E4">
      <w:pPr>
        <w:pStyle w:val="TableContentsHeading"/>
        <w:rPr>
          <w:rFonts w:eastAsiaTheme="majorEastAsia" w:cstheme="majorBidi"/>
          <w:bCs/>
          <w:color w:val="4785B6"/>
          <w:lang w:val="en-US"/>
        </w:rPr>
      </w:pPr>
      <w:r w:rsidRPr="001765E4">
        <w:rPr>
          <w:rFonts w:eastAsiaTheme="majorEastAsia" w:cstheme="majorBidi"/>
          <w:bCs/>
          <w:color w:val="4785B6"/>
          <w:lang w:val="en-US"/>
        </w:rPr>
        <w:lastRenderedPageBreak/>
        <w:t>Table of Contents</w:t>
      </w:r>
    </w:p>
    <w:sdt>
      <w:sdtPr>
        <w:rPr>
          <w:rFonts w:asciiTheme="minorHAnsi" w:eastAsiaTheme="minorEastAsia" w:hAnsiTheme="minorHAnsi" w:cs="ApexNew-Book"/>
          <w:b w:val="0"/>
          <w:bCs w:val="0"/>
          <w:color w:val="1D1D1C"/>
          <w:sz w:val="22"/>
          <w:szCs w:val="22"/>
          <w:lang w:val="en-AU" w:eastAsia="en-US"/>
        </w:rPr>
        <w:id w:val="920068798"/>
        <w:docPartObj>
          <w:docPartGallery w:val="Table of Contents"/>
          <w:docPartUnique/>
        </w:docPartObj>
      </w:sdtPr>
      <w:sdtEndPr>
        <w:rPr>
          <w:rFonts w:ascii="Arial Narrow" w:eastAsiaTheme="minorHAnsi" w:hAnsi="Arial Narrow" w:cstheme="minorBidi"/>
          <w:noProof/>
          <w:color w:val="auto"/>
        </w:rPr>
      </w:sdtEndPr>
      <w:sdtContent>
        <w:p w:rsidR="00993112" w:rsidRPr="00C62271" w:rsidRDefault="00993112" w:rsidP="009C346A">
          <w:pPr>
            <w:pStyle w:val="TOCHeading"/>
          </w:pPr>
        </w:p>
        <w:p w:rsidR="002B2BCF" w:rsidRDefault="001765E4">
          <w:pPr>
            <w:pStyle w:val="TOC1"/>
            <w:tabs>
              <w:tab w:val="left" w:pos="440"/>
            </w:tabs>
            <w:rPr>
              <w:rFonts w:asciiTheme="minorHAnsi" w:hAnsiTheme="minorHAnsi" w:cstheme="minorBidi"/>
              <w:b w:val="0"/>
              <w:noProof/>
              <w:color w:val="auto"/>
              <w:sz w:val="22"/>
              <w:szCs w:val="22"/>
              <w:lang w:eastAsia="en-AU"/>
            </w:rPr>
          </w:pPr>
          <w:r>
            <w:rPr>
              <w:b w:val="0"/>
              <w:color w:val="4F81BD" w:themeColor="accent1"/>
            </w:rPr>
            <w:fldChar w:fldCharType="begin"/>
          </w:r>
          <w:r>
            <w:rPr>
              <w:b w:val="0"/>
              <w:color w:val="4F81BD" w:themeColor="accent1"/>
            </w:rPr>
            <w:instrText xml:space="preserve"> TOC \o "1-2" \h \z \u </w:instrText>
          </w:r>
          <w:r>
            <w:rPr>
              <w:b w:val="0"/>
              <w:color w:val="4F81BD" w:themeColor="accent1"/>
            </w:rPr>
            <w:fldChar w:fldCharType="separate"/>
          </w:r>
          <w:hyperlink w:anchor="_Toc440613701" w:history="1">
            <w:r w:rsidR="002B2BCF" w:rsidRPr="00026DC6">
              <w:rPr>
                <w:rStyle w:val="Hyperlink"/>
                <w:noProof/>
              </w:rPr>
              <w:t>1</w:t>
            </w:r>
            <w:r w:rsidR="002B2BCF">
              <w:rPr>
                <w:rFonts w:asciiTheme="minorHAnsi" w:hAnsiTheme="minorHAnsi" w:cstheme="minorBidi"/>
                <w:b w:val="0"/>
                <w:noProof/>
                <w:color w:val="auto"/>
                <w:sz w:val="22"/>
                <w:szCs w:val="22"/>
                <w:lang w:eastAsia="en-AU"/>
              </w:rPr>
              <w:tab/>
            </w:r>
            <w:r w:rsidR="002B2BCF" w:rsidRPr="00026DC6">
              <w:rPr>
                <w:rStyle w:val="Hyperlink"/>
                <w:noProof/>
              </w:rPr>
              <w:t>Overview</w:t>
            </w:r>
            <w:r w:rsidR="002B2BCF">
              <w:rPr>
                <w:noProof/>
                <w:webHidden/>
              </w:rPr>
              <w:tab/>
            </w:r>
            <w:r w:rsidR="002B2BCF">
              <w:rPr>
                <w:noProof/>
                <w:webHidden/>
              </w:rPr>
              <w:fldChar w:fldCharType="begin"/>
            </w:r>
            <w:r w:rsidR="002B2BCF">
              <w:rPr>
                <w:noProof/>
                <w:webHidden/>
              </w:rPr>
              <w:instrText xml:space="preserve"> PAGEREF _Toc440613701 \h </w:instrText>
            </w:r>
            <w:r w:rsidR="002B2BCF">
              <w:rPr>
                <w:noProof/>
                <w:webHidden/>
              </w:rPr>
            </w:r>
            <w:r w:rsidR="002B2BCF">
              <w:rPr>
                <w:noProof/>
                <w:webHidden/>
              </w:rPr>
              <w:fldChar w:fldCharType="separate"/>
            </w:r>
            <w:r w:rsidR="002B2BCF">
              <w:rPr>
                <w:noProof/>
                <w:webHidden/>
              </w:rPr>
              <w:t>1</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2" w:history="1">
            <w:r w:rsidR="002B2BCF" w:rsidRPr="00026DC6">
              <w:rPr>
                <w:rStyle w:val="Hyperlink"/>
                <w:noProof/>
              </w:rPr>
              <w:t>2</w:t>
            </w:r>
            <w:r w:rsidR="002B2BCF">
              <w:rPr>
                <w:rFonts w:asciiTheme="minorHAnsi" w:hAnsiTheme="minorHAnsi" w:cstheme="minorBidi"/>
                <w:b w:val="0"/>
                <w:noProof/>
                <w:color w:val="auto"/>
                <w:sz w:val="22"/>
                <w:szCs w:val="22"/>
                <w:lang w:eastAsia="en-AU"/>
              </w:rPr>
              <w:tab/>
            </w:r>
            <w:r w:rsidR="002B2BCF" w:rsidRPr="00026DC6">
              <w:rPr>
                <w:rStyle w:val="Hyperlink"/>
                <w:noProof/>
              </w:rPr>
              <w:t>NGR Requirements</w:t>
            </w:r>
            <w:r w:rsidR="002B2BCF">
              <w:rPr>
                <w:noProof/>
                <w:webHidden/>
              </w:rPr>
              <w:tab/>
            </w:r>
            <w:r w:rsidR="002B2BCF">
              <w:rPr>
                <w:noProof/>
                <w:webHidden/>
              </w:rPr>
              <w:fldChar w:fldCharType="begin"/>
            </w:r>
            <w:r w:rsidR="002B2BCF">
              <w:rPr>
                <w:noProof/>
                <w:webHidden/>
              </w:rPr>
              <w:instrText xml:space="preserve"> PAGEREF _Toc440613702 \h </w:instrText>
            </w:r>
            <w:r w:rsidR="002B2BCF">
              <w:rPr>
                <w:noProof/>
                <w:webHidden/>
              </w:rPr>
            </w:r>
            <w:r w:rsidR="002B2BCF">
              <w:rPr>
                <w:noProof/>
                <w:webHidden/>
              </w:rPr>
              <w:fldChar w:fldCharType="separate"/>
            </w:r>
            <w:r w:rsidR="002B2BCF">
              <w:rPr>
                <w:noProof/>
                <w:webHidden/>
              </w:rPr>
              <w:t>2</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3" w:history="1">
            <w:r w:rsidR="002B2BCF" w:rsidRPr="00026DC6">
              <w:rPr>
                <w:rStyle w:val="Hyperlink"/>
                <w:noProof/>
              </w:rPr>
              <w:t>3</w:t>
            </w:r>
            <w:r w:rsidR="002B2BCF">
              <w:rPr>
                <w:rFonts w:asciiTheme="minorHAnsi" w:hAnsiTheme="minorHAnsi" w:cstheme="minorBidi"/>
                <w:b w:val="0"/>
                <w:noProof/>
                <w:color w:val="auto"/>
                <w:sz w:val="22"/>
                <w:szCs w:val="22"/>
                <w:lang w:eastAsia="en-AU"/>
              </w:rPr>
              <w:tab/>
            </w:r>
            <w:r w:rsidR="002B2BCF" w:rsidRPr="00026DC6">
              <w:rPr>
                <w:rStyle w:val="Hyperlink"/>
                <w:noProof/>
              </w:rPr>
              <w:t>Nature of the Pipelines and Pipeline Services</w:t>
            </w:r>
            <w:r w:rsidR="002B2BCF">
              <w:rPr>
                <w:noProof/>
                <w:webHidden/>
              </w:rPr>
              <w:tab/>
            </w:r>
            <w:r w:rsidR="002B2BCF">
              <w:rPr>
                <w:noProof/>
                <w:webHidden/>
              </w:rPr>
              <w:fldChar w:fldCharType="begin"/>
            </w:r>
            <w:r w:rsidR="002B2BCF">
              <w:rPr>
                <w:noProof/>
                <w:webHidden/>
              </w:rPr>
              <w:instrText xml:space="preserve"> PAGEREF _Toc440613703 \h </w:instrText>
            </w:r>
            <w:r w:rsidR="002B2BCF">
              <w:rPr>
                <w:noProof/>
                <w:webHidden/>
              </w:rPr>
            </w:r>
            <w:r w:rsidR="002B2BCF">
              <w:rPr>
                <w:noProof/>
                <w:webHidden/>
              </w:rPr>
              <w:fldChar w:fldCharType="separate"/>
            </w:r>
            <w:r w:rsidR="002B2BCF">
              <w:rPr>
                <w:noProof/>
                <w:webHidden/>
              </w:rPr>
              <w:t>3</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4" w:history="1">
            <w:r w:rsidR="002B2BCF" w:rsidRPr="00026DC6">
              <w:rPr>
                <w:rStyle w:val="Hyperlink"/>
                <w:noProof/>
              </w:rPr>
              <w:t>4</w:t>
            </w:r>
            <w:r w:rsidR="002B2BCF">
              <w:rPr>
                <w:rFonts w:asciiTheme="minorHAnsi" w:hAnsiTheme="minorHAnsi" w:cstheme="minorBidi"/>
                <w:b w:val="0"/>
                <w:noProof/>
                <w:color w:val="auto"/>
                <w:sz w:val="22"/>
                <w:szCs w:val="22"/>
                <w:lang w:eastAsia="en-AU"/>
              </w:rPr>
              <w:tab/>
            </w:r>
            <w:r w:rsidR="002B2BCF" w:rsidRPr="00026DC6">
              <w:rPr>
                <w:rStyle w:val="Hyperlink"/>
                <w:noProof/>
              </w:rPr>
              <w:t>Stakeholder Consultation and Impact on Customers</w:t>
            </w:r>
            <w:r w:rsidR="002B2BCF">
              <w:rPr>
                <w:noProof/>
                <w:webHidden/>
              </w:rPr>
              <w:tab/>
            </w:r>
            <w:r w:rsidR="002B2BCF">
              <w:rPr>
                <w:noProof/>
                <w:webHidden/>
              </w:rPr>
              <w:fldChar w:fldCharType="begin"/>
            </w:r>
            <w:r w:rsidR="002B2BCF">
              <w:rPr>
                <w:noProof/>
                <w:webHidden/>
              </w:rPr>
              <w:instrText xml:space="preserve"> PAGEREF _Toc440613704 \h </w:instrText>
            </w:r>
            <w:r w:rsidR="002B2BCF">
              <w:rPr>
                <w:noProof/>
                <w:webHidden/>
              </w:rPr>
            </w:r>
            <w:r w:rsidR="002B2BCF">
              <w:rPr>
                <w:noProof/>
                <w:webHidden/>
              </w:rPr>
              <w:fldChar w:fldCharType="separate"/>
            </w:r>
            <w:r w:rsidR="002B2BCF">
              <w:rPr>
                <w:noProof/>
                <w:webHidden/>
              </w:rPr>
              <w:t>6</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5" w:history="1">
            <w:r w:rsidR="002B2BCF" w:rsidRPr="00026DC6">
              <w:rPr>
                <w:rStyle w:val="Hyperlink"/>
                <w:noProof/>
              </w:rPr>
              <w:t>5</w:t>
            </w:r>
            <w:r w:rsidR="002B2BCF">
              <w:rPr>
                <w:rFonts w:asciiTheme="minorHAnsi" w:hAnsiTheme="minorHAnsi" w:cstheme="minorBidi"/>
                <w:b w:val="0"/>
                <w:noProof/>
                <w:color w:val="auto"/>
                <w:sz w:val="22"/>
                <w:szCs w:val="22"/>
                <w:lang w:eastAsia="en-AU"/>
              </w:rPr>
              <w:tab/>
            </w:r>
            <w:r w:rsidR="002B2BCF" w:rsidRPr="00026DC6">
              <w:rPr>
                <w:rStyle w:val="Hyperlink"/>
                <w:noProof/>
              </w:rPr>
              <w:t>Proposed Approach to Consolidation</w:t>
            </w:r>
            <w:r w:rsidR="002B2BCF">
              <w:rPr>
                <w:noProof/>
                <w:webHidden/>
              </w:rPr>
              <w:tab/>
            </w:r>
            <w:r w:rsidR="002B2BCF">
              <w:rPr>
                <w:noProof/>
                <w:webHidden/>
              </w:rPr>
              <w:fldChar w:fldCharType="begin"/>
            </w:r>
            <w:r w:rsidR="002B2BCF">
              <w:rPr>
                <w:noProof/>
                <w:webHidden/>
              </w:rPr>
              <w:instrText xml:space="preserve"> PAGEREF _Toc440613705 \h </w:instrText>
            </w:r>
            <w:r w:rsidR="002B2BCF">
              <w:rPr>
                <w:noProof/>
                <w:webHidden/>
              </w:rPr>
            </w:r>
            <w:r w:rsidR="002B2BCF">
              <w:rPr>
                <w:noProof/>
                <w:webHidden/>
              </w:rPr>
              <w:fldChar w:fldCharType="separate"/>
            </w:r>
            <w:r w:rsidR="002B2BCF">
              <w:rPr>
                <w:noProof/>
                <w:webHidden/>
              </w:rPr>
              <w:t>7</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6" w:history="1">
            <w:r w:rsidR="002B2BCF" w:rsidRPr="00026DC6">
              <w:rPr>
                <w:rStyle w:val="Hyperlink"/>
                <w:noProof/>
              </w:rPr>
              <w:t>6</w:t>
            </w:r>
            <w:r w:rsidR="002B2BCF">
              <w:rPr>
                <w:rFonts w:asciiTheme="minorHAnsi" w:hAnsiTheme="minorHAnsi" w:cstheme="minorBidi"/>
                <w:b w:val="0"/>
                <w:noProof/>
                <w:color w:val="auto"/>
                <w:sz w:val="22"/>
                <w:szCs w:val="22"/>
                <w:lang w:eastAsia="en-AU"/>
              </w:rPr>
              <w:tab/>
            </w:r>
            <w:r w:rsidR="002B2BCF" w:rsidRPr="00026DC6">
              <w:rPr>
                <w:rStyle w:val="Hyperlink"/>
                <w:noProof/>
              </w:rPr>
              <w:t>Benefits of Consolidation</w:t>
            </w:r>
            <w:r w:rsidR="002B2BCF">
              <w:rPr>
                <w:noProof/>
                <w:webHidden/>
              </w:rPr>
              <w:tab/>
            </w:r>
            <w:r w:rsidR="002B2BCF">
              <w:rPr>
                <w:noProof/>
                <w:webHidden/>
              </w:rPr>
              <w:fldChar w:fldCharType="begin"/>
            </w:r>
            <w:r w:rsidR="002B2BCF">
              <w:rPr>
                <w:noProof/>
                <w:webHidden/>
              </w:rPr>
              <w:instrText xml:space="preserve"> PAGEREF _Toc440613706 \h </w:instrText>
            </w:r>
            <w:r w:rsidR="002B2BCF">
              <w:rPr>
                <w:noProof/>
                <w:webHidden/>
              </w:rPr>
            </w:r>
            <w:r w:rsidR="002B2BCF">
              <w:rPr>
                <w:noProof/>
                <w:webHidden/>
              </w:rPr>
              <w:fldChar w:fldCharType="separate"/>
            </w:r>
            <w:r w:rsidR="002B2BCF">
              <w:rPr>
                <w:noProof/>
                <w:webHidden/>
              </w:rPr>
              <w:t>7</w:t>
            </w:r>
            <w:r w:rsidR="002B2BCF">
              <w:rPr>
                <w:noProof/>
                <w:webHidden/>
              </w:rPr>
              <w:fldChar w:fldCharType="end"/>
            </w:r>
          </w:hyperlink>
        </w:p>
        <w:p w:rsidR="002B2BCF" w:rsidRDefault="00E65698">
          <w:pPr>
            <w:pStyle w:val="TOC2"/>
            <w:tabs>
              <w:tab w:val="left" w:pos="880"/>
              <w:tab w:val="right" w:leader="underscore" w:pos="8495"/>
            </w:tabs>
            <w:rPr>
              <w:rFonts w:asciiTheme="minorHAnsi" w:eastAsiaTheme="minorEastAsia" w:hAnsiTheme="minorHAnsi"/>
              <w:noProof/>
              <w:color w:val="auto"/>
              <w:lang w:eastAsia="en-AU"/>
            </w:rPr>
          </w:pPr>
          <w:hyperlink w:anchor="_Toc440613707" w:history="1">
            <w:r w:rsidR="002B2BCF" w:rsidRPr="00026DC6">
              <w:rPr>
                <w:rStyle w:val="Hyperlink"/>
                <w:noProof/>
              </w:rPr>
              <w:t>6.1</w:t>
            </w:r>
            <w:r w:rsidR="002B2BCF">
              <w:rPr>
                <w:rFonts w:asciiTheme="minorHAnsi" w:eastAsiaTheme="minorEastAsia" w:hAnsiTheme="minorHAnsi"/>
                <w:noProof/>
                <w:color w:val="auto"/>
                <w:lang w:eastAsia="en-AU"/>
              </w:rPr>
              <w:tab/>
            </w:r>
            <w:r w:rsidR="002B2BCF" w:rsidRPr="00026DC6">
              <w:rPr>
                <w:rStyle w:val="Hyperlink"/>
                <w:noProof/>
                <w:lang w:eastAsia="ja-JP"/>
              </w:rPr>
              <w:t>Reduced</w:t>
            </w:r>
            <w:r w:rsidR="002B2BCF" w:rsidRPr="00026DC6">
              <w:rPr>
                <w:rStyle w:val="Hyperlink"/>
                <w:noProof/>
              </w:rPr>
              <w:t xml:space="preserve"> Administrative Costs</w:t>
            </w:r>
            <w:r w:rsidR="002B2BCF">
              <w:rPr>
                <w:noProof/>
                <w:webHidden/>
              </w:rPr>
              <w:tab/>
            </w:r>
            <w:r w:rsidR="002B2BCF">
              <w:rPr>
                <w:noProof/>
                <w:webHidden/>
              </w:rPr>
              <w:fldChar w:fldCharType="begin"/>
            </w:r>
            <w:r w:rsidR="002B2BCF">
              <w:rPr>
                <w:noProof/>
                <w:webHidden/>
              </w:rPr>
              <w:instrText xml:space="preserve"> PAGEREF _Toc440613707 \h </w:instrText>
            </w:r>
            <w:r w:rsidR="002B2BCF">
              <w:rPr>
                <w:noProof/>
                <w:webHidden/>
              </w:rPr>
            </w:r>
            <w:r w:rsidR="002B2BCF">
              <w:rPr>
                <w:noProof/>
                <w:webHidden/>
              </w:rPr>
              <w:fldChar w:fldCharType="separate"/>
            </w:r>
            <w:r w:rsidR="002B2BCF">
              <w:rPr>
                <w:noProof/>
                <w:webHidden/>
              </w:rPr>
              <w:t>7</w:t>
            </w:r>
            <w:r w:rsidR="002B2BCF">
              <w:rPr>
                <w:noProof/>
                <w:webHidden/>
              </w:rPr>
              <w:fldChar w:fldCharType="end"/>
            </w:r>
          </w:hyperlink>
        </w:p>
        <w:p w:rsidR="002B2BCF" w:rsidRDefault="00E65698">
          <w:pPr>
            <w:pStyle w:val="TOC2"/>
            <w:tabs>
              <w:tab w:val="left" w:pos="880"/>
              <w:tab w:val="right" w:leader="underscore" w:pos="8495"/>
            </w:tabs>
            <w:rPr>
              <w:rFonts w:asciiTheme="minorHAnsi" w:eastAsiaTheme="minorEastAsia" w:hAnsiTheme="minorHAnsi"/>
              <w:noProof/>
              <w:color w:val="auto"/>
              <w:lang w:eastAsia="en-AU"/>
            </w:rPr>
          </w:pPr>
          <w:hyperlink w:anchor="_Toc440613708" w:history="1">
            <w:r w:rsidR="002B2BCF" w:rsidRPr="00026DC6">
              <w:rPr>
                <w:rStyle w:val="Hyperlink"/>
                <w:noProof/>
                <w:lang w:eastAsia="ja-JP"/>
              </w:rPr>
              <w:t>6.2</w:t>
            </w:r>
            <w:r w:rsidR="002B2BCF">
              <w:rPr>
                <w:rFonts w:asciiTheme="minorHAnsi" w:eastAsiaTheme="minorEastAsia" w:hAnsiTheme="minorHAnsi"/>
                <w:noProof/>
                <w:color w:val="auto"/>
                <w:lang w:eastAsia="en-AU"/>
              </w:rPr>
              <w:tab/>
            </w:r>
            <w:r w:rsidR="002B2BCF" w:rsidRPr="00026DC6">
              <w:rPr>
                <w:rStyle w:val="Hyperlink"/>
                <w:noProof/>
                <w:lang w:eastAsia="ja-JP"/>
              </w:rPr>
              <w:t>Increased Certainty to Support Efficient Investment</w:t>
            </w:r>
            <w:r w:rsidR="002B2BCF">
              <w:rPr>
                <w:noProof/>
                <w:webHidden/>
              </w:rPr>
              <w:tab/>
            </w:r>
            <w:r w:rsidR="002B2BCF">
              <w:rPr>
                <w:noProof/>
                <w:webHidden/>
              </w:rPr>
              <w:fldChar w:fldCharType="begin"/>
            </w:r>
            <w:r w:rsidR="002B2BCF">
              <w:rPr>
                <w:noProof/>
                <w:webHidden/>
              </w:rPr>
              <w:instrText xml:space="preserve"> PAGEREF _Toc440613708 \h </w:instrText>
            </w:r>
            <w:r w:rsidR="002B2BCF">
              <w:rPr>
                <w:noProof/>
                <w:webHidden/>
              </w:rPr>
            </w:r>
            <w:r w:rsidR="002B2BCF">
              <w:rPr>
                <w:noProof/>
                <w:webHidden/>
              </w:rPr>
              <w:fldChar w:fldCharType="separate"/>
            </w:r>
            <w:r w:rsidR="002B2BCF">
              <w:rPr>
                <w:noProof/>
                <w:webHidden/>
              </w:rPr>
              <w:t>8</w:t>
            </w:r>
            <w:r w:rsidR="002B2BCF">
              <w:rPr>
                <w:noProof/>
                <w:webHidden/>
              </w:rPr>
              <w:fldChar w:fldCharType="end"/>
            </w:r>
          </w:hyperlink>
        </w:p>
        <w:p w:rsidR="002B2BCF" w:rsidRDefault="00E65698">
          <w:pPr>
            <w:pStyle w:val="TOC1"/>
            <w:tabs>
              <w:tab w:val="left" w:pos="440"/>
            </w:tabs>
            <w:rPr>
              <w:rFonts w:asciiTheme="minorHAnsi" w:hAnsiTheme="minorHAnsi" w:cstheme="minorBidi"/>
              <w:b w:val="0"/>
              <w:noProof/>
              <w:color w:val="auto"/>
              <w:sz w:val="22"/>
              <w:szCs w:val="22"/>
              <w:lang w:eastAsia="en-AU"/>
            </w:rPr>
          </w:pPr>
          <w:hyperlink w:anchor="_Toc440613709" w:history="1">
            <w:r w:rsidR="002B2BCF" w:rsidRPr="00026DC6">
              <w:rPr>
                <w:rStyle w:val="Hyperlink"/>
                <w:noProof/>
              </w:rPr>
              <w:t>7</w:t>
            </w:r>
            <w:r w:rsidR="002B2BCF">
              <w:rPr>
                <w:rFonts w:asciiTheme="minorHAnsi" w:hAnsiTheme="minorHAnsi" w:cstheme="minorBidi"/>
                <w:b w:val="0"/>
                <w:noProof/>
                <w:color w:val="auto"/>
                <w:sz w:val="22"/>
                <w:szCs w:val="22"/>
                <w:lang w:eastAsia="en-AU"/>
              </w:rPr>
              <w:tab/>
            </w:r>
            <w:r w:rsidR="002B2BCF" w:rsidRPr="00026DC6">
              <w:rPr>
                <w:rStyle w:val="Hyperlink"/>
                <w:noProof/>
              </w:rPr>
              <w:t>Summary</w:t>
            </w:r>
            <w:r w:rsidR="002B2BCF">
              <w:rPr>
                <w:noProof/>
                <w:webHidden/>
              </w:rPr>
              <w:tab/>
            </w:r>
            <w:r w:rsidR="002B2BCF">
              <w:rPr>
                <w:noProof/>
                <w:webHidden/>
              </w:rPr>
              <w:fldChar w:fldCharType="begin"/>
            </w:r>
            <w:r w:rsidR="002B2BCF">
              <w:rPr>
                <w:noProof/>
                <w:webHidden/>
              </w:rPr>
              <w:instrText xml:space="preserve"> PAGEREF _Toc440613709 \h </w:instrText>
            </w:r>
            <w:r w:rsidR="002B2BCF">
              <w:rPr>
                <w:noProof/>
                <w:webHidden/>
              </w:rPr>
            </w:r>
            <w:r w:rsidR="002B2BCF">
              <w:rPr>
                <w:noProof/>
                <w:webHidden/>
              </w:rPr>
              <w:fldChar w:fldCharType="separate"/>
            </w:r>
            <w:r w:rsidR="002B2BCF">
              <w:rPr>
                <w:noProof/>
                <w:webHidden/>
              </w:rPr>
              <w:t>8</w:t>
            </w:r>
            <w:r w:rsidR="002B2BCF">
              <w:rPr>
                <w:noProof/>
                <w:webHidden/>
              </w:rPr>
              <w:fldChar w:fldCharType="end"/>
            </w:r>
          </w:hyperlink>
        </w:p>
        <w:p w:rsidR="002B2BCF" w:rsidRDefault="00E65698">
          <w:pPr>
            <w:pStyle w:val="TOC1"/>
            <w:rPr>
              <w:rFonts w:asciiTheme="minorHAnsi" w:hAnsiTheme="minorHAnsi" w:cstheme="minorBidi"/>
              <w:b w:val="0"/>
              <w:noProof/>
              <w:color w:val="auto"/>
              <w:sz w:val="22"/>
              <w:szCs w:val="22"/>
              <w:lang w:eastAsia="en-AU"/>
            </w:rPr>
          </w:pPr>
          <w:hyperlink w:anchor="_Toc440613710" w:history="1">
            <w:r w:rsidR="002B2BCF" w:rsidRPr="00026DC6">
              <w:rPr>
                <w:rStyle w:val="Hyperlink"/>
                <w:noProof/>
              </w:rPr>
              <w:t>Attachment 1: Stakeholder Consultation – Log of Meetings</w:t>
            </w:r>
            <w:r w:rsidR="002B2BCF">
              <w:rPr>
                <w:noProof/>
                <w:webHidden/>
              </w:rPr>
              <w:tab/>
            </w:r>
            <w:r w:rsidR="002B2BCF">
              <w:rPr>
                <w:noProof/>
                <w:webHidden/>
              </w:rPr>
              <w:fldChar w:fldCharType="begin"/>
            </w:r>
            <w:r w:rsidR="002B2BCF">
              <w:rPr>
                <w:noProof/>
                <w:webHidden/>
              </w:rPr>
              <w:instrText xml:space="preserve"> PAGEREF _Toc440613710 \h </w:instrText>
            </w:r>
            <w:r w:rsidR="002B2BCF">
              <w:rPr>
                <w:noProof/>
                <w:webHidden/>
              </w:rPr>
            </w:r>
            <w:r w:rsidR="002B2BCF">
              <w:rPr>
                <w:noProof/>
                <w:webHidden/>
              </w:rPr>
              <w:fldChar w:fldCharType="separate"/>
            </w:r>
            <w:r w:rsidR="002B2BCF">
              <w:rPr>
                <w:noProof/>
                <w:webHidden/>
              </w:rPr>
              <w:t>9</w:t>
            </w:r>
            <w:r w:rsidR="002B2BCF">
              <w:rPr>
                <w:noProof/>
                <w:webHidden/>
              </w:rPr>
              <w:fldChar w:fldCharType="end"/>
            </w:r>
          </w:hyperlink>
        </w:p>
        <w:p w:rsidR="002B2BCF" w:rsidRDefault="00E65698">
          <w:pPr>
            <w:pStyle w:val="TOC1"/>
            <w:rPr>
              <w:rFonts w:asciiTheme="minorHAnsi" w:hAnsiTheme="minorHAnsi" w:cstheme="minorBidi"/>
              <w:b w:val="0"/>
              <w:noProof/>
              <w:color w:val="auto"/>
              <w:sz w:val="22"/>
              <w:szCs w:val="22"/>
              <w:lang w:eastAsia="en-AU"/>
            </w:rPr>
          </w:pPr>
          <w:hyperlink w:anchor="_Toc440613711" w:history="1">
            <w:r w:rsidR="002B2BCF" w:rsidRPr="00026DC6">
              <w:rPr>
                <w:rStyle w:val="Hyperlink"/>
                <w:noProof/>
              </w:rPr>
              <w:t>Attachment 2: Stakeholder Consultation – Presentation</w:t>
            </w:r>
            <w:r w:rsidR="002B2BCF">
              <w:rPr>
                <w:noProof/>
                <w:webHidden/>
              </w:rPr>
              <w:tab/>
            </w:r>
            <w:r w:rsidR="002B2BCF">
              <w:rPr>
                <w:noProof/>
                <w:webHidden/>
              </w:rPr>
              <w:fldChar w:fldCharType="begin"/>
            </w:r>
            <w:r w:rsidR="002B2BCF">
              <w:rPr>
                <w:noProof/>
                <w:webHidden/>
              </w:rPr>
              <w:instrText xml:space="preserve"> PAGEREF _Toc440613711 \h </w:instrText>
            </w:r>
            <w:r w:rsidR="002B2BCF">
              <w:rPr>
                <w:noProof/>
                <w:webHidden/>
              </w:rPr>
            </w:r>
            <w:r w:rsidR="002B2BCF">
              <w:rPr>
                <w:noProof/>
                <w:webHidden/>
              </w:rPr>
              <w:fldChar w:fldCharType="separate"/>
            </w:r>
            <w:r w:rsidR="002B2BCF">
              <w:rPr>
                <w:noProof/>
                <w:webHidden/>
              </w:rPr>
              <w:t>10</w:t>
            </w:r>
            <w:r w:rsidR="002B2BCF">
              <w:rPr>
                <w:noProof/>
                <w:webHidden/>
              </w:rPr>
              <w:fldChar w:fldCharType="end"/>
            </w:r>
          </w:hyperlink>
        </w:p>
        <w:p w:rsidR="002B2BCF" w:rsidRDefault="00E65698">
          <w:pPr>
            <w:pStyle w:val="TOC1"/>
            <w:rPr>
              <w:rFonts w:asciiTheme="minorHAnsi" w:hAnsiTheme="minorHAnsi" w:cstheme="minorBidi"/>
              <w:b w:val="0"/>
              <w:noProof/>
              <w:color w:val="auto"/>
              <w:sz w:val="22"/>
              <w:szCs w:val="22"/>
              <w:lang w:eastAsia="en-AU"/>
            </w:rPr>
          </w:pPr>
          <w:hyperlink w:anchor="_Toc440613712" w:history="1">
            <w:r w:rsidR="002B2BCF" w:rsidRPr="00026DC6">
              <w:rPr>
                <w:rStyle w:val="Hyperlink"/>
                <w:noProof/>
              </w:rPr>
              <w:t>Attachment 3: Stakeholder Consultation – AGN Retailer Reference Group Meeting Minutes</w:t>
            </w:r>
            <w:r w:rsidR="002B2BCF">
              <w:rPr>
                <w:noProof/>
                <w:webHidden/>
              </w:rPr>
              <w:tab/>
            </w:r>
            <w:r w:rsidR="002B2BCF">
              <w:rPr>
                <w:noProof/>
                <w:webHidden/>
              </w:rPr>
              <w:fldChar w:fldCharType="begin"/>
            </w:r>
            <w:r w:rsidR="002B2BCF">
              <w:rPr>
                <w:noProof/>
                <w:webHidden/>
              </w:rPr>
              <w:instrText xml:space="preserve"> PAGEREF _Toc440613712 \h </w:instrText>
            </w:r>
            <w:r w:rsidR="002B2BCF">
              <w:rPr>
                <w:noProof/>
                <w:webHidden/>
              </w:rPr>
            </w:r>
            <w:r w:rsidR="002B2BCF">
              <w:rPr>
                <w:noProof/>
                <w:webHidden/>
              </w:rPr>
              <w:fldChar w:fldCharType="separate"/>
            </w:r>
            <w:r w:rsidR="002B2BCF">
              <w:rPr>
                <w:noProof/>
                <w:webHidden/>
              </w:rPr>
              <w:t>11</w:t>
            </w:r>
            <w:r w:rsidR="002B2BCF">
              <w:rPr>
                <w:noProof/>
                <w:webHidden/>
              </w:rPr>
              <w:fldChar w:fldCharType="end"/>
            </w:r>
          </w:hyperlink>
        </w:p>
        <w:p w:rsidR="002B2BCF" w:rsidRDefault="00E65698">
          <w:pPr>
            <w:pStyle w:val="TOC1"/>
            <w:rPr>
              <w:rFonts w:asciiTheme="minorHAnsi" w:hAnsiTheme="minorHAnsi" w:cstheme="minorBidi"/>
              <w:b w:val="0"/>
              <w:noProof/>
              <w:color w:val="auto"/>
              <w:sz w:val="22"/>
              <w:szCs w:val="22"/>
              <w:lang w:eastAsia="en-AU"/>
            </w:rPr>
          </w:pPr>
          <w:hyperlink w:anchor="_Toc440613713" w:history="1">
            <w:r w:rsidR="002B2BCF" w:rsidRPr="00026DC6">
              <w:rPr>
                <w:rStyle w:val="Hyperlink"/>
                <w:noProof/>
              </w:rPr>
              <w:t>Attachment 4: Stakeholder Consultation –AGN Victoria Albury Reference Group Meeting Minutes</w:t>
            </w:r>
            <w:r w:rsidR="002B2BCF">
              <w:rPr>
                <w:noProof/>
                <w:webHidden/>
              </w:rPr>
              <w:tab/>
            </w:r>
            <w:r w:rsidR="002B2BCF">
              <w:rPr>
                <w:noProof/>
                <w:webHidden/>
              </w:rPr>
              <w:fldChar w:fldCharType="begin"/>
            </w:r>
            <w:r w:rsidR="002B2BCF">
              <w:rPr>
                <w:noProof/>
                <w:webHidden/>
              </w:rPr>
              <w:instrText xml:space="preserve"> PAGEREF _Toc440613713 \h </w:instrText>
            </w:r>
            <w:r w:rsidR="002B2BCF">
              <w:rPr>
                <w:noProof/>
                <w:webHidden/>
              </w:rPr>
            </w:r>
            <w:r w:rsidR="002B2BCF">
              <w:rPr>
                <w:noProof/>
                <w:webHidden/>
              </w:rPr>
              <w:fldChar w:fldCharType="separate"/>
            </w:r>
            <w:r w:rsidR="002B2BCF">
              <w:rPr>
                <w:noProof/>
                <w:webHidden/>
              </w:rPr>
              <w:t>12</w:t>
            </w:r>
            <w:r w:rsidR="002B2BCF">
              <w:rPr>
                <w:noProof/>
                <w:webHidden/>
              </w:rPr>
              <w:fldChar w:fldCharType="end"/>
            </w:r>
          </w:hyperlink>
        </w:p>
        <w:p w:rsidR="00993112" w:rsidRPr="006B5723" w:rsidRDefault="001765E4" w:rsidP="001E787A">
          <w:pPr>
            <w:spacing w:line="276" w:lineRule="auto"/>
            <w:jc w:val="both"/>
            <w:rPr>
              <w:rFonts w:ascii="Arial Narrow" w:hAnsi="Arial Narrow"/>
            </w:rPr>
          </w:pPr>
          <w:r>
            <w:rPr>
              <w:rFonts w:ascii="Arial Narrow" w:eastAsiaTheme="minorEastAsia" w:hAnsi="Arial Narrow" w:cs="ApexNew-Book"/>
              <w:b/>
              <w:color w:val="4F81BD" w:themeColor="accent1"/>
              <w:sz w:val="24"/>
              <w:szCs w:val="24"/>
              <w:u w:color="000000"/>
            </w:rPr>
            <w:fldChar w:fldCharType="end"/>
          </w:r>
        </w:p>
      </w:sdtContent>
    </w:sdt>
    <w:p w:rsidR="00993112" w:rsidRPr="006B5723" w:rsidRDefault="00993112" w:rsidP="001765E4">
      <w:pPr>
        <w:pStyle w:val="NoSpacing"/>
      </w:pPr>
      <w:r w:rsidRPr="006B5723">
        <w:t xml:space="preserve"> </w:t>
      </w:r>
    </w:p>
    <w:p w:rsidR="001765E4" w:rsidRDefault="001765E4" w:rsidP="009C346A">
      <w:pPr>
        <w:pStyle w:val="Heading1"/>
        <w:sectPr w:rsidR="001765E4" w:rsidSect="001765E4">
          <w:footerReference w:type="default" r:id="rId10"/>
          <w:pgSz w:w="11906" w:h="16838"/>
          <w:pgMar w:top="1440" w:right="1133" w:bottom="1276" w:left="2268" w:header="708" w:footer="0" w:gutter="0"/>
          <w:pgNumType w:fmt="lowerRoman" w:start="1"/>
          <w:cols w:space="708"/>
          <w:docGrid w:linePitch="360"/>
        </w:sectPr>
      </w:pPr>
    </w:p>
    <w:p w:rsidR="00993112" w:rsidRPr="007B5ACD" w:rsidRDefault="0014207E" w:rsidP="009C346A">
      <w:pPr>
        <w:pStyle w:val="Heading1"/>
      </w:pPr>
      <w:bookmarkStart w:id="1" w:name="_Toc440613701"/>
      <w:r w:rsidRPr="007B5ACD">
        <w:lastRenderedPageBreak/>
        <w:t>Overview</w:t>
      </w:r>
      <w:bookmarkEnd w:id="1"/>
    </w:p>
    <w:p w:rsidR="00AC0DCD" w:rsidRPr="007B5ACD" w:rsidRDefault="00521CA1" w:rsidP="001E787A">
      <w:pPr>
        <w:spacing w:before="120" w:after="200" w:line="240" w:lineRule="auto"/>
        <w:jc w:val="both"/>
        <w:rPr>
          <w:rFonts w:ascii="Arial Narrow" w:eastAsiaTheme="minorEastAsia" w:hAnsi="Arial Narrow" w:cs="ApexNew-Book"/>
          <w:color w:val="1D1D1C"/>
          <w:u w:color="000000"/>
          <w:lang w:eastAsia="ja-JP"/>
        </w:rPr>
      </w:pPr>
      <w:r w:rsidRPr="007B5ACD">
        <w:rPr>
          <w:rFonts w:ascii="Arial Narrow" w:eastAsiaTheme="minorEastAsia" w:hAnsi="Arial Narrow" w:cs="ApexNew-Book"/>
          <w:color w:val="1D1D1C"/>
          <w:u w:color="000000"/>
          <w:lang w:eastAsia="ja-JP"/>
        </w:rPr>
        <w:t xml:space="preserve">Australian Gas Networks </w:t>
      </w:r>
      <w:r w:rsidR="0034086D" w:rsidRPr="007B5ACD">
        <w:rPr>
          <w:rFonts w:ascii="Arial Narrow" w:eastAsiaTheme="minorEastAsia" w:hAnsi="Arial Narrow" w:cs="ApexNew-Book"/>
          <w:color w:val="1D1D1C"/>
          <w:u w:color="000000"/>
          <w:lang w:eastAsia="ja-JP"/>
        </w:rPr>
        <w:t xml:space="preserve">Limited </w:t>
      </w:r>
      <w:r w:rsidRPr="007B5ACD">
        <w:rPr>
          <w:rFonts w:ascii="Arial Narrow" w:eastAsiaTheme="minorEastAsia" w:hAnsi="Arial Narrow" w:cs="ApexNew-Book"/>
          <w:color w:val="1D1D1C"/>
          <w:u w:color="000000"/>
          <w:lang w:eastAsia="ja-JP"/>
        </w:rPr>
        <w:t xml:space="preserve">(AGN) submits this </w:t>
      </w:r>
      <w:r w:rsidR="00A428D1" w:rsidRPr="007B5ACD">
        <w:rPr>
          <w:rFonts w:ascii="Arial Narrow" w:eastAsiaTheme="minorEastAsia" w:hAnsi="Arial Narrow" w:cs="ApexNew-Book"/>
          <w:color w:val="1D1D1C"/>
          <w:u w:color="000000"/>
          <w:lang w:eastAsia="ja-JP"/>
        </w:rPr>
        <w:t>application to consolidate the access a</w:t>
      </w:r>
      <w:r w:rsidRPr="007B5ACD">
        <w:rPr>
          <w:rFonts w:ascii="Arial Narrow" w:eastAsiaTheme="minorEastAsia" w:hAnsi="Arial Narrow" w:cs="ApexNew-Book"/>
          <w:color w:val="1D1D1C"/>
          <w:u w:color="000000"/>
          <w:lang w:eastAsia="ja-JP"/>
        </w:rPr>
        <w:t>rrangements f</w:t>
      </w:r>
      <w:r w:rsidR="009D0F0B" w:rsidRPr="007B5ACD">
        <w:rPr>
          <w:rFonts w:ascii="Arial Narrow" w:eastAsiaTheme="minorEastAsia" w:hAnsi="Arial Narrow" w:cs="ApexNew-Book"/>
          <w:color w:val="1D1D1C"/>
          <w:u w:color="000000"/>
          <w:lang w:eastAsia="ja-JP"/>
        </w:rPr>
        <w:t>or the Victoria</w:t>
      </w:r>
      <w:r w:rsidR="0034086D" w:rsidRPr="007B5ACD">
        <w:rPr>
          <w:rFonts w:ascii="Arial Narrow" w:eastAsiaTheme="minorEastAsia" w:hAnsi="Arial Narrow" w:cs="ApexNew-Book"/>
          <w:color w:val="1D1D1C"/>
          <w:u w:color="000000"/>
          <w:lang w:eastAsia="ja-JP"/>
        </w:rPr>
        <w:t>n</w:t>
      </w:r>
      <w:r w:rsidRPr="007B5ACD">
        <w:rPr>
          <w:rFonts w:ascii="Arial Narrow" w:eastAsiaTheme="minorEastAsia" w:hAnsi="Arial Narrow" w:cs="ApexNew-Book"/>
          <w:color w:val="1D1D1C"/>
          <w:u w:color="000000"/>
          <w:lang w:eastAsia="ja-JP"/>
        </w:rPr>
        <w:t xml:space="preserve"> and Albury </w:t>
      </w:r>
      <w:r w:rsidR="0034086D" w:rsidRPr="007B5ACD">
        <w:rPr>
          <w:rFonts w:ascii="Arial Narrow" w:eastAsiaTheme="minorEastAsia" w:hAnsi="Arial Narrow" w:cs="ApexNew-Book"/>
          <w:color w:val="1D1D1C"/>
          <w:u w:color="000000"/>
          <w:lang w:eastAsia="ja-JP"/>
        </w:rPr>
        <w:t xml:space="preserve">natural </w:t>
      </w:r>
      <w:r w:rsidRPr="007B5ACD">
        <w:rPr>
          <w:rFonts w:ascii="Arial Narrow" w:eastAsiaTheme="minorEastAsia" w:hAnsi="Arial Narrow" w:cs="ApexNew-Book"/>
          <w:color w:val="1D1D1C"/>
          <w:u w:color="000000"/>
          <w:lang w:eastAsia="ja-JP"/>
        </w:rPr>
        <w:t>gas distr</w:t>
      </w:r>
      <w:r w:rsidR="00A428D1" w:rsidRPr="007B5ACD">
        <w:rPr>
          <w:rFonts w:ascii="Arial Narrow" w:eastAsiaTheme="minorEastAsia" w:hAnsi="Arial Narrow" w:cs="ApexNew-Book"/>
          <w:color w:val="1D1D1C"/>
          <w:u w:color="000000"/>
          <w:lang w:eastAsia="ja-JP"/>
        </w:rPr>
        <w:t>ibution networks into a single access a</w:t>
      </w:r>
      <w:r w:rsidRPr="007B5ACD">
        <w:rPr>
          <w:rFonts w:ascii="Arial Narrow" w:eastAsiaTheme="minorEastAsia" w:hAnsi="Arial Narrow" w:cs="ApexNew-Book"/>
          <w:color w:val="1D1D1C"/>
          <w:u w:color="000000"/>
          <w:lang w:eastAsia="ja-JP"/>
        </w:rPr>
        <w:t>rrangement.</w:t>
      </w:r>
      <w:r w:rsidR="00AC0DCD" w:rsidRPr="007B5ACD">
        <w:rPr>
          <w:rFonts w:ascii="Arial Narrow" w:eastAsiaTheme="minorEastAsia" w:hAnsi="Arial Narrow" w:cs="ApexNew-Book"/>
          <w:color w:val="1D1D1C"/>
          <w:u w:color="000000"/>
          <w:lang w:eastAsia="ja-JP"/>
        </w:rPr>
        <w:t xml:space="preserve"> </w:t>
      </w:r>
      <w:r w:rsidR="00196AD8" w:rsidRPr="007B5ACD">
        <w:rPr>
          <w:rFonts w:ascii="Arial Narrow" w:eastAsiaTheme="minorEastAsia" w:hAnsi="Arial Narrow" w:cs="ApexNew-Book"/>
          <w:color w:val="1D1D1C"/>
          <w:u w:color="000000"/>
          <w:lang w:eastAsia="ja-JP"/>
        </w:rPr>
        <w:t xml:space="preserve">The Victorian and Albury networks are </w:t>
      </w:r>
      <w:r w:rsidR="004401EC" w:rsidRPr="007B5ACD">
        <w:rPr>
          <w:rFonts w:ascii="Arial Narrow" w:eastAsiaTheme="minorEastAsia" w:hAnsi="Arial Narrow" w:cs="ApexNew-Book"/>
          <w:color w:val="1D1D1C"/>
          <w:u w:color="000000"/>
          <w:lang w:eastAsia="ja-JP"/>
        </w:rPr>
        <w:t>currently</w:t>
      </w:r>
      <w:r w:rsidR="00FD3FBA">
        <w:rPr>
          <w:rFonts w:ascii="Arial Narrow" w:eastAsiaTheme="minorEastAsia" w:hAnsi="Arial Narrow" w:cs="ApexNew-Book"/>
          <w:color w:val="1D1D1C"/>
          <w:u w:color="000000"/>
          <w:lang w:eastAsia="ja-JP"/>
        </w:rPr>
        <w:t xml:space="preserve"> subject to </w:t>
      </w:r>
      <w:r w:rsidR="004401EC" w:rsidRPr="007B5ACD">
        <w:rPr>
          <w:rFonts w:ascii="Arial Narrow" w:eastAsiaTheme="minorEastAsia" w:hAnsi="Arial Narrow" w:cs="ApexNew-Book"/>
          <w:color w:val="1D1D1C"/>
          <w:u w:color="000000"/>
          <w:lang w:eastAsia="ja-JP"/>
        </w:rPr>
        <w:t xml:space="preserve">full regulation </w:t>
      </w:r>
      <w:r w:rsidR="00A66C30">
        <w:rPr>
          <w:rFonts w:ascii="Arial Narrow" w:eastAsiaTheme="minorEastAsia" w:hAnsi="Arial Narrow" w:cs="ApexNew-Book"/>
          <w:color w:val="1D1D1C"/>
          <w:u w:color="000000"/>
          <w:lang w:eastAsia="ja-JP"/>
        </w:rPr>
        <w:t xml:space="preserve">under the National Gas Law (NGL) and National Gas </w:t>
      </w:r>
      <w:r w:rsidR="004401EC" w:rsidRPr="007B5ACD">
        <w:rPr>
          <w:rFonts w:ascii="Arial Narrow" w:eastAsiaTheme="minorEastAsia" w:hAnsi="Arial Narrow" w:cs="ApexNew-Book"/>
          <w:color w:val="1D1D1C"/>
          <w:u w:color="000000"/>
          <w:lang w:eastAsia="ja-JP"/>
        </w:rPr>
        <w:t>Rule</w:t>
      </w:r>
      <w:r w:rsidR="00A66C30">
        <w:rPr>
          <w:rFonts w:ascii="Arial Narrow" w:eastAsiaTheme="minorEastAsia" w:hAnsi="Arial Narrow" w:cs="ApexNew-Book"/>
          <w:color w:val="1D1D1C"/>
          <w:u w:color="000000"/>
          <w:lang w:eastAsia="ja-JP"/>
        </w:rPr>
        <w:t>s</w:t>
      </w:r>
      <w:r w:rsidR="004401EC" w:rsidRPr="007B5ACD">
        <w:rPr>
          <w:rFonts w:ascii="Arial Narrow" w:eastAsiaTheme="minorEastAsia" w:hAnsi="Arial Narrow" w:cs="ApexNew-Book"/>
          <w:color w:val="1D1D1C"/>
          <w:u w:color="000000"/>
          <w:lang w:eastAsia="ja-JP"/>
        </w:rPr>
        <w:t xml:space="preserve"> (NGR)</w:t>
      </w:r>
      <w:r w:rsidR="00A66C30">
        <w:rPr>
          <w:rFonts w:ascii="Arial Narrow" w:eastAsiaTheme="minorEastAsia" w:hAnsi="Arial Narrow" w:cs="ApexNew-Book"/>
          <w:color w:val="1D1D1C"/>
          <w:u w:color="000000"/>
          <w:lang w:eastAsia="ja-JP"/>
        </w:rPr>
        <w:t xml:space="preserve">, which requires the AER to approve the price and non-price terms of access to the networks. This form of regulation will continue if </w:t>
      </w:r>
      <w:r w:rsidR="00FD250B" w:rsidRPr="007B5ACD">
        <w:rPr>
          <w:rFonts w:ascii="Arial Narrow" w:eastAsiaTheme="minorEastAsia" w:hAnsi="Arial Narrow" w:cs="ApexNew-Book"/>
          <w:color w:val="1D1D1C"/>
          <w:u w:color="000000"/>
          <w:lang w:eastAsia="ja-JP"/>
        </w:rPr>
        <w:t>consolidation is approved.</w:t>
      </w:r>
    </w:p>
    <w:p w:rsidR="008C4785" w:rsidRDefault="00AC0DCD" w:rsidP="001E787A">
      <w:pPr>
        <w:spacing w:before="120" w:after="200" w:line="240" w:lineRule="auto"/>
        <w:jc w:val="both"/>
        <w:rPr>
          <w:rFonts w:ascii="Arial Narrow" w:eastAsiaTheme="minorEastAsia" w:hAnsi="Arial Narrow" w:cs="ApexNew-Book"/>
          <w:color w:val="1D1D1C"/>
          <w:u w:color="000000"/>
          <w:lang w:eastAsia="ja-JP"/>
        </w:rPr>
      </w:pPr>
      <w:r w:rsidRPr="007B5ACD">
        <w:rPr>
          <w:rFonts w:ascii="Arial Narrow" w:eastAsiaTheme="minorEastAsia" w:hAnsi="Arial Narrow" w:cs="ApexNew-Book"/>
          <w:color w:val="1D1D1C"/>
          <w:u w:color="000000"/>
          <w:lang w:eastAsia="ja-JP"/>
        </w:rPr>
        <w:t xml:space="preserve">AGN owns and operates the Albury </w:t>
      </w:r>
      <w:r w:rsidR="009D0F0B" w:rsidRPr="007B5ACD">
        <w:rPr>
          <w:rFonts w:ascii="Arial Narrow" w:eastAsiaTheme="minorEastAsia" w:hAnsi="Arial Narrow" w:cs="ApexNew-Book"/>
          <w:color w:val="1D1D1C"/>
          <w:u w:color="000000"/>
          <w:lang w:eastAsia="ja-JP"/>
        </w:rPr>
        <w:t>and Victoria</w:t>
      </w:r>
      <w:r w:rsidR="0034086D" w:rsidRPr="007B5ACD">
        <w:rPr>
          <w:rFonts w:ascii="Arial Narrow" w:eastAsiaTheme="minorEastAsia" w:hAnsi="Arial Narrow" w:cs="ApexNew-Book"/>
          <w:color w:val="1D1D1C"/>
          <w:u w:color="000000"/>
          <w:lang w:eastAsia="ja-JP"/>
        </w:rPr>
        <w:t>n</w:t>
      </w:r>
      <w:r w:rsidR="007B5ACD">
        <w:rPr>
          <w:rFonts w:ascii="Arial Narrow" w:eastAsiaTheme="minorEastAsia" w:hAnsi="Arial Narrow" w:cs="ApexNew-Book"/>
          <w:color w:val="1D1D1C"/>
          <w:u w:color="000000"/>
          <w:lang w:eastAsia="ja-JP"/>
        </w:rPr>
        <w:t xml:space="preserve"> gas distribution networks.  </w:t>
      </w:r>
      <w:r w:rsidRPr="007B5ACD">
        <w:rPr>
          <w:rFonts w:ascii="Arial Narrow" w:eastAsiaTheme="minorEastAsia" w:hAnsi="Arial Narrow" w:cs="ApexNew-Book"/>
          <w:color w:val="1D1D1C"/>
          <w:u w:color="000000"/>
          <w:lang w:eastAsia="ja-JP"/>
        </w:rPr>
        <w:t xml:space="preserve">These two networks are </w:t>
      </w:r>
      <w:r w:rsidR="001E787A" w:rsidRPr="007B5ACD">
        <w:rPr>
          <w:rFonts w:ascii="Arial Narrow" w:eastAsiaTheme="minorEastAsia" w:hAnsi="Arial Narrow" w:cs="ApexNew-Book"/>
          <w:color w:val="1D1D1C"/>
          <w:u w:color="000000"/>
          <w:lang w:eastAsia="ja-JP"/>
        </w:rPr>
        <w:t>interconnected</w:t>
      </w:r>
      <w:r w:rsidR="00A66C30">
        <w:rPr>
          <w:rFonts w:ascii="Arial Narrow" w:eastAsiaTheme="minorEastAsia" w:hAnsi="Arial Narrow" w:cs="ApexNew-Book"/>
          <w:color w:val="1D1D1C"/>
          <w:u w:color="000000"/>
          <w:lang w:eastAsia="ja-JP"/>
        </w:rPr>
        <w:t xml:space="preserve">, reflecting that </w:t>
      </w:r>
      <w:r w:rsidR="00DA5B38">
        <w:rPr>
          <w:rFonts w:ascii="Arial Narrow" w:eastAsiaTheme="minorEastAsia" w:hAnsi="Arial Narrow" w:cs="ApexNew-Book"/>
          <w:color w:val="1D1D1C"/>
          <w:u w:color="000000"/>
          <w:lang w:eastAsia="ja-JP"/>
        </w:rPr>
        <w:t xml:space="preserve">the Albury network is fed from the Northern zone of </w:t>
      </w:r>
      <w:r w:rsidR="00A66C30">
        <w:rPr>
          <w:rFonts w:ascii="Arial Narrow" w:eastAsiaTheme="minorEastAsia" w:hAnsi="Arial Narrow" w:cs="ApexNew-Book"/>
          <w:color w:val="1D1D1C"/>
          <w:u w:color="000000"/>
          <w:lang w:eastAsia="ja-JP"/>
        </w:rPr>
        <w:t xml:space="preserve">the </w:t>
      </w:r>
      <w:r w:rsidR="00DA5B38">
        <w:rPr>
          <w:rFonts w:ascii="Arial Narrow" w:eastAsiaTheme="minorEastAsia" w:hAnsi="Arial Narrow" w:cs="ApexNew-Book"/>
          <w:color w:val="1D1D1C"/>
          <w:u w:color="000000"/>
          <w:lang w:eastAsia="ja-JP"/>
        </w:rPr>
        <w:t>Victoria</w:t>
      </w:r>
      <w:r w:rsidR="00A66C30">
        <w:rPr>
          <w:rFonts w:ascii="Arial Narrow" w:eastAsiaTheme="minorEastAsia" w:hAnsi="Arial Narrow" w:cs="ApexNew-Book"/>
          <w:color w:val="1D1D1C"/>
          <w:u w:color="000000"/>
          <w:lang w:eastAsia="ja-JP"/>
        </w:rPr>
        <w:t xml:space="preserve"> network</w:t>
      </w:r>
      <w:r w:rsidRPr="007B5ACD">
        <w:rPr>
          <w:rFonts w:ascii="Arial Narrow" w:eastAsiaTheme="minorEastAsia" w:hAnsi="Arial Narrow" w:cs="ApexNew-Book"/>
          <w:color w:val="1D1D1C"/>
          <w:u w:color="000000"/>
          <w:lang w:eastAsia="ja-JP"/>
        </w:rPr>
        <w:t xml:space="preserve">. </w:t>
      </w:r>
      <w:r w:rsidR="004E5360" w:rsidRPr="007B5ACD">
        <w:rPr>
          <w:rFonts w:ascii="Arial Narrow" w:eastAsiaTheme="minorEastAsia" w:hAnsi="Arial Narrow" w:cs="ApexNew-Book"/>
          <w:color w:val="1D1D1C"/>
          <w:u w:color="000000"/>
          <w:lang w:eastAsia="ja-JP"/>
        </w:rPr>
        <w:t xml:space="preserve"> </w:t>
      </w:r>
      <w:r w:rsidRPr="007B5ACD">
        <w:rPr>
          <w:rFonts w:ascii="Arial Narrow" w:eastAsiaTheme="minorEastAsia" w:hAnsi="Arial Narrow" w:cs="ApexNew-Book"/>
          <w:color w:val="1D1D1C"/>
          <w:u w:color="000000"/>
          <w:lang w:eastAsia="ja-JP"/>
        </w:rPr>
        <w:t xml:space="preserve">Though for regulatory purposes the networks are currently considered </w:t>
      </w:r>
      <w:r w:rsidR="0034086D" w:rsidRPr="007B5ACD">
        <w:rPr>
          <w:rFonts w:ascii="Arial Narrow" w:eastAsiaTheme="minorEastAsia" w:hAnsi="Arial Narrow" w:cs="ApexNew-Book"/>
          <w:color w:val="1D1D1C"/>
          <w:u w:color="000000"/>
          <w:lang w:eastAsia="ja-JP"/>
        </w:rPr>
        <w:t>separate</w:t>
      </w:r>
      <w:r w:rsidR="0068073E" w:rsidRPr="007B5ACD">
        <w:rPr>
          <w:rFonts w:ascii="Arial Narrow" w:eastAsiaTheme="minorEastAsia" w:hAnsi="Arial Narrow" w:cs="ApexNew-Book"/>
          <w:color w:val="1D1D1C"/>
          <w:u w:color="000000"/>
          <w:lang w:eastAsia="ja-JP"/>
        </w:rPr>
        <w:t>,</w:t>
      </w:r>
      <w:r w:rsidR="0034086D" w:rsidRPr="007B5ACD">
        <w:rPr>
          <w:rFonts w:ascii="Arial Narrow" w:eastAsiaTheme="minorEastAsia" w:hAnsi="Arial Narrow" w:cs="ApexNew-Book"/>
          <w:color w:val="1D1D1C"/>
          <w:u w:color="000000"/>
          <w:lang w:eastAsia="ja-JP"/>
        </w:rPr>
        <w:t xml:space="preserve"> they are both managed and operated in the same way. </w:t>
      </w:r>
      <w:r w:rsidR="00283A9D" w:rsidRPr="007B5ACD">
        <w:rPr>
          <w:rFonts w:ascii="Arial Narrow" w:eastAsiaTheme="minorEastAsia" w:hAnsi="Arial Narrow" w:cs="ApexNew-Book"/>
          <w:color w:val="1D1D1C"/>
          <w:u w:color="000000"/>
          <w:lang w:eastAsia="ja-JP"/>
        </w:rPr>
        <w:t xml:space="preserve">Figure </w:t>
      </w:r>
      <w:r w:rsidR="008C4785">
        <w:rPr>
          <w:rFonts w:ascii="Arial Narrow" w:eastAsiaTheme="minorEastAsia" w:hAnsi="Arial Narrow" w:cs="ApexNew-Book"/>
          <w:color w:val="1D1D1C"/>
          <w:u w:color="000000"/>
          <w:lang w:eastAsia="ja-JP"/>
        </w:rPr>
        <w:t>1.1</w:t>
      </w:r>
      <w:r w:rsidR="00283A9D" w:rsidRPr="007B5ACD">
        <w:rPr>
          <w:rFonts w:ascii="Arial Narrow" w:eastAsiaTheme="minorEastAsia" w:hAnsi="Arial Narrow" w:cs="ApexNew-Book"/>
          <w:color w:val="1D1D1C"/>
          <w:u w:color="000000"/>
          <w:lang w:eastAsia="ja-JP"/>
        </w:rPr>
        <w:t xml:space="preserve"> shows the area covered by AGN’s Victoria</w:t>
      </w:r>
      <w:r w:rsidR="0034086D" w:rsidRPr="007B5ACD">
        <w:rPr>
          <w:rFonts w:ascii="Arial Narrow" w:eastAsiaTheme="minorEastAsia" w:hAnsi="Arial Narrow" w:cs="ApexNew-Book"/>
          <w:color w:val="1D1D1C"/>
          <w:u w:color="000000"/>
          <w:lang w:eastAsia="ja-JP"/>
        </w:rPr>
        <w:t>n</w:t>
      </w:r>
      <w:r w:rsidR="00283A9D" w:rsidRPr="007B5ACD">
        <w:rPr>
          <w:rFonts w:ascii="Arial Narrow" w:eastAsiaTheme="minorEastAsia" w:hAnsi="Arial Narrow" w:cs="ApexNew-Book"/>
          <w:color w:val="1D1D1C"/>
          <w:u w:color="000000"/>
          <w:lang w:eastAsia="ja-JP"/>
        </w:rPr>
        <w:t xml:space="preserve"> and Albury networks.</w:t>
      </w:r>
    </w:p>
    <w:p w:rsidR="008C4785" w:rsidRDefault="008C4785" w:rsidP="001E787A">
      <w:pPr>
        <w:pStyle w:val="FIGURESTYLE"/>
      </w:pPr>
      <w:r w:rsidRPr="008C4785">
        <w:t xml:space="preserve"> </w:t>
      </w:r>
      <w:r>
        <w:t xml:space="preserve">Figure 1.1: </w:t>
      </w:r>
      <w:r>
        <w:rPr>
          <w:b w:val="0"/>
        </w:rPr>
        <w:t>Area covered by agn’s victorian and albury networks</w:t>
      </w:r>
    </w:p>
    <w:p w:rsidR="00014DB0" w:rsidRPr="007B5ACD" w:rsidRDefault="00DE255D" w:rsidP="001E787A">
      <w:pPr>
        <w:spacing w:before="120" w:after="200" w:line="240" w:lineRule="auto"/>
        <w:jc w:val="both"/>
        <w:rPr>
          <w:rFonts w:ascii="Arial Narrow" w:eastAsiaTheme="minorEastAsia" w:hAnsi="Arial Narrow" w:cs="ApexNew-Book"/>
          <w:color w:val="1D1D1C"/>
          <w:u w:color="000000"/>
          <w:lang w:eastAsia="ja-JP"/>
        </w:rPr>
      </w:pPr>
      <w:r>
        <w:rPr>
          <w:rFonts w:ascii="Arial Narrow" w:eastAsiaTheme="minorEastAsia" w:hAnsi="Arial Narrow" w:cs="ApexNew-Book"/>
          <w:noProof/>
          <w:color w:val="1D1D1C"/>
          <w:u w:color="000000"/>
          <w:lang w:eastAsia="en-AU"/>
        </w:rPr>
        <w:drawing>
          <wp:inline distT="0" distB="0" distL="0" distR="0" wp14:anchorId="171FF188" wp14:editId="3F81AB06">
            <wp:extent cx="5400000" cy="3506395"/>
            <wp:effectExtent l="19050" t="19050" r="107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506395"/>
                    </a:xfrm>
                    <a:prstGeom prst="rect">
                      <a:avLst/>
                    </a:prstGeom>
                    <a:noFill/>
                    <a:ln w="12700">
                      <a:solidFill>
                        <a:schemeClr val="bg1">
                          <a:lumMod val="85000"/>
                        </a:schemeClr>
                      </a:solidFill>
                    </a:ln>
                  </pic:spPr>
                </pic:pic>
              </a:graphicData>
            </a:graphic>
          </wp:inline>
        </w:drawing>
      </w:r>
    </w:p>
    <w:p w:rsidR="00283A9D" w:rsidRPr="00E43A9E" w:rsidRDefault="00283A9D"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AGN currently provides services to customers in the Victoria</w:t>
      </w:r>
      <w:r w:rsidR="0034086D"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and Albury networks under terms and conditions and prices </w:t>
      </w:r>
      <w:r w:rsidR="00A66C30">
        <w:rPr>
          <w:rFonts w:ascii="Arial Narrow" w:eastAsiaTheme="minorEastAsia" w:hAnsi="Arial Narrow" w:cs="ApexNew-Book"/>
          <w:color w:val="1D1D1C"/>
          <w:u w:color="000000"/>
          <w:lang w:eastAsia="ja-JP"/>
        </w:rPr>
        <w:t xml:space="preserve">that are </w:t>
      </w:r>
      <w:r w:rsidRPr="00E43A9E">
        <w:rPr>
          <w:rFonts w:ascii="Arial Narrow" w:eastAsiaTheme="minorEastAsia" w:hAnsi="Arial Narrow" w:cs="ApexNew-Book"/>
          <w:color w:val="1D1D1C"/>
          <w:u w:color="000000"/>
          <w:lang w:eastAsia="ja-JP"/>
        </w:rPr>
        <w:t xml:space="preserve">outlined in two separate access arrangements. Both access arrangements offer </w:t>
      </w:r>
      <w:r w:rsidR="0034086D" w:rsidRPr="00E43A9E">
        <w:rPr>
          <w:rFonts w:ascii="Arial Narrow" w:eastAsiaTheme="minorEastAsia" w:hAnsi="Arial Narrow" w:cs="ApexNew-Book"/>
          <w:color w:val="1D1D1C"/>
          <w:u w:color="000000"/>
          <w:lang w:eastAsia="ja-JP"/>
        </w:rPr>
        <w:t xml:space="preserve">access seekers </w:t>
      </w:r>
      <w:r w:rsidRPr="00E43A9E">
        <w:rPr>
          <w:rFonts w:ascii="Arial Narrow" w:eastAsiaTheme="minorEastAsia" w:hAnsi="Arial Narrow" w:cs="ApexNew-Book"/>
          <w:color w:val="1D1D1C"/>
          <w:u w:color="000000"/>
          <w:lang w:eastAsia="ja-JP"/>
        </w:rPr>
        <w:t xml:space="preserve">the same services </w:t>
      </w:r>
      <w:r w:rsidR="0034086D" w:rsidRPr="00E43A9E">
        <w:rPr>
          <w:rFonts w:ascii="Arial Narrow" w:eastAsiaTheme="minorEastAsia" w:hAnsi="Arial Narrow" w:cs="ApexNew-Book"/>
          <w:color w:val="1D1D1C"/>
          <w:u w:color="000000"/>
          <w:lang w:eastAsia="ja-JP"/>
        </w:rPr>
        <w:t>and terms and conditions. Both the Victorian and Albury access arrangement</w:t>
      </w:r>
      <w:r w:rsidR="0063222D" w:rsidRPr="00E43A9E">
        <w:rPr>
          <w:rFonts w:ascii="Arial Narrow" w:eastAsiaTheme="minorEastAsia" w:hAnsi="Arial Narrow" w:cs="ApexNew-Book"/>
          <w:color w:val="1D1D1C"/>
          <w:u w:color="000000"/>
          <w:lang w:eastAsia="ja-JP"/>
        </w:rPr>
        <w:t xml:space="preserve"> revisions commencement date has been nominated as 1 January 2018.</w:t>
      </w:r>
    </w:p>
    <w:p w:rsidR="00283A9D" w:rsidRPr="00E43A9E" w:rsidRDefault="00021DC9"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Rather than continue the current process of developing </w:t>
      </w:r>
      <w:r w:rsidR="0034086D" w:rsidRPr="00E43A9E">
        <w:rPr>
          <w:rFonts w:ascii="Arial Narrow" w:eastAsiaTheme="minorEastAsia" w:hAnsi="Arial Narrow" w:cs="ApexNew-Book"/>
          <w:color w:val="1D1D1C"/>
          <w:u w:color="000000"/>
          <w:lang w:eastAsia="ja-JP"/>
        </w:rPr>
        <w:t xml:space="preserve">and administering </w:t>
      </w:r>
      <w:r w:rsidRPr="00E43A9E">
        <w:rPr>
          <w:rFonts w:ascii="Arial Narrow" w:eastAsiaTheme="minorEastAsia" w:hAnsi="Arial Narrow" w:cs="ApexNew-Book"/>
          <w:color w:val="1D1D1C"/>
          <w:u w:color="000000"/>
          <w:lang w:eastAsia="ja-JP"/>
        </w:rPr>
        <w:t xml:space="preserve">two access arrangements, AGN </w:t>
      </w:r>
      <w:r w:rsidR="00A66C30">
        <w:rPr>
          <w:rFonts w:ascii="Arial Narrow" w:eastAsiaTheme="minorEastAsia" w:hAnsi="Arial Narrow" w:cs="ApexNew-Book"/>
          <w:color w:val="1D1D1C"/>
          <w:u w:color="000000"/>
          <w:lang w:eastAsia="ja-JP"/>
        </w:rPr>
        <w:t xml:space="preserve">is </w:t>
      </w:r>
      <w:r w:rsidRPr="00E43A9E">
        <w:rPr>
          <w:rFonts w:ascii="Arial Narrow" w:eastAsiaTheme="minorEastAsia" w:hAnsi="Arial Narrow" w:cs="ApexNew-Book"/>
          <w:color w:val="1D1D1C"/>
          <w:u w:color="000000"/>
          <w:lang w:eastAsia="ja-JP"/>
        </w:rPr>
        <w:t>propos</w:t>
      </w:r>
      <w:r w:rsidR="00A66C30">
        <w:rPr>
          <w:rFonts w:ascii="Arial Narrow" w:eastAsiaTheme="minorEastAsia" w:hAnsi="Arial Narrow" w:cs="ApexNew-Book"/>
          <w:color w:val="1D1D1C"/>
          <w:u w:color="000000"/>
          <w:lang w:eastAsia="ja-JP"/>
        </w:rPr>
        <w:t>ing</w:t>
      </w:r>
      <w:r w:rsidRPr="00E43A9E">
        <w:rPr>
          <w:rFonts w:ascii="Arial Narrow" w:eastAsiaTheme="minorEastAsia" w:hAnsi="Arial Narrow" w:cs="ApexNew-Book"/>
          <w:color w:val="1D1D1C"/>
          <w:u w:color="000000"/>
          <w:lang w:eastAsia="ja-JP"/>
        </w:rPr>
        <w:t xml:space="preserve"> to submit a single</w:t>
      </w:r>
      <w:r w:rsidR="00A66C30">
        <w:rPr>
          <w:rFonts w:ascii="Arial Narrow" w:eastAsiaTheme="minorEastAsia" w:hAnsi="Arial Narrow" w:cs="ApexNew-Book"/>
          <w:color w:val="1D1D1C"/>
          <w:u w:color="000000"/>
          <w:lang w:eastAsia="ja-JP"/>
        </w:rPr>
        <w:t xml:space="preserve"> (or consolidated)</w:t>
      </w:r>
      <w:r w:rsidRPr="00E43A9E">
        <w:rPr>
          <w:rFonts w:ascii="Arial Narrow" w:eastAsiaTheme="minorEastAsia" w:hAnsi="Arial Narrow" w:cs="ApexNew-Book"/>
          <w:color w:val="1D1D1C"/>
          <w:u w:color="000000"/>
          <w:lang w:eastAsia="ja-JP"/>
        </w:rPr>
        <w:t xml:space="preserve"> access arrangement, which </w:t>
      </w:r>
      <w:r w:rsidR="00A66C30">
        <w:rPr>
          <w:rFonts w:ascii="Arial Narrow" w:eastAsiaTheme="minorEastAsia" w:hAnsi="Arial Narrow" w:cs="ApexNew-Book"/>
          <w:color w:val="1D1D1C"/>
          <w:u w:color="000000"/>
          <w:lang w:eastAsia="ja-JP"/>
        </w:rPr>
        <w:t xml:space="preserve">essentially </w:t>
      </w:r>
      <w:r w:rsidR="0024296C" w:rsidRPr="00E43A9E">
        <w:rPr>
          <w:rFonts w:ascii="Arial Narrow" w:eastAsiaTheme="minorEastAsia" w:hAnsi="Arial Narrow" w:cs="ApexNew-Book"/>
          <w:color w:val="1D1D1C"/>
          <w:u w:color="000000"/>
          <w:lang w:eastAsia="ja-JP"/>
        </w:rPr>
        <w:t>combines</w:t>
      </w:r>
      <w:r w:rsidRPr="00E43A9E">
        <w:rPr>
          <w:rFonts w:ascii="Arial Narrow" w:eastAsiaTheme="minorEastAsia" w:hAnsi="Arial Narrow" w:cs="ApexNew-Book"/>
          <w:color w:val="1D1D1C"/>
          <w:u w:color="000000"/>
          <w:lang w:eastAsia="ja-JP"/>
        </w:rPr>
        <w:t xml:space="preserve"> the regulated asset base</w:t>
      </w:r>
      <w:r w:rsidR="0024296C" w:rsidRPr="00E43A9E">
        <w:rPr>
          <w:rFonts w:ascii="Arial Narrow" w:eastAsiaTheme="minorEastAsia" w:hAnsi="Arial Narrow" w:cs="ApexNew-Book"/>
          <w:color w:val="1D1D1C"/>
          <w:u w:color="000000"/>
          <w:lang w:eastAsia="ja-JP"/>
        </w:rPr>
        <w:t xml:space="preserve"> (RAB) of both networks and requires </w:t>
      </w:r>
      <w:r w:rsidR="00A66C30">
        <w:rPr>
          <w:rFonts w:ascii="Arial Narrow" w:eastAsiaTheme="minorEastAsia" w:hAnsi="Arial Narrow" w:cs="ApexNew-Book"/>
          <w:color w:val="1D1D1C"/>
          <w:u w:color="000000"/>
          <w:lang w:eastAsia="ja-JP"/>
        </w:rPr>
        <w:t xml:space="preserve">AGN to submit a single </w:t>
      </w:r>
      <w:r w:rsidR="0024296C" w:rsidRPr="00E43A9E">
        <w:rPr>
          <w:rFonts w:ascii="Arial Narrow" w:eastAsiaTheme="minorEastAsia" w:hAnsi="Arial Narrow" w:cs="ApexNew-Book"/>
          <w:color w:val="1D1D1C"/>
          <w:u w:color="000000"/>
          <w:lang w:eastAsia="ja-JP"/>
        </w:rPr>
        <w:t>Regulatory Information Notice (RIN)</w:t>
      </w:r>
      <w:r w:rsidR="0024296C" w:rsidRPr="00DA5B38">
        <w:rPr>
          <w:rFonts w:eastAsiaTheme="minorEastAsia" w:cs="ApexNew-Book"/>
          <w:color w:val="1D1D1C"/>
          <w:u w:color="000000"/>
          <w:vertAlign w:val="superscript"/>
          <w:lang w:eastAsia="ja-JP"/>
        </w:rPr>
        <w:footnoteReference w:id="1"/>
      </w:r>
      <w:r w:rsidR="00A66C30">
        <w:rPr>
          <w:rFonts w:ascii="Arial Narrow" w:eastAsiaTheme="minorEastAsia" w:hAnsi="Arial Narrow" w:cs="ApexNew-Book"/>
          <w:color w:val="1D1D1C"/>
          <w:u w:color="000000"/>
          <w:lang w:eastAsia="ja-JP"/>
        </w:rPr>
        <w:t xml:space="preserve"> to the AER</w:t>
      </w:r>
      <w:r w:rsidR="0024296C" w:rsidRPr="00E43A9E">
        <w:rPr>
          <w:rFonts w:ascii="Arial Narrow" w:eastAsiaTheme="minorEastAsia" w:hAnsi="Arial Narrow" w:cs="ApexNew-Book"/>
          <w:color w:val="1D1D1C"/>
          <w:u w:color="000000"/>
          <w:lang w:eastAsia="ja-JP"/>
        </w:rPr>
        <w:t>.</w:t>
      </w:r>
      <w:r w:rsidR="00D44390" w:rsidRPr="00E43A9E">
        <w:rPr>
          <w:rFonts w:ascii="Arial Narrow" w:eastAsiaTheme="minorEastAsia" w:hAnsi="Arial Narrow" w:cs="ApexNew-Book"/>
          <w:color w:val="1D1D1C"/>
          <w:u w:color="000000"/>
          <w:lang w:eastAsia="ja-JP"/>
        </w:rPr>
        <w:t xml:space="preserve"> </w:t>
      </w:r>
      <w:r w:rsidR="0024296C" w:rsidRPr="00E43A9E">
        <w:rPr>
          <w:rFonts w:ascii="Arial Narrow" w:eastAsiaTheme="minorEastAsia" w:hAnsi="Arial Narrow" w:cs="ApexNew-Book"/>
          <w:color w:val="1D1D1C"/>
          <w:u w:color="000000"/>
          <w:lang w:eastAsia="ja-JP"/>
        </w:rPr>
        <w:t>Consolidating these access a</w:t>
      </w:r>
      <w:r w:rsidR="00283A9D" w:rsidRPr="00E43A9E">
        <w:rPr>
          <w:rFonts w:ascii="Arial Narrow" w:eastAsiaTheme="minorEastAsia" w:hAnsi="Arial Narrow" w:cs="ApexNew-Book"/>
          <w:color w:val="1D1D1C"/>
          <w:u w:color="000000"/>
          <w:lang w:eastAsia="ja-JP"/>
        </w:rPr>
        <w:t xml:space="preserve">rrangements is a logical </w:t>
      </w:r>
      <w:r w:rsidR="0034086D" w:rsidRPr="00E43A9E">
        <w:rPr>
          <w:rFonts w:ascii="Arial Narrow" w:eastAsiaTheme="minorEastAsia" w:hAnsi="Arial Narrow" w:cs="ApexNew-Book"/>
          <w:color w:val="1D1D1C"/>
          <w:u w:color="000000"/>
          <w:lang w:eastAsia="ja-JP"/>
        </w:rPr>
        <w:t xml:space="preserve">administrative </w:t>
      </w:r>
      <w:r w:rsidR="00283A9D" w:rsidRPr="00E43A9E">
        <w:rPr>
          <w:rFonts w:ascii="Arial Narrow" w:eastAsiaTheme="minorEastAsia" w:hAnsi="Arial Narrow" w:cs="ApexNew-Book"/>
          <w:color w:val="1D1D1C"/>
          <w:u w:color="000000"/>
          <w:lang w:eastAsia="ja-JP"/>
        </w:rPr>
        <w:t>step because:</w:t>
      </w:r>
    </w:p>
    <w:p w:rsidR="00283A9D" w:rsidRPr="009C346A" w:rsidRDefault="00283A9D" w:rsidP="009C346A">
      <w:pPr>
        <w:pStyle w:val="Bullet1"/>
      </w:pPr>
      <w:r w:rsidRPr="009C346A">
        <w:t>both networks are managed and operated in the same way</w:t>
      </w:r>
      <w:r w:rsidR="007C6C63" w:rsidRPr="009C346A">
        <w:t>;</w:t>
      </w:r>
    </w:p>
    <w:p w:rsidR="00283A9D" w:rsidRPr="009C346A" w:rsidRDefault="00283A9D" w:rsidP="009C346A">
      <w:pPr>
        <w:pStyle w:val="Bullet1"/>
      </w:pPr>
      <w:r w:rsidRPr="009C346A">
        <w:t>they operate under the same Victorian market rules</w:t>
      </w:r>
      <w:r w:rsidR="007C6C63" w:rsidRPr="009C346A">
        <w:t>;</w:t>
      </w:r>
    </w:p>
    <w:p w:rsidR="00283A9D" w:rsidRPr="009C346A" w:rsidRDefault="00283A9D" w:rsidP="009C346A">
      <w:pPr>
        <w:pStyle w:val="Bullet1"/>
      </w:pPr>
      <w:r w:rsidRPr="009C346A">
        <w:lastRenderedPageBreak/>
        <w:t>they provide the same reference services</w:t>
      </w:r>
      <w:r w:rsidR="007C6C63" w:rsidRPr="009C346A">
        <w:t>;</w:t>
      </w:r>
    </w:p>
    <w:p w:rsidR="0034086D" w:rsidRPr="00E43A9E" w:rsidRDefault="0034086D" w:rsidP="009C346A">
      <w:pPr>
        <w:pStyle w:val="Bullet1"/>
      </w:pPr>
      <w:r w:rsidRPr="00E43A9E">
        <w:t xml:space="preserve">they provide </w:t>
      </w:r>
      <w:r w:rsidR="00FD250B" w:rsidRPr="00E43A9E">
        <w:t xml:space="preserve">effectively </w:t>
      </w:r>
      <w:r w:rsidRPr="00E43A9E">
        <w:t>the same terms and conditions of access;</w:t>
      </w:r>
    </w:p>
    <w:p w:rsidR="00283A9D" w:rsidRPr="00E43A9E" w:rsidRDefault="00283A9D" w:rsidP="009C346A">
      <w:pPr>
        <w:pStyle w:val="Bullet1"/>
      </w:pPr>
      <w:r w:rsidRPr="00E43A9E">
        <w:t xml:space="preserve">the </w:t>
      </w:r>
      <w:r w:rsidR="0034086D" w:rsidRPr="00E43A9E">
        <w:t>access arrangement</w:t>
      </w:r>
      <w:r w:rsidRPr="00E43A9E">
        <w:t xml:space="preserve"> rev</w:t>
      </w:r>
      <w:r w:rsidR="00F22A05" w:rsidRPr="00E43A9E">
        <w:t>i</w:t>
      </w:r>
      <w:r w:rsidR="0043586D" w:rsidRPr="00E43A9E">
        <w:t xml:space="preserve">ews are due </w:t>
      </w:r>
      <w:r w:rsidR="00A66C30">
        <w:t xml:space="preserve">to be submitted to the AER </w:t>
      </w:r>
      <w:r w:rsidR="0043586D" w:rsidRPr="00E43A9E">
        <w:t>at the same time (1 January</w:t>
      </w:r>
      <w:r w:rsidR="00F22A05" w:rsidRPr="00E43A9E">
        <w:t xml:space="preserve"> 201</w:t>
      </w:r>
      <w:r w:rsidR="007D56D3">
        <w:t>7</w:t>
      </w:r>
      <w:r w:rsidRPr="00E43A9E">
        <w:t>)</w:t>
      </w:r>
      <w:r w:rsidR="007C6C63" w:rsidRPr="00E43A9E">
        <w:t>; and</w:t>
      </w:r>
    </w:p>
    <w:p w:rsidR="00283A9D" w:rsidRPr="00E43A9E" w:rsidRDefault="00283A9D" w:rsidP="009C346A">
      <w:pPr>
        <w:pStyle w:val="Bullet1"/>
      </w:pPr>
      <w:proofErr w:type="gramStart"/>
      <w:r w:rsidRPr="00E43A9E">
        <w:t>the</w:t>
      </w:r>
      <w:proofErr w:type="gramEnd"/>
      <w:r w:rsidRPr="00E43A9E">
        <w:t xml:space="preserve"> AER reviewed </w:t>
      </w:r>
      <w:r w:rsidR="0043586D" w:rsidRPr="00E43A9E">
        <w:t>the</w:t>
      </w:r>
      <w:r w:rsidR="0034086D" w:rsidRPr="00E43A9E">
        <w:t xml:space="preserve"> two access arrangements at the same time</w:t>
      </w:r>
      <w:r w:rsidR="00D44390" w:rsidRPr="00E43A9E">
        <w:t xml:space="preserve"> when they were last reviewed in 2012</w:t>
      </w:r>
      <w:r w:rsidR="0043586D" w:rsidRPr="00E43A9E">
        <w:t xml:space="preserve">, as did the </w:t>
      </w:r>
      <w:r w:rsidR="00D44390" w:rsidRPr="00E43A9E">
        <w:t>Essential Services Commission of Victoria (</w:t>
      </w:r>
      <w:r w:rsidR="0043586D" w:rsidRPr="00E43A9E">
        <w:t>ESCV</w:t>
      </w:r>
      <w:r w:rsidR="00D44390" w:rsidRPr="00E43A9E">
        <w:t>)</w:t>
      </w:r>
      <w:r w:rsidR="0043586D" w:rsidRPr="00E43A9E">
        <w:t xml:space="preserve"> </w:t>
      </w:r>
      <w:r w:rsidR="00A66C30">
        <w:t xml:space="preserve">prior to that. </w:t>
      </w:r>
    </w:p>
    <w:p w:rsidR="0024296C" w:rsidRPr="00E43A9E" w:rsidRDefault="0024296C"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AGN expects consolidating the access arrangements will have no impact on customers </w:t>
      </w:r>
      <w:r w:rsidR="00A66C30">
        <w:rPr>
          <w:rFonts w:ascii="Arial Narrow" w:eastAsiaTheme="minorEastAsia" w:hAnsi="Arial Narrow" w:cs="ApexNew-Book"/>
          <w:color w:val="1D1D1C"/>
          <w:u w:color="000000"/>
          <w:lang w:eastAsia="ja-JP"/>
        </w:rPr>
        <w:t xml:space="preserve">(or stakeholders more generally) </w:t>
      </w:r>
      <w:r w:rsidRPr="00E43A9E">
        <w:rPr>
          <w:rFonts w:ascii="Arial Narrow" w:eastAsiaTheme="minorEastAsia" w:hAnsi="Arial Narrow" w:cs="ApexNew-Book"/>
          <w:color w:val="1D1D1C"/>
          <w:u w:color="000000"/>
          <w:lang w:eastAsia="ja-JP"/>
        </w:rPr>
        <w:t>because:</w:t>
      </w:r>
    </w:p>
    <w:p w:rsidR="0024296C" w:rsidRPr="00E43A9E" w:rsidRDefault="0024296C" w:rsidP="009C346A">
      <w:pPr>
        <w:pStyle w:val="Bullet1"/>
      </w:pPr>
      <w:r w:rsidRPr="00E43A9E">
        <w:t>there will be no change to the operation of the network</w:t>
      </w:r>
      <w:r w:rsidR="007C6C63" w:rsidRPr="00E43A9E">
        <w:t>;</w:t>
      </w:r>
    </w:p>
    <w:p w:rsidR="00D44390" w:rsidRPr="00E43A9E" w:rsidRDefault="00D44390" w:rsidP="009C346A">
      <w:pPr>
        <w:pStyle w:val="Bullet1"/>
      </w:pPr>
      <w:r w:rsidRPr="00E43A9E">
        <w:t>there will be no change in the regulatory obligations imposed on the business;</w:t>
      </w:r>
    </w:p>
    <w:p w:rsidR="0024296C" w:rsidRPr="00E43A9E" w:rsidRDefault="0024296C" w:rsidP="009C346A">
      <w:pPr>
        <w:pStyle w:val="Bullet1"/>
      </w:pPr>
      <w:r w:rsidRPr="00E43A9E">
        <w:t>there will be no change to the nature of any services provided</w:t>
      </w:r>
      <w:r w:rsidR="007C6C63" w:rsidRPr="00E43A9E">
        <w:t>;</w:t>
      </w:r>
    </w:p>
    <w:p w:rsidR="00D44390" w:rsidRPr="00E43A9E" w:rsidRDefault="00D44390" w:rsidP="009C346A">
      <w:pPr>
        <w:pStyle w:val="Bullet1"/>
      </w:pPr>
      <w:r w:rsidRPr="00E43A9E">
        <w:t>there will be no change to the terms and conditions governing access to the networks</w:t>
      </w:r>
      <w:r w:rsidR="00A66C30">
        <w:t xml:space="preserve"> </w:t>
      </w:r>
      <w:r w:rsidR="00A66C30" w:rsidRPr="00E43A9E">
        <w:t>directly attributable to consol</w:t>
      </w:r>
      <w:r w:rsidR="00A66C30">
        <w:t>idation</w:t>
      </w:r>
      <w:r w:rsidRPr="00E43A9E">
        <w:t xml:space="preserve">; </w:t>
      </w:r>
    </w:p>
    <w:p w:rsidR="0024296C" w:rsidRPr="00E43A9E" w:rsidRDefault="0024296C" w:rsidP="009C346A">
      <w:pPr>
        <w:pStyle w:val="Bullet1"/>
        <w:spacing w:after="120"/>
      </w:pPr>
      <w:r w:rsidRPr="00E43A9E">
        <w:t>the</w:t>
      </w:r>
      <w:r w:rsidR="00D44390" w:rsidRPr="00E43A9E">
        <w:t xml:space="preserve">re will be no change to </w:t>
      </w:r>
      <w:r w:rsidR="002F490B" w:rsidRPr="00E43A9E">
        <w:t xml:space="preserve">tariff structures and the tariff setting process </w:t>
      </w:r>
      <w:r w:rsidR="00D44390" w:rsidRPr="00E43A9E">
        <w:t>directly attributable to consol</w:t>
      </w:r>
      <w:r w:rsidR="007D56D3">
        <w:t>idation</w:t>
      </w:r>
      <w:r w:rsidR="007C6C63" w:rsidRPr="00E43A9E">
        <w:t>; and</w:t>
      </w:r>
    </w:p>
    <w:p w:rsidR="0024296C" w:rsidRPr="00E43A9E" w:rsidRDefault="0024296C" w:rsidP="009C346A">
      <w:pPr>
        <w:pStyle w:val="Bullet1"/>
      </w:pPr>
      <w:proofErr w:type="gramStart"/>
      <w:r w:rsidRPr="00E43A9E">
        <w:t>stakeholders</w:t>
      </w:r>
      <w:proofErr w:type="gramEnd"/>
      <w:r w:rsidRPr="00E43A9E">
        <w:t xml:space="preserve"> will be able to participate in and influence the regulatory review process</w:t>
      </w:r>
      <w:r w:rsidR="00BD5E46">
        <w:t xml:space="preserve"> in a more efficient manner</w:t>
      </w:r>
      <w:r w:rsidR="00D44390" w:rsidRPr="00E43A9E">
        <w:t xml:space="preserve"> (</w:t>
      </w:r>
      <w:r w:rsidR="00BD5E46">
        <w:t>i.e. by avoiding the need to prepare separate submissions for the Albury and Victorian review processes</w:t>
      </w:r>
      <w:r w:rsidR="00D44390" w:rsidRPr="00E43A9E">
        <w:t>)</w:t>
      </w:r>
      <w:r w:rsidR="007C6C63" w:rsidRPr="00E43A9E">
        <w:t>.</w:t>
      </w:r>
    </w:p>
    <w:p w:rsidR="00283A9D" w:rsidRPr="00E43A9E" w:rsidRDefault="00F22A05"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Combining the access arrangements is essentially </w:t>
      </w:r>
      <w:r w:rsidR="002F490B" w:rsidRPr="00E43A9E">
        <w:rPr>
          <w:rFonts w:ascii="Arial Narrow" w:eastAsiaTheme="minorEastAsia" w:hAnsi="Arial Narrow" w:cs="ApexNew-Book"/>
          <w:color w:val="1D1D1C"/>
          <w:u w:color="000000"/>
          <w:lang w:eastAsia="ja-JP"/>
        </w:rPr>
        <w:t>a</w:t>
      </w:r>
      <w:r w:rsidR="00D44390" w:rsidRPr="00E43A9E">
        <w:rPr>
          <w:rFonts w:ascii="Arial Narrow" w:eastAsiaTheme="minorEastAsia" w:hAnsi="Arial Narrow" w:cs="ApexNew-Book"/>
          <w:color w:val="1D1D1C"/>
          <w:u w:color="000000"/>
          <w:lang w:eastAsia="ja-JP"/>
        </w:rPr>
        <w:t>n administrative</w:t>
      </w:r>
      <w:r w:rsidRPr="00E43A9E">
        <w:rPr>
          <w:rFonts w:ascii="Arial Narrow" w:eastAsiaTheme="minorEastAsia" w:hAnsi="Arial Narrow" w:cs="ApexNew-Book"/>
          <w:color w:val="1D1D1C"/>
          <w:u w:color="000000"/>
          <w:lang w:eastAsia="ja-JP"/>
        </w:rPr>
        <w:t xml:space="preserve"> exercise</w:t>
      </w:r>
      <w:r w:rsidR="002F490B" w:rsidRPr="00E43A9E">
        <w:rPr>
          <w:rFonts w:ascii="Arial Narrow" w:eastAsiaTheme="minorEastAsia" w:hAnsi="Arial Narrow" w:cs="ApexNew-Book"/>
          <w:color w:val="1D1D1C"/>
          <w:u w:color="000000"/>
          <w:lang w:eastAsia="ja-JP"/>
        </w:rPr>
        <w:t>.</w:t>
      </w:r>
      <w:r w:rsidR="00EB1F1D" w:rsidRPr="00E43A9E">
        <w:rPr>
          <w:rFonts w:ascii="Arial Narrow" w:eastAsiaTheme="minorEastAsia" w:hAnsi="Arial Narrow" w:cs="ApexNew-Book"/>
          <w:color w:val="1D1D1C"/>
          <w:u w:color="000000"/>
          <w:lang w:eastAsia="ja-JP"/>
        </w:rPr>
        <w:t xml:space="preserve"> The main benefit will be to reduce </w:t>
      </w:r>
      <w:r w:rsidR="006D65CC" w:rsidRPr="00E43A9E">
        <w:rPr>
          <w:rFonts w:ascii="Arial Narrow" w:eastAsiaTheme="minorEastAsia" w:hAnsi="Arial Narrow" w:cs="ApexNew-Book"/>
          <w:color w:val="1D1D1C"/>
          <w:u w:color="000000"/>
          <w:lang w:eastAsia="ja-JP"/>
        </w:rPr>
        <w:t xml:space="preserve">the </w:t>
      </w:r>
      <w:r w:rsidR="00EB1F1D" w:rsidRPr="00E43A9E">
        <w:rPr>
          <w:rFonts w:ascii="Arial Narrow" w:eastAsiaTheme="minorEastAsia" w:hAnsi="Arial Narrow" w:cs="ApexNew-Book"/>
          <w:color w:val="1D1D1C"/>
          <w:u w:color="000000"/>
          <w:lang w:eastAsia="ja-JP"/>
        </w:rPr>
        <w:t xml:space="preserve">administrative </w:t>
      </w:r>
      <w:r w:rsidR="0050189F" w:rsidRPr="00E43A9E">
        <w:rPr>
          <w:rFonts w:ascii="Arial Narrow" w:eastAsiaTheme="minorEastAsia" w:hAnsi="Arial Narrow" w:cs="ApexNew-Book"/>
          <w:color w:val="1D1D1C"/>
          <w:u w:color="000000"/>
          <w:lang w:eastAsia="ja-JP"/>
        </w:rPr>
        <w:t>burden for the AER</w:t>
      </w:r>
      <w:r w:rsidR="006D65CC" w:rsidRPr="00E43A9E">
        <w:rPr>
          <w:rFonts w:ascii="Arial Narrow" w:eastAsiaTheme="minorEastAsia" w:hAnsi="Arial Narrow" w:cs="ApexNew-Book"/>
          <w:color w:val="1D1D1C"/>
          <w:u w:color="000000"/>
          <w:lang w:eastAsia="ja-JP"/>
        </w:rPr>
        <w:t>,</w:t>
      </w:r>
      <w:r w:rsidR="0050189F" w:rsidRPr="00E43A9E">
        <w:rPr>
          <w:rFonts w:ascii="Arial Narrow" w:eastAsiaTheme="minorEastAsia" w:hAnsi="Arial Narrow" w:cs="ApexNew-Book"/>
          <w:color w:val="1D1D1C"/>
          <w:u w:color="000000"/>
          <w:lang w:eastAsia="ja-JP"/>
        </w:rPr>
        <w:t xml:space="preserve"> AGN</w:t>
      </w:r>
      <w:r w:rsidR="006D65CC" w:rsidRPr="00E43A9E">
        <w:rPr>
          <w:rFonts w:ascii="Arial Narrow" w:eastAsiaTheme="minorEastAsia" w:hAnsi="Arial Narrow" w:cs="ApexNew-Book"/>
          <w:color w:val="1D1D1C"/>
          <w:u w:color="000000"/>
          <w:lang w:eastAsia="ja-JP"/>
        </w:rPr>
        <w:t xml:space="preserve"> and stakeholders making submissions into the regulatory review process</w:t>
      </w:r>
      <w:r w:rsidR="0050189F" w:rsidRPr="00E43A9E">
        <w:rPr>
          <w:rFonts w:ascii="Arial Narrow" w:eastAsiaTheme="minorEastAsia" w:hAnsi="Arial Narrow" w:cs="ApexNew-Book"/>
          <w:color w:val="1D1D1C"/>
          <w:u w:color="000000"/>
          <w:lang w:eastAsia="ja-JP"/>
        </w:rPr>
        <w:t>. This</w:t>
      </w:r>
      <w:r w:rsidR="00EB1F1D" w:rsidRPr="00E43A9E">
        <w:rPr>
          <w:rFonts w:ascii="Arial Narrow" w:eastAsiaTheme="minorEastAsia" w:hAnsi="Arial Narrow" w:cs="ApexNew-Book"/>
          <w:color w:val="1D1D1C"/>
          <w:u w:color="000000"/>
          <w:lang w:eastAsia="ja-JP"/>
        </w:rPr>
        <w:t xml:space="preserve"> s</w:t>
      </w:r>
      <w:r w:rsidR="00BD5E46">
        <w:rPr>
          <w:rFonts w:ascii="Arial Narrow" w:eastAsiaTheme="minorEastAsia" w:hAnsi="Arial Narrow" w:cs="ApexNew-Book"/>
          <w:color w:val="1D1D1C"/>
          <w:u w:color="000000"/>
          <w:lang w:eastAsia="ja-JP"/>
        </w:rPr>
        <w:t>hould also lead to lower costs</w:t>
      </w:r>
      <w:r w:rsidR="00EB1F1D" w:rsidRPr="00E43A9E">
        <w:rPr>
          <w:rFonts w:ascii="Arial Narrow" w:eastAsiaTheme="minorEastAsia" w:hAnsi="Arial Narrow" w:cs="ApexNew-Book"/>
          <w:color w:val="1D1D1C"/>
          <w:u w:color="000000"/>
          <w:lang w:eastAsia="ja-JP"/>
        </w:rPr>
        <w:t xml:space="preserve">. Formally </w:t>
      </w:r>
      <w:r w:rsidR="007E481E" w:rsidRPr="00E43A9E">
        <w:rPr>
          <w:rFonts w:ascii="Arial Narrow" w:eastAsiaTheme="minorEastAsia" w:hAnsi="Arial Narrow" w:cs="ApexNew-Book"/>
          <w:color w:val="1D1D1C"/>
          <w:u w:color="000000"/>
          <w:lang w:eastAsia="ja-JP"/>
        </w:rPr>
        <w:t>treating</w:t>
      </w:r>
      <w:r w:rsidR="00EB1F1D" w:rsidRPr="00E43A9E">
        <w:rPr>
          <w:rFonts w:ascii="Arial Narrow" w:eastAsiaTheme="minorEastAsia" w:hAnsi="Arial Narrow" w:cs="ApexNew-Book"/>
          <w:color w:val="1D1D1C"/>
          <w:u w:color="000000"/>
          <w:lang w:eastAsia="ja-JP"/>
        </w:rPr>
        <w:t xml:space="preserve"> the network services under a single access arrangement also provides greater regulatory certainty, which promotes more efficient investment in and use of the networks.</w:t>
      </w:r>
    </w:p>
    <w:p w:rsidR="003F370D" w:rsidRPr="00E43A9E" w:rsidRDefault="007E481E"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Therefore,</w:t>
      </w:r>
      <w:r w:rsidR="006D65CC" w:rsidRPr="00E43A9E">
        <w:rPr>
          <w:rFonts w:ascii="Arial Narrow" w:eastAsiaTheme="minorEastAsia" w:hAnsi="Arial Narrow" w:cs="ApexNew-Book"/>
          <w:color w:val="1D1D1C"/>
          <w:u w:color="000000"/>
          <w:lang w:eastAsia="ja-JP"/>
        </w:rPr>
        <w:t xml:space="preserve"> </w:t>
      </w:r>
      <w:r w:rsidR="00EB1F1D" w:rsidRPr="00E43A9E">
        <w:rPr>
          <w:rFonts w:ascii="Arial Narrow" w:eastAsiaTheme="minorEastAsia" w:hAnsi="Arial Narrow" w:cs="ApexNew-Book"/>
          <w:color w:val="1D1D1C"/>
          <w:u w:color="000000"/>
          <w:lang w:eastAsia="ja-JP"/>
        </w:rPr>
        <w:t xml:space="preserve">pursuant to section 53(2) of the National Gas Rules (NGR), </w:t>
      </w:r>
      <w:r w:rsidR="006D65CC" w:rsidRPr="00E43A9E">
        <w:rPr>
          <w:rFonts w:ascii="Arial Narrow" w:eastAsiaTheme="minorEastAsia" w:hAnsi="Arial Narrow" w:cs="ApexNew-Book"/>
          <w:color w:val="1D1D1C"/>
          <w:u w:color="000000"/>
          <w:lang w:eastAsia="ja-JP"/>
        </w:rPr>
        <w:t xml:space="preserve">AGN is seeking that </w:t>
      </w:r>
      <w:r w:rsidR="00EB1F1D" w:rsidRPr="00E43A9E">
        <w:rPr>
          <w:rFonts w:ascii="Arial Narrow" w:eastAsiaTheme="minorEastAsia" w:hAnsi="Arial Narrow" w:cs="ApexNew-Book"/>
          <w:color w:val="1D1D1C"/>
          <w:u w:color="000000"/>
          <w:lang w:eastAsia="ja-JP"/>
        </w:rPr>
        <w:t>the AER issue a direction to consolidate the access arrangements for the Victoria</w:t>
      </w:r>
      <w:r w:rsidR="006D65CC" w:rsidRPr="00E43A9E">
        <w:rPr>
          <w:rFonts w:ascii="Arial Narrow" w:eastAsiaTheme="minorEastAsia" w:hAnsi="Arial Narrow" w:cs="ApexNew-Book"/>
          <w:color w:val="1D1D1C"/>
          <w:u w:color="000000"/>
          <w:lang w:eastAsia="ja-JP"/>
        </w:rPr>
        <w:t>n</w:t>
      </w:r>
      <w:r w:rsidR="00EB1F1D" w:rsidRPr="00E43A9E">
        <w:rPr>
          <w:rFonts w:ascii="Arial Narrow" w:eastAsiaTheme="minorEastAsia" w:hAnsi="Arial Narrow" w:cs="ApexNew-Book"/>
          <w:color w:val="1D1D1C"/>
          <w:u w:color="000000"/>
          <w:lang w:eastAsia="ja-JP"/>
        </w:rPr>
        <w:t xml:space="preserve"> and Albury </w:t>
      </w:r>
      <w:r w:rsidR="006D65CC" w:rsidRPr="00E43A9E">
        <w:rPr>
          <w:rFonts w:ascii="Arial Narrow" w:eastAsiaTheme="minorEastAsia" w:hAnsi="Arial Narrow" w:cs="ApexNew-Book"/>
          <w:color w:val="1D1D1C"/>
          <w:u w:color="000000"/>
          <w:lang w:eastAsia="ja-JP"/>
        </w:rPr>
        <w:t xml:space="preserve">natural </w:t>
      </w:r>
      <w:r w:rsidR="00EB1F1D" w:rsidRPr="00E43A9E">
        <w:rPr>
          <w:rFonts w:ascii="Arial Narrow" w:eastAsiaTheme="minorEastAsia" w:hAnsi="Arial Narrow" w:cs="ApexNew-Book"/>
          <w:color w:val="1D1D1C"/>
          <w:u w:color="000000"/>
          <w:lang w:eastAsia="ja-JP"/>
        </w:rPr>
        <w:t>gas distribution networks.</w:t>
      </w:r>
    </w:p>
    <w:p w:rsidR="007E481E" w:rsidRPr="006B5723" w:rsidRDefault="007E481E" w:rsidP="009C346A">
      <w:pPr>
        <w:pStyle w:val="Heading1"/>
      </w:pPr>
      <w:bookmarkStart w:id="2" w:name="_Toc440613702"/>
      <w:r w:rsidRPr="006B5723">
        <w:t xml:space="preserve">NGR </w:t>
      </w:r>
      <w:r w:rsidR="001765E4">
        <w:t>R</w:t>
      </w:r>
      <w:r w:rsidRPr="006B5723">
        <w:t>equirements</w:t>
      </w:r>
      <w:bookmarkEnd w:id="2"/>
    </w:p>
    <w:p w:rsidR="007E481E" w:rsidRPr="00E43A9E" w:rsidRDefault="006D65CC"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The </w:t>
      </w:r>
      <w:r w:rsidR="007E481E" w:rsidRPr="00E43A9E">
        <w:rPr>
          <w:rFonts w:ascii="Arial Narrow" w:eastAsiaTheme="minorEastAsia" w:hAnsi="Arial Narrow" w:cs="ApexNew-Book"/>
          <w:color w:val="1D1D1C"/>
          <w:u w:color="000000"/>
          <w:lang w:eastAsia="ja-JP"/>
        </w:rPr>
        <w:t>NGR provides for the separation or consolidation of access arrangements as follows:</w:t>
      </w:r>
    </w:p>
    <w:p w:rsidR="007E481E" w:rsidRPr="006B5723" w:rsidRDefault="007E481E" w:rsidP="009C346A">
      <w:pPr>
        <w:spacing w:line="276" w:lineRule="auto"/>
        <w:ind w:left="851" w:right="543" w:hanging="284"/>
        <w:jc w:val="both"/>
        <w:rPr>
          <w:rFonts w:ascii="Arial Narrow" w:hAnsi="Arial Narrow" w:cs="Arial"/>
          <w:b/>
          <w:i/>
        </w:rPr>
      </w:pPr>
      <w:r w:rsidRPr="006B5723">
        <w:rPr>
          <w:rFonts w:ascii="Arial Narrow" w:hAnsi="Arial Narrow" w:cs="Arial"/>
          <w:b/>
          <w:i/>
        </w:rPr>
        <w:t xml:space="preserve">53 Access arrangement proposal for division or consolidation of access arrangements </w:t>
      </w:r>
    </w:p>
    <w:p w:rsidR="007E481E" w:rsidRPr="00E43A9E" w:rsidRDefault="009C346A" w:rsidP="009C346A">
      <w:pPr>
        <w:pStyle w:val="QuoteRule"/>
        <w:spacing w:before="120" w:after="200"/>
        <w:rPr>
          <w:lang w:eastAsia="ja-JP"/>
        </w:rPr>
      </w:pPr>
      <w:r>
        <w:rPr>
          <w:lang w:eastAsia="ja-JP"/>
        </w:rPr>
        <w:tab/>
      </w:r>
      <w:r w:rsidR="007E481E" w:rsidRPr="00E43A9E">
        <w:rPr>
          <w:lang w:eastAsia="ja-JP"/>
        </w:rPr>
        <w:t xml:space="preserve">(1) The AER may, by notice to a service provider for a covered pipeline, direct the service </w:t>
      </w:r>
      <w:r>
        <w:rPr>
          <w:lang w:eastAsia="ja-JP"/>
        </w:rPr>
        <w:tab/>
      </w:r>
      <w:r>
        <w:rPr>
          <w:lang w:eastAsia="ja-JP"/>
        </w:rPr>
        <w:tab/>
      </w:r>
      <w:r w:rsidR="007E481E" w:rsidRPr="00E43A9E">
        <w:rPr>
          <w:lang w:eastAsia="ja-JP"/>
        </w:rPr>
        <w:t xml:space="preserve">provider to submit separate access arrangement proposals for different parts of the </w:t>
      </w:r>
      <w:r>
        <w:rPr>
          <w:lang w:eastAsia="ja-JP"/>
        </w:rPr>
        <w:tab/>
      </w:r>
      <w:r>
        <w:rPr>
          <w:lang w:eastAsia="ja-JP"/>
        </w:rPr>
        <w:tab/>
      </w:r>
      <w:r>
        <w:rPr>
          <w:lang w:eastAsia="ja-JP"/>
        </w:rPr>
        <w:tab/>
      </w:r>
      <w:r w:rsidR="007E481E" w:rsidRPr="00E43A9E">
        <w:rPr>
          <w:lang w:eastAsia="ja-JP"/>
        </w:rPr>
        <w:t xml:space="preserve">covered pipeline. </w:t>
      </w:r>
    </w:p>
    <w:p w:rsidR="007E481E" w:rsidRPr="00E43A9E" w:rsidRDefault="007E481E" w:rsidP="009C346A">
      <w:pPr>
        <w:pStyle w:val="QuoteRule"/>
        <w:spacing w:before="120" w:after="200"/>
        <w:ind w:left="1134" w:hanging="283"/>
        <w:rPr>
          <w:lang w:eastAsia="ja-JP"/>
        </w:rPr>
      </w:pPr>
      <w:r w:rsidRPr="00E43A9E">
        <w:rPr>
          <w:lang w:eastAsia="ja-JP"/>
        </w:rPr>
        <w:t>(2) If pipeline services provided, or to be provided, by a service provider are (or are to be) provided by means of 2 or more covered pipelines, the AER may, by notice to the service</w:t>
      </w:r>
      <w:r w:rsidR="009C346A">
        <w:rPr>
          <w:lang w:eastAsia="ja-JP"/>
        </w:rPr>
        <w:t xml:space="preserve"> </w:t>
      </w:r>
      <w:r w:rsidRPr="00E43A9E">
        <w:rPr>
          <w:lang w:eastAsia="ja-JP"/>
        </w:rPr>
        <w:t xml:space="preserve">provider, direct the service provider to submit a consolidated access arrangement proposal for all the relevant covered pipelines. </w:t>
      </w:r>
    </w:p>
    <w:p w:rsidR="007E481E" w:rsidRPr="001757D7" w:rsidRDefault="007E481E" w:rsidP="001765E4">
      <w:pPr>
        <w:pStyle w:val="QuoteRule"/>
        <w:spacing w:before="120" w:after="200"/>
        <w:ind w:left="851"/>
        <w:rPr>
          <w:sz w:val="18"/>
          <w:lang w:eastAsia="ja-JP"/>
        </w:rPr>
      </w:pPr>
      <w:r w:rsidRPr="001757D7">
        <w:rPr>
          <w:sz w:val="18"/>
          <w:lang w:eastAsia="ja-JP"/>
        </w:rPr>
        <w:lastRenderedPageBreak/>
        <w:t xml:space="preserve">Example: The AER might direct the submission of a consolidated access arrangement proposal for 2 or more covered transmission pipelines, 2 or more covered distribution pipelines or a combination of covered transmission and covered distribution pipelines. </w:t>
      </w:r>
    </w:p>
    <w:p w:rsidR="007E481E" w:rsidRPr="00E43A9E" w:rsidRDefault="007E481E" w:rsidP="001757D7">
      <w:pPr>
        <w:pStyle w:val="QuoteRule"/>
        <w:tabs>
          <w:tab w:val="clear" w:pos="851"/>
        </w:tabs>
        <w:spacing w:before="120" w:after="200"/>
        <w:ind w:left="993" w:hanging="142"/>
        <w:rPr>
          <w:lang w:eastAsia="ja-JP"/>
        </w:rPr>
      </w:pPr>
      <w:r w:rsidRPr="00E43A9E">
        <w:rPr>
          <w:lang w:eastAsia="ja-JP"/>
        </w:rPr>
        <w:t xml:space="preserve">(3) The AER may give a direction under this rule either on its own initiative or on application </w:t>
      </w:r>
      <w:r w:rsidR="001757D7">
        <w:rPr>
          <w:lang w:eastAsia="ja-JP"/>
        </w:rPr>
        <w:tab/>
      </w:r>
      <w:r w:rsidRPr="00E43A9E">
        <w:rPr>
          <w:lang w:eastAsia="ja-JP"/>
        </w:rPr>
        <w:t xml:space="preserve">by the service provider. </w:t>
      </w:r>
    </w:p>
    <w:p w:rsidR="007E481E" w:rsidRPr="00E43A9E" w:rsidRDefault="007E481E" w:rsidP="009C346A">
      <w:pPr>
        <w:pStyle w:val="QuoteRule"/>
        <w:spacing w:before="120" w:after="200"/>
        <w:ind w:firstLine="284"/>
        <w:rPr>
          <w:lang w:eastAsia="ja-JP"/>
        </w:rPr>
      </w:pPr>
      <w:r w:rsidRPr="00E43A9E">
        <w:rPr>
          <w:lang w:eastAsia="ja-JP"/>
        </w:rPr>
        <w:t xml:space="preserve">(4) In deciding whether to give a direction under this rule, the AER must have regard to: </w:t>
      </w:r>
    </w:p>
    <w:p w:rsidR="007E481E" w:rsidRPr="00E43A9E" w:rsidRDefault="00E43A9E" w:rsidP="009C346A">
      <w:pPr>
        <w:pStyle w:val="QuoteRule"/>
        <w:spacing w:before="120" w:after="200"/>
        <w:ind w:firstLine="284"/>
        <w:rPr>
          <w:lang w:eastAsia="ja-JP"/>
        </w:rPr>
      </w:pPr>
      <w:r>
        <w:rPr>
          <w:lang w:eastAsia="ja-JP"/>
        </w:rPr>
        <w:tab/>
      </w:r>
      <w:r w:rsidR="007E481E" w:rsidRPr="00E43A9E">
        <w:rPr>
          <w:lang w:eastAsia="ja-JP"/>
        </w:rPr>
        <w:t xml:space="preserve">(a) </w:t>
      </w:r>
      <w:proofErr w:type="gramStart"/>
      <w:r w:rsidR="007E481E" w:rsidRPr="00E43A9E">
        <w:rPr>
          <w:lang w:eastAsia="ja-JP"/>
        </w:rPr>
        <w:t>the</w:t>
      </w:r>
      <w:proofErr w:type="gramEnd"/>
      <w:r w:rsidR="007E481E" w:rsidRPr="00E43A9E">
        <w:rPr>
          <w:lang w:eastAsia="ja-JP"/>
        </w:rPr>
        <w:t xml:space="preserve"> nature of the pipeline or pipelines; and </w:t>
      </w:r>
    </w:p>
    <w:p w:rsidR="007E481E" w:rsidRPr="00E43A9E" w:rsidRDefault="00E43A9E" w:rsidP="001757D7">
      <w:pPr>
        <w:pStyle w:val="QuoteRule"/>
        <w:spacing w:before="120" w:after="200"/>
        <w:ind w:firstLine="284"/>
        <w:rPr>
          <w:lang w:eastAsia="ja-JP"/>
        </w:rPr>
      </w:pPr>
      <w:r>
        <w:rPr>
          <w:lang w:eastAsia="ja-JP"/>
        </w:rPr>
        <w:tab/>
      </w:r>
      <w:r w:rsidR="007E481E" w:rsidRPr="00E43A9E">
        <w:rPr>
          <w:lang w:eastAsia="ja-JP"/>
        </w:rPr>
        <w:t xml:space="preserve">(b) </w:t>
      </w:r>
      <w:proofErr w:type="gramStart"/>
      <w:r w:rsidR="007E481E" w:rsidRPr="00E43A9E">
        <w:rPr>
          <w:lang w:eastAsia="ja-JP"/>
        </w:rPr>
        <w:t>the</w:t>
      </w:r>
      <w:proofErr w:type="gramEnd"/>
      <w:r w:rsidR="007E481E" w:rsidRPr="00E43A9E">
        <w:rPr>
          <w:lang w:eastAsia="ja-JP"/>
        </w:rPr>
        <w:t xml:space="preserve"> nature of the pipeline services provided or to be provided by means of the </w:t>
      </w:r>
      <w:r>
        <w:rPr>
          <w:lang w:eastAsia="ja-JP"/>
        </w:rPr>
        <w:tab/>
      </w:r>
      <w:r w:rsidR="001757D7">
        <w:rPr>
          <w:lang w:eastAsia="ja-JP"/>
        </w:rPr>
        <w:tab/>
      </w:r>
      <w:r w:rsidR="001757D7">
        <w:rPr>
          <w:lang w:eastAsia="ja-JP"/>
        </w:rPr>
        <w:tab/>
      </w:r>
      <w:r w:rsidR="001757D7">
        <w:rPr>
          <w:lang w:eastAsia="ja-JP"/>
        </w:rPr>
        <w:tab/>
      </w:r>
      <w:r w:rsidR="007E481E" w:rsidRPr="00E43A9E">
        <w:rPr>
          <w:lang w:eastAsia="ja-JP"/>
        </w:rPr>
        <w:t xml:space="preserve">pipeline or pipelines; and </w:t>
      </w:r>
    </w:p>
    <w:p w:rsidR="007E481E" w:rsidRPr="00E43A9E" w:rsidRDefault="00E43A9E" w:rsidP="009C346A">
      <w:pPr>
        <w:pStyle w:val="QuoteRule"/>
        <w:spacing w:before="120" w:after="200"/>
        <w:ind w:firstLine="284"/>
        <w:rPr>
          <w:lang w:eastAsia="ja-JP"/>
        </w:rPr>
      </w:pPr>
      <w:r>
        <w:rPr>
          <w:lang w:eastAsia="ja-JP"/>
        </w:rPr>
        <w:tab/>
      </w:r>
      <w:r w:rsidR="007E481E" w:rsidRPr="00E43A9E">
        <w:rPr>
          <w:lang w:eastAsia="ja-JP"/>
        </w:rPr>
        <w:t xml:space="preserve">(c) </w:t>
      </w:r>
      <w:proofErr w:type="gramStart"/>
      <w:r w:rsidR="007E481E" w:rsidRPr="00E43A9E">
        <w:rPr>
          <w:lang w:eastAsia="ja-JP"/>
        </w:rPr>
        <w:t>any</w:t>
      </w:r>
      <w:proofErr w:type="gramEnd"/>
      <w:r w:rsidR="007E481E" w:rsidRPr="00E43A9E">
        <w:rPr>
          <w:lang w:eastAsia="ja-JP"/>
        </w:rPr>
        <w:t xml:space="preserve"> other matter the AER considers relevant. </w:t>
      </w:r>
    </w:p>
    <w:p w:rsidR="007E481E" w:rsidRPr="00E43A9E" w:rsidRDefault="007E481E" w:rsidP="001757D7">
      <w:pPr>
        <w:pStyle w:val="QuoteRule"/>
        <w:spacing w:before="120" w:after="200"/>
        <w:ind w:left="1134" w:hanging="283"/>
        <w:rPr>
          <w:lang w:eastAsia="ja-JP"/>
        </w:rPr>
      </w:pPr>
      <w:r w:rsidRPr="00E43A9E">
        <w:rPr>
          <w:lang w:eastAsia="ja-JP"/>
        </w:rPr>
        <w:t xml:space="preserve">(5) Before the AER gives the direction, it must consult on the proposed terms of the direction with the service provider and any other persons with whom it considers consultation appropriate. </w:t>
      </w:r>
    </w:p>
    <w:p w:rsidR="007E481E" w:rsidRPr="00E43A9E" w:rsidRDefault="007E481E" w:rsidP="009C346A">
      <w:pPr>
        <w:pStyle w:val="QuoteRule"/>
        <w:spacing w:before="120" w:after="200"/>
        <w:ind w:firstLine="284"/>
        <w:rPr>
          <w:lang w:eastAsia="ja-JP"/>
        </w:rPr>
      </w:pPr>
      <w:r w:rsidRPr="00E43A9E">
        <w:rPr>
          <w:lang w:eastAsia="ja-JP"/>
        </w:rPr>
        <w:t xml:space="preserve">(6) A service provider must comply with a direction under this rule. </w:t>
      </w:r>
    </w:p>
    <w:p w:rsidR="007E481E" w:rsidRPr="00E43A9E" w:rsidRDefault="007E481E" w:rsidP="001757D7">
      <w:pPr>
        <w:pStyle w:val="QuoteRule"/>
        <w:spacing w:before="120" w:after="200"/>
        <w:ind w:left="851"/>
        <w:rPr>
          <w:sz w:val="18"/>
          <w:szCs w:val="18"/>
          <w:lang w:eastAsia="ja-JP"/>
        </w:rPr>
      </w:pPr>
      <w:r w:rsidRPr="00E43A9E">
        <w:rPr>
          <w:sz w:val="18"/>
          <w:szCs w:val="18"/>
          <w:lang w:eastAsia="ja-JP"/>
        </w:rPr>
        <w:t xml:space="preserve">Note: This </w:t>
      </w:r>
      <w:proofErr w:type="spellStart"/>
      <w:r w:rsidRPr="00E43A9E">
        <w:rPr>
          <w:sz w:val="18"/>
          <w:szCs w:val="18"/>
          <w:lang w:eastAsia="ja-JP"/>
        </w:rPr>
        <w:t>subrule</w:t>
      </w:r>
      <w:proofErr w:type="spellEnd"/>
      <w:r w:rsidRPr="00E43A9E">
        <w:rPr>
          <w:sz w:val="18"/>
          <w:szCs w:val="18"/>
          <w:lang w:eastAsia="ja-JP"/>
        </w:rPr>
        <w:t xml:space="preserve"> is classified as a civil penalty provision under the National Gas (South Australian) Regulations. See clause 6 and Schedule 3 of the National Gas (South Australian) Regulations. </w:t>
      </w:r>
    </w:p>
    <w:p w:rsidR="007E481E" w:rsidRPr="00E43A9E" w:rsidRDefault="007E481E" w:rsidP="001757D7">
      <w:pPr>
        <w:pStyle w:val="QuoteRule"/>
        <w:spacing w:before="120" w:after="200"/>
        <w:ind w:left="1134" w:hanging="283"/>
        <w:rPr>
          <w:lang w:eastAsia="ja-JP"/>
        </w:rPr>
      </w:pPr>
      <w:r w:rsidRPr="00E43A9E">
        <w:rPr>
          <w:lang w:eastAsia="ja-JP"/>
        </w:rPr>
        <w:t>(7) A direction under this rule may be subject to such conditions as the AER thinks fit and includes in the direction.</w:t>
      </w:r>
    </w:p>
    <w:p w:rsidR="00C009F2" w:rsidRPr="00E43A9E" w:rsidRDefault="007E481E"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AGN submits this application pursuant to NGR 53(</w:t>
      </w:r>
      <w:r w:rsidR="00C009F2" w:rsidRPr="00E43A9E">
        <w:rPr>
          <w:rFonts w:ascii="Arial Narrow" w:eastAsiaTheme="minorEastAsia" w:hAnsi="Arial Narrow" w:cs="ApexNew-Book"/>
          <w:color w:val="1D1D1C"/>
          <w:u w:color="000000"/>
          <w:lang w:eastAsia="ja-JP"/>
        </w:rPr>
        <w:t>3</w:t>
      </w:r>
      <w:r w:rsidRPr="00E43A9E">
        <w:rPr>
          <w:rFonts w:ascii="Arial Narrow" w:eastAsiaTheme="minorEastAsia" w:hAnsi="Arial Narrow" w:cs="ApexNew-Book"/>
          <w:color w:val="1D1D1C"/>
          <w:u w:color="000000"/>
          <w:lang w:eastAsia="ja-JP"/>
        </w:rPr>
        <w:t xml:space="preserve">). </w:t>
      </w:r>
    </w:p>
    <w:p w:rsidR="00C009F2" w:rsidRPr="00E43A9E" w:rsidRDefault="00C009F2"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Another key consideration is the National Gas Objective (NGO), which is set out in section 23 of the National Gas Law (NGL). The NGO is: </w:t>
      </w:r>
    </w:p>
    <w:p w:rsidR="00C009F2" w:rsidRPr="00C009F2" w:rsidRDefault="00C009F2" w:rsidP="001E787A">
      <w:pPr>
        <w:pStyle w:val="QuoteRule"/>
        <w:rPr>
          <w:lang w:eastAsia="ja-JP"/>
        </w:rPr>
      </w:pPr>
      <w:r w:rsidRPr="00C009F2">
        <w:rPr>
          <w:lang w:eastAsia="ja-JP"/>
        </w:rPr>
        <w:t>“… to promote efficient investment in, and efficient operation and use of, natural gas services for the long term interests of consumers of natural gas with respect to price, quality, safety, reliability and security of supply of natural gas.”</w:t>
      </w:r>
    </w:p>
    <w:p w:rsidR="002B2BCF" w:rsidRDefault="002B2BCF">
      <w:pPr>
        <w:rPr>
          <w:rFonts w:ascii="Arial Narrow" w:eastAsiaTheme="majorEastAsia" w:hAnsi="Arial Narrow" w:cstheme="majorBidi"/>
          <w:bCs/>
          <w:color w:val="4785B6"/>
          <w:sz w:val="40"/>
          <w:szCs w:val="40"/>
          <w:u w:color="000000"/>
          <w:lang w:val="en-US"/>
        </w:rPr>
      </w:pPr>
      <w:bookmarkStart w:id="3" w:name="_Toc434136474"/>
      <w:bookmarkStart w:id="4" w:name="_Toc440613703"/>
      <w:bookmarkEnd w:id="3"/>
      <w:r>
        <w:br w:type="page"/>
      </w:r>
    </w:p>
    <w:p w:rsidR="003972E1" w:rsidRPr="006B5723" w:rsidRDefault="003F370D" w:rsidP="009C346A">
      <w:pPr>
        <w:pStyle w:val="Heading1"/>
      </w:pPr>
      <w:r>
        <w:lastRenderedPageBreak/>
        <w:t xml:space="preserve">Nature of the </w:t>
      </w:r>
      <w:r w:rsidR="009C346A">
        <w:t>P</w:t>
      </w:r>
      <w:r>
        <w:t xml:space="preserve">ipelines and </w:t>
      </w:r>
      <w:r w:rsidR="009C346A">
        <w:t>P</w:t>
      </w:r>
      <w:r>
        <w:t xml:space="preserve">ipeline </w:t>
      </w:r>
      <w:r w:rsidR="009C346A">
        <w:t>S</w:t>
      </w:r>
      <w:r>
        <w:t>ervices</w:t>
      </w:r>
      <w:bookmarkEnd w:id="4"/>
    </w:p>
    <w:p w:rsidR="003F370D" w:rsidRDefault="0078038B"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The Victoria</w:t>
      </w:r>
      <w:r w:rsidR="006D7447"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and Albury</w:t>
      </w:r>
      <w:r w:rsidR="009564B6" w:rsidRPr="00E43A9E">
        <w:rPr>
          <w:rFonts w:ascii="Arial Narrow" w:eastAsiaTheme="minorEastAsia" w:hAnsi="Arial Narrow" w:cs="ApexNew-Book"/>
          <w:color w:val="1D1D1C"/>
          <w:u w:color="000000"/>
          <w:lang w:eastAsia="ja-JP"/>
        </w:rPr>
        <w:t xml:space="preserve"> </w:t>
      </w:r>
      <w:r w:rsidR="00BD5E46">
        <w:rPr>
          <w:rFonts w:ascii="Arial Narrow" w:eastAsiaTheme="minorEastAsia" w:hAnsi="Arial Narrow" w:cs="ApexNew-Book"/>
          <w:color w:val="1D1D1C"/>
          <w:u w:color="000000"/>
          <w:lang w:eastAsia="ja-JP"/>
        </w:rPr>
        <w:t xml:space="preserve">natural </w:t>
      </w:r>
      <w:r w:rsidR="009564B6" w:rsidRPr="00E43A9E">
        <w:rPr>
          <w:rFonts w:ascii="Arial Narrow" w:eastAsiaTheme="minorEastAsia" w:hAnsi="Arial Narrow" w:cs="ApexNew-Book"/>
          <w:color w:val="1D1D1C"/>
          <w:u w:color="000000"/>
          <w:lang w:eastAsia="ja-JP"/>
        </w:rPr>
        <w:t>gas distribution networks are interconnected, lying either side of the Victoria</w:t>
      </w:r>
      <w:r w:rsidR="00BD5E46">
        <w:rPr>
          <w:rFonts w:ascii="Arial Narrow" w:eastAsiaTheme="minorEastAsia" w:hAnsi="Arial Narrow" w:cs="ApexNew-Book"/>
          <w:color w:val="1D1D1C"/>
          <w:u w:color="000000"/>
          <w:lang w:eastAsia="ja-JP"/>
        </w:rPr>
        <w:t>n</w:t>
      </w:r>
      <w:r w:rsidR="009564B6" w:rsidRPr="00E43A9E">
        <w:rPr>
          <w:rFonts w:ascii="Arial Narrow" w:eastAsiaTheme="minorEastAsia" w:hAnsi="Arial Narrow" w:cs="ApexNew-Book"/>
          <w:color w:val="1D1D1C"/>
          <w:u w:color="000000"/>
          <w:lang w:eastAsia="ja-JP"/>
        </w:rPr>
        <w:t xml:space="preserve"> and New South W</w:t>
      </w:r>
      <w:r w:rsidR="004E0902" w:rsidRPr="00E43A9E">
        <w:rPr>
          <w:rFonts w:ascii="Arial Narrow" w:eastAsiaTheme="minorEastAsia" w:hAnsi="Arial Narrow" w:cs="ApexNew-Book"/>
          <w:color w:val="1D1D1C"/>
          <w:u w:color="000000"/>
          <w:lang w:eastAsia="ja-JP"/>
        </w:rPr>
        <w:t>ales border</w:t>
      </w:r>
      <w:r w:rsidR="00BD5E46">
        <w:rPr>
          <w:rFonts w:ascii="Arial Narrow" w:eastAsiaTheme="minorEastAsia" w:hAnsi="Arial Narrow" w:cs="ApexNew-Book"/>
          <w:color w:val="1D1D1C"/>
          <w:u w:color="000000"/>
          <w:lang w:eastAsia="ja-JP"/>
        </w:rPr>
        <w:t>s</w:t>
      </w:r>
      <w:r w:rsidR="004E0902" w:rsidRPr="00E43A9E">
        <w:rPr>
          <w:rFonts w:ascii="Arial Narrow" w:eastAsiaTheme="minorEastAsia" w:hAnsi="Arial Narrow" w:cs="ApexNew-Book"/>
          <w:color w:val="1D1D1C"/>
          <w:u w:color="000000"/>
          <w:lang w:eastAsia="ja-JP"/>
        </w:rPr>
        <w:t>.</w:t>
      </w:r>
      <w:r w:rsidR="00F90D4A" w:rsidRPr="00E43A9E">
        <w:rPr>
          <w:rFonts w:ascii="Arial Narrow" w:eastAsiaTheme="minorEastAsia" w:hAnsi="Arial Narrow" w:cs="ApexNew-Book"/>
          <w:color w:val="1D1D1C"/>
          <w:u w:color="000000"/>
          <w:lang w:eastAsia="ja-JP"/>
        </w:rPr>
        <w:t xml:space="preserve"> Figure </w:t>
      </w:r>
      <w:r w:rsidR="008C4785">
        <w:rPr>
          <w:rFonts w:ascii="Arial Narrow" w:eastAsiaTheme="minorEastAsia" w:hAnsi="Arial Narrow" w:cs="ApexNew-Book"/>
          <w:color w:val="1D1D1C"/>
          <w:u w:color="000000"/>
          <w:lang w:eastAsia="ja-JP"/>
        </w:rPr>
        <w:t>3.1</w:t>
      </w:r>
      <w:r w:rsidR="00F90D4A" w:rsidRPr="00E43A9E">
        <w:rPr>
          <w:rFonts w:ascii="Arial Narrow" w:eastAsiaTheme="minorEastAsia" w:hAnsi="Arial Narrow" w:cs="ApexNew-Book"/>
          <w:color w:val="1D1D1C"/>
          <w:u w:color="000000"/>
          <w:lang w:eastAsia="ja-JP"/>
        </w:rPr>
        <w:t xml:space="preserve"> shows how the Victoria</w:t>
      </w:r>
      <w:r w:rsidR="006D7447" w:rsidRPr="00E43A9E">
        <w:rPr>
          <w:rFonts w:ascii="Arial Narrow" w:eastAsiaTheme="minorEastAsia" w:hAnsi="Arial Narrow" w:cs="ApexNew-Book"/>
          <w:color w:val="1D1D1C"/>
          <w:u w:color="000000"/>
          <w:lang w:eastAsia="ja-JP"/>
        </w:rPr>
        <w:t>n</w:t>
      </w:r>
      <w:r w:rsidR="00F90D4A" w:rsidRPr="00E43A9E">
        <w:rPr>
          <w:rFonts w:ascii="Arial Narrow" w:eastAsiaTheme="minorEastAsia" w:hAnsi="Arial Narrow" w:cs="ApexNew-Book"/>
          <w:color w:val="1D1D1C"/>
          <w:u w:color="000000"/>
          <w:lang w:eastAsia="ja-JP"/>
        </w:rPr>
        <w:t xml:space="preserve"> network is separated into four tariff </w:t>
      </w:r>
      <w:r w:rsidR="00B61509" w:rsidRPr="00E43A9E">
        <w:rPr>
          <w:rFonts w:ascii="Arial Narrow" w:eastAsiaTheme="minorEastAsia" w:hAnsi="Arial Narrow" w:cs="ApexNew-Book"/>
          <w:color w:val="1D1D1C"/>
          <w:u w:color="000000"/>
          <w:lang w:eastAsia="ja-JP"/>
        </w:rPr>
        <w:t>zones</w:t>
      </w:r>
      <w:r w:rsidR="006D7447" w:rsidRPr="00E43A9E">
        <w:rPr>
          <w:rFonts w:ascii="Arial Narrow" w:eastAsiaTheme="minorEastAsia" w:hAnsi="Arial Narrow" w:cs="ApexNew-Book"/>
          <w:color w:val="1D1D1C"/>
          <w:u w:color="000000"/>
          <w:lang w:eastAsia="ja-JP"/>
        </w:rPr>
        <w:t xml:space="preserve"> while there is a single zone in the Albury network</w:t>
      </w:r>
      <w:r w:rsidR="00B61509" w:rsidRPr="00E43A9E">
        <w:rPr>
          <w:rFonts w:ascii="Arial Narrow" w:eastAsiaTheme="minorEastAsia" w:hAnsi="Arial Narrow" w:cs="ApexNew-Book"/>
          <w:color w:val="1D1D1C"/>
          <w:u w:color="000000"/>
          <w:lang w:eastAsia="ja-JP"/>
        </w:rPr>
        <w:t>.</w:t>
      </w:r>
    </w:p>
    <w:p w:rsidR="008C4785" w:rsidRDefault="00672871" w:rsidP="001765E4">
      <w:pPr>
        <w:pStyle w:val="FIGURESTYLE"/>
        <w:keepNext/>
      </w:pPr>
      <w:r>
        <w:rPr>
          <w:noProof/>
          <w:lang w:eastAsia="en-AU"/>
        </w:rPr>
        <mc:AlternateContent>
          <mc:Choice Requires="wps">
            <w:drawing>
              <wp:anchor distT="0" distB="0" distL="114300" distR="114300" simplePos="0" relativeHeight="251663360" behindDoc="0" locked="0" layoutInCell="1" allowOverlap="1" wp14:anchorId="6C8ADCFE" wp14:editId="264CF7FB">
                <wp:simplePos x="0" y="0"/>
                <wp:positionH relativeFrom="column">
                  <wp:posOffset>-4785</wp:posOffset>
                </wp:positionH>
                <wp:positionV relativeFrom="paragraph">
                  <wp:posOffset>308344</wp:posOffset>
                </wp:positionV>
                <wp:extent cx="5399405" cy="3082925"/>
                <wp:effectExtent l="0" t="0" r="10795" b="22225"/>
                <wp:wrapNone/>
                <wp:docPr id="5" name="Rectangle 5"/>
                <wp:cNvGraphicFramePr/>
                <a:graphic xmlns:a="http://schemas.openxmlformats.org/drawingml/2006/main">
                  <a:graphicData uri="http://schemas.microsoft.com/office/word/2010/wordprocessingShape">
                    <wps:wsp>
                      <wps:cNvSpPr/>
                      <wps:spPr>
                        <a:xfrm>
                          <a:off x="0" y="0"/>
                          <a:ext cx="5399405" cy="3082925"/>
                        </a:xfrm>
                        <a:prstGeom prst="rect">
                          <a:avLst/>
                        </a:prstGeom>
                        <a:noFill/>
                        <a:ln w="12700">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147C68C" id="Rectangle 5" o:spid="_x0000_s1026" style="position:absolute;margin-left:-.4pt;margin-top:24.3pt;width:425.15pt;height:2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" filled="f" strokecolor="#d8d8d8 [2732]" strokeweight="1pt"/>
            </w:pict>
          </mc:Fallback>
        </mc:AlternateContent>
      </w:r>
      <w:r w:rsidR="008C4785">
        <w:t xml:space="preserve">Figure 3.1: </w:t>
      </w:r>
      <w:r w:rsidR="008C4785">
        <w:rPr>
          <w:b w:val="0"/>
        </w:rPr>
        <w:t>Victorian and Albury network zones</w:t>
      </w:r>
    </w:p>
    <w:p w:rsidR="003F370D" w:rsidRDefault="00DE255D" w:rsidP="00672871">
      <w:pPr>
        <w:keepNext/>
        <w:spacing w:line="276" w:lineRule="auto"/>
        <w:jc w:val="center"/>
        <w:rPr>
          <w:rFonts w:ascii="Arial Narrow" w:hAnsi="Arial Narrow" w:cs="Arial"/>
        </w:rPr>
      </w:pPr>
      <w:r>
        <w:rPr>
          <w:rFonts w:ascii="Arial Narrow" w:hAnsi="Arial Narrow" w:cs="Arial"/>
          <w:noProof/>
          <w:lang w:eastAsia="en-AU"/>
        </w:rPr>
        <w:drawing>
          <wp:inline distT="0" distB="0" distL="0" distR="0" wp14:anchorId="71D22DD3" wp14:editId="2734E918">
            <wp:extent cx="4765373" cy="30834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4160" cy="3095598"/>
                    </a:xfrm>
                    <a:prstGeom prst="rect">
                      <a:avLst/>
                    </a:prstGeom>
                    <a:noFill/>
                    <a:ln w="12700">
                      <a:noFill/>
                    </a:ln>
                  </pic:spPr>
                </pic:pic>
              </a:graphicData>
            </a:graphic>
          </wp:inline>
        </w:drawing>
      </w:r>
    </w:p>
    <w:p w:rsidR="001F0EA5" w:rsidRPr="00E43A9E" w:rsidRDefault="00F90D4A"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Despite being in New South Wales, Albury operates under the same market rules as Victoria</w:t>
      </w:r>
      <w:r w:rsidR="006D7447" w:rsidRPr="00E43A9E">
        <w:rPr>
          <w:rFonts w:ascii="Arial Narrow" w:eastAsiaTheme="minorEastAsia" w:hAnsi="Arial Narrow" w:cs="ApexNew-Book"/>
          <w:color w:val="1D1D1C"/>
          <w:u w:color="000000"/>
          <w:lang w:eastAsia="ja-JP"/>
        </w:rPr>
        <w:t>,</w:t>
      </w:r>
      <w:r w:rsidRPr="00E43A9E">
        <w:rPr>
          <w:rFonts w:ascii="Arial Narrow" w:eastAsiaTheme="minorEastAsia" w:hAnsi="Arial Narrow" w:cs="ApexNew-Book"/>
          <w:color w:val="1D1D1C"/>
          <w:u w:color="000000"/>
          <w:lang w:eastAsia="ja-JP"/>
        </w:rPr>
        <w:t xml:space="preserve"> and as such</w:t>
      </w:r>
      <w:r w:rsidR="006D7447" w:rsidRPr="00E43A9E">
        <w:rPr>
          <w:rFonts w:ascii="Arial Narrow" w:eastAsiaTheme="minorEastAsia" w:hAnsi="Arial Narrow" w:cs="ApexNew-Book"/>
          <w:color w:val="1D1D1C"/>
          <w:u w:color="000000"/>
          <w:lang w:eastAsia="ja-JP"/>
        </w:rPr>
        <w:t>,</w:t>
      </w:r>
      <w:r w:rsidRPr="00E43A9E">
        <w:rPr>
          <w:rFonts w:ascii="Arial Narrow" w:eastAsiaTheme="minorEastAsia" w:hAnsi="Arial Narrow" w:cs="ApexNew-Book"/>
          <w:color w:val="1D1D1C"/>
          <w:u w:color="000000"/>
          <w:lang w:eastAsia="ja-JP"/>
        </w:rPr>
        <w:t xml:space="preserve"> retail market dynamics are dictated by Victorian market characteristics.</w:t>
      </w:r>
      <w:r w:rsidR="00B61509" w:rsidRPr="00E43A9E">
        <w:rPr>
          <w:rFonts w:ascii="Arial Narrow" w:eastAsiaTheme="minorEastAsia" w:hAnsi="Arial Narrow" w:cs="ApexNew-Book"/>
          <w:color w:val="1D1D1C"/>
          <w:u w:color="000000"/>
          <w:lang w:eastAsia="ja-JP"/>
        </w:rPr>
        <w:t xml:space="preserve"> </w:t>
      </w:r>
      <w:r w:rsidR="001F0EA5" w:rsidRPr="00E43A9E">
        <w:rPr>
          <w:rFonts w:ascii="Arial Narrow" w:eastAsiaTheme="minorEastAsia" w:hAnsi="Arial Narrow" w:cs="ApexNew-Book"/>
          <w:color w:val="1D1D1C"/>
          <w:u w:color="000000"/>
          <w:lang w:eastAsia="ja-JP"/>
        </w:rPr>
        <w:t>The reference tariffs that apply in the Albury and Victoria</w:t>
      </w:r>
      <w:r w:rsidR="006D7447" w:rsidRPr="00E43A9E">
        <w:rPr>
          <w:rFonts w:ascii="Arial Narrow" w:eastAsiaTheme="minorEastAsia" w:hAnsi="Arial Narrow" w:cs="ApexNew-Book"/>
          <w:color w:val="1D1D1C"/>
          <w:u w:color="000000"/>
          <w:lang w:eastAsia="ja-JP"/>
        </w:rPr>
        <w:t>n</w:t>
      </w:r>
      <w:r w:rsidR="001F0EA5" w:rsidRPr="00E43A9E">
        <w:rPr>
          <w:rFonts w:ascii="Arial Narrow" w:eastAsiaTheme="minorEastAsia" w:hAnsi="Arial Narrow" w:cs="ApexNew-Book"/>
          <w:color w:val="1D1D1C"/>
          <w:u w:color="000000"/>
          <w:lang w:eastAsia="ja-JP"/>
        </w:rPr>
        <w:t xml:space="preserve"> access arrangement</w:t>
      </w:r>
      <w:r w:rsidR="00BD5E46">
        <w:rPr>
          <w:rFonts w:ascii="Arial Narrow" w:eastAsiaTheme="minorEastAsia" w:hAnsi="Arial Narrow" w:cs="ApexNew-Book"/>
          <w:color w:val="1D1D1C"/>
          <w:u w:color="000000"/>
          <w:lang w:eastAsia="ja-JP"/>
        </w:rPr>
        <w:t>s</w:t>
      </w:r>
      <w:r w:rsidR="001F0EA5" w:rsidRPr="00E43A9E">
        <w:rPr>
          <w:rFonts w:ascii="Arial Narrow" w:eastAsiaTheme="minorEastAsia" w:hAnsi="Arial Narrow" w:cs="ApexNew-Book"/>
          <w:color w:val="1D1D1C"/>
          <w:u w:color="000000"/>
          <w:lang w:eastAsia="ja-JP"/>
        </w:rPr>
        <w:t xml:space="preserve"> (and zones within Victoria) are identical in structure. Movement in tariffs over time are subject to the </w:t>
      </w:r>
      <w:r w:rsidR="006D7447" w:rsidRPr="00E43A9E">
        <w:rPr>
          <w:rFonts w:ascii="Arial Narrow" w:eastAsiaTheme="minorEastAsia" w:hAnsi="Arial Narrow" w:cs="ApexNew-Book"/>
          <w:color w:val="1D1D1C"/>
          <w:u w:color="000000"/>
          <w:lang w:eastAsia="ja-JP"/>
        </w:rPr>
        <w:t xml:space="preserve">same </w:t>
      </w:r>
      <w:r w:rsidR="001F0EA5" w:rsidRPr="00E43A9E">
        <w:rPr>
          <w:rFonts w:ascii="Arial Narrow" w:eastAsiaTheme="minorEastAsia" w:hAnsi="Arial Narrow" w:cs="ApexNew-Book"/>
          <w:color w:val="1D1D1C"/>
          <w:u w:color="000000"/>
          <w:lang w:eastAsia="ja-JP"/>
        </w:rPr>
        <w:t>regulatory review process</w:t>
      </w:r>
      <w:r w:rsidR="008746F5" w:rsidRPr="00E43A9E">
        <w:rPr>
          <w:rFonts w:ascii="Arial Narrow" w:eastAsiaTheme="minorEastAsia" w:hAnsi="Arial Narrow" w:cs="ApexNew-Book"/>
          <w:color w:val="1D1D1C"/>
          <w:u w:color="000000"/>
          <w:lang w:eastAsia="ja-JP"/>
        </w:rPr>
        <w:t>, which will continue to be the case following consolidation</w:t>
      </w:r>
      <w:r w:rsidR="001F0EA5" w:rsidRPr="00E43A9E">
        <w:rPr>
          <w:rFonts w:ascii="Arial Narrow" w:eastAsiaTheme="minorEastAsia" w:hAnsi="Arial Narrow" w:cs="ApexNew-Book"/>
          <w:color w:val="1D1D1C"/>
          <w:u w:color="000000"/>
          <w:lang w:eastAsia="ja-JP"/>
        </w:rPr>
        <w:t>.</w:t>
      </w:r>
      <w:r w:rsidR="00672871" w:rsidRPr="00672871">
        <w:rPr>
          <w:noProof/>
          <w:lang w:eastAsia="en-AU"/>
        </w:rPr>
        <w:t xml:space="preserve"> </w:t>
      </w:r>
      <w:r w:rsidR="001F0EA5" w:rsidRPr="00E43A9E">
        <w:rPr>
          <w:rFonts w:ascii="Arial Narrow" w:eastAsiaTheme="minorEastAsia" w:hAnsi="Arial Narrow" w:cs="ApexNew-Book"/>
          <w:color w:val="1D1D1C"/>
          <w:u w:color="000000"/>
          <w:lang w:eastAsia="ja-JP"/>
        </w:rPr>
        <w:t xml:space="preserve"> </w:t>
      </w:r>
    </w:p>
    <w:p w:rsidR="00E43A9E" w:rsidRDefault="001F0EA5"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The Albury network is managed and operated by the Victorian business and to all intents and purposes is already treated as a fifth ‘zone’ of the Victoria</w:t>
      </w:r>
      <w:r w:rsidR="008746F5"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network. </w:t>
      </w:r>
      <w:r w:rsidR="00B2056E" w:rsidRPr="00E43A9E">
        <w:rPr>
          <w:rFonts w:ascii="Arial Narrow" w:eastAsiaTheme="minorEastAsia" w:hAnsi="Arial Narrow" w:cs="ApexNew-Book"/>
          <w:color w:val="1D1D1C"/>
          <w:u w:color="000000"/>
          <w:lang w:eastAsia="ja-JP"/>
        </w:rPr>
        <w:t xml:space="preserve">AGN’s proposal </w:t>
      </w:r>
      <w:r w:rsidR="00957F18" w:rsidRPr="00E43A9E">
        <w:rPr>
          <w:rFonts w:ascii="Arial Narrow" w:eastAsiaTheme="minorEastAsia" w:hAnsi="Arial Narrow" w:cs="ApexNew-Book"/>
          <w:color w:val="1D1D1C"/>
          <w:u w:color="000000"/>
          <w:lang w:eastAsia="ja-JP"/>
        </w:rPr>
        <w:t xml:space="preserve">to consolidate the access arrangements </w:t>
      </w:r>
      <w:r w:rsidRPr="00E43A9E">
        <w:rPr>
          <w:rFonts w:ascii="Arial Narrow" w:eastAsiaTheme="minorEastAsia" w:hAnsi="Arial Narrow" w:cs="ApexNew-Book"/>
          <w:color w:val="1D1D1C"/>
          <w:u w:color="000000"/>
          <w:lang w:eastAsia="ja-JP"/>
        </w:rPr>
        <w:t xml:space="preserve">simply formalises </w:t>
      </w:r>
      <w:r w:rsidR="00B2056E" w:rsidRPr="00E43A9E">
        <w:rPr>
          <w:rFonts w:ascii="Arial Narrow" w:eastAsiaTheme="minorEastAsia" w:hAnsi="Arial Narrow" w:cs="ApexNew-Book"/>
          <w:color w:val="1D1D1C"/>
          <w:u w:color="000000"/>
          <w:lang w:eastAsia="ja-JP"/>
        </w:rPr>
        <w:t>t</w:t>
      </w:r>
      <w:r w:rsidRPr="00E43A9E">
        <w:rPr>
          <w:rFonts w:ascii="Arial Narrow" w:eastAsiaTheme="minorEastAsia" w:hAnsi="Arial Narrow" w:cs="ApexNew-Book"/>
          <w:color w:val="1D1D1C"/>
          <w:u w:color="000000"/>
          <w:lang w:eastAsia="ja-JP"/>
        </w:rPr>
        <w:t xml:space="preserve">his arrangement (see </w:t>
      </w:r>
      <w:r w:rsidR="007E5B39" w:rsidRPr="00E43A9E">
        <w:rPr>
          <w:rFonts w:ascii="Arial Narrow" w:eastAsiaTheme="minorEastAsia" w:hAnsi="Arial Narrow" w:cs="ApexNew-Book"/>
          <w:color w:val="1D1D1C"/>
          <w:u w:color="000000"/>
          <w:lang w:eastAsia="ja-JP"/>
        </w:rPr>
        <w:t xml:space="preserve">Figure </w:t>
      </w:r>
      <w:r w:rsidR="008C4785">
        <w:rPr>
          <w:rFonts w:ascii="Arial Narrow" w:eastAsiaTheme="minorEastAsia" w:hAnsi="Arial Narrow" w:cs="ApexNew-Book"/>
          <w:color w:val="1D1D1C"/>
          <w:u w:color="000000"/>
          <w:lang w:eastAsia="ja-JP"/>
        </w:rPr>
        <w:t>3.2</w:t>
      </w:r>
      <w:r w:rsidRPr="00E43A9E">
        <w:rPr>
          <w:rFonts w:ascii="Arial Narrow" w:eastAsiaTheme="minorEastAsia" w:hAnsi="Arial Narrow" w:cs="ApexNew-Book"/>
          <w:color w:val="1D1D1C"/>
          <w:u w:color="000000"/>
          <w:lang w:eastAsia="ja-JP"/>
        </w:rPr>
        <w:t>).</w:t>
      </w:r>
    </w:p>
    <w:p w:rsidR="008C4785" w:rsidRPr="008C4785" w:rsidRDefault="001765E4" w:rsidP="001765E4">
      <w:pPr>
        <w:pStyle w:val="FIGURESTYLE"/>
        <w:keepNext/>
      </w:pPr>
      <w:r>
        <w:rPr>
          <w:noProof/>
          <w:lang w:eastAsia="en-AU"/>
        </w:rPr>
        <mc:AlternateContent>
          <mc:Choice Requires="wps">
            <w:drawing>
              <wp:anchor distT="0" distB="0" distL="114300" distR="114300" simplePos="0" relativeHeight="251659264" behindDoc="0" locked="0" layoutInCell="1" allowOverlap="1" wp14:anchorId="33DF17DC" wp14:editId="10A31A1B">
                <wp:simplePos x="0" y="0"/>
                <wp:positionH relativeFrom="column">
                  <wp:posOffset>5848</wp:posOffset>
                </wp:positionH>
                <wp:positionV relativeFrom="paragraph">
                  <wp:posOffset>307873</wp:posOffset>
                </wp:positionV>
                <wp:extent cx="5399405" cy="2372360"/>
                <wp:effectExtent l="0" t="0" r="10795" b="27940"/>
                <wp:wrapNone/>
                <wp:docPr id="3" name="Rectangle 3"/>
                <wp:cNvGraphicFramePr/>
                <a:graphic xmlns:a="http://schemas.openxmlformats.org/drawingml/2006/main">
                  <a:graphicData uri="http://schemas.microsoft.com/office/word/2010/wordprocessingShape">
                    <wps:wsp>
                      <wps:cNvSpPr/>
                      <wps:spPr>
                        <a:xfrm>
                          <a:off x="0" y="0"/>
                          <a:ext cx="5399405" cy="2372360"/>
                        </a:xfrm>
                        <a:prstGeom prst="rect">
                          <a:avLst/>
                        </a:prstGeom>
                        <a:noFill/>
                        <a:ln w="12700">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63616C1" id="Rectangle 3" o:spid="_x0000_s1026" style="position:absolute;margin-left:.45pt;margin-top:24.25pt;width:425.15pt;height:18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" filled="f" strokecolor="#d8d8d8 [2732]" strokeweight="1pt"/>
            </w:pict>
          </mc:Fallback>
        </mc:AlternateContent>
      </w:r>
      <w:r w:rsidR="008C4785">
        <w:t xml:space="preserve">Figure 3.2: </w:t>
      </w:r>
      <w:r w:rsidR="008C4785">
        <w:rPr>
          <w:b w:val="0"/>
        </w:rPr>
        <w:t>Proposed change to access arrangment coverage</w:t>
      </w:r>
    </w:p>
    <w:p w:rsidR="00961D58" w:rsidRPr="00E43A9E" w:rsidRDefault="00E43A9E" w:rsidP="001765E4">
      <w:pPr>
        <w:spacing w:before="120" w:after="200" w:line="240" w:lineRule="auto"/>
        <w:jc w:val="center"/>
        <w:rPr>
          <w:rFonts w:ascii="Arial Narrow" w:eastAsiaTheme="minorEastAsia" w:hAnsi="Arial Narrow" w:cs="ApexNew-Book"/>
          <w:color w:val="1D1D1C"/>
          <w:u w:color="000000"/>
          <w:lang w:eastAsia="ja-JP"/>
        </w:rPr>
      </w:pPr>
      <w:r>
        <w:rPr>
          <w:rFonts w:ascii="Arial Narrow" w:hAnsi="Arial Narrow" w:cs="Arial"/>
          <w:noProof/>
          <w:lang w:eastAsia="en-AU"/>
        </w:rPr>
        <w:drawing>
          <wp:inline distT="0" distB="0" distL="0" distR="0" wp14:anchorId="5C2D46B6" wp14:editId="4FFEAA34">
            <wp:extent cx="4678134" cy="227432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303"/>
                    <a:stretch/>
                  </pic:blipFill>
                  <pic:spPr bwMode="auto">
                    <a:xfrm>
                      <a:off x="0" y="0"/>
                      <a:ext cx="4689404" cy="2279800"/>
                    </a:xfrm>
                    <a:prstGeom prst="rect">
                      <a:avLst/>
                    </a:prstGeom>
                    <a:noFill/>
                    <a:ln>
                      <a:noFill/>
                    </a:ln>
                    <a:extLst>
                      <a:ext uri="{53640926-AAD7-44D8-BBD7-CCE9431645EC}">
                        <a14:shadowObscured xmlns:a14="http://schemas.microsoft.com/office/drawing/2010/main"/>
                      </a:ext>
                    </a:extLst>
                  </pic:spPr>
                </pic:pic>
              </a:graphicData>
            </a:graphic>
          </wp:inline>
        </w:drawing>
      </w:r>
    </w:p>
    <w:p w:rsidR="00672871" w:rsidRDefault="00672871" w:rsidP="00672871">
      <w:pPr>
        <w:pStyle w:val="NoSpacing"/>
        <w:rPr>
          <w:rFonts w:eastAsiaTheme="minorEastAsia"/>
          <w:lang w:eastAsia="ja-JP"/>
        </w:rPr>
      </w:pPr>
    </w:p>
    <w:p w:rsidR="001D0095" w:rsidRPr="00E43A9E" w:rsidRDefault="004E5360"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lastRenderedPageBreak/>
        <w:t>The Albury network se</w:t>
      </w:r>
      <w:r w:rsidR="008746F5" w:rsidRPr="00E43A9E">
        <w:rPr>
          <w:rFonts w:ascii="Arial Narrow" w:eastAsiaTheme="minorEastAsia" w:hAnsi="Arial Narrow" w:cs="ApexNew-Book"/>
          <w:color w:val="1D1D1C"/>
          <w:u w:color="000000"/>
          <w:lang w:eastAsia="ja-JP"/>
        </w:rPr>
        <w:t>rves the city of Albury and its surrounds</w:t>
      </w:r>
      <w:r w:rsidRPr="00E43A9E">
        <w:rPr>
          <w:rFonts w:ascii="Arial Narrow" w:eastAsiaTheme="minorEastAsia" w:hAnsi="Arial Narrow" w:cs="ApexNew-Book"/>
          <w:color w:val="1D1D1C"/>
          <w:u w:color="000000"/>
          <w:lang w:eastAsia="ja-JP"/>
        </w:rPr>
        <w:t xml:space="preserve">, extending to Jindera to the north of Albury. </w:t>
      </w:r>
      <w:r w:rsidR="00A206D6" w:rsidRPr="00E43A9E">
        <w:rPr>
          <w:rFonts w:ascii="Arial Narrow" w:eastAsiaTheme="minorEastAsia" w:hAnsi="Arial Narrow" w:cs="ApexNew-Book"/>
          <w:color w:val="1D1D1C"/>
          <w:u w:color="000000"/>
          <w:lang w:eastAsia="ja-JP"/>
        </w:rPr>
        <w:t xml:space="preserve">It contains </w:t>
      </w:r>
      <w:r w:rsidR="00BD5E46">
        <w:rPr>
          <w:rFonts w:ascii="Arial Narrow" w:eastAsiaTheme="minorEastAsia" w:hAnsi="Arial Narrow" w:cs="ApexNew-Book"/>
          <w:color w:val="1D1D1C"/>
          <w:u w:color="000000"/>
          <w:lang w:eastAsia="ja-JP"/>
        </w:rPr>
        <w:t xml:space="preserve">around 400 </w:t>
      </w:r>
      <w:r w:rsidR="00A206D6" w:rsidRPr="00E43A9E">
        <w:rPr>
          <w:rFonts w:ascii="Arial Narrow" w:eastAsiaTheme="minorEastAsia" w:hAnsi="Arial Narrow" w:cs="ApexNew-Book"/>
          <w:color w:val="1D1D1C"/>
          <w:u w:color="000000"/>
          <w:lang w:eastAsia="ja-JP"/>
        </w:rPr>
        <w:t>k</w:t>
      </w:r>
      <w:r w:rsidR="00BD5E46">
        <w:rPr>
          <w:rFonts w:ascii="Arial Narrow" w:eastAsiaTheme="minorEastAsia" w:hAnsi="Arial Narrow" w:cs="ApexNew-Book"/>
          <w:color w:val="1D1D1C"/>
          <w:u w:color="000000"/>
          <w:lang w:eastAsia="ja-JP"/>
        </w:rPr>
        <w:t xml:space="preserve">ilometres </w:t>
      </w:r>
      <w:r w:rsidR="00A206D6" w:rsidRPr="00E43A9E">
        <w:rPr>
          <w:rFonts w:ascii="Arial Narrow" w:eastAsiaTheme="minorEastAsia" w:hAnsi="Arial Narrow" w:cs="ApexNew-Book"/>
          <w:color w:val="1D1D1C"/>
          <w:u w:color="000000"/>
          <w:lang w:eastAsia="ja-JP"/>
        </w:rPr>
        <w:t xml:space="preserve">of mains and delivers gas to nearly </w:t>
      </w:r>
      <w:r w:rsidRPr="00E43A9E">
        <w:rPr>
          <w:rFonts w:ascii="Arial Narrow" w:eastAsiaTheme="minorEastAsia" w:hAnsi="Arial Narrow" w:cs="ApexNew-Book"/>
          <w:color w:val="1D1D1C"/>
          <w:u w:color="000000"/>
          <w:lang w:eastAsia="ja-JP"/>
        </w:rPr>
        <w:t>22,000 customers.</w:t>
      </w:r>
      <w:r w:rsidR="00D661C8" w:rsidRPr="00BD5E46">
        <w:rPr>
          <w:rFonts w:eastAsiaTheme="minorEastAsia" w:cs="ApexNew-Book"/>
          <w:color w:val="1D1D1C"/>
          <w:u w:color="000000"/>
          <w:vertAlign w:val="superscript"/>
          <w:lang w:eastAsia="ja-JP"/>
        </w:rPr>
        <w:footnoteReference w:id="2"/>
      </w:r>
      <w:r w:rsidRPr="00E43A9E">
        <w:rPr>
          <w:rFonts w:ascii="Arial Narrow" w:eastAsiaTheme="minorEastAsia" w:hAnsi="Arial Narrow" w:cs="ApexNew-Book"/>
          <w:color w:val="1D1D1C"/>
          <w:u w:color="000000"/>
          <w:lang w:eastAsia="ja-JP"/>
        </w:rPr>
        <w:t xml:space="preserve"> </w:t>
      </w:r>
      <w:r w:rsidR="00BD5E46">
        <w:rPr>
          <w:rFonts w:ascii="Arial Narrow" w:eastAsiaTheme="minorEastAsia" w:hAnsi="Arial Narrow" w:cs="ApexNew-Book"/>
          <w:color w:val="1D1D1C"/>
          <w:u w:color="000000"/>
          <w:lang w:eastAsia="ja-JP"/>
        </w:rPr>
        <w:t xml:space="preserve">For the calendar year 2014, </w:t>
      </w:r>
      <w:r w:rsidR="001D0095" w:rsidRPr="00E43A9E">
        <w:rPr>
          <w:rFonts w:ascii="Arial Narrow" w:eastAsiaTheme="minorEastAsia" w:hAnsi="Arial Narrow" w:cs="ApexNew-Book"/>
          <w:color w:val="1D1D1C"/>
          <w:u w:color="000000"/>
          <w:lang w:eastAsia="ja-JP"/>
        </w:rPr>
        <w:t>Albury represents 1% (</w:t>
      </w:r>
      <w:r w:rsidR="008746F5" w:rsidRPr="00E43A9E">
        <w:rPr>
          <w:rFonts w:ascii="Arial Narrow" w:eastAsiaTheme="minorEastAsia" w:hAnsi="Arial Narrow" w:cs="ApexNew-Book"/>
          <w:color w:val="1D1D1C"/>
          <w:u w:color="000000"/>
          <w:lang w:eastAsia="ja-JP"/>
        </w:rPr>
        <w:t xml:space="preserve">or </w:t>
      </w:r>
      <w:r w:rsidR="001D0095" w:rsidRPr="00E43A9E">
        <w:rPr>
          <w:rFonts w:ascii="Arial Narrow" w:eastAsiaTheme="minorEastAsia" w:hAnsi="Arial Narrow" w:cs="ApexNew-Book"/>
          <w:color w:val="1D1D1C"/>
          <w:u w:color="000000"/>
          <w:lang w:eastAsia="ja-JP"/>
        </w:rPr>
        <w:t>$</w:t>
      </w:r>
      <w:r w:rsidR="008746F5" w:rsidRPr="00E43A9E">
        <w:rPr>
          <w:rFonts w:ascii="Arial Narrow" w:eastAsiaTheme="minorEastAsia" w:hAnsi="Arial Narrow" w:cs="ApexNew-Book"/>
          <w:color w:val="1D1D1C"/>
          <w:u w:color="000000"/>
          <w:lang w:eastAsia="ja-JP"/>
        </w:rPr>
        <w:t>6</w:t>
      </w:r>
      <w:r w:rsidR="001D0095" w:rsidRPr="00E43A9E">
        <w:rPr>
          <w:rFonts w:ascii="Arial Narrow" w:eastAsiaTheme="minorEastAsia" w:hAnsi="Arial Narrow" w:cs="ApexNew-Book"/>
          <w:color w:val="1D1D1C"/>
          <w:u w:color="000000"/>
          <w:lang w:eastAsia="ja-JP"/>
        </w:rPr>
        <w:t xml:space="preserve"> million) </w:t>
      </w:r>
      <w:r w:rsidR="00D661C8" w:rsidRPr="00E43A9E">
        <w:rPr>
          <w:rFonts w:ascii="Arial Narrow" w:eastAsiaTheme="minorEastAsia" w:hAnsi="Arial Narrow" w:cs="ApexNew-Book"/>
          <w:color w:val="1D1D1C"/>
          <w:u w:color="000000"/>
          <w:lang w:eastAsia="ja-JP"/>
        </w:rPr>
        <w:t xml:space="preserve">of </w:t>
      </w:r>
      <w:r w:rsidR="001D0095" w:rsidRPr="00E43A9E">
        <w:rPr>
          <w:rFonts w:ascii="Arial Narrow" w:eastAsiaTheme="minorEastAsia" w:hAnsi="Arial Narrow" w:cs="ApexNew-Book"/>
          <w:color w:val="1D1D1C"/>
          <w:u w:color="000000"/>
          <w:lang w:eastAsia="ja-JP"/>
        </w:rPr>
        <w:t>total revenue and 1% of total RAB ($</w:t>
      </w:r>
      <w:r w:rsidR="00D344E3" w:rsidRPr="00E43A9E">
        <w:rPr>
          <w:rFonts w:ascii="Arial Narrow" w:eastAsiaTheme="minorEastAsia" w:hAnsi="Arial Narrow" w:cs="ApexNew-Book"/>
          <w:color w:val="1D1D1C"/>
          <w:u w:color="000000"/>
          <w:lang w:eastAsia="ja-JP"/>
        </w:rPr>
        <w:t>36</w:t>
      </w:r>
      <w:r w:rsidR="001D0095" w:rsidRPr="00E43A9E">
        <w:rPr>
          <w:rFonts w:ascii="Arial Narrow" w:eastAsiaTheme="minorEastAsia" w:hAnsi="Arial Narrow" w:cs="ApexNew-Book"/>
          <w:color w:val="1D1D1C"/>
          <w:u w:color="000000"/>
          <w:lang w:eastAsia="ja-JP"/>
        </w:rPr>
        <w:t xml:space="preserve"> million) for AGN.</w:t>
      </w:r>
      <w:r w:rsidR="00093BC2">
        <w:rPr>
          <w:rFonts w:ascii="Arial Narrow" w:eastAsiaTheme="minorEastAsia" w:hAnsi="Arial Narrow" w:cs="ApexNew-Book"/>
          <w:color w:val="1D1D1C"/>
          <w:u w:color="000000"/>
          <w:lang w:eastAsia="ja-JP"/>
        </w:rPr>
        <w:t xml:space="preserve"> </w:t>
      </w:r>
      <w:r w:rsidR="00093BC2" w:rsidRPr="00E43A9E">
        <w:rPr>
          <w:rFonts w:ascii="Arial Narrow" w:eastAsiaTheme="minorEastAsia" w:hAnsi="Arial Narrow" w:cs="ApexNew-Book"/>
          <w:color w:val="1D1D1C"/>
          <w:u w:color="000000"/>
          <w:lang w:eastAsia="ja-JP"/>
        </w:rPr>
        <w:t xml:space="preserve">Table </w:t>
      </w:r>
      <w:r w:rsidR="00093BC2">
        <w:rPr>
          <w:rFonts w:ascii="Arial Narrow" w:eastAsiaTheme="minorEastAsia" w:hAnsi="Arial Narrow" w:cs="ApexNew-Book"/>
          <w:color w:val="1D1D1C"/>
          <w:u w:color="000000"/>
          <w:lang w:eastAsia="ja-JP"/>
        </w:rPr>
        <w:t>3.1</w:t>
      </w:r>
      <w:r w:rsidR="00093BC2" w:rsidRPr="00E43A9E">
        <w:rPr>
          <w:rFonts w:ascii="Arial Narrow" w:eastAsiaTheme="minorEastAsia" w:hAnsi="Arial Narrow" w:cs="ApexNew-Book"/>
          <w:color w:val="1D1D1C"/>
          <w:u w:color="000000"/>
          <w:lang w:eastAsia="ja-JP"/>
        </w:rPr>
        <w:t xml:space="preserve"> summarises the </w:t>
      </w:r>
      <w:r w:rsidR="00093BC2">
        <w:rPr>
          <w:rFonts w:ascii="Arial Narrow" w:eastAsiaTheme="minorEastAsia" w:hAnsi="Arial Narrow" w:cs="ApexNew-Book"/>
          <w:color w:val="1D1D1C"/>
          <w:u w:color="000000"/>
          <w:lang w:eastAsia="ja-JP"/>
        </w:rPr>
        <w:t xml:space="preserve">market </w:t>
      </w:r>
      <w:r w:rsidR="00093BC2" w:rsidRPr="00E43A9E">
        <w:rPr>
          <w:rFonts w:ascii="Arial Narrow" w:eastAsiaTheme="minorEastAsia" w:hAnsi="Arial Narrow" w:cs="ApexNew-Book"/>
          <w:color w:val="1D1D1C"/>
          <w:u w:color="000000"/>
          <w:lang w:eastAsia="ja-JP"/>
        </w:rPr>
        <w:t xml:space="preserve">characteristics of the </w:t>
      </w:r>
      <w:r w:rsidR="00093BC2">
        <w:rPr>
          <w:rFonts w:ascii="Arial Narrow" w:eastAsiaTheme="minorEastAsia" w:hAnsi="Arial Narrow" w:cs="ApexNew-Book"/>
          <w:color w:val="1D1D1C"/>
          <w:u w:color="000000"/>
          <w:lang w:eastAsia="ja-JP"/>
        </w:rPr>
        <w:t xml:space="preserve">Albury network (and the </w:t>
      </w:r>
      <w:r w:rsidR="00093BC2" w:rsidRPr="00E43A9E">
        <w:rPr>
          <w:rFonts w:ascii="Arial Narrow" w:eastAsiaTheme="minorEastAsia" w:hAnsi="Arial Narrow" w:cs="ApexNew-Book"/>
          <w:color w:val="1D1D1C"/>
          <w:u w:color="000000"/>
          <w:lang w:eastAsia="ja-JP"/>
        </w:rPr>
        <w:t>Victoria</w:t>
      </w:r>
      <w:r w:rsidR="00093BC2">
        <w:rPr>
          <w:rFonts w:ascii="Arial Narrow" w:eastAsiaTheme="minorEastAsia" w:hAnsi="Arial Narrow" w:cs="ApexNew-Book"/>
          <w:color w:val="1D1D1C"/>
          <w:u w:color="000000"/>
          <w:lang w:eastAsia="ja-JP"/>
        </w:rPr>
        <w:t>n</w:t>
      </w:r>
      <w:r w:rsidR="00093BC2" w:rsidRPr="00E43A9E">
        <w:rPr>
          <w:rFonts w:ascii="Arial Narrow" w:eastAsiaTheme="minorEastAsia" w:hAnsi="Arial Narrow" w:cs="ApexNew-Book"/>
          <w:color w:val="1D1D1C"/>
          <w:u w:color="000000"/>
          <w:lang w:eastAsia="ja-JP"/>
        </w:rPr>
        <w:t xml:space="preserve"> zones</w:t>
      </w:r>
      <w:r w:rsidR="00093BC2">
        <w:rPr>
          <w:rFonts w:ascii="Arial Narrow" w:eastAsiaTheme="minorEastAsia" w:hAnsi="Arial Narrow" w:cs="ApexNew-Book"/>
          <w:color w:val="1D1D1C"/>
          <w:u w:color="000000"/>
          <w:lang w:eastAsia="ja-JP"/>
        </w:rPr>
        <w:t>)</w:t>
      </w:r>
      <w:r w:rsidR="00093BC2" w:rsidRPr="00E43A9E">
        <w:rPr>
          <w:rFonts w:ascii="Arial Narrow" w:eastAsiaTheme="minorEastAsia" w:hAnsi="Arial Narrow" w:cs="ApexNew-Book"/>
          <w:color w:val="1D1D1C"/>
          <w:u w:color="000000"/>
          <w:lang w:eastAsia="ja-JP"/>
        </w:rPr>
        <w:t>.</w:t>
      </w:r>
    </w:p>
    <w:p w:rsidR="00A206D6" w:rsidRPr="006B5723" w:rsidRDefault="00D661C8" w:rsidP="001E787A">
      <w:pPr>
        <w:spacing w:before="120" w:after="200" w:line="240" w:lineRule="auto"/>
        <w:jc w:val="both"/>
        <w:rPr>
          <w:rFonts w:ascii="Arial Narrow" w:hAnsi="Arial Narrow" w:cs="Arial"/>
        </w:rPr>
      </w:pPr>
      <w:r w:rsidRPr="00E43A9E">
        <w:rPr>
          <w:rFonts w:ascii="Arial Narrow" w:eastAsiaTheme="minorEastAsia" w:hAnsi="Arial Narrow" w:cs="ApexNew-Book"/>
          <w:color w:val="1D1D1C"/>
          <w:u w:color="000000"/>
          <w:lang w:eastAsia="ja-JP"/>
        </w:rPr>
        <w:t>The Victoria</w:t>
      </w:r>
      <w:r w:rsidR="00C04863"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network</w:t>
      </w:r>
      <w:r w:rsidR="00A206D6" w:rsidRPr="00E43A9E">
        <w:rPr>
          <w:rFonts w:ascii="Arial Narrow" w:eastAsiaTheme="minorEastAsia" w:hAnsi="Arial Narrow" w:cs="ApexNew-Book"/>
          <w:color w:val="1D1D1C"/>
          <w:u w:color="000000"/>
          <w:lang w:eastAsia="ja-JP"/>
        </w:rPr>
        <w:t xml:space="preserve"> serves the </w:t>
      </w:r>
      <w:r w:rsidR="00BD5E46">
        <w:rPr>
          <w:rFonts w:ascii="Arial Narrow" w:eastAsiaTheme="minorEastAsia" w:hAnsi="Arial Narrow" w:cs="ApexNew-Book"/>
          <w:color w:val="1D1D1C"/>
          <w:u w:color="000000"/>
          <w:lang w:eastAsia="ja-JP"/>
        </w:rPr>
        <w:t xml:space="preserve">central business district, </w:t>
      </w:r>
      <w:r w:rsidR="00A206D6" w:rsidRPr="00E43A9E">
        <w:rPr>
          <w:rFonts w:ascii="Arial Narrow" w:eastAsiaTheme="minorEastAsia" w:hAnsi="Arial Narrow" w:cs="ApexNew-Book"/>
          <w:color w:val="1D1D1C"/>
          <w:u w:color="000000"/>
          <w:lang w:eastAsia="ja-JP"/>
        </w:rPr>
        <w:t xml:space="preserve">northern, outer eastern and southern areas of Melbourne, Mornington Peninsula, rural communities in northern, eastern and north-eastern Victoria and south-eastern rural townships in </w:t>
      </w:r>
      <w:r w:rsidR="008746F5" w:rsidRPr="00E43A9E">
        <w:rPr>
          <w:rFonts w:ascii="Arial Narrow" w:eastAsiaTheme="minorEastAsia" w:hAnsi="Arial Narrow" w:cs="ApexNew-Book"/>
          <w:color w:val="1D1D1C"/>
          <w:u w:color="000000"/>
          <w:lang w:eastAsia="ja-JP"/>
        </w:rPr>
        <w:t xml:space="preserve">the </w:t>
      </w:r>
      <w:r w:rsidR="00A206D6" w:rsidRPr="00E43A9E">
        <w:rPr>
          <w:rFonts w:ascii="Arial Narrow" w:eastAsiaTheme="minorEastAsia" w:hAnsi="Arial Narrow" w:cs="ApexNew-Book"/>
          <w:color w:val="1D1D1C"/>
          <w:u w:color="000000"/>
          <w:lang w:eastAsia="ja-JP"/>
        </w:rPr>
        <w:t>Gippsland. The network comprises more than 10,000 kilometres of mains delivering gas to around 6</w:t>
      </w:r>
      <w:r w:rsidR="00D344E3" w:rsidRPr="00E43A9E">
        <w:rPr>
          <w:rFonts w:ascii="Arial Narrow" w:eastAsiaTheme="minorEastAsia" w:hAnsi="Arial Narrow" w:cs="ApexNew-Book"/>
          <w:color w:val="1D1D1C"/>
          <w:u w:color="000000"/>
          <w:lang w:eastAsia="ja-JP"/>
        </w:rPr>
        <w:t>13</w:t>
      </w:r>
      <w:r w:rsidR="00A206D6" w:rsidRPr="00E43A9E">
        <w:rPr>
          <w:rFonts w:ascii="Arial Narrow" w:eastAsiaTheme="minorEastAsia" w:hAnsi="Arial Narrow" w:cs="ApexNew-Book"/>
          <w:color w:val="1D1D1C"/>
          <w:u w:color="000000"/>
          <w:lang w:eastAsia="ja-JP"/>
        </w:rPr>
        <w:t xml:space="preserve">,000 customers. </w:t>
      </w:r>
      <w:r w:rsidR="00D344E3" w:rsidRPr="00E43A9E">
        <w:rPr>
          <w:rFonts w:ascii="Arial Narrow" w:eastAsiaTheme="minorEastAsia" w:hAnsi="Arial Narrow" w:cs="ApexNew-Book"/>
          <w:color w:val="1D1D1C"/>
          <w:u w:color="000000"/>
          <w:lang w:eastAsia="ja-JP"/>
        </w:rPr>
        <w:t xml:space="preserve">For the calendar year 2014, </w:t>
      </w:r>
      <w:r w:rsidR="00A206D6" w:rsidRPr="00E43A9E">
        <w:rPr>
          <w:rFonts w:ascii="Arial Narrow" w:eastAsiaTheme="minorEastAsia" w:hAnsi="Arial Narrow" w:cs="ApexNew-Book"/>
          <w:color w:val="1D1D1C"/>
          <w:u w:color="000000"/>
          <w:lang w:eastAsia="ja-JP"/>
        </w:rPr>
        <w:t>Victoria represent</w:t>
      </w:r>
      <w:r w:rsidR="00D344E3" w:rsidRPr="00E43A9E">
        <w:rPr>
          <w:rFonts w:ascii="Arial Narrow" w:eastAsiaTheme="minorEastAsia" w:hAnsi="Arial Narrow" w:cs="ApexNew-Book"/>
          <w:color w:val="1D1D1C"/>
          <w:u w:color="000000"/>
          <w:lang w:eastAsia="ja-JP"/>
        </w:rPr>
        <w:t>ed</w:t>
      </w:r>
      <w:r w:rsidR="00A206D6" w:rsidRPr="00E43A9E">
        <w:rPr>
          <w:rFonts w:ascii="Arial Narrow" w:eastAsiaTheme="minorEastAsia" w:hAnsi="Arial Narrow" w:cs="ApexNew-Book"/>
          <w:color w:val="1D1D1C"/>
          <w:u w:color="000000"/>
          <w:lang w:eastAsia="ja-JP"/>
        </w:rPr>
        <w:t xml:space="preserve"> </w:t>
      </w:r>
      <w:r w:rsidR="00D64CB0" w:rsidRPr="00E43A9E">
        <w:rPr>
          <w:rFonts w:ascii="Arial Narrow" w:eastAsiaTheme="minorEastAsia" w:hAnsi="Arial Narrow" w:cs="ApexNew-Book"/>
          <w:color w:val="1D1D1C"/>
          <w:u w:color="000000"/>
          <w:lang w:eastAsia="ja-JP"/>
        </w:rPr>
        <w:t xml:space="preserve">approximately </w:t>
      </w:r>
      <w:r w:rsidR="00D344E3" w:rsidRPr="00E43A9E">
        <w:rPr>
          <w:rFonts w:ascii="Arial Narrow" w:eastAsiaTheme="minorEastAsia" w:hAnsi="Arial Narrow" w:cs="ApexNew-Book"/>
          <w:color w:val="1D1D1C"/>
          <w:u w:color="000000"/>
          <w:lang w:eastAsia="ja-JP"/>
        </w:rPr>
        <w:t>36</w:t>
      </w:r>
      <w:r w:rsidR="00A206D6" w:rsidRPr="00E43A9E">
        <w:rPr>
          <w:rFonts w:ascii="Arial Narrow" w:eastAsiaTheme="minorEastAsia" w:hAnsi="Arial Narrow" w:cs="ApexNew-Book"/>
          <w:color w:val="1D1D1C"/>
          <w:u w:color="000000"/>
          <w:lang w:eastAsia="ja-JP"/>
        </w:rPr>
        <w:t>% ($</w:t>
      </w:r>
      <w:r w:rsidR="00D344E3" w:rsidRPr="00E43A9E">
        <w:rPr>
          <w:rFonts w:ascii="Arial Narrow" w:eastAsiaTheme="minorEastAsia" w:hAnsi="Arial Narrow" w:cs="ApexNew-Book"/>
          <w:color w:val="1D1D1C"/>
          <w:u w:color="000000"/>
          <w:lang w:eastAsia="ja-JP"/>
        </w:rPr>
        <w:t>180</w:t>
      </w:r>
      <w:r w:rsidR="00A206D6" w:rsidRPr="00E43A9E">
        <w:rPr>
          <w:rFonts w:ascii="Arial Narrow" w:eastAsiaTheme="minorEastAsia" w:hAnsi="Arial Narrow" w:cs="ApexNew-Book"/>
          <w:color w:val="1D1D1C"/>
          <w:u w:color="000000"/>
          <w:lang w:eastAsia="ja-JP"/>
        </w:rPr>
        <w:t xml:space="preserve"> million) of total revenue and </w:t>
      </w:r>
      <w:r w:rsidR="00D64CB0" w:rsidRPr="00E43A9E">
        <w:rPr>
          <w:rFonts w:ascii="Arial Narrow" w:eastAsiaTheme="minorEastAsia" w:hAnsi="Arial Narrow" w:cs="ApexNew-Book"/>
          <w:color w:val="1D1D1C"/>
          <w:u w:color="000000"/>
          <w:lang w:eastAsia="ja-JP"/>
        </w:rPr>
        <w:t>42</w:t>
      </w:r>
      <w:r w:rsidR="00A206D6" w:rsidRPr="00E43A9E">
        <w:rPr>
          <w:rFonts w:ascii="Arial Narrow" w:eastAsiaTheme="minorEastAsia" w:hAnsi="Arial Narrow" w:cs="ApexNew-Book"/>
          <w:color w:val="1D1D1C"/>
          <w:u w:color="000000"/>
          <w:lang w:eastAsia="ja-JP"/>
        </w:rPr>
        <w:t xml:space="preserve">% </w:t>
      </w:r>
      <w:r w:rsidR="00D64CB0" w:rsidRPr="00E43A9E">
        <w:rPr>
          <w:rFonts w:ascii="Arial Narrow" w:eastAsiaTheme="minorEastAsia" w:hAnsi="Arial Narrow" w:cs="ApexNew-Book"/>
          <w:color w:val="1D1D1C"/>
          <w:u w:color="000000"/>
          <w:lang w:eastAsia="ja-JP"/>
        </w:rPr>
        <w:t>($1,</w:t>
      </w:r>
      <w:r w:rsidR="00D344E3" w:rsidRPr="00E43A9E">
        <w:rPr>
          <w:rFonts w:ascii="Arial Narrow" w:eastAsiaTheme="minorEastAsia" w:hAnsi="Arial Narrow" w:cs="ApexNew-Book"/>
          <w:color w:val="1D1D1C"/>
          <w:u w:color="000000"/>
          <w:lang w:eastAsia="ja-JP"/>
        </w:rPr>
        <w:t>300</w:t>
      </w:r>
      <w:r w:rsidR="00D64CB0" w:rsidRPr="00E43A9E">
        <w:rPr>
          <w:rFonts w:ascii="Arial Narrow" w:eastAsiaTheme="minorEastAsia" w:hAnsi="Arial Narrow" w:cs="ApexNew-Book"/>
          <w:color w:val="1D1D1C"/>
          <w:u w:color="000000"/>
          <w:lang w:eastAsia="ja-JP"/>
        </w:rPr>
        <w:t xml:space="preserve"> million) </w:t>
      </w:r>
      <w:r w:rsidR="00A206D6" w:rsidRPr="00E43A9E">
        <w:rPr>
          <w:rFonts w:ascii="Arial Narrow" w:eastAsiaTheme="minorEastAsia" w:hAnsi="Arial Narrow" w:cs="ApexNew-Book"/>
          <w:color w:val="1D1D1C"/>
          <w:u w:color="000000"/>
          <w:lang w:eastAsia="ja-JP"/>
        </w:rPr>
        <w:t>of total RAB</w:t>
      </w:r>
      <w:r w:rsidR="00A206D6" w:rsidRPr="006B5723">
        <w:rPr>
          <w:rFonts w:ascii="Arial Narrow" w:hAnsi="Arial Narrow" w:cs="Arial"/>
        </w:rPr>
        <w:t xml:space="preserve"> for AGN</w:t>
      </w:r>
      <w:r w:rsidR="00093BC2">
        <w:rPr>
          <w:rFonts w:ascii="Arial Narrow" w:hAnsi="Arial Narrow" w:cs="Arial"/>
        </w:rPr>
        <w:t xml:space="preserve"> (see Table 3.1)</w:t>
      </w:r>
      <w:r w:rsidR="00A206D6" w:rsidRPr="006B5723">
        <w:rPr>
          <w:rFonts w:ascii="Arial Narrow" w:hAnsi="Arial Narrow" w:cs="Arial"/>
        </w:rPr>
        <w:t>.</w:t>
      </w:r>
    </w:p>
    <w:p w:rsidR="008C4785" w:rsidRDefault="008C4785" w:rsidP="001E787A">
      <w:pPr>
        <w:pStyle w:val="FIGURESTYLE"/>
      </w:pPr>
      <w:r>
        <w:t xml:space="preserve">table 3.1: </w:t>
      </w:r>
      <w:r w:rsidR="00D365FA" w:rsidRPr="00D365FA">
        <w:rPr>
          <w:b w:val="0"/>
        </w:rPr>
        <w:t xml:space="preserve">Market </w:t>
      </w:r>
      <w:r w:rsidRPr="008C4785">
        <w:rPr>
          <w:b w:val="0"/>
        </w:rPr>
        <w:t>CHARACTERISTICS OF THE VICTORIA AND ALBURY NETWORK ZONES 2014 DATA</w:t>
      </w:r>
    </w:p>
    <w:tbl>
      <w:tblPr>
        <w:tblStyle w:val="GridTableLight"/>
        <w:tblW w:w="8500" w:type="dxa"/>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Look w:val="04A0" w:firstRow="1" w:lastRow="0" w:firstColumn="1" w:lastColumn="0" w:noHBand="0" w:noVBand="1"/>
      </w:tblPr>
      <w:tblGrid>
        <w:gridCol w:w="2228"/>
        <w:gridCol w:w="1254"/>
        <w:gridCol w:w="1254"/>
        <w:gridCol w:w="1255"/>
        <w:gridCol w:w="1375"/>
        <w:gridCol w:w="1134"/>
      </w:tblGrid>
      <w:tr w:rsidR="001E3214" w:rsidRPr="006B5723" w:rsidTr="001E3214">
        <w:tc>
          <w:tcPr>
            <w:tcW w:w="2228" w:type="dxa"/>
            <w:shd w:val="clear" w:color="auto" w:fill="D9E2EB"/>
          </w:tcPr>
          <w:p w:rsidR="00DE2AE5" w:rsidRPr="006B5723" w:rsidRDefault="00DE2AE5" w:rsidP="00170553">
            <w:pPr>
              <w:pStyle w:val="TableHeadingText"/>
              <w:spacing w:before="20" w:after="20"/>
              <w:jc w:val="center"/>
              <w:rPr>
                <w:noProof/>
                <w:lang w:eastAsia="en-AU"/>
              </w:rPr>
            </w:pPr>
          </w:p>
        </w:tc>
        <w:tc>
          <w:tcPr>
            <w:tcW w:w="1254" w:type="dxa"/>
            <w:shd w:val="clear" w:color="auto" w:fill="D9E2EB"/>
          </w:tcPr>
          <w:p w:rsidR="00DE2AE5" w:rsidRPr="00412A1B" w:rsidRDefault="00DE2AE5" w:rsidP="00170553">
            <w:pPr>
              <w:pStyle w:val="TableHeadingText"/>
              <w:spacing w:before="20" w:after="20"/>
              <w:jc w:val="center"/>
              <w:rPr>
                <w:noProof/>
                <w:lang w:eastAsia="en-AU"/>
              </w:rPr>
            </w:pPr>
            <w:r>
              <w:rPr>
                <w:noProof/>
                <w:lang w:eastAsia="en-AU"/>
              </w:rPr>
              <w:t>Bairnsdale</w:t>
            </w:r>
          </w:p>
        </w:tc>
        <w:tc>
          <w:tcPr>
            <w:tcW w:w="1254" w:type="dxa"/>
            <w:shd w:val="clear" w:color="auto" w:fill="D9E2EB"/>
          </w:tcPr>
          <w:p w:rsidR="00DE2AE5" w:rsidRPr="00412A1B" w:rsidRDefault="00DE2AE5" w:rsidP="00170553">
            <w:pPr>
              <w:pStyle w:val="TableHeadingText"/>
              <w:spacing w:before="20" w:after="20"/>
              <w:jc w:val="center"/>
              <w:rPr>
                <w:noProof/>
                <w:lang w:eastAsia="en-AU"/>
              </w:rPr>
            </w:pPr>
            <w:r>
              <w:rPr>
                <w:noProof/>
                <w:lang w:eastAsia="en-AU"/>
              </w:rPr>
              <w:t>Central</w:t>
            </w:r>
          </w:p>
        </w:tc>
        <w:tc>
          <w:tcPr>
            <w:tcW w:w="1255" w:type="dxa"/>
            <w:shd w:val="clear" w:color="auto" w:fill="D9E2EB"/>
          </w:tcPr>
          <w:p w:rsidR="00DE2AE5" w:rsidRPr="00412A1B" w:rsidRDefault="00434799" w:rsidP="00170553">
            <w:pPr>
              <w:pStyle w:val="TableHeadingText"/>
              <w:spacing w:before="20" w:after="20"/>
              <w:jc w:val="center"/>
              <w:rPr>
                <w:noProof/>
                <w:lang w:eastAsia="en-AU"/>
              </w:rPr>
            </w:pPr>
            <w:r>
              <w:rPr>
                <w:noProof/>
                <w:lang w:eastAsia="en-AU"/>
              </w:rPr>
              <w:t>Northern</w:t>
            </w:r>
          </w:p>
        </w:tc>
        <w:tc>
          <w:tcPr>
            <w:tcW w:w="1375" w:type="dxa"/>
            <w:shd w:val="clear" w:color="auto" w:fill="D9E2EB"/>
          </w:tcPr>
          <w:p w:rsidR="00DE2AE5" w:rsidRPr="00412A1B" w:rsidRDefault="00DE2AE5" w:rsidP="00170553">
            <w:pPr>
              <w:pStyle w:val="TableHeadingText"/>
              <w:spacing w:before="20" w:after="20"/>
              <w:jc w:val="center"/>
              <w:rPr>
                <w:noProof/>
                <w:lang w:eastAsia="en-AU"/>
              </w:rPr>
            </w:pPr>
            <w:r>
              <w:rPr>
                <w:noProof/>
                <w:lang w:eastAsia="en-AU"/>
              </w:rPr>
              <w:t>Murray Valley</w:t>
            </w:r>
          </w:p>
        </w:tc>
        <w:tc>
          <w:tcPr>
            <w:tcW w:w="1134" w:type="dxa"/>
            <w:shd w:val="clear" w:color="auto" w:fill="D9E2EB"/>
          </w:tcPr>
          <w:p w:rsidR="00DE2AE5" w:rsidRPr="00412A1B" w:rsidRDefault="00DE2AE5" w:rsidP="00170553">
            <w:pPr>
              <w:pStyle w:val="TableHeadingText"/>
              <w:spacing w:before="20" w:after="20"/>
              <w:jc w:val="center"/>
              <w:rPr>
                <w:noProof/>
                <w:lang w:eastAsia="en-AU"/>
              </w:rPr>
            </w:pPr>
            <w:r w:rsidRPr="006B5723">
              <w:rPr>
                <w:noProof/>
                <w:lang w:eastAsia="en-AU"/>
              </w:rPr>
              <w:t>Albury</w:t>
            </w:r>
          </w:p>
        </w:tc>
      </w:tr>
      <w:tr w:rsidR="00917236" w:rsidRPr="00170553" w:rsidTr="001E3214">
        <w:tc>
          <w:tcPr>
            <w:tcW w:w="2228" w:type="dxa"/>
          </w:tcPr>
          <w:p w:rsidR="00917236" w:rsidRPr="00170553" w:rsidRDefault="00917236" w:rsidP="00170553">
            <w:pPr>
              <w:pStyle w:val="TableText"/>
              <w:spacing w:before="20" w:after="20"/>
              <w:jc w:val="left"/>
              <w:rPr>
                <w:b/>
                <w:noProof/>
                <w:lang w:eastAsia="en-AU"/>
              </w:rPr>
            </w:pPr>
            <w:r w:rsidRPr="00170553">
              <w:rPr>
                <w:b/>
                <w:noProof/>
                <w:lang w:eastAsia="en-AU"/>
              </w:rPr>
              <w:t>Total customer numbers</w:t>
            </w:r>
          </w:p>
        </w:tc>
        <w:tc>
          <w:tcPr>
            <w:tcW w:w="1254" w:type="dxa"/>
            <w:vAlign w:val="center"/>
          </w:tcPr>
          <w:p w:rsidR="00917236" w:rsidRPr="00170553" w:rsidRDefault="00072A82" w:rsidP="00170553">
            <w:pPr>
              <w:pStyle w:val="TableText"/>
              <w:spacing w:before="20" w:after="20"/>
              <w:jc w:val="center"/>
              <w:rPr>
                <w:b/>
                <w:noProof/>
                <w:lang w:eastAsia="en-AU"/>
              </w:rPr>
            </w:pPr>
            <w:r>
              <w:rPr>
                <w:b/>
                <w:noProof/>
                <w:lang w:eastAsia="en-AU"/>
              </w:rPr>
              <w:t>3,431</w:t>
            </w:r>
          </w:p>
        </w:tc>
        <w:tc>
          <w:tcPr>
            <w:tcW w:w="1254" w:type="dxa"/>
            <w:vAlign w:val="center"/>
          </w:tcPr>
          <w:p w:rsidR="00917236" w:rsidRPr="00170553" w:rsidRDefault="00072A82" w:rsidP="00170553">
            <w:pPr>
              <w:pStyle w:val="TableText"/>
              <w:spacing w:before="20" w:after="20"/>
              <w:jc w:val="center"/>
              <w:rPr>
                <w:b/>
                <w:noProof/>
                <w:lang w:eastAsia="en-AU"/>
              </w:rPr>
            </w:pPr>
            <w:r>
              <w:rPr>
                <w:b/>
                <w:noProof/>
                <w:lang w:eastAsia="en-AU"/>
              </w:rPr>
              <w:t>520,801</w:t>
            </w:r>
          </w:p>
        </w:tc>
        <w:tc>
          <w:tcPr>
            <w:tcW w:w="1255" w:type="dxa"/>
            <w:vAlign w:val="center"/>
          </w:tcPr>
          <w:p w:rsidR="00917236" w:rsidRPr="00170553" w:rsidRDefault="00072A82" w:rsidP="00170553">
            <w:pPr>
              <w:pStyle w:val="TableText"/>
              <w:spacing w:before="20" w:after="20"/>
              <w:jc w:val="center"/>
              <w:rPr>
                <w:b/>
                <w:noProof/>
                <w:lang w:eastAsia="en-AU"/>
              </w:rPr>
            </w:pPr>
            <w:r>
              <w:rPr>
                <w:b/>
                <w:noProof/>
                <w:lang w:eastAsia="en-AU"/>
              </w:rPr>
              <w:t>73,571</w:t>
            </w:r>
          </w:p>
        </w:tc>
        <w:tc>
          <w:tcPr>
            <w:tcW w:w="1375" w:type="dxa"/>
            <w:vAlign w:val="center"/>
          </w:tcPr>
          <w:p w:rsidR="00917236" w:rsidRPr="00170553" w:rsidRDefault="00072A82" w:rsidP="00170553">
            <w:pPr>
              <w:pStyle w:val="TableText"/>
              <w:spacing w:before="20" w:after="20"/>
              <w:jc w:val="center"/>
              <w:rPr>
                <w:b/>
                <w:noProof/>
                <w:lang w:eastAsia="en-AU"/>
              </w:rPr>
            </w:pPr>
            <w:r>
              <w:rPr>
                <w:b/>
                <w:noProof/>
                <w:lang w:eastAsia="en-AU"/>
              </w:rPr>
              <w:t>7,433</w:t>
            </w:r>
          </w:p>
        </w:tc>
        <w:tc>
          <w:tcPr>
            <w:tcW w:w="1134" w:type="dxa"/>
            <w:vAlign w:val="center"/>
          </w:tcPr>
          <w:p w:rsidR="00917236" w:rsidRPr="00170553" w:rsidRDefault="00072A82" w:rsidP="00170553">
            <w:pPr>
              <w:pStyle w:val="TableText"/>
              <w:spacing w:before="20" w:after="20"/>
              <w:jc w:val="center"/>
              <w:rPr>
                <w:b/>
                <w:noProof/>
                <w:lang w:eastAsia="en-AU"/>
              </w:rPr>
            </w:pPr>
            <w:r>
              <w:rPr>
                <w:b/>
                <w:noProof/>
                <w:lang w:eastAsia="en-AU"/>
              </w:rPr>
              <w:t>21,165</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sidRPr="006B5723">
              <w:rPr>
                <w:noProof/>
                <w:lang w:eastAsia="en-AU"/>
              </w:rPr>
              <w:t>Residential</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3,331</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501,389</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70,194</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7,103</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20,194</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Pr>
                <w:noProof/>
                <w:lang w:eastAsia="en-AU"/>
              </w:rPr>
              <w:t>Commercial</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92</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19,410</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3,186</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324</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920</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Pr>
                <w:noProof/>
                <w:lang w:eastAsia="en-AU"/>
              </w:rPr>
              <w:t>Tariff D</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8</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2</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190</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6</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50</w:t>
            </w:r>
          </w:p>
        </w:tc>
      </w:tr>
      <w:tr w:rsidR="00917236" w:rsidRPr="001E3214" w:rsidTr="001E3214">
        <w:tc>
          <w:tcPr>
            <w:tcW w:w="2228" w:type="dxa"/>
          </w:tcPr>
          <w:p w:rsidR="00917236" w:rsidRPr="001E3214" w:rsidRDefault="00917236" w:rsidP="00170553">
            <w:pPr>
              <w:pStyle w:val="TableText"/>
              <w:spacing w:before="20" w:after="20"/>
              <w:jc w:val="left"/>
              <w:rPr>
                <w:b/>
                <w:noProof/>
                <w:lang w:eastAsia="en-AU"/>
              </w:rPr>
            </w:pPr>
            <w:r w:rsidRPr="001E3214">
              <w:rPr>
                <w:b/>
                <w:noProof/>
                <w:lang w:eastAsia="en-AU"/>
              </w:rPr>
              <w:t>Total consumption (TJ)</w:t>
            </w:r>
          </w:p>
        </w:tc>
        <w:tc>
          <w:tcPr>
            <w:tcW w:w="1254" w:type="dxa"/>
            <w:vAlign w:val="center"/>
          </w:tcPr>
          <w:p w:rsidR="00917236" w:rsidRPr="001E3214" w:rsidRDefault="00072A82" w:rsidP="00170553">
            <w:pPr>
              <w:pStyle w:val="TableText"/>
              <w:spacing w:before="20" w:after="20"/>
              <w:jc w:val="center"/>
              <w:rPr>
                <w:b/>
                <w:noProof/>
                <w:lang w:eastAsia="en-AU"/>
              </w:rPr>
            </w:pPr>
            <w:r>
              <w:rPr>
                <w:b/>
                <w:noProof/>
                <w:lang w:eastAsia="en-AU"/>
              </w:rPr>
              <w:t>250</w:t>
            </w:r>
          </w:p>
        </w:tc>
        <w:tc>
          <w:tcPr>
            <w:tcW w:w="1254" w:type="dxa"/>
            <w:vAlign w:val="center"/>
          </w:tcPr>
          <w:p w:rsidR="00917236" w:rsidRPr="001E3214" w:rsidRDefault="00072A82" w:rsidP="00170553">
            <w:pPr>
              <w:pStyle w:val="TableText"/>
              <w:spacing w:before="20" w:after="20"/>
              <w:jc w:val="center"/>
              <w:rPr>
                <w:b/>
                <w:noProof/>
                <w:lang w:eastAsia="en-AU"/>
              </w:rPr>
            </w:pPr>
            <w:r>
              <w:rPr>
                <w:b/>
                <w:noProof/>
                <w:lang w:eastAsia="en-AU"/>
              </w:rPr>
              <w:t>40,924</w:t>
            </w:r>
          </w:p>
        </w:tc>
        <w:tc>
          <w:tcPr>
            <w:tcW w:w="1255" w:type="dxa"/>
            <w:vAlign w:val="center"/>
          </w:tcPr>
          <w:p w:rsidR="00917236" w:rsidRPr="001E3214" w:rsidRDefault="00072A82" w:rsidP="00170553">
            <w:pPr>
              <w:pStyle w:val="TableText"/>
              <w:spacing w:before="20" w:after="20"/>
              <w:jc w:val="center"/>
              <w:rPr>
                <w:b/>
                <w:noProof/>
                <w:lang w:eastAsia="en-AU"/>
              </w:rPr>
            </w:pPr>
            <w:r>
              <w:rPr>
                <w:b/>
                <w:noProof/>
                <w:lang w:eastAsia="en-AU"/>
              </w:rPr>
              <w:t>8,896</w:t>
            </w:r>
          </w:p>
        </w:tc>
        <w:tc>
          <w:tcPr>
            <w:tcW w:w="1375" w:type="dxa"/>
            <w:vAlign w:val="center"/>
          </w:tcPr>
          <w:p w:rsidR="00917236" w:rsidRPr="001E3214" w:rsidRDefault="00072A82" w:rsidP="00170553">
            <w:pPr>
              <w:pStyle w:val="TableText"/>
              <w:spacing w:before="20" w:after="20"/>
              <w:jc w:val="center"/>
              <w:rPr>
                <w:b/>
                <w:noProof/>
                <w:lang w:eastAsia="en-AU"/>
              </w:rPr>
            </w:pPr>
            <w:r>
              <w:rPr>
                <w:b/>
                <w:noProof/>
                <w:lang w:eastAsia="en-AU"/>
              </w:rPr>
              <w:t>1,214</w:t>
            </w:r>
          </w:p>
        </w:tc>
        <w:tc>
          <w:tcPr>
            <w:tcW w:w="1134" w:type="dxa"/>
            <w:vAlign w:val="center"/>
          </w:tcPr>
          <w:p w:rsidR="00917236" w:rsidRPr="001E3214" w:rsidRDefault="00072A82" w:rsidP="00170553">
            <w:pPr>
              <w:pStyle w:val="TableText"/>
              <w:spacing w:before="20" w:after="20"/>
              <w:jc w:val="center"/>
              <w:rPr>
                <w:b/>
                <w:noProof/>
                <w:lang w:eastAsia="en-AU"/>
              </w:rPr>
            </w:pPr>
            <w:r>
              <w:rPr>
                <w:b/>
                <w:noProof/>
                <w:lang w:eastAsia="en-AU"/>
              </w:rPr>
              <w:t>2,545</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Pr>
                <w:noProof/>
                <w:lang w:eastAsia="en-AU"/>
              </w:rPr>
              <w:t>Residential (T</w:t>
            </w:r>
            <w:r w:rsidRPr="006B5723">
              <w:rPr>
                <w:noProof/>
                <w:lang w:eastAsia="en-AU"/>
              </w:rPr>
              <w:t>J)</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91</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23,138</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3,083</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241</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832</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Pr>
                <w:noProof/>
                <w:lang w:eastAsia="en-AU"/>
              </w:rPr>
              <w:t>Commercial (T</w:t>
            </w:r>
            <w:r w:rsidRPr="006B5723">
              <w:rPr>
                <w:noProof/>
                <w:lang w:eastAsia="en-AU"/>
              </w:rPr>
              <w:t>J)</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76</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6,152</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764</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59</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272</w:t>
            </w:r>
          </w:p>
        </w:tc>
      </w:tr>
      <w:tr w:rsidR="00917236" w:rsidRPr="006B5723" w:rsidTr="001E3214">
        <w:tc>
          <w:tcPr>
            <w:tcW w:w="2228" w:type="dxa"/>
          </w:tcPr>
          <w:p w:rsidR="00917236" w:rsidRPr="006B5723" w:rsidRDefault="00917236" w:rsidP="001E3214">
            <w:pPr>
              <w:pStyle w:val="TableText"/>
              <w:spacing w:before="20" w:after="20"/>
              <w:ind w:firstLine="171"/>
              <w:jc w:val="left"/>
              <w:rPr>
                <w:noProof/>
                <w:lang w:eastAsia="en-AU"/>
              </w:rPr>
            </w:pPr>
            <w:r>
              <w:rPr>
                <w:noProof/>
                <w:lang w:eastAsia="en-AU"/>
              </w:rPr>
              <w:t>Tariff D (T</w:t>
            </w:r>
            <w:r w:rsidRPr="006B5723">
              <w:rPr>
                <w:noProof/>
                <w:lang w:eastAsia="en-AU"/>
              </w:rPr>
              <w:t>J)</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82</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11,635</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5,049</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914</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1,441</w:t>
            </w:r>
          </w:p>
        </w:tc>
      </w:tr>
      <w:tr w:rsidR="00917236" w:rsidRPr="006B5723" w:rsidTr="001E3214">
        <w:tc>
          <w:tcPr>
            <w:tcW w:w="2228" w:type="dxa"/>
          </w:tcPr>
          <w:p w:rsidR="00917236" w:rsidRPr="006B5723" w:rsidRDefault="00917236" w:rsidP="00170553">
            <w:pPr>
              <w:pStyle w:val="TableText"/>
              <w:spacing w:before="20" w:after="20"/>
              <w:jc w:val="left"/>
              <w:rPr>
                <w:noProof/>
                <w:lang w:eastAsia="en-AU"/>
              </w:rPr>
            </w:pPr>
            <w:r w:rsidRPr="006B5723">
              <w:rPr>
                <w:noProof/>
                <w:lang w:eastAsia="en-AU"/>
              </w:rPr>
              <w:t>Average consumption per residential customer (GJ)</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27.5</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46.1</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43.9</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33.9</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41.2</w:t>
            </w:r>
          </w:p>
        </w:tc>
      </w:tr>
      <w:tr w:rsidR="00917236" w:rsidRPr="006B5723" w:rsidTr="001E3214">
        <w:tc>
          <w:tcPr>
            <w:tcW w:w="2228" w:type="dxa"/>
          </w:tcPr>
          <w:p w:rsidR="00917236" w:rsidRPr="006B5723" w:rsidRDefault="00917236" w:rsidP="00170553">
            <w:pPr>
              <w:pStyle w:val="TableText"/>
              <w:spacing w:before="20" w:after="20"/>
              <w:jc w:val="left"/>
              <w:rPr>
                <w:noProof/>
                <w:lang w:eastAsia="en-AU"/>
              </w:rPr>
            </w:pPr>
            <w:r w:rsidRPr="006B5723">
              <w:rPr>
                <w:noProof/>
                <w:lang w:eastAsia="en-AU"/>
              </w:rPr>
              <w:t>Average consumption per commecrial customer (GJ)</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823.7</w:t>
            </w:r>
          </w:p>
        </w:tc>
        <w:tc>
          <w:tcPr>
            <w:tcW w:w="1254" w:type="dxa"/>
            <w:vAlign w:val="center"/>
          </w:tcPr>
          <w:p w:rsidR="00917236" w:rsidRPr="00917236" w:rsidRDefault="00072A82" w:rsidP="00170553">
            <w:pPr>
              <w:pStyle w:val="TableText"/>
              <w:spacing w:before="20" w:after="20"/>
              <w:jc w:val="center"/>
              <w:rPr>
                <w:noProof/>
                <w:lang w:eastAsia="en-AU"/>
              </w:rPr>
            </w:pPr>
            <w:r>
              <w:rPr>
                <w:noProof/>
                <w:lang w:eastAsia="en-AU"/>
              </w:rPr>
              <w:t>317.0</w:t>
            </w:r>
          </w:p>
        </w:tc>
        <w:tc>
          <w:tcPr>
            <w:tcW w:w="1255" w:type="dxa"/>
            <w:vAlign w:val="center"/>
          </w:tcPr>
          <w:p w:rsidR="00917236" w:rsidRPr="00917236" w:rsidRDefault="00072A82" w:rsidP="00170553">
            <w:pPr>
              <w:pStyle w:val="TableText"/>
              <w:spacing w:before="20" w:after="20"/>
              <w:jc w:val="center"/>
              <w:rPr>
                <w:noProof/>
                <w:lang w:eastAsia="en-AU"/>
              </w:rPr>
            </w:pPr>
            <w:r>
              <w:rPr>
                <w:noProof/>
                <w:lang w:eastAsia="en-AU"/>
              </w:rPr>
              <w:t>239.7</w:t>
            </w:r>
          </w:p>
        </w:tc>
        <w:tc>
          <w:tcPr>
            <w:tcW w:w="1375" w:type="dxa"/>
            <w:vAlign w:val="center"/>
          </w:tcPr>
          <w:p w:rsidR="00917236" w:rsidRPr="00917236" w:rsidRDefault="00072A82" w:rsidP="00170553">
            <w:pPr>
              <w:pStyle w:val="TableText"/>
              <w:spacing w:before="20" w:after="20"/>
              <w:jc w:val="center"/>
              <w:rPr>
                <w:noProof/>
                <w:lang w:eastAsia="en-AU"/>
              </w:rPr>
            </w:pPr>
            <w:r>
              <w:rPr>
                <w:noProof/>
                <w:lang w:eastAsia="en-AU"/>
              </w:rPr>
              <w:t>183.5</w:t>
            </w:r>
          </w:p>
        </w:tc>
        <w:tc>
          <w:tcPr>
            <w:tcW w:w="1134" w:type="dxa"/>
            <w:vAlign w:val="center"/>
          </w:tcPr>
          <w:p w:rsidR="00917236" w:rsidRPr="00917236" w:rsidRDefault="00072A82" w:rsidP="00170553">
            <w:pPr>
              <w:pStyle w:val="TableText"/>
              <w:spacing w:before="20" w:after="20"/>
              <w:jc w:val="center"/>
              <w:rPr>
                <w:noProof/>
                <w:lang w:eastAsia="en-AU"/>
              </w:rPr>
            </w:pPr>
            <w:r>
              <w:rPr>
                <w:noProof/>
                <w:lang w:eastAsia="en-AU"/>
              </w:rPr>
              <w:t>295.3</w:t>
            </w:r>
          </w:p>
        </w:tc>
      </w:tr>
      <w:tr w:rsidR="00917236" w:rsidRPr="006B5723" w:rsidTr="001E3214">
        <w:tc>
          <w:tcPr>
            <w:tcW w:w="2228" w:type="dxa"/>
          </w:tcPr>
          <w:p w:rsidR="00917236" w:rsidRPr="006B5723" w:rsidRDefault="00917236" w:rsidP="00170553">
            <w:pPr>
              <w:pStyle w:val="TableText"/>
              <w:spacing w:before="20" w:after="20"/>
              <w:jc w:val="left"/>
              <w:rPr>
                <w:noProof/>
                <w:lang w:eastAsia="en-AU"/>
              </w:rPr>
            </w:pPr>
            <w:r>
              <w:rPr>
                <w:noProof/>
                <w:lang w:eastAsia="en-AU"/>
              </w:rPr>
              <w:t>Revenue ($m)</w:t>
            </w:r>
          </w:p>
        </w:tc>
        <w:tc>
          <w:tcPr>
            <w:tcW w:w="1254" w:type="dxa"/>
            <w:vAlign w:val="center"/>
          </w:tcPr>
          <w:p w:rsidR="00917236" w:rsidRPr="009A4133" w:rsidRDefault="00072A82" w:rsidP="00170553">
            <w:pPr>
              <w:pStyle w:val="TableText"/>
              <w:spacing w:before="20" w:after="20"/>
              <w:jc w:val="center"/>
              <w:rPr>
                <w:noProof/>
                <w:lang w:eastAsia="en-AU"/>
              </w:rPr>
            </w:pPr>
            <w:r>
              <w:rPr>
                <w:noProof/>
                <w:lang w:eastAsia="en-AU"/>
              </w:rPr>
              <w:t>1.4</w:t>
            </w:r>
          </w:p>
        </w:tc>
        <w:tc>
          <w:tcPr>
            <w:tcW w:w="1254" w:type="dxa"/>
            <w:vAlign w:val="center"/>
          </w:tcPr>
          <w:p w:rsidR="00917236" w:rsidRPr="009A4133" w:rsidRDefault="00072A82" w:rsidP="00170553">
            <w:pPr>
              <w:pStyle w:val="TableText"/>
              <w:spacing w:before="20" w:after="20"/>
              <w:jc w:val="center"/>
              <w:rPr>
                <w:noProof/>
                <w:lang w:eastAsia="en-AU"/>
              </w:rPr>
            </w:pPr>
            <w:r>
              <w:rPr>
                <w:noProof/>
                <w:lang w:eastAsia="en-AU"/>
              </w:rPr>
              <w:t>158.7</w:t>
            </w:r>
          </w:p>
        </w:tc>
        <w:tc>
          <w:tcPr>
            <w:tcW w:w="1255" w:type="dxa"/>
            <w:vAlign w:val="center"/>
          </w:tcPr>
          <w:p w:rsidR="00917236" w:rsidRPr="009A4133" w:rsidRDefault="00072A82" w:rsidP="00170553">
            <w:pPr>
              <w:pStyle w:val="TableText"/>
              <w:spacing w:before="20" w:after="20"/>
              <w:jc w:val="center"/>
              <w:rPr>
                <w:noProof/>
                <w:lang w:eastAsia="en-AU"/>
              </w:rPr>
            </w:pPr>
            <w:r>
              <w:rPr>
                <w:noProof/>
                <w:lang w:eastAsia="en-AU"/>
              </w:rPr>
              <w:t>19.7</w:t>
            </w:r>
          </w:p>
        </w:tc>
        <w:tc>
          <w:tcPr>
            <w:tcW w:w="1375" w:type="dxa"/>
            <w:vAlign w:val="center"/>
          </w:tcPr>
          <w:p w:rsidR="00917236" w:rsidRPr="009A4133" w:rsidRDefault="00072A82" w:rsidP="00170553">
            <w:pPr>
              <w:pStyle w:val="TableText"/>
              <w:spacing w:before="20" w:after="20"/>
              <w:jc w:val="center"/>
              <w:rPr>
                <w:noProof/>
                <w:lang w:eastAsia="en-AU"/>
              </w:rPr>
            </w:pPr>
            <w:r>
              <w:rPr>
                <w:noProof/>
                <w:lang w:eastAsia="en-AU"/>
              </w:rPr>
              <w:t>1.9</w:t>
            </w:r>
          </w:p>
        </w:tc>
        <w:tc>
          <w:tcPr>
            <w:tcW w:w="1134" w:type="dxa"/>
            <w:vAlign w:val="center"/>
          </w:tcPr>
          <w:p w:rsidR="00917236" w:rsidRPr="009A4133" w:rsidRDefault="00072A82" w:rsidP="00170553">
            <w:pPr>
              <w:pStyle w:val="TableText"/>
              <w:spacing w:before="20" w:after="20"/>
              <w:jc w:val="center"/>
              <w:rPr>
                <w:noProof/>
                <w:lang w:eastAsia="en-AU"/>
              </w:rPr>
            </w:pPr>
            <w:r>
              <w:rPr>
                <w:noProof/>
                <w:lang w:eastAsia="en-AU"/>
              </w:rPr>
              <w:t>5.9</w:t>
            </w:r>
          </w:p>
        </w:tc>
      </w:tr>
      <w:tr w:rsidR="00957F18" w:rsidRPr="006B5723" w:rsidTr="001E3214">
        <w:tc>
          <w:tcPr>
            <w:tcW w:w="2228" w:type="dxa"/>
          </w:tcPr>
          <w:p w:rsidR="00957F18" w:rsidRPr="006B5723" w:rsidRDefault="00957F18" w:rsidP="00170553">
            <w:pPr>
              <w:pStyle w:val="TableText"/>
              <w:spacing w:before="20" w:after="20"/>
              <w:jc w:val="left"/>
              <w:rPr>
                <w:noProof/>
                <w:lang w:eastAsia="en-AU"/>
              </w:rPr>
            </w:pPr>
            <w:r w:rsidRPr="006B5723">
              <w:rPr>
                <w:noProof/>
                <w:lang w:eastAsia="en-AU"/>
              </w:rPr>
              <w:t>Retailers operating in market</w:t>
            </w:r>
          </w:p>
        </w:tc>
        <w:tc>
          <w:tcPr>
            <w:tcW w:w="1254" w:type="dxa"/>
            <w:vAlign w:val="center"/>
          </w:tcPr>
          <w:p w:rsidR="00957F18" w:rsidRPr="00616821" w:rsidRDefault="00072A82" w:rsidP="00170553">
            <w:pPr>
              <w:pStyle w:val="TableText"/>
              <w:spacing w:before="20" w:after="20"/>
              <w:jc w:val="center"/>
              <w:rPr>
                <w:noProof/>
                <w:lang w:eastAsia="en-AU"/>
              </w:rPr>
            </w:pPr>
            <w:r>
              <w:rPr>
                <w:noProof/>
                <w:lang w:eastAsia="en-AU"/>
              </w:rPr>
              <w:t>10</w:t>
            </w:r>
          </w:p>
        </w:tc>
        <w:tc>
          <w:tcPr>
            <w:tcW w:w="1254" w:type="dxa"/>
            <w:vAlign w:val="center"/>
          </w:tcPr>
          <w:p w:rsidR="00957F18" w:rsidRPr="00616821" w:rsidRDefault="00072A82" w:rsidP="00170553">
            <w:pPr>
              <w:pStyle w:val="TableText"/>
              <w:spacing w:before="20" w:after="20"/>
              <w:jc w:val="center"/>
              <w:rPr>
                <w:noProof/>
                <w:lang w:eastAsia="en-AU"/>
              </w:rPr>
            </w:pPr>
            <w:r>
              <w:rPr>
                <w:noProof/>
                <w:lang w:eastAsia="en-AU"/>
              </w:rPr>
              <w:t>10</w:t>
            </w:r>
          </w:p>
        </w:tc>
        <w:tc>
          <w:tcPr>
            <w:tcW w:w="1255" w:type="dxa"/>
            <w:vAlign w:val="center"/>
          </w:tcPr>
          <w:p w:rsidR="00957F18" w:rsidRPr="00616821" w:rsidRDefault="00072A82" w:rsidP="00170553">
            <w:pPr>
              <w:pStyle w:val="TableText"/>
              <w:spacing w:before="20" w:after="20"/>
              <w:jc w:val="center"/>
              <w:rPr>
                <w:noProof/>
                <w:lang w:eastAsia="en-AU"/>
              </w:rPr>
            </w:pPr>
            <w:r>
              <w:rPr>
                <w:noProof/>
                <w:lang w:eastAsia="en-AU"/>
              </w:rPr>
              <w:t>10</w:t>
            </w:r>
          </w:p>
        </w:tc>
        <w:tc>
          <w:tcPr>
            <w:tcW w:w="1375" w:type="dxa"/>
            <w:vAlign w:val="center"/>
          </w:tcPr>
          <w:p w:rsidR="00957F18" w:rsidRPr="00616821" w:rsidRDefault="00072A82" w:rsidP="00170553">
            <w:pPr>
              <w:pStyle w:val="TableText"/>
              <w:spacing w:before="20" w:after="20"/>
              <w:jc w:val="center"/>
              <w:rPr>
                <w:noProof/>
                <w:lang w:eastAsia="en-AU"/>
              </w:rPr>
            </w:pPr>
            <w:r>
              <w:rPr>
                <w:noProof/>
                <w:lang w:eastAsia="en-AU"/>
              </w:rPr>
              <w:t>10</w:t>
            </w:r>
          </w:p>
        </w:tc>
        <w:tc>
          <w:tcPr>
            <w:tcW w:w="1134" w:type="dxa"/>
            <w:vAlign w:val="center"/>
          </w:tcPr>
          <w:p w:rsidR="00957F18" w:rsidRPr="006B5723" w:rsidRDefault="00072A82" w:rsidP="00170553">
            <w:pPr>
              <w:pStyle w:val="TableText"/>
              <w:spacing w:before="20" w:after="20"/>
              <w:jc w:val="center"/>
              <w:rPr>
                <w:noProof/>
                <w:lang w:eastAsia="en-AU"/>
              </w:rPr>
            </w:pPr>
            <w:r>
              <w:rPr>
                <w:noProof/>
                <w:lang w:eastAsia="en-AU"/>
              </w:rPr>
              <w:t>4</w:t>
            </w:r>
          </w:p>
        </w:tc>
      </w:tr>
    </w:tbl>
    <w:p w:rsidR="007B5E04" w:rsidRDefault="007B5E04" w:rsidP="007B5E04">
      <w:pPr>
        <w:pStyle w:val="NoSpacing"/>
        <w:rPr>
          <w:rFonts w:eastAsiaTheme="minorEastAsia"/>
          <w:lang w:eastAsia="ja-JP"/>
        </w:rPr>
      </w:pPr>
    </w:p>
    <w:p w:rsidR="00D365FA" w:rsidRDefault="00D365FA" w:rsidP="00D365F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Table </w:t>
      </w:r>
      <w:r>
        <w:rPr>
          <w:rFonts w:ascii="Arial Narrow" w:eastAsiaTheme="minorEastAsia" w:hAnsi="Arial Narrow" w:cs="ApexNew-Book"/>
          <w:color w:val="1D1D1C"/>
          <w:u w:color="000000"/>
          <w:lang w:eastAsia="ja-JP"/>
        </w:rPr>
        <w:t>3.2</w:t>
      </w:r>
      <w:r w:rsidRPr="00E43A9E">
        <w:rPr>
          <w:rFonts w:ascii="Arial Narrow" w:eastAsiaTheme="minorEastAsia" w:hAnsi="Arial Narrow" w:cs="ApexNew-Book"/>
          <w:color w:val="1D1D1C"/>
          <w:u w:color="000000"/>
          <w:lang w:eastAsia="ja-JP"/>
        </w:rPr>
        <w:t xml:space="preserve"> summarises the </w:t>
      </w:r>
      <w:r>
        <w:rPr>
          <w:rFonts w:ascii="Arial Narrow" w:eastAsiaTheme="minorEastAsia" w:hAnsi="Arial Narrow" w:cs="ApexNew-Book"/>
          <w:color w:val="1D1D1C"/>
          <w:u w:color="000000"/>
          <w:lang w:eastAsia="ja-JP"/>
        </w:rPr>
        <w:t xml:space="preserve">physical characteristics of </w:t>
      </w:r>
      <w:r w:rsidRPr="00E43A9E">
        <w:rPr>
          <w:rFonts w:ascii="Arial Narrow" w:eastAsiaTheme="minorEastAsia" w:hAnsi="Arial Narrow" w:cs="ApexNew-Book"/>
          <w:color w:val="1D1D1C"/>
          <w:u w:color="000000"/>
          <w:lang w:eastAsia="ja-JP"/>
        </w:rPr>
        <w:t xml:space="preserve">the Victoria and Albury zones. </w:t>
      </w:r>
    </w:p>
    <w:p w:rsidR="00D365FA" w:rsidRDefault="00D365FA" w:rsidP="00D365FA">
      <w:pPr>
        <w:pStyle w:val="FIGURESTYLE"/>
      </w:pPr>
      <w:r>
        <w:t xml:space="preserve">table 3.2: </w:t>
      </w:r>
      <w:r w:rsidRPr="00D365FA">
        <w:rPr>
          <w:b w:val="0"/>
        </w:rPr>
        <w:t xml:space="preserve">Physical </w:t>
      </w:r>
      <w:r w:rsidRPr="008C4785">
        <w:rPr>
          <w:b w:val="0"/>
        </w:rPr>
        <w:t>CHARACTERISTICS OF THE VICTORIA AND ALBURY NETWORK ZONES 2014 DATA</w:t>
      </w:r>
    </w:p>
    <w:tbl>
      <w:tblPr>
        <w:tblStyle w:val="TableGrid"/>
        <w:tblW w:w="8500" w:type="dxa"/>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Layout w:type="fixed"/>
        <w:tblLook w:val="04A0" w:firstRow="1" w:lastRow="0" w:firstColumn="1" w:lastColumn="0" w:noHBand="0" w:noVBand="1"/>
      </w:tblPr>
      <w:tblGrid>
        <w:gridCol w:w="2263"/>
        <w:gridCol w:w="1247"/>
        <w:gridCol w:w="1247"/>
        <w:gridCol w:w="1248"/>
        <w:gridCol w:w="1361"/>
        <w:gridCol w:w="1134"/>
      </w:tblGrid>
      <w:tr w:rsidR="00D365FA" w:rsidRPr="006B5723" w:rsidTr="001E3214">
        <w:tc>
          <w:tcPr>
            <w:tcW w:w="2263" w:type="dxa"/>
            <w:shd w:val="clear" w:color="auto" w:fill="D9E2EB"/>
            <w:vAlign w:val="center"/>
          </w:tcPr>
          <w:p w:rsidR="00D365FA" w:rsidRPr="006B5723" w:rsidRDefault="00D365FA" w:rsidP="001E3214">
            <w:pPr>
              <w:pStyle w:val="TableHeadingText"/>
              <w:spacing w:before="20" w:after="20"/>
              <w:rPr>
                <w:noProof/>
                <w:lang w:eastAsia="en-AU"/>
              </w:rPr>
            </w:pPr>
          </w:p>
        </w:tc>
        <w:tc>
          <w:tcPr>
            <w:tcW w:w="1247" w:type="dxa"/>
            <w:shd w:val="clear" w:color="auto" w:fill="D9E2EB"/>
            <w:vAlign w:val="center"/>
          </w:tcPr>
          <w:p w:rsidR="00D365FA" w:rsidRPr="00412A1B" w:rsidRDefault="00D365FA" w:rsidP="001E3214">
            <w:pPr>
              <w:pStyle w:val="TableHeadingText"/>
              <w:spacing w:before="20" w:after="20"/>
              <w:jc w:val="center"/>
              <w:rPr>
                <w:noProof/>
                <w:lang w:eastAsia="en-AU"/>
              </w:rPr>
            </w:pPr>
            <w:r>
              <w:rPr>
                <w:noProof/>
                <w:lang w:eastAsia="en-AU"/>
              </w:rPr>
              <w:t>Bairnsdale</w:t>
            </w:r>
          </w:p>
        </w:tc>
        <w:tc>
          <w:tcPr>
            <w:tcW w:w="1247" w:type="dxa"/>
            <w:shd w:val="clear" w:color="auto" w:fill="D9E2EB"/>
            <w:vAlign w:val="center"/>
          </w:tcPr>
          <w:p w:rsidR="00D365FA" w:rsidRPr="00412A1B" w:rsidRDefault="00D365FA" w:rsidP="001E3214">
            <w:pPr>
              <w:pStyle w:val="TableHeadingText"/>
              <w:spacing w:before="20" w:after="20"/>
              <w:jc w:val="center"/>
              <w:rPr>
                <w:noProof/>
                <w:lang w:eastAsia="en-AU"/>
              </w:rPr>
            </w:pPr>
            <w:r>
              <w:rPr>
                <w:noProof/>
                <w:lang w:eastAsia="en-AU"/>
              </w:rPr>
              <w:t>Central</w:t>
            </w:r>
          </w:p>
        </w:tc>
        <w:tc>
          <w:tcPr>
            <w:tcW w:w="1248" w:type="dxa"/>
            <w:shd w:val="clear" w:color="auto" w:fill="D9E2EB"/>
            <w:vAlign w:val="center"/>
          </w:tcPr>
          <w:p w:rsidR="00D365FA" w:rsidRPr="00412A1B" w:rsidRDefault="00434799" w:rsidP="001E3214">
            <w:pPr>
              <w:pStyle w:val="TableHeadingText"/>
              <w:spacing w:before="20" w:after="20"/>
              <w:jc w:val="center"/>
              <w:rPr>
                <w:noProof/>
                <w:lang w:eastAsia="en-AU"/>
              </w:rPr>
            </w:pPr>
            <w:r>
              <w:rPr>
                <w:noProof/>
                <w:lang w:eastAsia="en-AU"/>
              </w:rPr>
              <w:t>Northern</w:t>
            </w:r>
          </w:p>
        </w:tc>
        <w:tc>
          <w:tcPr>
            <w:tcW w:w="1361" w:type="dxa"/>
            <w:shd w:val="clear" w:color="auto" w:fill="D9E2EB"/>
            <w:vAlign w:val="center"/>
          </w:tcPr>
          <w:p w:rsidR="00D365FA" w:rsidRPr="00412A1B" w:rsidRDefault="00D365FA" w:rsidP="001E3214">
            <w:pPr>
              <w:pStyle w:val="TableHeadingText"/>
              <w:spacing w:before="20" w:after="20"/>
              <w:jc w:val="center"/>
              <w:rPr>
                <w:noProof/>
                <w:lang w:eastAsia="en-AU"/>
              </w:rPr>
            </w:pPr>
            <w:r>
              <w:rPr>
                <w:noProof/>
                <w:lang w:eastAsia="en-AU"/>
              </w:rPr>
              <w:t>Murray Valley</w:t>
            </w:r>
          </w:p>
        </w:tc>
        <w:tc>
          <w:tcPr>
            <w:tcW w:w="1134" w:type="dxa"/>
            <w:shd w:val="clear" w:color="auto" w:fill="D9E2EB"/>
            <w:vAlign w:val="center"/>
          </w:tcPr>
          <w:p w:rsidR="00D365FA" w:rsidRPr="00412A1B" w:rsidRDefault="00D365FA" w:rsidP="001E3214">
            <w:pPr>
              <w:pStyle w:val="TableHeadingText"/>
              <w:spacing w:before="20" w:after="20"/>
              <w:jc w:val="center"/>
              <w:rPr>
                <w:noProof/>
                <w:lang w:eastAsia="en-AU"/>
              </w:rPr>
            </w:pPr>
            <w:r w:rsidRPr="006B5723">
              <w:rPr>
                <w:noProof/>
                <w:lang w:eastAsia="en-AU"/>
              </w:rPr>
              <w:t>Albury</w:t>
            </w:r>
          </w:p>
        </w:tc>
      </w:tr>
      <w:tr w:rsidR="00D365FA" w:rsidRPr="00917236" w:rsidTr="001E3214">
        <w:tc>
          <w:tcPr>
            <w:tcW w:w="2263" w:type="dxa"/>
            <w:vAlign w:val="center"/>
          </w:tcPr>
          <w:p w:rsidR="00D365FA" w:rsidRPr="00917236" w:rsidRDefault="00D365FA" w:rsidP="001E3214">
            <w:pPr>
              <w:pStyle w:val="TableText"/>
              <w:spacing w:before="20" w:after="20"/>
              <w:jc w:val="left"/>
              <w:rPr>
                <w:b/>
                <w:noProof/>
                <w:lang w:eastAsia="en-AU"/>
              </w:rPr>
            </w:pPr>
            <w:r w:rsidRPr="00917236">
              <w:rPr>
                <w:b/>
                <w:noProof/>
                <w:lang w:eastAsia="en-AU"/>
              </w:rPr>
              <w:t xml:space="preserve">Total </w:t>
            </w:r>
            <w:r>
              <w:rPr>
                <w:b/>
                <w:noProof/>
                <w:lang w:eastAsia="en-AU"/>
              </w:rPr>
              <w:t>km</w:t>
            </w:r>
          </w:p>
        </w:tc>
        <w:tc>
          <w:tcPr>
            <w:tcW w:w="1247" w:type="dxa"/>
            <w:vAlign w:val="center"/>
          </w:tcPr>
          <w:p w:rsidR="00D365FA" w:rsidRPr="00917236" w:rsidRDefault="00D365FA" w:rsidP="001E3214">
            <w:pPr>
              <w:pStyle w:val="TableText"/>
              <w:spacing w:before="20" w:after="20"/>
              <w:jc w:val="center"/>
              <w:rPr>
                <w:b/>
                <w:noProof/>
                <w:lang w:eastAsia="en-AU"/>
              </w:rPr>
            </w:pPr>
            <w:r>
              <w:rPr>
                <w:b/>
                <w:noProof/>
                <w:lang w:eastAsia="en-AU"/>
              </w:rPr>
              <w:t>156</w:t>
            </w:r>
          </w:p>
        </w:tc>
        <w:tc>
          <w:tcPr>
            <w:tcW w:w="1247" w:type="dxa"/>
            <w:vAlign w:val="center"/>
          </w:tcPr>
          <w:p w:rsidR="00D365FA" w:rsidRPr="00917236" w:rsidRDefault="00D365FA" w:rsidP="001E3214">
            <w:pPr>
              <w:pStyle w:val="TableText"/>
              <w:spacing w:before="20" w:after="20"/>
              <w:jc w:val="center"/>
              <w:rPr>
                <w:b/>
                <w:noProof/>
                <w:lang w:eastAsia="en-AU"/>
              </w:rPr>
            </w:pPr>
            <w:r>
              <w:rPr>
                <w:b/>
                <w:noProof/>
                <w:lang w:eastAsia="en-AU"/>
              </w:rPr>
              <w:t>8,252</w:t>
            </w:r>
          </w:p>
        </w:tc>
        <w:tc>
          <w:tcPr>
            <w:tcW w:w="1248" w:type="dxa"/>
            <w:vAlign w:val="center"/>
          </w:tcPr>
          <w:p w:rsidR="00D365FA" w:rsidRPr="00917236" w:rsidRDefault="005D245C" w:rsidP="001E3214">
            <w:pPr>
              <w:pStyle w:val="TableText"/>
              <w:spacing w:before="20" w:after="20"/>
              <w:jc w:val="center"/>
              <w:rPr>
                <w:b/>
                <w:noProof/>
                <w:lang w:eastAsia="en-AU"/>
              </w:rPr>
            </w:pPr>
            <w:r>
              <w:rPr>
                <w:b/>
                <w:noProof/>
                <w:lang w:eastAsia="en-AU"/>
              </w:rPr>
              <w:t>1,630</w:t>
            </w:r>
          </w:p>
        </w:tc>
        <w:tc>
          <w:tcPr>
            <w:tcW w:w="1361" w:type="dxa"/>
            <w:vAlign w:val="center"/>
          </w:tcPr>
          <w:p w:rsidR="00D365FA" w:rsidRPr="00917236" w:rsidRDefault="005D245C" w:rsidP="001E3214">
            <w:pPr>
              <w:pStyle w:val="TableText"/>
              <w:spacing w:before="20" w:after="20"/>
              <w:jc w:val="center"/>
              <w:rPr>
                <w:b/>
                <w:noProof/>
                <w:lang w:eastAsia="en-AU"/>
              </w:rPr>
            </w:pPr>
            <w:r>
              <w:rPr>
                <w:b/>
                <w:noProof/>
                <w:lang w:eastAsia="en-AU"/>
              </w:rPr>
              <w:t>199</w:t>
            </w:r>
          </w:p>
        </w:tc>
        <w:tc>
          <w:tcPr>
            <w:tcW w:w="1134" w:type="dxa"/>
            <w:vAlign w:val="center"/>
          </w:tcPr>
          <w:p w:rsidR="00D365FA" w:rsidRPr="00917236" w:rsidRDefault="005D245C" w:rsidP="001E3214">
            <w:pPr>
              <w:pStyle w:val="TableText"/>
              <w:spacing w:before="20" w:after="20"/>
              <w:jc w:val="center"/>
              <w:rPr>
                <w:b/>
                <w:noProof/>
                <w:lang w:eastAsia="en-AU"/>
              </w:rPr>
            </w:pPr>
            <w:r>
              <w:rPr>
                <w:b/>
                <w:noProof/>
                <w:lang w:eastAsia="en-AU"/>
              </w:rPr>
              <w:t>396</w:t>
            </w:r>
          </w:p>
        </w:tc>
      </w:tr>
      <w:tr w:rsidR="00D365FA" w:rsidRPr="006B5723" w:rsidTr="001E3214">
        <w:tc>
          <w:tcPr>
            <w:tcW w:w="2263" w:type="dxa"/>
            <w:vAlign w:val="center"/>
          </w:tcPr>
          <w:p w:rsidR="00D365FA" w:rsidRPr="006B5723" w:rsidRDefault="00D365FA" w:rsidP="001E3214">
            <w:pPr>
              <w:pStyle w:val="TableText"/>
              <w:spacing w:before="20" w:after="20"/>
              <w:ind w:firstLine="171"/>
              <w:jc w:val="left"/>
              <w:rPr>
                <w:noProof/>
                <w:lang w:eastAsia="en-AU"/>
              </w:rPr>
            </w:pPr>
            <w:r w:rsidRPr="00D365FA">
              <w:rPr>
                <w:noProof/>
                <w:lang w:eastAsia="en-AU"/>
              </w:rPr>
              <w:t>Low Pressure &lt;7kPa</w:t>
            </w:r>
          </w:p>
        </w:tc>
        <w:tc>
          <w:tcPr>
            <w:tcW w:w="1247"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c>
          <w:tcPr>
            <w:tcW w:w="1247" w:type="dxa"/>
            <w:vAlign w:val="center"/>
          </w:tcPr>
          <w:p w:rsidR="00D365FA" w:rsidRPr="00917236" w:rsidRDefault="00D365FA" w:rsidP="001E3214">
            <w:pPr>
              <w:pStyle w:val="TableText"/>
              <w:spacing w:before="20" w:after="20"/>
              <w:jc w:val="center"/>
              <w:rPr>
                <w:noProof/>
                <w:lang w:eastAsia="en-AU"/>
              </w:rPr>
            </w:pPr>
            <w:r>
              <w:rPr>
                <w:noProof/>
                <w:lang w:eastAsia="en-AU"/>
              </w:rPr>
              <w:t>574</w:t>
            </w:r>
          </w:p>
        </w:tc>
        <w:tc>
          <w:tcPr>
            <w:tcW w:w="1248" w:type="dxa"/>
            <w:vAlign w:val="center"/>
          </w:tcPr>
          <w:p w:rsidR="00D365FA" w:rsidRPr="00917236" w:rsidRDefault="00D95F22" w:rsidP="00D95F22">
            <w:pPr>
              <w:pStyle w:val="TableText"/>
              <w:spacing w:before="20" w:after="20"/>
              <w:jc w:val="center"/>
              <w:rPr>
                <w:noProof/>
                <w:lang w:eastAsia="en-AU"/>
              </w:rPr>
            </w:pPr>
            <w:r>
              <w:rPr>
                <w:noProof/>
                <w:lang w:eastAsia="en-AU"/>
              </w:rPr>
              <w:t>11</w:t>
            </w:r>
          </w:p>
        </w:tc>
        <w:tc>
          <w:tcPr>
            <w:tcW w:w="1361"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c>
          <w:tcPr>
            <w:tcW w:w="1134"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r>
      <w:tr w:rsidR="00D365FA" w:rsidRPr="006B5723" w:rsidTr="001E3214">
        <w:tc>
          <w:tcPr>
            <w:tcW w:w="2263" w:type="dxa"/>
            <w:vAlign w:val="center"/>
          </w:tcPr>
          <w:p w:rsidR="00D365FA" w:rsidRPr="006B5723" w:rsidRDefault="00D365FA" w:rsidP="001E3214">
            <w:pPr>
              <w:pStyle w:val="TableText"/>
              <w:spacing w:before="20" w:after="20"/>
              <w:ind w:firstLine="171"/>
              <w:jc w:val="left"/>
              <w:rPr>
                <w:noProof/>
                <w:lang w:eastAsia="en-AU"/>
              </w:rPr>
            </w:pPr>
            <w:r w:rsidRPr="00D365FA">
              <w:rPr>
                <w:noProof/>
                <w:lang w:eastAsia="en-AU"/>
              </w:rPr>
              <w:t>Medium Pressure 7-210kPa</w:t>
            </w:r>
          </w:p>
        </w:tc>
        <w:tc>
          <w:tcPr>
            <w:tcW w:w="1247"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c>
          <w:tcPr>
            <w:tcW w:w="1247" w:type="dxa"/>
            <w:vAlign w:val="center"/>
          </w:tcPr>
          <w:p w:rsidR="00D365FA" w:rsidRPr="00917236" w:rsidRDefault="00D95F22" w:rsidP="001E3214">
            <w:pPr>
              <w:pStyle w:val="TableText"/>
              <w:spacing w:before="20" w:after="20"/>
              <w:jc w:val="center"/>
              <w:rPr>
                <w:noProof/>
                <w:lang w:eastAsia="en-AU"/>
              </w:rPr>
            </w:pPr>
            <w:r>
              <w:rPr>
                <w:noProof/>
                <w:lang w:eastAsia="en-AU"/>
              </w:rPr>
              <w:t>90</w:t>
            </w:r>
          </w:p>
        </w:tc>
        <w:tc>
          <w:tcPr>
            <w:tcW w:w="1248" w:type="dxa"/>
            <w:vAlign w:val="center"/>
          </w:tcPr>
          <w:p w:rsidR="00D365FA" w:rsidRPr="00917236" w:rsidRDefault="00D95F22" w:rsidP="001E3214">
            <w:pPr>
              <w:pStyle w:val="TableText"/>
              <w:spacing w:before="20" w:after="20"/>
              <w:jc w:val="center"/>
              <w:rPr>
                <w:noProof/>
                <w:lang w:eastAsia="en-AU"/>
              </w:rPr>
            </w:pPr>
            <w:r>
              <w:rPr>
                <w:noProof/>
                <w:lang w:eastAsia="en-AU"/>
              </w:rPr>
              <w:t>-</w:t>
            </w:r>
          </w:p>
        </w:tc>
        <w:tc>
          <w:tcPr>
            <w:tcW w:w="1361"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c>
          <w:tcPr>
            <w:tcW w:w="1134" w:type="dxa"/>
            <w:vAlign w:val="center"/>
          </w:tcPr>
          <w:p w:rsidR="00D365FA" w:rsidRPr="00917236" w:rsidRDefault="005D245C" w:rsidP="001E3214">
            <w:pPr>
              <w:pStyle w:val="TableText"/>
              <w:spacing w:before="20" w:after="20"/>
              <w:jc w:val="center"/>
              <w:rPr>
                <w:noProof/>
                <w:lang w:eastAsia="en-AU"/>
              </w:rPr>
            </w:pPr>
            <w:r>
              <w:rPr>
                <w:noProof/>
                <w:lang w:eastAsia="en-AU"/>
              </w:rPr>
              <w:t>-</w:t>
            </w:r>
          </w:p>
        </w:tc>
      </w:tr>
      <w:tr w:rsidR="00D365FA" w:rsidRPr="006B5723" w:rsidTr="001E3214">
        <w:tc>
          <w:tcPr>
            <w:tcW w:w="2263" w:type="dxa"/>
            <w:vAlign w:val="center"/>
          </w:tcPr>
          <w:p w:rsidR="00D365FA" w:rsidRPr="006B5723" w:rsidRDefault="00D365FA" w:rsidP="001E3214">
            <w:pPr>
              <w:pStyle w:val="TableText"/>
              <w:spacing w:before="20" w:after="20"/>
              <w:ind w:firstLine="171"/>
              <w:jc w:val="left"/>
              <w:rPr>
                <w:noProof/>
                <w:lang w:eastAsia="en-AU"/>
              </w:rPr>
            </w:pPr>
            <w:r w:rsidRPr="00D365FA">
              <w:rPr>
                <w:noProof/>
                <w:lang w:eastAsia="en-AU"/>
              </w:rPr>
              <w:t>High Pressure 210-1050kPa</w:t>
            </w:r>
          </w:p>
        </w:tc>
        <w:tc>
          <w:tcPr>
            <w:tcW w:w="1247" w:type="dxa"/>
            <w:vAlign w:val="center"/>
          </w:tcPr>
          <w:p w:rsidR="00D365FA" w:rsidRPr="00917236" w:rsidRDefault="00D365FA" w:rsidP="001E3214">
            <w:pPr>
              <w:pStyle w:val="TableText"/>
              <w:spacing w:before="20" w:after="20"/>
              <w:jc w:val="center"/>
              <w:rPr>
                <w:noProof/>
                <w:lang w:eastAsia="en-AU"/>
              </w:rPr>
            </w:pPr>
            <w:r>
              <w:rPr>
                <w:noProof/>
                <w:lang w:eastAsia="en-AU"/>
              </w:rPr>
              <w:t>156</w:t>
            </w:r>
          </w:p>
        </w:tc>
        <w:tc>
          <w:tcPr>
            <w:tcW w:w="1247" w:type="dxa"/>
            <w:vAlign w:val="center"/>
          </w:tcPr>
          <w:p w:rsidR="00D365FA" w:rsidRPr="00917236" w:rsidRDefault="00D95F22" w:rsidP="00D95F22">
            <w:pPr>
              <w:pStyle w:val="TableText"/>
              <w:spacing w:before="20" w:after="20"/>
              <w:jc w:val="center"/>
              <w:rPr>
                <w:noProof/>
                <w:lang w:eastAsia="en-AU"/>
              </w:rPr>
            </w:pPr>
            <w:r>
              <w:rPr>
                <w:noProof/>
                <w:lang w:eastAsia="en-AU"/>
              </w:rPr>
              <w:t>7,587</w:t>
            </w:r>
          </w:p>
        </w:tc>
        <w:tc>
          <w:tcPr>
            <w:tcW w:w="1248" w:type="dxa"/>
            <w:vAlign w:val="center"/>
          </w:tcPr>
          <w:p w:rsidR="00D365FA" w:rsidRPr="00917236" w:rsidRDefault="005D245C" w:rsidP="001E3214">
            <w:pPr>
              <w:pStyle w:val="TableText"/>
              <w:spacing w:before="20" w:after="20"/>
              <w:jc w:val="center"/>
              <w:rPr>
                <w:noProof/>
                <w:lang w:eastAsia="en-AU"/>
              </w:rPr>
            </w:pPr>
            <w:r>
              <w:rPr>
                <w:noProof/>
                <w:lang w:eastAsia="en-AU"/>
              </w:rPr>
              <w:t>1,618</w:t>
            </w:r>
          </w:p>
        </w:tc>
        <w:tc>
          <w:tcPr>
            <w:tcW w:w="1361" w:type="dxa"/>
            <w:vAlign w:val="center"/>
          </w:tcPr>
          <w:p w:rsidR="00D365FA" w:rsidRPr="00917236" w:rsidRDefault="005D245C" w:rsidP="001E3214">
            <w:pPr>
              <w:pStyle w:val="TableText"/>
              <w:spacing w:before="20" w:after="20"/>
              <w:jc w:val="center"/>
              <w:rPr>
                <w:noProof/>
                <w:lang w:eastAsia="en-AU"/>
              </w:rPr>
            </w:pPr>
            <w:r>
              <w:rPr>
                <w:noProof/>
                <w:lang w:eastAsia="en-AU"/>
              </w:rPr>
              <w:t>199</w:t>
            </w:r>
          </w:p>
        </w:tc>
        <w:tc>
          <w:tcPr>
            <w:tcW w:w="1134" w:type="dxa"/>
            <w:vAlign w:val="center"/>
          </w:tcPr>
          <w:p w:rsidR="00D365FA" w:rsidRPr="00917236" w:rsidRDefault="005D245C" w:rsidP="001E3214">
            <w:pPr>
              <w:pStyle w:val="TableText"/>
              <w:spacing w:before="20" w:after="20"/>
              <w:jc w:val="center"/>
              <w:rPr>
                <w:noProof/>
                <w:lang w:eastAsia="en-AU"/>
              </w:rPr>
            </w:pPr>
            <w:r>
              <w:rPr>
                <w:noProof/>
                <w:lang w:eastAsia="en-AU"/>
              </w:rPr>
              <w:t>396</w:t>
            </w:r>
          </w:p>
        </w:tc>
      </w:tr>
    </w:tbl>
    <w:p w:rsidR="007B5E04" w:rsidRDefault="007B5E04" w:rsidP="007B5E04">
      <w:pPr>
        <w:pStyle w:val="NoSpacing"/>
        <w:rPr>
          <w:rFonts w:eastAsiaTheme="minorEastAsia"/>
          <w:lang w:eastAsia="ja-JP"/>
        </w:rPr>
      </w:pPr>
    </w:p>
    <w:p w:rsidR="00AB1E0E" w:rsidRPr="00E43A9E" w:rsidRDefault="00AB1E0E"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Table </w:t>
      </w:r>
      <w:r w:rsidR="00D365FA">
        <w:rPr>
          <w:rFonts w:ascii="Arial Narrow" w:eastAsiaTheme="minorEastAsia" w:hAnsi="Arial Narrow" w:cs="ApexNew-Book"/>
          <w:color w:val="1D1D1C"/>
          <w:u w:color="000000"/>
          <w:lang w:eastAsia="ja-JP"/>
        </w:rPr>
        <w:t>3.3</w:t>
      </w:r>
      <w:r w:rsidRPr="00E43A9E">
        <w:rPr>
          <w:rFonts w:ascii="Arial Narrow" w:eastAsiaTheme="minorEastAsia" w:hAnsi="Arial Narrow" w:cs="ApexNew-Book"/>
          <w:color w:val="1D1D1C"/>
          <w:u w:color="000000"/>
          <w:lang w:eastAsia="ja-JP"/>
        </w:rPr>
        <w:t xml:space="preserve"> summarises the </w:t>
      </w:r>
      <w:r w:rsidR="00957F18" w:rsidRPr="00E43A9E">
        <w:rPr>
          <w:rFonts w:ascii="Arial Narrow" w:eastAsiaTheme="minorEastAsia" w:hAnsi="Arial Narrow" w:cs="ApexNew-Book"/>
          <w:color w:val="1D1D1C"/>
          <w:u w:color="000000"/>
          <w:lang w:eastAsia="ja-JP"/>
        </w:rPr>
        <w:t>r</w:t>
      </w:r>
      <w:r w:rsidR="00DE2AE5" w:rsidRPr="00E43A9E">
        <w:rPr>
          <w:rFonts w:ascii="Arial Narrow" w:eastAsiaTheme="minorEastAsia" w:hAnsi="Arial Narrow" w:cs="ApexNew-Book"/>
          <w:color w:val="1D1D1C"/>
          <w:u w:color="000000"/>
          <w:lang w:eastAsia="ja-JP"/>
        </w:rPr>
        <w:t xml:space="preserve">eference </w:t>
      </w:r>
      <w:r w:rsidR="00957F18" w:rsidRPr="00E43A9E">
        <w:rPr>
          <w:rFonts w:ascii="Arial Narrow" w:eastAsiaTheme="minorEastAsia" w:hAnsi="Arial Narrow" w:cs="ApexNew-Book"/>
          <w:color w:val="1D1D1C"/>
          <w:u w:color="000000"/>
          <w:lang w:eastAsia="ja-JP"/>
        </w:rPr>
        <w:t>t</w:t>
      </w:r>
      <w:r w:rsidR="00DE2AE5" w:rsidRPr="00E43A9E">
        <w:rPr>
          <w:rFonts w:ascii="Arial Narrow" w:eastAsiaTheme="minorEastAsia" w:hAnsi="Arial Narrow" w:cs="ApexNew-Book"/>
          <w:color w:val="1D1D1C"/>
          <w:u w:color="000000"/>
          <w:lang w:eastAsia="ja-JP"/>
        </w:rPr>
        <w:t xml:space="preserve">ariffs under the </w:t>
      </w:r>
      <w:r w:rsidR="001F0EA5" w:rsidRPr="00E43A9E">
        <w:rPr>
          <w:rFonts w:ascii="Arial Narrow" w:eastAsiaTheme="minorEastAsia" w:hAnsi="Arial Narrow" w:cs="ApexNew-Book"/>
          <w:color w:val="1D1D1C"/>
          <w:u w:color="000000"/>
          <w:lang w:eastAsia="ja-JP"/>
        </w:rPr>
        <w:t>a</w:t>
      </w:r>
      <w:r w:rsidR="00DE2AE5" w:rsidRPr="00E43A9E">
        <w:rPr>
          <w:rFonts w:ascii="Arial Narrow" w:eastAsiaTheme="minorEastAsia" w:hAnsi="Arial Narrow" w:cs="ApexNew-Book"/>
          <w:color w:val="1D1D1C"/>
          <w:u w:color="000000"/>
          <w:lang w:eastAsia="ja-JP"/>
        </w:rPr>
        <w:t xml:space="preserve">ccess </w:t>
      </w:r>
      <w:r w:rsidR="001F0EA5" w:rsidRPr="00E43A9E">
        <w:rPr>
          <w:rFonts w:ascii="Arial Narrow" w:eastAsiaTheme="minorEastAsia" w:hAnsi="Arial Narrow" w:cs="ApexNew-Book"/>
          <w:color w:val="1D1D1C"/>
          <w:u w:color="000000"/>
          <w:lang w:eastAsia="ja-JP"/>
        </w:rPr>
        <w:t>a</w:t>
      </w:r>
      <w:r w:rsidR="00DE2AE5" w:rsidRPr="00E43A9E">
        <w:rPr>
          <w:rFonts w:ascii="Arial Narrow" w:eastAsiaTheme="minorEastAsia" w:hAnsi="Arial Narrow" w:cs="ApexNew-Book"/>
          <w:color w:val="1D1D1C"/>
          <w:u w:color="000000"/>
          <w:lang w:eastAsia="ja-JP"/>
        </w:rPr>
        <w:t xml:space="preserve">rrangements </w:t>
      </w:r>
      <w:r w:rsidRPr="00E43A9E">
        <w:rPr>
          <w:rFonts w:ascii="Arial Narrow" w:eastAsiaTheme="minorEastAsia" w:hAnsi="Arial Narrow" w:cs="ApexNew-Book"/>
          <w:color w:val="1D1D1C"/>
          <w:u w:color="000000"/>
          <w:lang w:eastAsia="ja-JP"/>
        </w:rPr>
        <w:t xml:space="preserve">by tariff class </w:t>
      </w:r>
      <w:r w:rsidR="00DE2AE5" w:rsidRPr="00E43A9E">
        <w:rPr>
          <w:rFonts w:ascii="Arial Narrow" w:eastAsiaTheme="minorEastAsia" w:hAnsi="Arial Narrow" w:cs="ApexNew-Book"/>
          <w:color w:val="1D1D1C"/>
          <w:u w:color="000000"/>
          <w:lang w:eastAsia="ja-JP"/>
        </w:rPr>
        <w:t>for</w:t>
      </w:r>
      <w:r w:rsidRPr="00E43A9E">
        <w:rPr>
          <w:rFonts w:ascii="Arial Narrow" w:eastAsiaTheme="minorEastAsia" w:hAnsi="Arial Narrow" w:cs="ApexNew-Book"/>
          <w:color w:val="1D1D1C"/>
          <w:u w:color="000000"/>
          <w:lang w:eastAsia="ja-JP"/>
        </w:rPr>
        <w:t xml:space="preserve"> the Victoria</w:t>
      </w:r>
      <w:r w:rsidR="008746F5"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and Albury networks.</w:t>
      </w:r>
      <w:r w:rsidR="008746F5" w:rsidRPr="00E43A9E">
        <w:rPr>
          <w:rFonts w:ascii="Arial Narrow" w:eastAsiaTheme="minorEastAsia" w:hAnsi="Arial Narrow" w:cs="ApexNew-Book"/>
          <w:color w:val="1D1D1C"/>
          <w:u w:color="000000"/>
          <w:lang w:eastAsia="ja-JP"/>
        </w:rPr>
        <w:t xml:space="preserve"> Each of the pipeline services provided in Victoria and Albury are the same, and are defines as follows: </w:t>
      </w:r>
    </w:p>
    <w:p w:rsidR="00AB1E0E" w:rsidRPr="006B5723" w:rsidRDefault="008C4785" w:rsidP="007B5E04">
      <w:pPr>
        <w:pStyle w:val="Tabletitle"/>
        <w:spacing w:line="276" w:lineRule="auto"/>
      </w:pPr>
      <w:r>
        <w:t>Table 3.</w:t>
      </w:r>
      <w:r w:rsidR="005D245C">
        <w:t>3</w:t>
      </w:r>
      <w:r w:rsidR="00AB1E0E" w:rsidRPr="006B5723">
        <w:t xml:space="preserve">: </w:t>
      </w:r>
      <w:r w:rsidR="002C4808" w:rsidRPr="00412A1B">
        <w:rPr>
          <w:b w:val="0"/>
          <w:lang w:eastAsia="ja-JP"/>
        </w:rPr>
        <w:t xml:space="preserve">REFERENCE </w:t>
      </w:r>
      <w:r w:rsidR="00AB1E0E" w:rsidRPr="00412A1B">
        <w:rPr>
          <w:b w:val="0"/>
          <w:lang w:eastAsia="ja-JP"/>
        </w:rPr>
        <w:t xml:space="preserve">services of the </w:t>
      </w:r>
      <w:r w:rsidR="00DE2AE5" w:rsidRPr="00412A1B">
        <w:rPr>
          <w:b w:val="0"/>
          <w:lang w:eastAsia="ja-JP"/>
        </w:rPr>
        <w:t xml:space="preserve">victoriA </w:t>
      </w:r>
      <w:r w:rsidR="00AB1E0E" w:rsidRPr="00412A1B">
        <w:rPr>
          <w:b w:val="0"/>
          <w:lang w:eastAsia="ja-JP"/>
        </w:rPr>
        <w:t>and albury networks 2014</w:t>
      </w:r>
    </w:p>
    <w:tbl>
      <w:tblPr>
        <w:tblStyle w:val="TableGrid"/>
        <w:tblW w:w="8500" w:type="dxa"/>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CellMar>
          <w:right w:w="0" w:type="dxa"/>
        </w:tblCellMar>
        <w:tblLook w:val="04A0" w:firstRow="1" w:lastRow="0" w:firstColumn="1" w:lastColumn="0" w:noHBand="0" w:noVBand="1"/>
      </w:tblPr>
      <w:tblGrid>
        <w:gridCol w:w="2263"/>
        <w:gridCol w:w="2268"/>
        <w:gridCol w:w="3969"/>
      </w:tblGrid>
      <w:tr w:rsidR="001E3214" w:rsidRPr="006B5723" w:rsidTr="007B5E04">
        <w:tc>
          <w:tcPr>
            <w:tcW w:w="2263" w:type="dxa"/>
            <w:shd w:val="clear" w:color="auto" w:fill="D9E2EB"/>
          </w:tcPr>
          <w:p w:rsidR="002C4808" w:rsidRPr="006B5723" w:rsidRDefault="002C4808" w:rsidP="007B5E04">
            <w:pPr>
              <w:pStyle w:val="TableHeadingText"/>
              <w:spacing w:before="20" w:after="20"/>
              <w:jc w:val="center"/>
              <w:rPr>
                <w:noProof/>
                <w:lang w:eastAsia="en-AU"/>
              </w:rPr>
            </w:pPr>
            <w:r w:rsidRPr="006B5723">
              <w:rPr>
                <w:noProof/>
                <w:lang w:eastAsia="en-AU"/>
              </w:rPr>
              <w:t>Victoria</w:t>
            </w:r>
          </w:p>
        </w:tc>
        <w:tc>
          <w:tcPr>
            <w:tcW w:w="2268" w:type="dxa"/>
            <w:shd w:val="clear" w:color="auto" w:fill="D9E2EB"/>
          </w:tcPr>
          <w:p w:rsidR="002C4808" w:rsidRPr="006B5723" w:rsidRDefault="002C4808" w:rsidP="007B5E04">
            <w:pPr>
              <w:pStyle w:val="TableHeadingText"/>
              <w:spacing w:before="20" w:after="20"/>
              <w:jc w:val="center"/>
              <w:rPr>
                <w:noProof/>
                <w:lang w:eastAsia="en-AU"/>
              </w:rPr>
            </w:pPr>
            <w:r w:rsidRPr="006B5723">
              <w:rPr>
                <w:noProof/>
                <w:lang w:eastAsia="en-AU"/>
              </w:rPr>
              <w:t>Albury</w:t>
            </w:r>
          </w:p>
        </w:tc>
        <w:tc>
          <w:tcPr>
            <w:tcW w:w="3969" w:type="dxa"/>
            <w:shd w:val="clear" w:color="auto" w:fill="D9E2EB"/>
          </w:tcPr>
          <w:p w:rsidR="002C4808" w:rsidRPr="006B5723" w:rsidRDefault="00095EFA" w:rsidP="007B5E04">
            <w:pPr>
              <w:pStyle w:val="TableHeadingText"/>
              <w:spacing w:before="20" w:after="20"/>
              <w:jc w:val="center"/>
              <w:rPr>
                <w:noProof/>
                <w:lang w:eastAsia="en-AU"/>
              </w:rPr>
            </w:pPr>
            <w:r>
              <w:rPr>
                <w:noProof/>
                <w:lang w:eastAsia="en-AU"/>
              </w:rPr>
              <w:t>Description</w:t>
            </w:r>
          </w:p>
        </w:tc>
      </w:tr>
      <w:tr w:rsidR="007B5E04" w:rsidRPr="006B5723" w:rsidTr="007B5E04">
        <w:tc>
          <w:tcPr>
            <w:tcW w:w="2263" w:type="dxa"/>
          </w:tcPr>
          <w:p w:rsidR="002C4808" w:rsidRPr="006B5723" w:rsidRDefault="002C4808" w:rsidP="007B5E04">
            <w:pPr>
              <w:pStyle w:val="TableText"/>
              <w:spacing w:before="20" w:after="20"/>
              <w:jc w:val="left"/>
              <w:rPr>
                <w:noProof/>
                <w:highlight w:val="yellow"/>
                <w:lang w:eastAsia="en-AU"/>
              </w:rPr>
            </w:pPr>
            <w:r w:rsidRPr="006B5723">
              <w:rPr>
                <w:noProof/>
                <w:lang w:eastAsia="en-AU"/>
              </w:rPr>
              <w:t>Tariff V- Volume Haulage Service</w:t>
            </w:r>
          </w:p>
        </w:tc>
        <w:tc>
          <w:tcPr>
            <w:tcW w:w="2268" w:type="dxa"/>
          </w:tcPr>
          <w:p w:rsidR="002C4808" w:rsidRPr="006B5723" w:rsidRDefault="002C4808" w:rsidP="007B5E04">
            <w:pPr>
              <w:pStyle w:val="TableText"/>
              <w:spacing w:before="20" w:after="20"/>
              <w:jc w:val="left"/>
              <w:rPr>
                <w:noProof/>
                <w:highlight w:val="yellow"/>
                <w:lang w:eastAsia="en-AU"/>
              </w:rPr>
            </w:pPr>
            <w:r w:rsidRPr="006B5723">
              <w:rPr>
                <w:noProof/>
                <w:lang w:eastAsia="en-AU"/>
              </w:rPr>
              <w:t>Tariff V- Volume Haulage Service</w:t>
            </w:r>
          </w:p>
        </w:tc>
        <w:tc>
          <w:tcPr>
            <w:tcW w:w="3969" w:type="dxa"/>
          </w:tcPr>
          <w:p w:rsidR="002C4808" w:rsidRPr="006B5723" w:rsidRDefault="002C4808" w:rsidP="007B5E04">
            <w:pPr>
              <w:pStyle w:val="TableText"/>
              <w:spacing w:before="20" w:after="20"/>
              <w:jc w:val="left"/>
              <w:rPr>
                <w:noProof/>
                <w:lang w:eastAsia="en-AU"/>
              </w:rPr>
            </w:pPr>
            <w:r>
              <w:rPr>
                <w:noProof/>
                <w:lang w:eastAsia="en-AU"/>
              </w:rPr>
              <w:t>Provision of gas delivery services for customers using less than 10TJ per annum</w:t>
            </w:r>
          </w:p>
        </w:tc>
      </w:tr>
      <w:tr w:rsidR="007B5E04" w:rsidRPr="006B5723" w:rsidTr="007B5E04">
        <w:tc>
          <w:tcPr>
            <w:tcW w:w="2263" w:type="dxa"/>
          </w:tcPr>
          <w:p w:rsidR="002C4808" w:rsidRPr="006B5723" w:rsidRDefault="002C4808" w:rsidP="007B5E04">
            <w:pPr>
              <w:pStyle w:val="TableText"/>
              <w:spacing w:before="20" w:after="20"/>
              <w:jc w:val="left"/>
              <w:rPr>
                <w:noProof/>
                <w:highlight w:val="yellow"/>
                <w:lang w:eastAsia="en-AU"/>
              </w:rPr>
            </w:pPr>
            <w:r w:rsidRPr="006B5723">
              <w:rPr>
                <w:noProof/>
                <w:lang w:eastAsia="en-AU"/>
              </w:rPr>
              <w:t>Tarrif D Demand Haulage Service</w:t>
            </w:r>
          </w:p>
        </w:tc>
        <w:tc>
          <w:tcPr>
            <w:tcW w:w="2268" w:type="dxa"/>
          </w:tcPr>
          <w:p w:rsidR="002C4808" w:rsidRPr="006B5723" w:rsidRDefault="002C4808" w:rsidP="007B5E04">
            <w:pPr>
              <w:pStyle w:val="TableText"/>
              <w:spacing w:before="20" w:after="20"/>
              <w:jc w:val="left"/>
              <w:rPr>
                <w:noProof/>
                <w:highlight w:val="yellow"/>
                <w:lang w:eastAsia="en-AU"/>
              </w:rPr>
            </w:pPr>
            <w:r w:rsidRPr="006B5723">
              <w:rPr>
                <w:noProof/>
                <w:lang w:eastAsia="en-AU"/>
              </w:rPr>
              <w:t>Tarrif D Demand Haulage Service</w:t>
            </w:r>
          </w:p>
        </w:tc>
        <w:tc>
          <w:tcPr>
            <w:tcW w:w="3969" w:type="dxa"/>
          </w:tcPr>
          <w:p w:rsidR="002C4808" w:rsidRPr="006B5723" w:rsidRDefault="002C4808" w:rsidP="007B5E04">
            <w:pPr>
              <w:pStyle w:val="TableText"/>
              <w:spacing w:before="20" w:after="20"/>
              <w:jc w:val="left"/>
              <w:rPr>
                <w:noProof/>
                <w:lang w:eastAsia="en-AU"/>
              </w:rPr>
            </w:pPr>
            <w:r>
              <w:rPr>
                <w:noProof/>
                <w:lang w:eastAsia="en-AU"/>
              </w:rPr>
              <w:t>Provision of gas delivery services for customers using greater than 10TJ per annum</w:t>
            </w:r>
          </w:p>
        </w:tc>
      </w:tr>
      <w:tr w:rsidR="007B5E04" w:rsidRPr="006B5723" w:rsidTr="007B5E04">
        <w:tc>
          <w:tcPr>
            <w:tcW w:w="2263" w:type="dxa"/>
          </w:tcPr>
          <w:p w:rsidR="002C4808" w:rsidRPr="00957F18" w:rsidRDefault="002C4808" w:rsidP="007B5E04">
            <w:pPr>
              <w:pStyle w:val="TableText"/>
              <w:spacing w:before="20" w:after="20"/>
              <w:jc w:val="left"/>
              <w:rPr>
                <w:noProof/>
                <w:lang w:eastAsia="en-AU"/>
              </w:rPr>
            </w:pPr>
            <w:r w:rsidRPr="00957F18">
              <w:rPr>
                <w:noProof/>
                <w:lang w:eastAsia="en-AU"/>
              </w:rPr>
              <w:t>Meter and Gas Installation Test</w:t>
            </w:r>
          </w:p>
          <w:p w:rsidR="002C4808" w:rsidRDefault="002C4808" w:rsidP="007B5E04">
            <w:pPr>
              <w:pStyle w:val="TableText"/>
              <w:spacing w:before="20" w:after="20"/>
              <w:jc w:val="left"/>
              <w:rPr>
                <w:noProof/>
                <w:lang w:eastAsia="en-AU"/>
              </w:rPr>
            </w:pPr>
            <w:r w:rsidRPr="00957F18">
              <w:rPr>
                <w:noProof/>
                <w:lang w:eastAsia="en-AU"/>
              </w:rPr>
              <w:t>Disconnection</w:t>
            </w:r>
          </w:p>
          <w:p w:rsidR="002C4808" w:rsidRPr="00957F18" w:rsidRDefault="002C4808" w:rsidP="007B5E04">
            <w:pPr>
              <w:pStyle w:val="TableText"/>
              <w:spacing w:before="20" w:after="20"/>
              <w:jc w:val="left"/>
              <w:rPr>
                <w:noProof/>
                <w:lang w:eastAsia="en-AU"/>
              </w:rPr>
            </w:pPr>
            <w:r>
              <w:rPr>
                <w:noProof/>
                <w:lang w:eastAsia="en-AU"/>
              </w:rPr>
              <w:t>Reconnection</w:t>
            </w:r>
          </w:p>
          <w:p w:rsidR="002C4808" w:rsidRPr="00957F18" w:rsidRDefault="002C4808" w:rsidP="007B5E04">
            <w:pPr>
              <w:pStyle w:val="TableText"/>
              <w:spacing w:before="20" w:after="20"/>
              <w:jc w:val="left"/>
              <w:rPr>
                <w:noProof/>
                <w:lang w:eastAsia="en-AU"/>
              </w:rPr>
            </w:pPr>
            <w:r w:rsidRPr="00957F18">
              <w:rPr>
                <w:noProof/>
                <w:lang w:eastAsia="en-AU"/>
              </w:rPr>
              <w:lastRenderedPageBreak/>
              <w:t>Meter Removal</w:t>
            </w:r>
          </w:p>
          <w:p w:rsidR="002C4808" w:rsidRPr="00957F18" w:rsidRDefault="002C4808" w:rsidP="007B5E04">
            <w:pPr>
              <w:pStyle w:val="TableText"/>
              <w:spacing w:before="20" w:after="20"/>
              <w:jc w:val="left"/>
              <w:rPr>
                <w:noProof/>
                <w:lang w:eastAsia="en-AU"/>
              </w:rPr>
            </w:pPr>
            <w:r w:rsidRPr="00957F18">
              <w:rPr>
                <w:noProof/>
                <w:lang w:eastAsia="en-AU"/>
              </w:rPr>
              <w:t>Meter Reinstallation</w:t>
            </w:r>
          </w:p>
          <w:p w:rsidR="002C4808" w:rsidRPr="006B5723" w:rsidRDefault="002C4808" w:rsidP="007B5E04">
            <w:pPr>
              <w:pStyle w:val="TableText"/>
              <w:spacing w:before="20" w:after="20"/>
              <w:jc w:val="left"/>
              <w:rPr>
                <w:noProof/>
                <w:highlight w:val="yellow"/>
                <w:lang w:eastAsia="en-AU"/>
              </w:rPr>
            </w:pPr>
            <w:r w:rsidRPr="00957F18">
              <w:rPr>
                <w:noProof/>
                <w:lang w:eastAsia="en-AU"/>
              </w:rPr>
              <w:t>Special Meter Read</w:t>
            </w:r>
          </w:p>
        </w:tc>
        <w:tc>
          <w:tcPr>
            <w:tcW w:w="2268" w:type="dxa"/>
          </w:tcPr>
          <w:p w:rsidR="002C4808" w:rsidRPr="00770B14" w:rsidRDefault="002C4808" w:rsidP="007B5E04">
            <w:pPr>
              <w:pStyle w:val="TableText"/>
              <w:spacing w:before="20" w:after="20"/>
              <w:jc w:val="left"/>
              <w:rPr>
                <w:noProof/>
                <w:lang w:eastAsia="en-AU"/>
              </w:rPr>
            </w:pPr>
            <w:r w:rsidRPr="00770B14">
              <w:rPr>
                <w:noProof/>
                <w:lang w:eastAsia="en-AU"/>
              </w:rPr>
              <w:lastRenderedPageBreak/>
              <w:t>Meter and Gas Installation Test</w:t>
            </w:r>
          </w:p>
          <w:p w:rsidR="002C4808" w:rsidRDefault="002C4808" w:rsidP="007B5E04">
            <w:pPr>
              <w:pStyle w:val="TableText"/>
              <w:spacing w:before="20" w:after="20"/>
              <w:jc w:val="left"/>
              <w:rPr>
                <w:noProof/>
                <w:lang w:eastAsia="en-AU"/>
              </w:rPr>
            </w:pPr>
            <w:r w:rsidRPr="00770B14">
              <w:rPr>
                <w:noProof/>
                <w:lang w:eastAsia="en-AU"/>
              </w:rPr>
              <w:t>Disconnection</w:t>
            </w:r>
          </w:p>
          <w:p w:rsidR="002C4808" w:rsidRPr="00770B14" w:rsidRDefault="002C4808" w:rsidP="007B5E04">
            <w:pPr>
              <w:pStyle w:val="TableText"/>
              <w:spacing w:before="20" w:after="20"/>
              <w:jc w:val="left"/>
              <w:rPr>
                <w:noProof/>
                <w:lang w:eastAsia="en-AU"/>
              </w:rPr>
            </w:pPr>
            <w:r>
              <w:rPr>
                <w:noProof/>
                <w:lang w:eastAsia="en-AU"/>
              </w:rPr>
              <w:t>Reconnection</w:t>
            </w:r>
          </w:p>
          <w:p w:rsidR="002C4808" w:rsidRPr="00770B14" w:rsidRDefault="002C4808" w:rsidP="007B5E04">
            <w:pPr>
              <w:pStyle w:val="TableText"/>
              <w:spacing w:before="20" w:after="20"/>
              <w:jc w:val="left"/>
              <w:rPr>
                <w:noProof/>
                <w:lang w:eastAsia="en-AU"/>
              </w:rPr>
            </w:pPr>
            <w:r w:rsidRPr="00770B14">
              <w:rPr>
                <w:noProof/>
                <w:lang w:eastAsia="en-AU"/>
              </w:rPr>
              <w:lastRenderedPageBreak/>
              <w:t>Meter Removal</w:t>
            </w:r>
          </w:p>
          <w:p w:rsidR="002C4808" w:rsidRPr="00770B14" w:rsidRDefault="002C4808" w:rsidP="007B5E04">
            <w:pPr>
              <w:pStyle w:val="TableText"/>
              <w:spacing w:before="20" w:after="20"/>
              <w:jc w:val="left"/>
              <w:rPr>
                <w:noProof/>
                <w:lang w:eastAsia="en-AU"/>
              </w:rPr>
            </w:pPr>
            <w:r w:rsidRPr="00770B14">
              <w:rPr>
                <w:noProof/>
                <w:lang w:eastAsia="en-AU"/>
              </w:rPr>
              <w:t>Meter Reinstallation</w:t>
            </w:r>
          </w:p>
          <w:p w:rsidR="002C4808" w:rsidRPr="006B5723" w:rsidRDefault="002C4808" w:rsidP="007B5E04">
            <w:pPr>
              <w:pStyle w:val="TableText"/>
              <w:spacing w:before="20" w:after="20"/>
              <w:jc w:val="left"/>
              <w:rPr>
                <w:noProof/>
                <w:highlight w:val="yellow"/>
                <w:lang w:eastAsia="en-AU"/>
              </w:rPr>
            </w:pPr>
            <w:r w:rsidRPr="00770B14">
              <w:rPr>
                <w:noProof/>
                <w:lang w:eastAsia="en-AU"/>
              </w:rPr>
              <w:t>Special Meter Read</w:t>
            </w:r>
          </w:p>
        </w:tc>
        <w:tc>
          <w:tcPr>
            <w:tcW w:w="3969" w:type="dxa"/>
          </w:tcPr>
          <w:p w:rsidR="002C4808" w:rsidRPr="00770B14" w:rsidRDefault="002C4808" w:rsidP="007B5E04">
            <w:pPr>
              <w:pStyle w:val="TableText"/>
              <w:spacing w:before="20" w:after="20"/>
              <w:jc w:val="left"/>
              <w:rPr>
                <w:noProof/>
                <w:lang w:eastAsia="en-AU"/>
              </w:rPr>
            </w:pPr>
            <w:r>
              <w:rPr>
                <w:noProof/>
                <w:lang w:eastAsia="en-AU"/>
              </w:rPr>
              <w:lastRenderedPageBreak/>
              <w:t>On site testing to check measurement accuracy of meter</w:t>
            </w:r>
          </w:p>
          <w:p w:rsidR="002C4808" w:rsidRDefault="002C4808" w:rsidP="007B5E04">
            <w:pPr>
              <w:pStyle w:val="TableText"/>
              <w:spacing w:before="20" w:after="20"/>
              <w:jc w:val="left"/>
              <w:rPr>
                <w:noProof/>
                <w:lang w:eastAsia="en-AU"/>
              </w:rPr>
            </w:pPr>
            <w:r>
              <w:rPr>
                <w:noProof/>
                <w:lang w:eastAsia="en-AU"/>
              </w:rPr>
              <w:t>Disconn</w:t>
            </w:r>
            <w:r w:rsidR="00095EFA">
              <w:rPr>
                <w:noProof/>
                <w:lang w:eastAsia="en-AU"/>
              </w:rPr>
              <w:t>e</w:t>
            </w:r>
            <w:r>
              <w:rPr>
                <w:noProof/>
                <w:lang w:eastAsia="en-AU"/>
              </w:rPr>
              <w:t xml:space="preserve">ction by </w:t>
            </w:r>
            <w:r w:rsidR="00095EFA">
              <w:rPr>
                <w:noProof/>
                <w:lang w:eastAsia="en-AU"/>
              </w:rPr>
              <w:t>installation of l</w:t>
            </w:r>
            <w:r>
              <w:rPr>
                <w:noProof/>
                <w:lang w:eastAsia="en-AU"/>
              </w:rPr>
              <w:t>ocks or plugs</w:t>
            </w:r>
            <w:r w:rsidR="00095EFA">
              <w:rPr>
                <w:noProof/>
                <w:lang w:eastAsia="en-AU"/>
              </w:rPr>
              <w:t xml:space="preserve"> on a meter</w:t>
            </w:r>
          </w:p>
          <w:p w:rsidR="002C4808" w:rsidRPr="00770B14" w:rsidRDefault="002C4808" w:rsidP="007B5E04">
            <w:pPr>
              <w:pStyle w:val="TableText"/>
              <w:spacing w:before="20" w:after="20"/>
              <w:jc w:val="left"/>
              <w:rPr>
                <w:noProof/>
                <w:lang w:eastAsia="en-AU"/>
              </w:rPr>
            </w:pPr>
            <w:r>
              <w:rPr>
                <w:noProof/>
                <w:lang w:eastAsia="en-AU"/>
              </w:rPr>
              <w:t>Reconnection</w:t>
            </w:r>
            <w:r w:rsidR="00095EFA">
              <w:rPr>
                <w:noProof/>
                <w:lang w:eastAsia="en-AU"/>
              </w:rPr>
              <w:t xml:space="preserve"> by removal of locks or plugs on a meter</w:t>
            </w:r>
          </w:p>
          <w:p w:rsidR="002C4808" w:rsidRPr="00770B14" w:rsidRDefault="00095EFA" w:rsidP="007B5E04">
            <w:pPr>
              <w:pStyle w:val="TableText"/>
              <w:spacing w:before="20" w:after="20"/>
              <w:jc w:val="left"/>
              <w:rPr>
                <w:noProof/>
                <w:lang w:eastAsia="en-AU"/>
              </w:rPr>
            </w:pPr>
            <w:r>
              <w:rPr>
                <w:noProof/>
                <w:lang w:eastAsia="en-AU"/>
              </w:rPr>
              <w:lastRenderedPageBreak/>
              <w:t>Removal of a meter at a premises</w:t>
            </w:r>
          </w:p>
          <w:p w:rsidR="00095EFA" w:rsidRPr="00770B14" w:rsidRDefault="00095EFA" w:rsidP="007B5E04">
            <w:pPr>
              <w:pStyle w:val="TableText"/>
              <w:spacing w:before="20" w:after="20"/>
              <w:jc w:val="left"/>
              <w:rPr>
                <w:noProof/>
                <w:lang w:eastAsia="en-AU"/>
              </w:rPr>
            </w:pPr>
            <w:r>
              <w:rPr>
                <w:noProof/>
                <w:lang w:eastAsia="en-AU"/>
              </w:rPr>
              <w:t>Reinstallation of a meter at a premises</w:t>
            </w:r>
          </w:p>
          <w:p w:rsidR="002C4808" w:rsidRPr="00770B14" w:rsidRDefault="00095EFA" w:rsidP="007B5E04">
            <w:pPr>
              <w:pStyle w:val="TableText"/>
              <w:spacing w:before="20" w:after="20"/>
              <w:jc w:val="left"/>
              <w:rPr>
                <w:noProof/>
                <w:lang w:eastAsia="en-AU"/>
              </w:rPr>
            </w:pPr>
            <w:r>
              <w:rPr>
                <w:noProof/>
                <w:lang w:eastAsia="en-AU"/>
              </w:rPr>
              <w:t>Read of meter in addition to the scheduled meter reading</w:t>
            </w:r>
          </w:p>
        </w:tc>
      </w:tr>
    </w:tbl>
    <w:p w:rsidR="003972E1" w:rsidRPr="006B5723" w:rsidRDefault="00A96AFA" w:rsidP="009C346A">
      <w:pPr>
        <w:pStyle w:val="Heading1"/>
      </w:pPr>
      <w:bookmarkStart w:id="5" w:name="_Toc440613704"/>
      <w:r>
        <w:lastRenderedPageBreak/>
        <w:t>S</w:t>
      </w:r>
      <w:r w:rsidR="00454B8B">
        <w:t xml:space="preserve">takeholder </w:t>
      </w:r>
      <w:r w:rsidR="00F8305B">
        <w:t>C</w:t>
      </w:r>
      <w:r w:rsidR="00454B8B">
        <w:t>onsultation</w:t>
      </w:r>
      <w:r>
        <w:t xml:space="preserve"> and </w:t>
      </w:r>
      <w:r w:rsidR="00F8305B">
        <w:t>I</w:t>
      </w:r>
      <w:r>
        <w:t xml:space="preserve">mpact on </w:t>
      </w:r>
      <w:r w:rsidR="00F8305B">
        <w:t>C</w:t>
      </w:r>
      <w:r>
        <w:t>ustomers</w:t>
      </w:r>
      <w:bookmarkEnd w:id="5"/>
    </w:p>
    <w:p w:rsidR="00093BC2" w:rsidRPr="00F33EA7" w:rsidRDefault="00A96AFA" w:rsidP="00093BC2">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During November 2015 AGN </w:t>
      </w:r>
      <w:r w:rsidR="006C00F8" w:rsidRPr="00E43A9E">
        <w:rPr>
          <w:rFonts w:ascii="Arial Narrow" w:eastAsiaTheme="minorEastAsia" w:hAnsi="Arial Narrow" w:cs="ApexNew-Book"/>
          <w:color w:val="1D1D1C"/>
          <w:u w:color="000000"/>
          <w:lang w:eastAsia="ja-JP"/>
        </w:rPr>
        <w:t>engaged with stakeholders on our proposal to submit an application to the AER to consolidate the Victorian and Albury access arrangements</w:t>
      </w:r>
      <w:r w:rsidR="00F33EA7">
        <w:rPr>
          <w:rFonts w:ascii="Arial Narrow" w:eastAsiaTheme="minorEastAsia" w:hAnsi="Arial Narrow" w:cs="ApexNew-Book"/>
          <w:color w:val="1D1D1C"/>
          <w:u w:color="000000"/>
          <w:lang w:eastAsia="ja-JP"/>
        </w:rPr>
        <w:t xml:space="preserve"> (see </w:t>
      </w:r>
      <w:r w:rsidR="005E37A4">
        <w:rPr>
          <w:rFonts w:ascii="Arial Narrow" w:eastAsiaTheme="minorEastAsia" w:hAnsi="Arial Narrow" w:cs="ApexNew-Book"/>
          <w:color w:val="1D1D1C"/>
          <w:u w:color="000000"/>
          <w:lang w:eastAsia="ja-JP"/>
        </w:rPr>
        <w:t>Attachment 1 for a</w:t>
      </w:r>
      <w:r w:rsidR="00204252">
        <w:rPr>
          <w:rFonts w:ascii="Arial Narrow" w:eastAsiaTheme="minorEastAsia" w:hAnsi="Arial Narrow" w:cs="ApexNew-Book"/>
          <w:color w:val="1D1D1C"/>
          <w:u w:color="000000"/>
          <w:lang w:eastAsia="ja-JP"/>
        </w:rPr>
        <w:t xml:space="preserve"> detailed</w:t>
      </w:r>
      <w:r w:rsidR="005E37A4">
        <w:rPr>
          <w:rFonts w:ascii="Arial Narrow" w:eastAsiaTheme="minorEastAsia" w:hAnsi="Arial Narrow" w:cs="ApexNew-Book"/>
          <w:color w:val="1D1D1C"/>
          <w:u w:color="000000"/>
          <w:lang w:eastAsia="ja-JP"/>
        </w:rPr>
        <w:t xml:space="preserve"> log of stakeholder </w:t>
      </w:r>
      <w:r w:rsidR="00204252">
        <w:rPr>
          <w:rFonts w:ascii="Arial Narrow" w:eastAsiaTheme="minorEastAsia" w:hAnsi="Arial Narrow" w:cs="ApexNew-Book"/>
          <w:color w:val="1D1D1C"/>
          <w:u w:color="000000"/>
          <w:lang w:eastAsia="ja-JP"/>
        </w:rPr>
        <w:t xml:space="preserve">meetings and Attachment 2 for </w:t>
      </w:r>
      <w:r w:rsidR="00F33EA7">
        <w:rPr>
          <w:rFonts w:ascii="Arial Narrow" w:eastAsiaTheme="minorEastAsia" w:hAnsi="Arial Narrow" w:cs="ApexNew-Book"/>
          <w:color w:val="1D1D1C"/>
          <w:u w:color="000000"/>
          <w:lang w:eastAsia="ja-JP"/>
        </w:rPr>
        <w:t>the presentation provided during these engagements)</w:t>
      </w:r>
      <w:r w:rsidR="006C00F8" w:rsidRPr="00E43A9E">
        <w:rPr>
          <w:rFonts w:ascii="Arial Narrow" w:eastAsiaTheme="minorEastAsia" w:hAnsi="Arial Narrow" w:cs="ApexNew-Book"/>
          <w:color w:val="1D1D1C"/>
          <w:u w:color="000000"/>
          <w:lang w:eastAsia="ja-JP"/>
        </w:rPr>
        <w:t xml:space="preserve">. </w:t>
      </w:r>
      <w:r w:rsidR="00093BC2">
        <w:rPr>
          <w:rFonts w:ascii="Arial Narrow" w:eastAsiaTheme="minorEastAsia" w:hAnsi="Arial Narrow" w:cs="ApexNew-Book"/>
          <w:color w:val="1D1D1C"/>
          <w:u w:color="000000"/>
          <w:lang w:eastAsia="ja-JP"/>
        </w:rPr>
        <w:t xml:space="preserve">More specifically, AGN met with the </w:t>
      </w:r>
      <w:r w:rsidR="00093BC2" w:rsidRPr="00F33EA7">
        <w:rPr>
          <w:rFonts w:ascii="Arial Narrow" w:eastAsiaTheme="minorEastAsia" w:hAnsi="Arial Narrow" w:cs="ApexNew-Book"/>
          <w:color w:val="1D1D1C"/>
          <w:u w:color="000000"/>
          <w:lang w:eastAsia="ja-JP"/>
        </w:rPr>
        <w:t>following stakeholders</w:t>
      </w:r>
      <w:r w:rsidR="00093BC2">
        <w:rPr>
          <w:rFonts w:ascii="Arial Narrow" w:eastAsiaTheme="minorEastAsia" w:hAnsi="Arial Narrow" w:cs="ApexNew-Book"/>
          <w:color w:val="1D1D1C"/>
          <w:u w:color="000000"/>
          <w:lang w:eastAsia="ja-JP"/>
        </w:rPr>
        <w:t xml:space="preserve">: </w:t>
      </w:r>
    </w:p>
    <w:p w:rsidR="00093BC2" w:rsidRPr="00093BC2" w:rsidRDefault="00093BC2" w:rsidP="00F8305B">
      <w:pPr>
        <w:pStyle w:val="Bullet1"/>
      </w:pPr>
      <w:r w:rsidRPr="00093BC2">
        <w:t>N</w:t>
      </w:r>
      <w:r w:rsidR="001E3214">
        <w:t>ew South Wales</w:t>
      </w:r>
      <w:r w:rsidRPr="00093BC2">
        <w:t xml:space="preserve"> Energy Department;</w:t>
      </w:r>
    </w:p>
    <w:p w:rsidR="00093BC2" w:rsidRPr="00093BC2" w:rsidRDefault="00093BC2" w:rsidP="00F8305B">
      <w:pPr>
        <w:pStyle w:val="Bullet1"/>
      </w:pPr>
      <w:r w:rsidRPr="00093BC2">
        <w:t>Victorian Department of Economic Development</w:t>
      </w:r>
      <w:r>
        <w:t>;</w:t>
      </w:r>
    </w:p>
    <w:p w:rsidR="00093BC2" w:rsidRPr="00093BC2" w:rsidRDefault="00093BC2" w:rsidP="00F8305B">
      <w:pPr>
        <w:pStyle w:val="Bullet1"/>
      </w:pPr>
      <w:r w:rsidRPr="00093BC2">
        <w:t>Australian Energy Regulatory (AER)</w:t>
      </w:r>
      <w:r>
        <w:t>;</w:t>
      </w:r>
    </w:p>
    <w:p w:rsidR="00093BC2" w:rsidRPr="00093BC2" w:rsidRDefault="00093BC2" w:rsidP="00F8305B">
      <w:pPr>
        <w:pStyle w:val="Bullet1"/>
      </w:pPr>
      <w:r w:rsidRPr="00093BC2">
        <w:t>Independent Pricing and Regulatory Tribunal (IPART)</w:t>
      </w:r>
      <w:r>
        <w:t>;</w:t>
      </w:r>
    </w:p>
    <w:p w:rsidR="00093BC2" w:rsidRPr="00093BC2" w:rsidRDefault="00093BC2" w:rsidP="00F8305B">
      <w:pPr>
        <w:pStyle w:val="Bullet1"/>
      </w:pPr>
      <w:r w:rsidRPr="00093BC2">
        <w:t>AGN Retailer Reference Group</w:t>
      </w:r>
      <w:r>
        <w:t>;</w:t>
      </w:r>
    </w:p>
    <w:p w:rsidR="00093BC2" w:rsidRPr="00093BC2" w:rsidRDefault="00093BC2" w:rsidP="00F8305B">
      <w:pPr>
        <w:pStyle w:val="Bullet1"/>
      </w:pPr>
      <w:r w:rsidRPr="00093BC2">
        <w:t>Public Interest Advocacy Centre (PIAC)</w:t>
      </w:r>
      <w:r>
        <w:t>; and</w:t>
      </w:r>
    </w:p>
    <w:p w:rsidR="00093BC2" w:rsidRDefault="00093BC2" w:rsidP="00F8305B">
      <w:pPr>
        <w:pStyle w:val="Bullet1"/>
      </w:pPr>
      <w:r>
        <w:t xml:space="preserve">The AGN </w:t>
      </w:r>
      <w:r w:rsidRPr="00093BC2">
        <w:t>Victoria</w:t>
      </w:r>
      <w:r>
        <w:t>n</w:t>
      </w:r>
      <w:r w:rsidRPr="00093BC2">
        <w:t xml:space="preserve"> and Albury Reference </w:t>
      </w:r>
      <w:r>
        <w:t>G</w:t>
      </w:r>
      <w:r w:rsidRPr="00093BC2">
        <w:t>roup</w:t>
      </w:r>
      <w:r w:rsidR="001E3214">
        <w:rPr>
          <w:rStyle w:val="FootnoteReference"/>
        </w:rPr>
        <w:footnoteReference w:id="3"/>
      </w:r>
      <w:r>
        <w:t>; and</w:t>
      </w:r>
    </w:p>
    <w:p w:rsidR="00093BC2" w:rsidRPr="00093BC2" w:rsidRDefault="00093BC2" w:rsidP="00F8305B">
      <w:pPr>
        <w:pStyle w:val="Bullet1"/>
      </w:pPr>
      <w:r>
        <w:t>The AGN Victorian and Albury Retailer Reference Groups</w:t>
      </w:r>
      <w:r w:rsidR="001E3214">
        <w:rPr>
          <w:rStyle w:val="FootnoteReference"/>
        </w:rPr>
        <w:footnoteReference w:id="4"/>
      </w:r>
      <w:r>
        <w:t xml:space="preserve">. </w:t>
      </w:r>
    </w:p>
    <w:p w:rsidR="00E9635C" w:rsidRPr="00E43A9E" w:rsidRDefault="00E9635C"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As part of this engagement, AGN sought feedback from stakeholders on a range of matters, including: </w:t>
      </w:r>
    </w:p>
    <w:p w:rsidR="004657F6" w:rsidRDefault="001E3214" w:rsidP="00F8305B">
      <w:pPr>
        <w:pStyle w:val="Bullet1"/>
      </w:pPr>
      <w:r>
        <w:t>c</w:t>
      </w:r>
      <w:r w:rsidR="004657F6">
        <w:t>oncerns</w:t>
      </w:r>
      <w:r w:rsidR="00093BC2">
        <w:t>/issues</w:t>
      </w:r>
      <w:r w:rsidR="004657F6">
        <w:t xml:space="preserve"> stakeholders may have had in respect of consolidation;</w:t>
      </w:r>
    </w:p>
    <w:p w:rsidR="004657F6" w:rsidRDefault="001E787A" w:rsidP="00F8305B">
      <w:pPr>
        <w:pStyle w:val="Bullet1"/>
      </w:pPr>
      <w:r>
        <w:t>m</w:t>
      </w:r>
      <w:r w:rsidR="004657F6">
        <w:t>atters in existence which in the view of stakeholders would necessitate the continuance of two separate access arrangements; and</w:t>
      </w:r>
    </w:p>
    <w:p w:rsidR="00E9635C" w:rsidRDefault="001E787A" w:rsidP="00F8305B">
      <w:pPr>
        <w:pStyle w:val="Bullet1"/>
      </w:pPr>
      <w:r>
        <w:t>g</w:t>
      </w:r>
      <w:r w:rsidR="004657F6" w:rsidRPr="004657F6">
        <w:t>eneral feedback on AGN’s proposal</w:t>
      </w:r>
    </w:p>
    <w:p w:rsidR="0007077F" w:rsidRPr="00E43A9E" w:rsidRDefault="00E9635C"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The stakeholde</w:t>
      </w:r>
      <w:r w:rsidR="00F740A6" w:rsidRPr="00E43A9E">
        <w:rPr>
          <w:rFonts w:ascii="Arial Narrow" w:eastAsiaTheme="minorEastAsia" w:hAnsi="Arial Narrow" w:cs="ApexNew-Book"/>
          <w:color w:val="1D1D1C"/>
          <w:u w:color="000000"/>
          <w:lang w:eastAsia="ja-JP"/>
        </w:rPr>
        <w:t xml:space="preserve">r feedback </w:t>
      </w:r>
      <w:r w:rsidR="0007077F" w:rsidRPr="00E43A9E">
        <w:rPr>
          <w:rFonts w:ascii="Arial Narrow" w:eastAsiaTheme="minorEastAsia" w:hAnsi="Arial Narrow" w:cs="ApexNew-Book"/>
          <w:color w:val="1D1D1C"/>
          <w:u w:color="000000"/>
          <w:lang w:eastAsia="ja-JP"/>
        </w:rPr>
        <w:t xml:space="preserve">in respect of </w:t>
      </w:r>
      <w:r w:rsidR="00093BC2">
        <w:rPr>
          <w:rFonts w:ascii="Arial Narrow" w:eastAsiaTheme="minorEastAsia" w:hAnsi="Arial Narrow" w:cs="ApexNew-Book"/>
          <w:color w:val="1D1D1C"/>
          <w:u w:color="000000"/>
          <w:lang w:eastAsia="ja-JP"/>
        </w:rPr>
        <w:t xml:space="preserve">the </w:t>
      </w:r>
      <w:r w:rsidR="0007077F" w:rsidRPr="00E43A9E">
        <w:rPr>
          <w:rFonts w:ascii="Arial Narrow" w:eastAsiaTheme="minorEastAsia" w:hAnsi="Arial Narrow" w:cs="ApexNew-Book"/>
          <w:color w:val="1D1D1C"/>
          <w:u w:color="000000"/>
          <w:lang w:eastAsia="ja-JP"/>
        </w:rPr>
        <w:t xml:space="preserve">consolidation of the Victorian and Albury Access Arrangements </w:t>
      </w:r>
      <w:r w:rsidR="00F740A6" w:rsidRPr="00E43A9E">
        <w:rPr>
          <w:rFonts w:ascii="Arial Narrow" w:eastAsiaTheme="minorEastAsia" w:hAnsi="Arial Narrow" w:cs="ApexNew-Book"/>
          <w:color w:val="1D1D1C"/>
          <w:u w:color="000000"/>
          <w:lang w:eastAsia="ja-JP"/>
        </w:rPr>
        <w:t>is summarised below:</w:t>
      </w:r>
      <w:r w:rsidR="0007077F" w:rsidRPr="00E43A9E">
        <w:rPr>
          <w:rFonts w:ascii="Arial Narrow" w:eastAsiaTheme="minorEastAsia" w:hAnsi="Arial Narrow" w:cs="ApexNew-Book"/>
          <w:color w:val="1D1D1C"/>
          <w:u w:color="000000"/>
          <w:lang w:eastAsia="ja-JP"/>
        </w:rPr>
        <w:t xml:space="preserve"> </w:t>
      </w:r>
    </w:p>
    <w:p w:rsidR="0007077F" w:rsidRDefault="00093BC2" w:rsidP="00F8305B">
      <w:pPr>
        <w:pStyle w:val="Bullet1"/>
      </w:pPr>
      <w:r>
        <w:t xml:space="preserve">consolidation </w:t>
      </w:r>
      <w:r w:rsidR="001E787A">
        <w:t>is a l</w:t>
      </w:r>
      <w:r w:rsidR="0007077F">
        <w:t xml:space="preserve">ogical administrative step for AGN to </w:t>
      </w:r>
      <w:r>
        <w:t>take;</w:t>
      </w:r>
    </w:p>
    <w:p w:rsidR="00121FB5" w:rsidRDefault="001E787A" w:rsidP="00F8305B">
      <w:pPr>
        <w:pStyle w:val="Bullet1"/>
      </w:pPr>
      <w:r>
        <w:t>c</w:t>
      </w:r>
      <w:r w:rsidR="0007077F" w:rsidRPr="0007077F">
        <w:t>onsolidation</w:t>
      </w:r>
      <w:r w:rsidR="00093BC2">
        <w:t xml:space="preserve"> would appear to be </w:t>
      </w:r>
      <w:r w:rsidR="0007077F" w:rsidRPr="0007077F">
        <w:t>consistent with</w:t>
      </w:r>
      <w:r w:rsidR="00093BC2">
        <w:t xml:space="preserve"> the key focus areas of Governments, including to </w:t>
      </w:r>
      <w:r w:rsidR="0007077F" w:rsidRPr="0007077F">
        <w:t>reduc</w:t>
      </w:r>
      <w:r w:rsidR="00093BC2">
        <w:t>e</w:t>
      </w:r>
      <w:r w:rsidR="0007077F" w:rsidRPr="0007077F">
        <w:t xml:space="preserve"> red-tape, reduc</w:t>
      </w:r>
      <w:r w:rsidR="00093BC2">
        <w:t>e</w:t>
      </w:r>
      <w:r w:rsidR="0007077F" w:rsidRPr="0007077F">
        <w:t xml:space="preserve"> energy prices and</w:t>
      </w:r>
      <w:r w:rsidR="0007077F">
        <w:t xml:space="preserve"> </w:t>
      </w:r>
      <w:r w:rsidR="00093BC2">
        <w:t>to</w:t>
      </w:r>
      <w:r w:rsidR="0007077F">
        <w:t xml:space="preserve"> </w:t>
      </w:r>
      <w:r w:rsidR="0007077F" w:rsidRPr="0007077F">
        <w:t>promot</w:t>
      </w:r>
      <w:r w:rsidR="00093BC2">
        <w:t>e</w:t>
      </w:r>
      <w:r w:rsidR="0007077F" w:rsidRPr="0007077F">
        <w:t xml:space="preserve"> retail competition</w:t>
      </w:r>
      <w:r w:rsidR="00093BC2">
        <w:t xml:space="preserve"> (particularly in the regions in the case of </w:t>
      </w:r>
      <w:r w:rsidR="00672871">
        <w:t>New South Wales</w:t>
      </w:r>
      <w:r w:rsidR="00093BC2">
        <w:t>)</w:t>
      </w:r>
      <w:r w:rsidR="0007077F">
        <w:t>;</w:t>
      </w:r>
      <w:r>
        <w:t xml:space="preserve"> </w:t>
      </w:r>
    </w:p>
    <w:p w:rsidR="0007077F" w:rsidRDefault="001E787A" w:rsidP="00F8305B">
      <w:pPr>
        <w:pStyle w:val="Bullet1"/>
      </w:pPr>
      <w:r>
        <w:t>there is i</w:t>
      </w:r>
      <w:r w:rsidR="0007077F">
        <w:t xml:space="preserve">n principal support for consolidation if separate </w:t>
      </w:r>
      <w:r w:rsidR="00093BC2">
        <w:t xml:space="preserve">RABs, </w:t>
      </w:r>
      <w:r w:rsidR="0007077F">
        <w:t xml:space="preserve">and expenditure information </w:t>
      </w:r>
      <w:r w:rsidR="00093BC2">
        <w:t xml:space="preserve">more generally, </w:t>
      </w:r>
      <w:r w:rsidR="0007077F">
        <w:t xml:space="preserve">is retained for the </w:t>
      </w:r>
      <w:r w:rsidR="00093BC2">
        <w:t xml:space="preserve">each of the Albury and Victorian </w:t>
      </w:r>
      <w:r w:rsidR="0007077F">
        <w:t>networks</w:t>
      </w:r>
      <w:r w:rsidR="0038791C">
        <w:t>; and</w:t>
      </w:r>
    </w:p>
    <w:p w:rsidR="0038791C" w:rsidRPr="0007077F" w:rsidRDefault="0038791C" w:rsidP="00F8305B">
      <w:pPr>
        <w:pStyle w:val="Bullet1"/>
      </w:pPr>
      <w:proofErr w:type="gramStart"/>
      <w:r>
        <w:t>there</w:t>
      </w:r>
      <w:proofErr w:type="gramEnd"/>
      <w:r>
        <w:t xml:space="preserve"> is in principal support for consolidation if </w:t>
      </w:r>
      <w:r w:rsidR="00BA0234">
        <w:t xml:space="preserve">the approach to </w:t>
      </w:r>
      <w:r>
        <w:t>cost allocation between the two networks remain</w:t>
      </w:r>
      <w:r w:rsidR="00BA0234">
        <w:t>s</w:t>
      </w:r>
      <w:r>
        <w:t xml:space="preserve"> unchanged.</w:t>
      </w:r>
    </w:p>
    <w:p w:rsidR="00F740A6" w:rsidRPr="00E43A9E" w:rsidRDefault="00F740A6"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lastRenderedPageBreak/>
        <w:t xml:space="preserve">AGN considers that stakeholders understood the reasons for consolidating the Victorian and Albury Access Arrangements and </w:t>
      </w:r>
      <w:r w:rsidR="00BA0234">
        <w:rPr>
          <w:rFonts w:ascii="Arial Narrow" w:eastAsiaTheme="minorEastAsia" w:hAnsi="Arial Narrow" w:cs="ApexNew-Book"/>
          <w:color w:val="1D1D1C"/>
          <w:u w:color="000000"/>
          <w:lang w:eastAsia="ja-JP"/>
        </w:rPr>
        <w:t>are</w:t>
      </w:r>
      <w:r w:rsidRPr="00E43A9E">
        <w:rPr>
          <w:rFonts w:ascii="Arial Narrow" w:eastAsiaTheme="minorEastAsia" w:hAnsi="Arial Narrow" w:cs="ApexNew-Book"/>
          <w:color w:val="1D1D1C"/>
          <w:u w:color="000000"/>
          <w:lang w:eastAsia="ja-JP"/>
        </w:rPr>
        <w:t xml:space="preserve"> supportive of this application. Importantly,</w:t>
      </w:r>
      <w:r w:rsidR="00BA0234">
        <w:rPr>
          <w:rFonts w:ascii="Arial Narrow" w:eastAsiaTheme="minorEastAsia" w:hAnsi="Arial Narrow" w:cs="ApexNew-Book"/>
          <w:color w:val="1D1D1C"/>
          <w:u w:color="000000"/>
          <w:lang w:eastAsia="ja-JP"/>
        </w:rPr>
        <w:t xml:space="preserve"> not one of the above stakeholder groups</w:t>
      </w:r>
      <w:r w:rsidRPr="00E43A9E">
        <w:rPr>
          <w:rFonts w:ascii="Arial Narrow" w:eastAsiaTheme="minorEastAsia" w:hAnsi="Arial Narrow" w:cs="ApexNew-Book"/>
          <w:color w:val="1D1D1C"/>
          <w:u w:color="000000"/>
          <w:lang w:eastAsia="ja-JP"/>
        </w:rPr>
        <w:t xml:space="preserve"> identif</w:t>
      </w:r>
      <w:r w:rsidR="00BA0234">
        <w:rPr>
          <w:rFonts w:ascii="Arial Narrow" w:eastAsiaTheme="minorEastAsia" w:hAnsi="Arial Narrow" w:cs="ApexNew-Book"/>
          <w:color w:val="1D1D1C"/>
          <w:u w:color="000000"/>
          <w:lang w:eastAsia="ja-JP"/>
        </w:rPr>
        <w:t>ied</w:t>
      </w:r>
      <w:r w:rsidRPr="00E43A9E">
        <w:rPr>
          <w:rFonts w:ascii="Arial Narrow" w:eastAsiaTheme="minorEastAsia" w:hAnsi="Arial Narrow" w:cs="ApexNew-Book"/>
          <w:color w:val="1D1D1C"/>
          <w:u w:color="000000"/>
          <w:lang w:eastAsia="ja-JP"/>
        </w:rPr>
        <w:t xml:space="preserve"> any reason as to why the AER should not make a direction to consolidate the access arrangements. </w:t>
      </w:r>
      <w:r w:rsidR="00BA0234">
        <w:rPr>
          <w:rFonts w:ascii="Arial Narrow" w:eastAsiaTheme="minorEastAsia" w:hAnsi="Arial Narrow" w:cs="ApexNew-Book"/>
          <w:color w:val="1D1D1C"/>
          <w:u w:color="000000"/>
          <w:lang w:eastAsia="ja-JP"/>
        </w:rPr>
        <w:t xml:space="preserve">AGN also accepts the suggestion to maintain certain information for Albury and Victoria, particularly in regards to the RAB. </w:t>
      </w:r>
    </w:p>
    <w:p w:rsidR="007E2712" w:rsidRDefault="007E2712" w:rsidP="009C346A">
      <w:pPr>
        <w:pStyle w:val="Heading1"/>
      </w:pPr>
      <w:bookmarkStart w:id="6" w:name="_Toc434136477"/>
      <w:bookmarkStart w:id="7" w:name="_Toc434136478"/>
      <w:bookmarkStart w:id="8" w:name="_Toc434136479"/>
      <w:bookmarkStart w:id="9" w:name="_Toc434136480"/>
      <w:bookmarkStart w:id="10" w:name="_Toc434136481"/>
      <w:bookmarkStart w:id="11" w:name="_Toc434136482"/>
      <w:bookmarkStart w:id="12" w:name="_Toc434136483"/>
      <w:bookmarkStart w:id="13" w:name="_Toc434136484"/>
      <w:bookmarkStart w:id="14" w:name="_Toc434136485"/>
      <w:bookmarkStart w:id="15" w:name="_Toc434136486"/>
      <w:bookmarkStart w:id="16" w:name="_Toc434136487"/>
      <w:bookmarkStart w:id="17" w:name="_Toc434136488"/>
      <w:bookmarkStart w:id="18" w:name="_Toc434136489"/>
      <w:bookmarkStart w:id="19" w:name="_Toc434136490"/>
      <w:bookmarkStart w:id="20" w:name="_Toc434136491"/>
      <w:bookmarkStart w:id="21" w:name="_Toc434136492"/>
      <w:bookmarkStart w:id="22" w:name="_Toc434136493"/>
      <w:bookmarkStart w:id="23" w:name="_Toc44061370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 xml:space="preserve">Proposed </w:t>
      </w:r>
      <w:r w:rsidR="00F8305B">
        <w:t>A</w:t>
      </w:r>
      <w:r>
        <w:t xml:space="preserve">pproach to </w:t>
      </w:r>
      <w:r w:rsidR="00F8305B">
        <w:t>C</w:t>
      </w:r>
      <w:r>
        <w:t>onsolidation</w:t>
      </w:r>
      <w:bookmarkEnd w:id="23"/>
    </w:p>
    <w:p w:rsidR="00D2027E" w:rsidRPr="00E43A9E" w:rsidRDefault="00F740A6"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w:t>
      </w:r>
      <w:r w:rsidR="00D2027E" w:rsidRPr="00E43A9E">
        <w:rPr>
          <w:rFonts w:ascii="Arial Narrow" w:eastAsiaTheme="minorEastAsia" w:hAnsi="Arial Narrow" w:cs="ApexNew-Book"/>
          <w:color w:val="1D1D1C"/>
          <w:u w:color="000000"/>
          <w:lang w:eastAsia="ja-JP"/>
        </w:rPr>
        <w:t>he</w:t>
      </w:r>
      <w:r w:rsidR="00BA0234">
        <w:rPr>
          <w:rFonts w:ascii="Arial Narrow" w:eastAsiaTheme="minorEastAsia" w:hAnsi="Arial Narrow" w:cs="ApexNew-Book"/>
          <w:color w:val="1D1D1C"/>
          <w:u w:color="000000"/>
          <w:lang w:eastAsia="ja-JP"/>
        </w:rPr>
        <w:t xml:space="preserve">re is a strong </w:t>
      </w:r>
      <w:r w:rsidR="00D2027E" w:rsidRPr="00E43A9E">
        <w:rPr>
          <w:rFonts w:ascii="Arial Narrow" w:eastAsiaTheme="minorEastAsia" w:hAnsi="Arial Narrow" w:cs="ApexNew-Book"/>
          <w:color w:val="1D1D1C"/>
          <w:u w:color="000000"/>
          <w:lang w:eastAsia="ja-JP"/>
        </w:rPr>
        <w:t>case for consolidating the Victoria</w:t>
      </w:r>
      <w:r w:rsidRPr="00E43A9E">
        <w:rPr>
          <w:rFonts w:ascii="Arial Narrow" w:eastAsiaTheme="minorEastAsia" w:hAnsi="Arial Narrow" w:cs="ApexNew-Book"/>
          <w:color w:val="1D1D1C"/>
          <w:u w:color="000000"/>
          <w:lang w:eastAsia="ja-JP"/>
        </w:rPr>
        <w:t>n</w:t>
      </w:r>
      <w:r w:rsidR="00BA0234">
        <w:rPr>
          <w:rFonts w:ascii="Arial Narrow" w:eastAsiaTheme="minorEastAsia" w:hAnsi="Arial Narrow" w:cs="ApexNew-Book"/>
          <w:color w:val="1D1D1C"/>
          <w:u w:color="000000"/>
          <w:lang w:eastAsia="ja-JP"/>
        </w:rPr>
        <w:t xml:space="preserve"> and Albury access arrangements. As noted above, this application has strong stakeholder support and is</w:t>
      </w:r>
      <w:r w:rsidR="002F36FD" w:rsidRPr="00E43A9E">
        <w:rPr>
          <w:rFonts w:ascii="Arial Narrow" w:eastAsiaTheme="minorEastAsia" w:hAnsi="Arial Narrow" w:cs="ApexNew-Book"/>
          <w:color w:val="1D1D1C"/>
          <w:u w:color="000000"/>
          <w:lang w:eastAsia="ja-JP"/>
        </w:rPr>
        <w:t xml:space="preserve"> </w:t>
      </w:r>
      <w:r w:rsidR="00D2027E" w:rsidRPr="00E43A9E">
        <w:rPr>
          <w:rFonts w:ascii="Arial Narrow" w:eastAsiaTheme="minorEastAsia" w:hAnsi="Arial Narrow" w:cs="ApexNew-Book"/>
          <w:color w:val="1D1D1C"/>
          <w:u w:color="000000"/>
          <w:lang w:eastAsia="ja-JP"/>
        </w:rPr>
        <w:t>a logical</w:t>
      </w:r>
      <w:r w:rsidR="002F36FD" w:rsidRPr="00E43A9E">
        <w:rPr>
          <w:rFonts w:ascii="Arial Narrow" w:eastAsiaTheme="minorEastAsia" w:hAnsi="Arial Narrow" w:cs="ApexNew-Book"/>
          <w:color w:val="1D1D1C"/>
          <w:u w:color="000000"/>
          <w:lang w:eastAsia="ja-JP"/>
        </w:rPr>
        <w:t xml:space="preserve"> administrative </w:t>
      </w:r>
      <w:r w:rsidR="00D2027E" w:rsidRPr="00E43A9E">
        <w:rPr>
          <w:rFonts w:ascii="Arial Narrow" w:eastAsiaTheme="minorEastAsia" w:hAnsi="Arial Narrow" w:cs="ApexNew-Book"/>
          <w:color w:val="1D1D1C"/>
          <w:u w:color="000000"/>
          <w:lang w:eastAsia="ja-JP"/>
        </w:rPr>
        <w:t xml:space="preserve">step given the similarities between the two networks and the way the review processes have been undertaken in the past. </w:t>
      </w:r>
      <w:r w:rsidR="007C6C63" w:rsidRPr="00E43A9E">
        <w:rPr>
          <w:rFonts w:ascii="Arial Narrow" w:eastAsiaTheme="minorEastAsia" w:hAnsi="Arial Narrow" w:cs="ApexNew-Book"/>
          <w:color w:val="1D1D1C"/>
          <w:u w:color="000000"/>
          <w:lang w:eastAsia="ja-JP"/>
        </w:rPr>
        <w:t xml:space="preserve">Subject to the AER issuing a direction to consolidate the access </w:t>
      </w:r>
      <w:r w:rsidR="00412A1B" w:rsidRPr="00E43A9E">
        <w:rPr>
          <w:rFonts w:ascii="Arial Narrow" w:eastAsiaTheme="minorEastAsia" w:hAnsi="Arial Narrow" w:cs="ApexNew-Book"/>
          <w:color w:val="1D1D1C"/>
          <w:u w:color="000000"/>
          <w:lang w:eastAsia="ja-JP"/>
        </w:rPr>
        <w:t>arrangements</w:t>
      </w:r>
      <w:r w:rsidR="007C6C63" w:rsidRPr="00E43A9E">
        <w:rPr>
          <w:rFonts w:ascii="Arial Narrow" w:eastAsiaTheme="minorEastAsia" w:hAnsi="Arial Narrow" w:cs="ApexNew-Book"/>
          <w:color w:val="1D1D1C"/>
          <w:u w:color="000000"/>
          <w:lang w:eastAsia="ja-JP"/>
        </w:rPr>
        <w:t>, AGN proposes the following approach:</w:t>
      </w:r>
    </w:p>
    <w:p w:rsidR="00D2027E" w:rsidRPr="00D2027E" w:rsidRDefault="00D2027E" w:rsidP="00F8305B">
      <w:pPr>
        <w:pStyle w:val="Bullet1"/>
      </w:pPr>
      <w:r w:rsidRPr="00D2027E">
        <w:t>AG</w:t>
      </w:r>
      <w:r w:rsidR="00957F18">
        <w:t>N will submit one consolidated access arrangement p</w:t>
      </w:r>
      <w:r w:rsidR="0043586D">
        <w:t xml:space="preserve">roposal </w:t>
      </w:r>
      <w:r w:rsidR="00BA0234">
        <w:t xml:space="preserve">to the AER </w:t>
      </w:r>
      <w:r w:rsidR="0043586D">
        <w:t>on 1 January 2017</w:t>
      </w:r>
      <w:r w:rsidR="007C6C63">
        <w:t>;</w:t>
      </w:r>
    </w:p>
    <w:p w:rsidR="00D2027E" w:rsidRPr="00D2027E" w:rsidRDefault="00D2027E" w:rsidP="00F8305B">
      <w:pPr>
        <w:pStyle w:val="Bullet1"/>
      </w:pPr>
      <w:r w:rsidRPr="00D2027E">
        <w:t xml:space="preserve">AGN will combine the Albury </w:t>
      </w:r>
      <w:r w:rsidR="007C6C63">
        <w:t>RAB</w:t>
      </w:r>
      <w:r w:rsidRPr="00D2027E">
        <w:t xml:space="preserve"> with the Victoria RAB</w:t>
      </w:r>
      <w:r w:rsidR="00AD6714">
        <w:t xml:space="preserve"> for the purposes of the access arrangement proposal, however AGN will continue to maintain separate RABs for the two networks</w:t>
      </w:r>
      <w:r w:rsidR="007C6C63">
        <w:t>;</w:t>
      </w:r>
    </w:p>
    <w:p w:rsidR="00D2027E" w:rsidRPr="00D2027E" w:rsidRDefault="007C6C63" w:rsidP="00F8305B">
      <w:pPr>
        <w:pStyle w:val="Bullet1"/>
      </w:pPr>
      <w:r>
        <w:t>t</w:t>
      </w:r>
      <w:r w:rsidR="00D2027E" w:rsidRPr="00D2027E">
        <w:t xml:space="preserve">ariffs in Albury will be subject to the </w:t>
      </w:r>
      <w:r w:rsidR="002F36FD">
        <w:t>same</w:t>
      </w:r>
      <w:r w:rsidR="00D2027E" w:rsidRPr="00D2027E">
        <w:t xml:space="preserve"> regulatory review process</w:t>
      </w:r>
      <w:r w:rsidR="002F36FD">
        <w:t xml:space="preserve"> (and </w:t>
      </w:r>
      <w:r w:rsidR="00D2027E" w:rsidRPr="00D2027E">
        <w:t>will be considered and calculated in the same way as the reference tariffs f</w:t>
      </w:r>
      <w:r w:rsidR="00FD3C41">
        <w:t>or other zones of the</w:t>
      </w:r>
      <w:r w:rsidR="000873EF">
        <w:t xml:space="preserve"> consolidated </w:t>
      </w:r>
      <w:r w:rsidR="00FD3C41">
        <w:t>Victoria</w:t>
      </w:r>
      <w:r w:rsidR="002F36FD">
        <w:t xml:space="preserve">n and Albury </w:t>
      </w:r>
      <w:r w:rsidR="00FD3C41">
        <w:t>access a</w:t>
      </w:r>
      <w:r w:rsidR="00D2027E" w:rsidRPr="00D2027E">
        <w:t>rrangement</w:t>
      </w:r>
      <w:r w:rsidR="002F36FD">
        <w:t>)</w:t>
      </w:r>
      <w:r>
        <w:t>;</w:t>
      </w:r>
    </w:p>
    <w:p w:rsidR="00D2027E" w:rsidRPr="00D2027E" w:rsidRDefault="007C6C63" w:rsidP="00F8305B">
      <w:pPr>
        <w:pStyle w:val="Bullet1"/>
      </w:pPr>
      <w:r>
        <w:t>m</w:t>
      </w:r>
      <w:r w:rsidR="00D2027E" w:rsidRPr="00D2027E">
        <w:t>ovements in tariffs for all zones will be considered together and costs will</w:t>
      </w:r>
      <w:r w:rsidR="000873EF">
        <w:t xml:space="preserve"> continue to</w:t>
      </w:r>
      <w:r w:rsidR="00D2027E" w:rsidRPr="00D2027E">
        <w:t xml:space="preserve"> be allocated in line with the </w:t>
      </w:r>
      <w:r w:rsidR="002F36FD">
        <w:t xml:space="preserve">applicable </w:t>
      </w:r>
      <w:r w:rsidR="00D2027E" w:rsidRPr="00D2027E">
        <w:t>allocation method</w:t>
      </w:r>
      <w:r w:rsidR="002F36FD">
        <w:t xml:space="preserve"> approved by the AER as part of th</w:t>
      </w:r>
      <w:r w:rsidR="00412A1B">
        <w:t>e access arrangement review proc</w:t>
      </w:r>
      <w:r w:rsidR="002F36FD">
        <w:t>ess;</w:t>
      </w:r>
      <w:r>
        <w:t xml:space="preserve"> </w:t>
      </w:r>
    </w:p>
    <w:p w:rsidR="007D56D3" w:rsidRDefault="007D56D3" w:rsidP="005E37A4">
      <w:pPr>
        <w:pStyle w:val="Bullet1"/>
      </w:pPr>
      <w:r>
        <w:t>in response to a stakeholder request</w:t>
      </w:r>
      <w:r w:rsidR="005E37A4">
        <w:t xml:space="preserve"> </w:t>
      </w:r>
      <w:r w:rsidR="005E37A4" w:rsidRPr="005E37A4">
        <w:t>AGN commits to holding a consumer engagement workshop in Albury irrespective of the AER’s decision in respect of consolidation</w:t>
      </w:r>
      <w:r w:rsidR="002E1EE1">
        <w:t>;</w:t>
      </w:r>
      <w:r>
        <w:t xml:space="preserve"> and</w:t>
      </w:r>
    </w:p>
    <w:p w:rsidR="00D2027E" w:rsidRDefault="0038791C" w:rsidP="00F8305B">
      <w:pPr>
        <w:pStyle w:val="Bullet1"/>
      </w:pPr>
      <w:proofErr w:type="gramStart"/>
      <w:r>
        <w:t>in</w:t>
      </w:r>
      <w:proofErr w:type="gramEnd"/>
      <w:r>
        <w:t xml:space="preserve"> light of feedback received f</w:t>
      </w:r>
      <w:r w:rsidR="000873EF">
        <w:t>r</w:t>
      </w:r>
      <w:r>
        <w:t>om some stakeholders,</w:t>
      </w:r>
      <w:r w:rsidR="000873EF">
        <w:t xml:space="preserve"> AGN will maintain a separate RAB for the Albury and Victorian networks. </w:t>
      </w:r>
    </w:p>
    <w:p w:rsidR="007C6C63" w:rsidRPr="00E43A9E" w:rsidRDefault="00121FB5"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Adopting this approach to consolidation will mi</w:t>
      </w:r>
      <w:r w:rsidR="00412A1B">
        <w:rPr>
          <w:rFonts w:ascii="Arial Narrow" w:eastAsiaTheme="minorEastAsia" w:hAnsi="Arial Narrow" w:cs="ApexNew-Book"/>
          <w:color w:val="1D1D1C"/>
          <w:u w:color="000000"/>
          <w:lang w:eastAsia="ja-JP"/>
        </w:rPr>
        <w:t>ni</w:t>
      </w:r>
      <w:r w:rsidRPr="00E43A9E">
        <w:rPr>
          <w:rFonts w:ascii="Arial Narrow" w:eastAsiaTheme="minorEastAsia" w:hAnsi="Arial Narrow" w:cs="ApexNew-Book"/>
          <w:color w:val="1D1D1C"/>
          <w:u w:color="000000"/>
          <w:lang w:eastAsia="ja-JP"/>
        </w:rPr>
        <w:t>mise the administrative burden for the AER</w:t>
      </w:r>
      <w:r w:rsidR="002F36FD" w:rsidRPr="00E43A9E">
        <w:rPr>
          <w:rFonts w:ascii="Arial Narrow" w:eastAsiaTheme="minorEastAsia" w:hAnsi="Arial Narrow" w:cs="ApexNew-Book"/>
          <w:color w:val="1D1D1C"/>
          <w:u w:color="000000"/>
          <w:lang w:eastAsia="ja-JP"/>
        </w:rPr>
        <w:t xml:space="preserve">, </w:t>
      </w:r>
      <w:r w:rsidRPr="00E43A9E">
        <w:rPr>
          <w:rFonts w:ascii="Arial Narrow" w:eastAsiaTheme="minorEastAsia" w:hAnsi="Arial Narrow" w:cs="ApexNew-Book"/>
          <w:color w:val="1D1D1C"/>
          <w:u w:color="000000"/>
          <w:lang w:eastAsia="ja-JP"/>
        </w:rPr>
        <w:t>AGN</w:t>
      </w:r>
      <w:r w:rsidR="002F36FD" w:rsidRPr="00E43A9E">
        <w:rPr>
          <w:rFonts w:ascii="Arial Narrow" w:eastAsiaTheme="minorEastAsia" w:hAnsi="Arial Narrow" w:cs="ApexNew-Book"/>
          <w:color w:val="1D1D1C"/>
          <w:u w:color="000000"/>
          <w:lang w:eastAsia="ja-JP"/>
        </w:rPr>
        <w:t xml:space="preserve"> and stakeholders more generally</w:t>
      </w:r>
      <w:r w:rsidRPr="00E43A9E">
        <w:rPr>
          <w:rFonts w:ascii="Arial Narrow" w:eastAsiaTheme="minorEastAsia" w:hAnsi="Arial Narrow" w:cs="ApexNew-Book"/>
          <w:color w:val="1D1D1C"/>
          <w:u w:color="000000"/>
          <w:lang w:eastAsia="ja-JP"/>
        </w:rPr>
        <w:t>, whi</w:t>
      </w:r>
      <w:r w:rsidR="002F36FD" w:rsidRPr="00E43A9E">
        <w:rPr>
          <w:rFonts w:ascii="Arial Narrow" w:eastAsiaTheme="minorEastAsia" w:hAnsi="Arial Narrow" w:cs="ApexNew-Book"/>
          <w:color w:val="1D1D1C"/>
          <w:u w:color="000000"/>
          <w:lang w:eastAsia="ja-JP"/>
        </w:rPr>
        <w:t xml:space="preserve">ch will </w:t>
      </w:r>
      <w:r w:rsidRPr="00E43A9E">
        <w:rPr>
          <w:rFonts w:ascii="Arial Narrow" w:eastAsiaTheme="minorEastAsia" w:hAnsi="Arial Narrow" w:cs="ApexNew-Book"/>
          <w:color w:val="1D1D1C"/>
          <w:u w:color="000000"/>
          <w:lang w:eastAsia="ja-JP"/>
        </w:rPr>
        <w:t>maximis</w:t>
      </w:r>
      <w:r w:rsidR="002F36FD" w:rsidRPr="00E43A9E">
        <w:rPr>
          <w:rFonts w:ascii="Arial Narrow" w:eastAsiaTheme="minorEastAsia" w:hAnsi="Arial Narrow" w:cs="ApexNew-Book"/>
          <w:color w:val="1D1D1C"/>
          <w:u w:color="000000"/>
          <w:lang w:eastAsia="ja-JP"/>
        </w:rPr>
        <w:t xml:space="preserve">e the available cost savings from consolidation. </w:t>
      </w:r>
    </w:p>
    <w:p w:rsidR="003972E1" w:rsidRDefault="003972E1" w:rsidP="009C346A">
      <w:pPr>
        <w:pStyle w:val="Heading1"/>
      </w:pPr>
      <w:bookmarkStart w:id="24" w:name="_Toc434136497"/>
      <w:bookmarkStart w:id="25" w:name="_Toc434136498"/>
      <w:bookmarkStart w:id="26" w:name="_Toc434136499"/>
      <w:bookmarkStart w:id="27" w:name="_Toc434136500"/>
      <w:bookmarkStart w:id="28" w:name="_Toc440613706"/>
      <w:bookmarkEnd w:id="24"/>
      <w:bookmarkEnd w:id="25"/>
      <w:bookmarkEnd w:id="26"/>
      <w:bookmarkEnd w:id="27"/>
      <w:r w:rsidRPr="006B5723">
        <w:t>Benefits</w:t>
      </w:r>
      <w:r w:rsidR="00D14AFF">
        <w:t xml:space="preserve"> of </w:t>
      </w:r>
      <w:r w:rsidR="00F8305B">
        <w:t>C</w:t>
      </w:r>
      <w:r w:rsidR="00D14AFF">
        <w:t>onsolidation</w:t>
      </w:r>
      <w:bookmarkEnd w:id="28"/>
    </w:p>
    <w:p w:rsidR="00121FB5" w:rsidRPr="00E43A9E" w:rsidRDefault="00121FB5"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AGN considers adopting the above approach</w:t>
      </w:r>
      <w:r w:rsidR="002F36FD" w:rsidRPr="00E43A9E">
        <w:rPr>
          <w:rFonts w:ascii="Arial Narrow" w:eastAsiaTheme="minorEastAsia" w:hAnsi="Arial Narrow" w:cs="ApexNew-Book"/>
          <w:color w:val="1D1D1C"/>
          <w:u w:color="000000"/>
          <w:lang w:eastAsia="ja-JP"/>
        </w:rPr>
        <w:t xml:space="preserve"> to consolidation </w:t>
      </w:r>
      <w:r w:rsidRPr="00E43A9E">
        <w:rPr>
          <w:rFonts w:ascii="Arial Narrow" w:eastAsiaTheme="minorEastAsia" w:hAnsi="Arial Narrow" w:cs="ApexNew-Book"/>
          <w:color w:val="1D1D1C"/>
          <w:u w:color="000000"/>
          <w:lang w:eastAsia="ja-JP"/>
        </w:rPr>
        <w:t>will deliver the following benefits:</w:t>
      </w:r>
    </w:p>
    <w:p w:rsidR="008B5F3B" w:rsidRDefault="00D14AFF" w:rsidP="00F8305B">
      <w:pPr>
        <w:pStyle w:val="Bullet1"/>
      </w:pPr>
      <w:r>
        <w:t>r</w:t>
      </w:r>
      <w:r w:rsidR="008B5F3B" w:rsidRPr="00D14AFF">
        <w:t>educed</w:t>
      </w:r>
      <w:r>
        <w:t xml:space="preserve"> administrative cost</w:t>
      </w:r>
      <w:r w:rsidR="000873EF">
        <w:t>s</w:t>
      </w:r>
      <w:r>
        <w:t>; and</w:t>
      </w:r>
    </w:p>
    <w:p w:rsidR="00D14AFF" w:rsidRPr="00D14AFF" w:rsidRDefault="00D14AFF" w:rsidP="00F8305B">
      <w:pPr>
        <w:pStyle w:val="Bullet1"/>
      </w:pPr>
      <w:proofErr w:type="gramStart"/>
      <w:r>
        <w:t>increased</w:t>
      </w:r>
      <w:proofErr w:type="gramEnd"/>
      <w:r w:rsidRPr="00D14AFF">
        <w:t xml:space="preserve"> certainty </w:t>
      </w:r>
      <w:r>
        <w:t>to support efficient investment.</w:t>
      </w:r>
    </w:p>
    <w:p w:rsidR="00D14AFF" w:rsidRPr="00E43A9E" w:rsidRDefault="00D14AFF"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These benefits are discussed below.</w:t>
      </w:r>
    </w:p>
    <w:p w:rsidR="00CE481F" w:rsidRPr="009D1214" w:rsidRDefault="00D14AFF" w:rsidP="00170553">
      <w:pPr>
        <w:pStyle w:val="Heading2"/>
        <w:numPr>
          <w:ilvl w:val="1"/>
          <w:numId w:val="11"/>
        </w:numPr>
        <w:tabs>
          <w:tab w:val="clear" w:pos="0"/>
          <w:tab w:val="left" w:pos="284"/>
          <w:tab w:val="left" w:pos="425"/>
          <w:tab w:val="left" w:pos="567"/>
        </w:tabs>
        <w:spacing w:line="240" w:lineRule="auto"/>
        <w:ind w:left="0"/>
      </w:pPr>
      <w:bookmarkStart w:id="29" w:name="_Toc440613707"/>
      <w:r w:rsidRPr="00170553">
        <w:rPr>
          <w:szCs w:val="28"/>
          <w:lang w:val="en-AU" w:eastAsia="ja-JP"/>
        </w:rPr>
        <w:t>Reduced</w:t>
      </w:r>
      <w:r w:rsidRPr="009D1214">
        <w:t xml:space="preserve"> </w:t>
      </w:r>
      <w:r w:rsidR="00F8305B">
        <w:t>A</w:t>
      </w:r>
      <w:r w:rsidRPr="009D1214">
        <w:t xml:space="preserve">dministrative </w:t>
      </w:r>
      <w:r w:rsidR="00F8305B">
        <w:t>C</w:t>
      </w:r>
      <w:r w:rsidRPr="009D1214">
        <w:t>ost</w:t>
      </w:r>
      <w:r w:rsidR="000873EF">
        <w:t>s</w:t>
      </w:r>
      <w:bookmarkEnd w:id="29"/>
    </w:p>
    <w:p w:rsidR="002F36FD" w:rsidRPr="00E43A9E" w:rsidRDefault="003F2E31"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Consolidating the </w:t>
      </w:r>
      <w:r w:rsidR="002F36FD" w:rsidRPr="00E43A9E">
        <w:rPr>
          <w:rFonts w:ascii="Arial Narrow" w:eastAsiaTheme="minorEastAsia" w:hAnsi="Arial Narrow" w:cs="ApexNew-Book"/>
          <w:color w:val="1D1D1C"/>
          <w:u w:color="000000"/>
          <w:lang w:eastAsia="ja-JP"/>
        </w:rPr>
        <w:t xml:space="preserve">Victorian and Albury </w:t>
      </w:r>
      <w:r w:rsidRPr="00E43A9E">
        <w:rPr>
          <w:rFonts w:ascii="Arial Narrow" w:eastAsiaTheme="minorEastAsia" w:hAnsi="Arial Narrow" w:cs="ApexNew-Book"/>
          <w:color w:val="1D1D1C"/>
          <w:u w:color="000000"/>
          <w:lang w:eastAsia="ja-JP"/>
        </w:rPr>
        <w:t>access arrangements is</w:t>
      </w:r>
      <w:r w:rsidR="007D56D3">
        <w:rPr>
          <w:rFonts w:ascii="Arial Narrow" w:eastAsiaTheme="minorEastAsia" w:hAnsi="Arial Narrow" w:cs="ApexNew-Book"/>
          <w:color w:val="1D1D1C"/>
          <w:u w:color="000000"/>
          <w:lang w:eastAsia="ja-JP"/>
        </w:rPr>
        <w:t xml:space="preserve"> a</w:t>
      </w:r>
      <w:r w:rsidRPr="00E43A9E">
        <w:rPr>
          <w:rFonts w:ascii="Arial Narrow" w:eastAsiaTheme="minorEastAsia" w:hAnsi="Arial Narrow" w:cs="ApexNew-Book"/>
          <w:color w:val="1D1D1C"/>
          <w:u w:color="000000"/>
          <w:lang w:eastAsia="ja-JP"/>
        </w:rPr>
        <w:t xml:space="preserve"> logical </w:t>
      </w:r>
      <w:r w:rsidR="002F36FD" w:rsidRPr="00E43A9E">
        <w:rPr>
          <w:rFonts w:ascii="Arial Narrow" w:eastAsiaTheme="minorEastAsia" w:hAnsi="Arial Narrow" w:cs="ApexNew-Book"/>
          <w:color w:val="1D1D1C"/>
          <w:u w:color="000000"/>
          <w:lang w:eastAsia="ja-JP"/>
        </w:rPr>
        <w:t>administrative</w:t>
      </w:r>
      <w:r w:rsidRPr="00E43A9E">
        <w:rPr>
          <w:rFonts w:ascii="Arial Narrow" w:eastAsiaTheme="minorEastAsia" w:hAnsi="Arial Narrow" w:cs="ApexNew-Book"/>
          <w:color w:val="1D1D1C"/>
          <w:u w:color="000000"/>
          <w:lang w:eastAsia="ja-JP"/>
        </w:rPr>
        <w:t xml:space="preserve"> exercise for both the AER and AGN. It removes the administrative burden and associated costs of preparing and reviewing two access arrangement proposals</w:t>
      </w:r>
      <w:r w:rsidR="002F36FD" w:rsidRPr="00E43A9E">
        <w:rPr>
          <w:rFonts w:ascii="Arial Narrow" w:eastAsiaTheme="minorEastAsia" w:hAnsi="Arial Narrow" w:cs="ApexNew-Book"/>
          <w:color w:val="1D1D1C"/>
          <w:u w:color="000000"/>
          <w:lang w:eastAsia="ja-JP"/>
        </w:rPr>
        <w:t xml:space="preserve"> at the same time</w:t>
      </w:r>
      <w:r w:rsidRPr="00E43A9E">
        <w:rPr>
          <w:rFonts w:ascii="Arial Narrow" w:eastAsiaTheme="minorEastAsia" w:hAnsi="Arial Narrow" w:cs="ApexNew-Book"/>
          <w:color w:val="1D1D1C"/>
          <w:u w:color="000000"/>
          <w:lang w:eastAsia="ja-JP"/>
        </w:rPr>
        <w:t>, making for a more efficient regulatory review process.</w:t>
      </w:r>
      <w:r w:rsidR="00D65292" w:rsidRPr="00E43A9E">
        <w:rPr>
          <w:rFonts w:ascii="Arial Narrow" w:eastAsiaTheme="minorEastAsia" w:hAnsi="Arial Narrow" w:cs="ApexNew-Book"/>
          <w:color w:val="1D1D1C"/>
          <w:u w:color="000000"/>
          <w:lang w:eastAsia="ja-JP"/>
        </w:rPr>
        <w:t xml:space="preserve"> Consolidation would also appear</w:t>
      </w:r>
      <w:r w:rsidR="002F36FD" w:rsidRPr="00E43A9E">
        <w:rPr>
          <w:rFonts w:ascii="Arial Narrow" w:eastAsiaTheme="minorEastAsia" w:hAnsi="Arial Narrow" w:cs="ApexNew-Book"/>
          <w:color w:val="1D1D1C"/>
          <w:u w:color="000000"/>
          <w:lang w:eastAsia="ja-JP"/>
        </w:rPr>
        <w:t xml:space="preserve"> </w:t>
      </w:r>
      <w:r w:rsidR="00D65292" w:rsidRPr="00E43A9E">
        <w:rPr>
          <w:rFonts w:ascii="Arial Narrow" w:eastAsiaTheme="minorEastAsia" w:hAnsi="Arial Narrow" w:cs="ApexNew-Book"/>
          <w:color w:val="1D1D1C"/>
          <w:u w:color="000000"/>
          <w:lang w:eastAsia="ja-JP"/>
        </w:rPr>
        <w:t>to be consistent with the objectives of Governments to reduce</w:t>
      </w:r>
      <w:r w:rsidR="002F36FD" w:rsidRPr="00E43A9E">
        <w:rPr>
          <w:rFonts w:ascii="Arial Narrow" w:eastAsiaTheme="minorEastAsia" w:hAnsi="Arial Narrow" w:cs="ApexNew-Book"/>
          <w:color w:val="1D1D1C"/>
          <w:u w:color="000000"/>
          <w:lang w:eastAsia="ja-JP"/>
        </w:rPr>
        <w:t xml:space="preserve"> </w:t>
      </w:r>
      <w:r w:rsidR="000873EF">
        <w:rPr>
          <w:rFonts w:ascii="Arial Narrow" w:eastAsiaTheme="minorEastAsia" w:hAnsi="Arial Narrow" w:cs="ApexNew-Book"/>
          <w:color w:val="1D1D1C"/>
          <w:u w:color="000000"/>
          <w:lang w:eastAsia="ja-JP"/>
        </w:rPr>
        <w:t>unnecessary</w:t>
      </w:r>
      <w:r w:rsidR="002F36FD" w:rsidRPr="00E43A9E">
        <w:rPr>
          <w:rFonts w:ascii="Arial Narrow" w:eastAsiaTheme="minorEastAsia" w:hAnsi="Arial Narrow" w:cs="ApexNew-Book"/>
          <w:color w:val="1D1D1C"/>
          <w:u w:color="000000"/>
          <w:lang w:eastAsia="ja-JP"/>
        </w:rPr>
        <w:t xml:space="preserve"> regulatory </w:t>
      </w:r>
      <w:r w:rsidR="000873EF">
        <w:rPr>
          <w:rFonts w:ascii="Arial Narrow" w:eastAsiaTheme="minorEastAsia" w:hAnsi="Arial Narrow" w:cs="ApexNew-Book"/>
          <w:color w:val="1D1D1C"/>
          <w:u w:color="000000"/>
          <w:lang w:eastAsia="ja-JP"/>
        </w:rPr>
        <w:t>costs</w:t>
      </w:r>
      <w:r w:rsidR="002F36FD" w:rsidRPr="00E43A9E">
        <w:rPr>
          <w:rFonts w:ascii="Arial Narrow" w:eastAsiaTheme="minorEastAsia" w:hAnsi="Arial Narrow" w:cs="ApexNew-Book"/>
          <w:color w:val="1D1D1C"/>
          <w:u w:color="000000"/>
          <w:lang w:eastAsia="ja-JP"/>
        </w:rPr>
        <w:t xml:space="preserve"> </w:t>
      </w:r>
      <w:r w:rsidR="00D65292" w:rsidRPr="00E43A9E">
        <w:rPr>
          <w:rFonts w:ascii="Arial Narrow" w:eastAsiaTheme="minorEastAsia" w:hAnsi="Arial Narrow" w:cs="ApexNew-Book"/>
          <w:color w:val="1D1D1C"/>
          <w:u w:color="000000"/>
          <w:lang w:eastAsia="ja-JP"/>
        </w:rPr>
        <w:t xml:space="preserve">in order to promote economic efficiency. </w:t>
      </w:r>
    </w:p>
    <w:p w:rsidR="003F2E31" w:rsidRPr="00E43A9E" w:rsidRDefault="003F2E31"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lastRenderedPageBreak/>
        <w:t xml:space="preserve">Efficiencies will be maximised if Albury is </w:t>
      </w:r>
      <w:r w:rsidR="002F36FD" w:rsidRPr="00E43A9E">
        <w:rPr>
          <w:rFonts w:ascii="Arial Narrow" w:eastAsiaTheme="minorEastAsia" w:hAnsi="Arial Narrow" w:cs="ApexNew-Book"/>
          <w:color w:val="1D1D1C"/>
          <w:u w:color="000000"/>
          <w:lang w:eastAsia="ja-JP"/>
        </w:rPr>
        <w:t xml:space="preserve">effectively </w:t>
      </w:r>
      <w:r w:rsidRPr="00E43A9E">
        <w:rPr>
          <w:rFonts w:ascii="Arial Narrow" w:eastAsiaTheme="minorEastAsia" w:hAnsi="Arial Narrow" w:cs="ApexNew-Book"/>
          <w:color w:val="1D1D1C"/>
          <w:u w:color="000000"/>
          <w:lang w:eastAsia="ja-JP"/>
        </w:rPr>
        <w:t>treated as a fifth zone of the Victoria network, with a consolidated RAB and the requirement to only produce one RIN.</w:t>
      </w:r>
      <w:r w:rsidR="002F36FD" w:rsidRPr="00E43A9E">
        <w:rPr>
          <w:rFonts w:ascii="Arial Narrow" w:eastAsiaTheme="minorEastAsia" w:hAnsi="Arial Narrow" w:cs="ApexNew-Book"/>
          <w:color w:val="1D1D1C"/>
          <w:u w:color="000000"/>
          <w:lang w:eastAsia="ja-JP"/>
        </w:rPr>
        <w:t xml:space="preserve"> </w:t>
      </w:r>
      <w:r w:rsidR="00D65292" w:rsidRPr="00E43A9E">
        <w:rPr>
          <w:rFonts w:ascii="Arial Narrow" w:eastAsiaTheme="minorEastAsia" w:hAnsi="Arial Narrow" w:cs="ApexNew-Book"/>
          <w:color w:val="1D1D1C"/>
          <w:u w:color="000000"/>
          <w:lang w:eastAsia="ja-JP"/>
        </w:rPr>
        <w:t xml:space="preserve">AGN </w:t>
      </w:r>
      <w:r w:rsidRPr="00E43A9E">
        <w:rPr>
          <w:rFonts w:ascii="Arial Narrow" w:eastAsiaTheme="minorEastAsia" w:hAnsi="Arial Narrow" w:cs="ApexNew-Book"/>
          <w:color w:val="1D1D1C"/>
          <w:u w:color="000000"/>
          <w:lang w:eastAsia="ja-JP"/>
        </w:rPr>
        <w:t xml:space="preserve">will </w:t>
      </w:r>
      <w:r w:rsidR="00D65292" w:rsidRPr="00E43A9E">
        <w:rPr>
          <w:rFonts w:ascii="Arial Narrow" w:eastAsiaTheme="minorEastAsia" w:hAnsi="Arial Narrow" w:cs="ApexNew-Book"/>
          <w:color w:val="1D1D1C"/>
          <w:u w:color="000000"/>
          <w:lang w:eastAsia="ja-JP"/>
        </w:rPr>
        <w:t xml:space="preserve">however </w:t>
      </w:r>
      <w:r w:rsidRPr="00E43A9E">
        <w:rPr>
          <w:rFonts w:ascii="Arial Narrow" w:eastAsiaTheme="minorEastAsia" w:hAnsi="Arial Narrow" w:cs="ApexNew-Book"/>
          <w:color w:val="1D1D1C"/>
          <w:u w:color="000000"/>
          <w:lang w:eastAsia="ja-JP"/>
        </w:rPr>
        <w:t xml:space="preserve">continue to collect information on the Albury network separately, as it is important to retain specific network data for regulatory and asset management purposes. </w:t>
      </w:r>
      <w:r w:rsidR="00D55805" w:rsidRPr="00E43A9E">
        <w:rPr>
          <w:rFonts w:ascii="Arial Narrow" w:eastAsiaTheme="minorEastAsia" w:hAnsi="Arial Narrow" w:cs="ApexNew-Book"/>
          <w:color w:val="1D1D1C"/>
          <w:u w:color="000000"/>
          <w:lang w:eastAsia="ja-JP"/>
        </w:rPr>
        <w:t xml:space="preserve">AGN will </w:t>
      </w:r>
      <w:r w:rsidR="000873EF">
        <w:rPr>
          <w:rFonts w:ascii="Arial Narrow" w:eastAsiaTheme="minorEastAsia" w:hAnsi="Arial Narrow" w:cs="ApexNew-Book"/>
          <w:color w:val="1D1D1C"/>
          <w:u w:color="000000"/>
          <w:lang w:eastAsia="ja-JP"/>
        </w:rPr>
        <w:t xml:space="preserve">continue to maintain a separate RAB for both networks. </w:t>
      </w:r>
    </w:p>
    <w:p w:rsidR="000873EF" w:rsidRDefault="00116B9A"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AGN incurred approximately $</w:t>
      </w:r>
      <w:r w:rsidR="000873EF">
        <w:rPr>
          <w:rFonts w:ascii="Arial Narrow" w:eastAsiaTheme="minorEastAsia" w:hAnsi="Arial Narrow" w:cs="ApexNew-Book"/>
          <w:color w:val="1D1D1C"/>
          <w:u w:color="000000"/>
          <w:lang w:eastAsia="ja-JP"/>
        </w:rPr>
        <w:t>4</w:t>
      </w:r>
      <w:r w:rsidRPr="00E43A9E">
        <w:rPr>
          <w:rFonts w:ascii="Arial Narrow" w:eastAsiaTheme="minorEastAsia" w:hAnsi="Arial Narrow" w:cs="ApexNew-Book"/>
          <w:color w:val="1D1D1C"/>
          <w:u w:color="000000"/>
          <w:lang w:eastAsia="ja-JP"/>
        </w:rPr>
        <w:t xml:space="preserve"> million for the most recent Victorian and Albury </w:t>
      </w:r>
      <w:r w:rsidR="000873EF">
        <w:rPr>
          <w:rFonts w:ascii="Arial Narrow" w:eastAsiaTheme="minorEastAsia" w:hAnsi="Arial Narrow" w:cs="ApexNew-Book"/>
          <w:color w:val="1D1D1C"/>
          <w:u w:color="000000"/>
          <w:lang w:eastAsia="ja-JP"/>
        </w:rPr>
        <w:t xml:space="preserve">access arrangement </w:t>
      </w:r>
      <w:r w:rsidRPr="00E43A9E">
        <w:rPr>
          <w:rFonts w:ascii="Arial Narrow" w:eastAsiaTheme="minorEastAsia" w:hAnsi="Arial Narrow" w:cs="ApexNew-Book"/>
          <w:color w:val="1D1D1C"/>
          <w:u w:color="000000"/>
          <w:lang w:eastAsia="ja-JP"/>
        </w:rPr>
        <w:t>review</w:t>
      </w:r>
      <w:r w:rsidR="000873EF">
        <w:rPr>
          <w:rFonts w:ascii="Arial Narrow" w:eastAsiaTheme="minorEastAsia" w:hAnsi="Arial Narrow" w:cs="ApexNew-Book"/>
          <w:color w:val="1D1D1C"/>
          <w:u w:color="000000"/>
          <w:lang w:eastAsia="ja-JP"/>
        </w:rPr>
        <w:t>s</w:t>
      </w:r>
      <w:r w:rsidRPr="00E43A9E">
        <w:rPr>
          <w:rFonts w:ascii="Arial Narrow" w:eastAsiaTheme="minorEastAsia" w:hAnsi="Arial Narrow" w:cs="ApexNew-Book"/>
          <w:color w:val="1D1D1C"/>
          <w:u w:color="000000"/>
          <w:lang w:eastAsia="ja-JP"/>
        </w:rPr>
        <w:t>. The review costs attributed to each network can range from 50% (</w:t>
      </w:r>
      <w:r w:rsidR="00C62271" w:rsidRPr="00E43A9E">
        <w:rPr>
          <w:rFonts w:ascii="Arial Narrow" w:eastAsiaTheme="minorEastAsia" w:hAnsi="Arial Narrow" w:cs="ApexNew-Book"/>
          <w:color w:val="1D1D1C"/>
          <w:u w:color="000000"/>
          <w:lang w:eastAsia="ja-JP"/>
        </w:rPr>
        <w:t>i.e.</w:t>
      </w:r>
      <w:r w:rsidRPr="00E43A9E">
        <w:rPr>
          <w:rFonts w:ascii="Arial Narrow" w:eastAsiaTheme="minorEastAsia" w:hAnsi="Arial Narrow" w:cs="ApexNew-Book"/>
          <w:color w:val="1D1D1C"/>
          <w:u w:color="000000"/>
          <w:lang w:eastAsia="ja-JP"/>
        </w:rPr>
        <w:t xml:space="preserve"> an equal share) to one based on customer numbers, which allocation would imply a cost </w:t>
      </w:r>
      <w:r w:rsidR="000873EF">
        <w:rPr>
          <w:rFonts w:ascii="Arial Narrow" w:eastAsiaTheme="minorEastAsia" w:hAnsi="Arial Narrow" w:cs="ApexNew-Book"/>
          <w:color w:val="1D1D1C"/>
          <w:u w:color="000000"/>
          <w:lang w:eastAsia="ja-JP"/>
        </w:rPr>
        <w:t xml:space="preserve">of around </w:t>
      </w:r>
      <w:r w:rsidRPr="00E43A9E">
        <w:rPr>
          <w:rFonts w:ascii="Arial Narrow" w:eastAsiaTheme="minorEastAsia" w:hAnsi="Arial Narrow" w:cs="ApexNew-Book"/>
          <w:color w:val="1D1D1C"/>
          <w:u w:color="000000"/>
          <w:lang w:eastAsia="ja-JP"/>
        </w:rPr>
        <w:t>$0.</w:t>
      </w:r>
      <w:r w:rsidR="000873EF">
        <w:rPr>
          <w:rFonts w:ascii="Arial Narrow" w:eastAsiaTheme="minorEastAsia" w:hAnsi="Arial Narrow" w:cs="ApexNew-Book"/>
          <w:color w:val="1D1D1C"/>
          <w:u w:color="000000"/>
          <w:lang w:eastAsia="ja-JP"/>
        </w:rPr>
        <w:t xml:space="preserve">2 million for </w:t>
      </w:r>
      <w:r w:rsidRPr="00E43A9E">
        <w:rPr>
          <w:rFonts w:ascii="Arial Narrow" w:eastAsiaTheme="minorEastAsia" w:hAnsi="Arial Narrow" w:cs="ApexNew-Book"/>
          <w:color w:val="1D1D1C"/>
          <w:u w:color="000000"/>
          <w:lang w:eastAsia="ja-JP"/>
        </w:rPr>
        <w:t xml:space="preserve">Albury. </w:t>
      </w:r>
      <w:r w:rsidR="000873EF">
        <w:rPr>
          <w:rFonts w:ascii="Arial Narrow" w:eastAsiaTheme="minorEastAsia" w:hAnsi="Arial Narrow" w:cs="ApexNew-Book"/>
          <w:color w:val="1D1D1C"/>
          <w:u w:color="000000"/>
          <w:lang w:eastAsia="ja-JP"/>
        </w:rPr>
        <w:t xml:space="preserve">AGN expects its own cost savings to be more in-line with the lower bound estimate. It is reasonable to expect a similar order of cost savings, on aggregate, for other stakeholders (including the AER). </w:t>
      </w:r>
    </w:p>
    <w:p w:rsidR="00C009F2" w:rsidRPr="00E43A9E" w:rsidRDefault="00C009F2"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The lower regulatory costs from consolidating the Albury and Victorian access arrangements will be passed through to consumers through lower operating expenditure that is used to set reference tariffs. AGN submits that, by lowering prices to consumers, this application to consolidate access arrangements </w:t>
      </w:r>
      <w:r w:rsidR="000873EF">
        <w:rPr>
          <w:rFonts w:ascii="Arial Narrow" w:eastAsiaTheme="minorEastAsia" w:hAnsi="Arial Narrow" w:cs="ApexNew-Book"/>
          <w:color w:val="1D1D1C"/>
          <w:u w:color="000000"/>
          <w:lang w:eastAsia="ja-JP"/>
        </w:rPr>
        <w:t xml:space="preserve">better </w:t>
      </w:r>
      <w:r w:rsidRPr="00E43A9E">
        <w:rPr>
          <w:rFonts w:ascii="Arial Narrow" w:eastAsiaTheme="minorEastAsia" w:hAnsi="Arial Narrow" w:cs="ApexNew-Book"/>
          <w:color w:val="1D1D1C"/>
          <w:u w:color="000000"/>
          <w:lang w:eastAsia="ja-JP"/>
        </w:rPr>
        <w:t xml:space="preserve">promotes the achievement of the </w:t>
      </w:r>
      <w:r w:rsidR="00240D14">
        <w:rPr>
          <w:rFonts w:ascii="Arial Narrow" w:eastAsiaTheme="minorEastAsia" w:hAnsi="Arial Narrow" w:cs="ApexNew-Book"/>
          <w:color w:val="1D1D1C"/>
          <w:u w:color="000000"/>
          <w:lang w:eastAsia="ja-JP"/>
        </w:rPr>
        <w:t>National Gas Objective.</w:t>
      </w:r>
    </w:p>
    <w:p w:rsidR="00D14AFF" w:rsidRPr="00170553" w:rsidRDefault="00170553" w:rsidP="00170553">
      <w:pPr>
        <w:pStyle w:val="Heading2"/>
        <w:numPr>
          <w:ilvl w:val="0"/>
          <w:numId w:val="0"/>
        </w:numPr>
        <w:tabs>
          <w:tab w:val="clear" w:pos="0"/>
          <w:tab w:val="left" w:pos="284"/>
          <w:tab w:val="left" w:pos="425"/>
          <w:tab w:val="left" w:pos="567"/>
        </w:tabs>
        <w:spacing w:line="240" w:lineRule="auto"/>
        <w:ind w:hanging="851"/>
        <w:rPr>
          <w:szCs w:val="28"/>
          <w:lang w:val="en-AU" w:eastAsia="ja-JP"/>
        </w:rPr>
      </w:pPr>
      <w:bookmarkStart w:id="30" w:name="_Toc440613708"/>
      <w:r>
        <w:rPr>
          <w:szCs w:val="28"/>
          <w:lang w:val="en-AU" w:eastAsia="ja-JP"/>
        </w:rPr>
        <w:t>6.2</w:t>
      </w:r>
      <w:r>
        <w:rPr>
          <w:szCs w:val="28"/>
          <w:lang w:val="en-AU" w:eastAsia="ja-JP"/>
        </w:rPr>
        <w:tab/>
      </w:r>
      <w:r w:rsidR="00D14AFF" w:rsidRPr="00170553">
        <w:rPr>
          <w:szCs w:val="28"/>
          <w:lang w:val="en-AU" w:eastAsia="ja-JP"/>
        </w:rPr>
        <w:t xml:space="preserve">Increased </w:t>
      </w:r>
      <w:r w:rsidR="00F8305B" w:rsidRPr="00170553">
        <w:rPr>
          <w:szCs w:val="28"/>
          <w:lang w:val="en-AU" w:eastAsia="ja-JP"/>
        </w:rPr>
        <w:t>C</w:t>
      </w:r>
      <w:r w:rsidR="00D14AFF" w:rsidRPr="00170553">
        <w:rPr>
          <w:szCs w:val="28"/>
          <w:lang w:val="en-AU" w:eastAsia="ja-JP"/>
        </w:rPr>
        <w:t xml:space="preserve">ertainty to </w:t>
      </w:r>
      <w:r w:rsidR="00F8305B" w:rsidRPr="00170553">
        <w:rPr>
          <w:szCs w:val="28"/>
          <w:lang w:val="en-AU" w:eastAsia="ja-JP"/>
        </w:rPr>
        <w:t>S</w:t>
      </w:r>
      <w:r w:rsidR="00D14AFF" w:rsidRPr="00170553">
        <w:rPr>
          <w:szCs w:val="28"/>
          <w:lang w:val="en-AU" w:eastAsia="ja-JP"/>
        </w:rPr>
        <w:t xml:space="preserve">upport </w:t>
      </w:r>
      <w:r w:rsidR="00F8305B" w:rsidRPr="00170553">
        <w:rPr>
          <w:szCs w:val="28"/>
          <w:lang w:val="en-AU" w:eastAsia="ja-JP"/>
        </w:rPr>
        <w:t>E</w:t>
      </w:r>
      <w:r w:rsidR="00D14AFF" w:rsidRPr="00170553">
        <w:rPr>
          <w:szCs w:val="28"/>
          <w:lang w:val="en-AU" w:eastAsia="ja-JP"/>
        </w:rPr>
        <w:t xml:space="preserve">fficient </w:t>
      </w:r>
      <w:r w:rsidR="00F8305B" w:rsidRPr="00170553">
        <w:rPr>
          <w:szCs w:val="28"/>
          <w:lang w:val="en-AU" w:eastAsia="ja-JP"/>
        </w:rPr>
        <w:t>I</w:t>
      </w:r>
      <w:r w:rsidR="00D14AFF" w:rsidRPr="00170553">
        <w:rPr>
          <w:szCs w:val="28"/>
          <w:lang w:val="en-AU" w:eastAsia="ja-JP"/>
        </w:rPr>
        <w:t>nvestment</w:t>
      </w:r>
      <w:bookmarkEnd w:id="30"/>
    </w:p>
    <w:p w:rsidR="008B5F3B" w:rsidRPr="00E43A9E" w:rsidRDefault="008B5F3B"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Both networks will be reviewed under one</w:t>
      </w:r>
      <w:r w:rsidR="00C009F2" w:rsidRPr="00E43A9E">
        <w:rPr>
          <w:rFonts w:ascii="Arial Narrow" w:eastAsiaTheme="minorEastAsia" w:hAnsi="Arial Narrow" w:cs="ApexNew-Book"/>
          <w:color w:val="1D1D1C"/>
          <w:u w:color="000000"/>
          <w:lang w:eastAsia="ja-JP"/>
        </w:rPr>
        <w:t xml:space="preserve"> access </w:t>
      </w:r>
      <w:r w:rsidRPr="00E43A9E">
        <w:rPr>
          <w:rFonts w:ascii="Arial Narrow" w:eastAsiaTheme="minorEastAsia" w:hAnsi="Arial Narrow" w:cs="ApexNew-Book"/>
          <w:color w:val="1D1D1C"/>
          <w:u w:color="000000"/>
          <w:lang w:eastAsia="ja-JP"/>
        </w:rPr>
        <w:t>arrangement, assessed at the same time and operated under the same terms and conditions</w:t>
      </w:r>
      <w:r w:rsidR="00E44EB9" w:rsidRPr="00E43A9E">
        <w:rPr>
          <w:rFonts w:ascii="Arial Narrow" w:eastAsiaTheme="minorEastAsia" w:hAnsi="Arial Narrow" w:cs="ApexNew-Book"/>
          <w:color w:val="1D1D1C"/>
          <w:u w:color="000000"/>
          <w:lang w:eastAsia="ja-JP"/>
        </w:rPr>
        <w:t xml:space="preserve">. Consolidation </w:t>
      </w:r>
      <w:r w:rsidR="003E14FC" w:rsidRPr="00E43A9E">
        <w:rPr>
          <w:rFonts w:ascii="Arial Narrow" w:eastAsiaTheme="minorEastAsia" w:hAnsi="Arial Narrow" w:cs="ApexNew-Book"/>
          <w:color w:val="1D1D1C"/>
          <w:u w:color="000000"/>
          <w:lang w:eastAsia="ja-JP"/>
        </w:rPr>
        <w:t>not only</w:t>
      </w:r>
      <w:r w:rsidRPr="00E43A9E">
        <w:rPr>
          <w:rFonts w:ascii="Arial Narrow" w:eastAsiaTheme="minorEastAsia" w:hAnsi="Arial Narrow" w:cs="ApexNew-Book"/>
          <w:color w:val="1D1D1C"/>
          <w:u w:color="000000"/>
          <w:lang w:eastAsia="ja-JP"/>
        </w:rPr>
        <w:t xml:space="preserve"> formalises the current approach but </w:t>
      </w:r>
      <w:r w:rsidR="003E14FC" w:rsidRPr="00E43A9E">
        <w:rPr>
          <w:rFonts w:ascii="Arial Narrow" w:eastAsiaTheme="minorEastAsia" w:hAnsi="Arial Narrow" w:cs="ApexNew-Book"/>
          <w:color w:val="1D1D1C"/>
          <w:u w:color="000000"/>
          <w:lang w:eastAsia="ja-JP"/>
        </w:rPr>
        <w:t xml:space="preserve">it also </w:t>
      </w:r>
      <w:r w:rsidRPr="00E43A9E">
        <w:rPr>
          <w:rFonts w:ascii="Arial Narrow" w:eastAsiaTheme="minorEastAsia" w:hAnsi="Arial Narrow" w:cs="ApexNew-Book"/>
          <w:color w:val="1D1D1C"/>
          <w:u w:color="000000"/>
          <w:lang w:eastAsia="ja-JP"/>
        </w:rPr>
        <w:t xml:space="preserve">removes </w:t>
      </w:r>
      <w:r w:rsidR="003E14FC" w:rsidRPr="00E43A9E">
        <w:rPr>
          <w:rFonts w:ascii="Arial Narrow" w:eastAsiaTheme="minorEastAsia" w:hAnsi="Arial Narrow" w:cs="ApexNew-Book"/>
          <w:color w:val="1D1D1C"/>
          <w:u w:color="000000"/>
          <w:lang w:eastAsia="ja-JP"/>
        </w:rPr>
        <w:t>the potential for a different regulatory treatment of Albury</w:t>
      </w:r>
      <w:r w:rsidR="00E44EB9" w:rsidRPr="00E43A9E">
        <w:rPr>
          <w:rFonts w:ascii="Arial Narrow" w:eastAsiaTheme="minorEastAsia" w:hAnsi="Arial Narrow" w:cs="ApexNew-Book"/>
          <w:color w:val="1D1D1C"/>
          <w:u w:color="000000"/>
          <w:lang w:eastAsia="ja-JP"/>
        </w:rPr>
        <w:t>,</w:t>
      </w:r>
      <w:r w:rsidR="003E14FC" w:rsidRPr="00E43A9E">
        <w:rPr>
          <w:rFonts w:ascii="Arial Narrow" w:eastAsiaTheme="minorEastAsia" w:hAnsi="Arial Narrow" w:cs="ApexNew-Book"/>
          <w:color w:val="1D1D1C"/>
          <w:u w:color="000000"/>
          <w:lang w:eastAsia="ja-JP"/>
        </w:rPr>
        <w:t xml:space="preserve"> which might otherwise </w:t>
      </w:r>
      <w:r w:rsidR="00E44EB9" w:rsidRPr="00E43A9E">
        <w:rPr>
          <w:rFonts w:ascii="Arial Narrow" w:eastAsiaTheme="minorEastAsia" w:hAnsi="Arial Narrow" w:cs="ApexNew-Book"/>
          <w:color w:val="1D1D1C"/>
          <w:u w:color="000000"/>
          <w:lang w:eastAsia="ja-JP"/>
        </w:rPr>
        <w:t>prompt</w:t>
      </w:r>
      <w:r w:rsidR="003E14FC" w:rsidRPr="00E43A9E">
        <w:rPr>
          <w:rFonts w:ascii="Arial Narrow" w:eastAsiaTheme="minorEastAsia" w:hAnsi="Arial Narrow" w:cs="ApexNew-Book"/>
          <w:color w:val="1D1D1C"/>
          <w:u w:color="000000"/>
          <w:lang w:eastAsia="ja-JP"/>
        </w:rPr>
        <w:t xml:space="preserve"> changes to the operation and treatment of the network in a way that increases costs. </w:t>
      </w:r>
      <w:r w:rsidRPr="00E43A9E">
        <w:rPr>
          <w:rFonts w:ascii="Arial Narrow" w:eastAsiaTheme="minorEastAsia" w:hAnsi="Arial Narrow" w:cs="ApexNew-Book"/>
          <w:color w:val="1D1D1C"/>
          <w:u w:color="000000"/>
          <w:lang w:eastAsia="ja-JP"/>
        </w:rPr>
        <w:t xml:space="preserve">Greater certainty allows </w:t>
      </w:r>
      <w:r w:rsidR="00E44EB9" w:rsidRPr="00E43A9E">
        <w:rPr>
          <w:rFonts w:ascii="Arial Narrow" w:eastAsiaTheme="minorEastAsia" w:hAnsi="Arial Narrow" w:cs="ApexNew-Book"/>
          <w:color w:val="1D1D1C"/>
          <w:u w:color="000000"/>
          <w:lang w:eastAsia="ja-JP"/>
        </w:rPr>
        <w:t xml:space="preserve">for </w:t>
      </w:r>
      <w:r w:rsidRPr="00E43A9E">
        <w:rPr>
          <w:rFonts w:ascii="Arial Narrow" w:eastAsiaTheme="minorEastAsia" w:hAnsi="Arial Narrow" w:cs="ApexNew-Book"/>
          <w:color w:val="1D1D1C"/>
          <w:u w:color="000000"/>
          <w:lang w:eastAsia="ja-JP"/>
        </w:rPr>
        <w:t>more efficient investment</w:t>
      </w:r>
      <w:r w:rsidR="00C009F2" w:rsidRPr="00E43A9E">
        <w:rPr>
          <w:rFonts w:ascii="Arial Narrow" w:eastAsiaTheme="minorEastAsia" w:hAnsi="Arial Narrow" w:cs="ApexNew-Book"/>
          <w:color w:val="1D1D1C"/>
          <w:u w:color="000000"/>
          <w:lang w:eastAsia="ja-JP"/>
        </w:rPr>
        <w:t>.</w:t>
      </w:r>
    </w:p>
    <w:p w:rsidR="00C009F2" w:rsidRPr="00E44EB9" w:rsidRDefault="00C009F2" w:rsidP="009C346A">
      <w:pPr>
        <w:pStyle w:val="Heading1"/>
      </w:pPr>
      <w:bookmarkStart w:id="31" w:name="_Toc440613709"/>
      <w:r>
        <w:t>Summary</w:t>
      </w:r>
      <w:bookmarkEnd w:id="31"/>
    </w:p>
    <w:p w:rsidR="00C009F2" w:rsidRPr="00E43A9E" w:rsidRDefault="007C6C63"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In </w:t>
      </w:r>
      <w:r w:rsidR="00C009F2" w:rsidRPr="00E43A9E">
        <w:rPr>
          <w:rFonts w:ascii="Arial Narrow" w:eastAsiaTheme="minorEastAsia" w:hAnsi="Arial Narrow" w:cs="ApexNew-Book"/>
          <w:color w:val="1D1D1C"/>
          <w:u w:color="000000"/>
          <w:lang w:eastAsia="ja-JP"/>
        </w:rPr>
        <w:t>summary</w:t>
      </w:r>
      <w:r w:rsidRPr="00E43A9E">
        <w:rPr>
          <w:rFonts w:ascii="Arial Narrow" w:eastAsiaTheme="minorEastAsia" w:hAnsi="Arial Narrow" w:cs="ApexNew-Book"/>
          <w:color w:val="1D1D1C"/>
          <w:u w:color="000000"/>
          <w:lang w:eastAsia="ja-JP"/>
        </w:rPr>
        <w:t xml:space="preserve">, AGN considers consolidation of the </w:t>
      </w:r>
      <w:r w:rsidR="00C009F2" w:rsidRPr="00E43A9E">
        <w:rPr>
          <w:rFonts w:ascii="Arial Narrow" w:eastAsiaTheme="minorEastAsia" w:hAnsi="Arial Narrow" w:cs="ApexNew-Book"/>
          <w:color w:val="1D1D1C"/>
          <w:u w:color="000000"/>
          <w:lang w:eastAsia="ja-JP"/>
        </w:rPr>
        <w:t>a</w:t>
      </w:r>
      <w:r w:rsidRPr="00E43A9E">
        <w:rPr>
          <w:rFonts w:ascii="Arial Narrow" w:eastAsiaTheme="minorEastAsia" w:hAnsi="Arial Narrow" w:cs="ApexNew-Book"/>
          <w:color w:val="1D1D1C"/>
          <w:u w:color="000000"/>
          <w:lang w:eastAsia="ja-JP"/>
        </w:rPr>
        <w:t xml:space="preserve">ccess </w:t>
      </w:r>
      <w:r w:rsidR="00C009F2" w:rsidRPr="00E43A9E">
        <w:rPr>
          <w:rFonts w:ascii="Arial Narrow" w:eastAsiaTheme="minorEastAsia" w:hAnsi="Arial Narrow" w:cs="ApexNew-Book"/>
          <w:color w:val="1D1D1C"/>
          <w:u w:color="000000"/>
          <w:lang w:eastAsia="ja-JP"/>
        </w:rPr>
        <w:t>a</w:t>
      </w:r>
      <w:r w:rsidRPr="00E43A9E">
        <w:rPr>
          <w:rFonts w:ascii="Arial Narrow" w:eastAsiaTheme="minorEastAsia" w:hAnsi="Arial Narrow" w:cs="ApexNew-Book"/>
          <w:color w:val="1D1D1C"/>
          <w:u w:color="000000"/>
          <w:lang w:eastAsia="ja-JP"/>
        </w:rPr>
        <w:t>rrangements for the Victoria</w:t>
      </w:r>
      <w:r w:rsidR="00C009F2" w:rsidRPr="00E43A9E">
        <w:rPr>
          <w:rFonts w:ascii="Arial Narrow" w:eastAsiaTheme="minorEastAsia" w:hAnsi="Arial Narrow" w:cs="ApexNew-Book"/>
          <w:color w:val="1D1D1C"/>
          <w:u w:color="000000"/>
          <w:lang w:eastAsia="ja-JP"/>
        </w:rPr>
        <w:t>n</w:t>
      </w:r>
      <w:r w:rsidRPr="00E43A9E">
        <w:rPr>
          <w:rFonts w:ascii="Arial Narrow" w:eastAsiaTheme="minorEastAsia" w:hAnsi="Arial Narrow" w:cs="ApexNew-Book"/>
          <w:color w:val="1D1D1C"/>
          <w:u w:color="000000"/>
          <w:lang w:eastAsia="ja-JP"/>
        </w:rPr>
        <w:t xml:space="preserve"> and Albury </w:t>
      </w:r>
      <w:r w:rsidR="00C009F2" w:rsidRPr="00E43A9E">
        <w:rPr>
          <w:rFonts w:ascii="Arial Narrow" w:eastAsiaTheme="minorEastAsia" w:hAnsi="Arial Narrow" w:cs="ApexNew-Book"/>
          <w:color w:val="1D1D1C"/>
          <w:u w:color="000000"/>
          <w:lang w:eastAsia="ja-JP"/>
        </w:rPr>
        <w:t xml:space="preserve">natural </w:t>
      </w:r>
      <w:r w:rsidRPr="00E43A9E">
        <w:rPr>
          <w:rFonts w:ascii="Arial Narrow" w:eastAsiaTheme="minorEastAsia" w:hAnsi="Arial Narrow" w:cs="ApexNew-Book"/>
          <w:color w:val="1D1D1C"/>
          <w:u w:color="000000"/>
          <w:lang w:eastAsia="ja-JP"/>
        </w:rPr>
        <w:t xml:space="preserve">gas distribution networks </w:t>
      </w:r>
      <w:r w:rsidR="000873EF">
        <w:rPr>
          <w:rFonts w:ascii="Arial Narrow" w:eastAsiaTheme="minorEastAsia" w:hAnsi="Arial Narrow" w:cs="ApexNew-Book"/>
          <w:color w:val="1D1D1C"/>
          <w:u w:color="000000"/>
          <w:lang w:eastAsia="ja-JP"/>
        </w:rPr>
        <w:t xml:space="preserve">to be </w:t>
      </w:r>
      <w:r w:rsidRPr="00E43A9E">
        <w:rPr>
          <w:rFonts w:ascii="Arial Narrow" w:eastAsiaTheme="minorEastAsia" w:hAnsi="Arial Narrow" w:cs="ApexNew-Book"/>
          <w:color w:val="1D1D1C"/>
          <w:u w:color="000000"/>
          <w:lang w:eastAsia="ja-JP"/>
        </w:rPr>
        <w:t xml:space="preserve">a prudent and relatively straightforward </w:t>
      </w:r>
      <w:r w:rsidR="00C009F2" w:rsidRPr="00E43A9E">
        <w:rPr>
          <w:rFonts w:ascii="Arial Narrow" w:eastAsiaTheme="minorEastAsia" w:hAnsi="Arial Narrow" w:cs="ApexNew-Book"/>
          <w:color w:val="1D1D1C"/>
          <w:u w:color="000000"/>
          <w:lang w:eastAsia="ja-JP"/>
        </w:rPr>
        <w:t xml:space="preserve">administrative </w:t>
      </w:r>
      <w:r w:rsidRPr="00E43A9E">
        <w:rPr>
          <w:rFonts w:ascii="Arial Narrow" w:eastAsiaTheme="minorEastAsia" w:hAnsi="Arial Narrow" w:cs="ApexNew-Book"/>
          <w:color w:val="1D1D1C"/>
          <w:u w:color="000000"/>
          <w:lang w:eastAsia="ja-JP"/>
        </w:rPr>
        <w:t>exercise that</w:t>
      </w:r>
      <w:r w:rsidR="00C009F2" w:rsidRPr="00E43A9E">
        <w:rPr>
          <w:rFonts w:ascii="Arial Narrow" w:eastAsiaTheme="minorEastAsia" w:hAnsi="Arial Narrow" w:cs="ApexNew-Book"/>
          <w:color w:val="1D1D1C"/>
          <w:u w:color="000000"/>
          <w:lang w:eastAsia="ja-JP"/>
        </w:rPr>
        <w:t xml:space="preserve"> </w:t>
      </w:r>
      <w:r w:rsidR="000873EF">
        <w:rPr>
          <w:rFonts w:ascii="Arial Narrow" w:eastAsiaTheme="minorEastAsia" w:hAnsi="Arial Narrow" w:cs="ApexNew-Book"/>
          <w:color w:val="1D1D1C"/>
          <w:u w:color="000000"/>
          <w:lang w:eastAsia="ja-JP"/>
        </w:rPr>
        <w:t xml:space="preserve">better </w:t>
      </w:r>
      <w:r w:rsidR="00C009F2" w:rsidRPr="00E43A9E">
        <w:rPr>
          <w:rFonts w:ascii="Arial Narrow" w:eastAsiaTheme="minorEastAsia" w:hAnsi="Arial Narrow" w:cs="ApexNew-Book"/>
          <w:color w:val="1D1D1C"/>
          <w:u w:color="000000"/>
          <w:lang w:eastAsia="ja-JP"/>
        </w:rPr>
        <w:t xml:space="preserve">promotes the achievement of the NGO. This reflects that consolidating access arrangements, by reducing the regulatory </w:t>
      </w:r>
      <w:r w:rsidR="000873EF">
        <w:rPr>
          <w:rFonts w:ascii="Arial Narrow" w:eastAsiaTheme="minorEastAsia" w:hAnsi="Arial Narrow" w:cs="ApexNew-Book"/>
          <w:color w:val="1D1D1C"/>
          <w:u w:color="000000"/>
          <w:lang w:eastAsia="ja-JP"/>
        </w:rPr>
        <w:t xml:space="preserve">costs </w:t>
      </w:r>
      <w:r w:rsidR="00C009F2" w:rsidRPr="00E43A9E">
        <w:rPr>
          <w:rFonts w:ascii="Arial Narrow" w:eastAsiaTheme="minorEastAsia" w:hAnsi="Arial Narrow" w:cs="ApexNew-Book"/>
          <w:color w:val="1D1D1C"/>
          <w:u w:color="000000"/>
          <w:lang w:eastAsia="ja-JP"/>
        </w:rPr>
        <w:t xml:space="preserve">imposed on </w:t>
      </w:r>
      <w:r w:rsidR="000873EF">
        <w:rPr>
          <w:rFonts w:ascii="Arial Narrow" w:eastAsiaTheme="minorEastAsia" w:hAnsi="Arial Narrow" w:cs="ApexNew-Book"/>
          <w:color w:val="1D1D1C"/>
          <w:u w:color="000000"/>
          <w:lang w:eastAsia="ja-JP"/>
        </w:rPr>
        <w:t xml:space="preserve">AGN and </w:t>
      </w:r>
      <w:r w:rsidR="00C009F2" w:rsidRPr="00E43A9E">
        <w:rPr>
          <w:rFonts w:ascii="Arial Narrow" w:eastAsiaTheme="minorEastAsia" w:hAnsi="Arial Narrow" w:cs="ApexNew-Book"/>
          <w:color w:val="1D1D1C"/>
          <w:u w:color="000000"/>
          <w:lang w:eastAsia="ja-JP"/>
        </w:rPr>
        <w:t>stakeholders, is expected to</w:t>
      </w:r>
      <w:r w:rsidR="00C3121F" w:rsidRPr="00E43A9E">
        <w:rPr>
          <w:rFonts w:ascii="Arial Narrow" w:eastAsiaTheme="minorEastAsia" w:hAnsi="Arial Narrow" w:cs="ApexNew-Book"/>
          <w:color w:val="1D1D1C"/>
          <w:u w:color="000000"/>
          <w:lang w:eastAsia="ja-JP"/>
        </w:rPr>
        <w:t xml:space="preserve"> be in “</w:t>
      </w:r>
      <w:r w:rsidR="00C3121F" w:rsidRPr="002E1EE1">
        <w:rPr>
          <w:rFonts w:ascii="Arial Narrow" w:eastAsiaTheme="minorEastAsia" w:hAnsi="Arial Narrow" w:cs="ApexNew-Book"/>
          <w:i/>
          <w:color w:val="1D1D1C"/>
          <w:u w:color="000000"/>
          <w:lang w:eastAsia="ja-JP"/>
        </w:rPr>
        <w:t>the long term interests of consumers of natural gas with respect to price</w:t>
      </w:r>
      <w:r w:rsidR="00C3121F" w:rsidRPr="00E43A9E">
        <w:rPr>
          <w:rFonts w:ascii="Arial Narrow" w:eastAsiaTheme="minorEastAsia" w:hAnsi="Arial Narrow" w:cs="ApexNew-Book"/>
          <w:color w:val="1D1D1C"/>
          <w:u w:color="000000"/>
          <w:lang w:eastAsia="ja-JP"/>
        </w:rPr>
        <w:t xml:space="preserve">”. </w:t>
      </w:r>
    </w:p>
    <w:p w:rsidR="00C3121F" w:rsidRPr="00E43A9E" w:rsidRDefault="00C3121F" w:rsidP="001E787A">
      <w:pPr>
        <w:spacing w:before="120" w:after="200" w:line="240" w:lineRule="auto"/>
        <w:jc w:val="both"/>
        <w:rPr>
          <w:rFonts w:ascii="Arial Narrow" w:eastAsiaTheme="minorEastAsia" w:hAnsi="Arial Narrow" w:cs="ApexNew-Book"/>
          <w:color w:val="1D1D1C"/>
          <w:u w:color="000000"/>
          <w:lang w:eastAsia="ja-JP"/>
        </w:rPr>
      </w:pPr>
      <w:r w:rsidRPr="00E43A9E">
        <w:rPr>
          <w:rFonts w:ascii="Arial Narrow" w:eastAsiaTheme="minorEastAsia" w:hAnsi="Arial Narrow" w:cs="ApexNew-Book"/>
          <w:color w:val="1D1D1C"/>
          <w:u w:color="000000"/>
          <w:lang w:eastAsia="ja-JP"/>
        </w:rPr>
        <w:t xml:space="preserve">Consolidating access arrangements on its own will not change the regulatory obligations imposed on the business, the operation of the Victorian and Albury networks, the services and the tariffs that apply to those networks and the level of regulatory oversight applied to the networks (as both will continue to be subject to full regulation pursuant to the NGL). This application for consolidation is largely an administrative exercise aimed at lowering regulatory costs. </w:t>
      </w:r>
    </w:p>
    <w:p w:rsidR="00240D14" w:rsidRDefault="00240D14" w:rsidP="00F8305B">
      <w:pPr>
        <w:pStyle w:val="NoSpacing"/>
        <w:rPr>
          <w:rFonts w:eastAsiaTheme="minorEastAsia"/>
        </w:rPr>
      </w:pPr>
    </w:p>
    <w:p w:rsidR="00F8305B" w:rsidRDefault="00F8305B" w:rsidP="00F8305B">
      <w:pPr>
        <w:pStyle w:val="Heading1"/>
        <w:numPr>
          <w:ilvl w:val="0"/>
          <w:numId w:val="0"/>
        </w:numPr>
        <w:ind w:left="-851" w:firstLine="851"/>
        <w:sectPr w:rsidR="00F8305B" w:rsidSect="00672871">
          <w:pgSz w:w="11906" w:h="16838"/>
          <w:pgMar w:top="1440" w:right="1133" w:bottom="1135" w:left="2268" w:header="708" w:footer="0" w:gutter="0"/>
          <w:pgNumType w:start="1"/>
          <w:cols w:space="708"/>
          <w:docGrid w:linePitch="360"/>
        </w:sectPr>
      </w:pPr>
    </w:p>
    <w:p w:rsidR="00204252" w:rsidRDefault="00204252" w:rsidP="00204252">
      <w:pPr>
        <w:pStyle w:val="Heading1"/>
        <w:numPr>
          <w:ilvl w:val="0"/>
          <w:numId w:val="0"/>
        </w:numPr>
        <w:ind w:left="-851" w:firstLine="851"/>
      </w:pPr>
      <w:bookmarkStart w:id="32" w:name="_Toc440613710"/>
      <w:r>
        <w:lastRenderedPageBreak/>
        <w:t xml:space="preserve">Attachment </w:t>
      </w:r>
      <w:r w:rsidR="001C63CD">
        <w:t>1</w:t>
      </w:r>
      <w:r>
        <w:t>: Stakeholder Consultation – Log of Meetings</w:t>
      </w:r>
      <w:bookmarkEnd w:id="32"/>
    </w:p>
    <w:p w:rsidR="00204252" w:rsidRDefault="00204252" w:rsidP="00204252">
      <w:pPr>
        <w:pStyle w:val="FIGURESTYLE"/>
      </w:pPr>
      <w:r>
        <w:rPr>
          <w:b w:val="0"/>
        </w:rPr>
        <w:t>Log</w:t>
      </w:r>
      <w:r w:rsidRPr="003417FB">
        <w:rPr>
          <w:b w:val="0"/>
        </w:rPr>
        <w:t xml:space="preserve"> OF STAKEHOLDER MEETINGS</w:t>
      </w:r>
    </w:p>
    <w:tbl>
      <w:tblPr>
        <w:tblStyle w:val="AGNTABLESTYE2"/>
        <w:tblpPr w:leftFromText="180" w:rightFromText="180" w:vertAnchor="text" w:horzAnchor="margin" w:tblpY="18"/>
        <w:tblW w:w="14029" w:type="dxa"/>
        <w:tblLayout w:type="fixed"/>
        <w:tblLook w:val="04A0" w:firstRow="1" w:lastRow="0" w:firstColumn="1" w:lastColumn="0" w:noHBand="0" w:noVBand="1"/>
      </w:tblPr>
      <w:tblGrid>
        <w:gridCol w:w="1413"/>
        <w:gridCol w:w="1984"/>
        <w:gridCol w:w="3119"/>
        <w:gridCol w:w="3118"/>
        <w:gridCol w:w="1985"/>
        <w:gridCol w:w="2410"/>
      </w:tblGrid>
      <w:tr w:rsidR="00204252" w:rsidRPr="00167425" w:rsidTr="002B2BCF">
        <w:trPr>
          <w:cnfStyle w:val="100000000000" w:firstRow="1" w:lastRow="0" w:firstColumn="0" w:lastColumn="0" w:oddVBand="0" w:evenVBand="0" w:oddHBand="0" w:evenHBand="0" w:firstRowFirstColumn="0" w:firstRowLastColumn="0" w:lastRowFirstColumn="0" w:lastRowLastColumn="0"/>
        </w:trPr>
        <w:tc>
          <w:tcPr>
            <w:tcW w:w="1413" w:type="dxa"/>
          </w:tcPr>
          <w:p w:rsidR="00204252" w:rsidRPr="00167425" w:rsidRDefault="00204252" w:rsidP="002B2BCF">
            <w:pPr>
              <w:pStyle w:val="TableHeadingText"/>
              <w:jc w:val="center"/>
              <w:rPr>
                <w:lang w:eastAsia="en-AU"/>
              </w:rPr>
            </w:pPr>
            <w:r w:rsidRPr="00167425">
              <w:rPr>
                <w:lang w:eastAsia="en-AU"/>
              </w:rPr>
              <w:t>Date</w:t>
            </w:r>
          </w:p>
        </w:tc>
        <w:tc>
          <w:tcPr>
            <w:tcW w:w="1984" w:type="dxa"/>
          </w:tcPr>
          <w:p w:rsidR="00204252" w:rsidRPr="00167425" w:rsidRDefault="00204252" w:rsidP="002B2BCF">
            <w:pPr>
              <w:pStyle w:val="TableHeadingText"/>
              <w:jc w:val="center"/>
              <w:rPr>
                <w:lang w:eastAsia="en-AU"/>
              </w:rPr>
            </w:pPr>
            <w:proofErr w:type="spellStart"/>
            <w:r w:rsidRPr="00167425">
              <w:rPr>
                <w:lang w:eastAsia="en-AU"/>
              </w:rPr>
              <w:t>Organisation</w:t>
            </w:r>
            <w:proofErr w:type="spellEnd"/>
          </w:p>
        </w:tc>
        <w:tc>
          <w:tcPr>
            <w:tcW w:w="3119" w:type="dxa"/>
          </w:tcPr>
          <w:p w:rsidR="00204252" w:rsidRPr="00167425" w:rsidRDefault="00204252" w:rsidP="002B2BCF">
            <w:pPr>
              <w:pStyle w:val="TableHeadingText"/>
              <w:jc w:val="center"/>
              <w:rPr>
                <w:lang w:eastAsia="en-AU"/>
              </w:rPr>
            </w:pPr>
            <w:proofErr w:type="spellStart"/>
            <w:r w:rsidRPr="00167425">
              <w:rPr>
                <w:lang w:eastAsia="en-AU"/>
              </w:rPr>
              <w:t>Organisation</w:t>
            </w:r>
            <w:proofErr w:type="spellEnd"/>
            <w:r w:rsidRPr="00167425">
              <w:rPr>
                <w:lang w:eastAsia="en-AU"/>
              </w:rPr>
              <w:t xml:space="preserve"> Representative(s)</w:t>
            </w:r>
          </w:p>
        </w:tc>
        <w:tc>
          <w:tcPr>
            <w:tcW w:w="3118" w:type="dxa"/>
          </w:tcPr>
          <w:p w:rsidR="00204252" w:rsidRPr="00167425" w:rsidRDefault="00204252" w:rsidP="002B2BCF">
            <w:pPr>
              <w:pStyle w:val="TableHeadingText"/>
              <w:jc w:val="center"/>
              <w:rPr>
                <w:lang w:eastAsia="en-AU"/>
              </w:rPr>
            </w:pPr>
            <w:r w:rsidRPr="00167425">
              <w:rPr>
                <w:lang w:eastAsia="en-AU"/>
              </w:rPr>
              <w:t>AGN Representative(s)</w:t>
            </w:r>
          </w:p>
        </w:tc>
        <w:tc>
          <w:tcPr>
            <w:tcW w:w="1985" w:type="dxa"/>
          </w:tcPr>
          <w:p w:rsidR="00204252" w:rsidRPr="00167425" w:rsidRDefault="00204252" w:rsidP="002B2BCF">
            <w:pPr>
              <w:pStyle w:val="TableHeadingText"/>
              <w:jc w:val="center"/>
              <w:rPr>
                <w:lang w:eastAsia="en-AU"/>
              </w:rPr>
            </w:pPr>
            <w:r w:rsidRPr="00167425">
              <w:rPr>
                <w:lang w:eastAsia="en-AU"/>
              </w:rPr>
              <w:t>Meeting Material</w:t>
            </w:r>
          </w:p>
        </w:tc>
        <w:tc>
          <w:tcPr>
            <w:tcW w:w="2410" w:type="dxa"/>
          </w:tcPr>
          <w:p w:rsidR="00204252" w:rsidRPr="00167425" w:rsidRDefault="00204252" w:rsidP="002B2BCF">
            <w:pPr>
              <w:pStyle w:val="TableHeadingText"/>
              <w:jc w:val="center"/>
              <w:rPr>
                <w:lang w:eastAsia="en-AU"/>
              </w:rPr>
            </w:pPr>
            <w:r w:rsidRPr="00167425">
              <w:rPr>
                <w:lang w:eastAsia="en-AU"/>
              </w:rPr>
              <w:t>Meeting Minutes</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4 November 15</w:t>
            </w:r>
          </w:p>
        </w:tc>
        <w:tc>
          <w:tcPr>
            <w:tcW w:w="1984" w:type="dxa"/>
          </w:tcPr>
          <w:p w:rsidR="00204252" w:rsidRPr="00167425" w:rsidRDefault="00204252" w:rsidP="002B2BCF">
            <w:pPr>
              <w:pStyle w:val="TableText"/>
              <w:jc w:val="left"/>
              <w:rPr>
                <w:lang w:eastAsia="en-AU"/>
              </w:rPr>
            </w:pPr>
            <w:r>
              <w:rPr>
                <w:lang w:eastAsia="en-AU"/>
              </w:rPr>
              <w:t>NSW Department of Industry</w:t>
            </w:r>
          </w:p>
        </w:tc>
        <w:tc>
          <w:tcPr>
            <w:tcW w:w="3119" w:type="dxa"/>
          </w:tcPr>
          <w:p w:rsidR="00204252" w:rsidRPr="00167425" w:rsidRDefault="00204252" w:rsidP="00535561">
            <w:pPr>
              <w:pStyle w:val="TableText"/>
              <w:jc w:val="left"/>
              <w:rPr>
                <w:lang w:eastAsia="en-AU"/>
              </w:rPr>
            </w:pPr>
            <w:r>
              <w:rPr>
                <w:lang w:eastAsia="en-AU"/>
              </w:rPr>
              <w:t>Kath</w:t>
            </w:r>
            <w:r w:rsidR="00535561">
              <w:rPr>
                <w:lang w:eastAsia="en-AU"/>
              </w:rPr>
              <w:t>a</w:t>
            </w:r>
            <w:r>
              <w:rPr>
                <w:lang w:eastAsia="en-AU"/>
              </w:rPr>
              <w:t>rine Hole</w:t>
            </w:r>
          </w:p>
        </w:tc>
        <w:tc>
          <w:tcPr>
            <w:tcW w:w="3118" w:type="dxa"/>
          </w:tcPr>
          <w:p w:rsidR="00204252" w:rsidRPr="00167425" w:rsidRDefault="00535561" w:rsidP="002B2BCF">
            <w:pPr>
              <w:pStyle w:val="TableText"/>
              <w:jc w:val="left"/>
              <w:rPr>
                <w:lang w:eastAsia="en-AU"/>
              </w:rPr>
            </w:pPr>
            <w:r>
              <w:rPr>
                <w:lang w:eastAsia="en-AU"/>
              </w:rPr>
              <w:t>Ben Wilson</w:t>
            </w:r>
            <w:r>
              <w:rPr>
                <w:lang w:eastAsia="en-AU"/>
              </w:rPr>
              <w:br/>
            </w:r>
            <w:r w:rsidR="00204252">
              <w:rPr>
                <w:lang w:eastAsia="en-AU"/>
              </w:rPr>
              <w:t>Craig de Laine</w:t>
            </w:r>
          </w:p>
        </w:tc>
        <w:tc>
          <w:tcPr>
            <w:tcW w:w="1985" w:type="dxa"/>
          </w:tcPr>
          <w:p w:rsidR="00204252" w:rsidRPr="00167425" w:rsidRDefault="00204252" w:rsidP="001C63CD">
            <w:pPr>
              <w:pStyle w:val="TableText"/>
              <w:jc w:val="left"/>
              <w:rPr>
                <w:lang w:eastAsia="en-AU"/>
              </w:rPr>
            </w:pPr>
            <w:r>
              <w:rPr>
                <w:lang w:eastAsia="en-AU"/>
              </w:rPr>
              <w:t xml:space="preserve">Refer Attachment </w:t>
            </w:r>
            <w:r w:rsidR="001C63CD">
              <w:rPr>
                <w:lang w:eastAsia="en-AU"/>
              </w:rPr>
              <w:t>2</w:t>
            </w:r>
          </w:p>
        </w:tc>
        <w:tc>
          <w:tcPr>
            <w:tcW w:w="2410" w:type="dxa"/>
          </w:tcPr>
          <w:p w:rsidR="00204252" w:rsidRPr="00167425" w:rsidRDefault="00204252" w:rsidP="002B2BCF">
            <w:pPr>
              <w:pStyle w:val="TableText"/>
              <w:jc w:val="left"/>
              <w:rPr>
                <w:lang w:eastAsia="en-AU"/>
              </w:rPr>
            </w:pPr>
            <w:r w:rsidRPr="00167425">
              <w:rPr>
                <w:lang w:eastAsia="en-AU"/>
              </w:rPr>
              <w:t>No minutes circulated</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4 November 15</w:t>
            </w:r>
          </w:p>
        </w:tc>
        <w:tc>
          <w:tcPr>
            <w:tcW w:w="1984" w:type="dxa"/>
          </w:tcPr>
          <w:p w:rsidR="00204252" w:rsidRPr="00167425" w:rsidRDefault="00204252" w:rsidP="002B2BCF">
            <w:pPr>
              <w:pStyle w:val="TableText"/>
              <w:jc w:val="left"/>
              <w:rPr>
                <w:lang w:eastAsia="en-AU"/>
              </w:rPr>
            </w:pPr>
            <w:r>
              <w:rPr>
                <w:lang w:eastAsia="en-AU"/>
              </w:rPr>
              <w:t>IPART</w:t>
            </w:r>
          </w:p>
        </w:tc>
        <w:tc>
          <w:tcPr>
            <w:tcW w:w="3119" w:type="dxa"/>
          </w:tcPr>
          <w:p w:rsidR="00204252" w:rsidRPr="00167425" w:rsidRDefault="00204252" w:rsidP="002B2BCF">
            <w:pPr>
              <w:pStyle w:val="TableText"/>
              <w:jc w:val="left"/>
              <w:rPr>
                <w:lang w:eastAsia="en-AU"/>
              </w:rPr>
            </w:pPr>
            <w:r>
              <w:rPr>
                <w:lang w:eastAsia="en-AU"/>
              </w:rPr>
              <w:t>John Smith</w:t>
            </w:r>
          </w:p>
        </w:tc>
        <w:tc>
          <w:tcPr>
            <w:tcW w:w="3118" w:type="dxa"/>
          </w:tcPr>
          <w:p w:rsidR="00204252" w:rsidRPr="00167425" w:rsidRDefault="00535561" w:rsidP="002B2BCF">
            <w:pPr>
              <w:pStyle w:val="TableText"/>
              <w:jc w:val="left"/>
              <w:rPr>
                <w:lang w:eastAsia="en-AU"/>
              </w:rPr>
            </w:pPr>
            <w:r>
              <w:rPr>
                <w:lang w:eastAsia="en-AU"/>
              </w:rPr>
              <w:t>Ben Wilson</w:t>
            </w:r>
            <w:r>
              <w:rPr>
                <w:lang w:eastAsia="en-AU"/>
              </w:rPr>
              <w:br/>
            </w:r>
            <w:r w:rsidR="00204252">
              <w:rPr>
                <w:lang w:eastAsia="en-AU"/>
              </w:rPr>
              <w:t>Craig de Laine</w:t>
            </w:r>
          </w:p>
        </w:tc>
        <w:tc>
          <w:tcPr>
            <w:tcW w:w="1985" w:type="dxa"/>
          </w:tcPr>
          <w:p w:rsidR="00204252" w:rsidRPr="00167425" w:rsidRDefault="00204252" w:rsidP="001C63CD">
            <w:pPr>
              <w:pStyle w:val="TableText"/>
              <w:jc w:val="left"/>
              <w:rPr>
                <w:lang w:eastAsia="en-AU"/>
              </w:rPr>
            </w:pPr>
            <w:r w:rsidRPr="00167425">
              <w:rPr>
                <w:lang w:eastAsia="en-AU"/>
              </w:rPr>
              <w:t xml:space="preserve">Refer Attachment </w:t>
            </w:r>
            <w:r w:rsidR="001C63CD">
              <w:rPr>
                <w:lang w:eastAsia="en-AU"/>
              </w:rPr>
              <w:t>2</w:t>
            </w:r>
          </w:p>
        </w:tc>
        <w:tc>
          <w:tcPr>
            <w:tcW w:w="2410" w:type="dxa"/>
          </w:tcPr>
          <w:p w:rsidR="00204252" w:rsidRPr="00167425" w:rsidRDefault="00204252" w:rsidP="002B2BCF">
            <w:pPr>
              <w:pStyle w:val="TableText"/>
              <w:jc w:val="left"/>
              <w:rPr>
                <w:lang w:eastAsia="en-AU"/>
              </w:rPr>
            </w:pPr>
            <w:r w:rsidRPr="00167425">
              <w:rPr>
                <w:lang w:eastAsia="en-AU"/>
              </w:rPr>
              <w:t>No minutes circulated</w:t>
            </w:r>
          </w:p>
        </w:tc>
      </w:tr>
      <w:tr w:rsidR="00204252" w:rsidRPr="00167425" w:rsidTr="002B2BCF">
        <w:tc>
          <w:tcPr>
            <w:tcW w:w="1413" w:type="dxa"/>
          </w:tcPr>
          <w:p w:rsidR="00204252" w:rsidRPr="00167425" w:rsidRDefault="00535561" w:rsidP="00535561">
            <w:pPr>
              <w:pStyle w:val="TableText"/>
              <w:jc w:val="left"/>
              <w:rPr>
                <w:lang w:eastAsia="en-AU"/>
              </w:rPr>
            </w:pPr>
            <w:r>
              <w:rPr>
                <w:lang w:eastAsia="en-AU"/>
              </w:rPr>
              <w:t>10</w:t>
            </w:r>
            <w:r w:rsidR="00204252">
              <w:rPr>
                <w:lang w:eastAsia="en-AU"/>
              </w:rPr>
              <w:t xml:space="preserve"> November 15</w:t>
            </w:r>
          </w:p>
        </w:tc>
        <w:tc>
          <w:tcPr>
            <w:tcW w:w="1984" w:type="dxa"/>
          </w:tcPr>
          <w:p w:rsidR="00204252" w:rsidRPr="00167425" w:rsidRDefault="00204252" w:rsidP="002B2BCF">
            <w:pPr>
              <w:pStyle w:val="TableText"/>
              <w:jc w:val="left"/>
              <w:rPr>
                <w:lang w:eastAsia="en-AU"/>
              </w:rPr>
            </w:pPr>
            <w:r>
              <w:rPr>
                <w:lang w:eastAsia="en-AU"/>
              </w:rPr>
              <w:t>AER</w:t>
            </w:r>
          </w:p>
        </w:tc>
        <w:tc>
          <w:tcPr>
            <w:tcW w:w="3119" w:type="dxa"/>
          </w:tcPr>
          <w:p w:rsidR="00204252" w:rsidRDefault="00204252" w:rsidP="002B2BCF">
            <w:pPr>
              <w:pStyle w:val="TableText"/>
              <w:jc w:val="left"/>
              <w:rPr>
                <w:lang w:eastAsia="en-AU"/>
              </w:rPr>
            </w:pPr>
            <w:r>
              <w:rPr>
                <w:lang w:eastAsia="en-AU"/>
              </w:rPr>
              <w:t>Sebastian Roberts</w:t>
            </w:r>
          </w:p>
          <w:p w:rsidR="00204252" w:rsidRDefault="00204252" w:rsidP="002B2BCF">
            <w:pPr>
              <w:pStyle w:val="TableText"/>
              <w:jc w:val="left"/>
              <w:rPr>
                <w:lang w:eastAsia="en-AU"/>
              </w:rPr>
            </w:pPr>
            <w:r>
              <w:rPr>
                <w:lang w:eastAsia="en-AU"/>
              </w:rPr>
              <w:t>Lynley Jorgensen</w:t>
            </w:r>
          </w:p>
          <w:p w:rsidR="00204252" w:rsidRPr="00167425" w:rsidRDefault="00204252" w:rsidP="002B2BCF">
            <w:pPr>
              <w:pStyle w:val="TableText"/>
              <w:jc w:val="left"/>
              <w:rPr>
                <w:lang w:eastAsia="en-AU"/>
              </w:rPr>
            </w:pPr>
            <w:r>
              <w:rPr>
                <w:lang w:eastAsia="en-AU"/>
              </w:rPr>
              <w:t>Anthony Bell</w:t>
            </w:r>
          </w:p>
        </w:tc>
        <w:tc>
          <w:tcPr>
            <w:tcW w:w="3118" w:type="dxa"/>
          </w:tcPr>
          <w:p w:rsidR="00204252" w:rsidRPr="00167425" w:rsidRDefault="00204252" w:rsidP="002B2BCF">
            <w:pPr>
              <w:pStyle w:val="TableText"/>
              <w:jc w:val="left"/>
              <w:rPr>
                <w:lang w:eastAsia="en-AU"/>
              </w:rPr>
            </w:pPr>
            <w:r>
              <w:rPr>
                <w:lang w:eastAsia="en-AU"/>
              </w:rPr>
              <w:t>Craig de Laine</w:t>
            </w:r>
            <w:r w:rsidR="00535561">
              <w:rPr>
                <w:lang w:eastAsia="en-AU"/>
              </w:rPr>
              <w:br/>
              <w:t>Peter Bucki</w:t>
            </w:r>
            <w:r w:rsidR="00535561">
              <w:rPr>
                <w:lang w:eastAsia="en-AU"/>
              </w:rPr>
              <w:br/>
              <w:t>Will Chivell</w:t>
            </w:r>
          </w:p>
        </w:tc>
        <w:tc>
          <w:tcPr>
            <w:tcW w:w="1985" w:type="dxa"/>
          </w:tcPr>
          <w:p w:rsidR="00204252" w:rsidRPr="00167425" w:rsidRDefault="00204252" w:rsidP="001C63CD">
            <w:pPr>
              <w:pStyle w:val="TableText"/>
              <w:jc w:val="left"/>
              <w:rPr>
                <w:lang w:eastAsia="en-AU"/>
              </w:rPr>
            </w:pPr>
            <w:r w:rsidRPr="00167425">
              <w:rPr>
                <w:lang w:eastAsia="en-AU"/>
              </w:rPr>
              <w:t xml:space="preserve">Refer Attachment </w:t>
            </w:r>
            <w:r w:rsidR="001C63CD">
              <w:rPr>
                <w:lang w:eastAsia="en-AU"/>
              </w:rPr>
              <w:t>2</w:t>
            </w:r>
          </w:p>
        </w:tc>
        <w:tc>
          <w:tcPr>
            <w:tcW w:w="2410" w:type="dxa"/>
          </w:tcPr>
          <w:p w:rsidR="00204252" w:rsidRPr="00167425" w:rsidRDefault="00204252" w:rsidP="002B2BCF">
            <w:pPr>
              <w:pStyle w:val="TableText"/>
              <w:jc w:val="left"/>
              <w:rPr>
                <w:lang w:eastAsia="en-AU"/>
              </w:rPr>
            </w:pPr>
            <w:r w:rsidRPr="00167425">
              <w:rPr>
                <w:lang w:eastAsia="en-AU"/>
              </w:rPr>
              <w:t>No minutes circulated</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10 November 15</w:t>
            </w:r>
          </w:p>
        </w:tc>
        <w:tc>
          <w:tcPr>
            <w:tcW w:w="1984" w:type="dxa"/>
          </w:tcPr>
          <w:p w:rsidR="00204252" w:rsidRPr="00167425" w:rsidRDefault="00204252" w:rsidP="002B2BCF">
            <w:pPr>
              <w:pStyle w:val="TableText"/>
              <w:jc w:val="left"/>
              <w:rPr>
                <w:lang w:eastAsia="en-AU"/>
              </w:rPr>
            </w:pPr>
            <w:r>
              <w:rPr>
                <w:lang w:eastAsia="en-AU"/>
              </w:rPr>
              <w:t xml:space="preserve">AGN </w:t>
            </w:r>
            <w:r w:rsidR="0097249B">
              <w:rPr>
                <w:lang w:eastAsia="en-AU"/>
              </w:rPr>
              <w:t xml:space="preserve">Victorian </w:t>
            </w:r>
            <w:r>
              <w:rPr>
                <w:lang w:eastAsia="en-AU"/>
              </w:rPr>
              <w:t>Retailer Reference Group</w:t>
            </w:r>
            <w:r>
              <w:rPr>
                <w:rStyle w:val="FootnoteReference"/>
                <w:lang w:eastAsia="en-AU"/>
              </w:rPr>
              <w:footnoteReference w:id="5"/>
            </w:r>
          </w:p>
        </w:tc>
        <w:tc>
          <w:tcPr>
            <w:tcW w:w="3119" w:type="dxa"/>
          </w:tcPr>
          <w:p w:rsidR="00204252" w:rsidRDefault="00204252" w:rsidP="002B2BCF">
            <w:pPr>
              <w:pStyle w:val="TableText"/>
              <w:jc w:val="left"/>
              <w:rPr>
                <w:lang w:eastAsia="en-AU"/>
              </w:rPr>
            </w:pPr>
            <w:r>
              <w:rPr>
                <w:lang w:eastAsia="en-AU"/>
              </w:rPr>
              <w:t>Patrick Whish-Wilson (AGL)</w:t>
            </w:r>
          </w:p>
          <w:p w:rsidR="00204252" w:rsidRDefault="00204252" w:rsidP="002B2BCF">
            <w:pPr>
              <w:pStyle w:val="TableText"/>
              <w:jc w:val="left"/>
              <w:rPr>
                <w:lang w:eastAsia="en-AU"/>
              </w:rPr>
            </w:pPr>
            <w:r>
              <w:rPr>
                <w:lang w:eastAsia="en-AU"/>
              </w:rPr>
              <w:t xml:space="preserve">Paul </w:t>
            </w:r>
            <w:proofErr w:type="spellStart"/>
            <w:r>
              <w:rPr>
                <w:lang w:eastAsia="en-AU"/>
              </w:rPr>
              <w:t>Mullan</w:t>
            </w:r>
            <w:proofErr w:type="spellEnd"/>
            <w:r>
              <w:rPr>
                <w:lang w:eastAsia="en-AU"/>
              </w:rPr>
              <w:t xml:space="preserve"> (</w:t>
            </w:r>
            <w:proofErr w:type="spellStart"/>
            <w:r>
              <w:rPr>
                <w:lang w:eastAsia="en-AU"/>
              </w:rPr>
              <w:t>Alinta</w:t>
            </w:r>
            <w:proofErr w:type="spellEnd"/>
            <w:r>
              <w:rPr>
                <w:lang w:eastAsia="en-AU"/>
              </w:rPr>
              <w:t xml:space="preserve"> Energy) </w:t>
            </w:r>
          </w:p>
          <w:p w:rsidR="00204252" w:rsidRDefault="00204252" w:rsidP="002B2BCF">
            <w:pPr>
              <w:pStyle w:val="TableText"/>
              <w:jc w:val="left"/>
              <w:rPr>
                <w:lang w:eastAsia="en-AU"/>
              </w:rPr>
            </w:pPr>
            <w:r>
              <w:rPr>
                <w:lang w:eastAsia="en-AU"/>
              </w:rPr>
              <w:t>Sallie-Ann Proctor (</w:t>
            </w:r>
            <w:proofErr w:type="spellStart"/>
            <w:r>
              <w:rPr>
                <w:lang w:eastAsia="en-AU"/>
              </w:rPr>
              <w:t>Lumo</w:t>
            </w:r>
            <w:proofErr w:type="spellEnd"/>
            <w:r>
              <w:rPr>
                <w:lang w:eastAsia="en-AU"/>
              </w:rPr>
              <w:t xml:space="preserve"> Energy)</w:t>
            </w:r>
          </w:p>
          <w:p w:rsidR="00204252" w:rsidRDefault="00204252" w:rsidP="002B2BCF">
            <w:pPr>
              <w:pStyle w:val="TableText"/>
              <w:jc w:val="left"/>
              <w:rPr>
                <w:lang w:eastAsia="en-AU"/>
              </w:rPr>
            </w:pPr>
            <w:r>
              <w:rPr>
                <w:lang w:eastAsia="en-AU"/>
              </w:rPr>
              <w:t>Lillian Patterson (Origin Energy)</w:t>
            </w:r>
          </w:p>
          <w:p w:rsidR="00204252" w:rsidRPr="00167425" w:rsidRDefault="00204252" w:rsidP="002B2BCF">
            <w:pPr>
              <w:pStyle w:val="TableText"/>
              <w:jc w:val="left"/>
              <w:rPr>
                <w:lang w:eastAsia="en-AU"/>
              </w:rPr>
            </w:pPr>
            <w:r>
              <w:rPr>
                <w:lang w:eastAsia="en-AU"/>
              </w:rPr>
              <w:t>David Curtain (Simply Energy)</w:t>
            </w:r>
          </w:p>
        </w:tc>
        <w:tc>
          <w:tcPr>
            <w:tcW w:w="3118" w:type="dxa"/>
          </w:tcPr>
          <w:p w:rsidR="00204252" w:rsidRDefault="00204252" w:rsidP="002B2BCF">
            <w:pPr>
              <w:pStyle w:val="TableText"/>
              <w:jc w:val="left"/>
              <w:rPr>
                <w:lang w:eastAsia="en-AU"/>
              </w:rPr>
            </w:pPr>
            <w:r>
              <w:rPr>
                <w:lang w:eastAsia="en-AU"/>
              </w:rPr>
              <w:t>Craig de Laine</w:t>
            </w:r>
          </w:p>
          <w:p w:rsidR="00204252" w:rsidRDefault="00204252" w:rsidP="002B2BCF">
            <w:pPr>
              <w:pStyle w:val="TableText"/>
              <w:jc w:val="left"/>
              <w:rPr>
                <w:lang w:eastAsia="en-AU"/>
              </w:rPr>
            </w:pPr>
            <w:r>
              <w:rPr>
                <w:lang w:eastAsia="en-AU"/>
              </w:rPr>
              <w:t>Peter Bucki</w:t>
            </w:r>
          </w:p>
          <w:p w:rsidR="00204252" w:rsidRDefault="00204252" w:rsidP="002B2BCF">
            <w:pPr>
              <w:pStyle w:val="TableText"/>
              <w:jc w:val="left"/>
              <w:rPr>
                <w:lang w:eastAsia="en-AU"/>
              </w:rPr>
            </w:pPr>
            <w:r>
              <w:rPr>
                <w:lang w:eastAsia="en-AU"/>
              </w:rPr>
              <w:t>Kristin Raman</w:t>
            </w:r>
          </w:p>
          <w:p w:rsidR="00204252" w:rsidRPr="00167425" w:rsidRDefault="00204252" w:rsidP="002B2BCF">
            <w:pPr>
              <w:pStyle w:val="TableText"/>
              <w:jc w:val="left"/>
              <w:rPr>
                <w:lang w:eastAsia="en-AU"/>
              </w:rPr>
            </w:pPr>
            <w:r>
              <w:rPr>
                <w:lang w:eastAsia="en-AU"/>
              </w:rPr>
              <w:t>Will Chivell</w:t>
            </w:r>
          </w:p>
        </w:tc>
        <w:tc>
          <w:tcPr>
            <w:tcW w:w="1985" w:type="dxa"/>
          </w:tcPr>
          <w:p w:rsidR="00204252" w:rsidRPr="00167425" w:rsidRDefault="00204252" w:rsidP="001C63CD">
            <w:pPr>
              <w:pStyle w:val="TableText"/>
              <w:jc w:val="left"/>
              <w:rPr>
                <w:lang w:eastAsia="en-AU"/>
              </w:rPr>
            </w:pPr>
            <w:r>
              <w:rPr>
                <w:lang w:eastAsia="en-AU"/>
              </w:rPr>
              <w:t xml:space="preserve">Refer Attachment </w:t>
            </w:r>
            <w:r w:rsidR="001C63CD">
              <w:rPr>
                <w:lang w:eastAsia="en-AU"/>
              </w:rPr>
              <w:t>2</w:t>
            </w:r>
          </w:p>
        </w:tc>
        <w:tc>
          <w:tcPr>
            <w:tcW w:w="2410" w:type="dxa"/>
          </w:tcPr>
          <w:p w:rsidR="00204252" w:rsidRPr="00167425" w:rsidRDefault="00204252" w:rsidP="001C63CD">
            <w:pPr>
              <w:pStyle w:val="TableText"/>
              <w:jc w:val="left"/>
              <w:rPr>
                <w:lang w:eastAsia="en-AU"/>
              </w:rPr>
            </w:pPr>
            <w:r>
              <w:rPr>
                <w:lang w:eastAsia="en-AU"/>
              </w:rPr>
              <w:t xml:space="preserve">Refer Attachment </w:t>
            </w:r>
            <w:r w:rsidR="001C63CD">
              <w:rPr>
                <w:lang w:eastAsia="en-AU"/>
              </w:rPr>
              <w:t>3</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12 November 15</w:t>
            </w:r>
          </w:p>
        </w:tc>
        <w:tc>
          <w:tcPr>
            <w:tcW w:w="1984" w:type="dxa"/>
          </w:tcPr>
          <w:p w:rsidR="00204252" w:rsidRPr="00167425" w:rsidRDefault="00204252" w:rsidP="002B2BCF">
            <w:pPr>
              <w:pStyle w:val="TableText"/>
              <w:jc w:val="left"/>
              <w:rPr>
                <w:lang w:eastAsia="en-AU"/>
              </w:rPr>
            </w:pPr>
            <w:r w:rsidRPr="00167425">
              <w:rPr>
                <w:lang w:eastAsia="en-AU"/>
              </w:rPr>
              <w:t>Victorian Department of Energy</w:t>
            </w:r>
          </w:p>
        </w:tc>
        <w:tc>
          <w:tcPr>
            <w:tcW w:w="3119" w:type="dxa"/>
          </w:tcPr>
          <w:p w:rsidR="00204252" w:rsidRPr="00167425" w:rsidRDefault="00204252" w:rsidP="002B2BCF">
            <w:pPr>
              <w:pStyle w:val="TableText"/>
              <w:jc w:val="left"/>
              <w:rPr>
                <w:lang w:eastAsia="en-AU"/>
              </w:rPr>
            </w:pPr>
            <w:proofErr w:type="spellStart"/>
            <w:r w:rsidRPr="00167425">
              <w:rPr>
                <w:lang w:eastAsia="en-AU"/>
              </w:rPr>
              <w:t>Raif</w:t>
            </w:r>
            <w:proofErr w:type="spellEnd"/>
            <w:r w:rsidRPr="00167425">
              <w:rPr>
                <w:lang w:eastAsia="en-AU"/>
              </w:rPr>
              <w:t xml:space="preserve"> </w:t>
            </w:r>
            <w:proofErr w:type="spellStart"/>
            <w:r w:rsidRPr="00167425">
              <w:rPr>
                <w:lang w:eastAsia="en-AU"/>
              </w:rPr>
              <w:t>Sarcich</w:t>
            </w:r>
            <w:proofErr w:type="spellEnd"/>
          </w:p>
        </w:tc>
        <w:tc>
          <w:tcPr>
            <w:tcW w:w="3118" w:type="dxa"/>
          </w:tcPr>
          <w:p w:rsidR="00204252" w:rsidRPr="00167425" w:rsidRDefault="00204252" w:rsidP="002B2BCF">
            <w:pPr>
              <w:pStyle w:val="TableText"/>
              <w:jc w:val="left"/>
              <w:rPr>
                <w:lang w:eastAsia="en-AU"/>
              </w:rPr>
            </w:pPr>
            <w:r w:rsidRPr="00167425">
              <w:rPr>
                <w:lang w:eastAsia="en-AU"/>
              </w:rPr>
              <w:t>Peter Bucki</w:t>
            </w:r>
          </w:p>
        </w:tc>
        <w:tc>
          <w:tcPr>
            <w:tcW w:w="1985" w:type="dxa"/>
          </w:tcPr>
          <w:p w:rsidR="00204252" w:rsidRPr="00167425" w:rsidRDefault="00204252" w:rsidP="001C63CD">
            <w:pPr>
              <w:pStyle w:val="TableText"/>
              <w:jc w:val="left"/>
              <w:rPr>
                <w:lang w:eastAsia="en-AU"/>
              </w:rPr>
            </w:pPr>
            <w:r w:rsidRPr="00167425">
              <w:rPr>
                <w:lang w:eastAsia="en-AU"/>
              </w:rPr>
              <w:t xml:space="preserve">Refer Attachment </w:t>
            </w:r>
            <w:r w:rsidR="001C63CD">
              <w:rPr>
                <w:lang w:eastAsia="en-AU"/>
              </w:rPr>
              <w:t>2</w:t>
            </w:r>
          </w:p>
        </w:tc>
        <w:tc>
          <w:tcPr>
            <w:tcW w:w="2410" w:type="dxa"/>
          </w:tcPr>
          <w:p w:rsidR="00204252" w:rsidRPr="00167425" w:rsidRDefault="00204252" w:rsidP="002B2BCF">
            <w:pPr>
              <w:pStyle w:val="TableText"/>
              <w:jc w:val="left"/>
              <w:rPr>
                <w:lang w:eastAsia="en-AU"/>
              </w:rPr>
            </w:pPr>
            <w:r w:rsidRPr="00167425">
              <w:rPr>
                <w:lang w:eastAsia="en-AU"/>
              </w:rPr>
              <w:t>No minutes circulated</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13 November 15</w:t>
            </w:r>
          </w:p>
        </w:tc>
        <w:tc>
          <w:tcPr>
            <w:tcW w:w="1984" w:type="dxa"/>
          </w:tcPr>
          <w:p w:rsidR="00204252" w:rsidRPr="00167425" w:rsidRDefault="00204252" w:rsidP="002B2BCF">
            <w:pPr>
              <w:pStyle w:val="TableText"/>
              <w:jc w:val="left"/>
              <w:rPr>
                <w:lang w:eastAsia="en-AU"/>
              </w:rPr>
            </w:pPr>
            <w:r w:rsidRPr="00167425">
              <w:rPr>
                <w:lang w:eastAsia="en-AU"/>
              </w:rPr>
              <w:t>Public Industry Advocacy Centre</w:t>
            </w:r>
          </w:p>
        </w:tc>
        <w:tc>
          <w:tcPr>
            <w:tcW w:w="3119" w:type="dxa"/>
          </w:tcPr>
          <w:p w:rsidR="00204252" w:rsidRPr="00167425" w:rsidRDefault="00204252" w:rsidP="002B2BCF">
            <w:pPr>
              <w:pStyle w:val="TableText"/>
              <w:jc w:val="left"/>
              <w:rPr>
                <w:lang w:eastAsia="en-AU"/>
              </w:rPr>
            </w:pPr>
            <w:r w:rsidRPr="00167425">
              <w:rPr>
                <w:lang w:eastAsia="en-AU"/>
              </w:rPr>
              <w:t>Oliver Derum</w:t>
            </w:r>
          </w:p>
          <w:p w:rsidR="00204252" w:rsidRPr="00167425" w:rsidRDefault="00204252" w:rsidP="002B2BCF">
            <w:pPr>
              <w:pStyle w:val="TableText"/>
              <w:jc w:val="left"/>
              <w:rPr>
                <w:lang w:eastAsia="en-AU"/>
              </w:rPr>
            </w:pPr>
            <w:r w:rsidRPr="00167425">
              <w:rPr>
                <w:lang w:eastAsia="en-AU"/>
              </w:rPr>
              <w:t>Kristal Diamond</w:t>
            </w:r>
          </w:p>
        </w:tc>
        <w:tc>
          <w:tcPr>
            <w:tcW w:w="3118" w:type="dxa"/>
          </w:tcPr>
          <w:p w:rsidR="00204252" w:rsidRPr="00167425" w:rsidRDefault="00204252" w:rsidP="002B2BCF">
            <w:pPr>
              <w:pStyle w:val="TableText"/>
              <w:jc w:val="left"/>
              <w:rPr>
                <w:lang w:eastAsia="en-AU"/>
              </w:rPr>
            </w:pPr>
            <w:r w:rsidRPr="00167425">
              <w:rPr>
                <w:lang w:eastAsia="en-AU"/>
              </w:rPr>
              <w:t>Peter Bucki</w:t>
            </w:r>
          </w:p>
        </w:tc>
        <w:tc>
          <w:tcPr>
            <w:tcW w:w="1985" w:type="dxa"/>
          </w:tcPr>
          <w:p w:rsidR="00204252" w:rsidRPr="00167425" w:rsidRDefault="00204252" w:rsidP="001C63CD">
            <w:pPr>
              <w:pStyle w:val="TableText"/>
              <w:jc w:val="left"/>
              <w:rPr>
                <w:lang w:eastAsia="en-AU"/>
              </w:rPr>
            </w:pPr>
            <w:r w:rsidRPr="00167425">
              <w:rPr>
                <w:lang w:eastAsia="en-AU"/>
              </w:rPr>
              <w:t xml:space="preserve">Refer Attachment </w:t>
            </w:r>
            <w:r w:rsidR="001C63CD">
              <w:rPr>
                <w:lang w:eastAsia="en-AU"/>
              </w:rPr>
              <w:t>2</w:t>
            </w:r>
          </w:p>
        </w:tc>
        <w:tc>
          <w:tcPr>
            <w:tcW w:w="2410" w:type="dxa"/>
          </w:tcPr>
          <w:p w:rsidR="00204252" w:rsidRPr="00167425" w:rsidRDefault="00204252" w:rsidP="002B2BCF">
            <w:pPr>
              <w:pStyle w:val="TableText"/>
              <w:jc w:val="left"/>
              <w:rPr>
                <w:lang w:eastAsia="en-AU"/>
              </w:rPr>
            </w:pPr>
            <w:r w:rsidRPr="00167425">
              <w:rPr>
                <w:lang w:eastAsia="en-AU"/>
              </w:rPr>
              <w:t>No minutes circulated</w:t>
            </w:r>
          </w:p>
        </w:tc>
      </w:tr>
      <w:tr w:rsidR="00204252" w:rsidRPr="00167425" w:rsidTr="002B2BCF">
        <w:tc>
          <w:tcPr>
            <w:tcW w:w="1413" w:type="dxa"/>
          </w:tcPr>
          <w:p w:rsidR="00204252" w:rsidRPr="00167425" w:rsidRDefault="00204252" w:rsidP="002B2BCF">
            <w:pPr>
              <w:pStyle w:val="TableText"/>
              <w:jc w:val="left"/>
              <w:rPr>
                <w:lang w:eastAsia="en-AU"/>
              </w:rPr>
            </w:pPr>
            <w:r>
              <w:rPr>
                <w:lang w:eastAsia="en-AU"/>
              </w:rPr>
              <w:t>18 November 15</w:t>
            </w:r>
          </w:p>
        </w:tc>
        <w:tc>
          <w:tcPr>
            <w:tcW w:w="1984" w:type="dxa"/>
          </w:tcPr>
          <w:p w:rsidR="00204252" w:rsidRPr="00167425" w:rsidRDefault="00204252" w:rsidP="00D177B7">
            <w:pPr>
              <w:pStyle w:val="TableText"/>
              <w:jc w:val="left"/>
              <w:rPr>
                <w:lang w:eastAsia="en-AU"/>
              </w:rPr>
            </w:pPr>
            <w:r>
              <w:rPr>
                <w:lang w:eastAsia="en-AU"/>
              </w:rPr>
              <w:t xml:space="preserve">AGN Victoria </w:t>
            </w:r>
            <w:r w:rsidR="00D177B7">
              <w:rPr>
                <w:lang w:eastAsia="en-AU"/>
              </w:rPr>
              <w:t xml:space="preserve">Albury </w:t>
            </w:r>
            <w:r>
              <w:rPr>
                <w:lang w:eastAsia="en-AU"/>
              </w:rPr>
              <w:t>Reference Group</w:t>
            </w:r>
          </w:p>
        </w:tc>
        <w:tc>
          <w:tcPr>
            <w:tcW w:w="3119" w:type="dxa"/>
          </w:tcPr>
          <w:p w:rsidR="00204252" w:rsidRDefault="00204252" w:rsidP="002B2BCF">
            <w:pPr>
              <w:pStyle w:val="TableText"/>
              <w:jc w:val="left"/>
              <w:rPr>
                <w:lang w:eastAsia="en-AU"/>
              </w:rPr>
            </w:pPr>
            <w:r>
              <w:rPr>
                <w:lang w:eastAsia="en-AU"/>
              </w:rPr>
              <w:t>Ben Martin Hobbs (Consumer Utilities Advocacy Centre)</w:t>
            </w:r>
          </w:p>
          <w:p w:rsidR="00204252" w:rsidRDefault="00204252" w:rsidP="002B2BCF">
            <w:pPr>
              <w:pStyle w:val="TableText"/>
              <w:jc w:val="left"/>
              <w:rPr>
                <w:lang w:eastAsia="en-AU"/>
              </w:rPr>
            </w:pPr>
            <w:r>
              <w:rPr>
                <w:lang w:eastAsia="en-AU"/>
              </w:rPr>
              <w:t>Jon Onley (Australian Industry Group)</w:t>
            </w:r>
          </w:p>
          <w:p w:rsidR="00204252" w:rsidRPr="00167425" w:rsidRDefault="00204252" w:rsidP="002B2BCF">
            <w:pPr>
              <w:pStyle w:val="TableText"/>
              <w:jc w:val="left"/>
              <w:rPr>
                <w:lang w:eastAsia="en-AU"/>
              </w:rPr>
            </w:pPr>
            <w:r>
              <w:rPr>
                <w:lang w:eastAsia="en-AU"/>
              </w:rPr>
              <w:t>Ken Gardner (Master Plumbers Association)</w:t>
            </w:r>
          </w:p>
        </w:tc>
        <w:tc>
          <w:tcPr>
            <w:tcW w:w="3118" w:type="dxa"/>
          </w:tcPr>
          <w:p w:rsidR="00204252" w:rsidRDefault="00204252" w:rsidP="002B2BCF">
            <w:pPr>
              <w:pStyle w:val="TableText"/>
              <w:jc w:val="left"/>
              <w:rPr>
                <w:lang w:eastAsia="en-AU"/>
              </w:rPr>
            </w:pPr>
            <w:r>
              <w:rPr>
                <w:lang w:eastAsia="en-AU"/>
              </w:rPr>
              <w:t>Craig de Laine</w:t>
            </w:r>
          </w:p>
          <w:p w:rsidR="00204252" w:rsidRDefault="00204252" w:rsidP="002B2BCF">
            <w:pPr>
              <w:pStyle w:val="TableText"/>
              <w:jc w:val="left"/>
              <w:rPr>
                <w:lang w:eastAsia="en-AU"/>
              </w:rPr>
            </w:pPr>
            <w:r>
              <w:rPr>
                <w:lang w:eastAsia="en-AU"/>
              </w:rPr>
              <w:t>Kristin Raman</w:t>
            </w:r>
          </w:p>
          <w:p w:rsidR="00204252" w:rsidRPr="00167425" w:rsidRDefault="00204252" w:rsidP="002B2BCF">
            <w:pPr>
              <w:pStyle w:val="TableText"/>
              <w:jc w:val="left"/>
              <w:rPr>
                <w:lang w:eastAsia="en-AU"/>
              </w:rPr>
            </w:pPr>
            <w:r>
              <w:rPr>
                <w:lang w:eastAsia="en-AU"/>
              </w:rPr>
              <w:t>Anna Mitchell</w:t>
            </w:r>
          </w:p>
        </w:tc>
        <w:tc>
          <w:tcPr>
            <w:tcW w:w="1985" w:type="dxa"/>
          </w:tcPr>
          <w:p w:rsidR="00204252" w:rsidRPr="00167425" w:rsidRDefault="00204252" w:rsidP="001C63CD">
            <w:pPr>
              <w:pStyle w:val="TableText"/>
              <w:jc w:val="left"/>
              <w:rPr>
                <w:lang w:eastAsia="en-AU"/>
              </w:rPr>
            </w:pPr>
            <w:r>
              <w:rPr>
                <w:lang w:eastAsia="en-AU"/>
              </w:rPr>
              <w:t xml:space="preserve">Refer Attachment </w:t>
            </w:r>
            <w:r w:rsidR="001C63CD">
              <w:rPr>
                <w:lang w:eastAsia="en-AU"/>
              </w:rPr>
              <w:t>2</w:t>
            </w:r>
          </w:p>
        </w:tc>
        <w:tc>
          <w:tcPr>
            <w:tcW w:w="2410" w:type="dxa"/>
          </w:tcPr>
          <w:p w:rsidR="00204252" w:rsidRPr="00167425" w:rsidRDefault="00204252" w:rsidP="001C63CD">
            <w:pPr>
              <w:pStyle w:val="TableText"/>
              <w:jc w:val="left"/>
              <w:rPr>
                <w:lang w:eastAsia="en-AU"/>
              </w:rPr>
            </w:pPr>
            <w:r>
              <w:rPr>
                <w:lang w:eastAsia="en-AU"/>
              </w:rPr>
              <w:t xml:space="preserve">Refer Attachment </w:t>
            </w:r>
            <w:r w:rsidR="001C63CD">
              <w:rPr>
                <w:lang w:eastAsia="en-AU"/>
              </w:rPr>
              <w:t>4</w:t>
            </w:r>
          </w:p>
        </w:tc>
      </w:tr>
    </w:tbl>
    <w:p w:rsidR="00204252" w:rsidRDefault="00204252">
      <w:pPr>
        <w:rPr>
          <w:rFonts w:ascii="Arial Narrow" w:eastAsiaTheme="majorEastAsia" w:hAnsi="Arial Narrow" w:cstheme="majorBidi"/>
          <w:bCs/>
          <w:color w:val="4785B6"/>
          <w:sz w:val="40"/>
          <w:szCs w:val="40"/>
          <w:u w:color="000000"/>
          <w:lang w:val="en-US"/>
        </w:rPr>
      </w:pPr>
    </w:p>
    <w:p w:rsidR="001C63CD" w:rsidRDefault="001C63CD" w:rsidP="00F8305B">
      <w:pPr>
        <w:pStyle w:val="Heading1"/>
        <w:numPr>
          <w:ilvl w:val="0"/>
          <w:numId w:val="0"/>
        </w:numPr>
        <w:ind w:left="-851" w:firstLine="851"/>
        <w:sectPr w:rsidR="001C63CD" w:rsidSect="00204252">
          <w:pgSz w:w="16838" w:h="11906" w:orient="landscape"/>
          <w:pgMar w:top="2268" w:right="1440" w:bottom="1133" w:left="1276" w:header="708" w:footer="0" w:gutter="0"/>
          <w:cols w:space="708"/>
          <w:docGrid w:linePitch="360"/>
        </w:sectPr>
      </w:pPr>
    </w:p>
    <w:p w:rsidR="001C63CD" w:rsidRDefault="00240D14" w:rsidP="00F8305B">
      <w:pPr>
        <w:pStyle w:val="Heading1"/>
        <w:numPr>
          <w:ilvl w:val="0"/>
          <w:numId w:val="0"/>
        </w:numPr>
        <w:ind w:left="-851" w:firstLine="851"/>
      </w:pPr>
      <w:bookmarkStart w:id="33" w:name="_Toc440613711"/>
      <w:r>
        <w:lastRenderedPageBreak/>
        <w:t xml:space="preserve">Attachment </w:t>
      </w:r>
      <w:r w:rsidR="001C63CD">
        <w:t>2</w:t>
      </w:r>
      <w:r>
        <w:t xml:space="preserve">: Stakeholder </w:t>
      </w:r>
      <w:r w:rsidR="00F8305B">
        <w:t>C</w:t>
      </w:r>
      <w:r>
        <w:t xml:space="preserve">onsultation – </w:t>
      </w:r>
      <w:r w:rsidR="00F8305B">
        <w:t>P</w:t>
      </w:r>
      <w:r>
        <w:t>resentation</w:t>
      </w:r>
      <w:bookmarkEnd w:id="33"/>
    </w:p>
    <w:p w:rsidR="001C63CD" w:rsidRDefault="001C63CD">
      <w:pPr>
        <w:rPr>
          <w:rFonts w:ascii="Arial Narrow" w:eastAsiaTheme="majorEastAsia" w:hAnsi="Arial Narrow" w:cstheme="majorBidi"/>
          <w:bCs/>
          <w:color w:val="4785B6"/>
          <w:sz w:val="40"/>
          <w:szCs w:val="40"/>
          <w:u w:color="000000"/>
          <w:lang w:val="en-US"/>
        </w:rPr>
      </w:pPr>
      <w:r>
        <w:br w:type="page"/>
      </w:r>
    </w:p>
    <w:p w:rsidR="001C63CD" w:rsidRDefault="001C63CD" w:rsidP="00D177B7">
      <w:pPr>
        <w:pStyle w:val="Heading1"/>
        <w:numPr>
          <w:ilvl w:val="0"/>
          <w:numId w:val="0"/>
        </w:numPr>
      </w:pPr>
      <w:bookmarkStart w:id="34" w:name="_Toc440613712"/>
      <w:r>
        <w:lastRenderedPageBreak/>
        <w:t xml:space="preserve">Attachment 3: Stakeholder Consultation – </w:t>
      </w:r>
      <w:r w:rsidR="005F3125">
        <w:t xml:space="preserve">AGN </w:t>
      </w:r>
      <w:r>
        <w:t>Retailer Reference Group Meeting Minutes</w:t>
      </w:r>
      <w:bookmarkEnd w:id="34"/>
    </w:p>
    <w:p w:rsidR="001C63CD" w:rsidRDefault="001C63CD">
      <w:pPr>
        <w:rPr>
          <w:rFonts w:ascii="Arial Narrow" w:eastAsiaTheme="majorEastAsia" w:hAnsi="Arial Narrow" w:cstheme="majorBidi"/>
          <w:bCs/>
          <w:color w:val="4785B6"/>
          <w:sz w:val="40"/>
          <w:szCs w:val="40"/>
          <w:u w:color="000000"/>
          <w:lang w:val="en-US"/>
        </w:rPr>
      </w:pPr>
      <w:r>
        <w:br w:type="page"/>
      </w:r>
    </w:p>
    <w:p w:rsidR="001C63CD" w:rsidRDefault="001C63CD" w:rsidP="00D177B7">
      <w:pPr>
        <w:pStyle w:val="Heading1"/>
        <w:numPr>
          <w:ilvl w:val="0"/>
          <w:numId w:val="0"/>
        </w:numPr>
      </w:pPr>
      <w:bookmarkStart w:id="35" w:name="_Toc440613713"/>
      <w:r>
        <w:lastRenderedPageBreak/>
        <w:t>Attachment 4: Stakeholder Consultation –</w:t>
      </w:r>
      <w:r w:rsidR="00B25316">
        <w:t xml:space="preserve"> </w:t>
      </w:r>
      <w:r w:rsidR="0097249B">
        <w:t xml:space="preserve">AGN </w:t>
      </w:r>
      <w:r w:rsidR="005F3125">
        <w:t xml:space="preserve">Victoria Albury </w:t>
      </w:r>
      <w:r>
        <w:t>Reference Group Meeting Minutes</w:t>
      </w:r>
      <w:bookmarkEnd w:id="35"/>
    </w:p>
    <w:p w:rsidR="00240D14" w:rsidRDefault="00240D14" w:rsidP="00F8305B">
      <w:pPr>
        <w:pStyle w:val="Heading1"/>
        <w:numPr>
          <w:ilvl w:val="0"/>
          <w:numId w:val="0"/>
        </w:numPr>
        <w:ind w:left="-851" w:firstLine="851"/>
      </w:pPr>
    </w:p>
    <w:p w:rsidR="00240D14" w:rsidRPr="006B5723" w:rsidRDefault="00240D14" w:rsidP="001E787A">
      <w:pPr>
        <w:spacing w:line="276" w:lineRule="auto"/>
        <w:jc w:val="both"/>
        <w:rPr>
          <w:rFonts w:ascii="Arial Narrow" w:hAnsi="Arial Narrow" w:cs="Arial"/>
        </w:rPr>
      </w:pPr>
    </w:p>
    <w:sectPr w:rsidR="00240D14" w:rsidRPr="006B5723" w:rsidSect="001C63CD">
      <w:pgSz w:w="11906" w:h="16838"/>
      <w:pgMar w:top="1440" w:right="1133" w:bottom="1276" w:left="226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B7" w:rsidRDefault="007256B7" w:rsidP="00993112">
      <w:pPr>
        <w:spacing w:after="0" w:line="240" w:lineRule="auto"/>
      </w:pPr>
      <w:r>
        <w:separator/>
      </w:r>
    </w:p>
  </w:endnote>
  <w:endnote w:type="continuationSeparator" w:id="0">
    <w:p w:rsidR="007256B7" w:rsidRDefault="007256B7" w:rsidP="0099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exNew-Book">
    <w:altName w:val="Tahoma"/>
    <w:charset w:val="00"/>
    <w:family w:val="auto"/>
    <w:pitch w:val="variable"/>
    <w:sig w:usb0="00000001"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CF" w:rsidRDefault="002B2BCF" w:rsidP="00E10F32">
    <w:pPr>
      <w:pStyle w:val="Footer"/>
      <w:jc w:val="right"/>
    </w:pPr>
    <w:r w:rsidRPr="00E10F32">
      <w:rPr>
        <w:b/>
        <w:caps/>
        <w:sz w:val="16"/>
        <w:szCs w:val="16"/>
      </w:rPr>
      <w:t>Australian Gas Networks</w:t>
    </w:r>
    <w:r w:rsidRPr="00E10F32">
      <w:rPr>
        <w:caps/>
        <w:sz w:val="16"/>
        <w:szCs w:val="16"/>
      </w:rPr>
      <w:t xml:space="preserve"> Application to Consolidate the Victorian and Albury Access Arrangements   </w:t>
    </w:r>
    <w:r w:rsidRPr="00E10F32">
      <w:rPr>
        <w:sz w:val="16"/>
        <w:szCs w:val="16"/>
      </w:rPr>
      <w:t xml:space="preserve"> </w:t>
    </w:r>
    <w:r w:rsidRPr="00E10F32">
      <w:rPr>
        <w:sz w:val="16"/>
        <w:szCs w:val="16"/>
      </w:rPr>
      <w:sym w:font="Symbol" w:char="F0BD"/>
    </w:r>
    <w:r w:rsidRPr="00E10F32">
      <w:rPr>
        <w:sz w:val="16"/>
        <w:szCs w:val="16"/>
      </w:rPr>
      <w:t xml:space="preserve">    </w:t>
    </w:r>
    <w:r w:rsidRPr="00E10F32">
      <w:rPr>
        <w:rStyle w:val="PageNumber"/>
        <w:sz w:val="16"/>
        <w:szCs w:val="16"/>
      </w:rPr>
      <w:fldChar w:fldCharType="begin"/>
    </w:r>
    <w:r w:rsidRPr="00E10F32">
      <w:rPr>
        <w:rStyle w:val="PageNumber"/>
        <w:sz w:val="16"/>
        <w:szCs w:val="16"/>
      </w:rPr>
      <w:instrText xml:space="preserve">PAGE  </w:instrText>
    </w:r>
    <w:r w:rsidRPr="00E10F32">
      <w:rPr>
        <w:rStyle w:val="PageNumber"/>
        <w:sz w:val="16"/>
        <w:szCs w:val="16"/>
      </w:rPr>
      <w:fldChar w:fldCharType="separate"/>
    </w:r>
    <w:r w:rsidR="00E65698">
      <w:rPr>
        <w:rStyle w:val="PageNumber"/>
        <w:noProof/>
        <w:sz w:val="16"/>
        <w:szCs w:val="16"/>
      </w:rPr>
      <w:t>12</w:t>
    </w:r>
    <w:r w:rsidRPr="00E10F32">
      <w:rPr>
        <w:rStyle w:val="PageNumber"/>
        <w:sz w:val="16"/>
        <w:szCs w:val="16"/>
      </w:rPr>
      <w:fldChar w:fldCharType="end"/>
    </w:r>
  </w:p>
  <w:p w:rsidR="002B2BCF" w:rsidRDefault="002B2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B7" w:rsidRDefault="007256B7" w:rsidP="00993112">
      <w:pPr>
        <w:spacing w:after="0" w:line="240" w:lineRule="auto"/>
      </w:pPr>
      <w:r>
        <w:separator/>
      </w:r>
    </w:p>
  </w:footnote>
  <w:footnote w:type="continuationSeparator" w:id="0">
    <w:p w:rsidR="007256B7" w:rsidRDefault="007256B7" w:rsidP="00993112">
      <w:pPr>
        <w:spacing w:after="0" w:line="240" w:lineRule="auto"/>
      </w:pPr>
      <w:r>
        <w:continuationSeparator/>
      </w:r>
    </w:p>
  </w:footnote>
  <w:footnote w:id="1">
    <w:p w:rsidR="002B2BCF" w:rsidRDefault="002B2BCF" w:rsidP="00672871">
      <w:pPr>
        <w:pStyle w:val="Footnote"/>
        <w:tabs>
          <w:tab w:val="clear" w:pos="0"/>
        </w:tabs>
        <w:ind w:left="284" w:hanging="284"/>
      </w:pPr>
      <w:r>
        <w:rPr>
          <w:rStyle w:val="FootnoteReference"/>
        </w:rPr>
        <w:footnoteRef/>
      </w:r>
      <w:r>
        <w:t xml:space="preserve"> </w:t>
      </w:r>
      <w:r>
        <w:tab/>
        <w:t xml:space="preserve">As noted later in this paper, AGN proposes to maintain a separate RAB for the Albury and Victorian networks. </w:t>
      </w:r>
    </w:p>
  </w:footnote>
  <w:footnote w:id="2">
    <w:p w:rsidR="002B2BCF" w:rsidRDefault="002B2BCF" w:rsidP="00672871">
      <w:pPr>
        <w:pStyle w:val="Footnote"/>
        <w:tabs>
          <w:tab w:val="clear" w:pos="0"/>
        </w:tabs>
        <w:ind w:left="284" w:hanging="284"/>
      </w:pPr>
      <w:r>
        <w:rPr>
          <w:rStyle w:val="FootnoteReference"/>
        </w:rPr>
        <w:footnoteRef/>
      </w:r>
      <w:r>
        <w:t xml:space="preserve"> </w:t>
      </w:r>
      <w:r>
        <w:tab/>
      </w:r>
      <w:r w:rsidRPr="00D661C8">
        <w:t>Corowa, Mulwala and Howlong are also supplied via custody transfer stations in Victoria, from Rutherglen, Yarrawonga and Chiltern respectively.  These form part of the unregulated Murray Valley (</w:t>
      </w:r>
      <w:r>
        <w:t>New South Wales</w:t>
      </w:r>
      <w:r w:rsidRPr="00D661C8">
        <w:t>) network.  No change is being proposed to the unregulated status of this network.  There are approximately 4,000 customers in the Murray Valley network.</w:t>
      </w:r>
    </w:p>
  </w:footnote>
  <w:footnote w:id="3">
    <w:p w:rsidR="002B2BCF" w:rsidRDefault="002B2BCF" w:rsidP="00672871">
      <w:pPr>
        <w:pStyle w:val="Footnote"/>
        <w:tabs>
          <w:tab w:val="clear" w:pos="0"/>
        </w:tabs>
        <w:spacing w:after="120"/>
        <w:ind w:left="284" w:hanging="284"/>
      </w:pPr>
      <w:r>
        <w:rPr>
          <w:rStyle w:val="FootnoteReference"/>
        </w:rPr>
        <w:footnoteRef/>
      </w:r>
      <w:r>
        <w:t xml:space="preserve"> </w:t>
      </w:r>
      <w:r>
        <w:tab/>
        <w:t>The members of which are: The Consumer Utilities Advocacy Centre, St Vincent de Paul Society, Australian Industry Group, Master Plumbers Association, NORTH Link and COTA Victoria.</w:t>
      </w:r>
    </w:p>
  </w:footnote>
  <w:footnote w:id="4">
    <w:p w:rsidR="002B2BCF" w:rsidRDefault="002B2BCF" w:rsidP="00672871">
      <w:pPr>
        <w:pStyle w:val="Footnote"/>
        <w:tabs>
          <w:tab w:val="clear" w:pos="0"/>
        </w:tabs>
        <w:ind w:left="284" w:hanging="284"/>
      </w:pPr>
      <w:r>
        <w:rPr>
          <w:rStyle w:val="FootnoteReference"/>
        </w:rPr>
        <w:footnoteRef/>
      </w:r>
      <w:r>
        <w:t xml:space="preserve"> </w:t>
      </w:r>
      <w:r>
        <w:tab/>
        <w:t xml:space="preserve">The members of which are: AGL, </w:t>
      </w:r>
      <w:proofErr w:type="spellStart"/>
      <w:r>
        <w:t>Alinta</w:t>
      </w:r>
      <w:proofErr w:type="spellEnd"/>
      <w:r>
        <w:t xml:space="preserve"> Energy, Energy Australia, </w:t>
      </w:r>
      <w:proofErr w:type="spellStart"/>
      <w:r>
        <w:t>Lumo</w:t>
      </w:r>
      <w:proofErr w:type="spellEnd"/>
      <w:r>
        <w:t xml:space="preserve"> Energy, Origin Energy and Simply Energy.</w:t>
      </w:r>
    </w:p>
  </w:footnote>
  <w:footnote w:id="5">
    <w:p w:rsidR="002B2BCF" w:rsidRPr="009F11F3" w:rsidRDefault="002B2BCF" w:rsidP="00204252">
      <w:pPr>
        <w:pStyle w:val="Footnote"/>
        <w:ind w:left="284" w:hanging="284"/>
      </w:pPr>
      <w:r>
        <w:rPr>
          <w:rStyle w:val="FootnoteReference"/>
        </w:rPr>
        <w:footnoteRef/>
      </w:r>
      <w:r>
        <w:t xml:space="preserve"> </w:t>
      </w:r>
      <w:r>
        <w:tab/>
        <w:t>Note: Whilst EnergyAustralia were unable to attend the Retailer Reference Group meeting, they were provided the meeting minutes, meeting materials and were offered a separate one-on-one meeting. EnergyAustralia advised this meeting was not required as the meeting materials were clear and consolidation seemed like an appropriate approach.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3A52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51955"/>
    <w:multiLevelType w:val="hybridMultilevel"/>
    <w:tmpl w:val="2F3A53B2"/>
    <w:lvl w:ilvl="0" w:tplc="7694911A">
      <w:start w:val="1"/>
      <w:numFmt w:val="decimal"/>
      <w:pStyle w:val="QuoteBulle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2E101F"/>
    <w:multiLevelType w:val="hybridMultilevel"/>
    <w:tmpl w:val="6988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935E80"/>
    <w:multiLevelType w:val="multilevel"/>
    <w:tmpl w:val="49BC192A"/>
    <w:lvl w:ilvl="0">
      <w:start w:val="1"/>
      <w:numFmt w:val="decimal"/>
      <w:pStyle w:val="Heading1"/>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7FA5043"/>
    <w:multiLevelType w:val="hybridMultilevel"/>
    <w:tmpl w:val="D756C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605450"/>
    <w:multiLevelType w:val="multilevel"/>
    <w:tmpl w:val="72267764"/>
    <w:lvl w:ilvl="0">
      <w:start w:val="1"/>
      <w:numFmt w:val="decimal"/>
      <w:pStyle w:val="Number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2F184A"/>
    <w:multiLevelType w:val="hybridMultilevel"/>
    <w:tmpl w:val="03FC5688"/>
    <w:lvl w:ilvl="0" w:tplc="7694911A">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nsid w:val="3BEB6519"/>
    <w:multiLevelType w:val="multilevel"/>
    <w:tmpl w:val="8584A09E"/>
    <w:lvl w:ilvl="0">
      <w:start w:val="5"/>
      <w:numFmt w:val="decimal"/>
      <w:lvlText w:val="%1"/>
      <w:lvlJc w:val="left"/>
      <w:pPr>
        <w:ind w:left="-284" w:hanging="567"/>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8">
    <w:nsid w:val="3CA25803"/>
    <w:multiLevelType w:val="hybridMultilevel"/>
    <w:tmpl w:val="4386D348"/>
    <w:lvl w:ilvl="0" w:tplc="9FB466C6">
      <w:start w:val="1"/>
      <w:numFmt w:val="bullet"/>
      <w:pStyle w:val="Bullet4"/>
      <w:lvlText w:val=""/>
      <w:lvlJc w:val="left"/>
      <w:pPr>
        <w:ind w:left="851" w:firstLine="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348C6"/>
    <w:multiLevelType w:val="hybridMultilevel"/>
    <w:tmpl w:val="FF340F5E"/>
    <w:lvl w:ilvl="0" w:tplc="0C090001">
      <w:start w:val="1"/>
      <w:numFmt w:val="bullet"/>
      <w:lvlText w:val=""/>
      <w:lvlJc w:val="left"/>
      <w:pPr>
        <w:tabs>
          <w:tab w:val="num" w:pos="1134"/>
        </w:tabs>
        <w:ind w:left="1134" w:hanging="454"/>
      </w:pPr>
      <w:rPr>
        <w:rFonts w:ascii="Symbol" w:hAnsi="Symbol"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472E0248"/>
    <w:multiLevelType w:val="hybridMultilevel"/>
    <w:tmpl w:val="8514C5CA"/>
    <w:lvl w:ilvl="0" w:tplc="0C090001">
      <w:start w:val="1"/>
      <w:numFmt w:val="bullet"/>
      <w:pStyle w:val="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895FE3"/>
    <w:multiLevelType w:val="multilevel"/>
    <w:tmpl w:val="71A65E0A"/>
    <w:lvl w:ilvl="0">
      <w:start w:val="1"/>
      <w:numFmt w:val="decimal"/>
      <w:pStyle w:val="AER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361" w:hanging="1361"/>
      </w:pPr>
      <w:rPr>
        <w:rFonts w:hint="default"/>
      </w:rPr>
    </w:lvl>
    <w:lvl w:ilvl="6">
      <w:start w:val="1"/>
      <w:numFmt w:val="decimal"/>
      <w:lvlRestart w:val="0"/>
      <w:pStyle w:val="AERtableheading-unnumbered"/>
      <w:lvlText w:val="Table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12">
    <w:nsid w:val="51487971"/>
    <w:multiLevelType w:val="multilevel"/>
    <w:tmpl w:val="B478DFE6"/>
    <w:styleLink w:val="AERnumberedlist"/>
    <w:lvl w:ilvl="0">
      <w:start w:val="1"/>
      <w:numFmt w:val="none"/>
      <w:pStyle w:val="AERbodytext"/>
      <w:lvlText w:val="%1"/>
      <w:lvlJc w:val="left"/>
      <w:pPr>
        <w:tabs>
          <w:tab w:val="num" w:pos="0"/>
        </w:tabs>
        <w:ind w:left="0" w:firstLine="0"/>
      </w:pPr>
    </w:lvl>
    <w:lvl w:ilvl="1">
      <w:start w:val="1"/>
      <w:numFmt w:val="decimal"/>
      <w:pStyle w:val="AERnumberedlistfirststyle"/>
      <w:lvlText w:val="%2."/>
      <w:lvlJc w:val="left"/>
      <w:pPr>
        <w:tabs>
          <w:tab w:val="num" w:pos="357"/>
        </w:tabs>
        <w:ind w:left="357" w:hanging="357"/>
      </w:pPr>
    </w:lvl>
    <w:lvl w:ilvl="2">
      <w:start w:val="1"/>
      <w:numFmt w:val="lowerLetter"/>
      <w:pStyle w:val="AERnumberedlistsecondstyle"/>
      <w:lvlText w:val="%3."/>
      <w:lvlJc w:val="left"/>
      <w:pPr>
        <w:tabs>
          <w:tab w:val="num" w:pos="720"/>
        </w:tabs>
        <w:ind w:left="720" w:hanging="363"/>
      </w:pPr>
    </w:lvl>
    <w:lvl w:ilvl="3">
      <w:start w:val="1"/>
      <w:numFmt w:val="lowerRoman"/>
      <w:pStyle w:val="AERnumberedlistthirdstyle"/>
      <w:lvlText w:val="%4."/>
      <w:lvlJc w:val="left"/>
      <w:pPr>
        <w:tabs>
          <w:tab w:val="num" w:pos="1077"/>
        </w:tabs>
        <w:ind w:left="1077" w:hanging="357"/>
      </w:pPr>
    </w:lvl>
    <w:lvl w:ilvl="4">
      <w:start w:val="1"/>
      <w:numFmt w:val="decimal"/>
      <w:lvlRestart w:val="1"/>
      <w:pStyle w:val="AERnumberedlist2first"/>
      <w:lvlText w:val="(%5)"/>
      <w:lvlJc w:val="left"/>
      <w:pPr>
        <w:tabs>
          <w:tab w:val="num" w:pos="357"/>
        </w:tabs>
        <w:ind w:left="357" w:hanging="357"/>
      </w:pPr>
    </w:lvl>
    <w:lvl w:ilvl="5">
      <w:start w:val="1"/>
      <w:numFmt w:val="lowerLetter"/>
      <w:lvlRestart w:val="2"/>
      <w:pStyle w:val="AERnumberedlist2second"/>
      <w:lvlText w:val="(%6)"/>
      <w:lvlJc w:val="left"/>
      <w:pPr>
        <w:tabs>
          <w:tab w:val="num" w:pos="720"/>
        </w:tabs>
        <w:ind w:left="720" w:hanging="363"/>
      </w:pPr>
    </w:lvl>
    <w:lvl w:ilvl="6">
      <w:start w:val="1"/>
      <w:numFmt w:val="lowerRoman"/>
      <w:lvlRestart w:val="3"/>
      <w:pStyle w:val="AERnumberedlist2third"/>
      <w:lvlText w:val="(%7)"/>
      <w:lvlJc w:val="left"/>
      <w:pPr>
        <w:tabs>
          <w:tab w:val="num" w:pos="1077"/>
        </w:tabs>
        <w:ind w:left="1077" w:hanging="35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7D71A75"/>
    <w:multiLevelType w:val="hybridMultilevel"/>
    <w:tmpl w:val="9C1C59FA"/>
    <w:lvl w:ilvl="0" w:tplc="51326DEC">
      <w:start w:val="1"/>
      <w:numFmt w:val="bullet"/>
      <w:pStyle w:val="Box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26517"/>
    <w:multiLevelType w:val="hybridMultilevel"/>
    <w:tmpl w:val="BB8A2F98"/>
    <w:lvl w:ilvl="0" w:tplc="330A88B2">
      <w:start w:val="1"/>
      <w:numFmt w:val="bullet"/>
      <w:pStyle w:val="Bullet3"/>
      <w:lvlText w:val="–"/>
      <w:lvlJc w:val="left"/>
      <w:pPr>
        <w:ind w:left="567"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A215F"/>
    <w:multiLevelType w:val="multilevel"/>
    <w:tmpl w:val="18E2EF94"/>
    <w:lvl w:ilvl="0">
      <w:start w:val="1"/>
      <w:numFmt w:val="lowerLetter"/>
      <w:pStyle w:val="NumberLevel2"/>
      <w:lvlText w:val="%1."/>
      <w:lvlJc w:val="left"/>
      <w:pPr>
        <w:ind w:left="7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EA5049"/>
    <w:multiLevelType w:val="hybridMultilevel"/>
    <w:tmpl w:val="053C0D80"/>
    <w:lvl w:ilvl="0" w:tplc="2B56CA38">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990784A"/>
    <w:multiLevelType w:val="hybridMultilevel"/>
    <w:tmpl w:val="2678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4179AF"/>
    <w:multiLevelType w:val="hybridMultilevel"/>
    <w:tmpl w:val="10A6F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5B0E54"/>
    <w:multiLevelType w:val="hybridMultilevel"/>
    <w:tmpl w:val="F6C80A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pStyle w:val="Heading4"/>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0"/>
  </w:num>
  <w:num w:numId="5">
    <w:abstractNumId w:val="7"/>
  </w:num>
  <w:num w:numId="6">
    <w:abstractNumId w:val="14"/>
  </w:num>
  <w:num w:numId="7">
    <w:abstractNumId w:val="8"/>
  </w:num>
  <w:num w:numId="8">
    <w:abstractNumId w:val="15"/>
  </w:num>
  <w:num w:numId="9">
    <w:abstractNumId w:val="5"/>
  </w:num>
  <w:num w:numId="10">
    <w:abstractNumId w:val="13"/>
  </w:num>
  <w:num w:numId="11">
    <w:abstractNumId w:val="3"/>
  </w:num>
  <w:num w:numId="12">
    <w:abstractNumId w:val="9"/>
  </w:num>
  <w:num w:numId="13">
    <w:abstractNumId w:val="11"/>
  </w:num>
  <w:num w:numId="14">
    <w:abstractNumId w:val="12"/>
  </w:num>
  <w:num w:numId="15">
    <w:abstractNumId w:val="4"/>
  </w:num>
  <w:num w:numId="16">
    <w:abstractNumId w:val="16"/>
  </w:num>
  <w:num w:numId="17">
    <w:abstractNumId w:val="0"/>
  </w:num>
  <w:num w:numId="18">
    <w:abstractNumId w:val="17"/>
  </w:num>
  <w:num w:numId="19">
    <w:abstractNumId w:val="18"/>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916\D16 6872  AGN - Application to Consolidate the Access Arrangements for the Victorian and Albury Gas Distribution Networks - November 2015.DOCX"/>
  </w:docVars>
  <w:rsids>
    <w:rsidRoot w:val="00993112"/>
    <w:rsid w:val="00014DB0"/>
    <w:rsid w:val="00021DC9"/>
    <w:rsid w:val="0004769E"/>
    <w:rsid w:val="0007025D"/>
    <w:rsid w:val="0007077F"/>
    <w:rsid w:val="00072A82"/>
    <w:rsid w:val="000873EF"/>
    <w:rsid w:val="00093BC2"/>
    <w:rsid w:val="00095EFA"/>
    <w:rsid w:val="000A70FB"/>
    <w:rsid w:val="00104CC6"/>
    <w:rsid w:val="00116B9A"/>
    <w:rsid w:val="00117B78"/>
    <w:rsid w:val="00121FB5"/>
    <w:rsid w:val="0014207E"/>
    <w:rsid w:val="001547DA"/>
    <w:rsid w:val="00170553"/>
    <w:rsid w:val="001757D7"/>
    <w:rsid w:val="001765E4"/>
    <w:rsid w:val="00196AD8"/>
    <w:rsid w:val="001C63CD"/>
    <w:rsid w:val="001D0095"/>
    <w:rsid w:val="001E2E50"/>
    <w:rsid w:val="001E3214"/>
    <w:rsid w:val="001E4482"/>
    <w:rsid w:val="001E787A"/>
    <w:rsid w:val="001F0EA5"/>
    <w:rsid w:val="001F609C"/>
    <w:rsid w:val="00204252"/>
    <w:rsid w:val="00240D14"/>
    <w:rsid w:val="00241155"/>
    <w:rsid w:val="0024296C"/>
    <w:rsid w:val="00283A9D"/>
    <w:rsid w:val="002B2BCF"/>
    <w:rsid w:val="002C27FF"/>
    <w:rsid w:val="002C4341"/>
    <w:rsid w:val="002C4808"/>
    <w:rsid w:val="002D060B"/>
    <w:rsid w:val="002E1EE1"/>
    <w:rsid w:val="002F36FD"/>
    <w:rsid w:val="002F490B"/>
    <w:rsid w:val="0034086D"/>
    <w:rsid w:val="0037583C"/>
    <w:rsid w:val="00377066"/>
    <w:rsid w:val="0038791C"/>
    <w:rsid w:val="003972E1"/>
    <w:rsid w:val="003A706D"/>
    <w:rsid w:val="003C09F9"/>
    <w:rsid w:val="003C72DF"/>
    <w:rsid w:val="003D2DA1"/>
    <w:rsid w:val="003E14FC"/>
    <w:rsid w:val="003E7051"/>
    <w:rsid w:val="003F2E31"/>
    <w:rsid w:val="003F370D"/>
    <w:rsid w:val="00412A1B"/>
    <w:rsid w:val="00415B72"/>
    <w:rsid w:val="00421A2E"/>
    <w:rsid w:val="004230FF"/>
    <w:rsid w:val="00434799"/>
    <w:rsid w:val="0043586D"/>
    <w:rsid w:val="004401EC"/>
    <w:rsid w:val="00440993"/>
    <w:rsid w:val="004409F8"/>
    <w:rsid w:val="00454B8B"/>
    <w:rsid w:val="004657F6"/>
    <w:rsid w:val="00486271"/>
    <w:rsid w:val="00494328"/>
    <w:rsid w:val="004C0BCD"/>
    <w:rsid w:val="004D3132"/>
    <w:rsid w:val="004E0902"/>
    <w:rsid w:val="004E5360"/>
    <w:rsid w:val="0050189F"/>
    <w:rsid w:val="00521CA1"/>
    <w:rsid w:val="00535561"/>
    <w:rsid w:val="00550584"/>
    <w:rsid w:val="00556158"/>
    <w:rsid w:val="005C54F2"/>
    <w:rsid w:val="005D245C"/>
    <w:rsid w:val="005E37A4"/>
    <w:rsid w:val="005F3125"/>
    <w:rsid w:val="006104E8"/>
    <w:rsid w:val="00616821"/>
    <w:rsid w:val="00624F71"/>
    <w:rsid w:val="0063222D"/>
    <w:rsid w:val="0063628F"/>
    <w:rsid w:val="006418BE"/>
    <w:rsid w:val="00646B44"/>
    <w:rsid w:val="00665EFB"/>
    <w:rsid w:val="00672871"/>
    <w:rsid w:val="0068073E"/>
    <w:rsid w:val="006B5723"/>
    <w:rsid w:val="006C00F8"/>
    <w:rsid w:val="006D65CC"/>
    <w:rsid w:val="006D7447"/>
    <w:rsid w:val="006E3818"/>
    <w:rsid w:val="006F690D"/>
    <w:rsid w:val="007256B7"/>
    <w:rsid w:val="0073127C"/>
    <w:rsid w:val="00755D52"/>
    <w:rsid w:val="00761A37"/>
    <w:rsid w:val="0078038B"/>
    <w:rsid w:val="007A0450"/>
    <w:rsid w:val="007A7549"/>
    <w:rsid w:val="007B0048"/>
    <w:rsid w:val="007B0A1F"/>
    <w:rsid w:val="007B5ACD"/>
    <w:rsid w:val="007B5E04"/>
    <w:rsid w:val="007C6C63"/>
    <w:rsid w:val="007C7DAC"/>
    <w:rsid w:val="007D3242"/>
    <w:rsid w:val="007D5389"/>
    <w:rsid w:val="007D56D3"/>
    <w:rsid w:val="007E2712"/>
    <w:rsid w:val="007E3BC7"/>
    <w:rsid w:val="007E481E"/>
    <w:rsid w:val="007E5B39"/>
    <w:rsid w:val="00871D80"/>
    <w:rsid w:val="00873011"/>
    <w:rsid w:val="008746F5"/>
    <w:rsid w:val="00881162"/>
    <w:rsid w:val="008A6098"/>
    <w:rsid w:val="008B5F3B"/>
    <w:rsid w:val="008C4785"/>
    <w:rsid w:val="008F7B05"/>
    <w:rsid w:val="00910C36"/>
    <w:rsid w:val="00917236"/>
    <w:rsid w:val="00922BB6"/>
    <w:rsid w:val="009546FD"/>
    <w:rsid w:val="0095520D"/>
    <w:rsid w:val="009564B6"/>
    <w:rsid w:val="00957F18"/>
    <w:rsid w:val="00961D58"/>
    <w:rsid w:val="0097249B"/>
    <w:rsid w:val="00992738"/>
    <w:rsid w:val="00993112"/>
    <w:rsid w:val="009A4133"/>
    <w:rsid w:val="009B05B5"/>
    <w:rsid w:val="009C346A"/>
    <w:rsid w:val="009D0F0B"/>
    <w:rsid w:val="009D1214"/>
    <w:rsid w:val="00A17DD9"/>
    <w:rsid w:val="00A206D6"/>
    <w:rsid w:val="00A21449"/>
    <w:rsid w:val="00A32FE8"/>
    <w:rsid w:val="00A3756B"/>
    <w:rsid w:val="00A428D1"/>
    <w:rsid w:val="00A620C3"/>
    <w:rsid w:val="00A65649"/>
    <w:rsid w:val="00A66C30"/>
    <w:rsid w:val="00A96AFA"/>
    <w:rsid w:val="00AA6398"/>
    <w:rsid w:val="00AB0475"/>
    <w:rsid w:val="00AB1E0E"/>
    <w:rsid w:val="00AC0DCD"/>
    <w:rsid w:val="00AD6714"/>
    <w:rsid w:val="00AF1BBE"/>
    <w:rsid w:val="00B2056E"/>
    <w:rsid w:val="00B25316"/>
    <w:rsid w:val="00B2622D"/>
    <w:rsid w:val="00B35EE1"/>
    <w:rsid w:val="00B51B51"/>
    <w:rsid w:val="00B61509"/>
    <w:rsid w:val="00B700A9"/>
    <w:rsid w:val="00B812F2"/>
    <w:rsid w:val="00B942DA"/>
    <w:rsid w:val="00BA0234"/>
    <w:rsid w:val="00BA2912"/>
    <w:rsid w:val="00BC5470"/>
    <w:rsid w:val="00BC7C40"/>
    <w:rsid w:val="00BD5E46"/>
    <w:rsid w:val="00BE4EC3"/>
    <w:rsid w:val="00C009F2"/>
    <w:rsid w:val="00C02459"/>
    <w:rsid w:val="00C04863"/>
    <w:rsid w:val="00C3121F"/>
    <w:rsid w:val="00C4013F"/>
    <w:rsid w:val="00C40835"/>
    <w:rsid w:val="00C41060"/>
    <w:rsid w:val="00C5713C"/>
    <w:rsid w:val="00C579B5"/>
    <w:rsid w:val="00C62271"/>
    <w:rsid w:val="00CA737B"/>
    <w:rsid w:val="00CC1C4B"/>
    <w:rsid w:val="00CD6821"/>
    <w:rsid w:val="00CE481F"/>
    <w:rsid w:val="00CE5968"/>
    <w:rsid w:val="00CF0C9B"/>
    <w:rsid w:val="00CF5D9B"/>
    <w:rsid w:val="00D02024"/>
    <w:rsid w:val="00D03EFB"/>
    <w:rsid w:val="00D14AFF"/>
    <w:rsid w:val="00D177B7"/>
    <w:rsid w:val="00D2027E"/>
    <w:rsid w:val="00D20CAC"/>
    <w:rsid w:val="00D344E3"/>
    <w:rsid w:val="00D365FA"/>
    <w:rsid w:val="00D44390"/>
    <w:rsid w:val="00D55805"/>
    <w:rsid w:val="00D64CB0"/>
    <w:rsid w:val="00D65292"/>
    <w:rsid w:val="00D661C8"/>
    <w:rsid w:val="00D85913"/>
    <w:rsid w:val="00D95F22"/>
    <w:rsid w:val="00DA5B38"/>
    <w:rsid w:val="00DB0BD9"/>
    <w:rsid w:val="00DE0E09"/>
    <w:rsid w:val="00DE255D"/>
    <w:rsid w:val="00DE2AE5"/>
    <w:rsid w:val="00DF0778"/>
    <w:rsid w:val="00DF3B66"/>
    <w:rsid w:val="00E10F32"/>
    <w:rsid w:val="00E4203A"/>
    <w:rsid w:val="00E43A9E"/>
    <w:rsid w:val="00E44EB9"/>
    <w:rsid w:val="00E65698"/>
    <w:rsid w:val="00E76C50"/>
    <w:rsid w:val="00E9635C"/>
    <w:rsid w:val="00EA54AB"/>
    <w:rsid w:val="00EB1F1D"/>
    <w:rsid w:val="00ED6744"/>
    <w:rsid w:val="00F22A05"/>
    <w:rsid w:val="00F33EA7"/>
    <w:rsid w:val="00F460C3"/>
    <w:rsid w:val="00F5608F"/>
    <w:rsid w:val="00F60E1A"/>
    <w:rsid w:val="00F740A6"/>
    <w:rsid w:val="00F8305B"/>
    <w:rsid w:val="00F90D4A"/>
    <w:rsid w:val="00F91323"/>
    <w:rsid w:val="00FD250B"/>
    <w:rsid w:val="00FD3C41"/>
    <w:rsid w:val="00FD3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
    <w:basedOn w:val="Normal"/>
    <w:next w:val="Normal"/>
    <w:link w:val="Heading1Char"/>
    <w:autoRedefine/>
    <w:uiPriority w:val="99"/>
    <w:qFormat/>
    <w:rsid w:val="009C346A"/>
    <w:pPr>
      <w:keepNext/>
      <w:keepLines/>
      <w:numPr>
        <w:numId w:val="11"/>
      </w:numPr>
      <w:tabs>
        <w:tab w:val="left" w:pos="0"/>
      </w:tabs>
      <w:spacing w:before="400" w:after="200" w:line="276" w:lineRule="auto"/>
      <w:ind w:left="0" w:hanging="851"/>
      <w:jc w:val="both"/>
      <w:outlineLvl w:val="0"/>
    </w:pPr>
    <w:rPr>
      <w:rFonts w:ascii="Arial Narrow" w:eastAsiaTheme="majorEastAsia" w:hAnsi="Arial Narrow" w:cstheme="majorBidi"/>
      <w:bCs/>
      <w:color w:val="4785B6"/>
      <w:sz w:val="40"/>
      <w:szCs w:val="40"/>
      <w:u w:color="000000"/>
      <w:lang w:val="en-US"/>
    </w:rPr>
  </w:style>
  <w:style w:type="paragraph" w:styleId="Heading2">
    <w:name w:val="heading 2"/>
    <w:basedOn w:val="Heading1"/>
    <w:next w:val="Normal"/>
    <w:link w:val="Heading2Char"/>
    <w:uiPriority w:val="99"/>
    <w:unhideWhenUsed/>
    <w:qFormat/>
    <w:rsid w:val="00993112"/>
    <w:pPr>
      <w:spacing w:after="0"/>
      <w:outlineLvl w:val="1"/>
    </w:pPr>
    <w:rPr>
      <w:bCs w:val="0"/>
      <w:sz w:val="28"/>
      <w:u w:color="4F81BD" w:themeColor="accent1"/>
    </w:rPr>
  </w:style>
  <w:style w:type="paragraph" w:styleId="Heading3">
    <w:name w:val="heading 3"/>
    <w:basedOn w:val="Normal"/>
    <w:next w:val="Normal"/>
    <w:link w:val="Heading3Char"/>
    <w:uiPriority w:val="99"/>
    <w:unhideWhenUsed/>
    <w:qFormat/>
    <w:rsid w:val="00993112"/>
    <w:pPr>
      <w:keepNext/>
      <w:keepLines/>
      <w:spacing w:before="400" w:after="0" w:line="240" w:lineRule="auto"/>
      <w:jc w:val="both"/>
      <w:outlineLvl w:val="2"/>
    </w:pPr>
    <w:rPr>
      <w:rFonts w:ascii="Arial Narrow" w:eastAsiaTheme="majorEastAsia" w:hAnsi="Arial Narrow" w:cstheme="majorBidi"/>
      <w:b/>
      <w:bCs/>
      <w:color w:val="4785B6"/>
      <w:szCs w:val="21"/>
      <w:u w:color="000000"/>
    </w:rPr>
  </w:style>
  <w:style w:type="paragraph" w:styleId="Heading4">
    <w:name w:val="heading 4"/>
    <w:basedOn w:val="Normal"/>
    <w:next w:val="Normal"/>
    <w:link w:val="Heading4Char"/>
    <w:uiPriority w:val="99"/>
    <w:semiHidden/>
    <w:unhideWhenUsed/>
    <w:qFormat/>
    <w:rsid w:val="00993112"/>
    <w:pPr>
      <w:keepNext/>
      <w:keepLines/>
      <w:numPr>
        <w:ilvl w:val="3"/>
        <w:numId w:val="1"/>
      </w:numPr>
      <w:spacing w:before="400" w:after="0" w:line="240" w:lineRule="auto"/>
      <w:ind w:left="13" w:hanging="864"/>
      <w:jc w:val="both"/>
      <w:outlineLvl w:val="3"/>
    </w:pPr>
    <w:rPr>
      <w:rFonts w:ascii="Arial Narrow" w:eastAsiaTheme="majorEastAsia" w:hAnsi="Arial Narrow" w:cstheme="majorBidi"/>
      <w:color w:val="4F81BD" w:themeColor="accent1"/>
      <w:u w:color="4F81BD" w:themeColor="accent1"/>
    </w:rPr>
  </w:style>
  <w:style w:type="paragraph" w:styleId="Heading5">
    <w:name w:val="heading 5"/>
    <w:basedOn w:val="Normal"/>
    <w:next w:val="Normal"/>
    <w:link w:val="Heading5Char"/>
    <w:uiPriority w:val="99"/>
    <w:semiHidden/>
    <w:unhideWhenUsed/>
    <w:qFormat/>
    <w:rsid w:val="00993112"/>
    <w:pPr>
      <w:keepNext/>
      <w:keepLines/>
      <w:spacing w:before="400" w:after="0" w:line="240" w:lineRule="auto"/>
      <w:jc w:val="both"/>
      <w:outlineLvl w:val="4"/>
    </w:pPr>
    <w:rPr>
      <w:rFonts w:ascii="Arial Narrow" w:eastAsiaTheme="majorEastAsia" w:hAnsi="Arial Narrow" w:cstheme="majorBidi"/>
      <w:color w:val="4F81BD"/>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9C346A"/>
    <w:rPr>
      <w:rFonts w:ascii="Arial Narrow" w:eastAsiaTheme="majorEastAsia" w:hAnsi="Arial Narrow" w:cstheme="majorBidi"/>
      <w:bCs/>
      <w:color w:val="4785B6"/>
      <w:sz w:val="40"/>
      <w:szCs w:val="40"/>
      <w:u w:color="000000"/>
      <w:lang w:val="en-US"/>
    </w:rPr>
  </w:style>
  <w:style w:type="character" w:customStyle="1" w:styleId="Heading2Char">
    <w:name w:val="Heading 2 Char"/>
    <w:basedOn w:val="DefaultParagraphFont"/>
    <w:link w:val="Heading2"/>
    <w:uiPriority w:val="99"/>
    <w:rsid w:val="00993112"/>
    <w:rPr>
      <w:rFonts w:ascii="Arial Narrow" w:eastAsiaTheme="majorEastAsia" w:hAnsi="Arial Narrow" w:cstheme="majorBidi"/>
      <w:color w:val="4785B6"/>
      <w:sz w:val="28"/>
      <w:szCs w:val="32"/>
      <w:u w:color="4F81BD" w:themeColor="accent1"/>
      <w:lang w:val="en-US"/>
    </w:rPr>
  </w:style>
  <w:style w:type="character" w:customStyle="1" w:styleId="Heading3Char">
    <w:name w:val="Heading 3 Char"/>
    <w:basedOn w:val="DefaultParagraphFont"/>
    <w:link w:val="Heading3"/>
    <w:uiPriority w:val="99"/>
    <w:rsid w:val="00993112"/>
    <w:rPr>
      <w:rFonts w:ascii="Arial Narrow" w:eastAsiaTheme="majorEastAsia" w:hAnsi="Arial Narrow" w:cstheme="majorBidi"/>
      <w:b/>
      <w:bCs/>
      <w:color w:val="4785B6"/>
      <w:szCs w:val="21"/>
      <w:u w:color="000000"/>
    </w:rPr>
  </w:style>
  <w:style w:type="character" w:customStyle="1" w:styleId="Heading4Char">
    <w:name w:val="Heading 4 Char"/>
    <w:basedOn w:val="DefaultParagraphFont"/>
    <w:link w:val="Heading4"/>
    <w:uiPriority w:val="99"/>
    <w:semiHidden/>
    <w:rsid w:val="00993112"/>
    <w:rPr>
      <w:rFonts w:ascii="Arial Narrow" w:eastAsiaTheme="majorEastAsia" w:hAnsi="Arial Narrow" w:cstheme="majorBidi"/>
      <w:color w:val="4F81BD" w:themeColor="accent1"/>
      <w:u w:color="4F81BD" w:themeColor="accent1"/>
    </w:rPr>
  </w:style>
  <w:style w:type="character" w:customStyle="1" w:styleId="Heading5Char">
    <w:name w:val="Heading 5 Char"/>
    <w:basedOn w:val="DefaultParagraphFont"/>
    <w:link w:val="Heading5"/>
    <w:uiPriority w:val="99"/>
    <w:semiHidden/>
    <w:rsid w:val="00993112"/>
    <w:rPr>
      <w:rFonts w:ascii="Arial Narrow" w:eastAsiaTheme="majorEastAsia" w:hAnsi="Arial Narrow" w:cstheme="majorBidi"/>
      <w:color w:val="4F81BD"/>
      <w:u w:color="000000"/>
    </w:rPr>
  </w:style>
  <w:style w:type="paragraph" w:styleId="ListParagraph">
    <w:name w:val="List Paragraph"/>
    <w:basedOn w:val="Normal"/>
    <w:link w:val="ListParagraphChar"/>
    <w:uiPriority w:val="99"/>
    <w:qFormat/>
    <w:rsid w:val="00993112"/>
    <w:pPr>
      <w:spacing w:before="120" w:after="200" w:line="240" w:lineRule="auto"/>
      <w:ind w:left="720"/>
      <w:contextualSpacing/>
      <w:jc w:val="both"/>
    </w:pPr>
    <w:rPr>
      <w:rFonts w:ascii="Arial Narrow" w:eastAsiaTheme="minorEastAsia" w:hAnsi="Arial Narrow" w:cs="ApexNew-Book"/>
      <w:color w:val="1D1D1C"/>
      <w:u w:color="000000"/>
    </w:rPr>
  </w:style>
  <w:style w:type="character" w:customStyle="1" w:styleId="ListParagraphChar">
    <w:name w:val="List Paragraph Char"/>
    <w:link w:val="ListParagraph"/>
    <w:uiPriority w:val="34"/>
    <w:locked/>
    <w:rsid w:val="00993112"/>
    <w:rPr>
      <w:rFonts w:ascii="Arial Narrow" w:eastAsiaTheme="minorEastAsia" w:hAnsi="Arial Narrow" w:cs="ApexNew-Book"/>
      <w:color w:val="1D1D1C"/>
      <w:u w:color="000000"/>
    </w:rPr>
  </w:style>
  <w:style w:type="character" w:customStyle="1" w:styleId="BalloonTextChar">
    <w:name w:val="Balloon Text Char"/>
    <w:basedOn w:val="DefaultParagraphFont"/>
    <w:link w:val="BalloonText"/>
    <w:uiPriority w:val="99"/>
    <w:semiHidden/>
    <w:rsid w:val="00993112"/>
    <w:rPr>
      <w:rFonts w:ascii="Tahoma" w:eastAsiaTheme="minorEastAsia" w:hAnsi="Tahoma" w:cs="Tahoma"/>
      <w:color w:val="1D1D1C"/>
      <w:sz w:val="16"/>
      <w:szCs w:val="16"/>
      <w:u w:color="000000"/>
    </w:rPr>
  </w:style>
  <w:style w:type="paragraph" w:styleId="BalloonText">
    <w:name w:val="Balloon Text"/>
    <w:basedOn w:val="Normal"/>
    <w:link w:val="BalloonTextChar"/>
    <w:uiPriority w:val="99"/>
    <w:semiHidden/>
    <w:unhideWhenUsed/>
    <w:rsid w:val="00993112"/>
    <w:pPr>
      <w:spacing w:before="120" w:after="200" w:line="240" w:lineRule="auto"/>
      <w:jc w:val="both"/>
    </w:pPr>
    <w:rPr>
      <w:rFonts w:ascii="Tahoma" w:eastAsiaTheme="minorEastAsia" w:hAnsi="Tahoma" w:cs="Tahoma"/>
      <w:color w:val="1D1D1C"/>
      <w:sz w:val="16"/>
      <w:szCs w:val="16"/>
      <w:u w:color="000000"/>
    </w:rPr>
  </w:style>
  <w:style w:type="table" w:styleId="TableGrid">
    <w:name w:val="Table Grid"/>
    <w:basedOn w:val="TableNormal"/>
    <w:uiPriority w:val="59"/>
    <w:rsid w:val="00993112"/>
    <w:pPr>
      <w:spacing w:after="0" w:line="240" w:lineRule="auto"/>
    </w:pPr>
    <w:rPr>
      <w:rFonts w:ascii="Arial Narrow" w:eastAsiaTheme="minorEastAsia" w:hAnsi="Arial Narrow" w:cs="ApexNew-Book"/>
      <w:color w:val="1D1D1C"/>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112"/>
    <w:rPr>
      <w:sz w:val="16"/>
      <w:szCs w:val="16"/>
    </w:rPr>
  </w:style>
  <w:style w:type="character" w:customStyle="1" w:styleId="CommentTextChar">
    <w:name w:val="Comment Text Char"/>
    <w:basedOn w:val="DefaultParagraphFont"/>
    <w:link w:val="CommentText"/>
    <w:uiPriority w:val="99"/>
    <w:semiHidden/>
    <w:rsid w:val="00993112"/>
    <w:rPr>
      <w:rFonts w:ascii="Arial Narrow" w:eastAsiaTheme="minorEastAsia" w:hAnsi="Arial Narrow" w:cs="ApexNew-Book"/>
      <w:color w:val="1D1D1C"/>
      <w:sz w:val="20"/>
      <w:szCs w:val="20"/>
      <w:u w:color="000000"/>
    </w:rPr>
  </w:style>
  <w:style w:type="paragraph" w:styleId="CommentText">
    <w:name w:val="annotation text"/>
    <w:basedOn w:val="Normal"/>
    <w:link w:val="CommentTextChar"/>
    <w:uiPriority w:val="99"/>
    <w:semiHidden/>
    <w:unhideWhenUsed/>
    <w:rsid w:val="00993112"/>
    <w:pPr>
      <w:spacing w:before="120" w:after="200" w:line="240" w:lineRule="auto"/>
      <w:jc w:val="both"/>
    </w:pPr>
    <w:rPr>
      <w:rFonts w:ascii="Arial Narrow" w:eastAsiaTheme="minorEastAsia" w:hAnsi="Arial Narrow" w:cs="ApexNew-Book"/>
      <w:color w:val="1D1D1C"/>
      <w:sz w:val="20"/>
      <w:szCs w:val="20"/>
      <w:u w:color="000000"/>
    </w:rPr>
  </w:style>
  <w:style w:type="character" w:customStyle="1" w:styleId="CommentSubjectChar">
    <w:name w:val="Comment Subject Char"/>
    <w:basedOn w:val="CommentTextChar"/>
    <w:link w:val="CommentSubject"/>
    <w:uiPriority w:val="99"/>
    <w:semiHidden/>
    <w:rsid w:val="00993112"/>
    <w:rPr>
      <w:rFonts w:ascii="Arial Narrow" w:eastAsiaTheme="minorEastAsia" w:hAnsi="Arial Narrow" w:cs="ApexNew-Book"/>
      <w:b/>
      <w:bCs/>
      <w:color w:val="1D1D1C"/>
      <w:sz w:val="20"/>
      <w:szCs w:val="20"/>
      <w:u w:color="000000"/>
    </w:rPr>
  </w:style>
  <w:style w:type="paragraph" w:styleId="CommentSubject">
    <w:name w:val="annotation subject"/>
    <w:basedOn w:val="CommentText"/>
    <w:next w:val="CommentText"/>
    <w:link w:val="CommentSubjectChar"/>
    <w:uiPriority w:val="99"/>
    <w:semiHidden/>
    <w:unhideWhenUsed/>
    <w:rsid w:val="00993112"/>
    <w:rPr>
      <w:b/>
      <w:bCs/>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semiHidden/>
    <w:unhideWhenUsed/>
    <w:qFormat/>
    <w:rsid w:val="00993112"/>
    <w:pPr>
      <w:spacing w:before="120" w:after="200" w:line="240" w:lineRule="auto"/>
      <w:jc w:val="both"/>
    </w:pPr>
    <w:rPr>
      <w:rFonts w:ascii="Arial Narrow" w:eastAsiaTheme="minorEastAsia" w:hAnsi="Arial Narrow" w:cs="ApexNew-Book"/>
      <w:color w:val="1D1D1C"/>
      <w:sz w:val="20"/>
      <w:szCs w:val="20"/>
      <w:u w:color="00000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semiHidden/>
    <w:rsid w:val="00993112"/>
    <w:rPr>
      <w:rFonts w:ascii="Arial Narrow" w:eastAsiaTheme="minorEastAsia" w:hAnsi="Arial Narrow" w:cs="ApexNew-Book"/>
      <w:color w:val="1D1D1C"/>
      <w:sz w:val="20"/>
      <w:szCs w:val="20"/>
      <w:u w:color="00000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93112"/>
    <w:rPr>
      <w:vertAlign w:val="superscript"/>
    </w:rPr>
  </w:style>
  <w:style w:type="paragraph" w:customStyle="1" w:styleId="Default">
    <w:name w:val="Default"/>
    <w:rsid w:val="00993112"/>
    <w:pPr>
      <w:autoSpaceDE w:val="0"/>
      <w:autoSpaceDN w:val="0"/>
      <w:adjustRightInd w:val="0"/>
      <w:spacing w:after="0" w:line="240" w:lineRule="auto"/>
    </w:pPr>
    <w:rPr>
      <w:rFonts w:ascii="Arial" w:eastAsiaTheme="minorEastAsia" w:hAnsi="Arial" w:cs="Arial"/>
      <w:color w:val="000000"/>
      <w:sz w:val="24"/>
      <w:szCs w:val="24"/>
      <w:u w:color="000000"/>
    </w:rPr>
  </w:style>
  <w:style w:type="character" w:customStyle="1" w:styleId="apple-converted-space">
    <w:name w:val="apple-converted-space"/>
    <w:basedOn w:val="DefaultParagraphFont"/>
    <w:rsid w:val="00993112"/>
  </w:style>
  <w:style w:type="character" w:styleId="Emphasis">
    <w:name w:val="Emphasis"/>
    <w:basedOn w:val="DefaultParagraphFont"/>
    <w:uiPriority w:val="20"/>
    <w:rsid w:val="00993112"/>
    <w:rPr>
      <w:i/>
      <w:iCs/>
    </w:rPr>
  </w:style>
  <w:style w:type="paragraph" w:customStyle="1" w:styleId="Bullet1">
    <w:name w:val="Bullet 1"/>
    <w:basedOn w:val="Normal"/>
    <w:link w:val="Bullet1Char"/>
    <w:qFormat/>
    <w:rsid w:val="009C346A"/>
    <w:pPr>
      <w:keepLines/>
      <w:numPr>
        <w:numId w:val="16"/>
      </w:numPr>
      <w:spacing w:before="120" w:after="240" w:line="240" w:lineRule="auto"/>
      <w:ind w:left="284" w:hanging="284"/>
      <w:jc w:val="both"/>
    </w:pPr>
    <w:rPr>
      <w:rFonts w:ascii="Arial Narrow" w:eastAsiaTheme="minorEastAsia" w:hAnsi="Arial Narrow" w:cs="ApexNew-Book"/>
      <w:color w:val="1D1D1C"/>
      <w:u w:color="000000"/>
      <w:lang w:eastAsia="ja-JP"/>
    </w:rPr>
  </w:style>
  <w:style w:type="character" w:customStyle="1" w:styleId="Bullet1Char">
    <w:name w:val="Bullet 1 Char"/>
    <w:basedOn w:val="DefaultParagraphFont"/>
    <w:link w:val="Bullet1"/>
    <w:rsid w:val="009C346A"/>
    <w:rPr>
      <w:rFonts w:ascii="Arial Narrow" w:eastAsiaTheme="minorEastAsia" w:hAnsi="Arial Narrow" w:cs="ApexNew-Book"/>
      <w:color w:val="1D1D1C"/>
      <w:u w:color="000000"/>
      <w:lang w:eastAsia="ja-JP"/>
    </w:rPr>
  </w:style>
  <w:style w:type="paragraph" w:customStyle="1" w:styleId="Bullet2">
    <w:name w:val="Bullet 2"/>
    <w:basedOn w:val="Bullet1"/>
    <w:link w:val="Bullet2Char"/>
    <w:qFormat/>
    <w:rsid w:val="00993112"/>
    <w:pPr>
      <w:numPr>
        <w:numId w:val="4"/>
      </w:numPr>
      <w:ind w:left="284" w:firstLine="0"/>
    </w:pPr>
  </w:style>
  <w:style w:type="character" w:customStyle="1" w:styleId="Bullet2Char">
    <w:name w:val="Bullet 2 Char"/>
    <w:basedOn w:val="Bullet1Char"/>
    <w:link w:val="Bullet2"/>
    <w:rsid w:val="00993112"/>
    <w:rPr>
      <w:rFonts w:ascii="Arial Narrow" w:eastAsiaTheme="minorEastAsia" w:hAnsi="Arial Narrow" w:cs="ApexNew-Book"/>
      <w:color w:val="1D1D1C"/>
      <w:u w:color="000000"/>
      <w:lang w:eastAsia="ja-JP"/>
    </w:rPr>
  </w:style>
  <w:style w:type="paragraph" w:customStyle="1" w:styleId="Bullet3">
    <w:name w:val="Bullet 3"/>
    <w:qFormat/>
    <w:rsid w:val="00993112"/>
    <w:pPr>
      <w:numPr>
        <w:numId w:val="6"/>
      </w:numPr>
      <w:spacing w:after="240" w:line="240" w:lineRule="auto"/>
    </w:pPr>
    <w:rPr>
      <w:rFonts w:ascii="Arial Narrow" w:eastAsiaTheme="minorEastAsia" w:hAnsi="Arial Narrow" w:cs="ApexNew-Book"/>
      <w:u w:color="000000"/>
    </w:rPr>
  </w:style>
  <w:style w:type="paragraph" w:customStyle="1" w:styleId="Bullet4">
    <w:name w:val="Bullet 4"/>
    <w:qFormat/>
    <w:rsid w:val="00993112"/>
    <w:pPr>
      <w:numPr>
        <w:numId w:val="7"/>
      </w:numPr>
      <w:spacing w:after="240" w:line="240" w:lineRule="auto"/>
    </w:pPr>
    <w:rPr>
      <w:rFonts w:ascii="Arial Narrow" w:eastAsiaTheme="minorEastAsia" w:hAnsi="Arial Narrow" w:cs="ApexNew-Book"/>
      <w:u w:color="000000"/>
    </w:rPr>
  </w:style>
  <w:style w:type="paragraph" w:customStyle="1" w:styleId="Footnote">
    <w:name w:val="Footnote"/>
    <w:basedOn w:val="FootnoteText"/>
    <w:link w:val="FootnoteChar"/>
    <w:qFormat/>
    <w:rsid w:val="00993112"/>
    <w:pPr>
      <w:keepLines/>
      <w:tabs>
        <w:tab w:val="left" w:pos="0"/>
      </w:tabs>
      <w:spacing w:before="0" w:after="0"/>
    </w:pPr>
    <w:rPr>
      <w:color w:val="auto"/>
      <w:sz w:val="16"/>
      <w:szCs w:val="24"/>
    </w:rPr>
  </w:style>
  <w:style w:type="character" w:customStyle="1" w:styleId="FootnoteChar">
    <w:name w:val="Footnote Char"/>
    <w:basedOn w:val="DefaultParagraphFont"/>
    <w:link w:val="Footnote"/>
    <w:rsid w:val="00993112"/>
    <w:rPr>
      <w:rFonts w:ascii="Arial Narrow" w:eastAsiaTheme="minorEastAsia" w:hAnsi="Arial Narrow" w:cs="ApexNew-Book"/>
      <w:sz w:val="16"/>
      <w:szCs w:val="24"/>
      <w:u w:color="000000"/>
    </w:rPr>
  </w:style>
  <w:style w:type="paragraph" w:customStyle="1" w:styleId="NumberLevel2">
    <w:name w:val="Number Level 2."/>
    <w:basedOn w:val="Normal"/>
    <w:qFormat/>
    <w:rsid w:val="00993112"/>
    <w:pPr>
      <w:numPr>
        <w:numId w:val="8"/>
      </w:numPr>
      <w:spacing w:before="120" w:after="200" w:line="240" w:lineRule="auto"/>
      <w:jc w:val="both"/>
    </w:pPr>
    <w:rPr>
      <w:rFonts w:ascii="Arial Narrow" w:eastAsiaTheme="minorEastAsia" w:hAnsi="Arial Narrow" w:cs="ApexNew-Book"/>
      <w:color w:val="1D1D1C"/>
      <w:u w:color="000000"/>
    </w:rPr>
  </w:style>
  <w:style w:type="paragraph" w:customStyle="1" w:styleId="NumberLevel1">
    <w:name w:val="Number Level 1"/>
    <w:basedOn w:val="NumberLevel2"/>
    <w:qFormat/>
    <w:rsid w:val="00993112"/>
    <w:pPr>
      <w:numPr>
        <w:numId w:val="9"/>
      </w:numPr>
    </w:pPr>
  </w:style>
  <w:style w:type="paragraph" w:customStyle="1" w:styleId="Tabletitle">
    <w:name w:val="Table title"/>
    <w:basedOn w:val="Normal"/>
    <w:qFormat/>
    <w:rsid w:val="00993112"/>
    <w:pPr>
      <w:pBdr>
        <w:top w:val="single" w:sz="24" w:space="1" w:color="72A2CA"/>
        <w:bottom w:val="single" w:sz="24" w:space="1" w:color="72A2CA"/>
      </w:pBdr>
      <w:shd w:val="clear" w:color="auto" w:fill="72A2CA"/>
      <w:tabs>
        <w:tab w:val="left" w:pos="142"/>
      </w:tabs>
      <w:spacing w:before="120" w:after="120" w:line="240" w:lineRule="auto"/>
      <w:ind w:left="142" w:hanging="142"/>
      <w:jc w:val="both"/>
    </w:pPr>
    <w:rPr>
      <w:rFonts w:ascii="Arial Narrow" w:eastAsiaTheme="minorEastAsia" w:hAnsi="Arial Narrow" w:cs="ApexNew-Book"/>
      <w:b/>
      <w:bCs/>
      <w:caps/>
      <w:color w:val="FFFFFF" w:themeColor="background1"/>
      <w:sz w:val="18"/>
      <w:szCs w:val="18"/>
      <w:u w:color="000000"/>
    </w:rPr>
  </w:style>
  <w:style w:type="paragraph" w:customStyle="1" w:styleId="Source">
    <w:name w:val="Source"/>
    <w:qFormat/>
    <w:rsid w:val="00993112"/>
    <w:pPr>
      <w:spacing w:before="60" w:after="240" w:line="240" w:lineRule="auto"/>
    </w:pPr>
    <w:rPr>
      <w:rFonts w:ascii="Arial Narrow" w:eastAsiaTheme="minorEastAsia" w:hAnsi="Arial Narrow" w:cs="ApexNew-Book"/>
      <w:i/>
      <w:color w:val="404040" w:themeColor="text1" w:themeTint="BF"/>
      <w:sz w:val="20"/>
      <w:u w:color="000000"/>
    </w:rPr>
  </w:style>
  <w:style w:type="paragraph" w:customStyle="1" w:styleId="TitlePage">
    <w:name w:val="Title Page"/>
    <w:qFormat/>
    <w:rsid w:val="00993112"/>
    <w:pPr>
      <w:spacing w:after="0" w:line="240" w:lineRule="auto"/>
    </w:pPr>
    <w:rPr>
      <w:rFonts w:ascii="Arial Narrow" w:eastAsiaTheme="minorEastAsia" w:hAnsi="Arial Narrow" w:cs="ApexNew-Book"/>
      <w:color w:val="FFFFFF" w:themeColor="background1"/>
      <w:sz w:val="90"/>
      <w:szCs w:val="56"/>
      <w:u w:color="000000"/>
    </w:rPr>
  </w:style>
  <w:style w:type="paragraph" w:customStyle="1" w:styleId="TitlePage-Subheading">
    <w:name w:val="Title Page - Subheading"/>
    <w:basedOn w:val="TitlePage"/>
    <w:qFormat/>
    <w:rsid w:val="00993112"/>
    <w:rPr>
      <w:sz w:val="40"/>
    </w:rPr>
  </w:style>
  <w:style w:type="paragraph" w:customStyle="1" w:styleId="TableHeadingText">
    <w:name w:val="Table Heading Text"/>
    <w:basedOn w:val="Normal"/>
    <w:qFormat/>
    <w:rsid w:val="00993112"/>
    <w:pPr>
      <w:spacing w:after="0" w:line="240" w:lineRule="auto"/>
      <w:jc w:val="both"/>
    </w:pPr>
    <w:rPr>
      <w:rFonts w:ascii="Arial Narrow" w:eastAsiaTheme="minorEastAsia" w:hAnsi="Arial Narrow" w:cs="ApexNew-Book"/>
      <w:b/>
      <w:color w:val="4785B6"/>
      <w:sz w:val="20"/>
      <w:u w:color="000000"/>
    </w:rPr>
  </w:style>
  <w:style w:type="paragraph" w:customStyle="1" w:styleId="TableContentsHeading">
    <w:name w:val="Table Contents Heading"/>
    <w:basedOn w:val="TOC1"/>
    <w:qFormat/>
    <w:rsid w:val="00993112"/>
    <w:rPr>
      <w:b w:val="0"/>
      <w:sz w:val="40"/>
      <w:szCs w:val="40"/>
    </w:rPr>
  </w:style>
  <w:style w:type="paragraph" w:styleId="TOC1">
    <w:name w:val="toc 1"/>
    <w:aliases w:val="Content Heading 1"/>
    <w:basedOn w:val="Normal"/>
    <w:next w:val="Normal"/>
    <w:uiPriority w:val="39"/>
    <w:unhideWhenUsed/>
    <w:qFormat/>
    <w:rsid w:val="001765E4"/>
    <w:pPr>
      <w:tabs>
        <w:tab w:val="left" w:pos="-502"/>
        <w:tab w:val="right" w:leader="underscore" w:pos="8488"/>
      </w:tabs>
      <w:spacing w:before="120" w:after="120" w:line="240" w:lineRule="auto"/>
    </w:pPr>
    <w:rPr>
      <w:rFonts w:ascii="Arial Narrow" w:eastAsiaTheme="minorEastAsia" w:hAnsi="Arial Narrow" w:cs="ApexNew-Book"/>
      <w:b/>
      <w:color w:val="1D1D1C"/>
      <w:sz w:val="24"/>
      <w:szCs w:val="24"/>
      <w:u w:color="000000"/>
    </w:rPr>
  </w:style>
  <w:style w:type="paragraph" w:customStyle="1" w:styleId="FooterText">
    <w:name w:val="Footer Text"/>
    <w:basedOn w:val="Footer"/>
    <w:link w:val="FooterTextChar"/>
    <w:qFormat/>
    <w:rsid w:val="00993112"/>
    <w:pPr>
      <w:tabs>
        <w:tab w:val="clear" w:pos="4513"/>
        <w:tab w:val="clear" w:pos="9026"/>
        <w:tab w:val="center" w:pos="4320"/>
        <w:tab w:val="right" w:pos="8640"/>
      </w:tabs>
      <w:spacing w:after="0"/>
      <w:jc w:val="right"/>
    </w:pPr>
    <w:rPr>
      <w:caps/>
      <w:color w:val="A6A6A6" w:themeColor="background1" w:themeShade="A6"/>
      <w:sz w:val="16"/>
      <w:szCs w:val="18"/>
    </w:rPr>
  </w:style>
  <w:style w:type="paragraph" w:styleId="Footer">
    <w:name w:val="footer"/>
    <w:basedOn w:val="Normal"/>
    <w:link w:val="FooterChar"/>
    <w:uiPriority w:val="99"/>
    <w:unhideWhenUsed/>
    <w:rsid w:val="00993112"/>
    <w:pPr>
      <w:tabs>
        <w:tab w:val="center" w:pos="4513"/>
        <w:tab w:val="right" w:pos="9026"/>
      </w:tabs>
      <w:spacing w:before="120" w:after="200" w:line="240" w:lineRule="auto"/>
      <w:jc w:val="both"/>
    </w:pPr>
    <w:rPr>
      <w:rFonts w:ascii="Arial Narrow" w:eastAsiaTheme="minorEastAsia" w:hAnsi="Arial Narrow" w:cs="ApexNew-Book"/>
      <w:color w:val="1D1D1C"/>
      <w:u w:color="000000"/>
    </w:rPr>
  </w:style>
  <w:style w:type="character" w:customStyle="1" w:styleId="FooterChar">
    <w:name w:val="Footer Char"/>
    <w:basedOn w:val="DefaultParagraphFont"/>
    <w:link w:val="Footer"/>
    <w:uiPriority w:val="99"/>
    <w:rsid w:val="00993112"/>
    <w:rPr>
      <w:rFonts w:ascii="Arial Narrow" w:eastAsiaTheme="minorEastAsia" w:hAnsi="Arial Narrow" w:cs="ApexNew-Book"/>
      <w:color w:val="1D1D1C"/>
      <w:u w:color="000000"/>
    </w:rPr>
  </w:style>
  <w:style w:type="character" w:customStyle="1" w:styleId="FooterTextChar">
    <w:name w:val="Footer Text Char"/>
    <w:basedOn w:val="FooterChar"/>
    <w:link w:val="FooterText"/>
    <w:rsid w:val="00993112"/>
    <w:rPr>
      <w:rFonts w:ascii="Arial Narrow" w:eastAsiaTheme="minorEastAsia" w:hAnsi="Arial Narrow" w:cs="ApexNew-Book"/>
      <w:caps/>
      <w:color w:val="A6A6A6" w:themeColor="background1" w:themeShade="A6"/>
      <w:sz w:val="16"/>
      <w:szCs w:val="18"/>
      <w:u w:color="000000"/>
    </w:rPr>
  </w:style>
  <w:style w:type="paragraph" w:customStyle="1" w:styleId="FIGURESTYLE">
    <w:name w:val="FIGURE STYLE"/>
    <w:basedOn w:val="Tabletitle"/>
    <w:qFormat/>
    <w:rsid w:val="00993112"/>
  </w:style>
  <w:style w:type="paragraph" w:customStyle="1" w:styleId="HeaderText">
    <w:name w:val="Header Text"/>
    <w:basedOn w:val="Source"/>
    <w:qFormat/>
    <w:rsid w:val="00993112"/>
    <w:pPr>
      <w:keepLines/>
      <w:spacing w:after="0"/>
      <w:jc w:val="right"/>
    </w:pPr>
    <w:rPr>
      <w:b/>
      <w:bCs/>
      <w:i w:val="0"/>
      <w:caps/>
      <w:color w:val="FFFFFF" w:themeColor="background1"/>
      <w:sz w:val="16"/>
      <w:szCs w:val="16"/>
      <w14:textFill>
        <w14:solidFill>
          <w14:schemeClr w14:val="bg1">
            <w14:lumMod w14:val="65000"/>
            <w14:lumMod w14:val="75000"/>
            <w14:lumOff w14:val="25000"/>
          </w14:schemeClr>
        </w14:solidFill>
      </w14:textFill>
    </w:rPr>
  </w:style>
  <w:style w:type="paragraph" w:customStyle="1" w:styleId="BoxTitle">
    <w:name w:val="Box Title"/>
    <w:basedOn w:val="Normal"/>
    <w:qFormat/>
    <w:rsid w:val="00993112"/>
    <w:pPr>
      <w:spacing w:before="400" w:after="200" w:line="240" w:lineRule="auto"/>
      <w:ind w:left="568" w:hanging="284"/>
      <w:jc w:val="both"/>
    </w:pPr>
    <w:rPr>
      <w:rFonts w:ascii="Arial Narrow" w:eastAsiaTheme="minorEastAsia" w:hAnsi="Arial Narrow" w:cs="ApexNew-Book"/>
      <w:b/>
      <w:color w:val="4785B6"/>
      <w:u w:color="000000"/>
    </w:rPr>
  </w:style>
  <w:style w:type="paragraph" w:customStyle="1" w:styleId="BoxStandardText">
    <w:name w:val="Box Standard Text"/>
    <w:basedOn w:val="Normal"/>
    <w:qFormat/>
    <w:rsid w:val="00993112"/>
    <w:pPr>
      <w:spacing w:before="120" w:after="200" w:line="240" w:lineRule="auto"/>
      <w:ind w:left="284" w:right="567" w:hanging="284"/>
      <w:jc w:val="both"/>
    </w:pPr>
    <w:rPr>
      <w:rFonts w:ascii="Arial Narrow" w:eastAsiaTheme="minorEastAsia" w:hAnsi="Arial Narrow" w:cs="ApexNew-Book"/>
      <w:color w:val="1D1D1C"/>
      <w:u w:color="000000"/>
    </w:rPr>
  </w:style>
  <w:style w:type="paragraph" w:customStyle="1" w:styleId="QuoteRule">
    <w:name w:val="Quote Rule"/>
    <w:basedOn w:val="Normal"/>
    <w:link w:val="QuoteRuleChar"/>
    <w:qFormat/>
    <w:rsid w:val="00993112"/>
    <w:pPr>
      <w:tabs>
        <w:tab w:val="left" w:pos="851"/>
        <w:tab w:val="left" w:pos="1134"/>
      </w:tabs>
      <w:spacing w:before="300" w:after="300" w:line="240" w:lineRule="auto"/>
      <w:ind w:left="567" w:right="567"/>
      <w:jc w:val="both"/>
    </w:pPr>
    <w:rPr>
      <w:rFonts w:ascii="Arial Narrow" w:eastAsiaTheme="minorEastAsia" w:hAnsi="Arial Narrow" w:cs="ApexNew-Book"/>
      <w:i/>
      <w:color w:val="1D1D1C"/>
      <w:u w:color="000000"/>
    </w:rPr>
  </w:style>
  <w:style w:type="character" w:customStyle="1" w:styleId="QuoteRuleChar">
    <w:name w:val="Quote Rule Char"/>
    <w:basedOn w:val="DefaultParagraphFont"/>
    <w:link w:val="QuoteRule"/>
    <w:rsid w:val="00993112"/>
    <w:rPr>
      <w:rFonts w:ascii="Arial Narrow" w:eastAsiaTheme="minorEastAsia" w:hAnsi="Arial Narrow" w:cs="ApexNew-Book"/>
      <w:i/>
      <w:color w:val="1D1D1C"/>
      <w:u w:color="000000"/>
    </w:rPr>
  </w:style>
  <w:style w:type="paragraph" w:customStyle="1" w:styleId="BoxBullet1">
    <w:name w:val="Box Bullet 1"/>
    <w:basedOn w:val="QuoteRule"/>
    <w:qFormat/>
    <w:rsid w:val="00993112"/>
    <w:pPr>
      <w:numPr>
        <w:numId w:val="10"/>
      </w:numPr>
    </w:pPr>
    <w:rPr>
      <w:i w:val="0"/>
    </w:rPr>
  </w:style>
  <w:style w:type="paragraph" w:customStyle="1" w:styleId="QuoteBullet1">
    <w:name w:val="Quote Bullet 1"/>
    <w:link w:val="QuoteBullet1Char"/>
    <w:qFormat/>
    <w:rsid w:val="00993112"/>
    <w:pPr>
      <w:numPr>
        <w:numId w:val="3"/>
      </w:numPr>
      <w:spacing w:after="300" w:line="240" w:lineRule="auto"/>
      <w:ind w:left="851" w:hanging="284"/>
    </w:pPr>
    <w:rPr>
      <w:rFonts w:ascii="Arial Narrow" w:eastAsiaTheme="minorEastAsia" w:hAnsi="Arial Narrow" w:cs="ApexNew-Book"/>
      <w:i/>
      <w:color w:val="1D1D1C"/>
      <w:u w:color="000000"/>
    </w:rPr>
  </w:style>
  <w:style w:type="character" w:customStyle="1" w:styleId="QuoteBullet1Char">
    <w:name w:val="Quote Bullet 1 Char"/>
    <w:basedOn w:val="QuoteRuleChar"/>
    <w:link w:val="QuoteBullet1"/>
    <w:rsid w:val="00993112"/>
    <w:rPr>
      <w:rFonts w:ascii="Arial Narrow" w:eastAsiaTheme="minorEastAsia" w:hAnsi="Arial Narrow" w:cs="ApexNew-Book"/>
      <w:i/>
      <w:color w:val="1D1D1C"/>
      <w:u w:color="000000"/>
    </w:rPr>
  </w:style>
  <w:style w:type="paragraph" w:customStyle="1" w:styleId="QuoteBullet2">
    <w:name w:val="Quote Bullet 2"/>
    <w:basedOn w:val="Bullet2"/>
    <w:link w:val="QuoteBullet2Char"/>
    <w:qFormat/>
    <w:rsid w:val="00993112"/>
    <w:pPr>
      <w:numPr>
        <w:numId w:val="0"/>
      </w:numPr>
      <w:spacing w:after="300"/>
      <w:ind w:left="1135" w:hanging="284"/>
    </w:pPr>
    <w:rPr>
      <w:i/>
    </w:rPr>
  </w:style>
  <w:style w:type="character" w:customStyle="1" w:styleId="QuoteBullet2Char">
    <w:name w:val="Quote Bullet 2 Char"/>
    <w:basedOn w:val="Bullet2Char"/>
    <w:link w:val="QuoteBullet2"/>
    <w:rsid w:val="00993112"/>
    <w:rPr>
      <w:rFonts w:ascii="Arial Narrow" w:eastAsiaTheme="minorEastAsia" w:hAnsi="Arial Narrow" w:cs="ApexNew-Book"/>
      <w:i/>
      <w:color w:val="1D1D1C"/>
      <w:u w:color="000000"/>
      <w:lang w:eastAsia="ja-JP"/>
    </w:rPr>
  </w:style>
  <w:style w:type="paragraph" w:customStyle="1" w:styleId="TableText">
    <w:name w:val="Table Text"/>
    <w:basedOn w:val="Normal"/>
    <w:link w:val="TableTextChar"/>
    <w:qFormat/>
    <w:rsid w:val="00993112"/>
    <w:pPr>
      <w:keepLines/>
      <w:spacing w:after="0" w:line="240" w:lineRule="auto"/>
      <w:jc w:val="both"/>
    </w:pPr>
    <w:rPr>
      <w:rFonts w:ascii="Arial Narrow" w:eastAsiaTheme="minorEastAsia" w:hAnsi="Arial Narrow" w:cs="ApexNew-Book"/>
      <w:color w:val="1D1D1C"/>
      <w:sz w:val="18"/>
      <w:szCs w:val="18"/>
      <w:u w:color="000000"/>
    </w:rPr>
  </w:style>
  <w:style w:type="character" w:customStyle="1" w:styleId="TableTextChar">
    <w:name w:val="Table Text Char"/>
    <w:basedOn w:val="DefaultParagraphFont"/>
    <w:link w:val="TableText"/>
    <w:rsid w:val="00993112"/>
    <w:rPr>
      <w:rFonts w:ascii="Arial Narrow" w:eastAsiaTheme="minorEastAsia" w:hAnsi="Arial Narrow" w:cs="ApexNew-Book"/>
      <w:color w:val="1D1D1C"/>
      <w:sz w:val="18"/>
      <w:szCs w:val="18"/>
      <w:u w:color="000000"/>
    </w:rPr>
  </w:style>
  <w:style w:type="paragraph" w:customStyle="1" w:styleId="BoxBullet2">
    <w:name w:val="Box Bullet 2"/>
    <w:basedOn w:val="Bullet2"/>
    <w:link w:val="BoxBullet2Char"/>
    <w:qFormat/>
    <w:rsid w:val="00993112"/>
    <w:pPr>
      <w:numPr>
        <w:numId w:val="0"/>
      </w:numPr>
      <w:ind w:left="993" w:hanging="284"/>
    </w:pPr>
  </w:style>
  <w:style w:type="character" w:customStyle="1" w:styleId="BoxBullet2Char">
    <w:name w:val="Box Bullet 2 Char"/>
    <w:basedOn w:val="Bullet2Char"/>
    <w:link w:val="BoxBullet2"/>
    <w:rsid w:val="00993112"/>
    <w:rPr>
      <w:rFonts w:ascii="Arial Narrow" w:eastAsiaTheme="minorEastAsia" w:hAnsi="Arial Narrow" w:cs="ApexNew-Book"/>
      <w:color w:val="1D1D1C"/>
      <w:u w:color="000000"/>
      <w:lang w:eastAsia="ja-JP"/>
    </w:rPr>
  </w:style>
  <w:style w:type="paragraph" w:styleId="NoSpacing">
    <w:name w:val="No Spacing"/>
    <w:aliases w:val="Spacing"/>
    <w:basedOn w:val="Normal"/>
    <w:uiPriority w:val="99"/>
    <w:qFormat/>
    <w:rsid w:val="00993112"/>
    <w:pPr>
      <w:spacing w:after="0" w:line="240" w:lineRule="auto"/>
      <w:jc w:val="both"/>
    </w:pPr>
    <w:rPr>
      <w:rFonts w:ascii="Arial Narrow" w:eastAsia="Times New Roman" w:hAnsi="Arial Narrow" w:cs="Calibri"/>
      <w:sz w:val="10"/>
      <w:szCs w:val="10"/>
      <w:u w:color="000000"/>
    </w:rPr>
  </w:style>
  <w:style w:type="paragraph" w:styleId="TOCHeading">
    <w:name w:val="TOC Heading"/>
    <w:basedOn w:val="Heading1"/>
    <w:next w:val="Normal"/>
    <w:uiPriority w:val="39"/>
    <w:unhideWhenUsed/>
    <w:qFormat/>
    <w:rsid w:val="00993112"/>
    <w:pPr>
      <w:numPr>
        <w:numId w:val="0"/>
      </w:numPr>
      <w:spacing w:before="480" w:after="0"/>
      <w:jc w:val="left"/>
      <w:outlineLvl w:val="9"/>
    </w:pPr>
    <w:rPr>
      <w:rFonts w:asciiTheme="majorHAnsi" w:hAnsiTheme="majorHAnsi"/>
      <w:b/>
      <w:color w:val="365F91" w:themeColor="accent1" w:themeShade="BF"/>
      <w:sz w:val="28"/>
      <w:szCs w:val="28"/>
      <w:lang w:eastAsia="ja-JP"/>
    </w:rPr>
  </w:style>
  <w:style w:type="character" w:styleId="Hyperlink">
    <w:name w:val="Hyperlink"/>
    <w:basedOn w:val="DefaultParagraphFont"/>
    <w:uiPriority w:val="99"/>
    <w:unhideWhenUsed/>
    <w:rsid w:val="00993112"/>
    <w:rPr>
      <w:color w:val="0000FF" w:themeColor="hyperlink"/>
      <w:u w:val="single"/>
    </w:rPr>
  </w:style>
  <w:style w:type="paragraph" w:styleId="NormalWeb">
    <w:name w:val="Normal (Web)"/>
    <w:basedOn w:val="Normal"/>
    <w:uiPriority w:val="99"/>
    <w:semiHidden/>
    <w:unhideWhenUsed/>
    <w:rsid w:val="00993112"/>
    <w:pPr>
      <w:spacing w:before="100" w:beforeAutospacing="1" w:after="100" w:afterAutospacing="1" w:line="240" w:lineRule="auto"/>
    </w:pPr>
    <w:rPr>
      <w:rFonts w:ascii="Times New Roman" w:eastAsiaTheme="minorEastAsia" w:hAnsi="Times New Roman" w:cs="Times New Roman"/>
      <w:sz w:val="24"/>
      <w:szCs w:val="24"/>
      <w:u w:color="000000"/>
      <w:lang w:eastAsia="en-AU"/>
    </w:rPr>
  </w:style>
  <w:style w:type="paragraph" w:styleId="EndnoteText">
    <w:name w:val="endnote text"/>
    <w:basedOn w:val="Normal"/>
    <w:link w:val="EndnoteTextChar"/>
    <w:uiPriority w:val="99"/>
    <w:semiHidden/>
    <w:unhideWhenUsed/>
    <w:rsid w:val="00D6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1C8"/>
    <w:rPr>
      <w:sz w:val="20"/>
      <w:szCs w:val="20"/>
    </w:rPr>
  </w:style>
  <w:style w:type="character" w:styleId="EndnoteReference">
    <w:name w:val="endnote reference"/>
    <w:basedOn w:val="DefaultParagraphFont"/>
    <w:uiPriority w:val="99"/>
    <w:semiHidden/>
    <w:unhideWhenUsed/>
    <w:rsid w:val="00D661C8"/>
    <w:rPr>
      <w:vertAlign w:val="superscript"/>
    </w:rPr>
  </w:style>
  <w:style w:type="paragraph" w:styleId="Header">
    <w:name w:val="header"/>
    <w:basedOn w:val="Normal"/>
    <w:link w:val="HeaderChar"/>
    <w:uiPriority w:val="99"/>
    <w:unhideWhenUsed/>
    <w:rsid w:val="006B5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723"/>
  </w:style>
  <w:style w:type="paragraph" w:customStyle="1" w:styleId="Text">
    <w:name w:val="Text"/>
    <w:basedOn w:val="Normal"/>
    <w:rsid w:val="0063628F"/>
    <w:pPr>
      <w:spacing w:after="0" w:line="240" w:lineRule="auto"/>
      <w:ind w:left="709"/>
      <w:jc w:val="both"/>
    </w:pPr>
    <w:rPr>
      <w:rFonts w:ascii="Arial Narrow" w:eastAsia="Times New Roman" w:hAnsi="Arial Narrow" w:cs="Times New Roman"/>
      <w:sz w:val="24"/>
      <w:szCs w:val="20"/>
      <w:lang w:val="en-GB"/>
    </w:rPr>
  </w:style>
  <w:style w:type="paragraph" w:customStyle="1" w:styleId="NormalH2Indent-alpha">
    <w:name w:val="Normal_H2_Indent-alpha"/>
    <w:basedOn w:val="Normal"/>
    <w:rsid w:val="0063628F"/>
    <w:pPr>
      <w:numPr>
        <w:ilvl w:val="1"/>
        <w:numId w:val="12"/>
      </w:numPr>
      <w:tabs>
        <w:tab w:val="clear" w:pos="1800"/>
      </w:tabs>
      <w:autoSpaceDE w:val="0"/>
      <w:autoSpaceDN w:val="0"/>
      <w:adjustRightInd w:val="0"/>
      <w:spacing w:before="60" w:after="60" w:line="280" w:lineRule="atLeast"/>
      <w:ind w:left="0" w:firstLine="0"/>
      <w:jc w:val="both"/>
    </w:pPr>
    <w:rPr>
      <w:rFonts w:ascii="Arial Narrow" w:eastAsia="Times New Roman" w:hAnsi="Arial Narrow" w:cs="Times New Roman"/>
      <w:sz w:val="24"/>
      <w:szCs w:val="24"/>
    </w:rPr>
  </w:style>
  <w:style w:type="paragraph" w:customStyle="1" w:styleId="AERtableheading">
    <w:name w:val="AER table heading"/>
    <w:basedOn w:val="Normal"/>
    <w:next w:val="Normal"/>
    <w:rsid w:val="0063628F"/>
    <w:pPr>
      <w:keepNext/>
      <w:numPr>
        <w:ilvl w:val="4"/>
        <w:numId w:val="13"/>
      </w:numPr>
      <w:spacing w:before="240" w:after="120" w:line="240" w:lineRule="auto"/>
      <w:outlineLvl w:val="3"/>
    </w:pPr>
    <w:rPr>
      <w:rFonts w:ascii="Times New Roman" w:eastAsia="Times New Roman" w:hAnsi="Times New Roman" w:cs="Times New Roman"/>
      <w:b/>
      <w:szCs w:val="24"/>
    </w:rPr>
  </w:style>
  <w:style w:type="paragraph" w:customStyle="1" w:styleId="AERfigureheading">
    <w:name w:val="AER figure heading"/>
    <w:basedOn w:val="Normal"/>
    <w:next w:val="Normal"/>
    <w:rsid w:val="0063628F"/>
    <w:pPr>
      <w:keepNext/>
      <w:numPr>
        <w:ilvl w:val="5"/>
        <w:numId w:val="13"/>
      </w:numPr>
      <w:spacing w:before="240" w:after="120" w:line="240" w:lineRule="auto"/>
      <w:outlineLvl w:val="3"/>
    </w:pPr>
    <w:rPr>
      <w:rFonts w:ascii="Times New Roman" w:eastAsia="Times New Roman" w:hAnsi="Times New Roman" w:cs="Times New Roman"/>
      <w:b/>
      <w:szCs w:val="24"/>
    </w:rPr>
  </w:style>
  <w:style w:type="paragraph" w:customStyle="1" w:styleId="AERfigureheading-unnumbered">
    <w:name w:val="AER figure heading - unnumbered"/>
    <w:basedOn w:val="AERfigureheading"/>
    <w:rsid w:val="0063628F"/>
    <w:pPr>
      <w:numPr>
        <w:ilvl w:val="7"/>
      </w:numPr>
    </w:pPr>
  </w:style>
  <w:style w:type="paragraph" w:customStyle="1" w:styleId="AERheading1">
    <w:name w:val="AER heading 1"/>
    <w:basedOn w:val="Heading1"/>
    <w:next w:val="Normal"/>
    <w:rsid w:val="0063628F"/>
    <w:pPr>
      <w:keepLines w:val="0"/>
      <w:pageBreakBefore/>
      <w:numPr>
        <w:numId w:val="13"/>
      </w:numPr>
      <w:spacing w:before="240" w:after="120" w:line="240" w:lineRule="auto"/>
      <w:jc w:val="left"/>
    </w:pPr>
    <w:rPr>
      <w:rFonts w:ascii="Arial" w:eastAsia="Times New Roman" w:hAnsi="Arial" w:cs="Arial"/>
      <w:b/>
      <w:color w:val="auto"/>
      <w:kern w:val="32"/>
      <w:sz w:val="36"/>
      <w:lang w:val="x-none"/>
    </w:rPr>
  </w:style>
  <w:style w:type="paragraph" w:customStyle="1" w:styleId="AERheading2">
    <w:name w:val="AER heading 2"/>
    <w:basedOn w:val="Heading2"/>
    <w:next w:val="Normal"/>
    <w:rsid w:val="0063628F"/>
    <w:pPr>
      <w:keepLines w:val="0"/>
      <w:numPr>
        <w:numId w:val="0"/>
      </w:numPr>
      <w:tabs>
        <w:tab w:val="num" w:pos="851"/>
      </w:tabs>
      <w:spacing w:before="240" w:after="120" w:line="240" w:lineRule="auto"/>
      <w:ind w:left="851" w:hanging="851"/>
      <w:jc w:val="left"/>
    </w:pPr>
    <w:rPr>
      <w:rFonts w:ascii="Arial" w:eastAsia="Times New Roman" w:hAnsi="Arial" w:cs="Arial"/>
      <w:b/>
      <w:bCs/>
      <w:iCs/>
      <w:color w:val="auto"/>
      <w:sz w:val="30"/>
      <w:szCs w:val="28"/>
      <w:lang w:val="x-none"/>
    </w:rPr>
  </w:style>
  <w:style w:type="paragraph" w:customStyle="1" w:styleId="AERheading3">
    <w:name w:val="AER heading 3"/>
    <w:basedOn w:val="Heading3"/>
    <w:next w:val="Normal"/>
    <w:rsid w:val="0063628F"/>
    <w:pPr>
      <w:keepLines w:val="0"/>
      <w:tabs>
        <w:tab w:val="num" w:pos="851"/>
      </w:tabs>
      <w:spacing w:before="240" w:after="120"/>
      <w:ind w:left="851" w:hanging="851"/>
      <w:jc w:val="left"/>
    </w:pPr>
    <w:rPr>
      <w:rFonts w:ascii="Arial Bold" w:eastAsia="Times New Roman" w:hAnsi="Arial Bold" w:cs="Arial"/>
      <w:color w:val="auto"/>
      <w:sz w:val="24"/>
      <w:szCs w:val="24"/>
      <w:lang w:val="x-none"/>
    </w:rPr>
  </w:style>
  <w:style w:type="paragraph" w:customStyle="1" w:styleId="AERheading4">
    <w:name w:val="AER heading 4"/>
    <w:basedOn w:val="Heading4"/>
    <w:next w:val="Normal"/>
    <w:rsid w:val="0063628F"/>
    <w:pPr>
      <w:keepLines w:val="0"/>
      <w:numPr>
        <w:numId w:val="13"/>
      </w:numPr>
      <w:spacing w:before="240" w:after="120"/>
      <w:jc w:val="left"/>
    </w:pPr>
    <w:rPr>
      <w:rFonts w:ascii="Times New Roman" w:eastAsia="Times New Roman" w:hAnsi="Times New Roman" w:cs="Times New Roman"/>
      <w:b/>
      <w:bCs/>
      <w:color w:val="auto"/>
      <w:sz w:val="20"/>
      <w:szCs w:val="28"/>
      <w:lang w:val="x-none"/>
    </w:rPr>
  </w:style>
  <w:style w:type="paragraph" w:customStyle="1" w:styleId="AERtableheading-unnumbered">
    <w:name w:val="AER table heading - unnumbered"/>
    <w:basedOn w:val="AERtableheading"/>
    <w:rsid w:val="0063628F"/>
    <w:pPr>
      <w:numPr>
        <w:ilvl w:val="6"/>
      </w:numPr>
    </w:pPr>
  </w:style>
  <w:style w:type="character" w:customStyle="1" w:styleId="AERtextbold">
    <w:name w:val="AER text bold"/>
    <w:qFormat/>
    <w:rsid w:val="0063628F"/>
    <w:rPr>
      <w:b/>
    </w:rPr>
  </w:style>
  <w:style w:type="character" w:customStyle="1" w:styleId="AERbodytextChar">
    <w:name w:val="AER body text Char"/>
    <w:basedOn w:val="DefaultParagraphFont"/>
    <w:link w:val="AERbodytext"/>
    <w:locked/>
    <w:rsid w:val="00D20CAC"/>
    <w:rPr>
      <w:rFonts w:ascii="Times New Roman" w:eastAsia="Times New Roman" w:hAnsi="Times New Roman" w:cs="Times New Roman"/>
      <w:szCs w:val="24"/>
    </w:rPr>
  </w:style>
  <w:style w:type="paragraph" w:customStyle="1" w:styleId="AERbodytext">
    <w:name w:val="AER body text"/>
    <w:link w:val="AERbodytextChar"/>
    <w:qFormat/>
    <w:rsid w:val="00D20CAC"/>
    <w:pPr>
      <w:numPr>
        <w:numId w:val="14"/>
      </w:numPr>
      <w:spacing w:after="240" w:line="288" w:lineRule="auto"/>
      <w:jc w:val="both"/>
    </w:pPr>
    <w:rPr>
      <w:rFonts w:ascii="Times New Roman" w:eastAsia="Times New Roman" w:hAnsi="Times New Roman" w:cs="Times New Roman"/>
      <w:szCs w:val="24"/>
    </w:rPr>
  </w:style>
  <w:style w:type="paragraph" w:customStyle="1" w:styleId="AERnumberedlistfirststyle">
    <w:name w:val="AER numbered list (first style)"/>
    <w:basedOn w:val="AERbodytext"/>
    <w:qFormat/>
    <w:rsid w:val="00D20CAC"/>
    <w:pPr>
      <w:numPr>
        <w:ilvl w:val="1"/>
      </w:numPr>
      <w:tabs>
        <w:tab w:val="clear" w:pos="357"/>
        <w:tab w:val="num" w:pos="360"/>
      </w:tabs>
      <w:spacing w:after="200"/>
      <w:ind w:left="1437" w:hanging="360"/>
    </w:pPr>
  </w:style>
  <w:style w:type="paragraph" w:customStyle="1" w:styleId="AERnumberedlistsecondstyle">
    <w:name w:val="AER numbered list (second style)"/>
    <w:basedOn w:val="AERnumberedlistfirststyle"/>
    <w:qFormat/>
    <w:rsid w:val="00D20CAC"/>
    <w:pPr>
      <w:numPr>
        <w:ilvl w:val="2"/>
      </w:numPr>
      <w:tabs>
        <w:tab w:val="clear" w:pos="720"/>
        <w:tab w:val="num" w:pos="360"/>
      </w:tabs>
      <w:ind w:left="2157" w:hanging="180"/>
    </w:pPr>
  </w:style>
  <w:style w:type="paragraph" w:customStyle="1" w:styleId="AERnumberedlistthirdstyle">
    <w:name w:val="AER numbered list (third style)"/>
    <w:basedOn w:val="AERnumberedlistsecondstyle"/>
    <w:qFormat/>
    <w:rsid w:val="00D20CAC"/>
    <w:pPr>
      <w:numPr>
        <w:ilvl w:val="3"/>
      </w:numPr>
      <w:tabs>
        <w:tab w:val="clear" w:pos="1077"/>
        <w:tab w:val="num" w:pos="360"/>
      </w:tabs>
      <w:ind w:left="2877" w:hanging="360"/>
    </w:pPr>
  </w:style>
  <w:style w:type="paragraph" w:customStyle="1" w:styleId="AERnumberedlist2first">
    <w:name w:val="AER numbered list 2 first"/>
    <w:basedOn w:val="AERbodytext"/>
    <w:qFormat/>
    <w:rsid w:val="00D20CAC"/>
    <w:pPr>
      <w:numPr>
        <w:ilvl w:val="4"/>
      </w:numPr>
      <w:tabs>
        <w:tab w:val="clear" w:pos="357"/>
        <w:tab w:val="num" w:pos="360"/>
      </w:tabs>
      <w:ind w:left="3597" w:hanging="360"/>
    </w:pPr>
  </w:style>
  <w:style w:type="paragraph" w:customStyle="1" w:styleId="AERnumberedlist2second">
    <w:name w:val="AER numbered list 2 second"/>
    <w:basedOn w:val="AERnumberedlist2first"/>
    <w:qFormat/>
    <w:rsid w:val="00D20CAC"/>
    <w:pPr>
      <w:numPr>
        <w:ilvl w:val="5"/>
      </w:numPr>
      <w:tabs>
        <w:tab w:val="clear" w:pos="720"/>
        <w:tab w:val="num" w:pos="360"/>
      </w:tabs>
      <w:ind w:left="4317" w:hanging="180"/>
    </w:pPr>
  </w:style>
  <w:style w:type="paragraph" w:customStyle="1" w:styleId="AERnumberedlist2third">
    <w:name w:val="AER numbered list 2 third"/>
    <w:basedOn w:val="AERnumberedlist2second"/>
    <w:qFormat/>
    <w:rsid w:val="00D20CAC"/>
    <w:pPr>
      <w:numPr>
        <w:ilvl w:val="6"/>
      </w:numPr>
      <w:tabs>
        <w:tab w:val="clear" w:pos="1077"/>
        <w:tab w:val="num" w:pos="360"/>
      </w:tabs>
      <w:ind w:left="5037" w:hanging="360"/>
    </w:pPr>
  </w:style>
  <w:style w:type="character" w:customStyle="1" w:styleId="AERbody">
    <w:name w:val="AER body"/>
    <w:basedOn w:val="DefaultParagraphFont"/>
    <w:qFormat/>
    <w:rsid w:val="00D20CAC"/>
    <w:rPr>
      <w:rFonts w:ascii="Gautami" w:hAnsi="Gautami" w:cs="Gautami" w:hint="default"/>
      <w:color w:val="auto"/>
      <w:sz w:val="20"/>
    </w:rPr>
  </w:style>
  <w:style w:type="numbering" w:customStyle="1" w:styleId="AERnumberedlist">
    <w:name w:val="AER numbered list"/>
    <w:uiPriority w:val="99"/>
    <w:rsid w:val="00D20CAC"/>
    <w:pPr>
      <w:numPr>
        <w:numId w:val="14"/>
      </w:numPr>
    </w:pPr>
  </w:style>
  <w:style w:type="paragraph" w:styleId="ListBullet">
    <w:name w:val="List Bullet"/>
    <w:basedOn w:val="Normal"/>
    <w:uiPriority w:val="99"/>
    <w:unhideWhenUsed/>
    <w:rsid w:val="0024296C"/>
    <w:pPr>
      <w:numPr>
        <w:numId w:val="17"/>
      </w:numPr>
      <w:contextualSpacing/>
    </w:pPr>
  </w:style>
  <w:style w:type="paragraph" w:styleId="Revision">
    <w:name w:val="Revision"/>
    <w:hidden/>
    <w:uiPriority w:val="99"/>
    <w:semiHidden/>
    <w:rsid w:val="00A96AFA"/>
    <w:pPr>
      <w:spacing w:after="0" w:line="240" w:lineRule="auto"/>
    </w:pPr>
  </w:style>
  <w:style w:type="character" w:styleId="PageNumber">
    <w:name w:val="page number"/>
    <w:basedOn w:val="DefaultParagraphFont"/>
    <w:uiPriority w:val="99"/>
    <w:semiHidden/>
    <w:unhideWhenUsed/>
    <w:rsid w:val="00E10F32"/>
  </w:style>
  <w:style w:type="table" w:customStyle="1" w:styleId="GridTableLight">
    <w:name w:val="Grid Table Light"/>
    <w:basedOn w:val="TableNormal"/>
    <w:uiPriority w:val="40"/>
    <w:rsid w:val="001705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qFormat/>
    <w:rsid w:val="001765E4"/>
    <w:pPr>
      <w:spacing w:after="100"/>
      <w:ind w:left="220"/>
    </w:pPr>
    <w:rPr>
      <w:rFonts w:ascii="Arial Narrow" w:hAnsi="Arial Narrow"/>
      <w:color w:val="1D1D1C"/>
    </w:rPr>
  </w:style>
  <w:style w:type="table" w:customStyle="1" w:styleId="AGNTABLESTYE2">
    <w:name w:val="AGN TABLE STYE 2"/>
    <w:basedOn w:val="TableNormal"/>
    <w:uiPriority w:val="99"/>
    <w:rsid w:val="00204252"/>
    <w:pPr>
      <w:keepLines/>
      <w:spacing w:after="240" w:line="240" w:lineRule="auto"/>
    </w:pPr>
    <w:rPr>
      <w:rFonts w:ascii="Arial Narrow" w:eastAsiaTheme="minorEastAsia" w:hAnsi="Arial Narrow" w:cs="ApexNew-Book"/>
      <w:color w:val="1D1D1C"/>
      <w:u w:color="000000"/>
      <w:lang w:val="en-US" w:eastAsia="ja-JP"/>
    </w:rPr>
    <w:tblPr>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CellMar>
        <w:top w:w="57" w:type="dxa"/>
        <w:bottom w:w="57" w:type="dxa"/>
      </w:tblCellMar>
    </w:tblPr>
    <w:trPr>
      <w:cantSplit/>
    </w:trPr>
    <w:tblStylePr w:type="firstRow">
      <w:rPr>
        <w:rFonts w:ascii="Arial Narrow" w:hAnsi="Arial Narrow"/>
        <w:color w:val="4785B6"/>
        <w:sz w:val="22"/>
      </w:rPr>
      <w:tblPr/>
      <w:tcPr>
        <w:tcBorders>
          <w:top w:val="single" w:sz="4" w:space="0" w:color="D9E2EB"/>
          <w:left w:val="single" w:sz="4" w:space="0" w:color="D9E2EB"/>
          <w:bottom w:val="single" w:sz="4" w:space="0" w:color="D9E2EB"/>
          <w:right w:val="single" w:sz="4" w:space="0" w:color="D9E2EB"/>
          <w:insideH w:val="single" w:sz="4" w:space="0" w:color="D9E2EB"/>
          <w:insideV w:val="single" w:sz="4" w:space="0" w:color="D9E2EB"/>
          <w:tl2br w:val="nil"/>
          <w:tr2bl w:val="nil"/>
        </w:tcBorders>
        <w:shd w:val="clear" w:color="auto" w:fill="D9E2EB"/>
      </w:tcPr>
    </w:tblStylePr>
    <w:tblStylePr w:type="lastCol">
      <w:rPr>
        <w:rFonts w:ascii="Arial Narrow" w:hAnsi="Arial Narrow"/>
        <w:b/>
        <w:bCs/>
        <w:i w:val="0"/>
        <w:iCs w:val="0"/>
        <w:sz w:val="20"/>
        <w:szCs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
    <w:basedOn w:val="Normal"/>
    <w:next w:val="Normal"/>
    <w:link w:val="Heading1Char"/>
    <w:autoRedefine/>
    <w:uiPriority w:val="99"/>
    <w:qFormat/>
    <w:rsid w:val="009C346A"/>
    <w:pPr>
      <w:keepNext/>
      <w:keepLines/>
      <w:numPr>
        <w:numId w:val="11"/>
      </w:numPr>
      <w:tabs>
        <w:tab w:val="left" w:pos="0"/>
      </w:tabs>
      <w:spacing w:before="400" w:after="200" w:line="276" w:lineRule="auto"/>
      <w:ind w:left="0" w:hanging="851"/>
      <w:jc w:val="both"/>
      <w:outlineLvl w:val="0"/>
    </w:pPr>
    <w:rPr>
      <w:rFonts w:ascii="Arial Narrow" w:eastAsiaTheme="majorEastAsia" w:hAnsi="Arial Narrow" w:cstheme="majorBidi"/>
      <w:bCs/>
      <w:color w:val="4785B6"/>
      <w:sz w:val="40"/>
      <w:szCs w:val="40"/>
      <w:u w:color="000000"/>
      <w:lang w:val="en-US"/>
    </w:rPr>
  </w:style>
  <w:style w:type="paragraph" w:styleId="Heading2">
    <w:name w:val="heading 2"/>
    <w:basedOn w:val="Heading1"/>
    <w:next w:val="Normal"/>
    <w:link w:val="Heading2Char"/>
    <w:uiPriority w:val="99"/>
    <w:unhideWhenUsed/>
    <w:qFormat/>
    <w:rsid w:val="00993112"/>
    <w:pPr>
      <w:spacing w:after="0"/>
      <w:outlineLvl w:val="1"/>
    </w:pPr>
    <w:rPr>
      <w:bCs w:val="0"/>
      <w:sz w:val="28"/>
      <w:u w:color="4F81BD" w:themeColor="accent1"/>
    </w:rPr>
  </w:style>
  <w:style w:type="paragraph" w:styleId="Heading3">
    <w:name w:val="heading 3"/>
    <w:basedOn w:val="Normal"/>
    <w:next w:val="Normal"/>
    <w:link w:val="Heading3Char"/>
    <w:uiPriority w:val="99"/>
    <w:unhideWhenUsed/>
    <w:qFormat/>
    <w:rsid w:val="00993112"/>
    <w:pPr>
      <w:keepNext/>
      <w:keepLines/>
      <w:spacing w:before="400" w:after="0" w:line="240" w:lineRule="auto"/>
      <w:jc w:val="both"/>
      <w:outlineLvl w:val="2"/>
    </w:pPr>
    <w:rPr>
      <w:rFonts w:ascii="Arial Narrow" w:eastAsiaTheme="majorEastAsia" w:hAnsi="Arial Narrow" w:cstheme="majorBidi"/>
      <w:b/>
      <w:bCs/>
      <w:color w:val="4785B6"/>
      <w:szCs w:val="21"/>
      <w:u w:color="000000"/>
    </w:rPr>
  </w:style>
  <w:style w:type="paragraph" w:styleId="Heading4">
    <w:name w:val="heading 4"/>
    <w:basedOn w:val="Normal"/>
    <w:next w:val="Normal"/>
    <w:link w:val="Heading4Char"/>
    <w:uiPriority w:val="99"/>
    <w:semiHidden/>
    <w:unhideWhenUsed/>
    <w:qFormat/>
    <w:rsid w:val="00993112"/>
    <w:pPr>
      <w:keepNext/>
      <w:keepLines/>
      <w:numPr>
        <w:ilvl w:val="3"/>
        <w:numId w:val="1"/>
      </w:numPr>
      <w:spacing w:before="400" w:after="0" w:line="240" w:lineRule="auto"/>
      <w:ind w:left="13" w:hanging="864"/>
      <w:jc w:val="both"/>
      <w:outlineLvl w:val="3"/>
    </w:pPr>
    <w:rPr>
      <w:rFonts w:ascii="Arial Narrow" w:eastAsiaTheme="majorEastAsia" w:hAnsi="Arial Narrow" w:cstheme="majorBidi"/>
      <w:color w:val="4F81BD" w:themeColor="accent1"/>
      <w:u w:color="4F81BD" w:themeColor="accent1"/>
    </w:rPr>
  </w:style>
  <w:style w:type="paragraph" w:styleId="Heading5">
    <w:name w:val="heading 5"/>
    <w:basedOn w:val="Normal"/>
    <w:next w:val="Normal"/>
    <w:link w:val="Heading5Char"/>
    <w:uiPriority w:val="99"/>
    <w:semiHidden/>
    <w:unhideWhenUsed/>
    <w:qFormat/>
    <w:rsid w:val="00993112"/>
    <w:pPr>
      <w:keepNext/>
      <w:keepLines/>
      <w:spacing w:before="400" w:after="0" w:line="240" w:lineRule="auto"/>
      <w:jc w:val="both"/>
      <w:outlineLvl w:val="4"/>
    </w:pPr>
    <w:rPr>
      <w:rFonts w:ascii="Arial Narrow" w:eastAsiaTheme="majorEastAsia" w:hAnsi="Arial Narrow" w:cstheme="majorBidi"/>
      <w:color w:val="4F81BD"/>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9C346A"/>
    <w:rPr>
      <w:rFonts w:ascii="Arial Narrow" w:eastAsiaTheme="majorEastAsia" w:hAnsi="Arial Narrow" w:cstheme="majorBidi"/>
      <w:bCs/>
      <w:color w:val="4785B6"/>
      <w:sz w:val="40"/>
      <w:szCs w:val="40"/>
      <w:u w:color="000000"/>
      <w:lang w:val="en-US"/>
    </w:rPr>
  </w:style>
  <w:style w:type="character" w:customStyle="1" w:styleId="Heading2Char">
    <w:name w:val="Heading 2 Char"/>
    <w:basedOn w:val="DefaultParagraphFont"/>
    <w:link w:val="Heading2"/>
    <w:uiPriority w:val="99"/>
    <w:rsid w:val="00993112"/>
    <w:rPr>
      <w:rFonts w:ascii="Arial Narrow" w:eastAsiaTheme="majorEastAsia" w:hAnsi="Arial Narrow" w:cstheme="majorBidi"/>
      <w:color w:val="4785B6"/>
      <w:sz w:val="28"/>
      <w:szCs w:val="32"/>
      <w:u w:color="4F81BD" w:themeColor="accent1"/>
      <w:lang w:val="en-US"/>
    </w:rPr>
  </w:style>
  <w:style w:type="character" w:customStyle="1" w:styleId="Heading3Char">
    <w:name w:val="Heading 3 Char"/>
    <w:basedOn w:val="DefaultParagraphFont"/>
    <w:link w:val="Heading3"/>
    <w:uiPriority w:val="99"/>
    <w:rsid w:val="00993112"/>
    <w:rPr>
      <w:rFonts w:ascii="Arial Narrow" w:eastAsiaTheme="majorEastAsia" w:hAnsi="Arial Narrow" w:cstheme="majorBidi"/>
      <w:b/>
      <w:bCs/>
      <w:color w:val="4785B6"/>
      <w:szCs w:val="21"/>
      <w:u w:color="000000"/>
    </w:rPr>
  </w:style>
  <w:style w:type="character" w:customStyle="1" w:styleId="Heading4Char">
    <w:name w:val="Heading 4 Char"/>
    <w:basedOn w:val="DefaultParagraphFont"/>
    <w:link w:val="Heading4"/>
    <w:uiPriority w:val="99"/>
    <w:semiHidden/>
    <w:rsid w:val="00993112"/>
    <w:rPr>
      <w:rFonts w:ascii="Arial Narrow" w:eastAsiaTheme="majorEastAsia" w:hAnsi="Arial Narrow" w:cstheme="majorBidi"/>
      <w:color w:val="4F81BD" w:themeColor="accent1"/>
      <w:u w:color="4F81BD" w:themeColor="accent1"/>
    </w:rPr>
  </w:style>
  <w:style w:type="character" w:customStyle="1" w:styleId="Heading5Char">
    <w:name w:val="Heading 5 Char"/>
    <w:basedOn w:val="DefaultParagraphFont"/>
    <w:link w:val="Heading5"/>
    <w:uiPriority w:val="99"/>
    <w:semiHidden/>
    <w:rsid w:val="00993112"/>
    <w:rPr>
      <w:rFonts w:ascii="Arial Narrow" w:eastAsiaTheme="majorEastAsia" w:hAnsi="Arial Narrow" w:cstheme="majorBidi"/>
      <w:color w:val="4F81BD"/>
      <w:u w:color="000000"/>
    </w:rPr>
  </w:style>
  <w:style w:type="paragraph" w:styleId="ListParagraph">
    <w:name w:val="List Paragraph"/>
    <w:basedOn w:val="Normal"/>
    <w:link w:val="ListParagraphChar"/>
    <w:uiPriority w:val="99"/>
    <w:qFormat/>
    <w:rsid w:val="00993112"/>
    <w:pPr>
      <w:spacing w:before="120" w:after="200" w:line="240" w:lineRule="auto"/>
      <w:ind w:left="720"/>
      <w:contextualSpacing/>
      <w:jc w:val="both"/>
    </w:pPr>
    <w:rPr>
      <w:rFonts w:ascii="Arial Narrow" w:eastAsiaTheme="minorEastAsia" w:hAnsi="Arial Narrow" w:cs="ApexNew-Book"/>
      <w:color w:val="1D1D1C"/>
      <w:u w:color="000000"/>
    </w:rPr>
  </w:style>
  <w:style w:type="character" w:customStyle="1" w:styleId="ListParagraphChar">
    <w:name w:val="List Paragraph Char"/>
    <w:link w:val="ListParagraph"/>
    <w:uiPriority w:val="34"/>
    <w:locked/>
    <w:rsid w:val="00993112"/>
    <w:rPr>
      <w:rFonts w:ascii="Arial Narrow" w:eastAsiaTheme="minorEastAsia" w:hAnsi="Arial Narrow" w:cs="ApexNew-Book"/>
      <w:color w:val="1D1D1C"/>
      <w:u w:color="000000"/>
    </w:rPr>
  </w:style>
  <w:style w:type="character" w:customStyle="1" w:styleId="BalloonTextChar">
    <w:name w:val="Balloon Text Char"/>
    <w:basedOn w:val="DefaultParagraphFont"/>
    <w:link w:val="BalloonText"/>
    <w:uiPriority w:val="99"/>
    <w:semiHidden/>
    <w:rsid w:val="00993112"/>
    <w:rPr>
      <w:rFonts w:ascii="Tahoma" w:eastAsiaTheme="minorEastAsia" w:hAnsi="Tahoma" w:cs="Tahoma"/>
      <w:color w:val="1D1D1C"/>
      <w:sz w:val="16"/>
      <w:szCs w:val="16"/>
      <w:u w:color="000000"/>
    </w:rPr>
  </w:style>
  <w:style w:type="paragraph" w:styleId="BalloonText">
    <w:name w:val="Balloon Text"/>
    <w:basedOn w:val="Normal"/>
    <w:link w:val="BalloonTextChar"/>
    <w:uiPriority w:val="99"/>
    <w:semiHidden/>
    <w:unhideWhenUsed/>
    <w:rsid w:val="00993112"/>
    <w:pPr>
      <w:spacing w:before="120" w:after="200" w:line="240" w:lineRule="auto"/>
      <w:jc w:val="both"/>
    </w:pPr>
    <w:rPr>
      <w:rFonts w:ascii="Tahoma" w:eastAsiaTheme="minorEastAsia" w:hAnsi="Tahoma" w:cs="Tahoma"/>
      <w:color w:val="1D1D1C"/>
      <w:sz w:val="16"/>
      <w:szCs w:val="16"/>
      <w:u w:color="000000"/>
    </w:rPr>
  </w:style>
  <w:style w:type="table" w:styleId="TableGrid">
    <w:name w:val="Table Grid"/>
    <w:basedOn w:val="TableNormal"/>
    <w:uiPriority w:val="59"/>
    <w:rsid w:val="00993112"/>
    <w:pPr>
      <w:spacing w:after="0" w:line="240" w:lineRule="auto"/>
    </w:pPr>
    <w:rPr>
      <w:rFonts w:ascii="Arial Narrow" w:eastAsiaTheme="minorEastAsia" w:hAnsi="Arial Narrow" w:cs="ApexNew-Book"/>
      <w:color w:val="1D1D1C"/>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112"/>
    <w:rPr>
      <w:sz w:val="16"/>
      <w:szCs w:val="16"/>
    </w:rPr>
  </w:style>
  <w:style w:type="character" w:customStyle="1" w:styleId="CommentTextChar">
    <w:name w:val="Comment Text Char"/>
    <w:basedOn w:val="DefaultParagraphFont"/>
    <w:link w:val="CommentText"/>
    <w:uiPriority w:val="99"/>
    <w:semiHidden/>
    <w:rsid w:val="00993112"/>
    <w:rPr>
      <w:rFonts w:ascii="Arial Narrow" w:eastAsiaTheme="minorEastAsia" w:hAnsi="Arial Narrow" w:cs="ApexNew-Book"/>
      <w:color w:val="1D1D1C"/>
      <w:sz w:val="20"/>
      <w:szCs w:val="20"/>
      <w:u w:color="000000"/>
    </w:rPr>
  </w:style>
  <w:style w:type="paragraph" w:styleId="CommentText">
    <w:name w:val="annotation text"/>
    <w:basedOn w:val="Normal"/>
    <w:link w:val="CommentTextChar"/>
    <w:uiPriority w:val="99"/>
    <w:semiHidden/>
    <w:unhideWhenUsed/>
    <w:rsid w:val="00993112"/>
    <w:pPr>
      <w:spacing w:before="120" w:after="200" w:line="240" w:lineRule="auto"/>
      <w:jc w:val="both"/>
    </w:pPr>
    <w:rPr>
      <w:rFonts w:ascii="Arial Narrow" w:eastAsiaTheme="minorEastAsia" w:hAnsi="Arial Narrow" w:cs="ApexNew-Book"/>
      <w:color w:val="1D1D1C"/>
      <w:sz w:val="20"/>
      <w:szCs w:val="20"/>
      <w:u w:color="000000"/>
    </w:rPr>
  </w:style>
  <w:style w:type="character" w:customStyle="1" w:styleId="CommentSubjectChar">
    <w:name w:val="Comment Subject Char"/>
    <w:basedOn w:val="CommentTextChar"/>
    <w:link w:val="CommentSubject"/>
    <w:uiPriority w:val="99"/>
    <w:semiHidden/>
    <w:rsid w:val="00993112"/>
    <w:rPr>
      <w:rFonts w:ascii="Arial Narrow" w:eastAsiaTheme="minorEastAsia" w:hAnsi="Arial Narrow" w:cs="ApexNew-Book"/>
      <w:b/>
      <w:bCs/>
      <w:color w:val="1D1D1C"/>
      <w:sz w:val="20"/>
      <w:szCs w:val="20"/>
      <w:u w:color="000000"/>
    </w:rPr>
  </w:style>
  <w:style w:type="paragraph" w:styleId="CommentSubject">
    <w:name w:val="annotation subject"/>
    <w:basedOn w:val="CommentText"/>
    <w:next w:val="CommentText"/>
    <w:link w:val="CommentSubjectChar"/>
    <w:uiPriority w:val="99"/>
    <w:semiHidden/>
    <w:unhideWhenUsed/>
    <w:rsid w:val="00993112"/>
    <w:rPr>
      <w:b/>
      <w:bCs/>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semiHidden/>
    <w:unhideWhenUsed/>
    <w:qFormat/>
    <w:rsid w:val="00993112"/>
    <w:pPr>
      <w:spacing w:before="120" w:after="200" w:line="240" w:lineRule="auto"/>
      <w:jc w:val="both"/>
    </w:pPr>
    <w:rPr>
      <w:rFonts w:ascii="Arial Narrow" w:eastAsiaTheme="minorEastAsia" w:hAnsi="Arial Narrow" w:cs="ApexNew-Book"/>
      <w:color w:val="1D1D1C"/>
      <w:sz w:val="20"/>
      <w:szCs w:val="20"/>
      <w:u w:color="00000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semiHidden/>
    <w:rsid w:val="00993112"/>
    <w:rPr>
      <w:rFonts w:ascii="Arial Narrow" w:eastAsiaTheme="minorEastAsia" w:hAnsi="Arial Narrow" w:cs="ApexNew-Book"/>
      <w:color w:val="1D1D1C"/>
      <w:sz w:val="20"/>
      <w:szCs w:val="20"/>
      <w:u w:color="00000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93112"/>
    <w:rPr>
      <w:vertAlign w:val="superscript"/>
    </w:rPr>
  </w:style>
  <w:style w:type="paragraph" w:customStyle="1" w:styleId="Default">
    <w:name w:val="Default"/>
    <w:rsid w:val="00993112"/>
    <w:pPr>
      <w:autoSpaceDE w:val="0"/>
      <w:autoSpaceDN w:val="0"/>
      <w:adjustRightInd w:val="0"/>
      <w:spacing w:after="0" w:line="240" w:lineRule="auto"/>
    </w:pPr>
    <w:rPr>
      <w:rFonts w:ascii="Arial" w:eastAsiaTheme="minorEastAsia" w:hAnsi="Arial" w:cs="Arial"/>
      <w:color w:val="000000"/>
      <w:sz w:val="24"/>
      <w:szCs w:val="24"/>
      <w:u w:color="000000"/>
    </w:rPr>
  </w:style>
  <w:style w:type="character" w:customStyle="1" w:styleId="apple-converted-space">
    <w:name w:val="apple-converted-space"/>
    <w:basedOn w:val="DefaultParagraphFont"/>
    <w:rsid w:val="00993112"/>
  </w:style>
  <w:style w:type="character" w:styleId="Emphasis">
    <w:name w:val="Emphasis"/>
    <w:basedOn w:val="DefaultParagraphFont"/>
    <w:uiPriority w:val="20"/>
    <w:rsid w:val="00993112"/>
    <w:rPr>
      <w:i/>
      <w:iCs/>
    </w:rPr>
  </w:style>
  <w:style w:type="paragraph" w:customStyle="1" w:styleId="Bullet1">
    <w:name w:val="Bullet 1"/>
    <w:basedOn w:val="Normal"/>
    <w:link w:val="Bullet1Char"/>
    <w:qFormat/>
    <w:rsid w:val="009C346A"/>
    <w:pPr>
      <w:keepLines/>
      <w:numPr>
        <w:numId w:val="16"/>
      </w:numPr>
      <w:spacing w:before="120" w:after="240" w:line="240" w:lineRule="auto"/>
      <w:ind w:left="284" w:hanging="284"/>
      <w:jc w:val="both"/>
    </w:pPr>
    <w:rPr>
      <w:rFonts w:ascii="Arial Narrow" w:eastAsiaTheme="minorEastAsia" w:hAnsi="Arial Narrow" w:cs="ApexNew-Book"/>
      <w:color w:val="1D1D1C"/>
      <w:u w:color="000000"/>
      <w:lang w:eastAsia="ja-JP"/>
    </w:rPr>
  </w:style>
  <w:style w:type="character" w:customStyle="1" w:styleId="Bullet1Char">
    <w:name w:val="Bullet 1 Char"/>
    <w:basedOn w:val="DefaultParagraphFont"/>
    <w:link w:val="Bullet1"/>
    <w:rsid w:val="009C346A"/>
    <w:rPr>
      <w:rFonts w:ascii="Arial Narrow" w:eastAsiaTheme="minorEastAsia" w:hAnsi="Arial Narrow" w:cs="ApexNew-Book"/>
      <w:color w:val="1D1D1C"/>
      <w:u w:color="000000"/>
      <w:lang w:eastAsia="ja-JP"/>
    </w:rPr>
  </w:style>
  <w:style w:type="paragraph" w:customStyle="1" w:styleId="Bullet2">
    <w:name w:val="Bullet 2"/>
    <w:basedOn w:val="Bullet1"/>
    <w:link w:val="Bullet2Char"/>
    <w:qFormat/>
    <w:rsid w:val="00993112"/>
    <w:pPr>
      <w:numPr>
        <w:numId w:val="4"/>
      </w:numPr>
      <w:ind w:left="284" w:firstLine="0"/>
    </w:pPr>
  </w:style>
  <w:style w:type="character" w:customStyle="1" w:styleId="Bullet2Char">
    <w:name w:val="Bullet 2 Char"/>
    <w:basedOn w:val="Bullet1Char"/>
    <w:link w:val="Bullet2"/>
    <w:rsid w:val="00993112"/>
    <w:rPr>
      <w:rFonts w:ascii="Arial Narrow" w:eastAsiaTheme="minorEastAsia" w:hAnsi="Arial Narrow" w:cs="ApexNew-Book"/>
      <w:color w:val="1D1D1C"/>
      <w:u w:color="000000"/>
      <w:lang w:eastAsia="ja-JP"/>
    </w:rPr>
  </w:style>
  <w:style w:type="paragraph" w:customStyle="1" w:styleId="Bullet3">
    <w:name w:val="Bullet 3"/>
    <w:qFormat/>
    <w:rsid w:val="00993112"/>
    <w:pPr>
      <w:numPr>
        <w:numId w:val="6"/>
      </w:numPr>
      <w:spacing w:after="240" w:line="240" w:lineRule="auto"/>
    </w:pPr>
    <w:rPr>
      <w:rFonts w:ascii="Arial Narrow" w:eastAsiaTheme="minorEastAsia" w:hAnsi="Arial Narrow" w:cs="ApexNew-Book"/>
      <w:u w:color="000000"/>
    </w:rPr>
  </w:style>
  <w:style w:type="paragraph" w:customStyle="1" w:styleId="Bullet4">
    <w:name w:val="Bullet 4"/>
    <w:qFormat/>
    <w:rsid w:val="00993112"/>
    <w:pPr>
      <w:numPr>
        <w:numId w:val="7"/>
      </w:numPr>
      <w:spacing w:after="240" w:line="240" w:lineRule="auto"/>
    </w:pPr>
    <w:rPr>
      <w:rFonts w:ascii="Arial Narrow" w:eastAsiaTheme="minorEastAsia" w:hAnsi="Arial Narrow" w:cs="ApexNew-Book"/>
      <w:u w:color="000000"/>
    </w:rPr>
  </w:style>
  <w:style w:type="paragraph" w:customStyle="1" w:styleId="Footnote">
    <w:name w:val="Footnote"/>
    <w:basedOn w:val="FootnoteText"/>
    <w:link w:val="FootnoteChar"/>
    <w:qFormat/>
    <w:rsid w:val="00993112"/>
    <w:pPr>
      <w:keepLines/>
      <w:tabs>
        <w:tab w:val="left" w:pos="0"/>
      </w:tabs>
      <w:spacing w:before="0" w:after="0"/>
    </w:pPr>
    <w:rPr>
      <w:color w:val="auto"/>
      <w:sz w:val="16"/>
      <w:szCs w:val="24"/>
    </w:rPr>
  </w:style>
  <w:style w:type="character" w:customStyle="1" w:styleId="FootnoteChar">
    <w:name w:val="Footnote Char"/>
    <w:basedOn w:val="DefaultParagraphFont"/>
    <w:link w:val="Footnote"/>
    <w:rsid w:val="00993112"/>
    <w:rPr>
      <w:rFonts w:ascii="Arial Narrow" w:eastAsiaTheme="minorEastAsia" w:hAnsi="Arial Narrow" w:cs="ApexNew-Book"/>
      <w:sz w:val="16"/>
      <w:szCs w:val="24"/>
      <w:u w:color="000000"/>
    </w:rPr>
  </w:style>
  <w:style w:type="paragraph" w:customStyle="1" w:styleId="NumberLevel2">
    <w:name w:val="Number Level 2."/>
    <w:basedOn w:val="Normal"/>
    <w:qFormat/>
    <w:rsid w:val="00993112"/>
    <w:pPr>
      <w:numPr>
        <w:numId w:val="8"/>
      </w:numPr>
      <w:spacing w:before="120" w:after="200" w:line="240" w:lineRule="auto"/>
      <w:jc w:val="both"/>
    </w:pPr>
    <w:rPr>
      <w:rFonts w:ascii="Arial Narrow" w:eastAsiaTheme="minorEastAsia" w:hAnsi="Arial Narrow" w:cs="ApexNew-Book"/>
      <w:color w:val="1D1D1C"/>
      <w:u w:color="000000"/>
    </w:rPr>
  </w:style>
  <w:style w:type="paragraph" w:customStyle="1" w:styleId="NumberLevel1">
    <w:name w:val="Number Level 1"/>
    <w:basedOn w:val="NumberLevel2"/>
    <w:qFormat/>
    <w:rsid w:val="00993112"/>
    <w:pPr>
      <w:numPr>
        <w:numId w:val="9"/>
      </w:numPr>
    </w:pPr>
  </w:style>
  <w:style w:type="paragraph" w:customStyle="1" w:styleId="Tabletitle">
    <w:name w:val="Table title"/>
    <w:basedOn w:val="Normal"/>
    <w:qFormat/>
    <w:rsid w:val="00993112"/>
    <w:pPr>
      <w:pBdr>
        <w:top w:val="single" w:sz="24" w:space="1" w:color="72A2CA"/>
        <w:bottom w:val="single" w:sz="24" w:space="1" w:color="72A2CA"/>
      </w:pBdr>
      <w:shd w:val="clear" w:color="auto" w:fill="72A2CA"/>
      <w:tabs>
        <w:tab w:val="left" w:pos="142"/>
      </w:tabs>
      <w:spacing w:before="120" w:after="120" w:line="240" w:lineRule="auto"/>
      <w:ind w:left="142" w:hanging="142"/>
      <w:jc w:val="both"/>
    </w:pPr>
    <w:rPr>
      <w:rFonts w:ascii="Arial Narrow" w:eastAsiaTheme="minorEastAsia" w:hAnsi="Arial Narrow" w:cs="ApexNew-Book"/>
      <w:b/>
      <w:bCs/>
      <w:caps/>
      <w:color w:val="FFFFFF" w:themeColor="background1"/>
      <w:sz w:val="18"/>
      <w:szCs w:val="18"/>
      <w:u w:color="000000"/>
    </w:rPr>
  </w:style>
  <w:style w:type="paragraph" w:customStyle="1" w:styleId="Source">
    <w:name w:val="Source"/>
    <w:qFormat/>
    <w:rsid w:val="00993112"/>
    <w:pPr>
      <w:spacing w:before="60" w:after="240" w:line="240" w:lineRule="auto"/>
    </w:pPr>
    <w:rPr>
      <w:rFonts w:ascii="Arial Narrow" w:eastAsiaTheme="minorEastAsia" w:hAnsi="Arial Narrow" w:cs="ApexNew-Book"/>
      <w:i/>
      <w:color w:val="404040" w:themeColor="text1" w:themeTint="BF"/>
      <w:sz w:val="20"/>
      <w:u w:color="000000"/>
    </w:rPr>
  </w:style>
  <w:style w:type="paragraph" w:customStyle="1" w:styleId="TitlePage">
    <w:name w:val="Title Page"/>
    <w:qFormat/>
    <w:rsid w:val="00993112"/>
    <w:pPr>
      <w:spacing w:after="0" w:line="240" w:lineRule="auto"/>
    </w:pPr>
    <w:rPr>
      <w:rFonts w:ascii="Arial Narrow" w:eastAsiaTheme="minorEastAsia" w:hAnsi="Arial Narrow" w:cs="ApexNew-Book"/>
      <w:color w:val="FFFFFF" w:themeColor="background1"/>
      <w:sz w:val="90"/>
      <w:szCs w:val="56"/>
      <w:u w:color="000000"/>
    </w:rPr>
  </w:style>
  <w:style w:type="paragraph" w:customStyle="1" w:styleId="TitlePage-Subheading">
    <w:name w:val="Title Page - Subheading"/>
    <w:basedOn w:val="TitlePage"/>
    <w:qFormat/>
    <w:rsid w:val="00993112"/>
    <w:rPr>
      <w:sz w:val="40"/>
    </w:rPr>
  </w:style>
  <w:style w:type="paragraph" w:customStyle="1" w:styleId="TableHeadingText">
    <w:name w:val="Table Heading Text"/>
    <w:basedOn w:val="Normal"/>
    <w:qFormat/>
    <w:rsid w:val="00993112"/>
    <w:pPr>
      <w:spacing w:after="0" w:line="240" w:lineRule="auto"/>
      <w:jc w:val="both"/>
    </w:pPr>
    <w:rPr>
      <w:rFonts w:ascii="Arial Narrow" w:eastAsiaTheme="minorEastAsia" w:hAnsi="Arial Narrow" w:cs="ApexNew-Book"/>
      <w:b/>
      <w:color w:val="4785B6"/>
      <w:sz w:val="20"/>
      <w:u w:color="000000"/>
    </w:rPr>
  </w:style>
  <w:style w:type="paragraph" w:customStyle="1" w:styleId="TableContentsHeading">
    <w:name w:val="Table Contents Heading"/>
    <w:basedOn w:val="TOC1"/>
    <w:qFormat/>
    <w:rsid w:val="00993112"/>
    <w:rPr>
      <w:b w:val="0"/>
      <w:sz w:val="40"/>
      <w:szCs w:val="40"/>
    </w:rPr>
  </w:style>
  <w:style w:type="paragraph" w:styleId="TOC1">
    <w:name w:val="toc 1"/>
    <w:aliases w:val="Content Heading 1"/>
    <w:basedOn w:val="Normal"/>
    <w:next w:val="Normal"/>
    <w:uiPriority w:val="39"/>
    <w:unhideWhenUsed/>
    <w:qFormat/>
    <w:rsid w:val="001765E4"/>
    <w:pPr>
      <w:tabs>
        <w:tab w:val="left" w:pos="-502"/>
        <w:tab w:val="right" w:leader="underscore" w:pos="8488"/>
      </w:tabs>
      <w:spacing w:before="120" w:after="120" w:line="240" w:lineRule="auto"/>
    </w:pPr>
    <w:rPr>
      <w:rFonts w:ascii="Arial Narrow" w:eastAsiaTheme="minorEastAsia" w:hAnsi="Arial Narrow" w:cs="ApexNew-Book"/>
      <w:b/>
      <w:color w:val="1D1D1C"/>
      <w:sz w:val="24"/>
      <w:szCs w:val="24"/>
      <w:u w:color="000000"/>
    </w:rPr>
  </w:style>
  <w:style w:type="paragraph" w:customStyle="1" w:styleId="FooterText">
    <w:name w:val="Footer Text"/>
    <w:basedOn w:val="Footer"/>
    <w:link w:val="FooterTextChar"/>
    <w:qFormat/>
    <w:rsid w:val="00993112"/>
    <w:pPr>
      <w:tabs>
        <w:tab w:val="clear" w:pos="4513"/>
        <w:tab w:val="clear" w:pos="9026"/>
        <w:tab w:val="center" w:pos="4320"/>
        <w:tab w:val="right" w:pos="8640"/>
      </w:tabs>
      <w:spacing w:after="0"/>
      <w:jc w:val="right"/>
    </w:pPr>
    <w:rPr>
      <w:caps/>
      <w:color w:val="A6A6A6" w:themeColor="background1" w:themeShade="A6"/>
      <w:sz w:val="16"/>
      <w:szCs w:val="18"/>
    </w:rPr>
  </w:style>
  <w:style w:type="paragraph" w:styleId="Footer">
    <w:name w:val="footer"/>
    <w:basedOn w:val="Normal"/>
    <w:link w:val="FooterChar"/>
    <w:uiPriority w:val="99"/>
    <w:unhideWhenUsed/>
    <w:rsid w:val="00993112"/>
    <w:pPr>
      <w:tabs>
        <w:tab w:val="center" w:pos="4513"/>
        <w:tab w:val="right" w:pos="9026"/>
      </w:tabs>
      <w:spacing w:before="120" w:after="200" w:line="240" w:lineRule="auto"/>
      <w:jc w:val="both"/>
    </w:pPr>
    <w:rPr>
      <w:rFonts w:ascii="Arial Narrow" w:eastAsiaTheme="minorEastAsia" w:hAnsi="Arial Narrow" w:cs="ApexNew-Book"/>
      <w:color w:val="1D1D1C"/>
      <w:u w:color="000000"/>
    </w:rPr>
  </w:style>
  <w:style w:type="character" w:customStyle="1" w:styleId="FooterChar">
    <w:name w:val="Footer Char"/>
    <w:basedOn w:val="DefaultParagraphFont"/>
    <w:link w:val="Footer"/>
    <w:uiPriority w:val="99"/>
    <w:rsid w:val="00993112"/>
    <w:rPr>
      <w:rFonts w:ascii="Arial Narrow" w:eastAsiaTheme="minorEastAsia" w:hAnsi="Arial Narrow" w:cs="ApexNew-Book"/>
      <w:color w:val="1D1D1C"/>
      <w:u w:color="000000"/>
    </w:rPr>
  </w:style>
  <w:style w:type="character" w:customStyle="1" w:styleId="FooterTextChar">
    <w:name w:val="Footer Text Char"/>
    <w:basedOn w:val="FooterChar"/>
    <w:link w:val="FooterText"/>
    <w:rsid w:val="00993112"/>
    <w:rPr>
      <w:rFonts w:ascii="Arial Narrow" w:eastAsiaTheme="minorEastAsia" w:hAnsi="Arial Narrow" w:cs="ApexNew-Book"/>
      <w:caps/>
      <w:color w:val="A6A6A6" w:themeColor="background1" w:themeShade="A6"/>
      <w:sz w:val="16"/>
      <w:szCs w:val="18"/>
      <w:u w:color="000000"/>
    </w:rPr>
  </w:style>
  <w:style w:type="paragraph" w:customStyle="1" w:styleId="FIGURESTYLE">
    <w:name w:val="FIGURE STYLE"/>
    <w:basedOn w:val="Tabletitle"/>
    <w:qFormat/>
    <w:rsid w:val="00993112"/>
  </w:style>
  <w:style w:type="paragraph" w:customStyle="1" w:styleId="HeaderText">
    <w:name w:val="Header Text"/>
    <w:basedOn w:val="Source"/>
    <w:qFormat/>
    <w:rsid w:val="00993112"/>
    <w:pPr>
      <w:keepLines/>
      <w:spacing w:after="0"/>
      <w:jc w:val="right"/>
    </w:pPr>
    <w:rPr>
      <w:b/>
      <w:bCs/>
      <w:i w:val="0"/>
      <w:caps/>
      <w:color w:val="FFFFFF" w:themeColor="background1"/>
      <w:sz w:val="16"/>
      <w:szCs w:val="16"/>
      <w14:textFill>
        <w14:solidFill>
          <w14:schemeClr w14:val="bg1">
            <w14:lumMod w14:val="65000"/>
            <w14:lumMod w14:val="75000"/>
            <w14:lumOff w14:val="25000"/>
          </w14:schemeClr>
        </w14:solidFill>
      </w14:textFill>
    </w:rPr>
  </w:style>
  <w:style w:type="paragraph" w:customStyle="1" w:styleId="BoxTitle">
    <w:name w:val="Box Title"/>
    <w:basedOn w:val="Normal"/>
    <w:qFormat/>
    <w:rsid w:val="00993112"/>
    <w:pPr>
      <w:spacing w:before="400" w:after="200" w:line="240" w:lineRule="auto"/>
      <w:ind w:left="568" w:hanging="284"/>
      <w:jc w:val="both"/>
    </w:pPr>
    <w:rPr>
      <w:rFonts w:ascii="Arial Narrow" w:eastAsiaTheme="minorEastAsia" w:hAnsi="Arial Narrow" w:cs="ApexNew-Book"/>
      <w:b/>
      <w:color w:val="4785B6"/>
      <w:u w:color="000000"/>
    </w:rPr>
  </w:style>
  <w:style w:type="paragraph" w:customStyle="1" w:styleId="BoxStandardText">
    <w:name w:val="Box Standard Text"/>
    <w:basedOn w:val="Normal"/>
    <w:qFormat/>
    <w:rsid w:val="00993112"/>
    <w:pPr>
      <w:spacing w:before="120" w:after="200" w:line="240" w:lineRule="auto"/>
      <w:ind w:left="284" w:right="567" w:hanging="284"/>
      <w:jc w:val="both"/>
    </w:pPr>
    <w:rPr>
      <w:rFonts w:ascii="Arial Narrow" w:eastAsiaTheme="minorEastAsia" w:hAnsi="Arial Narrow" w:cs="ApexNew-Book"/>
      <w:color w:val="1D1D1C"/>
      <w:u w:color="000000"/>
    </w:rPr>
  </w:style>
  <w:style w:type="paragraph" w:customStyle="1" w:styleId="QuoteRule">
    <w:name w:val="Quote Rule"/>
    <w:basedOn w:val="Normal"/>
    <w:link w:val="QuoteRuleChar"/>
    <w:qFormat/>
    <w:rsid w:val="00993112"/>
    <w:pPr>
      <w:tabs>
        <w:tab w:val="left" w:pos="851"/>
        <w:tab w:val="left" w:pos="1134"/>
      </w:tabs>
      <w:spacing w:before="300" w:after="300" w:line="240" w:lineRule="auto"/>
      <w:ind w:left="567" w:right="567"/>
      <w:jc w:val="both"/>
    </w:pPr>
    <w:rPr>
      <w:rFonts w:ascii="Arial Narrow" w:eastAsiaTheme="minorEastAsia" w:hAnsi="Arial Narrow" w:cs="ApexNew-Book"/>
      <w:i/>
      <w:color w:val="1D1D1C"/>
      <w:u w:color="000000"/>
    </w:rPr>
  </w:style>
  <w:style w:type="character" w:customStyle="1" w:styleId="QuoteRuleChar">
    <w:name w:val="Quote Rule Char"/>
    <w:basedOn w:val="DefaultParagraphFont"/>
    <w:link w:val="QuoteRule"/>
    <w:rsid w:val="00993112"/>
    <w:rPr>
      <w:rFonts w:ascii="Arial Narrow" w:eastAsiaTheme="minorEastAsia" w:hAnsi="Arial Narrow" w:cs="ApexNew-Book"/>
      <w:i/>
      <w:color w:val="1D1D1C"/>
      <w:u w:color="000000"/>
    </w:rPr>
  </w:style>
  <w:style w:type="paragraph" w:customStyle="1" w:styleId="BoxBullet1">
    <w:name w:val="Box Bullet 1"/>
    <w:basedOn w:val="QuoteRule"/>
    <w:qFormat/>
    <w:rsid w:val="00993112"/>
    <w:pPr>
      <w:numPr>
        <w:numId w:val="10"/>
      </w:numPr>
    </w:pPr>
    <w:rPr>
      <w:i w:val="0"/>
    </w:rPr>
  </w:style>
  <w:style w:type="paragraph" w:customStyle="1" w:styleId="QuoteBullet1">
    <w:name w:val="Quote Bullet 1"/>
    <w:link w:val="QuoteBullet1Char"/>
    <w:qFormat/>
    <w:rsid w:val="00993112"/>
    <w:pPr>
      <w:numPr>
        <w:numId w:val="3"/>
      </w:numPr>
      <w:spacing w:after="300" w:line="240" w:lineRule="auto"/>
      <w:ind w:left="851" w:hanging="284"/>
    </w:pPr>
    <w:rPr>
      <w:rFonts w:ascii="Arial Narrow" w:eastAsiaTheme="minorEastAsia" w:hAnsi="Arial Narrow" w:cs="ApexNew-Book"/>
      <w:i/>
      <w:color w:val="1D1D1C"/>
      <w:u w:color="000000"/>
    </w:rPr>
  </w:style>
  <w:style w:type="character" w:customStyle="1" w:styleId="QuoteBullet1Char">
    <w:name w:val="Quote Bullet 1 Char"/>
    <w:basedOn w:val="QuoteRuleChar"/>
    <w:link w:val="QuoteBullet1"/>
    <w:rsid w:val="00993112"/>
    <w:rPr>
      <w:rFonts w:ascii="Arial Narrow" w:eastAsiaTheme="minorEastAsia" w:hAnsi="Arial Narrow" w:cs="ApexNew-Book"/>
      <w:i/>
      <w:color w:val="1D1D1C"/>
      <w:u w:color="000000"/>
    </w:rPr>
  </w:style>
  <w:style w:type="paragraph" w:customStyle="1" w:styleId="QuoteBullet2">
    <w:name w:val="Quote Bullet 2"/>
    <w:basedOn w:val="Bullet2"/>
    <w:link w:val="QuoteBullet2Char"/>
    <w:qFormat/>
    <w:rsid w:val="00993112"/>
    <w:pPr>
      <w:numPr>
        <w:numId w:val="0"/>
      </w:numPr>
      <w:spacing w:after="300"/>
      <w:ind w:left="1135" w:hanging="284"/>
    </w:pPr>
    <w:rPr>
      <w:i/>
    </w:rPr>
  </w:style>
  <w:style w:type="character" w:customStyle="1" w:styleId="QuoteBullet2Char">
    <w:name w:val="Quote Bullet 2 Char"/>
    <w:basedOn w:val="Bullet2Char"/>
    <w:link w:val="QuoteBullet2"/>
    <w:rsid w:val="00993112"/>
    <w:rPr>
      <w:rFonts w:ascii="Arial Narrow" w:eastAsiaTheme="minorEastAsia" w:hAnsi="Arial Narrow" w:cs="ApexNew-Book"/>
      <w:i/>
      <w:color w:val="1D1D1C"/>
      <w:u w:color="000000"/>
      <w:lang w:eastAsia="ja-JP"/>
    </w:rPr>
  </w:style>
  <w:style w:type="paragraph" w:customStyle="1" w:styleId="TableText">
    <w:name w:val="Table Text"/>
    <w:basedOn w:val="Normal"/>
    <w:link w:val="TableTextChar"/>
    <w:qFormat/>
    <w:rsid w:val="00993112"/>
    <w:pPr>
      <w:keepLines/>
      <w:spacing w:after="0" w:line="240" w:lineRule="auto"/>
      <w:jc w:val="both"/>
    </w:pPr>
    <w:rPr>
      <w:rFonts w:ascii="Arial Narrow" w:eastAsiaTheme="minorEastAsia" w:hAnsi="Arial Narrow" w:cs="ApexNew-Book"/>
      <w:color w:val="1D1D1C"/>
      <w:sz w:val="18"/>
      <w:szCs w:val="18"/>
      <w:u w:color="000000"/>
    </w:rPr>
  </w:style>
  <w:style w:type="character" w:customStyle="1" w:styleId="TableTextChar">
    <w:name w:val="Table Text Char"/>
    <w:basedOn w:val="DefaultParagraphFont"/>
    <w:link w:val="TableText"/>
    <w:rsid w:val="00993112"/>
    <w:rPr>
      <w:rFonts w:ascii="Arial Narrow" w:eastAsiaTheme="minorEastAsia" w:hAnsi="Arial Narrow" w:cs="ApexNew-Book"/>
      <w:color w:val="1D1D1C"/>
      <w:sz w:val="18"/>
      <w:szCs w:val="18"/>
      <w:u w:color="000000"/>
    </w:rPr>
  </w:style>
  <w:style w:type="paragraph" w:customStyle="1" w:styleId="BoxBullet2">
    <w:name w:val="Box Bullet 2"/>
    <w:basedOn w:val="Bullet2"/>
    <w:link w:val="BoxBullet2Char"/>
    <w:qFormat/>
    <w:rsid w:val="00993112"/>
    <w:pPr>
      <w:numPr>
        <w:numId w:val="0"/>
      </w:numPr>
      <w:ind w:left="993" w:hanging="284"/>
    </w:pPr>
  </w:style>
  <w:style w:type="character" w:customStyle="1" w:styleId="BoxBullet2Char">
    <w:name w:val="Box Bullet 2 Char"/>
    <w:basedOn w:val="Bullet2Char"/>
    <w:link w:val="BoxBullet2"/>
    <w:rsid w:val="00993112"/>
    <w:rPr>
      <w:rFonts w:ascii="Arial Narrow" w:eastAsiaTheme="minorEastAsia" w:hAnsi="Arial Narrow" w:cs="ApexNew-Book"/>
      <w:color w:val="1D1D1C"/>
      <w:u w:color="000000"/>
      <w:lang w:eastAsia="ja-JP"/>
    </w:rPr>
  </w:style>
  <w:style w:type="paragraph" w:styleId="NoSpacing">
    <w:name w:val="No Spacing"/>
    <w:aliases w:val="Spacing"/>
    <w:basedOn w:val="Normal"/>
    <w:uiPriority w:val="99"/>
    <w:qFormat/>
    <w:rsid w:val="00993112"/>
    <w:pPr>
      <w:spacing w:after="0" w:line="240" w:lineRule="auto"/>
      <w:jc w:val="both"/>
    </w:pPr>
    <w:rPr>
      <w:rFonts w:ascii="Arial Narrow" w:eastAsia="Times New Roman" w:hAnsi="Arial Narrow" w:cs="Calibri"/>
      <w:sz w:val="10"/>
      <w:szCs w:val="10"/>
      <w:u w:color="000000"/>
    </w:rPr>
  </w:style>
  <w:style w:type="paragraph" w:styleId="TOCHeading">
    <w:name w:val="TOC Heading"/>
    <w:basedOn w:val="Heading1"/>
    <w:next w:val="Normal"/>
    <w:uiPriority w:val="39"/>
    <w:unhideWhenUsed/>
    <w:qFormat/>
    <w:rsid w:val="00993112"/>
    <w:pPr>
      <w:numPr>
        <w:numId w:val="0"/>
      </w:numPr>
      <w:spacing w:before="480" w:after="0"/>
      <w:jc w:val="left"/>
      <w:outlineLvl w:val="9"/>
    </w:pPr>
    <w:rPr>
      <w:rFonts w:asciiTheme="majorHAnsi" w:hAnsiTheme="majorHAnsi"/>
      <w:b/>
      <w:color w:val="365F91" w:themeColor="accent1" w:themeShade="BF"/>
      <w:sz w:val="28"/>
      <w:szCs w:val="28"/>
      <w:lang w:eastAsia="ja-JP"/>
    </w:rPr>
  </w:style>
  <w:style w:type="character" w:styleId="Hyperlink">
    <w:name w:val="Hyperlink"/>
    <w:basedOn w:val="DefaultParagraphFont"/>
    <w:uiPriority w:val="99"/>
    <w:unhideWhenUsed/>
    <w:rsid w:val="00993112"/>
    <w:rPr>
      <w:color w:val="0000FF" w:themeColor="hyperlink"/>
      <w:u w:val="single"/>
    </w:rPr>
  </w:style>
  <w:style w:type="paragraph" w:styleId="NormalWeb">
    <w:name w:val="Normal (Web)"/>
    <w:basedOn w:val="Normal"/>
    <w:uiPriority w:val="99"/>
    <w:semiHidden/>
    <w:unhideWhenUsed/>
    <w:rsid w:val="00993112"/>
    <w:pPr>
      <w:spacing w:before="100" w:beforeAutospacing="1" w:after="100" w:afterAutospacing="1" w:line="240" w:lineRule="auto"/>
    </w:pPr>
    <w:rPr>
      <w:rFonts w:ascii="Times New Roman" w:eastAsiaTheme="minorEastAsia" w:hAnsi="Times New Roman" w:cs="Times New Roman"/>
      <w:sz w:val="24"/>
      <w:szCs w:val="24"/>
      <w:u w:color="000000"/>
      <w:lang w:eastAsia="en-AU"/>
    </w:rPr>
  </w:style>
  <w:style w:type="paragraph" w:styleId="EndnoteText">
    <w:name w:val="endnote text"/>
    <w:basedOn w:val="Normal"/>
    <w:link w:val="EndnoteTextChar"/>
    <w:uiPriority w:val="99"/>
    <w:semiHidden/>
    <w:unhideWhenUsed/>
    <w:rsid w:val="00D6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1C8"/>
    <w:rPr>
      <w:sz w:val="20"/>
      <w:szCs w:val="20"/>
    </w:rPr>
  </w:style>
  <w:style w:type="character" w:styleId="EndnoteReference">
    <w:name w:val="endnote reference"/>
    <w:basedOn w:val="DefaultParagraphFont"/>
    <w:uiPriority w:val="99"/>
    <w:semiHidden/>
    <w:unhideWhenUsed/>
    <w:rsid w:val="00D661C8"/>
    <w:rPr>
      <w:vertAlign w:val="superscript"/>
    </w:rPr>
  </w:style>
  <w:style w:type="paragraph" w:styleId="Header">
    <w:name w:val="header"/>
    <w:basedOn w:val="Normal"/>
    <w:link w:val="HeaderChar"/>
    <w:uiPriority w:val="99"/>
    <w:unhideWhenUsed/>
    <w:rsid w:val="006B5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723"/>
  </w:style>
  <w:style w:type="paragraph" w:customStyle="1" w:styleId="Text">
    <w:name w:val="Text"/>
    <w:basedOn w:val="Normal"/>
    <w:rsid w:val="0063628F"/>
    <w:pPr>
      <w:spacing w:after="0" w:line="240" w:lineRule="auto"/>
      <w:ind w:left="709"/>
      <w:jc w:val="both"/>
    </w:pPr>
    <w:rPr>
      <w:rFonts w:ascii="Arial Narrow" w:eastAsia="Times New Roman" w:hAnsi="Arial Narrow" w:cs="Times New Roman"/>
      <w:sz w:val="24"/>
      <w:szCs w:val="20"/>
      <w:lang w:val="en-GB"/>
    </w:rPr>
  </w:style>
  <w:style w:type="paragraph" w:customStyle="1" w:styleId="NormalH2Indent-alpha">
    <w:name w:val="Normal_H2_Indent-alpha"/>
    <w:basedOn w:val="Normal"/>
    <w:rsid w:val="0063628F"/>
    <w:pPr>
      <w:numPr>
        <w:ilvl w:val="1"/>
        <w:numId w:val="12"/>
      </w:numPr>
      <w:tabs>
        <w:tab w:val="clear" w:pos="1800"/>
      </w:tabs>
      <w:autoSpaceDE w:val="0"/>
      <w:autoSpaceDN w:val="0"/>
      <w:adjustRightInd w:val="0"/>
      <w:spacing w:before="60" w:after="60" w:line="280" w:lineRule="atLeast"/>
      <w:ind w:left="0" w:firstLine="0"/>
      <w:jc w:val="both"/>
    </w:pPr>
    <w:rPr>
      <w:rFonts w:ascii="Arial Narrow" w:eastAsia="Times New Roman" w:hAnsi="Arial Narrow" w:cs="Times New Roman"/>
      <w:sz w:val="24"/>
      <w:szCs w:val="24"/>
    </w:rPr>
  </w:style>
  <w:style w:type="paragraph" w:customStyle="1" w:styleId="AERtableheading">
    <w:name w:val="AER table heading"/>
    <w:basedOn w:val="Normal"/>
    <w:next w:val="Normal"/>
    <w:rsid w:val="0063628F"/>
    <w:pPr>
      <w:keepNext/>
      <w:numPr>
        <w:ilvl w:val="4"/>
        <w:numId w:val="13"/>
      </w:numPr>
      <w:spacing w:before="240" w:after="120" w:line="240" w:lineRule="auto"/>
      <w:outlineLvl w:val="3"/>
    </w:pPr>
    <w:rPr>
      <w:rFonts w:ascii="Times New Roman" w:eastAsia="Times New Roman" w:hAnsi="Times New Roman" w:cs="Times New Roman"/>
      <w:b/>
      <w:szCs w:val="24"/>
    </w:rPr>
  </w:style>
  <w:style w:type="paragraph" w:customStyle="1" w:styleId="AERfigureheading">
    <w:name w:val="AER figure heading"/>
    <w:basedOn w:val="Normal"/>
    <w:next w:val="Normal"/>
    <w:rsid w:val="0063628F"/>
    <w:pPr>
      <w:keepNext/>
      <w:numPr>
        <w:ilvl w:val="5"/>
        <w:numId w:val="13"/>
      </w:numPr>
      <w:spacing w:before="240" w:after="120" w:line="240" w:lineRule="auto"/>
      <w:outlineLvl w:val="3"/>
    </w:pPr>
    <w:rPr>
      <w:rFonts w:ascii="Times New Roman" w:eastAsia="Times New Roman" w:hAnsi="Times New Roman" w:cs="Times New Roman"/>
      <w:b/>
      <w:szCs w:val="24"/>
    </w:rPr>
  </w:style>
  <w:style w:type="paragraph" w:customStyle="1" w:styleId="AERfigureheading-unnumbered">
    <w:name w:val="AER figure heading - unnumbered"/>
    <w:basedOn w:val="AERfigureheading"/>
    <w:rsid w:val="0063628F"/>
    <w:pPr>
      <w:numPr>
        <w:ilvl w:val="7"/>
      </w:numPr>
    </w:pPr>
  </w:style>
  <w:style w:type="paragraph" w:customStyle="1" w:styleId="AERheading1">
    <w:name w:val="AER heading 1"/>
    <w:basedOn w:val="Heading1"/>
    <w:next w:val="Normal"/>
    <w:rsid w:val="0063628F"/>
    <w:pPr>
      <w:keepLines w:val="0"/>
      <w:pageBreakBefore/>
      <w:numPr>
        <w:numId w:val="13"/>
      </w:numPr>
      <w:spacing w:before="240" w:after="120" w:line="240" w:lineRule="auto"/>
      <w:jc w:val="left"/>
    </w:pPr>
    <w:rPr>
      <w:rFonts w:ascii="Arial" w:eastAsia="Times New Roman" w:hAnsi="Arial" w:cs="Arial"/>
      <w:b/>
      <w:color w:val="auto"/>
      <w:kern w:val="32"/>
      <w:sz w:val="36"/>
      <w:lang w:val="x-none"/>
    </w:rPr>
  </w:style>
  <w:style w:type="paragraph" w:customStyle="1" w:styleId="AERheading2">
    <w:name w:val="AER heading 2"/>
    <w:basedOn w:val="Heading2"/>
    <w:next w:val="Normal"/>
    <w:rsid w:val="0063628F"/>
    <w:pPr>
      <w:keepLines w:val="0"/>
      <w:numPr>
        <w:numId w:val="0"/>
      </w:numPr>
      <w:tabs>
        <w:tab w:val="num" w:pos="851"/>
      </w:tabs>
      <w:spacing w:before="240" w:after="120" w:line="240" w:lineRule="auto"/>
      <w:ind w:left="851" w:hanging="851"/>
      <w:jc w:val="left"/>
    </w:pPr>
    <w:rPr>
      <w:rFonts w:ascii="Arial" w:eastAsia="Times New Roman" w:hAnsi="Arial" w:cs="Arial"/>
      <w:b/>
      <w:bCs/>
      <w:iCs/>
      <w:color w:val="auto"/>
      <w:sz w:val="30"/>
      <w:szCs w:val="28"/>
      <w:lang w:val="x-none"/>
    </w:rPr>
  </w:style>
  <w:style w:type="paragraph" w:customStyle="1" w:styleId="AERheading3">
    <w:name w:val="AER heading 3"/>
    <w:basedOn w:val="Heading3"/>
    <w:next w:val="Normal"/>
    <w:rsid w:val="0063628F"/>
    <w:pPr>
      <w:keepLines w:val="0"/>
      <w:tabs>
        <w:tab w:val="num" w:pos="851"/>
      </w:tabs>
      <w:spacing w:before="240" w:after="120"/>
      <w:ind w:left="851" w:hanging="851"/>
      <w:jc w:val="left"/>
    </w:pPr>
    <w:rPr>
      <w:rFonts w:ascii="Arial Bold" w:eastAsia="Times New Roman" w:hAnsi="Arial Bold" w:cs="Arial"/>
      <w:color w:val="auto"/>
      <w:sz w:val="24"/>
      <w:szCs w:val="24"/>
      <w:lang w:val="x-none"/>
    </w:rPr>
  </w:style>
  <w:style w:type="paragraph" w:customStyle="1" w:styleId="AERheading4">
    <w:name w:val="AER heading 4"/>
    <w:basedOn w:val="Heading4"/>
    <w:next w:val="Normal"/>
    <w:rsid w:val="0063628F"/>
    <w:pPr>
      <w:keepLines w:val="0"/>
      <w:numPr>
        <w:numId w:val="13"/>
      </w:numPr>
      <w:spacing w:before="240" w:after="120"/>
      <w:jc w:val="left"/>
    </w:pPr>
    <w:rPr>
      <w:rFonts w:ascii="Times New Roman" w:eastAsia="Times New Roman" w:hAnsi="Times New Roman" w:cs="Times New Roman"/>
      <w:b/>
      <w:bCs/>
      <w:color w:val="auto"/>
      <w:sz w:val="20"/>
      <w:szCs w:val="28"/>
      <w:lang w:val="x-none"/>
    </w:rPr>
  </w:style>
  <w:style w:type="paragraph" w:customStyle="1" w:styleId="AERtableheading-unnumbered">
    <w:name w:val="AER table heading - unnumbered"/>
    <w:basedOn w:val="AERtableheading"/>
    <w:rsid w:val="0063628F"/>
    <w:pPr>
      <w:numPr>
        <w:ilvl w:val="6"/>
      </w:numPr>
    </w:pPr>
  </w:style>
  <w:style w:type="character" w:customStyle="1" w:styleId="AERtextbold">
    <w:name w:val="AER text bold"/>
    <w:qFormat/>
    <w:rsid w:val="0063628F"/>
    <w:rPr>
      <w:b/>
    </w:rPr>
  </w:style>
  <w:style w:type="character" w:customStyle="1" w:styleId="AERbodytextChar">
    <w:name w:val="AER body text Char"/>
    <w:basedOn w:val="DefaultParagraphFont"/>
    <w:link w:val="AERbodytext"/>
    <w:locked/>
    <w:rsid w:val="00D20CAC"/>
    <w:rPr>
      <w:rFonts w:ascii="Times New Roman" w:eastAsia="Times New Roman" w:hAnsi="Times New Roman" w:cs="Times New Roman"/>
      <w:szCs w:val="24"/>
    </w:rPr>
  </w:style>
  <w:style w:type="paragraph" w:customStyle="1" w:styleId="AERbodytext">
    <w:name w:val="AER body text"/>
    <w:link w:val="AERbodytextChar"/>
    <w:qFormat/>
    <w:rsid w:val="00D20CAC"/>
    <w:pPr>
      <w:numPr>
        <w:numId w:val="14"/>
      </w:numPr>
      <w:spacing w:after="240" w:line="288" w:lineRule="auto"/>
      <w:jc w:val="both"/>
    </w:pPr>
    <w:rPr>
      <w:rFonts w:ascii="Times New Roman" w:eastAsia="Times New Roman" w:hAnsi="Times New Roman" w:cs="Times New Roman"/>
      <w:szCs w:val="24"/>
    </w:rPr>
  </w:style>
  <w:style w:type="paragraph" w:customStyle="1" w:styleId="AERnumberedlistfirststyle">
    <w:name w:val="AER numbered list (first style)"/>
    <w:basedOn w:val="AERbodytext"/>
    <w:qFormat/>
    <w:rsid w:val="00D20CAC"/>
    <w:pPr>
      <w:numPr>
        <w:ilvl w:val="1"/>
      </w:numPr>
      <w:tabs>
        <w:tab w:val="clear" w:pos="357"/>
        <w:tab w:val="num" w:pos="360"/>
      </w:tabs>
      <w:spacing w:after="200"/>
      <w:ind w:left="1437" w:hanging="360"/>
    </w:pPr>
  </w:style>
  <w:style w:type="paragraph" w:customStyle="1" w:styleId="AERnumberedlistsecondstyle">
    <w:name w:val="AER numbered list (second style)"/>
    <w:basedOn w:val="AERnumberedlistfirststyle"/>
    <w:qFormat/>
    <w:rsid w:val="00D20CAC"/>
    <w:pPr>
      <w:numPr>
        <w:ilvl w:val="2"/>
      </w:numPr>
      <w:tabs>
        <w:tab w:val="clear" w:pos="720"/>
        <w:tab w:val="num" w:pos="360"/>
      </w:tabs>
      <w:ind w:left="2157" w:hanging="180"/>
    </w:pPr>
  </w:style>
  <w:style w:type="paragraph" w:customStyle="1" w:styleId="AERnumberedlistthirdstyle">
    <w:name w:val="AER numbered list (third style)"/>
    <w:basedOn w:val="AERnumberedlistsecondstyle"/>
    <w:qFormat/>
    <w:rsid w:val="00D20CAC"/>
    <w:pPr>
      <w:numPr>
        <w:ilvl w:val="3"/>
      </w:numPr>
      <w:tabs>
        <w:tab w:val="clear" w:pos="1077"/>
        <w:tab w:val="num" w:pos="360"/>
      </w:tabs>
      <w:ind w:left="2877" w:hanging="360"/>
    </w:pPr>
  </w:style>
  <w:style w:type="paragraph" w:customStyle="1" w:styleId="AERnumberedlist2first">
    <w:name w:val="AER numbered list 2 first"/>
    <w:basedOn w:val="AERbodytext"/>
    <w:qFormat/>
    <w:rsid w:val="00D20CAC"/>
    <w:pPr>
      <w:numPr>
        <w:ilvl w:val="4"/>
      </w:numPr>
      <w:tabs>
        <w:tab w:val="clear" w:pos="357"/>
        <w:tab w:val="num" w:pos="360"/>
      </w:tabs>
      <w:ind w:left="3597" w:hanging="360"/>
    </w:pPr>
  </w:style>
  <w:style w:type="paragraph" w:customStyle="1" w:styleId="AERnumberedlist2second">
    <w:name w:val="AER numbered list 2 second"/>
    <w:basedOn w:val="AERnumberedlist2first"/>
    <w:qFormat/>
    <w:rsid w:val="00D20CAC"/>
    <w:pPr>
      <w:numPr>
        <w:ilvl w:val="5"/>
      </w:numPr>
      <w:tabs>
        <w:tab w:val="clear" w:pos="720"/>
        <w:tab w:val="num" w:pos="360"/>
      </w:tabs>
      <w:ind w:left="4317" w:hanging="180"/>
    </w:pPr>
  </w:style>
  <w:style w:type="paragraph" w:customStyle="1" w:styleId="AERnumberedlist2third">
    <w:name w:val="AER numbered list 2 third"/>
    <w:basedOn w:val="AERnumberedlist2second"/>
    <w:qFormat/>
    <w:rsid w:val="00D20CAC"/>
    <w:pPr>
      <w:numPr>
        <w:ilvl w:val="6"/>
      </w:numPr>
      <w:tabs>
        <w:tab w:val="clear" w:pos="1077"/>
        <w:tab w:val="num" w:pos="360"/>
      </w:tabs>
      <w:ind w:left="5037" w:hanging="360"/>
    </w:pPr>
  </w:style>
  <w:style w:type="character" w:customStyle="1" w:styleId="AERbody">
    <w:name w:val="AER body"/>
    <w:basedOn w:val="DefaultParagraphFont"/>
    <w:qFormat/>
    <w:rsid w:val="00D20CAC"/>
    <w:rPr>
      <w:rFonts w:ascii="Gautami" w:hAnsi="Gautami" w:cs="Gautami" w:hint="default"/>
      <w:color w:val="auto"/>
      <w:sz w:val="20"/>
    </w:rPr>
  </w:style>
  <w:style w:type="numbering" w:customStyle="1" w:styleId="AERnumberedlist">
    <w:name w:val="AER numbered list"/>
    <w:uiPriority w:val="99"/>
    <w:rsid w:val="00D20CAC"/>
    <w:pPr>
      <w:numPr>
        <w:numId w:val="14"/>
      </w:numPr>
    </w:pPr>
  </w:style>
  <w:style w:type="paragraph" w:styleId="ListBullet">
    <w:name w:val="List Bullet"/>
    <w:basedOn w:val="Normal"/>
    <w:uiPriority w:val="99"/>
    <w:unhideWhenUsed/>
    <w:rsid w:val="0024296C"/>
    <w:pPr>
      <w:numPr>
        <w:numId w:val="17"/>
      </w:numPr>
      <w:contextualSpacing/>
    </w:pPr>
  </w:style>
  <w:style w:type="paragraph" w:styleId="Revision">
    <w:name w:val="Revision"/>
    <w:hidden/>
    <w:uiPriority w:val="99"/>
    <w:semiHidden/>
    <w:rsid w:val="00A96AFA"/>
    <w:pPr>
      <w:spacing w:after="0" w:line="240" w:lineRule="auto"/>
    </w:pPr>
  </w:style>
  <w:style w:type="character" w:styleId="PageNumber">
    <w:name w:val="page number"/>
    <w:basedOn w:val="DefaultParagraphFont"/>
    <w:uiPriority w:val="99"/>
    <w:semiHidden/>
    <w:unhideWhenUsed/>
    <w:rsid w:val="00E10F32"/>
  </w:style>
  <w:style w:type="table" w:customStyle="1" w:styleId="GridTableLight">
    <w:name w:val="Grid Table Light"/>
    <w:basedOn w:val="TableNormal"/>
    <w:uiPriority w:val="40"/>
    <w:rsid w:val="001705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qFormat/>
    <w:rsid w:val="001765E4"/>
    <w:pPr>
      <w:spacing w:after="100"/>
      <w:ind w:left="220"/>
    </w:pPr>
    <w:rPr>
      <w:rFonts w:ascii="Arial Narrow" w:hAnsi="Arial Narrow"/>
      <w:color w:val="1D1D1C"/>
    </w:rPr>
  </w:style>
  <w:style w:type="table" w:customStyle="1" w:styleId="AGNTABLESTYE2">
    <w:name w:val="AGN TABLE STYE 2"/>
    <w:basedOn w:val="TableNormal"/>
    <w:uiPriority w:val="99"/>
    <w:rsid w:val="00204252"/>
    <w:pPr>
      <w:keepLines/>
      <w:spacing w:after="240" w:line="240" w:lineRule="auto"/>
    </w:pPr>
    <w:rPr>
      <w:rFonts w:ascii="Arial Narrow" w:eastAsiaTheme="minorEastAsia" w:hAnsi="Arial Narrow" w:cs="ApexNew-Book"/>
      <w:color w:val="1D1D1C"/>
      <w:u w:color="000000"/>
      <w:lang w:val="en-US" w:eastAsia="ja-JP"/>
    </w:rPr>
    <w:tblPr>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CellMar>
        <w:top w:w="57" w:type="dxa"/>
        <w:bottom w:w="57" w:type="dxa"/>
      </w:tblCellMar>
    </w:tblPr>
    <w:trPr>
      <w:cantSplit/>
    </w:trPr>
    <w:tblStylePr w:type="firstRow">
      <w:rPr>
        <w:rFonts w:ascii="Arial Narrow" w:hAnsi="Arial Narrow"/>
        <w:color w:val="4785B6"/>
        <w:sz w:val="22"/>
      </w:rPr>
      <w:tblPr/>
      <w:tcPr>
        <w:tcBorders>
          <w:top w:val="single" w:sz="4" w:space="0" w:color="D9E2EB"/>
          <w:left w:val="single" w:sz="4" w:space="0" w:color="D9E2EB"/>
          <w:bottom w:val="single" w:sz="4" w:space="0" w:color="D9E2EB"/>
          <w:right w:val="single" w:sz="4" w:space="0" w:color="D9E2EB"/>
          <w:insideH w:val="single" w:sz="4" w:space="0" w:color="D9E2EB"/>
          <w:insideV w:val="single" w:sz="4" w:space="0" w:color="D9E2EB"/>
          <w:tl2br w:val="nil"/>
          <w:tr2bl w:val="nil"/>
        </w:tcBorders>
        <w:shd w:val="clear" w:color="auto" w:fill="D9E2EB"/>
      </w:tcPr>
    </w:tblStylePr>
    <w:tblStylePr w:type="lastCol">
      <w:rPr>
        <w:rFonts w:ascii="Arial Narrow" w:hAnsi="Arial Narrow"/>
        <w:b/>
        <w:bCs/>
        <w:i w:val="0"/>
        <w:iCs w:val="0"/>
        <w:sz w:val="20"/>
        <w:szCs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0071">
      <w:bodyDiv w:val="1"/>
      <w:marLeft w:val="0"/>
      <w:marRight w:val="0"/>
      <w:marTop w:val="0"/>
      <w:marBottom w:val="0"/>
      <w:divBdr>
        <w:top w:val="none" w:sz="0" w:space="0" w:color="auto"/>
        <w:left w:val="none" w:sz="0" w:space="0" w:color="auto"/>
        <w:bottom w:val="none" w:sz="0" w:space="0" w:color="auto"/>
        <w:right w:val="none" w:sz="0" w:space="0" w:color="auto"/>
      </w:divBdr>
    </w:div>
    <w:div w:id="53621142">
      <w:bodyDiv w:val="1"/>
      <w:marLeft w:val="0"/>
      <w:marRight w:val="0"/>
      <w:marTop w:val="0"/>
      <w:marBottom w:val="0"/>
      <w:divBdr>
        <w:top w:val="none" w:sz="0" w:space="0" w:color="auto"/>
        <w:left w:val="none" w:sz="0" w:space="0" w:color="auto"/>
        <w:bottom w:val="none" w:sz="0" w:space="0" w:color="auto"/>
        <w:right w:val="none" w:sz="0" w:space="0" w:color="auto"/>
      </w:divBdr>
      <w:divsChild>
        <w:div w:id="630474850">
          <w:marLeft w:val="288"/>
          <w:marRight w:val="0"/>
          <w:marTop w:val="0"/>
          <w:marBottom w:val="400"/>
          <w:divBdr>
            <w:top w:val="none" w:sz="0" w:space="0" w:color="auto"/>
            <w:left w:val="none" w:sz="0" w:space="0" w:color="auto"/>
            <w:bottom w:val="none" w:sz="0" w:space="0" w:color="auto"/>
            <w:right w:val="none" w:sz="0" w:space="0" w:color="auto"/>
          </w:divBdr>
        </w:div>
        <w:div w:id="845364923">
          <w:marLeft w:val="1008"/>
          <w:marRight w:val="0"/>
          <w:marTop w:val="0"/>
          <w:marBottom w:val="400"/>
          <w:divBdr>
            <w:top w:val="none" w:sz="0" w:space="0" w:color="auto"/>
            <w:left w:val="none" w:sz="0" w:space="0" w:color="auto"/>
            <w:bottom w:val="none" w:sz="0" w:space="0" w:color="auto"/>
            <w:right w:val="none" w:sz="0" w:space="0" w:color="auto"/>
          </w:divBdr>
        </w:div>
        <w:div w:id="1072695494">
          <w:marLeft w:val="1008"/>
          <w:marRight w:val="0"/>
          <w:marTop w:val="0"/>
          <w:marBottom w:val="400"/>
          <w:divBdr>
            <w:top w:val="none" w:sz="0" w:space="0" w:color="auto"/>
            <w:left w:val="none" w:sz="0" w:space="0" w:color="auto"/>
            <w:bottom w:val="none" w:sz="0" w:space="0" w:color="auto"/>
            <w:right w:val="none" w:sz="0" w:space="0" w:color="auto"/>
          </w:divBdr>
        </w:div>
        <w:div w:id="1945726521">
          <w:marLeft w:val="1008"/>
          <w:marRight w:val="0"/>
          <w:marTop w:val="0"/>
          <w:marBottom w:val="400"/>
          <w:divBdr>
            <w:top w:val="none" w:sz="0" w:space="0" w:color="auto"/>
            <w:left w:val="none" w:sz="0" w:space="0" w:color="auto"/>
            <w:bottom w:val="none" w:sz="0" w:space="0" w:color="auto"/>
            <w:right w:val="none" w:sz="0" w:space="0" w:color="auto"/>
          </w:divBdr>
        </w:div>
        <w:div w:id="2058507577">
          <w:marLeft w:val="1008"/>
          <w:marRight w:val="0"/>
          <w:marTop w:val="0"/>
          <w:marBottom w:val="400"/>
          <w:divBdr>
            <w:top w:val="none" w:sz="0" w:space="0" w:color="auto"/>
            <w:left w:val="none" w:sz="0" w:space="0" w:color="auto"/>
            <w:bottom w:val="none" w:sz="0" w:space="0" w:color="auto"/>
            <w:right w:val="none" w:sz="0" w:space="0" w:color="auto"/>
          </w:divBdr>
        </w:div>
        <w:div w:id="1772511345">
          <w:marLeft w:val="1008"/>
          <w:marRight w:val="0"/>
          <w:marTop w:val="0"/>
          <w:marBottom w:val="400"/>
          <w:divBdr>
            <w:top w:val="none" w:sz="0" w:space="0" w:color="auto"/>
            <w:left w:val="none" w:sz="0" w:space="0" w:color="auto"/>
            <w:bottom w:val="none" w:sz="0" w:space="0" w:color="auto"/>
            <w:right w:val="none" w:sz="0" w:space="0" w:color="auto"/>
          </w:divBdr>
        </w:div>
      </w:divsChild>
    </w:div>
    <w:div w:id="124548114">
      <w:bodyDiv w:val="1"/>
      <w:marLeft w:val="0"/>
      <w:marRight w:val="0"/>
      <w:marTop w:val="0"/>
      <w:marBottom w:val="0"/>
      <w:divBdr>
        <w:top w:val="none" w:sz="0" w:space="0" w:color="auto"/>
        <w:left w:val="none" w:sz="0" w:space="0" w:color="auto"/>
        <w:bottom w:val="none" w:sz="0" w:space="0" w:color="auto"/>
        <w:right w:val="none" w:sz="0" w:space="0" w:color="auto"/>
      </w:divBdr>
    </w:div>
    <w:div w:id="212430162">
      <w:bodyDiv w:val="1"/>
      <w:marLeft w:val="0"/>
      <w:marRight w:val="0"/>
      <w:marTop w:val="0"/>
      <w:marBottom w:val="0"/>
      <w:divBdr>
        <w:top w:val="none" w:sz="0" w:space="0" w:color="auto"/>
        <w:left w:val="none" w:sz="0" w:space="0" w:color="auto"/>
        <w:bottom w:val="none" w:sz="0" w:space="0" w:color="auto"/>
        <w:right w:val="none" w:sz="0" w:space="0" w:color="auto"/>
      </w:divBdr>
      <w:divsChild>
        <w:div w:id="1126850506">
          <w:marLeft w:val="288"/>
          <w:marRight w:val="0"/>
          <w:marTop w:val="0"/>
          <w:marBottom w:val="120"/>
          <w:divBdr>
            <w:top w:val="none" w:sz="0" w:space="0" w:color="auto"/>
            <w:left w:val="none" w:sz="0" w:space="0" w:color="auto"/>
            <w:bottom w:val="none" w:sz="0" w:space="0" w:color="auto"/>
            <w:right w:val="none" w:sz="0" w:space="0" w:color="auto"/>
          </w:divBdr>
        </w:div>
        <w:div w:id="1117874950">
          <w:marLeft w:val="1008"/>
          <w:marRight w:val="0"/>
          <w:marTop w:val="0"/>
          <w:marBottom w:val="120"/>
          <w:divBdr>
            <w:top w:val="none" w:sz="0" w:space="0" w:color="auto"/>
            <w:left w:val="none" w:sz="0" w:space="0" w:color="auto"/>
            <w:bottom w:val="none" w:sz="0" w:space="0" w:color="auto"/>
            <w:right w:val="none" w:sz="0" w:space="0" w:color="auto"/>
          </w:divBdr>
        </w:div>
        <w:div w:id="1815677621">
          <w:marLeft w:val="1008"/>
          <w:marRight w:val="0"/>
          <w:marTop w:val="0"/>
          <w:marBottom w:val="120"/>
          <w:divBdr>
            <w:top w:val="none" w:sz="0" w:space="0" w:color="auto"/>
            <w:left w:val="none" w:sz="0" w:space="0" w:color="auto"/>
            <w:bottom w:val="none" w:sz="0" w:space="0" w:color="auto"/>
            <w:right w:val="none" w:sz="0" w:space="0" w:color="auto"/>
          </w:divBdr>
        </w:div>
        <w:div w:id="1008824488">
          <w:marLeft w:val="1008"/>
          <w:marRight w:val="0"/>
          <w:marTop w:val="0"/>
          <w:marBottom w:val="120"/>
          <w:divBdr>
            <w:top w:val="none" w:sz="0" w:space="0" w:color="auto"/>
            <w:left w:val="none" w:sz="0" w:space="0" w:color="auto"/>
            <w:bottom w:val="none" w:sz="0" w:space="0" w:color="auto"/>
            <w:right w:val="none" w:sz="0" w:space="0" w:color="auto"/>
          </w:divBdr>
        </w:div>
      </w:divsChild>
    </w:div>
    <w:div w:id="232854289">
      <w:bodyDiv w:val="1"/>
      <w:marLeft w:val="0"/>
      <w:marRight w:val="0"/>
      <w:marTop w:val="0"/>
      <w:marBottom w:val="0"/>
      <w:divBdr>
        <w:top w:val="none" w:sz="0" w:space="0" w:color="auto"/>
        <w:left w:val="none" w:sz="0" w:space="0" w:color="auto"/>
        <w:bottom w:val="none" w:sz="0" w:space="0" w:color="auto"/>
        <w:right w:val="none" w:sz="0" w:space="0" w:color="auto"/>
      </w:divBdr>
      <w:divsChild>
        <w:div w:id="1852990922">
          <w:marLeft w:val="288"/>
          <w:marRight w:val="0"/>
          <w:marTop w:val="0"/>
          <w:marBottom w:val="400"/>
          <w:divBdr>
            <w:top w:val="none" w:sz="0" w:space="0" w:color="auto"/>
            <w:left w:val="none" w:sz="0" w:space="0" w:color="auto"/>
            <w:bottom w:val="none" w:sz="0" w:space="0" w:color="auto"/>
            <w:right w:val="none" w:sz="0" w:space="0" w:color="auto"/>
          </w:divBdr>
        </w:div>
        <w:div w:id="569769990">
          <w:marLeft w:val="288"/>
          <w:marRight w:val="0"/>
          <w:marTop w:val="0"/>
          <w:marBottom w:val="400"/>
          <w:divBdr>
            <w:top w:val="none" w:sz="0" w:space="0" w:color="auto"/>
            <w:left w:val="none" w:sz="0" w:space="0" w:color="auto"/>
            <w:bottom w:val="none" w:sz="0" w:space="0" w:color="auto"/>
            <w:right w:val="none" w:sz="0" w:space="0" w:color="auto"/>
          </w:divBdr>
        </w:div>
        <w:div w:id="578901208">
          <w:marLeft w:val="288"/>
          <w:marRight w:val="0"/>
          <w:marTop w:val="0"/>
          <w:marBottom w:val="400"/>
          <w:divBdr>
            <w:top w:val="none" w:sz="0" w:space="0" w:color="auto"/>
            <w:left w:val="none" w:sz="0" w:space="0" w:color="auto"/>
            <w:bottom w:val="none" w:sz="0" w:space="0" w:color="auto"/>
            <w:right w:val="none" w:sz="0" w:space="0" w:color="auto"/>
          </w:divBdr>
        </w:div>
        <w:div w:id="787355936">
          <w:marLeft w:val="288"/>
          <w:marRight w:val="0"/>
          <w:marTop w:val="0"/>
          <w:marBottom w:val="400"/>
          <w:divBdr>
            <w:top w:val="none" w:sz="0" w:space="0" w:color="auto"/>
            <w:left w:val="none" w:sz="0" w:space="0" w:color="auto"/>
            <w:bottom w:val="none" w:sz="0" w:space="0" w:color="auto"/>
            <w:right w:val="none" w:sz="0" w:space="0" w:color="auto"/>
          </w:divBdr>
        </w:div>
        <w:div w:id="1634943137">
          <w:marLeft w:val="1008"/>
          <w:marRight w:val="0"/>
          <w:marTop w:val="0"/>
          <w:marBottom w:val="400"/>
          <w:divBdr>
            <w:top w:val="none" w:sz="0" w:space="0" w:color="auto"/>
            <w:left w:val="none" w:sz="0" w:space="0" w:color="auto"/>
            <w:bottom w:val="none" w:sz="0" w:space="0" w:color="auto"/>
            <w:right w:val="none" w:sz="0" w:space="0" w:color="auto"/>
          </w:divBdr>
        </w:div>
        <w:div w:id="1229420571">
          <w:marLeft w:val="1008"/>
          <w:marRight w:val="0"/>
          <w:marTop w:val="0"/>
          <w:marBottom w:val="400"/>
          <w:divBdr>
            <w:top w:val="none" w:sz="0" w:space="0" w:color="auto"/>
            <w:left w:val="none" w:sz="0" w:space="0" w:color="auto"/>
            <w:bottom w:val="none" w:sz="0" w:space="0" w:color="auto"/>
            <w:right w:val="none" w:sz="0" w:space="0" w:color="auto"/>
          </w:divBdr>
        </w:div>
        <w:div w:id="1102185559">
          <w:marLeft w:val="1008"/>
          <w:marRight w:val="0"/>
          <w:marTop w:val="0"/>
          <w:marBottom w:val="400"/>
          <w:divBdr>
            <w:top w:val="none" w:sz="0" w:space="0" w:color="auto"/>
            <w:left w:val="none" w:sz="0" w:space="0" w:color="auto"/>
            <w:bottom w:val="none" w:sz="0" w:space="0" w:color="auto"/>
            <w:right w:val="none" w:sz="0" w:space="0" w:color="auto"/>
          </w:divBdr>
        </w:div>
      </w:divsChild>
    </w:div>
    <w:div w:id="302852715">
      <w:bodyDiv w:val="1"/>
      <w:marLeft w:val="0"/>
      <w:marRight w:val="0"/>
      <w:marTop w:val="0"/>
      <w:marBottom w:val="0"/>
      <w:divBdr>
        <w:top w:val="none" w:sz="0" w:space="0" w:color="auto"/>
        <w:left w:val="none" w:sz="0" w:space="0" w:color="auto"/>
        <w:bottom w:val="none" w:sz="0" w:space="0" w:color="auto"/>
        <w:right w:val="none" w:sz="0" w:space="0" w:color="auto"/>
      </w:divBdr>
      <w:divsChild>
        <w:div w:id="561909663">
          <w:marLeft w:val="288"/>
          <w:marRight w:val="0"/>
          <w:marTop w:val="0"/>
          <w:marBottom w:val="400"/>
          <w:divBdr>
            <w:top w:val="none" w:sz="0" w:space="0" w:color="auto"/>
            <w:left w:val="none" w:sz="0" w:space="0" w:color="auto"/>
            <w:bottom w:val="none" w:sz="0" w:space="0" w:color="auto"/>
            <w:right w:val="none" w:sz="0" w:space="0" w:color="auto"/>
          </w:divBdr>
        </w:div>
        <w:div w:id="1606687822">
          <w:marLeft w:val="1008"/>
          <w:marRight w:val="0"/>
          <w:marTop w:val="0"/>
          <w:marBottom w:val="400"/>
          <w:divBdr>
            <w:top w:val="none" w:sz="0" w:space="0" w:color="auto"/>
            <w:left w:val="none" w:sz="0" w:space="0" w:color="auto"/>
            <w:bottom w:val="none" w:sz="0" w:space="0" w:color="auto"/>
            <w:right w:val="none" w:sz="0" w:space="0" w:color="auto"/>
          </w:divBdr>
        </w:div>
        <w:div w:id="379325227">
          <w:marLeft w:val="1728"/>
          <w:marRight w:val="0"/>
          <w:marTop w:val="0"/>
          <w:marBottom w:val="400"/>
          <w:divBdr>
            <w:top w:val="none" w:sz="0" w:space="0" w:color="auto"/>
            <w:left w:val="none" w:sz="0" w:space="0" w:color="auto"/>
            <w:bottom w:val="none" w:sz="0" w:space="0" w:color="auto"/>
            <w:right w:val="none" w:sz="0" w:space="0" w:color="auto"/>
          </w:divBdr>
        </w:div>
        <w:div w:id="2011372579">
          <w:marLeft w:val="1728"/>
          <w:marRight w:val="0"/>
          <w:marTop w:val="0"/>
          <w:marBottom w:val="400"/>
          <w:divBdr>
            <w:top w:val="none" w:sz="0" w:space="0" w:color="auto"/>
            <w:left w:val="none" w:sz="0" w:space="0" w:color="auto"/>
            <w:bottom w:val="none" w:sz="0" w:space="0" w:color="auto"/>
            <w:right w:val="none" w:sz="0" w:space="0" w:color="auto"/>
          </w:divBdr>
        </w:div>
        <w:div w:id="905454881">
          <w:marLeft w:val="1008"/>
          <w:marRight w:val="0"/>
          <w:marTop w:val="0"/>
          <w:marBottom w:val="400"/>
          <w:divBdr>
            <w:top w:val="none" w:sz="0" w:space="0" w:color="auto"/>
            <w:left w:val="none" w:sz="0" w:space="0" w:color="auto"/>
            <w:bottom w:val="none" w:sz="0" w:space="0" w:color="auto"/>
            <w:right w:val="none" w:sz="0" w:space="0" w:color="auto"/>
          </w:divBdr>
        </w:div>
        <w:div w:id="1326254">
          <w:marLeft w:val="1728"/>
          <w:marRight w:val="0"/>
          <w:marTop w:val="0"/>
          <w:marBottom w:val="400"/>
          <w:divBdr>
            <w:top w:val="none" w:sz="0" w:space="0" w:color="auto"/>
            <w:left w:val="none" w:sz="0" w:space="0" w:color="auto"/>
            <w:bottom w:val="none" w:sz="0" w:space="0" w:color="auto"/>
            <w:right w:val="none" w:sz="0" w:space="0" w:color="auto"/>
          </w:divBdr>
        </w:div>
        <w:div w:id="485240635">
          <w:marLeft w:val="1728"/>
          <w:marRight w:val="0"/>
          <w:marTop w:val="0"/>
          <w:marBottom w:val="400"/>
          <w:divBdr>
            <w:top w:val="none" w:sz="0" w:space="0" w:color="auto"/>
            <w:left w:val="none" w:sz="0" w:space="0" w:color="auto"/>
            <w:bottom w:val="none" w:sz="0" w:space="0" w:color="auto"/>
            <w:right w:val="none" w:sz="0" w:space="0" w:color="auto"/>
          </w:divBdr>
        </w:div>
      </w:divsChild>
    </w:div>
    <w:div w:id="339240353">
      <w:bodyDiv w:val="1"/>
      <w:marLeft w:val="0"/>
      <w:marRight w:val="0"/>
      <w:marTop w:val="0"/>
      <w:marBottom w:val="0"/>
      <w:divBdr>
        <w:top w:val="none" w:sz="0" w:space="0" w:color="auto"/>
        <w:left w:val="none" w:sz="0" w:space="0" w:color="auto"/>
        <w:bottom w:val="none" w:sz="0" w:space="0" w:color="auto"/>
        <w:right w:val="none" w:sz="0" w:space="0" w:color="auto"/>
      </w:divBdr>
    </w:div>
    <w:div w:id="718020079">
      <w:bodyDiv w:val="1"/>
      <w:marLeft w:val="0"/>
      <w:marRight w:val="0"/>
      <w:marTop w:val="0"/>
      <w:marBottom w:val="0"/>
      <w:divBdr>
        <w:top w:val="none" w:sz="0" w:space="0" w:color="auto"/>
        <w:left w:val="none" w:sz="0" w:space="0" w:color="auto"/>
        <w:bottom w:val="none" w:sz="0" w:space="0" w:color="auto"/>
        <w:right w:val="none" w:sz="0" w:space="0" w:color="auto"/>
      </w:divBdr>
    </w:div>
    <w:div w:id="1406755008">
      <w:bodyDiv w:val="1"/>
      <w:marLeft w:val="0"/>
      <w:marRight w:val="0"/>
      <w:marTop w:val="0"/>
      <w:marBottom w:val="0"/>
      <w:divBdr>
        <w:top w:val="none" w:sz="0" w:space="0" w:color="auto"/>
        <w:left w:val="none" w:sz="0" w:space="0" w:color="auto"/>
        <w:bottom w:val="none" w:sz="0" w:space="0" w:color="auto"/>
        <w:right w:val="none" w:sz="0" w:space="0" w:color="auto"/>
      </w:divBdr>
      <w:divsChild>
        <w:div w:id="522204741">
          <w:marLeft w:val="1008"/>
          <w:marRight w:val="0"/>
          <w:marTop w:val="0"/>
          <w:marBottom w:val="400"/>
          <w:divBdr>
            <w:top w:val="none" w:sz="0" w:space="0" w:color="auto"/>
            <w:left w:val="none" w:sz="0" w:space="0" w:color="auto"/>
            <w:bottom w:val="none" w:sz="0" w:space="0" w:color="auto"/>
            <w:right w:val="none" w:sz="0" w:space="0" w:color="auto"/>
          </w:divBdr>
        </w:div>
        <w:div w:id="2058969351">
          <w:marLeft w:val="1008"/>
          <w:marRight w:val="0"/>
          <w:marTop w:val="0"/>
          <w:marBottom w:val="400"/>
          <w:divBdr>
            <w:top w:val="none" w:sz="0" w:space="0" w:color="auto"/>
            <w:left w:val="none" w:sz="0" w:space="0" w:color="auto"/>
            <w:bottom w:val="none" w:sz="0" w:space="0" w:color="auto"/>
            <w:right w:val="none" w:sz="0" w:space="0" w:color="auto"/>
          </w:divBdr>
        </w:div>
        <w:div w:id="1883861785">
          <w:marLeft w:val="1728"/>
          <w:marRight w:val="0"/>
          <w:marTop w:val="0"/>
          <w:marBottom w:val="400"/>
          <w:divBdr>
            <w:top w:val="none" w:sz="0" w:space="0" w:color="auto"/>
            <w:left w:val="none" w:sz="0" w:space="0" w:color="auto"/>
            <w:bottom w:val="none" w:sz="0" w:space="0" w:color="auto"/>
            <w:right w:val="none" w:sz="0" w:space="0" w:color="auto"/>
          </w:divBdr>
        </w:div>
        <w:div w:id="131020004">
          <w:marLeft w:val="1008"/>
          <w:marRight w:val="0"/>
          <w:marTop w:val="0"/>
          <w:marBottom w:val="400"/>
          <w:divBdr>
            <w:top w:val="none" w:sz="0" w:space="0" w:color="auto"/>
            <w:left w:val="none" w:sz="0" w:space="0" w:color="auto"/>
            <w:bottom w:val="none" w:sz="0" w:space="0" w:color="auto"/>
            <w:right w:val="none" w:sz="0" w:space="0" w:color="auto"/>
          </w:divBdr>
        </w:div>
        <w:div w:id="20328373">
          <w:marLeft w:val="1728"/>
          <w:marRight w:val="0"/>
          <w:marTop w:val="0"/>
          <w:marBottom w:val="400"/>
          <w:divBdr>
            <w:top w:val="none" w:sz="0" w:space="0" w:color="auto"/>
            <w:left w:val="none" w:sz="0" w:space="0" w:color="auto"/>
            <w:bottom w:val="none" w:sz="0" w:space="0" w:color="auto"/>
            <w:right w:val="none" w:sz="0" w:space="0" w:color="auto"/>
          </w:divBdr>
        </w:div>
        <w:div w:id="1049452662">
          <w:marLeft w:val="1008"/>
          <w:marRight w:val="0"/>
          <w:marTop w:val="0"/>
          <w:marBottom w:val="400"/>
          <w:divBdr>
            <w:top w:val="none" w:sz="0" w:space="0" w:color="auto"/>
            <w:left w:val="none" w:sz="0" w:space="0" w:color="auto"/>
            <w:bottom w:val="none" w:sz="0" w:space="0" w:color="auto"/>
            <w:right w:val="none" w:sz="0" w:space="0" w:color="auto"/>
          </w:divBdr>
        </w:div>
        <w:div w:id="1542009385">
          <w:marLeft w:val="1728"/>
          <w:marRight w:val="0"/>
          <w:marTop w:val="0"/>
          <w:marBottom w:val="400"/>
          <w:divBdr>
            <w:top w:val="none" w:sz="0" w:space="0" w:color="auto"/>
            <w:left w:val="none" w:sz="0" w:space="0" w:color="auto"/>
            <w:bottom w:val="none" w:sz="0" w:space="0" w:color="auto"/>
            <w:right w:val="none" w:sz="0" w:space="0" w:color="auto"/>
          </w:divBdr>
        </w:div>
      </w:divsChild>
    </w:div>
    <w:div w:id="1448112742">
      <w:bodyDiv w:val="1"/>
      <w:marLeft w:val="0"/>
      <w:marRight w:val="0"/>
      <w:marTop w:val="0"/>
      <w:marBottom w:val="0"/>
      <w:divBdr>
        <w:top w:val="none" w:sz="0" w:space="0" w:color="auto"/>
        <w:left w:val="none" w:sz="0" w:space="0" w:color="auto"/>
        <w:bottom w:val="none" w:sz="0" w:space="0" w:color="auto"/>
        <w:right w:val="none" w:sz="0" w:space="0" w:color="auto"/>
      </w:divBdr>
      <w:divsChild>
        <w:div w:id="611865807">
          <w:marLeft w:val="1008"/>
          <w:marRight w:val="0"/>
          <w:marTop w:val="0"/>
          <w:marBottom w:val="400"/>
          <w:divBdr>
            <w:top w:val="none" w:sz="0" w:space="0" w:color="auto"/>
            <w:left w:val="none" w:sz="0" w:space="0" w:color="auto"/>
            <w:bottom w:val="none" w:sz="0" w:space="0" w:color="auto"/>
            <w:right w:val="none" w:sz="0" w:space="0" w:color="auto"/>
          </w:divBdr>
        </w:div>
        <w:div w:id="9332459">
          <w:marLeft w:val="1008"/>
          <w:marRight w:val="0"/>
          <w:marTop w:val="0"/>
          <w:marBottom w:val="400"/>
          <w:divBdr>
            <w:top w:val="none" w:sz="0" w:space="0" w:color="auto"/>
            <w:left w:val="none" w:sz="0" w:space="0" w:color="auto"/>
            <w:bottom w:val="none" w:sz="0" w:space="0" w:color="auto"/>
            <w:right w:val="none" w:sz="0" w:space="0" w:color="auto"/>
          </w:divBdr>
        </w:div>
        <w:div w:id="1366517062">
          <w:marLeft w:val="1728"/>
          <w:marRight w:val="0"/>
          <w:marTop w:val="0"/>
          <w:marBottom w:val="400"/>
          <w:divBdr>
            <w:top w:val="none" w:sz="0" w:space="0" w:color="auto"/>
            <w:left w:val="none" w:sz="0" w:space="0" w:color="auto"/>
            <w:bottom w:val="none" w:sz="0" w:space="0" w:color="auto"/>
            <w:right w:val="none" w:sz="0" w:space="0" w:color="auto"/>
          </w:divBdr>
        </w:div>
        <w:div w:id="1293747835">
          <w:marLeft w:val="1008"/>
          <w:marRight w:val="0"/>
          <w:marTop w:val="0"/>
          <w:marBottom w:val="400"/>
          <w:divBdr>
            <w:top w:val="none" w:sz="0" w:space="0" w:color="auto"/>
            <w:left w:val="none" w:sz="0" w:space="0" w:color="auto"/>
            <w:bottom w:val="none" w:sz="0" w:space="0" w:color="auto"/>
            <w:right w:val="none" w:sz="0" w:space="0" w:color="auto"/>
          </w:divBdr>
        </w:div>
        <w:div w:id="224294492">
          <w:marLeft w:val="1728"/>
          <w:marRight w:val="0"/>
          <w:marTop w:val="0"/>
          <w:marBottom w:val="400"/>
          <w:divBdr>
            <w:top w:val="none" w:sz="0" w:space="0" w:color="auto"/>
            <w:left w:val="none" w:sz="0" w:space="0" w:color="auto"/>
            <w:bottom w:val="none" w:sz="0" w:space="0" w:color="auto"/>
            <w:right w:val="none" w:sz="0" w:space="0" w:color="auto"/>
          </w:divBdr>
        </w:div>
        <w:div w:id="428889567">
          <w:marLeft w:val="1008"/>
          <w:marRight w:val="0"/>
          <w:marTop w:val="0"/>
          <w:marBottom w:val="400"/>
          <w:divBdr>
            <w:top w:val="none" w:sz="0" w:space="0" w:color="auto"/>
            <w:left w:val="none" w:sz="0" w:space="0" w:color="auto"/>
            <w:bottom w:val="none" w:sz="0" w:space="0" w:color="auto"/>
            <w:right w:val="none" w:sz="0" w:space="0" w:color="auto"/>
          </w:divBdr>
        </w:div>
        <w:div w:id="1682195092">
          <w:marLeft w:val="1728"/>
          <w:marRight w:val="0"/>
          <w:marTop w:val="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GN Regulatory Submissi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2F04-5AAB-407F-B6AA-4398710C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A38350E4</Template>
  <TotalTime>0</TotalTime>
  <Pages>14</Pages>
  <Words>3162</Words>
  <Characters>18024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Harris</dc:creator>
  <cp:lastModifiedBy>Lewis, Andrew</cp:lastModifiedBy>
  <cp:revision>2</cp:revision>
  <cp:lastPrinted>2015-11-19T09:21:00Z</cp:lastPrinted>
  <dcterms:created xsi:type="dcterms:W3CDTF">2016-02-04T02:16:00Z</dcterms:created>
  <dcterms:modified xsi:type="dcterms:W3CDTF">2016-02-04T02:16:00Z</dcterms:modified>
</cp:coreProperties>
</file>