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B5317" w14:textId="0983ABEA" w:rsidR="00AE3020" w:rsidRDefault="00AE3020">
      <w:pPr>
        <w:rPr>
          <w:rFonts w:ascii="Tahoma" w:hAnsi="Tahoma" w:cs="Tahoma"/>
          <w:b/>
        </w:rPr>
      </w:pPr>
      <w:bookmarkStart w:id="0" w:name="_GoBack"/>
      <w:bookmarkEnd w:id="0"/>
    </w:p>
    <w:p w14:paraId="450F6CC0" w14:textId="77777777" w:rsidR="00AE3020" w:rsidRDefault="00AE3020">
      <w:pPr>
        <w:rPr>
          <w:rFonts w:ascii="Tahoma" w:hAnsi="Tahoma" w:cs="Tahoma"/>
          <w:b/>
        </w:rPr>
      </w:pPr>
    </w:p>
    <w:p w14:paraId="7BCBE1F4" w14:textId="77777777" w:rsidR="00AE3020" w:rsidRDefault="00AE3020">
      <w:pPr>
        <w:rPr>
          <w:rFonts w:ascii="Tahoma" w:hAnsi="Tahoma" w:cs="Tahoma"/>
          <w:b/>
        </w:rPr>
      </w:pPr>
    </w:p>
    <w:p w14:paraId="57A85689" w14:textId="77777777" w:rsidR="00AE3020" w:rsidRDefault="00AE3020">
      <w:pPr>
        <w:rPr>
          <w:rFonts w:ascii="Tahoma" w:hAnsi="Tahoma" w:cs="Tahoma"/>
          <w:b/>
        </w:rPr>
      </w:pPr>
    </w:p>
    <w:p w14:paraId="700C9A36" w14:textId="77777777" w:rsidR="00AE3020" w:rsidRDefault="00AE3020">
      <w:pPr>
        <w:rPr>
          <w:rFonts w:ascii="Tahoma" w:hAnsi="Tahoma" w:cs="Tahoma"/>
          <w:b/>
        </w:rPr>
      </w:pPr>
    </w:p>
    <w:p w14:paraId="2E84FEA8" w14:textId="77777777" w:rsidR="00AE3020" w:rsidRDefault="00AE3020">
      <w:pPr>
        <w:rPr>
          <w:rFonts w:ascii="Tahoma" w:hAnsi="Tahoma" w:cs="Tahoma"/>
          <w:b/>
        </w:rPr>
      </w:pPr>
    </w:p>
    <w:p w14:paraId="3F2A4261" w14:textId="77777777" w:rsidR="00AE3020" w:rsidRDefault="00AE3020">
      <w:pPr>
        <w:rPr>
          <w:rFonts w:ascii="Tahoma" w:hAnsi="Tahoma" w:cs="Tahoma"/>
          <w:b/>
        </w:rPr>
      </w:pPr>
    </w:p>
    <w:p w14:paraId="53416ACA" w14:textId="77777777" w:rsidR="00AE3020" w:rsidRDefault="00AE3020">
      <w:pPr>
        <w:rPr>
          <w:rFonts w:ascii="Tahoma" w:hAnsi="Tahoma" w:cs="Tahoma"/>
          <w:b/>
          <w:sz w:val="28"/>
        </w:rPr>
      </w:pPr>
    </w:p>
    <w:p w14:paraId="0FAAA246" w14:textId="77777777" w:rsidR="00AE3020" w:rsidRDefault="00AE3020">
      <w:pPr>
        <w:rPr>
          <w:rFonts w:ascii="Tahoma" w:hAnsi="Tahoma" w:cs="Tahoma"/>
          <w:b/>
          <w:sz w:val="28"/>
        </w:rPr>
      </w:pPr>
    </w:p>
    <w:p w14:paraId="20201792" w14:textId="77777777" w:rsidR="00AE3020" w:rsidRDefault="00AE3020">
      <w:pPr>
        <w:rPr>
          <w:rFonts w:ascii="Tahoma" w:hAnsi="Tahoma" w:cs="Tahoma"/>
          <w:b/>
          <w:sz w:val="28"/>
        </w:rPr>
      </w:pPr>
    </w:p>
    <w:p w14:paraId="23D958E5" w14:textId="77777777" w:rsidR="00210FA0" w:rsidRDefault="00AE3020">
      <w:pPr>
        <w:rPr>
          <w:rFonts w:ascii="Tahoma" w:hAnsi="Tahoma" w:cs="Tahoma"/>
          <w:b/>
          <w:color w:val="003C71"/>
          <w:sz w:val="54"/>
          <w:szCs w:val="54"/>
        </w:rPr>
      </w:pPr>
      <w:r w:rsidRPr="00210FA0">
        <w:rPr>
          <w:rFonts w:ascii="Tahoma" w:hAnsi="Tahoma" w:cs="Tahoma"/>
          <w:b/>
          <w:color w:val="003C71"/>
          <w:sz w:val="54"/>
          <w:szCs w:val="54"/>
        </w:rPr>
        <w:t>Australian Gas Networks</w:t>
      </w:r>
      <w:r w:rsidR="008473A9" w:rsidRPr="00210FA0">
        <w:rPr>
          <w:rFonts w:ascii="Tahoma" w:hAnsi="Tahoma" w:cs="Tahoma"/>
          <w:b/>
          <w:color w:val="003C71"/>
          <w:sz w:val="54"/>
          <w:szCs w:val="54"/>
        </w:rPr>
        <w:t xml:space="preserve"> </w:t>
      </w:r>
    </w:p>
    <w:p w14:paraId="6547765E" w14:textId="1D890E1C" w:rsidR="00AE3020" w:rsidRPr="00210FA0" w:rsidRDefault="003972C7">
      <w:pPr>
        <w:rPr>
          <w:rFonts w:ascii="Tahoma" w:hAnsi="Tahoma" w:cs="Tahoma"/>
          <w:b/>
          <w:color w:val="003C71"/>
          <w:sz w:val="54"/>
          <w:szCs w:val="54"/>
        </w:rPr>
      </w:pPr>
      <w:r>
        <w:rPr>
          <w:rFonts w:ascii="Tahoma" w:hAnsi="Tahoma" w:cs="Tahoma"/>
          <w:b/>
          <w:color w:val="003C71"/>
          <w:sz w:val="54"/>
          <w:szCs w:val="54"/>
        </w:rPr>
        <w:t>(South Australia</w:t>
      </w:r>
      <w:r w:rsidR="00A90950">
        <w:rPr>
          <w:rFonts w:ascii="Tahoma" w:hAnsi="Tahoma" w:cs="Tahoma"/>
          <w:b/>
          <w:color w:val="003C71"/>
          <w:sz w:val="54"/>
          <w:szCs w:val="54"/>
        </w:rPr>
        <w:t xml:space="preserve"> Network</w:t>
      </w:r>
      <w:r w:rsidR="008473A9" w:rsidRPr="00210FA0">
        <w:rPr>
          <w:rFonts w:ascii="Tahoma" w:hAnsi="Tahoma" w:cs="Tahoma"/>
          <w:b/>
          <w:color w:val="003C71"/>
          <w:sz w:val="54"/>
          <w:szCs w:val="54"/>
        </w:rPr>
        <w:t>)</w:t>
      </w:r>
    </w:p>
    <w:p w14:paraId="433EDF91" w14:textId="77777777" w:rsidR="00AE3020" w:rsidRPr="00210FA0" w:rsidRDefault="00AE3020">
      <w:pPr>
        <w:rPr>
          <w:rFonts w:ascii="Tahoma" w:hAnsi="Tahoma" w:cs="Tahoma"/>
          <w:b/>
          <w:color w:val="003C71"/>
          <w:sz w:val="36"/>
          <w:szCs w:val="36"/>
        </w:rPr>
      </w:pPr>
      <w:r w:rsidRPr="00210FA0">
        <w:rPr>
          <w:rFonts w:ascii="Tahoma" w:hAnsi="Tahoma" w:cs="Tahoma"/>
          <w:b/>
          <w:color w:val="003C71"/>
          <w:sz w:val="36"/>
          <w:szCs w:val="36"/>
        </w:rPr>
        <w:t xml:space="preserve">Annual Regulatory Information Notice </w:t>
      </w:r>
    </w:p>
    <w:p w14:paraId="69900457" w14:textId="5E139172" w:rsidR="00BE7356" w:rsidRPr="00210FA0" w:rsidRDefault="00BE7356">
      <w:pPr>
        <w:rPr>
          <w:rFonts w:ascii="Tahoma" w:hAnsi="Tahoma" w:cs="Tahoma"/>
          <w:b/>
          <w:color w:val="003C71"/>
          <w:sz w:val="36"/>
          <w:szCs w:val="36"/>
        </w:rPr>
      </w:pPr>
      <w:r w:rsidRPr="00210FA0">
        <w:rPr>
          <w:rFonts w:ascii="Tahoma" w:hAnsi="Tahoma" w:cs="Tahoma"/>
          <w:b/>
          <w:color w:val="003C71"/>
          <w:sz w:val="36"/>
          <w:szCs w:val="36"/>
        </w:rPr>
        <w:t xml:space="preserve">Basis of Preparation </w:t>
      </w:r>
    </w:p>
    <w:p w14:paraId="55E16725" w14:textId="77777777" w:rsidR="00AE3020" w:rsidRDefault="00AE3020">
      <w:pPr>
        <w:rPr>
          <w:rFonts w:ascii="Tahoma" w:hAnsi="Tahoma" w:cs="Tahoma"/>
        </w:rPr>
      </w:pPr>
    </w:p>
    <w:p w14:paraId="743F82CC" w14:textId="77777777" w:rsidR="00704D4C" w:rsidRDefault="00704D4C">
      <w:pPr>
        <w:rPr>
          <w:rFonts w:ascii="Tahoma" w:hAnsi="Tahoma" w:cs="Tahoma"/>
        </w:rPr>
      </w:pPr>
    </w:p>
    <w:p w14:paraId="4389C472" w14:textId="6D98C886" w:rsidR="00704D4C" w:rsidRDefault="00D5579B">
      <w:pPr>
        <w:rPr>
          <w:rFonts w:ascii="Tahoma" w:hAnsi="Tahoma" w:cs="Tahoma"/>
        </w:rPr>
      </w:pPr>
      <w:r>
        <w:rPr>
          <w:rFonts w:ascii="Tahoma" w:hAnsi="Tahoma" w:cs="Tahoma"/>
        </w:rPr>
        <w:t>November</w:t>
      </w:r>
      <w:r w:rsidR="00704D4C">
        <w:rPr>
          <w:rFonts w:ascii="Tahoma" w:hAnsi="Tahoma" w:cs="Tahoma"/>
        </w:rPr>
        <w:t xml:space="preserve"> 2020</w:t>
      </w:r>
    </w:p>
    <w:p w14:paraId="550369A7" w14:textId="77777777" w:rsidR="00BE7356" w:rsidRDefault="00BE7356">
      <w:pPr>
        <w:rPr>
          <w:rFonts w:ascii="Tahoma" w:hAnsi="Tahoma" w:cs="Tahoma"/>
        </w:rPr>
      </w:pPr>
      <w:r>
        <w:rPr>
          <w:rFonts w:ascii="Tahoma" w:hAnsi="Tahoma" w:cs="Tahoma"/>
        </w:rPr>
        <w:br w:type="page"/>
      </w:r>
    </w:p>
    <w:sdt>
      <w:sdtPr>
        <w:rPr>
          <w:rFonts w:asciiTheme="minorHAnsi" w:eastAsiaTheme="minorHAnsi" w:hAnsiTheme="minorHAnsi" w:cstheme="minorBidi"/>
          <w:color w:val="auto"/>
          <w:sz w:val="22"/>
          <w:szCs w:val="22"/>
          <w:lang w:val="en-AU"/>
        </w:rPr>
        <w:id w:val="-1324435396"/>
        <w:docPartObj>
          <w:docPartGallery w:val="Table of Contents"/>
          <w:docPartUnique/>
        </w:docPartObj>
      </w:sdtPr>
      <w:sdtEndPr>
        <w:rPr>
          <w:b/>
          <w:bCs/>
          <w:noProof/>
        </w:rPr>
      </w:sdtEndPr>
      <w:sdtContent>
        <w:p w14:paraId="7EF902A8" w14:textId="77777777" w:rsidR="00C059E5" w:rsidRDefault="00C059E5">
          <w:pPr>
            <w:pStyle w:val="TOCHeading"/>
            <w:rPr>
              <w:rFonts w:ascii="Tahoma" w:hAnsi="Tahoma" w:cs="Tahoma"/>
              <w:b/>
              <w:color w:val="003C71"/>
              <w:sz w:val="36"/>
            </w:rPr>
          </w:pPr>
          <w:r w:rsidRPr="006962D8">
            <w:rPr>
              <w:rFonts w:ascii="Tahoma" w:hAnsi="Tahoma" w:cs="Tahoma"/>
              <w:b/>
              <w:color w:val="003C71"/>
              <w:sz w:val="36"/>
            </w:rPr>
            <w:t>Contents</w:t>
          </w:r>
        </w:p>
        <w:p w14:paraId="31E7E2D0" w14:textId="77777777" w:rsidR="006962D8" w:rsidRPr="006962D8" w:rsidRDefault="006962D8" w:rsidP="006962D8">
          <w:pPr>
            <w:rPr>
              <w:lang w:val="en-US"/>
            </w:rPr>
          </w:pPr>
        </w:p>
        <w:p w14:paraId="11B4FE55" w14:textId="6BEE56D5" w:rsidR="0052786D" w:rsidRDefault="00C059E5">
          <w:pPr>
            <w:pStyle w:val="TOC1"/>
            <w:tabs>
              <w:tab w:val="right" w:leader="dot" w:pos="9016"/>
            </w:tabs>
            <w:rPr>
              <w:rFonts w:asciiTheme="minorHAnsi" w:eastAsiaTheme="minorEastAsia" w:hAnsiTheme="minorHAnsi"/>
              <w:noProof/>
              <w:color w:val="auto"/>
              <w:lang w:eastAsia="en-AU"/>
            </w:rPr>
          </w:pPr>
          <w:r>
            <w:fldChar w:fldCharType="begin"/>
          </w:r>
          <w:r>
            <w:instrText xml:space="preserve"> TOC \o "1-3" \h \z \u </w:instrText>
          </w:r>
          <w:r>
            <w:fldChar w:fldCharType="separate"/>
          </w:r>
          <w:hyperlink w:anchor="_Toc57314048" w:history="1">
            <w:r w:rsidR="0052786D" w:rsidRPr="00E424C8">
              <w:rPr>
                <w:rStyle w:val="Hyperlink"/>
                <w:rFonts w:cs="Tahoma"/>
                <w:b/>
                <w:noProof/>
              </w:rPr>
              <w:t>Overview</w:t>
            </w:r>
            <w:r w:rsidR="0052786D">
              <w:rPr>
                <w:noProof/>
                <w:webHidden/>
              </w:rPr>
              <w:tab/>
            </w:r>
            <w:r w:rsidR="0052786D">
              <w:rPr>
                <w:noProof/>
                <w:webHidden/>
              </w:rPr>
              <w:fldChar w:fldCharType="begin"/>
            </w:r>
            <w:r w:rsidR="0052786D">
              <w:rPr>
                <w:noProof/>
                <w:webHidden/>
              </w:rPr>
              <w:instrText xml:space="preserve"> PAGEREF _Toc57314048 \h </w:instrText>
            </w:r>
            <w:r w:rsidR="0052786D">
              <w:rPr>
                <w:noProof/>
                <w:webHidden/>
              </w:rPr>
            </w:r>
            <w:r w:rsidR="0052786D">
              <w:rPr>
                <w:noProof/>
                <w:webHidden/>
              </w:rPr>
              <w:fldChar w:fldCharType="separate"/>
            </w:r>
            <w:r w:rsidR="0052786D">
              <w:rPr>
                <w:noProof/>
                <w:webHidden/>
              </w:rPr>
              <w:t>4</w:t>
            </w:r>
            <w:r w:rsidR="0052786D">
              <w:rPr>
                <w:noProof/>
                <w:webHidden/>
              </w:rPr>
              <w:fldChar w:fldCharType="end"/>
            </w:r>
          </w:hyperlink>
        </w:p>
        <w:p w14:paraId="678DAB43" w14:textId="3628BFB3" w:rsidR="0052786D" w:rsidRDefault="00297570">
          <w:pPr>
            <w:pStyle w:val="TOC1"/>
            <w:tabs>
              <w:tab w:val="right" w:leader="dot" w:pos="9016"/>
            </w:tabs>
            <w:rPr>
              <w:rFonts w:asciiTheme="minorHAnsi" w:eastAsiaTheme="minorEastAsia" w:hAnsiTheme="minorHAnsi"/>
              <w:noProof/>
              <w:color w:val="auto"/>
              <w:lang w:eastAsia="en-AU"/>
            </w:rPr>
          </w:pPr>
          <w:hyperlink w:anchor="_Toc57314049" w:history="1">
            <w:r w:rsidR="0052786D" w:rsidRPr="00E424C8">
              <w:rPr>
                <w:rStyle w:val="Hyperlink"/>
                <w:rFonts w:cs="Tahoma"/>
                <w:b/>
                <w:noProof/>
              </w:rPr>
              <w:t>E1. Expenditure Summary</w:t>
            </w:r>
            <w:r w:rsidR="0052786D">
              <w:rPr>
                <w:noProof/>
                <w:webHidden/>
              </w:rPr>
              <w:tab/>
            </w:r>
            <w:r w:rsidR="0052786D">
              <w:rPr>
                <w:noProof/>
                <w:webHidden/>
              </w:rPr>
              <w:fldChar w:fldCharType="begin"/>
            </w:r>
            <w:r w:rsidR="0052786D">
              <w:rPr>
                <w:noProof/>
                <w:webHidden/>
              </w:rPr>
              <w:instrText xml:space="preserve"> PAGEREF _Toc57314049 \h </w:instrText>
            </w:r>
            <w:r w:rsidR="0052786D">
              <w:rPr>
                <w:noProof/>
                <w:webHidden/>
              </w:rPr>
            </w:r>
            <w:r w:rsidR="0052786D">
              <w:rPr>
                <w:noProof/>
                <w:webHidden/>
              </w:rPr>
              <w:fldChar w:fldCharType="separate"/>
            </w:r>
            <w:r w:rsidR="0052786D">
              <w:rPr>
                <w:noProof/>
                <w:webHidden/>
              </w:rPr>
              <w:t>5</w:t>
            </w:r>
            <w:r w:rsidR="0052786D">
              <w:rPr>
                <w:noProof/>
                <w:webHidden/>
              </w:rPr>
              <w:fldChar w:fldCharType="end"/>
            </w:r>
          </w:hyperlink>
        </w:p>
        <w:p w14:paraId="40F025DF" w14:textId="75BCF928" w:rsidR="0052786D" w:rsidRDefault="00297570">
          <w:pPr>
            <w:pStyle w:val="TOC2"/>
            <w:tabs>
              <w:tab w:val="right" w:leader="dot" w:pos="9016"/>
            </w:tabs>
            <w:rPr>
              <w:rFonts w:eastAsiaTheme="minorEastAsia"/>
              <w:noProof/>
              <w:lang w:eastAsia="en-AU"/>
            </w:rPr>
          </w:pPr>
          <w:hyperlink w:anchor="_Toc57314050" w:history="1">
            <w:r w:rsidR="0052786D" w:rsidRPr="00E424C8">
              <w:rPr>
                <w:rStyle w:val="Hyperlink"/>
                <w:rFonts w:ascii="Tahoma" w:hAnsi="Tahoma" w:cs="Tahoma"/>
                <w:noProof/>
              </w:rPr>
              <w:t>E1.1 – Capex</w:t>
            </w:r>
            <w:r w:rsidR="0052786D">
              <w:rPr>
                <w:noProof/>
                <w:webHidden/>
              </w:rPr>
              <w:tab/>
            </w:r>
            <w:r w:rsidR="0052786D">
              <w:rPr>
                <w:noProof/>
                <w:webHidden/>
              </w:rPr>
              <w:fldChar w:fldCharType="begin"/>
            </w:r>
            <w:r w:rsidR="0052786D">
              <w:rPr>
                <w:noProof/>
                <w:webHidden/>
              </w:rPr>
              <w:instrText xml:space="preserve"> PAGEREF _Toc57314050 \h </w:instrText>
            </w:r>
            <w:r w:rsidR="0052786D">
              <w:rPr>
                <w:noProof/>
                <w:webHidden/>
              </w:rPr>
            </w:r>
            <w:r w:rsidR="0052786D">
              <w:rPr>
                <w:noProof/>
                <w:webHidden/>
              </w:rPr>
              <w:fldChar w:fldCharType="separate"/>
            </w:r>
            <w:r w:rsidR="0052786D">
              <w:rPr>
                <w:noProof/>
                <w:webHidden/>
              </w:rPr>
              <w:t>5</w:t>
            </w:r>
            <w:r w:rsidR="0052786D">
              <w:rPr>
                <w:noProof/>
                <w:webHidden/>
              </w:rPr>
              <w:fldChar w:fldCharType="end"/>
            </w:r>
          </w:hyperlink>
        </w:p>
        <w:p w14:paraId="57E9B181" w14:textId="5C1EBC1E" w:rsidR="0052786D" w:rsidRDefault="00297570">
          <w:pPr>
            <w:pStyle w:val="TOC2"/>
            <w:tabs>
              <w:tab w:val="right" w:leader="dot" w:pos="9016"/>
            </w:tabs>
            <w:rPr>
              <w:rFonts w:eastAsiaTheme="minorEastAsia"/>
              <w:noProof/>
              <w:lang w:eastAsia="en-AU"/>
            </w:rPr>
          </w:pPr>
          <w:hyperlink w:anchor="_Toc57314051" w:history="1">
            <w:r w:rsidR="0052786D" w:rsidRPr="00E424C8">
              <w:rPr>
                <w:rStyle w:val="Hyperlink"/>
                <w:rFonts w:ascii="Tahoma" w:hAnsi="Tahoma" w:cs="Tahoma"/>
                <w:noProof/>
              </w:rPr>
              <w:t>E1.2 – Opex</w:t>
            </w:r>
            <w:r w:rsidR="0052786D">
              <w:rPr>
                <w:noProof/>
                <w:webHidden/>
              </w:rPr>
              <w:tab/>
            </w:r>
            <w:r w:rsidR="0052786D">
              <w:rPr>
                <w:noProof/>
                <w:webHidden/>
              </w:rPr>
              <w:fldChar w:fldCharType="begin"/>
            </w:r>
            <w:r w:rsidR="0052786D">
              <w:rPr>
                <w:noProof/>
                <w:webHidden/>
              </w:rPr>
              <w:instrText xml:space="preserve"> PAGEREF _Toc57314051 \h </w:instrText>
            </w:r>
            <w:r w:rsidR="0052786D">
              <w:rPr>
                <w:noProof/>
                <w:webHidden/>
              </w:rPr>
            </w:r>
            <w:r w:rsidR="0052786D">
              <w:rPr>
                <w:noProof/>
                <w:webHidden/>
              </w:rPr>
              <w:fldChar w:fldCharType="separate"/>
            </w:r>
            <w:r w:rsidR="0052786D">
              <w:rPr>
                <w:noProof/>
                <w:webHidden/>
              </w:rPr>
              <w:t>14</w:t>
            </w:r>
            <w:r w:rsidR="0052786D">
              <w:rPr>
                <w:noProof/>
                <w:webHidden/>
              </w:rPr>
              <w:fldChar w:fldCharType="end"/>
            </w:r>
          </w:hyperlink>
        </w:p>
        <w:p w14:paraId="3B4B855E" w14:textId="5B958837" w:rsidR="0052786D" w:rsidRDefault="00297570">
          <w:pPr>
            <w:pStyle w:val="TOC2"/>
            <w:tabs>
              <w:tab w:val="right" w:leader="dot" w:pos="9016"/>
            </w:tabs>
            <w:rPr>
              <w:rFonts w:eastAsiaTheme="minorEastAsia"/>
              <w:noProof/>
              <w:lang w:eastAsia="en-AU"/>
            </w:rPr>
          </w:pPr>
          <w:hyperlink w:anchor="_Toc57314052" w:history="1">
            <w:r w:rsidR="0052786D" w:rsidRPr="00E424C8">
              <w:rPr>
                <w:rStyle w:val="Hyperlink"/>
                <w:rFonts w:ascii="Tahoma" w:hAnsi="Tahoma" w:cs="Tahoma"/>
                <w:noProof/>
              </w:rPr>
              <w:t>E1.3 – Capcons</w:t>
            </w:r>
            <w:r w:rsidR="0052786D">
              <w:rPr>
                <w:noProof/>
                <w:webHidden/>
              </w:rPr>
              <w:tab/>
            </w:r>
            <w:r w:rsidR="0052786D">
              <w:rPr>
                <w:noProof/>
                <w:webHidden/>
              </w:rPr>
              <w:fldChar w:fldCharType="begin"/>
            </w:r>
            <w:r w:rsidR="0052786D">
              <w:rPr>
                <w:noProof/>
                <w:webHidden/>
              </w:rPr>
              <w:instrText xml:space="preserve"> PAGEREF _Toc57314052 \h </w:instrText>
            </w:r>
            <w:r w:rsidR="0052786D">
              <w:rPr>
                <w:noProof/>
                <w:webHidden/>
              </w:rPr>
            </w:r>
            <w:r w:rsidR="0052786D">
              <w:rPr>
                <w:noProof/>
                <w:webHidden/>
              </w:rPr>
              <w:fldChar w:fldCharType="separate"/>
            </w:r>
            <w:r w:rsidR="0052786D">
              <w:rPr>
                <w:noProof/>
                <w:webHidden/>
              </w:rPr>
              <w:t>22</w:t>
            </w:r>
            <w:r w:rsidR="0052786D">
              <w:rPr>
                <w:noProof/>
                <w:webHidden/>
              </w:rPr>
              <w:fldChar w:fldCharType="end"/>
            </w:r>
          </w:hyperlink>
        </w:p>
        <w:p w14:paraId="5B484961" w14:textId="7478819D" w:rsidR="0052786D" w:rsidRDefault="00297570">
          <w:pPr>
            <w:pStyle w:val="TOC2"/>
            <w:tabs>
              <w:tab w:val="right" w:leader="dot" w:pos="9016"/>
            </w:tabs>
            <w:rPr>
              <w:rFonts w:eastAsiaTheme="minorEastAsia"/>
              <w:noProof/>
              <w:lang w:eastAsia="en-AU"/>
            </w:rPr>
          </w:pPr>
          <w:hyperlink w:anchor="_Toc57314053" w:history="1">
            <w:r w:rsidR="0052786D" w:rsidRPr="00E424C8">
              <w:rPr>
                <w:rStyle w:val="Hyperlink"/>
                <w:rFonts w:ascii="Tahoma" w:hAnsi="Tahoma" w:cs="Tahoma"/>
                <w:noProof/>
              </w:rPr>
              <w:t>E1.4 - Capitalised Overheads</w:t>
            </w:r>
            <w:r w:rsidR="0052786D">
              <w:rPr>
                <w:noProof/>
                <w:webHidden/>
              </w:rPr>
              <w:tab/>
            </w:r>
            <w:r w:rsidR="0052786D">
              <w:rPr>
                <w:noProof/>
                <w:webHidden/>
              </w:rPr>
              <w:fldChar w:fldCharType="begin"/>
            </w:r>
            <w:r w:rsidR="0052786D">
              <w:rPr>
                <w:noProof/>
                <w:webHidden/>
              </w:rPr>
              <w:instrText xml:space="preserve"> PAGEREF _Toc57314053 \h </w:instrText>
            </w:r>
            <w:r w:rsidR="0052786D">
              <w:rPr>
                <w:noProof/>
                <w:webHidden/>
              </w:rPr>
            </w:r>
            <w:r w:rsidR="0052786D">
              <w:rPr>
                <w:noProof/>
                <w:webHidden/>
              </w:rPr>
              <w:fldChar w:fldCharType="separate"/>
            </w:r>
            <w:r w:rsidR="0052786D">
              <w:rPr>
                <w:noProof/>
                <w:webHidden/>
              </w:rPr>
              <w:t>25</w:t>
            </w:r>
            <w:r w:rsidR="0052786D">
              <w:rPr>
                <w:noProof/>
                <w:webHidden/>
              </w:rPr>
              <w:fldChar w:fldCharType="end"/>
            </w:r>
          </w:hyperlink>
        </w:p>
        <w:p w14:paraId="7F33ED18" w14:textId="5BEB6527" w:rsidR="0052786D" w:rsidRDefault="00297570">
          <w:pPr>
            <w:pStyle w:val="TOC1"/>
            <w:tabs>
              <w:tab w:val="right" w:leader="dot" w:pos="9016"/>
            </w:tabs>
            <w:rPr>
              <w:rFonts w:asciiTheme="minorHAnsi" w:eastAsiaTheme="minorEastAsia" w:hAnsiTheme="minorHAnsi"/>
              <w:noProof/>
              <w:color w:val="auto"/>
              <w:lang w:eastAsia="en-AU"/>
            </w:rPr>
          </w:pPr>
          <w:hyperlink w:anchor="_Toc57314054" w:history="1">
            <w:r w:rsidR="0052786D" w:rsidRPr="00E424C8">
              <w:rPr>
                <w:rStyle w:val="Hyperlink"/>
                <w:rFonts w:cs="Tahoma"/>
                <w:b/>
                <w:noProof/>
              </w:rPr>
              <w:t>E11. Labour</w:t>
            </w:r>
            <w:r w:rsidR="0052786D">
              <w:rPr>
                <w:noProof/>
                <w:webHidden/>
              </w:rPr>
              <w:tab/>
            </w:r>
            <w:r w:rsidR="0052786D">
              <w:rPr>
                <w:noProof/>
                <w:webHidden/>
              </w:rPr>
              <w:fldChar w:fldCharType="begin"/>
            </w:r>
            <w:r w:rsidR="0052786D">
              <w:rPr>
                <w:noProof/>
                <w:webHidden/>
              </w:rPr>
              <w:instrText xml:space="preserve"> PAGEREF _Toc57314054 \h </w:instrText>
            </w:r>
            <w:r w:rsidR="0052786D">
              <w:rPr>
                <w:noProof/>
                <w:webHidden/>
              </w:rPr>
            </w:r>
            <w:r w:rsidR="0052786D">
              <w:rPr>
                <w:noProof/>
                <w:webHidden/>
              </w:rPr>
              <w:fldChar w:fldCharType="separate"/>
            </w:r>
            <w:r w:rsidR="0052786D">
              <w:rPr>
                <w:noProof/>
                <w:webHidden/>
              </w:rPr>
              <w:t>28</w:t>
            </w:r>
            <w:r w:rsidR="0052786D">
              <w:rPr>
                <w:noProof/>
                <w:webHidden/>
              </w:rPr>
              <w:fldChar w:fldCharType="end"/>
            </w:r>
          </w:hyperlink>
        </w:p>
        <w:p w14:paraId="061BB047" w14:textId="7079BE9D" w:rsidR="0052786D" w:rsidRDefault="00297570">
          <w:pPr>
            <w:pStyle w:val="TOC2"/>
            <w:tabs>
              <w:tab w:val="right" w:leader="dot" w:pos="9016"/>
            </w:tabs>
            <w:rPr>
              <w:rFonts w:eastAsiaTheme="minorEastAsia"/>
              <w:noProof/>
              <w:lang w:eastAsia="en-AU"/>
            </w:rPr>
          </w:pPr>
          <w:hyperlink w:anchor="_Toc57314055" w:history="1">
            <w:r w:rsidR="0052786D" w:rsidRPr="00E424C8">
              <w:rPr>
                <w:rStyle w:val="Hyperlink"/>
                <w:rFonts w:ascii="Tahoma" w:hAnsi="Tahoma" w:cs="Tahoma"/>
                <w:noProof/>
              </w:rPr>
              <w:t>E11.3 Labour/Non-Labour Expenditure Split</w:t>
            </w:r>
            <w:r w:rsidR="0052786D">
              <w:rPr>
                <w:noProof/>
                <w:webHidden/>
              </w:rPr>
              <w:tab/>
            </w:r>
            <w:r w:rsidR="0052786D">
              <w:rPr>
                <w:noProof/>
                <w:webHidden/>
              </w:rPr>
              <w:fldChar w:fldCharType="begin"/>
            </w:r>
            <w:r w:rsidR="0052786D">
              <w:rPr>
                <w:noProof/>
                <w:webHidden/>
              </w:rPr>
              <w:instrText xml:space="preserve"> PAGEREF _Toc57314055 \h </w:instrText>
            </w:r>
            <w:r w:rsidR="0052786D">
              <w:rPr>
                <w:noProof/>
                <w:webHidden/>
              </w:rPr>
            </w:r>
            <w:r w:rsidR="0052786D">
              <w:rPr>
                <w:noProof/>
                <w:webHidden/>
              </w:rPr>
              <w:fldChar w:fldCharType="separate"/>
            </w:r>
            <w:r w:rsidR="0052786D">
              <w:rPr>
                <w:noProof/>
                <w:webHidden/>
              </w:rPr>
              <w:t>28</w:t>
            </w:r>
            <w:r w:rsidR="0052786D">
              <w:rPr>
                <w:noProof/>
                <w:webHidden/>
              </w:rPr>
              <w:fldChar w:fldCharType="end"/>
            </w:r>
          </w:hyperlink>
        </w:p>
        <w:p w14:paraId="6F463F53" w14:textId="113D7C46" w:rsidR="0052786D" w:rsidRDefault="00297570">
          <w:pPr>
            <w:pStyle w:val="TOC1"/>
            <w:tabs>
              <w:tab w:val="right" w:leader="dot" w:pos="9016"/>
            </w:tabs>
            <w:rPr>
              <w:rFonts w:asciiTheme="minorHAnsi" w:eastAsiaTheme="minorEastAsia" w:hAnsiTheme="minorHAnsi"/>
              <w:noProof/>
              <w:color w:val="auto"/>
              <w:lang w:eastAsia="en-AU"/>
            </w:rPr>
          </w:pPr>
          <w:hyperlink w:anchor="_Toc57314056" w:history="1">
            <w:r w:rsidR="0052786D" w:rsidRPr="00E424C8">
              <w:rPr>
                <w:rStyle w:val="Hyperlink"/>
                <w:rFonts w:cs="Tahoma"/>
                <w:b/>
                <w:noProof/>
              </w:rPr>
              <w:t>E21. Ancillary Reference Services (ARS)</w:t>
            </w:r>
            <w:r w:rsidR="0052786D">
              <w:rPr>
                <w:noProof/>
                <w:webHidden/>
              </w:rPr>
              <w:tab/>
            </w:r>
            <w:r w:rsidR="0052786D">
              <w:rPr>
                <w:noProof/>
                <w:webHidden/>
              </w:rPr>
              <w:fldChar w:fldCharType="begin"/>
            </w:r>
            <w:r w:rsidR="0052786D">
              <w:rPr>
                <w:noProof/>
                <w:webHidden/>
              </w:rPr>
              <w:instrText xml:space="preserve"> PAGEREF _Toc57314056 \h </w:instrText>
            </w:r>
            <w:r w:rsidR="0052786D">
              <w:rPr>
                <w:noProof/>
                <w:webHidden/>
              </w:rPr>
            </w:r>
            <w:r w:rsidR="0052786D">
              <w:rPr>
                <w:noProof/>
                <w:webHidden/>
              </w:rPr>
              <w:fldChar w:fldCharType="separate"/>
            </w:r>
            <w:r w:rsidR="0052786D">
              <w:rPr>
                <w:noProof/>
                <w:webHidden/>
              </w:rPr>
              <w:t>36</w:t>
            </w:r>
            <w:r w:rsidR="0052786D">
              <w:rPr>
                <w:noProof/>
                <w:webHidden/>
              </w:rPr>
              <w:fldChar w:fldCharType="end"/>
            </w:r>
          </w:hyperlink>
        </w:p>
        <w:p w14:paraId="74F84172" w14:textId="6BE1A58D" w:rsidR="0052786D" w:rsidRDefault="00297570">
          <w:pPr>
            <w:pStyle w:val="TOC2"/>
            <w:tabs>
              <w:tab w:val="right" w:leader="dot" w:pos="9016"/>
            </w:tabs>
            <w:rPr>
              <w:rFonts w:eastAsiaTheme="minorEastAsia"/>
              <w:noProof/>
              <w:lang w:eastAsia="en-AU"/>
            </w:rPr>
          </w:pPr>
          <w:hyperlink w:anchor="_Toc57314057" w:history="1">
            <w:r w:rsidR="0052786D" w:rsidRPr="00E424C8">
              <w:rPr>
                <w:rStyle w:val="Hyperlink"/>
                <w:rFonts w:ascii="Tahoma" w:hAnsi="Tahoma" w:cs="Tahoma"/>
                <w:noProof/>
              </w:rPr>
              <w:t>E21.1 – Volumes</w:t>
            </w:r>
            <w:r w:rsidR="0052786D">
              <w:rPr>
                <w:noProof/>
                <w:webHidden/>
              </w:rPr>
              <w:tab/>
            </w:r>
            <w:r w:rsidR="0052786D">
              <w:rPr>
                <w:noProof/>
                <w:webHidden/>
              </w:rPr>
              <w:fldChar w:fldCharType="begin"/>
            </w:r>
            <w:r w:rsidR="0052786D">
              <w:rPr>
                <w:noProof/>
                <w:webHidden/>
              </w:rPr>
              <w:instrText xml:space="preserve"> PAGEREF _Toc57314057 \h </w:instrText>
            </w:r>
            <w:r w:rsidR="0052786D">
              <w:rPr>
                <w:noProof/>
                <w:webHidden/>
              </w:rPr>
            </w:r>
            <w:r w:rsidR="0052786D">
              <w:rPr>
                <w:noProof/>
                <w:webHidden/>
              </w:rPr>
              <w:fldChar w:fldCharType="separate"/>
            </w:r>
            <w:r w:rsidR="0052786D">
              <w:rPr>
                <w:noProof/>
                <w:webHidden/>
              </w:rPr>
              <w:t>36</w:t>
            </w:r>
            <w:r w:rsidR="0052786D">
              <w:rPr>
                <w:noProof/>
                <w:webHidden/>
              </w:rPr>
              <w:fldChar w:fldCharType="end"/>
            </w:r>
          </w:hyperlink>
        </w:p>
        <w:p w14:paraId="72F39AA3" w14:textId="56798E3B" w:rsidR="0052786D" w:rsidRDefault="00297570">
          <w:pPr>
            <w:pStyle w:val="TOC2"/>
            <w:tabs>
              <w:tab w:val="right" w:leader="dot" w:pos="9016"/>
            </w:tabs>
            <w:rPr>
              <w:rFonts w:eastAsiaTheme="minorEastAsia"/>
              <w:noProof/>
              <w:lang w:eastAsia="en-AU"/>
            </w:rPr>
          </w:pPr>
          <w:hyperlink w:anchor="_Toc57314058" w:history="1">
            <w:r w:rsidR="0052786D" w:rsidRPr="00E424C8">
              <w:rPr>
                <w:rStyle w:val="Hyperlink"/>
                <w:rFonts w:ascii="Tahoma" w:hAnsi="Tahoma" w:cs="Tahoma"/>
                <w:noProof/>
              </w:rPr>
              <w:t>E21.2 – Expenditure</w:t>
            </w:r>
            <w:r w:rsidR="0052786D">
              <w:rPr>
                <w:noProof/>
                <w:webHidden/>
              </w:rPr>
              <w:tab/>
            </w:r>
            <w:r w:rsidR="0052786D">
              <w:rPr>
                <w:noProof/>
                <w:webHidden/>
              </w:rPr>
              <w:fldChar w:fldCharType="begin"/>
            </w:r>
            <w:r w:rsidR="0052786D">
              <w:rPr>
                <w:noProof/>
                <w:webHidden/>
              </w:rPr>
              <w:instrText xml:space="preserve"> PAGEREF _Toc57314058 \h </w:instrText>
            </w:r>
            <w:r w:rsidR="0052786D">
              <w:rPr>
                <w:noProof/>
                <w:webHidden/>
              </w:rPr>
            </w:r>
            <w:r w:rsidR="0052786D">
              <w:rPr>
                <w:noProof/>
                <w:webHidden/>
              </w:rPr>
              <w:fldChar w:fldCharType="separate"/>
            </w:r>
            <w:r w:rsidR="0052786D">
              <w:rPr>
                <w:noProof/>
                <w:webHidden/>
              </w:rPr>
              <w:t>39</w:t>
            </w:r>
            <w:r w:rsidR="0052786D">
              <w:rPr>
                <w:noProof/>
                <w:webHidden/>
              </w:rPr>
              <w:fldChar w:fldCharType="end"/>
            </w:r>
          </w:hyperlink>
        </w:p>
        <w:p w14:paraId="06805289" w14:textId="1F50BEAC" w:rsidR="0052786D" w:rsidRDefault="00297570">
          <w:pPr>
            <w:pStyle w:val="TOC1"/>
            <w:tabs>
              <w:tab w:val="right" w:leader="dot" w:pos="9016"/>
            </w:tabs>
            <w:rPr>
              <w:rFonts w:asciiTheme="minorHAnsi" w:eastAsiaTheme="minorEastAsia" w:hAnsiTheme="minorHAnsi"/>
              <w:noProof/>
              <w:color w:val="auto"/>
              <w:lang w:eastAsia="en-AU"/>
            </w:rPr>
          </w:pPr>
          <w:hyperlink w:anchor="_Toc57314059" w:history="1">
            <w:r w:rsidR="0052786D" w:rsidRPr="00E424C8">
              <w:rPr>
                <w:rStyle w:val="Hyperlink"/>
                <w:rFonts w:cs="Tahoma"/>
                <w:b/>
                <w:noProof/>
              </w:rPr>
              <w:t>N1. Demand</w:t>
            </w:r>
            <w:r w:rsidR="0052786D">
              <w:rPr>
                <w:noProof/>
                <w:webHidden/>
              </w:rPr>
              <w:tab/>
            </w:r>
            <w:r w:rsidR="0052786D">
              <w:rPr>
                <w:noProof/>
                <w:webHidden/>
              </w:rPr>
              <w:fldChar w:fldCharType="begin"/>
            </w:r>
            <w:r w:rsidR="0052786D">
              <w:rPr>
                <w:noProof/>
                <w:webHidden/>
              </w:rPr>
              <w:instrText xml:space="preserve"> PAGEREF _Toc57314059 \h </w:instrText>
            </w:r>
            <w:r w:rsidR="0052786D">
              <w:rPr>
                <w:noProof/>
                <w:webHidden/>
              </w:rPr>
            </w:r>
            <w:r w:rsidR="0052786D">
              <w:rPr>
                <w:noProof/>
                <w:webHidden/>
              </w:rPr>
              <w:fldChar w:fldCharType="separate"/>
            </w:r>
            <w:r w:rsidR="0052786D">
              <w:rPr>
                <w:noProof/>
                <w:webHidden/>
              </w:rPr>
              <w:t>42</w:t>
            </w:r>
            <w:r w:rsidR="0052786D">
              <w:rPr>
                <w:noProof/>
                <w:webHidden/>
              </w:rPr>
              <w:fldChar w:fldCharType="end"/>
            </w:r>
          </w:hyperlink>
        </w:p>
        <w:p w14:paraId="03EAF3DE" w14:textId="062B3F51" w:rsidR="0052786D" w:rsidRDefault="00297570">
          <w:pPr>
            <w:pStyle w:val="TOC2"/>
            <w:tabs>
              <w:tab w:val="right" w:leader="dot" w:pos="9016"/>
            </w:tabs>
            <w:rPr>
              <w:rFonts w:eastAsiaTheme="minorEastAsia"/>
              <w:noProof/>
              <w:lang w:eastAsia="en-AU"/>
            </w:rPr>
          </w:pPr>
          <w:hyperlink w:anchor="_Toc57314060" w:history="1">
            <w:r w:rsidR="0052786D" w:rsidRPr="00E424C8">
              <w:rPr>
                <w:rStyle w:val="Hyperlink"/>
                <w:rFonts w:ascii="Tahoma" w:hAnsi="Tahoma" w:cs="Tahoma"/>
                <w:noProof/>
              </w:rPr>
              <w:t>N1.1 – Demand – by Customer Type</w:t>
            </w:r>
            <w:r w:rsidR="0052786D">
              <w:rPr>
                <w:noProof/>
                <w:webHidden/>
              </w:rPr>
              <w:tab/>
            </w:r>
            <w:r w:rsidR="0052786D">
              <w:rPr>
                <w:noProof/>
                <w:webHidden/>
              </w:rPr>
              <w:fldChar w:fldCharType="begin"/>
            </w:r>
            <w:r w:rsidR="0052786D">
              <w:rPr>
                <w:noProof/>
                <w:webHidden/>
              </w:rPr>
              <w:instrText xml:space="preserve"> PAGEREF _Toc57314060 \h </w:instrText>
            </w:r>
            <w:r w:rsidR="0052786D">
              <w:rPr>
                <w:noProof/>
                <w:webHidden/>
              </w:rPr>
            </w:r>
            <w:r w:rsidR="0052786D">
              <w:rPr>
                <w:noProof/>
                <w:webHidden/>
              </w:rPr>
              <w:fldChar w:fldCharType="separate"/>
            </w:r>
            <w:r w:rsidR="0052786D">
              <w:rPr>
                <w:noProof/>
                <w:webHidden/>
              </w:rPr>
              <w:t>42</w:t>
            </w:r>
            <w:r w:rsidR="0052786D">
              <w:rPr>
                <w:noProof/>
                <w:webHidden/>
              </w:rPr>
              <w:fldChar w:fldCharType="end"/>
            </w:r>
          </w:hyperlink>
        </w:p>
        <w:p w14:paraId="679A318F" w14:textId="6B1A5192" w:rsidR="0052786D" w:rsidRDefault="00297570">
          <w:pPr>
            <w:pStyle w:val="TOC2"/>
            <w:tabs>
              <w:tab w:val="right" w:leader="dot" w:pos="9016"/>
            </w:tabs>
            <w:rPr>
              <w:rFonts w:eastAsiaTheme="minorEastAsia"/>
              <w:noProof/>
              <w:lang w:eastAsia="en-AU"/>
            </w:rPr>
          </w:pPr>
          <w:hyperlink w:anchor="_Toc57314061" w:history="1">
            <w:r w:rsidR="0052786D" w:rsidRPr="00E424C8">
              <w:rPr>
                <w:rStyle w:val="Hyperlink"/>
                <w:rFonts w:ascii="Tahoma" w:hAnsi="Tahoma" w:cs="Tahoma"/>
                <w:noProof/>
              </w:rPr>
              <w:t>N1.2 – Demand – by Tariff</w:t>
            </w:r>
            <w:r w:rsidR="0052786D">
              <w:rPr>
                <w:noProof/>
                <w:webHidden/>
              </w:rPr>
              <w:tab/>
            </w:r>
            <w:r w:rsidR="0052786D">
              <w:rPr>
                <w:noProof/>
                <w:webHidden/>
              </w:rPr>
              <w:fldChar w:fldCharType="begin"/>
            </w:r>
            <w:r w:rsidR="0052786D">
              <w:rPr>
                <w:noProof/>
                <w:webHidden/>
              </w:rPr>
              <w:instrText xml:space="preserve"> PAGEREF _Toc57314061 \h </w:instrText>
            </w:r>
            <w:r w:rsidR="0052786D">
              <w:rPr>
                <w:noProof/>
                <w:webHidden/>
              </w:rPr>
            </w:r>
            <w:r w:rsidR="0052786D">
              <w:rPr>
                <w:noProof/>
                <w:webHidden/>
              </w:rPr>
              <w:fldChar w:fldCharType="separate"/>
            </w:r>
            <w:r w:rsidR="0052786D">
              <w:rPr>
                <w:noProof/>
                <w:webHidden/>
              </w:rPr>
              <w:t>47</w:t>
            </w:r>
            <w:r w:rsidR="0052786D">
              <w:rPr>
                <w:noProof/>
                <w:webHidden/>
              </w:rPr>
              <w:fldChar w:fldCharType="end"/>
            </w:r>
          </w:hyperlink>
        </w:p>
        <w:p w14:paraId="216C37B5" w14:textId="759526E2" w:rsidR="0052786D" w:rsidRDefault="00297570">
          <w:pPr>
            <w:pStyle w:val="TOC1"/>
            <w:tabs>
              <w:tab w:val="right" w:leader="dot" w:pos="9016"/>
            </w:tabs>
            <w:rPr>
              <w:rFonts w:asciiTheme="minorHAnsi" w:eastAsiaTheme="minorEastAsia" w:hAnsiTheme="minorHAnsi"/>
              <w:noProof/>
              <w:color w:val="auto"/>
              <w:lang w:eastAsia="en-AU"/>
            </w:rPr>
          </w:pPr>
          <w:hyperlink w:anchor="_Toc57314062" w:history="1">
            <w:r w:rsidR="0052786D" w:rsidRPr="00E424C8">
              <w:rPr>
                <w:rStyle w:val="Hyperlink"/>
                <w:rFonts w:cs="Tahoma"/>
                <w:b/>
                <w:noProof/>
              </w:rPr>
              <w:t>N2. Network Characteristics</w:t>
            </w:r>
            <w:r w:rsidR="0052786D">
              <w:rPr>
                <w:noProof/>
                <w:webHidden/>
              </w:rPr>
              <w:tab/>
            </w:r>
            <w:r w:rsidR="0052786D">
              <w:rPr>
                <w:noProof/>
                <w:webHidden/>
              </w:rPr>
              <w:fldChar w:fldCharType="begin"/>
            </w:r>
            <w:r w:rsidR="0052786D">
              <w:rPr>
                <w:noProof/>
                <w:webHidden/>
              </w:rPr>
              <w:instrText xml:space="preserve"> PAGEREF _Toc57314062 \h </w:instrText>
            </w:r>
            <w:r w:rsidR="0052786D">
              <w:rPr>
                <w:noProof/>
                <w:webHidden/>
              </w:rPr>
            </w:r>
            <w:r w:rsidR="0052786D">
              <w:rPr>
                <w:noProof/>
                <w:webHidden/>
              </w:rPr>
              <w:fldChar w:fldCharType="separate"/>
            </w:r>
            <w:r w:rsidR="0052786D">
              <w:rPr>
                <w:noProof/>
                <w:webHidden/>
              </w:rPr>
              <w:t>49</w:t>
            </w:r>
            <w:r w:rsidR="0052786D">
              <w:rPr>
                <w:noProof/>
                <w:webHidden/>
              </w:rPr>
              <w:fldChar w:fldCharType="end"/>
            </w:r>
          </w:hyperlink>
        </w:p>
        <w:p w14:paraId="4FA1DECA" w14:textId="704021DF" w:rsidR="0052786D" w:rsidRDefault="00297570">
          <w:pPr>
            <w:pStyle w:val="TOC2"/>
            <w:tabs>
              <w:tab w:val="right" w:leader="dot" w:pos="9016"/>
            </w:tabs>
            <w:rPr>
              <w:rFonts w:eastAsiaTheme="minorEastAsia"/>
              <w:noProof/>
              <w:lang w:eastAsia="en-AU"/>
            </w:rPr>
          </w:pPr>
          <w:hyperlink w:anchor="_Toc57314063" w:history="1">
            <w:r w:rsidR="0052786D" w:rsidRPr="00E424C8">
              <w:rPr>
                <w:rStyle w:val="Hyperlink"/>
                <w:rFonts w:ascii="Tahoma" w:hAnsi="Tahoma" w:cs="Tahoma"/>
                <w:noProof/>
              </w:rPr>
              <w:t>N2.1 – Network Length – by Pressure and Asset Type</w:t>
            </w:r>
            <w:r w:rsidR="0052786D">
              <w:rPr>
                <w:noProof/>
                <w:webHidden/>
              </w:rPr>
              <w:tab/>
            </w:r>
            <w:r w:rsidR="0052786D">
              <w:rPr>
                <w:noProof/>
                <w:webHidden/>
              </w:rPr>
              <w:fldChar w:fldCharType="begin"/>
            </w:r>
            <w:r w:rsidR="0052786D">
              <w:rPr>
                <w:noProof/>
                <w:webHidden/>
              </w:rPr>
              <w:instrText xml:space="preserve"> PAGEREF _Toc57314063 \h </w:instrText>
            </w:r>
            <w:r w:rsidR="0052786D">
              <w:rPr>
                <w:noProof/>
                <w:webHidden/>
              </w:rPr>
            </w:r>
            <w:r w:rsidR="0052786D">
              <w:rPr>
                <w:noProof/>
                <w:webHidden/>
              </w:rPr>
              <w:fldChar w:fldCharType="separate"/>
            </w:r>
            <w:r w:rsidR="0052786D">
              <w:rPr>
                <w:noProof/>
                <w:webHidden/>
              </w:rPr>
              <w:t>49</w:t>
            </w:r>
            <w:r w:rsidR="0052786D">
              <w:rPr>
                <w:noProof/>
                <w:webHidden/>
              </w:rPr>
              <w:fldChar w:fldCharType="end"/>
            </w:r>
          </w:hyperlink>
        </w:p>
        <w:p w14:paraId="0FECC287" w14:textId="38DCB4C7" w:rsidR="0052786D" w:rsidRDefault="00297570">
          <w:pPr>
            <w:pStyle w:val="TOC2"/>
            <w:tabs>
              <w:tab w:val="right" w:leader="dot" w:pos="9016"/>
            </w:tabs>
            <w:rPr>
              <w:rFonts w:eastAsiaTheme="minorEastAsia"/>
              <w:noProof/>
              <w:lang w:eastAsia="en-AU"/>
            </w:rPr>
          </w:pPr>
          <w:hyperlink w:anchor="_Toc57314064" w:history="1">
            <w:r w:rsidR="0052786D" w:rsidRPr="00E424C8">
              <w:rPr>
                <w:rStyle w:val="Hyperlink"/>
                <w:rFonts w:ascii="Tahoma" w:hAnsi="Tahoma" w:cs="Tahoma"/>
                <w:noProof/>
              </w:rPr>
              <w:t>N2.2 – City Gates/Regulators</w:t>
            </w:r>
            <w:r w:rsidR="0052786D">
              <w:rPr>
                <w:noProof/>
                <w:webHidden/>
              </w:rPr>
              <w:tab/>
            </w:r>
            <w:r w:rsidR="0052786D">
              <w:rPr>
                <w:noProof/>
                <w:webHidden/>
              </w:rPr>
              <w:fldChar w:fldCharType="begin"/>
            </w:r>
            <w:r w:rsidR="0052786D">
              <w:rPr>
                <w:noProof/>
                <w:webHidden/>
              </w:rPr>
              <w:instrText xml:space="preserve"> PAGEREF _Toc57314064 \h </w:instrText>
            </w:r>
            <w:r w:rsidR="0052786D">
              <w:rPr>
                <w:noProof/>
                <w:webHidden/>
              </w:rPr>
            </w:r>
            <w:r w:rsidR="0052786D">
              <w:rPr>
                <w:noProof/>
                <w:webHidden/>
              </w:rPr>
              <w:fldChar w:fldCharType="separate"/>
            </w:r>
            <w:r w:rsidR="0052786D">
              <w:rPr>
                <w:noProof/>
                <w:webHidden/>
              </w:rPr>
              <w:t>50</w:t>
            </w:r>
            <w:r w:rsidR="0052786D">
              <w:rPr>
                <w:noProof/>
                <w:webHidden/>
              </w:rPr>
              <w:fldChar w:fldCharType="end"/>
            </w:r>
          </w:hyperlink>
        </w:p>
        <w:p w14:paraId="08EF720A" w14:textId="335968ED" w:rsidR="0052786D" w:rsidRDefault="00297570">
          <w:pPr>
            <w:pStyle w:val="TOC1"/>
            <w:tabs>
              <w:tab w:val="right" w:leader="dot" w:pos="9016"/>
            </w:tabs>
            <w:rPr>
              <w:rFonts w:asciiTheme="minorHAnsi" w:eastAsiaTheme="minorEastAsia" w:hAnsiTheme="minorHAnsi"/>
              <w:noProof/>
              <w:color w:val="auto"/>
              <w:lang w:eastAsia="en-AU"/>
            </w:rPr>
          </w:pPr>
          <w:hyperlink w:anchor="_Toc57314065" w:history="1">
            <w:r w:rsidR="0052786D" w:rsidRPr="00E424C8">
              <w:rPr>
                <w:rStyle w:val="Hyperlink"/>
                <w:rFonts w:cs="Tahoma"/>
                <w:b/>
                <w:noProof/>
              </w:rPr>
              <w:t>S1. Customer Numbers</w:t>
            </w:r>
            <w:r w:rsidR="0052786D">
              <w:rPr>
                <w:noProof/>
                <w:webHidden/>
              </w:rPr>
              <w:tab/>
            </w:r>
            <w:r w:rsidR="0052786D">
              <w:rPr>
                <w:noProof/>
                <w:webHidden/>
              </w:rPr>
              <w:fldChar w:fldCharType="begin"/>
            </w:r>
            <w:r w:rsidR="0052786D">
              <w:rPr>
                <w:noProof/>
                <w:webHidden/>
              </w:rPr>
              <w:instrText xml:space="preserve"> PAGEREF _Toc57314065 \h </w:instrText>
            </w:r>
            <w:r w:rsidR="0052786D">
              <w:rPr>
                <w:noProof/>
                <w:webHidden/>
              </w:rPr>
            </w:r>
            <w:r w:rsidR="0052786D">
              <w:rPr>
                <w:noProof/>
                <w:webHidden/>
              </w:rPr>
              <w:fldChar w:fldCharType="separate"/>
            </w:r>
            <w:r w:rsidR="0052786D">
              <w:rPr>
                <w:noProof/>
                <w:webHidden/>
              </w:rPr>
              <w:t>51</w:t>
            </w:r>
            <w:r w:rsidR="0052786D">
              <w:rPr>
                <w:noProof/>
                <w:webHidden/>
              </w:rPr>
              <w:fldChar w:fldCharType="end"/>
            </w:r>
          </w:hyperlink>
        </w:p>
        <w:p w14:paraId="64F69790" w14:textId="2C78BE78" w:rsidR="0052786D" w:rsidRDefault="00297570">
          <w:pPr>
            <w:pStyle w:val="TOC2"/>
            <w:tabs>
              <w:tab w:val="right" w:leader="dot" w:pos="9016"/>
            </w:tabs>
            <w:rPr>
              <w:rFonts w:eastAsiaTheme="minorEastAsia"/>
              <w:noProof/>
              <w:lang w:eastAsia="en-AU"/>
            </w:rPr>
          </w:pPr>
          <w:hyperlink w:anchor="_Toc57314066" w:history="1">
            <w:r w:rsidR="0052786D" w:rsidRPr="00E424C8">
              <w:rPr>
                <w:rStyle w:val="Hyperlink"/>
                <w:rFonts w:ascii="Tahoma" w:hAnsi="Tahoma" w:cs="Tahoma"/>
                <w:noProof/>
              </w:rPr>
              <w:t>S1.1 – Customer Numbers – by Customer Type</w:t>
            </w:r>
            <w:r w:rsidR="0052786D">
              <w:rPr>
                <w:noProof/>
                <w:webHidden/>
              </w:rPr>
              <w:tab/>
            </w:r>
            <w:r w:rsidR="0052786D">
              <w:rPr>
                <w:noProof/>
                <w:webHidden/>
              </w:rPr>
              <w:fldChar w:fldCharType="begin"/>
            </w:r>
            <w:r w:rsidR="0052786D">
              <w:rPr>
                <w:noProof/>
                <w:webHidden/>
              </w:rPr>
              <w:instrText xml:space="preserve"> PAGEREF _Toc57314066 \h </w:instrText>
            </w:r>
            <w:r w:rsidR="0052786D">
              <w:rPr>
                <w:noProof/>
                <w:webHidden/>
              </w:rPr>
            </w:r>
            <w:r w:rsidR="0052786D">
              <w:rPr>
                <w:noProof/>
                <w:webHidden/>
              </w:rPr>
              <w:fldChar w:fldCharType="separate"/>
            </w:r>
            <w:r w:rsidR="0052786D">
              <w:rPr>
                <w:noProof/>
                <w:webHidden/>
              </w:rPr>
              <w:t>51</w:t>
            </w:r>
            <w:r w:rsidR="0052786D">
              <w:rPr>
                <w:noProof/>
                <w:webHidden/>
              </w:rPr>
              <w:fldChar w:fldCharType="end"/>
            </w:r>
          </w:hyperlink>
        </w:p>
        <w:p w14:paraId="63215669" w14:textId="1FA2CF4F" w:rsidR="0052786D" w:rsidRDefault="00297570">
          <w:pPr>
            <w:pStyle w:val="TOC2"/>
            <w:tabs>
              <w:tab w:val="right" w:leader="dot" w:pos="9016"/>
            </w:tabs>
            <w:rPr>
              <w:rFonts w:eastAsiaTheme="minorEastAsia"/>
              <w:noProof/>
              <w:lang w:eastAsia="en-AU"/>
            </w:rPr>
          </w:pPr>
          <w:hyperlink w:anchor="_Toc57314067" w:history="1">
            <w:r w:rsidR="0052786D" w:rsidRPr="00E424C8">
              <w:rPr>
                <w:rStyle w:val="Hyperlink"/>
                <w:rFonts w:ascii="Tahoma" w:hAnsi="Tahoma" w:cs="Tahoma"/>
                <w:noProof/>
              </w:rPr>
              <w:t>S1.2 - Customer Numbers – by Tariff</w:t>
            </w:r>
            <w:r w:rsidR="0052786D">
              <w:rPr>
                <w:noProof/>
                <w:webHidden/>
              </w:rPr>
              <w:tab/>
            </w:r>
            <w:r w:rsidR="0052786D">
              <w:rPr>
                <w:noProof/>
                <w:webHidden/>
              </w:rPr>
              <w:fldChar w:fldCharType="begin"/>
            </w:r>
            <w:r w:rsidR="0052786D">
              <w:rPr>
                <w:noProof/>
                <w:webHidden/>
              </w:rPr>
              <w:instrText xml:space="preserve"> PAGEREF _Toc57314067 \h </w:instrText>
            </w:r>
            <w:r w:rsidR="0052786D">
              <w:rPr>
                <w:noProof/>
                <w:webHidden/>
              </w:rPr>
            </w:r>
            <w:r w:rsidR="0052786D">
              <w:rPr>
                <w:noProof/>
                <w:webHidden/>
              </w:rPr>
              <w:fldChar w:fldCharType="separate"/>
            </w:r>
            <w:r w:rsidR="0052786D">
              <w:rPr>
                <w:noProof/>
                <w:webHidden/>
              </w:rPr>
              <w:t>54</w:t>
            </w:r>
            <w:r w:rsidR="0052786D">
              <w:rPr>
                <w:noProof/>
                <w:webHidden/>
              </w:rPr>
              <w:fldChar w:fldCharType="end"/>
            </w:r>
          </w:hyperlink>
        </w:p>
        <w:p w14:paraId="10FCF7F4" w14:textId="7FECD7F0" w:rsidR="0052786D" w:rsidRDefault="00297570">
          <w:pPr>
            <w:pStyle w:val="TOC1"/>
            <w:tabs>
              <w:tab w:val="right" w:leader="dot" w:pos="9016"/>
            </w:tabs>
            <w:rPr>
              <w:rFonts w:asciiTheme="minorHAnsi" w:eastAsiaTheme="minorEastAsia" w:hAnsiTheme="minorHAnsi"/>
              <w:noProof/>
              <w:color w:val="auto"/>
              <w:lang w:eastAsia="en-AU"/>
            </w:rPr>
          </w:pPr>
          <w:hyperlink w:anchor="_Toc57314068" w:history="1">
            <w:r w:rsidR="0052786D" w:rsidRPr="00E424C8">
              <w:rPr>
                <w:rStyle w:val="Hyperlink"/>
                <w:rFonts w:cs="Tahoma"/>
                <w:b/>
                <w:noProof/>
              </w:rPr>
              <w:t>S10. Network Quality</w:t>
            </w:r>
            <w:r w:rsidR="0052786D">
              <w:rPr>
                <w:noProof/>
                <w:webHidden/>
              </w:rPr>
              <w:tab/>
            </w:r>
            <w:r w:rsidR="0052786D">
              <w:rPr>
                <w:noProof/>
                <w:webHidden/>
              </w:rPr>
              <w:fldChar w:fldCharType="begin"/>
            </w:r>
            <w:r w:rsidR="0052786D">
              <w:rPr>
                <w:noProof/>
                <w:webHidden/>
              </w:rPr>
              <w:instrText xml:space="preserve"> PAGEREF _Toc57314068 \h </w:instrText>
            </w:r>
            <w:r w:rsidR="0052786D">
              <w:rPr>
                <w:noProof/>
                <w:webHidden/>
              </w:rPr>
            </w:r>
            <w:r w:rsidR="0052786D">
              <w:rPr>
                <w:noProof/>
                <w:webHidden/>
              </w:rPr>
              <w:fldChar w:fldCharType="separate"/>
            </w:r>
            <w:r w:rsidR="0052786D">
              <w:rPr>
                <w:noProof/>
                <w:webHidden/>
              </w:rPr>
              <w:t>57</w:t>
            </w:r>
            <w:r w:rsidR="0052786D">
              <w:rPr>
                <w:noProof/>
                <w:webHidden/>
              </w:rPr>
              <w:fldChar w:fldCharType="end"/>
            </w:r>
          </w:hyperlink>
        </w:p>
        <w:p w14:paraId="53C0FE24" w14:textId="50E84C87" w:rsidR="0052786D" w:rsidRDefault="00297570">
          <w:pPr>
            <w:pStyle w:val="TOC2"/>
            <w:tabs>
              <w:tab w:val="right" w:leader="dot" w:pos="9016"/>
            </w:tabs>
            <w:rPr>
              <w:rFonts w:eastAsiaTheme="minorEastAsia"/>
              <w:noProof/>
              <w:lang w:eastAsia="en-AU"/>
            </w:rPr>
          </w:pPr>
          <w:hyperlink w:anchor="_Toc57314069" w:history="1">
            <w:r w:rsidR="0052786D" w:rsidRPr="00E424C8">
              <w:rPr>
                <w:rStyle w:val="Hyperlink"/>
                <w:rFonts w:ascii="Tahoma" w:hAnsi="Tahoma" w:cs="Tahoma"/>
                <w:noProof/>
              </w:rPr>
              <w:t>S10.1 – Pressure Faults</w:t>
            </w:r>
            <w:r w:rsidR="0052786D">
              <w:rPr>
                <w:noProof/>
                <w:webHidden/>
              </w:rPr>
              <w:tab/>
            </w:r>
            <w:r w:rsidR="0052786D">
              <w:rPr>
                <w:noProof/>
                <w:webHidden/>
              </w:rPr>
              <w:fldChar w:fldCharType="begin"/>
            </w:r>
            <w:r w:rsidR="0052786D">
              <w:rPr>
                <w:noProof/>
                <w:webHidden/>
              </w:rPr>
              <w:instrText xml:space="preserve"> PAGEREF _Toc57314069 \h </w:instrText>
            </w:r>
            <w:r w:rsidR="0052786D">
              <w:rPr>
                <w:noProof/>
                <w:webHidden/>
              </w:rPr>
            </w:r>
            <w:r w:rsidR="0052786D">
              <w:rPr>
                <w:noProof/>
                <w:webHidden/>
              </w:rPr>
              <w:fldChar w:fldCharType="separate"/>
            </w:r>
            <w:r w:rsidR="0052786D">
              <w:rPr>
                <w:noProof/>
                <w:webHidden/>
              </w:rPr>
              <w:t>57</w:t>
            </w:r>
            <w:r w:rsidR="0052786D">
              <w:rPr>
                <w:noProof/>
                <w:webHidden/>
              </w:rPr>
              <w:fldChar w:fldCharType="end"/>
            </w:r>
          </w:hyperlink>
        </w:p>
        <w:p w14:paraId="2DE29541" w14:textId="187F0AAA" w:rsidR="0052786D" w:rsidRDefault="00297570">
          <w:pPr>
            <w:pStyle w:val="TOC1"/>
            <w:tabs>
              <w:tab w:val="right" w:leader="dot" w:pos="9016"/>
            </w:tabs>
            <w:rPr>
              <w:rFonts w:asciiTheme="minorHAnsi" w:eastAsiaTheme="minorEastAsia" w:hAnsiTheme="minorHAnsi"/>
              <w:noProof/>
              <w:color w:val="auto"/>
              <w:lang w:eastAsia="en-AU"/>
            </w:rPr>
          </w:pPr>
          <w:hyperlink w:anchor="_Toc57314070" w:history="1">
            <w:r w:rsidR="0052786D" w:rsidRPr="00E424C8">
              <w:rPr>
                <w:rStyle w:val="Hyperlink"/>
                <w:rFonts w:cs="Tahoma"/>
                <w:b/>
                <w:noProof/>
              </w:rPr>
              <w:t>S11. Network Reliability</w:t>
            </w:r>
            <w:r w:rsidR="0052786D">
              <w:rPr>
                <w:noProof/>
                <w:webHidden/>
              </w:rPr>
              <w:tab/>
            </w:r>
            <w:r w:rsidR="0052786D">
              <w:rPr>
                <w:noProof/>
                <w:webHidden/>
              </w:rPr>
              <w:fldChar w:fldCharType="begin"/>
            </w:r>
            <w:r w:rsidR="0052786D">
              <w:rPr>
                <w:noProof/>
                <w:webHidden/>
              </w:rPr>
              <w:instrText xml:space="preserve"> PAGEREF _Toc57314070 \h </w:instrText>
            </w:r>
            <w:r w:rsidR="0052786D">
              <w:rPr>
                <w:noProof/>
                <w:webHidden/>
              </w:rPr>
            </w:r>
            <w:r w:rsidR="0052786D">
              <w:rPr>
                <w:noProof/>
                <w:webHidden/>
              </w:rPr>
              <w:fldChar w:fldCharType="separate"/>
            </w:r>
            <w:r w:rsidR="0052786D">
              <w:rPr>
                <w:noProof/>
                <w:webHidden/>
              </w:rPr>
              <w:t>59</w:t>
            </w:r>
            <w:r w:rsidR="0052786D">
              <w:rPr>
                <w:noProof/>
                <w:webHidden/>
              </w:rPr>
              <w:fldChar w:fldCharType="end"/>
            </w:r>
          </w:hyperlink>
        </w:p>
        <w:p w14:paraId="6884A0D9" w14:textId="7F1BBADC" w:rsidR="0052786D" w:rsidRDefault="00297570">
          <w:pPr>
            <w:pStyle w:val="TOC2"/>
            <w:tabs>
              <w:tab w:val="right" w:leader="dot" w:pos="9016"/>
            </w:tabs>
            <w:rPr>
              <w:rFonts w:eastAsiaTheme="minorEastAsia"/>
              <w:noProof/>
              <w:lang w:eastAsia="en-AU"/>
            </w:rPr>
          </w:pPr>
          <w:hyperlink w:anchor="_Toc57314071" w:history="1">
            <w:r w:rsidR="0052786D" w:rsidRPr="00E424C8">
              <w:rPr>
                <w:rStyle w:val="Hyperlink"/>
                <w:rFonts w:ascii="Tahoma" w:hAnsi="Tahoma" w:cs="Tahoma"/>
                <w:noProof/>
              </w:rPr>
              <w:t>S11.1 – Network Outages</w:t>
            </w:r>
            <w:r w:rsidR="0052786D">
              <w:rPr>
                <w:noProof/>
                <w:webHidden/>
              </w:rPr>
              <w:tab/>
            </w:r>
            <w:r w:rsidR="0052786D">
              <w:rPr>
                <w:noProof/>
                <w:webHidden/>
              </w:rPr>
              <w:fldChar w:fldCharType="begin"/>
            </w:r>
            <w:r w:rsidR="0052786D">
              <w:rPr>
                <w:noProof/>
                <w:webHidden/>
              </w:rPr>
              <w:instrText xml:space="preserve"> PAGEREF _Toc57314071 \h </w:instrText>
            </w:r>
            <w:r w:rsidR="0052786D">
              <w:rPr>
                <w:noProof/>
                <w:webHidden/>
              </w:rPr>
            </w:r>
            <w:r w:rsidR="0052786D">
              <w:rPr>
                <w:noProof/>
                <w:webHidden/>
              </w:rPr>
              <w:fldChar w:fldCharType="separate"/>
            </w:r>
            <w:r w:rsidR="0052786D">
              <w:rPr>
                <w:noProof/>
                <w:webHidden/>
              </w:rPr>
              <w:t>59</w:t>
            </w:r>
            <w:r w:rsidR="0052786D">
              <w:rPr>
                <w:noProof/>
                <w:webHidden/>
              </w:rPr>
              <w:fldChar w:fldCharType="end"/>
            </w:r>
          </w:hyperlink>
        </w:p>
        <w:p w14:paraId="431B948D" w14:textId="464DB8EE" w:rsidR="0052786D" w:rsidRDefault="00297570">
          <w:pPr>
            <w:pStyle w:val="TOC2"/>
            <w:tabs>
              <w:tab w:val="right" w:leader="dot" w:pos="9016"/>
            </w:tabs>
            <w:rPr>
              <w:rFonts w:eastAsiaTheme="minorEastAsia"/>
              <w:noProof/>
              <w:lang w:eastAsia="en-AU"/>
            </w:rPr>
          </w:pPr>
          <w:hyperlink w:anchor="_Toc57314072" w:history="1">
            <w:r w:rsidR="0052786D" w:rsidRPr="00E424C8">
              <w:rPr>
                <w:rStyle w:val="Hyperlink"/>
                <w:rFonts w:ascii="Tahoma" w:hAnsi="Tahoma" w:cs="Tahoma"/>
                <w:noProof/>
              </w:rPr>
              <w:t>S11.2 – Leaks – by Asset Type and Cause of Leak</w:t>
            </w:r>
            <w:r w:rsidR="0052786D">
              <w:rPr>
                <w:noProof/>
                <w:webHidden/>
              </w:rPr>
              <w:tab/>
            </w:r>
            <w:r w:rsidR="0052786D">
              <w:rPr>
                <w:noProof/>
                <w:webHidden/>
              </w:rPr>
              <w:fldChar w:fldCharType="begin"/>
            </w:r>
            <w:r w:rsidR="0052786D">
              <w:rPr>
                <w:noProof/>
                <w:webHidden/>
              </w:rPr>
              <w:instrText xml:space="preserve"> PAGEREF _Toc57314072 \h </w:instrText>
            </w:r>
            <w:r w:rsidR="0052786D">
              <w:rPr>
                <w:noProof/>
                <w:webHidden/>
              </w:rPr>
            </w:r>
            <w:r w:rsidR="0052786D">
              <w:rPr>
                <w:noProof/>
                <w:webHidden/>
              </w:rPr>
              <w:fldChar w:fldCharType="separate"/>
            </w:r>
            <w:r w:rsidR="0052786D">
              <w:rPr>
                <w:noProof/>
                <w:webHidden/>
              </w:rPr>
              <w:t>61</w:t>
            </w:r>
            <w:r w:rsidR="0052786D">
              <w:rPr>
                <w:noProof/>
                <w:webHidden/>
              </w:rPr>
              <w:fldChar w:fldCharType="end"/>
            </w:r>
          </w:hyperlink>
        </w:p>
        <w:p w14:paraId="141EB865" w14:textId="5A4A73B4" w:rsidR="0052786D" w:rsidRDefault="00297570">
          <w:pPr>
            <w:pStyle w:val="TOC2"/>
            <w:tabs>
              <w:tab w:val="right" w:leader="dot" w:pos="9016"/>
            </w:tabs>
            <w:rPr>
              <w:rFonts w:eastAsiaTheme="minorEastAsia"/>
              <w:noProof/>
              <w:lang w:eastAsia="en-AU"/>
            </w:rPr>
          </w:pPr>
          <w:hyperlink w:anchor="_Toc57314073" w:history="1">
            <w:r w:rsidR="0052786D" w:rsidRPr="00E424C8">
              <w:rPr>
                <w:rStyle w:val="Hyperlink"/>
                <w:rFonts w:ascii="Tahoma" w:hAnsi="Tahoma" w:cs="Tahoma"/>
                <w:noProof/>
              </w:rPr>
              <w:t>S11.3 – Unaccounted for Gas – Transmission and Distribution</w:t>
            </w:r>
            <w:r w:rsidR="0052786D">
              <w:rPr>
                <w:noProof/>
                <w:webHidden/>
              </w:rPr>
              <w:tab/>
            </w:r>
            <w:r w:rsidR="0052786D">
              <w:rPr>
                <w:noProof/>
                <w:webHidden/>
              </w:rPr>
              <w:fldChar w:fldCharType="begin"/>
            </w:r>
            <w:r w:rsidR="0052786D">
              <w:rPr>
                <w:noProof/>
                <w:webHidden/>
              </w:rPr>
              <w:instrText xml:space="preserve"> PAGEREF _Toc57314073 \h </w:instrText>
            </w:r>
            <w:r w:rsidR="0052786D">
              <w:rPr>
                <w:noProof/>
                <w:webHidden/>
              </w:rPr>
            </w:r>
            <w:r w:rsidR="0052786D">
              <w:rPr>
                <w:noProof/>
                <w:webHidden/>
              </w:rPr>
              <w:fldChar w:fldCharType="separate"/>
            </w:r>
            <w:r w:rsidR="0052786D">
              <w:rPr>
                <w:noProof/>
                <w:webHidden/>
              </w:rPr>
              <w:t>63</w:t>
            </w:r>
            <w:r w:rsidR="0052786D">
              <w:rPr>
                <w:noProof/>
                <w:webHidden/>
              </w:rPr>
              <w:fldChar w:fldCharType="end"/>
            </w:r>
          </w:hyperlink>
        </w:p>
        <w:p w14:paraId="7994C5FE" w14:textId="3E9F5CC1" w:rsidR="0052786D" w:rsidRDefault="00297570">
          <w:pPr>
            <w:pStyle w:val="TOC1"/>
            <w:tabs>
              <w:tab w:val="right" w:leader="dot" w:pos="9016"/>
            </w:tabs>
            <w:rPr>
              <w:rFonts w:asciiTheme="minorHAnsi" w:eastAsiaTheme="minorEastAsia" w:hAnsiTheme="minorHAnsi"/>
              <w:noProof/>
              <w:color w:val="auto"/>
              <w:lang w:eastAsia="en-AU"/>
            </w:rPr>
          </w:pPr>
          <w:hyperlink w:anchor="_Toc57314074" w:history="1">
            <w:r w:rsidR="0052786D" w:rsidRPr="00E424C8">
              <w:rPr>
                <w:rStyle w:val="Hyperlink"/>
                <w:rFonts w:cs="Tahoma"/>
                <w:b/>
                <w:noProof/>
              </w:rPr>
              <w:t>S14. Network Integrity</w:t>
            </w:r>
            <w:r w:rsidR="0052786D">
              <w:rPr>
                <w:noProof/>
                <w:webHidden/>
              </w:rPr>
              <w:tab/>
            </w:r>
            <w:r w:rsidR="0052786D">
              <w:rPr>
                <w:noProof/>
                <w:webHidden/>
              </w:rPr>
              <w:fldChar w:fldCharType="begin"/>
            </w:r>
            <w:r w:rsidR="0052786D">
              <w:rPr>
                <w:noProof/>
                <w:webHidden/>
              </w:rPr>
              <w:instrText xml:space="preserve"> PAGEREF _Toc57314074 \h </w:instrText>
            </w:r>
            <w:r w:rsidR="0052786D">
              <w:rPr>
                <w:noProof/>
                <w:webHidden/>
              </w:rPr>
            </w:r>
            <w:r w:rsidR="0052786D">
              <w:rPr>
                <w:noProof/>
                <w:webHidden/>
              </w:rPr>
              <w:fldChar w:fldCharType="separate"/>
            </w:r>
            <w:r w:rsidR="0052786D">
              <w:rPr>
                <w:noProof/>
                <w:webHidden/>
              </w:rPr>
              <w:t>64</w:t>
            </w:r>
            <w:r w:rsidR="0052786D">
              <w:rPr>
                <w:noProof/>
                <w:webHidden/>
              </w:rPr>
              <w:fldChar w:fldCharType="end"/>
            </w:r>
          </w:hyperlink>
        </w:p>
        <w:p w14:paraId="5B7C902A" w14:textId="78A6458A" w:rsidR="0052786D" w:rsidRDefault="00297570">
          <w:pPr>
            <w:pStyle w:val="TOC2"/>
            <w:tabs>
              <w:tab w:val="right" w:leader="dot" w:pos="9016"/>
            </w:tabs>
            <w:rPr>
              <w:rFonts w:eastAsiaTheme="minorEastAsia"/>
              <w:noProof/>
              <w:lang w:eastAsia="en-AU"/>
            </w:rPr>
          </w:pPr>
          <w:hyperlink w:anchor="_Toc57314075" w:history="1">
            <w:r w:rsidR="0052786D" w:rsidRPr="00E424C8">
              <w:rPr>
                <w:rStyle w:val="Hyperlink"/>
                <w:rFonts w:ascii="Tahoma" w:hAnsi="Tahoma" w:cs="Tahoma"/>
                <w:noProof/>
              </w:rPr>
              <w:t>S14.1 – Loss of Containment</w:t>
            </w:r>
            <w:r w:rsidR="0052786D">
              <w:rPr>
                <w:noProof/>
                <w:webHidden/>
              </w:rPr>
              <w:tab/>
            </w:r>
            <w:r w:rsidR="0052786D">
              <w:rPr>
                <w:noProof/>
                <w:webHidden/>
              </w:rPr>
              <w:fldChar w:fldCharType="begin"/>
            </w:r>
            <w:r w:rsidR="0052786D">
              <w:rPr>
                <w:noProof/>
                <w:webHidden/>
              </w:rPr>
              <w:instrText xml:space="preserve"> PAGEREF _Toc57314075 \h </w:instrText>
            </w:r>
            <w:r w:rsidR="0052786D">
              <w:rPr>
                <w:noProof/>
                <w:webHidden/>
              </w:rPr>
            </w:r>
            <w:r w:rsidR="0052786D">
              <w:rPr>
                <w:noProof/>
                <w:webHidden/>
              </w:rPr>
              <w:fldChar w:fldCharType="separate"/>
            </w:r>
            <w:r w:rsidR="0052786D">
              <w:rPr>
                <w:noProof/>
                <w:webHidden/>
              </w:rPr>
              <w:t>64</w:t>
            </w:r>
            <w:r w:rsidR="0052786D">
              <w:rPr>
                <w:noProof/>
                <w:webHidden/>
              </w:rPr>
              <w:fldChar w:fldCharType="end"/>
            </w:r>
          </w:hyperlink>
        </w:p>
        <w:p w14:paraId="54B394DE" w14:textId="5863BA26" w:rsidR="0052786D" w:rsidRDefault="00297570">
          <w:pPr>
            <w:pStyle w:val="TOC2"/>
            <w:tabs>
              <w:tab w:val="right" w:leader="dot" w:pos="9016"/>
            </w:tabs>
            <w:rPr>
              <w:rFonts w:eastAsiaTheme="minorEastAsia"/>
              <w:noProof/>
              <w:lang w:eastAsia="en-AU"/>
            </w:rPr>
          </w:pPr>
          <w:hyperlink w:anchor="_Toc57314076" w:history="1">
            <w:r w:rsidR="0052786D" w:rsidRPr="00E424C8">
              <w:rPr>
                <w:rStyle w:val="Hyperlink"/>
                <w:rFonts w:ascii="Tahoma" w:hAnsi="Tahoma" w:cs="Tahoma"/>
                <w:noProof/>
              </w:rPr>
              <w:t>S14.2 – Instances of Damage</w:t>
            </w:r>
            <w:r w:rsidR="0052786D">
              <w:rPr>
                <w:noProof/>
                <w:webHidden/>
              </w:rPr>
              <w:tab/>
            </w:r>
            <w:r w:rsidR="0052786D">
              <w:rPr>
                <w:noProof/>
                <w:webHidden/>
              </w:rPr>
              <w:fldChar w:fldCharType="begin"/>
            </w:r>
            <w:r w:rsidR="0052786D">
              <w:rPr>
                <w:noProof/>
                <w:webHidden/>
              </w:rPr>
              <w:instrText xml:space="preserve"> PAGEREF _Toc57314076 \h </w:instrText>
            </w:r>
            <w:r w:rsidR="0052786D">
              <w:rPr>
                <w:noProof/>
                <w:webHidden/>
              </w:rPr>
            </w:r>
            <w:r w:rsidR="0052786D">
              <w:rPr>
                <w:noProof/>
                <w:webHidden/>
              </w:rPr>
              <w:fldChar w:fldCharType="separate"/>
            </w:r>
            <w:r w:rsidR="0052786D">
              <w:rPr>
                <w:noProof/>
                <w:webHidden/>
              </w:rPr>
              <w:t>65</w:t>
            </w:r>
            <w:r w:rsidR="0052786D">
              <w:rPr>
                <w:noProof/>
                <w:webHidden/>
              </w:rPr>
              <w:fldChar w:fldCharType="end"/>
            </w:r>
          </w:hyperlink>
        </w:p>
        <w:p w14:paraId="0862DAEC" w14:textId="7377BD4B" w:rsidR="0052786D" w:rsidRDefault="00297570">
          <w:pPr>
            <w:pStyle w:val="TOC1"/>
            <w:tabs>
              <w:tab w:val="right" w:leader="dot" w:pos="9016"/>
            </w:tabs>
            <w:rPr>
              <w:rFonts w:asciiTheme="minorHAnsi" w:eastAsiaTheme="minorEastAsia" w:hAnsiTheme="minorHAnsi"/>
              <w:noProof/>
              <w:color w:val="auto"/>
              <w:lang w:eastAsia="en-AU"/>
            </w:rPr>
          </w:pPr>
          <w:hyperlink w:anchor="_Toc57314077" w:history="1">
            <w:r w:rsidR="0052786D" w:rsidRPr="00E424C8">
              <w:rPr>
                <w:rStyle w:val="Hyperlink"/>
                <w:rFonts w:cs="Tahoma"/>
                <w:b/>
                <w:noProof/>
              </w:rPr>
              <w:t>F1. Income</w:t>
            </w:r>
            <w:r w:rsidR="0052786D">
              <w:rPr>
                <w:noProof/>
                <w:webHidden/>
              </w:rPr>
              <w:tab/>
            </w:r>
            <w:r w:rsidR="0052786D">
              <w:rPr>
                <w:noProof/>
                <w:webHidden/>
              </w:rPr>
              <w:fldChar w:fldCharType="begin"/>
            </w:r>
            <w:r w:rsidR="0052786D">
              <w:rPr>
                <w:noProof/>
                <w:webHidden/>
              </w:rPr>
              <w:instrText xml:space="preserve"> PAGEREF _Toc57314077 \h </w:instrText>
            </w:r>
            <w:r w:rsidR="0052786D">
              <w:rPr>
                <w:noProof/>
                <w:webHidden/>
              </w:rPr>
            </w:r>
            <w:r w:rsidR="0052786D">
              <w:rPr>
                <w:noProof/>
                <w:webHidden/>
              </w:rPr>
              <w:fldChar w:fldCharType="separate"/>
            </w:r>
            <w:r w:rsidR="0052786D">
              <w:rPr>
                <w:noProof/>
                <w:webHidden/>
              </w:rPr>
              <w:t>66</w:t>
            </w:r>
            <w:r w:rsidR="0052786D">
              <w:rPr>
                <w:noProof/>
                <w:webHidden/>
              </w:rPr>
              <w:fldChar w:fldCharType="end"/>
            </w:r>
          </w:hyperlink>
        </w:p>
        <w:p w14:paraId="53755425" w14:textId="152DEB72" w:rsidR="0052786D" w:rsidRDefault="00297570">
          <w:pPr>
            <w:pStyle w:val="TOC2"/>
            <w:tabs>
              <w:tab w:val="right" w:leader="dot" w:pos="9016"/>
            </w:tabs>
            <w:rPr>
              <w:rFonts w:eastAsiaTheme="minorEastAsia"/>
              <w:noProof/>
              <w:lang w:eastAsia="en-AU"/>
            </w:rPr>
          </w:pPr>
          <w:hyperlink w:anchor="_Toc57314078" w:history="1">
            <w:r w:rsidR="0052786D" w:rsidRPr="00E424C8">
              <w:rPr>
                <w:rStyle w:val="Hyperlink"/>
                <w:rFonts w:ascii="Tahoma" w:hAnsi="Tahoma" w:cs="Tahoma"/>
                <w:noProof/>
              </w:rPr>
              <w:t>F1.1 – Audited Statutory Accounts</w:t>
            </w:r>
            <w:r w:rsidR="0052786D">
              <w:rPr>
                <w:noProof/>
                <w:webHidden/>
              </w:rPr>
              <w:tab/>
            </w:r>
            <w:r w:rsidR="0052786D">
              <w:rPr>
                <w:noProof/>
                <w:webHidden/>
              </w:rPr>
              <w:fldChar w:fldCharType="begin"/>
            </w:r>
            <w:r w:rsidR="0052786D">
              <w:rPr>
                <w:noProof/>
                <w:webHidden/>
              </w:rPr>
              <w:instrText xml:space="preserve"> PAGEREF _Toc57314078 \h </w:instrText>
            </w:r>
            <w:r w:rsidR="0052786D">
              <w:rPr>
                <w:noProof/>
                <w:webHidden/>
              </w:rPr>
            </w:r>
            <w:r w:rsidR="0052786D">
              <w:rPr>
                <w:noProof/>
                <w:webHidden/>
              </w:rPr>
              <w:fldChar w:fldCharType="separate"/>
            </w:r>
            <w:r w:rsidR="0052786D">
              <w:rPr>
                <w:noProof/>
                <w:webHidden/>
              </w:rPr>
              <w:t>66</w:t>
            </w:r>
            <w:r w:rsidR="0052786D">
              <w:rPr>
                <w:noProof/>
                <w:webHidden/>
              </w:rPr>
              <w:fldChar w:fldCharType="end"/>
            </w:r>
          </w:hyperlink>
        </w:p>
        <w:p w14:paraId="5729E30F" w14:textId="4612D967" w:rsidR="0052786D" w:rsidRDefault="00297570">
          <w:pPr>
            <w:pStyle w:val="TOC2"/>
            <w:tabs>
              <w:tab w:val="right" w:leader="dot" w:pos="9016"/>
            </w:tabs>
            <w:rPr>
              <w:rFonts w:eastAsiaTheme="minorEastAsia"/>
              <w:noProof/>
              <w:lang w:eastAsia="en-AU"/>
            </w:rPr>
          </w:pPr>
          <w:hyperlink w:anchor="_Toc57314079" w:history="1">
            <w:r w:rsidR="0052786D" w:rsidRPr="00E424C8">
              <w:rPr>
                <w:rStyle w:val="Hyperlink"/>
                <w:rFonts w:ascii="Tahoma" w:hAnsi="Tahoma" w:cs="Tahoma"/>
                <w:noProof/>
              </w:rPr>
              <w:t>F1.2 – Adjustments</w:t>
            </w:r>
            <w:r w:rsidR="0052786D">
              <w:rPr>
                <w:noProof/>
                <w:webHidden/>
              </w:rPr>
              <w:tab/>
            </w:r>
            <w:r w:rsidR="0052786D">
              <w:rPr>
                <w:noProof/>
                <w:webHidden/>
              </w:rPr>
              <w:fldChar w:fldCharType="begin"/>
            </w:r>
            <w:r w:rsidR="0052786D">
              <w:rPr>
                <w:noProof/>
                <w:webHidden/>
              </w:rPr>
              <w:instrText xml:space="preserve"> PAGEREF _Toc57314079 \h </w:instrText>
            </w:r>
            <w:r w:rsidR="0052786D">
              <w:rPr>
                <w:noProof/>
                <w:webHidden/>
              </w:rPr>
            </w:r>
            <w:r w:rsidR="0052786D">
              <w:rPr>
                <w:noProof/>
                <w:webHidden/>
              </w:rPr>
              <w:fldChar w:fldCharType="separate"/>
            </w:r>
            <w:r w:rsidR="0052786D">
              <w:rPr>
                <w:noProof/>
                <w:webHidden/>
              </w:rPr>
              <w:t>73</w:t>
            </w:r>
            <w:r w:rsidR="0052786D">
              <w:rPr>
                <w:noProof/>
                <w:webHidden/>
              </w:rPr>
              <w:fldChar w:fldCharType="end"/>
            </w:r>
          </w:hyperlink>
        </w:p>
        <w:p w14:paraId="7CF8AB8F" w14:textId="5393C92B" w:rsidR="0052786D" w:rsidRDefault="00297570">
          <w:pPr>
            <w:pStyle w:val="TOC2"/>
            <w:tabs>
              <w:tab w:val="right" w:leader="dot" w:pos="9016"/>
            </w:tabs>
            <w:rPr>
              <w:rFonts w:eastAsiaTheme="minorEastAsia"/>
              <w:noProof/>
              <w:lang w:eastAsia="en-AU"/>
            </w:rPr>
          </w:pPr>
          <w:hyperlink w:anchor="_Toc57314080" w:history="1">
            <w:r w:rsidR="0052786D" w:rsidRPr="00E424C8">
              <w:rPr>
                <w:rStyle w:val="Hyperlink"/>
                <w:rFonts w:ascii="Tahoma" w:hAnsi="Tahoma" w:cs="Tahoma"/>
                <w:noProof/>
              </w:rPr>
              <w:t>F1.3 – Distribution Business</w:t>
            </w:r>
            <w:r w:rsidR="0052786D">
              <w:rPr>
                <w:noProof/>
                <w:webHidden/>
              </w:rPr>
              <w:tab/>
            </w:r>
            <w:r w:rsidR="0052786D">
              <w:rPr>
                <w:noProof/>
                <w:webHidden/>
              </w:rPr>
              <w:fldChar w:fldCharType="begin"/>
            </w:r>
            <w:r w:rsidR="0052786D">
              <w:rPr>
                <w:noProof/>
                <w:webHidden/>
              </w:rPr>
              <w:instrText xml:space="preserve"> PAGEREF _Toc57314080 \h </w:instrText>
            </w:r>
            <w:r w:rsidR="0052786D">
              <w:rPr>
                <w:noProof/>
                <w:webHidden/>
              </w:rPr>
            </w:r>
            <w:r w:rsidR="0052786D">
              <w:rPr>
                <w:noProof/>
                <w:webHidden/>
              </w:rPr>
              <w:fldChar w:fldCharType="separate"/>
            </w:r>
            <w:r w:rsidR="0052786D">
              <w:rPr>
                <w:noProof/>
                <w:webHidden/>
              </w:rPr>
              <w:t>77</w:t>
            </w:r>
            <w:r w:rsidR="0052786D">
              <w:rPr>
                <w:noProof/>
                <w:webHidden/>
              </w:rPr>
              <w:fldChar w:fldCharType="end"/>
            </w:r>
          </w:hyperlink>
        </w:p>
        <w:p w14:paraId="6ADA897A" w14:textId="305FAA2B" w:rsidR="0052786D" w:rsidRDefault="00297570">
          <w:pPr>
            <w:pStyle w:val="TOC1"/>
            <w:tabs>
              <w:tab w:val="right" w:leader="dot" w:pos="9016"/>
            </w:tabs>
            <w:rPr>
              <w:rFonts w:asciiTheme="minorHAnsi" w:eastAsiaTheme="minorEastAsia" w:hAnsiTheme="minorHAnsi"/>
              <w:noProof/>
              <w:color w:val="auto"/>
              <w:lang w:eastAsia="en-AU"/>
            </w:rPr>
          </w:pPr>
          <w:hyperlink w:anchor="_Toc57314081" w:history="1">
            <w:r w:rsidR="0052786D" w:rsidRPr="00E424C8">
              <w:rPr>
                <w:rStyle w:val="Hyperlink"/>
                <w:rFonts w:cs="Tahoma"/>
                <w:b/>
                <w:noProof/>
              </w:rPr>
              <w:t>F2. Capex</w:t>
            </w:r>
            <w:r w:rsidR="0052786D">
              <w:rPr>
                <w:noProof/>
                <w:webHidden/>
              </w:rPr>
              <w:tab/>
            </w:r>
            <w:r w:rsidR="0052786D">
              <w:rPr>
                <w:noProof/>
                <w:webHidden/>
              </w:rPr>
              <w:fldChar w:fldCharType="begin"/>
            </w:r>
            <w:r w:rsidR="0052786D">
              <w:rPr>
                <w:noProof/>
                <w:webHidden/>
              </w:rPr>
              <w:instrText xml:space="preserve"> PAGEREF _Toc57314081 \h </w:instrText>
            </w:r>
            <w:r w:rsidR="0052786D">
              <w:rPr>
                <w:noProof/>
                <w:webHidden/>
              </w:rPr>
            </w:r>
            <w:r w:rsidR="0052786D">
              <w:rPr>
                <w:noProof/>
                <w:webHidden/>
              </w:rPr>
              <w:fldChar w:fldCharType="separate"/>
            </w:r>
            <w:r w:rsidR="0052786D">
              <w:rPr>
                <w:noProof/>
                <w:webHidden/>
              </w:rPr>
              <w:t>82</w:t>
            </w:r>
            <w:r w:rsidR="0052786D">
              <w:rPr>
                <w:noProof/>
                <w:webHidden/>
              </w:rPr>
              <w:fldChar w:fldCharType="end"/>
            </w:r>
          </w:hyperlink>
        </w:p>
        <w:p w14:paraId="5CD90953" w14:textId="1FF1843D" w:rsidR="0052786D" w:rsidRDefault="00297570">
          <w:pPr>
            <w:pStyle w:val="TOC2"/>
            <w:tabs>
              <w:tab w:val="right" w:leader="dot" w:pos="9016"/>
            </w:tabs>
            <w:rPr>
              <w:rFonts w:eastAsiaTheme="minorEastAsia"/>
              <w:noProof/>
              <w:lang w:eastAsia="en-AU"/>
            </w:rPr>
          </w:pPr>
          <w:hyperlink w:anchor="_Toc57314082" w:history="1">
            <w:r w:rsidR="0052786D" w:rsidRPr="00E424C8">
              <w:rPr>
                <w:rStyle w:val="Hyperlink"/>
                <w:rFonts w:ascii="Tahoma" w:hAnsi="Tahoma" w:cs="Tahoma"/>
                <w:noProof/>
              </w:rPr>
              <w:t>F2.4 – Capex by Asset Class</w:t>
            </w:r>
            <w:r w:rsidR="0052786D">
              <w:rPr>
                <w:noProof/>
                <w:webHidden/>
              </w:rPr>
              <w:tab/>
            </w:r>
            <w:r w:rsidR="0052786D">
              <w:rPr>
                <w:noProof/>
                <w:webHidden/>
              </w:rPr>
              <w:fldChar w:fldCharType="begin"/>
            </w:r>
            <w:r w:rsidR="0052786D">
              <w:rPr>
                <w:noProof/>
                <w:webHidden/>
              </w:rPr>
              <w:instrText xml:space="preserve"> PAGEREF _Toc57314082 \h </w:instrText>
            </w:r>
            <w:r w:rsidR="0052786D">
              <w:rPr>
                <w:noProof/>
                <w:webHidden/>
              </w:rPr>
            </w:r>
            <w:r w:rsidR="0052786D">
              <w:rPr>
                <w:noProof/>
                <w:webHidden/>
              </w:rPr>
              <w:fldChar w:fldCharType="separate"/>
            </w:r>
            <w:r w:rsidR="0052786D">
              <w:rPr>
                <w:noProof/>
                <w:webHidden/>
              </w:rPr>
              <w:t>82</w:t>
            </w:r>
            <w:r w:rsidR="0052786D">
              <w:rPr>
                <w:noProof/>
                <w:webHidden/>
              </w:rPr>
              <w:fldChar w:fldCharType="end"/>
            </w:r>
          </w:hyperlink>
        </w:p>
        <w:p w14:paraId="0D47A6AC" w14:textId="09CD3837" w:rsidR="0052786D" w:rsidRDefault="00297570">
          <w:pPr>
            <w:pStyle w:val="TOC2"/>
            <w:tabs>
              <w:tab w:val="right" w:leader="dot" w:pos="9016"/>
            </w:tabs>
            <w:rPr>
              <w:rFonts w:eastAsiaTheme="minorEastAsia"/>
              <w:noProof/>
              <w:lang w:eastAsia="en-AU"/>
            </w:rPr>
          </w:pPr>
          <w:hyperlink w:anchor="_Toc57314083" w:history="1">
            <w:r w:rsidR="0052786D" w:rsidRPr="00E424C8">
              <w:rPr>
                <w:rStyle w:val="Hyperlink"/>
                <w:rFonts w:ascii="Tahoma" w:hAnsi="Tahoma" w:cs="Tahoma"/>
                <w:noProof/>
              </w:rPr>
              <w:t>F2.5 - Capital Contributions by Asset Class</w:t>
            </w:r>
            <w:r w:rsidR="0052786D">
              <w:rPr>
                <w:noProof/>
                <w:webHidden/>
              </w:rPr>
              <w:tab/>
            </w:r>
            <w:r w:rsidR="0052786D">
              <w:rPr>
                <w:noProof/>
                <w:webHidden/>
              </w:rPr>
              <w:fldChar w:fldCharType="begin"/>
            </w:r>
            <w:r w:rsidR="0052786D">
              <w:rPr>
                <w:noProof/>
                <w:webHidden/>
              </w:rPr>
              <w:instrText xml:space="preserve"> PAGEREF _Toc57314083 \h </w:instrText>
            </w:r>
            <w:r w:rsidR="0052786D">
              <w:rPr>
                <w:noProof/>
                <w:webHidden/>
              </w:rPr>
            </w:r>
            <w:r w:rsidR="0052786D">
              <w:rPr>
                <w:noProof/>
                <w:webHidden/>
              </w:rPr>
              <w:fldChar w:fldCharType="separate"/>
            </w:r>
            <w:r w:rsidR="0052786D">
              <w:rPr>
                <w:noProof/>
                <w:webHidden/>
              </w:rPr>
              <w:t>87</w:t>
            </w:r>
            <w:r w:rsidR="0052786D">
              <w:rPr>
                <w:noProof/>
                <w:webHidden/>
              </w:rPr>
              <w:fldChar w:fldCharType="end"/>
            </w:r>
          </w:hyperlink>
        </w:p>
        <w:p w14:paraId="10D1CF15" w14:textId="484CFCBE" w:rsidR="0052786D" w:rsidRDefault="00297570">
          <w:pPr>
            <w:pStyle w:val="TOC2"/>
            <w:tabs>
              <w:tab w:val="right" w:leader="dot" w:pos="9016"/>
            </w:tabs>
            <w:rPr>
              <w:rFonts w:eastAsiaTheme="minorEastAsia"/>
              <w:noProof/>
              <w:lang w:eastAsia="en-AU"/>
            </w:rPr>
          </w:pPr>
          <w:hyperlink w:anchor="_Toc57314084" w:history="1">
            <w:r w:rsidR="0052786D" w:rsidRPr="00E424C8">
              <w:rPr>
                <w:rStyle w:val="Hyperlink"/>
                <w:rFonts w:ascii="Tahoma" w:hAnsi="Tahoma" w:cs="Tahoma"/>
                <w:noProof/>
              </w:rPr>
              <w:t>F2.6 – Disposals by Asset Class</w:t>
            </w:r>
            <w:r w:rsidR="0052786D">
              <w:rPr>
                <w:noProof/>
                <w:webHidden/>
              </w:rPr>
              <w:tab/>
            </w:r>
            <w:r w:rsidR="0052786D">
              <w:rPr>
                <w:noProof/>
                <w:webHidden/>
              </w:rPr>
              <w:fldChar w:fldCharType="begin"/>
            </w:r>
            <w:r w:rsidR="0052786D">
              <w:rPr>
                <w:noProof/>
                <w:webHidden/>
              </w:rPr>
              <w:instrText xml:space="preserve"> PAGEREF _Toc57314084 \h </w:instrText>
            </w:r>
            <w:r w:rsidR="0052786D">
              <w:rPr>
                <w:noProof/>
                <w:webHidden/>
              </w:rPr>
            </w:r>
            <w:r w:rsidR="0052786D">
              <w:rPr>
                <w:noProof/>
                <w:webHidden/>
              </w:rPr>
              <w:fldChar w:fldCharType="separate"/>
            </w:r>
            <w:r w:rsidR="0052786D">
              <w:rPr>
                <w:noProof/>
                <w:webHidden/>
              </w:rPr>
              <w:t>92</w:t>
            </w:r>
            <w:r w:rsidR="0052786D">
              <w:rPr>
                <w:noProof/>
                <w:webHidden/>
              </w:rPr>
              <w:fldChar w:fldCharType="end"/>
            </w:r>
          </w:hyperlink>
        </w:p>
        <w:p w14:paraId="5C020DC0" w14:textId="5D6178E7" w:rsidR="0052786D" w:rsidRDefault="00297570">
          <w:pPr>
            <w:pStyle w:val="TOC2"/>
            <w:tabs>
              <w:tab w:val="right" w:leader="dot" w:pos="9016"/>
            </w:tabs>
            <w:rPr>
              <w:rFonts w:eastAsiaTheme="minorEastAsia"/>
              <w:noProof/>
              <w:lang w:eastAsia="en-AU"/>
            </w:rPr>
          </w:pPr>
          <w:hyperlink w:anchor="_Toc57314085" w:history="1">
            <w:r w:rsidR="0052786D" w:rsidRPr="00E424C8">
              <w:rPr>
                <w:rStyle w:val="Hyperlink"/>
                <w:rFonts w:ascii="Tahoma" w:hAnsi="Tahoma" w:cs="Tahoma"/>
                <w:noProof/>
              </w:rPr>
              <w:t>F2.7 – Immediate Expensing Capex</w:t>
            </w:r>
            <w:r w:rsidR="0052786D">
              <w:rPr>
                <w:noProof/>
                <w:webHidden/>
              </w:rPr>
              <w:tab/>
            </w:r>
            <w:r w:rsidR="0052786D">
              <w:rPr>
                <w:noProof/>
                <w:webHidden/>
              </w:rPr>
              <w:fldChar w:fldCharType="begin"/>
            </w:r>
            <w:r w:rsidR="0052786D">
              <w:rPr>
                <w:noProof/>
                <w:webHidden/>
              </w:rPr>
              <w:instrText xml:space="preserve"> PAGEREF _Toc57314085 \h </w:instrText>
            </w:r>
            <w:r w:rsidR="0052786D">
              <w:rPr>
                <w:noProof/>
                <w:webHidden/>
              </w:rPr>
            </w:r>
            <w:r w:rsidR="0052786D">
              <w:rPr>
                <w:noProof/>
                <w:webHidden/>
              </w:rPr>
              <w:fldChar w:fldCharType="separate"/>
            </w:r>
            <w:r w:rsidR="0052786D">
              <w:rPr>
                <w:noProof/>
                <w:webHidden/>
              </w:rPr>
              <w:t>92</w:t>
            </w:r>
            <w:r w:rsidR="0052786D">
              <w:rPr>
                <w:noProof/>
                <w:webHidden/>
              </w:rPr>
              <w:fldChar w:fldCharType="end"/>
            </w:r>
          </w:hyperlink>
        </w:p>
        <w:p w14:paraId="55D676A2" w14:textId="7AEF4EC3" w:rsidR="0052786D" w:rsidRDefault="00297570">
          <w:pPr>
            <w:pStyle w:val="TOC1"/>
            <w:tabs>
              <w:tab w:val="right" w:leader="dot" w:pos="9016"/>
            </w:tabs>
            <w:rPr>
              <w:rFonts w:asciiTheme="minorHAnsi" w:eastAsiaTheme="minorEastAsia" w:hAnsiTheme="minorHAnsi"/>
              <w:noProof/>
              <w:color w:val="auto"/>
              <w:lang w:eastAsia="en-AU"/>
            </w:rPr>
          </w:pPr>
          <w:hyperlink w:anchor="_Toc57314086" w:history="1">
            <w:r w:rsidR="0052786D" w:rsidRPr="00E424C8">
              <w:rPr>
                <w:rStyle w:val="Hyperlink"/>
                <w:rFonts w:cs="Tahoma"/>
                <w:b/>
                <w:noProof/>
              </w:rPr>
              <w:t>F3. Revenue</w:t>
            </w:r>
            <w:r w:rsidR="0052786D">
              <w:rPr>
                <w:noProof/>
                <w:webHidden/>
              </w:rPr>
              <w:tab/>
            </w:r>
            <w:r w:rsidR="0052786D">
              <w:rPr>
                <w:noProof/>
                <w:webHidden/>
              </w:rPr>
              <w:fldChar w:fldCharType="begin"/>
            </w:r>
            <w:r w:rsidR="0052786D">
              <w:rPr>
                <w:noProof/>
                <w:webHidden/>
              </w:rPr>
              <w:instrText xml:space="preserve"> PAGEREF _Toc57314086 \h </w:instrText>
            </w:r>
            <w:r w:rsidR="0052786D">
              <w:rPr>
                <w:noProof/>
                <w:webHidden/>
              </w:rPr>
            </w:r>
            <w:r w:rsidR="0052786D">
              <w:rPr>
                <w:noProof/>
                <w:webHidden/>
              </w:rPr>
              <w:fldChar w:fldCharType="separate"/>
            </w:r>
            <w:r w:rsidR="0052786D">
              <w:rPr>
                <w:noProof/>
                <w:webHidden/>
              </w:rPr>
              <w:t>95</w:t>
            </w:r>
            <w:r w:rsidR="0052786D">
              <w:rPr>
                <w:noProof/>
                <w:webHidden/>
              </w:rPr>
              <w:fldChar w:fldCharType="end"/>
            </w:r>
          </w:hyperlink>
        </w:p>
        <w:p w14:paraId="1F9216AC" w14:textId="08D44B2B" w:rsidR="0052786D" w:rsidRDefault="00297570">
          <w:pPr>
            <w:pStyle w:val="TOC2"/>
            <w:tabs>
              <w:tab w:val="right" w:leader="dot" w:pos="9016"/>
            </w:tabs>
            <w:rPr>
              <w:rFonts w:eastAsiaTheme="minorEastAsia"/>
              <w:noProof/>
              <w:lang w:eastAsia="en-AU"/>
            </w:rPr>
          </w:pPr>
          <w:hyperlink w:anchor="_Toc57314087" w:history="1">
            <w:r w:rsidR="0052786D" w:rsidRPr="00E424C8">
              <w:rPr>
                <w:rStyle w:val="Hyperlink"/>
                <w:rFonts w:ascii="Tahoma" w:hAnsi="Tahoma" w:cs="Tahoma"/>
                <w:noProof/>
              </w:rPr>
              <w:t>F3.1 – Reference Services</w:t>
            </w:r>
            <w:r w:rsidR="0052786D">
              <w:rPr>
                <w:noProof/>
                <w:webHidden/>
              </w:rPr>
              <w:tab/>
            </w:r>
            <w:r w:rsidR="0052786D">
              <w:rPr>
                <w:noProof/>
                <w:webHidden/>
              </w:rPr>
              <w:fldChar w:fldCharType="begin"/>
            </w:r>
            <w:r w:rsidR="0052786D">
              <w:rPr>
                <w:noProof/>
                <w:webHidden/>
              </w:rPr>
              <w:instrText xml:space="preserve"> PAGEREF _Toc57314087 \h </w:instrText>
            </w:r>
            <w:r w:rsidR="0052786D">
              <w:rPr>
                <w:noProof/>
                <w:webHidden/>
              </w:rPr>
            </w:r>
            <w:r w:rsidR="0052786D">
              <w:rPr>
                <w:noProof/>
                <w:webHidden/>
              </w:rPr>
              <w:fldChar w:fldCharType="separate"/>
            </w:r>
            <w:r w:rsidR="0052786D">
              <w:rPr>
                <w:noProof/>
                <w:webHidden/>
              </w:rPr>
              <w:t>95</w:t>
            </w:r>
            <w:r w:rsidR="0052786D">
              <w:rPr>
                <w:noProof/>
                <w:webHidden/>
              </w:rPr>
              <w:fldChar w:fldCharType="end"/>
            </w:r>
          </w:hyperlink>
        </w:p>
        <w:p w14:paraId="427C7497" w14:textId="27077890" w:rsidR="0052786D" w:rsidRDefault="00297570">
          <w:pPr>
            <w:pStyle w:val="TOC2"/>
            <w:tabs>
              <w:tab w:val="right" w:leader="dot" w:pos="9016"/>
            </w:tabs>
            <w:rPr>
              <w:rFonts w:eastAsiaTheme="minorEastAsia"/>
              <w:noProof/>
              <w:lang w:eastAsia="en-AU"/>
            </w:rPr>
          </w:pPr>
          <w:hyperlink w:anchor="_Toc57314088" w:history="1">
            <w:r w:rsidR="0052786D" w:rsidRPr="00E424C8">
              <w:rPr>
                <w:rStyle w:val="Hyperlink"/>
                <w:rFonts w:ascii="Tahoma" w:hAnsi="Tahoma" w:cs="Tahoma"/>
                <w:noProof/>
              </w:rPr>
              <w:t>F3.2 – Ancillary Reference Services</w:t>
            </w:r>
            <w:r w:rsidR="0052786D">
              <w:rPr>
                <w:noProof/>
                <w:webHidden/>
              </w:rPr>
              <w:tab/>
            </w:r>
            <w:r w:rsidR="0052786D">
              <w:rPr>
                <w:noProof/>
                <w:webHidden/>
              </w:rPr>
              <w:fldChar w:fldCharType="begin"/>
            </w:r>
            <w:r w:rsidR="0052786D">
              <w:rPr>
                <w:noProof/>
                <w:webHidden/>
              </w:rPr>
              <w:instrText xml:space="preserve"> PAGEREF _Toc57314088 \h </w:instrText>
            </w:r>
            <w:r w:rsidR="0052786D">
              <w:rPr>
                <w:noProof/>
                <w:webHidden/>
              </w:rPr>
            </w:r>
            <w:r w:rsidR="0052786D">
              <w:rPr>
                <w:noProof/>
                <w:webHidden/>
              </w:rPr>
              <w:fldChar w:fldCharType="separate"/>
            </w:r>
            <w:r w:rsidR="0052786D">
              <w:rPr>
                <w:noProof/>
                <w:webHidden/>
              </w:rPr>
              <w:t>98</w:t>
            </w:r>
            <w:r w:rsidR="0052786D">
              <w:rPr>
                <w:noProof/>
                <w:webHidden/>
              </w:rPr>
              <w:fldChar w:fldCharType="end"/>
            </w:r>
          </w:hyperlink>
        </w:p>
        <w:p w14:paraId="3B918FDC" w14:textId="1D11598F" w:rsidR="0052786D" w:rsidRDefault="00297570">
          <w:pPr>
            <w:pStyle w:val="TOC2"/>
            <w:tabs>
              <w:tab w:val="right" w:leader="dot" w:pos="9016"/>
            </w:tabs>
            <w:rPr>
              <w:rFonts w:eastAsiaTheme="minorEastAsia"/>
              <w:noProof/>
              <w:lang w:eastAsia="en-AU"/>
            </w:rPr>
          </w:pPr>
          <w:hyperlink w:anchor="_Toc57314089" w:history="1">
            <w:r w:rsidR="0052786D" w:rsidRPr="00E424C8">
              <w:rPr>
                <w:rStyle w:val="Hyperlink"/>
                <w:rFonts w:ascii="Tahoma" w:hAnsi="Tahoma" w:cs="Tahoma"/>
                <w:noProof/>
              </w:rPr>
              <w:t>F3.4 – Non-Reference Services</w:t>
            </w:r>
            <w:r w:rsidR="0052786D">
              <w:rPr>
                <w:noProof/>
                <w:webHidden/>
              </w:rPr>
              <w:tab/>
            </w:r>
            <w:r w:rsidR="0052786D">
              <w:rPr>
                <w:noProof/>
                <w:webHidden/>
              </w:rPr>
              <w:fldChar w:fldCharType="begin"/>
            </w:r>
            <w:r w:rsidR="0052786D">
              <w:rPr>
                <w:noProof/>
                <w:webHidden/>
              </w:rPr>
              <w:instrText xml:space="preserve"> PAGEREF _Toc57314089 \h </w:instrText>
            </w:r>
            <w:r w:rsidR="0052786D">
              <w:rPr>
                <w:noProof/>
                <w:webHidden/>
              </w:rPr>
            </w:r>
            <w:r w:rsidR="0052786D">
              <w:rPr>
                <w:noProof/>
                <w:webHidden/>
              </w:rPr>
              <w:fldChar w:fldCharType="separate"/>
            </w:r>
            <w:r w:rsidR="0052786D">
              <w:rPr>
                <w:noProof/>
                <w:webHidden/>
              </w:rPr>
              <w:t>103</w:t>
            </w:r>
            <w:r w:rsidR="0052786D">
              <w:rPr>
                <w:noProof/>
                <w:webHidden/>
              </w:rPr>
              <w:fldChar w:fldCharType="end"/>
            </w:r>
          </w:hyperlink>
        </w:p>
        <w:p w14:paraId="5A48BDF1" w14:textId="365EF55A" w:rsidR="0052786D" w:rsidRDefault="00297570">
          <w:pPr>
            <w:pStyle w:val="TOC2"/>
            <w:tabs>
              <w:tab w:val="right" w:leader="dot" w:pos="9016"/>
            </w:tabs>
            <w:rPr>
              <w:rFonts w:eastAsiaTheme="minorEastAsia"/>
              <w:noProof/>
              <w:lang w:eastAsia="en-AU"/>
            </w:rPr>
          </w:pPr>
          <w:hyperlink w:anchor="_Toc57314090" w:history="1">
            <w:r w:rsidR="0052786D" w:rsidRPr="00E424C8">
              <w:rPr>
                <w:rStyle w:val="Hyperlink"/>
                <w:rFonts w:ascii="Tahoma" w:hAnsi="Tahoma" w:cs="Tahoma"/>
                <w:noProof/>
              </w:rPr>
              <w:t>F3.5 – Total Revenue</w:t>
            </w:r>
            <w:r w:rsidR="0052786D">
              <w:rPr>
                <w:noProof/>
                <w:webHidden/>
              </w:rPr>
              <w:tab/>
            </w:r>
            <w:r w:rsidR="0052786D">
              <w:rPr>
                <w:noProof/>
                <w:webHidden/>
              </w:rPr>
              <w:fldChar w:fldCharType="begin"/>
            </w:r>
            <w:r w:rsidR="0052786D">
              <w:rPr>
                <w:noProof/>
                <w:webHidden/>
              </w:rPr>
              <w:instrText xml:space="preserve"> PAGEREF _Toc57314090 \h </w:instrText>
            </w:r>
            <w:r w:rsidR="0052786D">
              <w:rPr>
                <w:noProof/>
                <w:webHidden/>
              </w:rPr>
            </w:r>
            <w:r w:rsidR="0052786D">
              <w:rPr>
                <w:noProof/>
                <w:webHidden/>
              </w:rPr>
              <w:fldChar w:fldCharType="separate"/>
            </w:r>
            <w:r w:rsidR="0052786D">
              <w:rPr>
                <w:noProof/>
                <w:webHidden/>
              </w:rPr>
              <w:t>104</w:t>
            </w:r>
            <w:r w:rsidR="0052786D">
              <w:rPr>
                <w:noProof/>
                <w:webHidden/>
              </w:rPr>
              <w:fldChar w:fldCharType="end"/>
            </w:r>
          </w:hyperlink>
        </w:p>
        <w:p w14:paraId="33ABAA48" w14:textId="5E6E05B4" w:rsidR="0052786D" w:rsidRDefault="00297570">
          <w:pPr>
            <w:pStyle w:val="TOC2"/>
            <w:tabs>
              <w:tab w:val="right" w:leader="dot" w:pos="9016"/>
            </w:tabs>
            <w:rPr>
              <w:rFonts w:eastAsiaTheme="minorEastAsia"/>
              <w:noProof/>
              <w:lang w:eastAsia="en-AU"/>
            </w:rPr>
          </w:pPr>
          <w:hyperlink w:anchor="_Toc57314091" w:history="1">
            <w:r w:rsidR="0052786D" w:rsidRPr="00E424C8">
              <w:rPr>
                <w:rStyle w:val="Hyperlink"/>
                <w:rFonts w:ascii="Tahoma" w:hAnsi="Tahoma" w:cs="Tahoma"/>
                <w:noProof/>
              </w:rPr>
              <w:t>F3.6 – Rewards and Penalties from Incentive Schemes</w:t>
            </w:r>
            <w:r w:rsidR="0052786D">
              <w:rPr>
                <w:noProof/>
                <w:webHidden/>
              </w:rPr>
              <w:tab/>
            </w:r>
            <w:r w:rsidR="0052786D">
              <w:rPr>
                <w:noProof/>
                <w:webHidden/>
              </w:rPr>
              <w:fldChar w:fldCharType="begin"/>
            </w:r>
            <w:r w:rsidR="0052786D">
              <w:rPr>
                <w:noProof/>
                <w:webHidden/>
              </w:rPr>
              <w:instrText xml:space="preserve"> PAGEREF _Toc57314091 \h </w:instrText>
            </w:r>
            <w:r w:rsidR="0052786D">
              <w:rPr>
                <w:noProof/>
                <w:webHidden/>
              </w:rPr>
            </w:r>
            <w:r w:rsidR="0052786D">
              <w:rPr>
                <w:noProof/>
                <w:webHidden/>
              </w:rPr>
              <w:fldChar w:fldCharType="separate"/>
            </w:r>
            <w:r w:rsidR="0052786D">
              <w:rPr>
                <w:noProof/>
                <w:webHidden/>
              </w:rPr>
              <w:t>104</w:t>
            </w:r>
            <w:r w:rsidR="0052786D">
              <w:rPr>
                <w:noProof/>
                <w:webHidden/>
              </w:rPr>
              <w:fldChar w:fldCharType="end"/>
            </w:r>
          </w:hyperlink>
        </w:p>
        <w:p w14:paraId="5BB05CED" w14:textId="5EECFC7C" w:rsidR="0052786D" w:rsidRDefault="00297570">
          <w:pPr>
            <w:pStyle w:val="TOC1"/>
            <w:tabs>
              <w:tab w:val="right" w:leader="dot" w:pos="9016"/>
            </w:tabs>
            <w:rPr>
              <w:rFonts w:asciiTheme="minorHAnsi" w:eastAsiaTheme="minorEastAsia" w:hAnsiTheme="minorHAnsi"/>
              <w:noProof/>
              <w:color w:val="auto"/>
              <w:lang w:eastAsia="en-AU"/>
            </w:rPr>
          </w:pPr>
          <w:hyperlink w:anchor="_Toc57314092" w:history="1">
            <w:r w:rsidR="0052786D" w:rsidRPr="00E424C8">
              <w:rPr>
                <w:rStyle w:val="Hyperlink"/>
                <w:rFonts w:cs="Tahoma"/>
                <w:b/>
                <w:noProof/>
              </w:rPr>
              <w:t>F4. Opex</w:t>
            </w:r>
            <w:r w:rsidR="0052786D">
              <w:rPr>
                <w:noProof/>
                <w:webHidden/>
              </w:rPr>
              <w:tab/>
            </w:r>
            <w:r w:rsidR="0052786D">
              <w:rPr>
                <w:noProof/>
                <w:webHidden/>
              </w:rPr>
              <w:fldChar w:fldCharType="begin"/>
            </w:r>
            <w:r w:rsidR="0052786D">
              <w:rPr>
                <w:noProof/>
                <w:webHidden/>
              </w:rPr>
              <w:instrText xml:space="preserve"> PAGEREF _Toc57314092 \h </w:instrText>
            </w:r>
            <w:r w:rsidR="0052786D">
              <w:rPr>
                <w:noProof/>
                <w:webHidden/>
              </w:rPr>
            </w:r>
            <w:r w:rsidR="0052786D">
              <w:rPr>
                <w:noProof/>
                <w:webHidden/>
              </w:rPr>
              <w:fldChar w:fldCharType="separate"/>
            </w:r>
            <w:r w:rsidR="0052786D">
              <w:rPr>
                <w:noProof/>
                <w:webHidden/>
              </w:rPr>
              <w:t>106</w:t>
            </w:r>
            <w:r w:rsidR="0052786D">
              <w:rPr>
                <w:noProof/>
                <w:webHidden/>
              </w:rPr>
              <w:fldChar w:fldCharType="end"/>
            </w:r>
          </w:hyperlink>
        </w:p>
        <w:p w14:paraId="17E9E8F6" w14:textId="6CD29EC5" w:rsidR="0052786D" w:rsidRDefault="00297570">
          <w:pPr>
            <w:pStyle w:val="TOC2"/>
            <w:tabs>
              <w:tab w:val="right" w:leader="dot" w:pos="9016"/>
            </w:tabs>
            <w:rPr>
              <w:rFonts w:eastAsiaTheme="minorEastAsia"/>
              <w:noProof/>
              <w:lang w:eastAsia="en-AU"/>
            </w:rPr>
          </w:pPr>
          <w:hyperlink w:anchor="_Toc57314093" w:history="1">
            <w:r w:rsidR="0052786D" w:rsidRPr="00E424C8">
              <w:rPr>
                <w:rStyle w:val="Hyperlink"/>
                <w:rFonts w:ascii="Tahoma" w:hAnsi="Tahoma" w:cs="Tahoma"/>
                <w:noProof/>
              </w:rPr>
              <w:t>F4.1 – Opex - by Purpose</w:t>
            </w:r>
            <w:r w:rsidR="0052786D">
              <w:rPr>
                <w:noProof/>
                <w:webHidden/>
              </w:rPr>
              <w:tab/>
            </w:r>
            <w:r w:rsidR="0052786D">
              <w:rPr>
                <w:noProof/>
                <w:webHidden/>
              </w:rPr>
              <w:fldChar w:fldCharType="begin"/>
            </w:r>
            <w:r w:rsidR="0052786D">
              <w:rPr>
                <w:noProof/>
                <w:webHidden/>
              </w:rPr>
              <w:instrText xml:space="preserve"> PAGEREF _Toc57314093 \h </w:instrText>
            </w:r>
            <w:r w:rsidR="0052786D">
              <w:rPr>
                <w:noProof/>
                <w:webHidden/>
              </w:rPr>
            </w:r>
            <w:r w:rsidR="0052786D">
              <w:rPr>
                <w:noProof/>
                <w:webHidden/>
              </w:rPr>
              <w:fldChar w:fldCharType="separate"/>
            </w:r>
            <w:r w:rsidR="0052786D">
              <w:rPr>
                <w:noProof/>
                <w:webHidden/>
              </w:rPr>
              <w:t>106</w:t>
            </w:r>
            <w:r w:rsidR="0052786D">
              <w:rPr>
                <w:noProof/>
                <w:webHidden/>
              </w:rPr>
              <w:fldChar w:fldCharType="end"/>
            </w:r>
          </w:hyperlink>
        </w:p>
        <w:p w14:paraId="039AD853" w14:textId="1196C76D" w:rsidR="0052786D" w:rsidRDefault="00297570">
          <w:pPr>
            <w:pStyle w:val="TOC1"/>
            <w:tabs>
              <w:tab w:val="right" w:leader="dot" w:pos="9016"/>
            </w:tabs>
            <w:rPr>
              <w:rFonts w:asciiTheme="minorHAnsi" w:eastAsiaTheme="minorEastAsia" w:hAnsiTheme="minorHAnsi"/>
              <w:noProof/>
              <w:color w:val="auto"/>
              <w:lang w:eastAsia="en-AU"/>
            </w:rPr>
          </w:pPr>
          <w:hyperlink w:anchor="_Toc57314094" w:history="1">
            <w:r w:rsidR="0052786D" w:rsidRPr="00E424C8">
              <w:rPr>
                <w:rStyle w:val="Hyperlink"/>
                <w:rFonts w:cs="Tahoma"/>
                <w:b/>
                <w:noProof/>
              </w:rPr>
              <w:t>F6. Related Party Transactions</w:t>
            </w:r>
            <w:r w:rsidR="0052786D">
              <w:rPr>
                <w:noProof/>
                <w:webHidden/>
              </w:rPr>
              <w:tab/>
            </w:r>
            <w:r w:rsidR="0052786D">
              <w:rPr>
                <w:noProof/>
                <w:webHidden/>
              </w:rPr>
              <w:fldChar w:fldCharType="begin"/>
            </w:r>
            <w:r w:rsidR="0052786D">
              <w:rPr>
                <w:noProof/>
                <w:webHidden/>
              </w:rPr>
              <w:instrText xml:space="preserve"> PAGEREF _Toc57314094 \h </w:instrText>
            </w:r>
            <w:r w:rsidR="0052786D">
              <w:rPr>
                <w:noProof/>
                <w:webHidden/>
              </w:rPr>
            </w:r>
            <w:r w:rsidR="0052786D">
              <w:rPr>
                <w:noProof/>
                <w:webHidden/>
              </w:rPr>
              <w:fldChar w:fldCharType="separate"/>
            </w:r>
            <w:r w:rsidR="0052786D">
              <w:rPr>
                <w:noProof/>
                <w:webHidden/>
              </w:rPr>
              <w:t>116</w:t>
            </w:r>
            <w:r w:rsidR="0052786D">
              <w:rPr>
                <w:noProof/>
                <w:webHidden/>
              </w:rPr>
              <w:fldChar w:fldCharType="end"/>
            </w:r>
          </w:hyperlink>
        </w:p>
        <w:p w14:paraId="6669890B" w14:textId="0C16FD29" w:rsidR="0052786D" w:rsidRDefault="00297570">
          <w:pPr>
            <w:pStyle w:val="TOC2"/>
            <w:tabs>
              <w:tab w:val="right" w:leader="dot" w:pos="9016"/>
            </w:tabs>
            <w:rPr>
              <w:rFonts w:eastAsiaTheme="minorEastAsia"/>
              <w:noProof/>
              <w:lang w:eastAsia="en-AU"/>
            </w:rPr>
          </w:pPr>
          <w:hyperlink w:anchor="_Toc57314095" w:history="1">
            <w:r w:rsidR="0052786D" w:rsidRPr="00E424C8">
              <w:rPr>
                <w:rStyle w:val="Hyperlink"/>
                <w:rFonts w:ascii="Tahoma" w:hAnsi="Tahoma" w:cs="Tahoma"/>
                <w:noProof/>
              </w:rPr>
              <w:t>F6.1 – Payments Greater than $1,000,000 made to Related Party</w:t>
            </w:r>
            <w:r w:rsidR="0052786D">
              <w:rPr>
                <w:noProof/>
                <w:webHidden/>
              </w:rPr>
              <w:tab/>
            </w:r>
            <w:r w:rsidR="0052786D">
              <w:rPr>
                <w:noProof/>
                <w:webHidden/>
              </w:rPr>
              <w:fldChar w:fldCharType="begin"/>
            </w:r>
            <w:r w:rsidR="0052786D">
              <w:rPr>
                <w:noProof/>
                <w:webHidden/>
              </w:rPr>
              <w:instrText xml:space="preserve"> PAGEREF _Toc57314095 \h </w:instrText>
            </w:r>
            <w:r w:rsidR="0052786D">
              <w:rPr>
                <w:noProof/>
                <w:webHidden/>
              </w:rPr>
            </w:r>
            <w:r w:rsidR="0052786D">
              <w:rPr>
                <w:noProof/>
                <w:webHidden/>
              </w:rPr>
              <w:fldChar w:fldCharType="separate"/>
            </w:r>
            <w:r w:rsidR="0052786D">
              <w:rPr>
                <w:noProof/>
                <w:webHidden/>
              </w:rPr>
              <w:t>116</w:t>
            </w:r>
            <w:r w:rsidR="0052786D">
              <w:rPr>
                <w:noProof/>
                <w:webHidden/>
              </w:rPr>
              <w:fldChar w:fldCharType="end"/>
            </w:r>
          </w:hyperlink>
        </w:p>
        <w:p w14:paraId="79BB613B" w14:textId="67DF71C2" w:rsidR="0052786D" w:rsidRDefault="00297570">
          <w:pPr>
            <w:pStyle w:val="TOC2"/>
            <w:tabs>
              <w:tab w:val="right" w:leader="dot" w:pos="9016"/>
            </w:tabs>
            <w:rPr>
              <w:rFonts w:eastAsiaTheme="minorEastAsia"/>
              <w:noProof/>
              <w:lang w:eastAsia="en-AU"/>
            </w:rPr>
          </w:pPr>
          <w:hyperlink w:anchor="_Toc57314096" w:history="1">
            <w:r w:rsidR="0052786D" w:rsidRPr="00E424C8">
              <w:rPr>
                <w:rStyle w:val="Hyperlink"/>
                <w:rFonts w:ascii="Tahoma" w:hAnsi="Tahoma" w:cs="Tahoma"/>
                <w:noProof/>
              </w:rPr>
              <w:t>F6.2 – Payments Greater than $1,000,000 received from Related Party</w:t>
            </w:r>
            <w:r w:rsidR="0052786D">
              <w:rPr>
                <w:noProof/>
                <w:webHidden/>
              </w:rPr>
              <w:tab/>
            </w:r>
            <w:r w:rsidR="0052786D">
              <w:rPr>
                <w:noProof/>
                <w:webHidden/>
              </w:rPr>
              <w:fldChar w:fldCharType="begin"/>
            </w:r>
            <w:r w:rsidR="0052786D">
              <w:rPr>
                <w:noProof/>
                <w:webHidden/>
              </w:rPr>
              <w:instrText xml:space="preserve"> PAGEREF _Toc57314096 \h </w:instrText>
            </w:r>
            <w:r w:rsidR="0052786D">
              <w:rPr>
                <w:noProof/>
                <w:webHidden/>
              </w:rPr>
            </w:r>
            <w:r w:rsidR="0052786D">
              <w:rPr>
                <w:noProof/>
                <w:webHidden/>
              </w:rPr>
              <w:fldChar w:fldCharType="separate"/>
            </w:r>
            <w:r w:rsidR="0052786D">
              <w:rPr>
                <w:noProof/>
                <w:webHidden/>
              </w:rPr>
              <w:t>117</w:t>
            </w:r>
            <w:r w:rsidR="0052786D">
              <w:rPr>
                <w:noProof/>
                <w:webHidden/>
              </w:rPr>
              <w:fldChar w:fldCharType="end"/>
            </w:r>
          </w:hyperlink>
        </w:p>
        <w:p w14:paraId="248E0667" w14:textId="711EBF72" w:rsidR="0052786D" w:rsidRDefault="00297570">
          <w:pPr>
            <w:pStyle w:val="TOC2"/>
            <w:tabs>
              <w:tab w:val="right" w:leader="dot" w:pos="9016"/>
            </w:tabs>
            <w:rPr>
              <w:rFonts w:eastAsiaTheme="minorEastAsia"/>
              <w:noProof/>
              <w:lang w:eastAsia="en-AU"/>
            </w:rPr>
          </w:pPr>
          <w:hyperlink w:anchor="_Toc57314097" w:history="1">
            <w:r w:rsidR="0052786D" w:rsidRPr="00E424C8">
              <w:rPr>
                <w:rStyle w:val="Hyperlink"/>
                <w:rFonts w:ascii="Tahoma" w:hAnsi="Tahoma" w:cs="Tahoma"/>
                <w:noProof/>
              </w:rPr>
              <w:t>F6.3 – Related Party Margin Expenditure – by Category</w:t>
            </w:r>
            <w:r w:rsidR="0052786D">
              <w:rPr>
                <w:noProof/>
                <w:webHidden/>
              </w:rPr>
              <w:tab/>
            </w:r>
            <w:r w:rsidR="0052786D">
              <w:rPr>
                <w:noProof/>
                <w:webHidden/>
              </w:rPr>
              <w:fldChar w:fldCharType="begin"/>
            </w:r>
            <w:r w:rsidR="0052786D">
              <w:rPr>
                <w:noProof/>
                <w:webHidden/>
              </w:rPr>
              <w:instrText xml:space="preserve"> PAGEREF _Toc57314097 \h </w:instrText>
            </w:r>
            <w:r w:rsidR="0052786D">
              <w:rPr>
                <w:noProof/>
                <w:webHidden/>
              </w:rPr>
            </w:r>
            <w:r w:rsidR="0052786D">
              <w:rPr>
                <w:noProof/>
                <w:webHidden/>
              </w:rPr>
              <w:fldChar w:fldCharType="separate"/>
            </w:r>
            <w:r w:rsidR="0052786D">
              <w:rPr>
                <w:noProof/>
                <w:webHidden/>
              </w:rPr>
              <w:t>118</w:t>
            </w:r>
            <w:r w:rsidR="0052786D">
              <w:rPr>
                <w:noProof/>
                <w:webHidden/>
              </w:rPr>
              <w:fldChar w:fldCharType="end"/>
            </w:r>
          </w:hyperlink>
        </w:p>
        <w:p w14:paraId="77985B88" w14:textId="2FDCCE99" w:rsidR="0052786D" w:rsidRDefault="00297570">
          <w:pPr>
            <w:pStyle w:val="TOC2"/>
            <w:tabs>
              <w:tab w:val="right" w:leader="dot" w:pos="9016"/>
            </w:tabs>
            <w:rPr>
              <w:rFonts w:eastAsiaTheme="minorEastAsia"/>
              <w:noProof/>
              <w:lang w:eastAsia="en-AU"/>
            </w:rPr>
          </w:pPr>
          <w:hyperlink w:anchor="_Toc57314098" w:history="1">
            <w:r w:rsidR="0052786D" w:rsidRPr="00E424C8">
              <w:rPr>
                <w:rStyle w:val="Hyperlink"/>
                <w:rFonts w:ascii="Tahoma" w:hAnsi="Tahoma" w:cs="Tahoma"/>
                <w:noProof/>
              </w:rPr>
              <w:t>F6.4 – Percentage of Capex Outsourced to Related Party</w:t>
            </w:r>
            <w:r w:rsidR="0052786D">
              <w:rPr>
                <w:noProof/>
                <w:webHidden/>
              </w:rPr>
              <w:tab/>
            </w:r>
            <w:r w:rsidR="0052786D">
              <w:rPr>
                <w:noProof/>
                <w:webHidden/>
              </w:rPr>
              <w:fldChar w:fldCharType="begin"/>
            </w:r>
            <w:r w:rsidR="0052786D">
              <w:rPr>
                <w:noProof/>
                <w:webHidden/>
              </w:rPr>
              <w:instrText xml:space="preserve"> PAGEREF _Toc57314098 \h </w:instrText>
            </w:r>
            <w:r w:rsidR="0052786D">
              <w:rPr>
                <w:noProof/>
                <w:webHidden/>
              </w:rPr>
            </w:r>
            <w:r w:rsidR="0052786D">
              <w:rPr>
                <w:noProof/>
                <w:webHidden/>
              </w:rPr>
              <w:fldChar w:fldCharType="separate"/>
            </w:r>
            <w:r w:rsidR="0052786D">
              <w:rPr>
                <w:noProof/>
                <w:webHidden/>
              </w:rPr>
              <w:t>119</w:t>
            </w:r>
            <w:r w:rsidR="0052786D">
              <w:rPr>
                <w:noProof/>
                <w:webHidden/>
              </w:rPr>
              <w:fldChar w:fldCharType="end"/>
            </w:r>
          </w:hyperlink>
        </w:p>
        <w:p w14:paraId="2AFC6080" w14:textId="3CFEA3DE" w:rsidR="0052786D" w:rsidRDefault="00297570">
          <w:pPr>
            <w:pStyle w:val="TOC2"/>
            <w:tabs>
              <w:tab w:val="right" w:leader="dot" w:pos="9016"/>
            </w:tabs>
            <w:rPr>
              <w:rFonts w:eastAsiaTheme="minorEastAsia"/>
              <w:noProof/>
              <w:lang w:eastAsia="en-AU"/>
            </w:rPr>
          </w:pPr>
          <w:hyperlink w:anchor="_Toc57314099" w:history="1">
            <w:r w:rsidR="0052786D" w:rsidRPr="00E424C8">
              <w:rPr>
                <w:rStyle w:val="Hyperlink"/>
                <w:rFonts w:ascii="Tahoma" w:hAnsi="Tahoma" w:cs="Tahoma"/>
                <w:noProof/>
              </w:rPr>
              <w:t>F6.5 – Percentage of Opex Outsourced to Related Party</w:t>
            </w:r>
            <w:r w:rsidR="0052786D">
              <w:rPr>
                <w:noProof/>
                <w:webHidden/>
              </w:rPr>
              <w:tab/>
            </w:r>
            <w:r w:rsidR="0052786D">
              <w:rPr>
                <w:noProof/>
                <w:webHidden/>
              </w:rPr>
              <w:fldChar w:fldCharType="begin"/>
            </w:r>
            <w:r w:rsidR="0052786D">
              <w:rPr>
                <w:noProof/>
                <w:webHidden/>
              </w:rPr>
              <w:instrText xml:space="preserve"> PAGEREF _Toc57314099 \h </w:instrText>
            </w:r>
            <w:r w:rsidR="0052786D">
              <w:rPr>
                <w:noProof/>
                <w:webHidden/>
              </w:rPr>
            </w:r>
            <w:r w:rsidR="0052786D">
              <w:rPr>
                <w:noProof/>
                <w:webHidden/>
              </w:rPr>
              <w:fldChar w:fldCharType="separate"/>
            </w:r>
            <w:r w:rsidR="0052786D">
              <w:rPr>
                <w:noProof/>
                <w:webHidden/>
              </w:rPr>
              <w:t>119</w:t>
            </w:r>
            <w:r w:rsidR="0052786D">
              <w:rPr>
                <w:noProof/>
                <w:webHidden/>
              </w:rPr>
              <w:fldChar w:fldCharType="end"/>
            </w:r>
          </w:hyperlink>
        </w:p>
        <w:p w14:paraId="2F0EDE26" w14:textId="01A098B0" w:rsidR="0052786D" w:rsidRDefault="00297570">
          <w:pPr>
            <w:pStyle w:val="TOC1"/>
            <w:tabs>
              <w:tab w:val="right" w:leader="dot" w:pos="9016"/>
            </w:tabs>
            <w:rPr>
              <w:rFonts w:asciiTheme="minorHAnsi" w:eastAsiaTheme="minorEastAsia" w:hAnsiTheme="minorHAnsi"/>
              <w:noProof/>
              <w:color w:val="auto"/>
              <w:lang w:eastAsia="en-AU"/>
            </w:rPr>
          </w:pPr>
          <w:hyperlink w:anchor="_Toc57314100" w:history="1">
            <w:r w:rsidR="0052786D" w:rsidRPr="00E424C8">
              <w:rPr>
                <w:rStyle w:val="Hyperlink"/>
                <w:rFonts w:cs="Tahoma"/>
                <w:b/>
                <w:noProof/>
              </w:rPr>
              <w:t>F7. Provisions</w:t>
            </w:r>
            <w:r w:rsidR="0052786D">
              <w:rPr>
                <w:noProof/>
                <w:webHidden/>
              </w:rPr>
              <w:tab/>
            </w:r>
            <w:r w:rsidR="0052786D">
              <w:rPr>
                <w:noProof/>
                <w:webHidden/>
              </w:rPr>
              <w:fldChar w:fldCharType="begin"/>
            </w:r>
            <w:r w:rsidR="0052786D">
              <w:rPr>
                <w:noProof/>
                <w:webHidden/>
              </w:rPr>
              <w:instrText xml:space="preserve"> PAGEREF _Toc57314100 \h </w:instrText>
            </w:r>
            <w:r w:rsidR="0052786D">
              <w:rPr>
                <w:noProof/>
                <w:webHidden/>
              </w:rPr>
            </w:r>
            <w:r w:rsidR="0052786D">
              <w:rPr>
                <w:noProof/>
                <w:webHidden/>
              </w:rPr>
              <w:fldChar w:fldCharType="separate"/>
            </w:r>
            <w:r w:rsidR="0052786D">
              <w:rPr>
                <w:noProof/>
                <w:webHidden/>
              </w:rPr>
              <w:t>120</w:t>
            </w:r>
            <w:r w:rsidR="0052786D">
              <w:rPr>
                <w:noProof/>
                <w:webHidden/>
              </w:rPr>
              <w:fldChar w:fldCharType="end"/>
            </w:r>
          </w:hyperlink>
        </w:p>
        <w:p w14:paraId="686D34DD" w14:textId="2792CDE9" w:rsidR="0052786D" w:rsidRDefault="00297570">
          <w:pPr>
            <w:pStyle w:val="TOC1"/>
            <w:tabs>
              <w:tab w:val="right" w:leader="dot" w:pos="9016"/>
            </w:tabs>
            <w:rPr>
              <w:rFonts w:asciiTheme="minorHAnsi" w:eastAsiaTheme="minorEastAsia" w:hAnsiTheme="minorHAnsi"/>
              <w:noProof/>
              <w:color w:val="auto"/>
              <w:lang w:eastAsia="en-AU"/>
            </w:rPr>
          </w:pPr>
          <w:hyperlink w:anchor="_Toc57314101" w:history="1">
            <w:r w:rsidR="0052786D" w:rsidRPr="00E424C8">
              <w:rPr>
                <w:rStyle w:val="Hyperlink"/>
                <w:rFonts w:cs="Tahoma"/>
                <w:b/>
                <w:noProof/>
              </w:rPr>
              <w:t>F9. Pass Through</w:t>
            </w:r>
            <w:r w:rsidR="0052786D">
              <w:rPr>
                <w:noProof/>
                <w:webHidden/>
              </w:rPr>
              <w:tab/>
            </w:r>
            <w:r w:rsidR="0052786D">
              <w:rPr>
                <w:noProof/>
                <w:webHidden/>
              </w:rPr>
              <w:fldChar w:fldCharType="begin"/>
            </w:r>
            <w:r w:rsidR="0052786D">
              <w:rPr>
                <w:noProof/>
                <w:webHidden/>
              </w:rPr>
              <w:instrText xml:space="preserve"> PAGEREF _Toc57314101 \h </w:instrText>
            </w:r>
            <w:r w:rsidR="0052786D">
              <w:rPr>
                <w:noProof/>
                <w:webHidden/>
              </w:rPr>
            </w:r>
            <w:r w:rsidR="0052786D">
              <w:rPr>
                <w:noProof/>
                <w:webHidden/>
              </w:rPr>
              <w:fldChar w:fldCharType="separate"/>
            </w:r>
            <w:r w:rsidR="0052786D">
              <w:rPr>
                <w:noProof/>
                <w:webHidden/>
              </w:rPr>
              <w:t>123</w:t>
            </w:r>
            <w:r w:rsidR="0052786D">
              <w:rPr>
                <w:noProof/>
                <w:webHidden/>
              </w:rPr>
              <w:fldChar w:fldCharType="end"/>
            </w:r>
          </w:hyperlink>
        </w:p>
        <w:p w14:paraId="4091F30D" w14:textId="58FA0B79" w:rsidR="0052786D" w:rsidRDefault="00297570">
          <w:pPr>
            <w:pStyle w:val="TOC2"/>
            <w:tabs>
              <w:tab w:val="right" w:leader="dot" w:pos="9016"/>
            </w:tabs>
            <w:rPr>
              <w:rFonts w:eastAsiaTheme="minorEastAsia"/>
              <w:noProof/>
              <w:lang w:eastAsia="en-AU"/>
            </w:rPr>
          </w:pPr>
          <w:hyperlink w:anchor="_Toc57314102" w:history="1">
            <w:r w:rsidR="0052786D" w:rsidRPr="00E424C8">
              <w:rPr>
                <w:rStyle w:val="Hyperlink"/>
                <w:rFonts w:ascii="Tahoma" w:hAnsi="Tahoma" w:cs="Tahoma"/>
                <w:noProof/>
              </w:rPr>
              <w:t>F9.1 - Pass Through Event Expenditure</w:t>
            </w:r>
            <w:r w:rsidR="0052786D">
              <w:rPr>
                <w:noProof/>
                <w:webHidden/>
              </w:rPr>
              <w:tab/>
            </w:r>
            <w:r w:rsidR="0052786D">
              <w:rPr>
                <w:noProof/>
                <w:webHidden/>
              </w:rPr>
              <w:fldChar w:fldCharType="begin"/>
            </w:r>
            <w:r w:rsidR="0052786D">
              <w:rPr>
                <w:noProof/>
                <w:webHidden/>
              </w:rPr>
              <w:instrText xml:space="preserve"> PAGEREF _Toc57314102 \h </w:instrText>
            </w:r>
            <w:r w:rsidR="0052786D">
              <w:rPr>
                <w:noProof/>
                <w:webHidden/>
              </w:rPr>
            </w:r>
            <w:r w:rsidR="0052786D">
              <w:rPr>
                <w:noProof/>
                <w:webHidden/>
              </w:rPr>
              <w:fldChar w:fldCharType="separate"/>
            </w:r>
            <w:r w:rsidR="0052786D">
              <w:rPr>
                <w:noProof/>
                <w:webHidden/>
              </w:rPr>
              <w:t>123</w:t>
            </w:r>
            <w:r w:rsidR="0052786D">
              <w:rPr>
                <w:noProof/>
                <w:webHidden/>
              </w:rPr>
              <w:fldChar w:fldCharType="end"/>
            </w:r>
          </w:hyperlink>
        </w:p>
        <w:p w14:paraId="3A2621B9" w14:textId="52274521" w:rsidR="0052786D" w:rsidRDefault="00297570">
          <w:pPr>
            <w:pStyle w:val="TOC1"/>
            <w:tabs>
              <w:tab w:val="right" w:leader="dot" w:pos="9016"/>
            </w:tabs>
            <w:rPr>
              <w:rFonts w:asciiTheme="minorHAnsi" w:eastAsiaTheme="minorEastAsia" w:hAnsiTheme="minorHAnsi"/>
              <w:noProof/>
              <w:color w:val="auto"/>
              <w:lang w:eastAsia="en-AU"/>
            </w:rPr>
          </w:pPr>
          <w:hyperlink w:anchor="_Toc57314103" w:history="1">
            <w:r w:rsidR="0052786D" w:rsidRPr="00E424C8">
              <w:rPr>
                <w:rStyle w:val="Hyperlink"/>
                <w:rFonts w:cs="Tahoma"/>
                <w:b/>
                <w:noProof/>
              </w:rPr>
              <w:t>F10. Assets</w:t>
            </w:r>
            <w:r w:rsidR="0052786D">
              <w:rPr>
                <w:noProof/>
                <w:webHidden/>
              </w:rPr>
              <w:tab/>
            </w:r>
            <w:r w:rsidR="0052786D">
              <w:rPr>
                <w:noProof/>
                <w:webHidden/>
              </w:rPr>
              <w:fldChar w:fldCharType="begin"/>
            </w:r>
            <w:r w:rsidR="0052786D">
              <w:rPr>
                <w:noProof/>
                <w:webHidden/>
              </w:rPr>
              <w:instrText xml:space="preserve"> PAGEREF _Toc57314103 \h </w:instrText>
            </w:r>
            <w:r w:rsidR="0052786D">
              <w:rPr>
                <w:noProof/>
                <w:webHidden/>
              </w:rPr>
            </w:r>
            <w:r w:rsidR="0052786D">
              <w:rPr>
                <w:noProof/>
                <w:webHidden/>
              </w:rPr>
              <w:fldChar w:fldCharType="separate"/>
            </w:r>
            <w:r w:rsidR="0052786D">
              <w:rPr>
                <w:noProof/>
                <w:webHidden/>
              </w:rPr>
              <w:t>124</w:t>
            </w:r>
            <w:r w:rsidR="0052786D">
              <w:rPr>
                <w:noProof/>
                <w:webHidden/>
              </w:rPr>
              <w:fldChar w:fldCharType="end"/>
            </w:r>
          </w:hyperlink>
        </w:p>
        <w:p w14:paraId="63E8948A" w14:textId="15BD11A2" w:rsidR="0052786D" w:rsidRDefault="00297570">
          <w:pPr>
            <w:pStyle w:val="TOC2"/>
            <w:tabs>
              <w:tab w:val="right" w:leader="dot" w:pos="9016"/>
            </w:tabs>
            <w:rPr>
              <w:rFonts w:eastAsiaTheme="minorEastAsia"/>
              <w:noProof/>
              <w:lang w:eastAsia="en-AU"/>
            </w:rPr>
          </w:pPr>
          <w:hyperlink w:anchor="_Toc57314104" w:history="1">
            <w:r w:rsidR="0052786D" w:rsidRPr="00E424C8">
              <w:rPr>
                <w:rStyle w:val="Hyperlink"/>
                <w:rFonts w:ascii="Tahoma" w:hAnsi="Tahoma" w:cs="Tahoma"/>
                <w:noProof/>
              </w:rPr>
              <w:t>F10.1 – Capital Base Values</w:t>
            </w:r>
            <w:r w:rsidR="0052786D">
              <w:rPr>
                <w:noProof/>
                <w:webHidden/>
              </w:rPr>
              <w:tab/>
            </w:r>
            <w:r w:rsidR="0052786D">
              <w:rPr>
                <w:noProof/>
                <w:webHidden/>
              </w:rPr>
              <w:fldChar w:fldCharType="begin"/>
            </w:r>
            <w:r w:rsidR="0052786D">
              <w:rPr>
                <w:noProof/>
                <w:webHidden/>
              </w:rPr>
              <w:instrText xml:space="preserve"> PAGEREF _Toc57314104 \h </w:instrText>
            </w:r>
            <w:r w:rsidR="0052786D">
              <w:rPr>
                <w:noProof/>
                <w:webHidden/>
              </w:rPr>
            </w:r>
            <w:r w:rsidR="0052786D">
              <w:rPr>
                <w:noProof/>
                <w:webHidden/>
              </w:rPr>
              <w:fldChar w:fldCharType="separate"/>
            </w:r>
            <w:r w:rsidR="0052786D">
              <w:rPr>
                <w:noProof/>
                <w:webHidden/>
              </w:rPr>
              <w:t>124</w:t>
            </w:r>
            <w:r w:rsidR="0052786D">
              <w:rPr>
                <w:noProof/>
                <w:webHidden/>
              </w:rPr>
              <w:fldChar w:fldCharType="end"/>
            </w:r>
          </w:hyperlink>
        </w:p>
        <w:p w14:paraId="6C976645" w14:textId="673D7349" w:rsidR="0052786D" w:rsidRDefault="00297570">
          <w:pPr>
            <w:pStyle w:val="TOC1"/>
            <w:tabs>
              <w:tab w:val="right" w:leader="dot" w:pos="9016"/>
            </w:tabs>
            <w:rPr>
              <w:rFonts w:asciiTheme="minorHAnsi" w:eastAsiaTheme="minorEastAsia" w:hAnsiTheme="minorHAnsi"/>
              <w:noProof/>
              <w:color w:val="auto"/>
              <w:lang w:eastAsia="en-AU"/>
            </w:rPr>
          </w:pPr>
          <w:hyperlink w:anchor="_Toc57314105" w:history="1">
            <w:r w:rsidR="0052786D" w:rsidRPr="00E424C8">
              <w:rPr>
                <w:rStyle w:val="Hyperlink"/>
                <w:rFonts w:eastAsiaTheme="majorEastAsia" w:cs="Tahoma"/>
                <w:b/>
                <w:noProof/>
              </w:rPr>
              <w:t>Appendix A: Cost Collection and Reporting Process - Capex</w:t>
            </w:r>
            <w:r w:rsidR="0052786D">
              <w:rPr>
                <w:noProof/>
                <w:webHidden/>
              </w:rPr>
              <w:tab/>
            </w:r>
            <w:r w:rsidR="0052786D">
              <w:rPr>
                <w:noProof/>
                <w:webHidden/>
              </w:rPr>
              <w:fldChar w:fldCharType="begin"/>
            </w:r>
            <w:r w:rsidR="0052786D">
              <w:rPr>
                <w:noProof/>
                <w:webHidden/>
              </w:rPr>
              <w:instrText xml:space="preserve"> PAGEREF _Toc57314105 \h </w:instrText>
            </w:r>
            <w:r w:rsidR="0052786D">
              <w:rPr>
                <w:noProof/>
                <w:webHidden/>
              </w:rPr>
            </w:r>
            <w:r w:rsidR="0052786D">
              <w:rPr>
                <w:noProof/>
                <w:webHidden/>
              </w:rPr>
              <w:fldChar w:fldCharType="separate"/>
            </w:r>
            <w:r w:rsidR="0052786D">
              <w:rPr>
                <w:noProof/>
                <w:webHidden/>
              </w:rPr>
              <w:t>125</w:t>
            </w:r>
            <w:r w:rsidR="0052786D">
              <w:rPr>
                <w:noProof/>
                <w:webHidden/>
              </w:rPr>
              <w:fldChar w:fldCharType="end"/>
            </w:r>
          </w:hyperlink>
        </w:p>
        <w:p w14:paraId="073B53BD" w14:textId="6A97FF0D" w:rsidR="0052786D" w:rsidRDefault="00297570">
          <w:pPr>
            <w:pStyle w:val="TOC1"/>
            <w:tabs>
              <w:tab w:val="right" w:leader="dot" w:pos="9016"/>
            </w:tabs>
            <w:rPr>
              <w:rFonts w:asciiTheme="minorHAnsi" w:eastAsiaTheme="minorEastAsia" w:hAnsiTheme="minorHAnsi"/>
              <w:noProof/>
              <w:color w:val="auto"/>
              <w:lang w:eastAsia="en-AU"/>
            </w:rPr>
          </w:pPr>
          <w:hyperlink w:anchor="_Toc57314106" w:history="1">
            <w:r w:rsidR="0052786D" w:rsidRPr="00E424C8">
              <w:rPr>
                <w:rStyle w:val="Hyperlink"/>
                <w:rFonts w:eastAsiaTheme="majorEastAsia" w:cs="Tahoma"/>
                <w:b/>
                <w:noProof/>
              </w:rPr>
              <w:t>Appendix B: Cost Collection and Reporting Process - Opex</w:t>
            </w:r>
            <w:r w:rsidR="0052786D">
              <w:rPr>
                <w:noProof/>
                <w:webHidden/>
              </w:rPr>
              <w:tab/>
            </w:r>
            <w:r w:rsidR="0052786D">
              <w:rPr>
                <w:noProof/>
                <w:webHidden/>
              </w:rPr>
              <w:fldChar w:fldCharType="begin"/>
            </w:r>
            <w:r w:rsidR="0052786D">
              <w:rPr>
                <w:noProof/>
                <w:webHidden/>
              </w:rPr>
              <w:instrText xml:space="preserve"> PAGEREF _Toc57314106 \h </w:instrText>
            </w:r>
            <w:r w:rsidR="0052786D">
              <w:rPr>
                <w:noProof/>
                <w:webHidden/>
              </w:rPr>
            </w:r>
            <w:r w:rsidR="0052786D">
              <w:rPr>
                <w:noProof/>
                <w:webHidden/>
              </w:rPr>
              <w:fldChar w:fldCharType="separate"/>
            </w:r>
            <w:r w:rsidR="0052786D">
              <w:rPr>
                <w:noProof/>
                <w:webHidden/>
              </w:rPr>
              <w:t>128</w:t>
            </w:r>
            <w:r w:rsidR="0052786D">
              <w:rPr>
                <w:noProof/>
                <w:webHidden/>
              </w:rPr>
              <w:fldChar w:fldCharType="end"/>
            </w:r>
          </w:hyperlink>
        </w:p>
        <w:p w14:paraId="0A083814" w14:textId="434B408C" w:rsidR="0052786D" w:rsidRDefault="00297570">
          <w:pPr>
            <w:pStyle w:val="TOC1"/>
            <w:tabs>
              <w:tab w:val="right" w:leader="dot" w:pos="9016"/>
            </w:tabs>
            <w:rPr>
              <w:rFonts w:asciiTheme="minorHAnsi" w:eastAsiaTheme="minorEastAsia" w:hAnsiTheme="minorHAnsi"/>
              <w:noProof/>
              <w:color w:val="auto"/>
              <w:lang w:eastAsia="en-AU"/>
            </w:rPr>
          </w:pPr>
          <w:hyperlink w:anchor="_Toc57314107" w:history="1">
            <w:r w:rsidR="0052786D" w:rsidRPr="00E424C8">
              <w:rPr>
                <w:rStyle w:val="Hyperlink"/>
                <w:rFonts w:eastAsiaTheme="majorEastAsia" w:cs="Tahoma"/>
                <w:b/>
                <w:noProof/>
              </w:rPr>
              <w:t>Appendix C: Overhead Expenditure</w:t>
            </w:r>
            <w:r w:rsidR="0052786D">
              <w:rPr>
                <w:noProof/>
                <w:webHidden/>
              </w:rPr>
              <w:tab/>
            </w:r>
            <w:r w:rsidR="0052786D">
              <w:rPr>
                <w:noProof/>
                <w:webHidden/>
              </w:rPr>
              <w:fldChar w:fldCharType="begin"/>
            </w:r>
            <w:r w:rsidR="0052786D">
              <w:rPr>
                <w:noProof/>
                <w:webHidden/>
              </w:rPr>
              <w:instrText xml:space="preserve"> PAGEREF _Toc57314107 \h </w:instrText>
            </w:r>
            <w:r w:rsidR="0052786D">
              <w:rPr>
                <w:noProof/>
                <w:webHidden/>
              </w:rPr>
            </w:r>
            <w:r w:rsidR="0052786D">
              <w:rPr>
                <w:noProof/>
                <w:webHidden/>
              </w:rPr>
              <w:fldChar w:fldCharType="separate"/>
            </w:r>
            <w:r w:rsidR="0052786D">
              <w:rPr>
                <w:noProof/>
                <w:webHidden/>
              </w:rPr>
              <w:t>131</w:t>
            </w:r>
            <w:r w:rsidR="0052786D">
              <w:rPr>
                <w:noProof/>
                <w:webHidden/>
              </w:rPr>
              <w:fldChar w:fldCharType="end"/>
            </w:r>
          </w:hyperlink>
        </w:p>
        <w:p w14:paraId="785C1681" w14:textId="4967C8E8" w:rsidR="0052786D" w:rsidRDefault="00297570">
          <w:pPr>
            <w:pStyle w:val="TOC1"/>
            <w:tabs>
              <w:tab w:val="right" w:leader="dot" w:pos="9016"/>
            </w:tabs>
            <w:rPr>
              <w:rFonts w:asciiTheme="minorHAnsi" w:eastAsiaTheme="minorEastAsia" w:hAnsiTheme="minorHAnsi"/>
              <w:noProof/>
              <w:color w:val="auto"/>
              <w:lang w:eastAsia="en-AU"/>
            </w:rPr>
          </w:pPr>
          <w:hyperlink w:anchor="_Toc57314108" w:history="1">
            <w:r w:rsidR="0052786D" w:rsidRPr="00E424C8">
              <w:rPr>
                <w:rStyle w:val="Hyperlink"/>
                <w:rFonts w:eastAsiaTheme="majorEastAsia" w:cs="Tahoma"/>
                <w:b/>
                <w:noProof/>
              </w:rPr>
              <w:t>Appendix D: Related Party Transactions and Margins</w:t>
            </w:r>
            <w:r w:rsidR="0052786D">
              <w:rPr>
                <w:noProof/>
                <w:webHidden/>
              </w:rPr>
              <w:tab/>
            </w:r>
            <w:r w:rsidR="0052786D">
              <w:rPr>
                <w:noProof/>
                <w:webHidden/>
              </w:rPr>
              <w:fldChar w:fldCharType="begin"/>
            </w:r>
            <w:r w:rsidR="0052786D">
              <w:rPr>
                <w:noProof/>
                <w:webHidden/>
              </w:rPr>
              <w:instrText xml:space="preserve"> PAGEREF _Toc57314108 \h </w:instrText>
            </w:r>
            <w:r w:rsidR="0052786D">
              <w:rPr>
                <w:noProof/>
                <w:webHidden/>
              </w:rPr>
            </w:r>
            <w:r w:rsidR="0052786D">
              <w:rPr>
                <w:noProof/>
                <w:webHidden/>
              </w:rPr>
              <w:fldChar w:fldCharType="separate"/>
            </w:r>
            <w:r w:rsidR="0052786D">
              <w:rPr>
                <w:noProof/>
                <w:webHidden/>
              </w:rPr>
              <w:t>133</w:t>
            </w:r>
            <w:r w:rsidR="0052786D">
              <w:rPr>
                <w:noProof/>
                <w:webHidden/>
              </w:rPr>
              <w:fldChar w:fldCharType="end"/>
            </w:r>
          </w:hyperlink>
        </w:p>
        <w:p w14:paraId="7FD83863" w14:textId="6A50397D" w:rsidR="0052786D" w:rsidRDefault="00297570">
          <w:pPr>
            <w:pStyle w:val="TOC1"/>
            <w:tabs>
              <w:tab w:val="right" w:leader="dot" w:pos="9016"/>
            </w:tabs>
            <w:rPr>
              <w:rFonts w:asciiTheme="minorHAnsi" w:eastAsiaTheme="minorEastAsia" w:hAnsiTheme="minorHAnsi"/>
              <w:noProof/>
              <w:color w:val="auto"/>
              <w:lang w:eastAsia="en-AU"/>
            </w:rPr>
          </w:pPr>
          <w:hyperlink w:anchor="_Toc57314109" w:history="1">
            <w:r w:rsidR="0052786D" w:rsidRPr="00E424C8">
              <w:rPr>
                <w:rStyle w:val="Hyperlink"/>
                <w:rFonts w:eastAsiaTheme="majorEastAsia" w:cs="Tahoma"/>
                <w:b/>
                <w:noProof/>
              </w:rPr>
              <w:t>Appendix E: Regulatory accounting policy and other adjustments</w:t>
            </w:r>
            <w:r w:rsidR="0052786D">
              <w:rPr>
                <w:noProof/>
                <w:webHidden/>
              </w:rPr>
              <w:tab/>
            </w:r>
            <w:r w:rsidR="0052786D">
              <w:rPr>
                <w:noProof/>
                <w:webHidden/>
              </w:rPr>
              <w:fldChar w:fldCharType="begin"/>
            </w:r>
            <w:r w:rsidR="0052786D">
              <w:rPr>
                <w:noProof/>
                <w:webHidden/>
              </w:rPr>
              <w:instrText xml:space="preserve"> PAGEREF _Toc57314109 \h </w:instrText>
            </w:r>
            <w:r w:rsidR="0052786D">
              <w:rPr>
                <w:noProof/>
                <w:webHidden/>
              </w:rPr>
            </w:r>
            <w:r w:rsidR="0052786D">
              <w:rPr>
                <w:noProof/>
                <w:webHidden/>
              </w:rPr>
              <w:fldChar w:fldCharType="separate"/>
            </w:r>
            <w:r w:rsidR="0052786D">
              <w:rPr>
                <w:noProof/>
                <w:webHidden/>
              </w:rPr>
              <w:t>134</w:t>
            </w:r>
            <w:r w:rsidR="0052786D">
              <w:rPr>
                <w:noProof/>
                <w:webHidden/>
              </w:rPr>
              <w:fldChar w:fldCharType="end"/>
            </w:r>
          </w:hyperlink>
        </w:p>
        <w:p w14:paraId="24F832F7" w14:textId="436DB2AA" w:rsidR="0052786D" w:rsidRDefault="00297570">
          <w:pPr>
            <w:pStyle w:val="TOC1"/>
            <w:tabs>
              <w:tab w:val="right" w:leader="dot" w:pos="9016"/>
            </w:tabs>
            <w:rPr>
              <w:rFonts w:asciiTheme="minorHAnsi" w:eastAsiaTheme="minorEastAsia" w:hAnsiTheme="minorHAnsi"/>
              <w:noProof/>
              <w:color w:val="auto"/>
              <w:lang w:eastAsia="en-AU"/>
            </w:rPr>
          </w:pPr>
          <w:hyperlink w:anchor="_Toc57314110" w:history="1">
            <w:r w:rsidR="0052786D" w:rsidRPr="00E424C8">
              <w:rPr>
                <w:rStyle w:val="Hyperlink"/>
                <w:rFonts w:cs="Tahoma"/>
                <w:b/>
                <w:noProof/>
              </w:rPr>
              <w:t>Appendix F. Reconciliations for Adjustments between Audited Statutory Accounts and amounts reported for the SA Distribution Business</w:t>
            </w:r>
            <w:r w:rsidR="0052786D">
              <w:rPr>
                <w:noProof/>
                <w:webHidden/>
              </w:rPr>
              <w:tab/>
            </w:r>
            <w:r w:rsidR="0052786D">
              <w:rPr>
                <w:noProof/>
                <w:webHidden/>
              </w:rPr>
              <w:fldChar w:fldCharType="begin"/>
            </w:r>
            <w:r w:rsidR="0052786D">
              <w:rPr>
                <w:noProof/>
                <w:webHidden/>
              </w:rPr>
              <w:instrText xml:space="preserve"> PAGEREF _Toc57314110 \h </w:instrText>
            </w:r>
            <w:r w:rsidR="0052786D">
              <w:rPr>
                <w:noProof/>
                <w:webHidden/>
              </w:rPr>
            </w:r>
            <w:r w:rsidR="0052786D">
              <w:rPr>
                <w:noProof/>
                <w:webHidden/>
              </w:rPr>
              <w:fldChar w:fldCharType="separate"/>
            </w:r>
            <w:r w:rsidR="0052786D">
              <w:rPr>
                <w:noProof/>
                <w:webHidden/>
              </w:rPr>
              <w:t>143</w:t>
            </w:r>
            <w:r w:rsidR="0052786D">
              <w:rPr>
                <w:noProof/>
                <w:webHidden/>
              </w:rPr>
              <w:fldChar w:fldCharType="end"/>
            </w:r>
          </w:hyperlink>
        </w:p>
        <w:p w14:paraId="60C7F117" w14:textId="7C3DA68C" w:rsidR="0052786D" w:rsidRDefault="00297570">
          <w:pPr>
            <w:pStyle w:val="TOC1"/>
            <w:tabs>
              <w:tab w:val="right" w:leader="dot" w:pos="9016"/>
            </w:tabs>
            <w:rPr>
              <w:rFonts w:asciiTheme="minorHAnsi" w:eastAsiaTheme="minorEastAsia" w:hAnsiTheme="minorHAnsi"/>
              <w:noProof/>
              <w:color w:val="auto"/>
              <w:lang w:eastAsia="en-AU"/>
            </w:rPr>
          </w:pPr>
          <w:hyperlink w:anchor="_Toc57314111" w:history="1">
            <w:r w:rsidR="0052786D" w:rsidRPr="00E424C8">
              <w:rPr>
                <w:rStyle w:val="Hyperlink"/>
                <w:rFonts w:cs="Tahoma"/>
                <w:b/>
                <w:noProof/>
              </w:rPr>
              <w:t>Appendix G. Methodology for the preparation of the AGN (SA) trial balance</w:t>
            </w:r>
            <w:r w:rsidR="0052786D">
              <w:rPr>
                <w:noProof/>
                <w:webHidden/>
              </w:rPr>
              <w:tab/>
            </w:r>
            <w:r w:rsidR="0052786D">
              <w:rPr>
                <w:noProof/>
                <w:webHidden/>
              </w:rPr>
              <w:fldChar w:fldCharType="begin"/>
            </w:r>
            <w:r w:rsidR="0052786D">
              <w:rPr>
                <w:noProof/>
                <w:webHidden/>
              </w:rPr>
              <w:instrText xml:space="preserve"> PAGEREF _Toc57314111 \h </w:instrText>
            </w:r>
            <w:r w:rsidR="0052786D">
              <w:rPr>
                <w:noProof/>
                <w:webHidden/>
              </w:rPr>
            </w:r>
            <w:r w:rsidR="0052786D">
              <w:rPr>
                <w:noProof/>
                <w:webHidden/>
              </w:rPr>
              <w:fldChar w:fldCharType="separate"/>
            </w:r>
            <w:r w:rsidR="0052786D">
              <w:rPr>
                <w:noProof/>
                <w:webHidden/>
              </w:rPr>
              <w:t>147</w:t>
            </w:r>
            <w:r w:rsidR="0052786D">
              <w:rPr>
                <w:noProof/>
                <w:webHidden/>
              </w:rPr>
              <w:fldChar w:fldCharType="end"/>
            </w:r>
          </w:hyperlink>
        </w:p>
        <w:p w14:paraId="7178E482" w14:textId="7D99875A" w:rsidR="0052786D" w:rsidRDefault="00297570">
          <w:pPr>
            <w:pStyle w:val="TOC1"/>
            <w:tabs>
              <w:tab w:val="right" w:leader="dot" w:pos="9016"/>
            </w:tabs>
            <w:rPr>
              <w:rFonts w:asciiTheme="minorHAnsi" w:eastAsiaTheme="minorEastAsia" w:hAnsiTheme="minorHAnsi"/>
              <w:noProof/>
              <w:color w:val="auto"/>
              <w:lang w:eastAsia="en-AU"/>
            </w:rPr>
          </w:pPr>
          <w:hyperlink w:anchor="_Toc57314112" w:history="1">
            <w:r w:rsidR="0052786D" w:rsidRPr="00E424C8">
              <w:rPr>
                <w:rStyle w:val="Hyperlink"/>
                <w:rFonts w:cs="Tahoma"/>
                <w:b/>
                <w:noProof/>
              </w:rPr>
              <w:t>Appendix H. Supplementary information relating to the policy documents provided with the Annual RIN submitted on 30 September 2020</w:t>
            </w:r>
            <w:r w:rsidR="0052786D">
              <w:rPr>
                <w:noProof/>
                <w:webHidden/>
              </w:rPr>
              <w:tab/>
            </w:r>
            <w:r w:rsidR="0052786D">
              <w:rPr>
                <w:noProof/>
                <w:webHidden/>
              </w:rPr>
              <w:fldChar w:fldCharType="begin"/>
            </w:r>
            <w:r w:rsidR="0052786D">
              <w:rPr>
                <w:noProof/>
                <w:webHidden/>
              </w:rPr>
              <w:instrText xml:space="preserve"> PAGEREF _Toc57314112 \h </w:instrText>
            </w:r>
            <w:r w:rsidR="0052786D">
              <w:rPr>
                <w:noProof/>
                <w:webHidden/>
              </w:rPr>
            </w:r>
            <w:r w:rsidR="0052786D">
              <w:rPr>
                <w:noProof/>
                <w:webHidden/>
              </w:rPr>
              <w:fldChar w:fldCharType="separate"/>
            </w:r>
            <w:r w:rsidR="0052786D">
              <w:rPr>
                <w:noProof/>
                <w:webHidden/>
              </w:rPr>
              <w:t>151</w:t>
            </w:r>
            <w:r w:rsidR="0052786D">
              <w:rPr>
                <w:noProof/>
                <w:webHidden/>
              </w:rPr>
              <w:fldChar w:fldCharType="end"/>
            </w:r>
          </w:hyperlink>
        </w:p>
        <w:p w14:paraId="6D18BC3B" w14:textId="73E42038" w:rsidR="00C059E5" w:rsidRDefault="00C059E5">
          <w:r>
            <w:fldChar w:fldCharType="end"/>
          </w:r>
        </w:p>
      </w:sdtContent>
    </w:sdt>
    <w:p w14:paraId="68FA06A3" w14:textId="77777777" w:rsidR="002A2C08" w:rsidRPr="00F02899" w:rsidRDefault="002A2C08">
      <w:pPr>
        <w:rPr>
          <w:rFonts w:ascii="Tahoma" w:hAnsi="Tahoma" w:cs="Tahoma"/>
        </w:rPr>
      </w:pPr>
    </w:p>
    <w:p w14:paraId="7FB4CB2A" w14:textId="224D995B" w:rsidR="00BE7356" w:rsidRPr="00210FA0" w:rsidRDefault="00BE7356" w:rsidP="00C059E5">
      <w:pPr>
        <w:pStyle w:val="Heading1"/>
        <w:rPr>
          <w:rFonts w:ascii="Tahoma" w:hAnsi="Tahoma" w:cs="Tahoma"/>
          <w:b/>
          <w:color w:val="003C71"/>
        </w:rPr>
      </w:pPr>
      <w:bookmarkStart w:id="1" w:name="_Toc57314048"/>
      <w:r w:rsidRPr="00210FA0">
        <w:rPr>
          <w:rFonts w:ascii="Tahoma" w:hAnsi="Tahoma" w:cs="Tahoma"/>
          <w:b/>
          <w:color w:val="003C71"/>
        </w:rPr>
        <w:lastRenderedPageBreak/>
        <w:t>Overview</w:t>
      </w:r>
      <w:bookmarkEnd w:id="1"/>
      <w:r w:rsidRPr="00210FA0">
        <w:rPr>
          <w:rFonts w:ascii="Tahoma" w:hAnsi="Tahoma" w:cs="Tahoma"/>
          <w:b/>
          <w:color w:val="003C71"/>
        </w:rPr>
        <w:t xml:space="preserve"> </w:t>
      </w:r>
    </w:p>
    <w:p w14:paraId="23410723" w14:textId="6E311509" w:rsidR="0018179F" w:rsidRDefault="0018179F">
      <w:pPr>
        <w:rPr>
          <w:rFonts w:ascii="Tahoma" w:hAnsi="Tahoma" w:cs="Tahoma"/>
          <w:b/>
        </w:rPr>
      </w:pPr>
    </w:p>
    <w:p w14:paraId="5EFADEFA" w14:textId="4A85B18C" w:rsidR="008B7889" w:rsidRDefault="00A90950">
      <w:pPr>
        <w:rPr>
          <w:rFonts w:ascii="Tahoma" w:hAnsi="Tahoma" w:cs="Tahoma"/>
        </w:rPr>
      </w:pPr>
      <w:r w:rsidRPr="00A90950">
        <w:rPr>
          <w:rFonts w:ascii="Tahoma" w:hAnsi="Tahoma" w:cs="Tahoma"/>
        </w:rPr>
        <w:t xml:space="preserve">The Australian Energy Regulator (AER) </w:t>
      </w:r>
      <w:r w:rsidR="00DC1193">
        <w:rPr>
          <w:rFonts w:ascii="Tahoma" w:hAnsi="Tahoma" w:cs="Tahoma"/>
        </w:rPr>
        <w:t>released</w:t>
      </w:r>
      <w:r w:rsidRPr="00A90950">
        <w:rPr>
          <w:rFonts w:ascii="Tahoma" w:hAnsi="Tahoma" w:cs="Tahoma"/>
        </w:rPr>
        <w:t xml:space="preserve"> the </w:t>
      </w:r>
      <w:r>
        <w:rPr>
          <w:rFonts w:ascii="Tahoma" w:hAnsi="Tahoma" w:cs="Tahoma"/>
        </w:rPr>
        <w:t>Annual Regulat</w:t>
      </w:r>
      <w:r w:rsidR="00DC1193">
        <w:rPr>
          <w:rFonts w:ascii="Tahoma" w:hAnsi="Tahoma" w:cs="Tahoma"/>
        </w:rPr>
        <w:t>ory Information Notice (RIN) for</w:t>
      </w:r>
      <w:r>
        <w:rPr>
          <w:rFonts w:ascii="Tahoma" w:hAnsi="Tahoma" w:cs="Tahoma"/>
        </w:rPr>
        <w:t xml:space="preserve"> A</w:t>
      </w:r>
      <w:r w:rsidR="00AA58E6">
        <w:rPr>
          <w:rFonts w:ascii="Tahoma" w:hAnsi="Tahoma" w:cs="Tahoma"/>
        </w:rPr>
        <w:t xml:space="preserve">ustralian </w:t>
      </w:r>
      <w:r>
        <w:rPr>
          <w:rFonts w:ascii="Tahoma" w:hAnsi="Tahoma" w:cs="Tahoma"/>
        </w:rPr>
        <w:t>G</w:t>
      </w:r>
      <w:r w:rsidR="00AA58E6">
        <w:rPr>
          <w:rFonts w:ascii="Tahoma" w:hAnsi="Tahoma" w:cs="Tahoma"/>
        </w:rPr>
        <w:t xml:space="preserve">as </w:t>
      </w:r>
      <w:r>
        <w:rPr>
          <w:rFonts w:ascii="Tahoma" w:hAnsi="Tahoma" w:cs="Tahoma"/>
        </w:rPr>
        <w:t>N</w:t>
      </w:r>
      <w:r w:rsidR="00AA58E6">
        <w:rPr>
          <w:rFonts w:ascii="Tahoma" w:hAnsi="Tahoma" w:cs="Tahoma"/>
        </w:rPr>
        <w:t>etworks (</w:t>
      </w:r>
      <w:r w:rsidR="00C5564A">
        <w:rPr>
          <w:rFonts w:ascii="Tahoma" w:hAnsi="Tahoma" w:cs="Tahoma"/>
        </w:rPr>
        <w:t xml:space="preserve">AGN) </w:t>
      </w:r>
      <w:r w:rsidR="00AA58E6">
        <w:rPr>
          <w:rFonts w:ascii="Tahoma" w:hAnsi="Tahoma" w:cs="Tahoma"/>
        </w:rPr>
        <w:t>South Australia</w:t>
      </w:r>
      <w:r w:rsidR="00C5564A">
        <w:rPr>
          <w:rFonts w:ascii="Tahoma" w:hAnsi="Tahoma" w:cs="Tahoma"/>
        </w:rPr>
        <w:t>n</w:t>
      </w:r>
      <w:r>
        <w:rPr>
          <w:rFonts w:ascii="Tahoma" w:hAnsi="Tahoma" w:cs="Tahoma"/>
        </w:rPr>
        <w:t xml:space="preserve"> </w:t>
      </w:r>
      <w:r w:rsidR="00C5564A">
        <w:rPr>
          <w:rFonts w:ascii="Tahoma" w:hAnsi="Tahoma" w:cs="Tahoma"/>
        </w:rPr>
        <w:t>(</w:t>
      </w:r>
      <w:r w:rsidR="00AA58E6">
        <w:rPr>
          <w:rFonts w:ascii="Tahoma" w:hAnsi="Tahoma" w:cs="Tahoma"/>
        </w:rPr>
        <w:t xml:space="preserve">SA) </w:t>
      </w:r>
      <w:r>
        <w:rPr>
          <w:rFonts w:ascii="Tahoma" w:hAnsi="Tahoma" w:cs="Tahoma"/>
        </w:rPr>
        <w:t>gas distribution network</w:t>
      </w:r>
      <w:r w:rsidR="00DC1193">
        <w:rPr>
          <w:rFonts w:ascii="Tahoma" w:hAnsi="Tahoma" w:cs="Tahoma"/>
        </w:rPr>
        <w:t>s</w:t>
      </w:r>
      <w:r>
        <w:rPr>
          <w:rFonts w:ascii="Tahoma" w:hAnsi="Tahoma" w:cs="Tahoma"/>
        </w:rPr>
        <w:t xml:space="preserve"> </w:t>
      </w:r>
      <w:r w:rsidR="00B5004C">
        <w:rPr>
          <w:rFonts w:ascii="Tahoma" w:hAnsi="Tahoma" w:cs="Tahoma"/>
        </w:rPr>
        <w:t xml:space="preserve">on </w:t>
      </w:r>
      <w:r w:rsidR="001463D1" w:rsidRPr="000C613C">
        <w:rPr>
          <w:rFonts w:ascii="Tahoma" w:hAnsi="Tahoma" w:cs="Tahoma"/>
        </w:rPr>
        <w:t xml:space="preserve">2 March 2020 </w:t>
      </w:r>
      <w:r w:rsidR="00DD0EB2" w:rsidRPr="001463D1">
        <w:rPr>
          <w:rFonts w:ascii="Tahoma" w:hAnsi="Tahoma" w:cs="Tahoma"/>
        </w:rPr>
        <w:t>under Section 46 of National Gas</w:t>
      </w:r>
      <w:r w:rsidRPr="00634625">
        <w:rPr>
          <w:rFonts w:ascii="Tahoma" w:hAnsi="Tahoma" w:cs="Tahoma"/>
        </w:rPr>
        <w:t xml:space="preserve"> Law (NGL), which requires AGN </w:t>
      </w:r>
      <w:r w:rsidR="00AA58E6" w:rsidRPr="00634625">
        <w:rPr>
          <w:rFonts w:ascii="Tahoma" w:hAnsi="Tahoma" w:cs="Tahoma"/>
        </w:rPr>
        <w:t xml:space="preserve">SA </w:t>
      </w:r>
      <w:r w:rsidRPr="00634625">
        <w:rPr>
          <w:rFonts w:ascii="Tahoma" w:hAnsi="Tahoma" w:cs="Tahoma"/>
        </w:rPr>
        <w:t>to</w:t>
      </w:r>
      <w:r>
        <w:rPr>
          <w:rFonts w:ascii="Tahoma" w:hAnsi="Tahoma" w:cs="Tahoma"/>
        </w:rPr>
        <w:t xml:space="preserve"> provide the information and prepare and maintain the information in the manner and form specified in the RIN.</w:t>
      </w:r>
    </w:p>
    <w:p w14:paraId="58137ECC" w14:textId="69451A4D" w:rsidR="003972C7" w:rsidRDefault="003972C7">
      <w:pPr>
        <w:rPr>
          <w:rFonts w:ascii="Tahoma" w:hAnsi="Tahoma" w:cs="Tahoma"/>
        </w:rPr>
      </w:pPr>
      <w:r>
        <w:rPr>
          <w:rFonts w:ascii="Tahoma" w:hAnsi="Tahoma" w:cs="Tahoma"/>
        </w:rPr>
        <w:t xml:space="preserve">The </w:t>
      </w:r>
      <w:r w:rsidR="00230670">
        <w:rPr>
          <w:rFonts w:ascii="Tahoma" w:hAnsi="Tahoma" w:cs="Tahoma"/>
        </w:rPr>
        <w:t xml:space="preserve">Variation to the RIN issued by the AER on 25 June 2020 </w:t>
      </w:r>
      <w:r>
        <w:rPr>
          <w:rFonts w:ascii="Tahoma" w:hAnsi="Tahoma" w:cs="Tahoma"/>
        </w:rPr>
        <w:t>requires AGN</w:t>
      </w:r>
      <w:r w:rsidR="00565944">
        <w:rPr>
          <w:rFonts w:ascii="Tahoma" w:hAnsi="Tahoma" w:cs="Tahoma"/>
        </w:rPr>
        <w:t xml:space="preserve"> SA </w:t>
      </w:r>
      <w:r>
        <w:rPr>
          <w:rFonts w:ascii="Tahoma" w:hAnsi="Tahoma" w:cs="Tahoma"/>
        </w:rPr>
        <w:t>to submit the information to the AER on or before 5 pm Australian Eastern Stand</w:t>
      </w:r>
      <w:r w:rsidR="006227D7">
        <w:rPr>
          <w:rFonts w:ascii="Tahoma" w:hAnsi="Tahoma" w:cs="Tahoma"/>
        </w:rPr>
        <w:t xml:space="preserve">ard Time on the following dates: </w:t>
      </w:r>
    </w:p>
    <w:p w14:paraId="39750004" w14:textId="552403FF" w:rsidR="00AA58E6" w:rsidRPr="003972C7" w:rsidRDefault="001463D1" w:rsidP="00AA58E6">
      <w:pPr>
        <w:pStyle w:val="ListParagraph"/>
        <w:numPr>
          <w:ilvl w:val="0"/>
          <w:numId w:val="6"/>
        </w:numPr>
        <w:rPr>
          <w:rFonts w:ascii="Tahoma" w:hAnsi="Tahoma" w:cs="Tahoma"/>
        </w:rPr>
      </w:pPr>
      <w:r>
        <w:rPr>
          <w:rFonts w:ascii="Tahoma" w:hAnsi="Tahoma" w:cs="Tahoma"/>
        </w:rPr>
        <w:t>30 November</w:t>
      </w:r>
      <w:r w:rsidR="00AA58E6">
        <w:rPr>
          <w:rFonts w:ascii="Tahoma" w:hAnsi="Tahoma" w:cs="Tahoma"/>
        </w:rPr>
        <w:t xml:space="preserve"> 2020 - W</w:t>
      </w:r>
      <w:r w:rsidR="00AA58E6" w:rsidRPr="003972C7">
        <w:rPr>
          <w:rFonts w:ascii="Tahoma" w:hAnsi="Tahoma" w:cs="Tahoma"/>
        </w:rPr>
        <w:t xml:space="preserve">orkbook 2 – Annual Performance Data </w:t>
      </w:r>
      <w:r w:rsidR="006227D7">
        <w:rPr>
          <w:rFonts w:ascii="Tahoma" w:hAnsi="Tahoma" w:cs="Tahoma"/>
        </w:rPr>
        <w:t xml:space="preserve">(for regulatory year </w:t>
      </w:r>
      <w:r w:rsidR="004605F3">
        <w:rPr>
          <w:rFonts w:ascii="Tahoma" w:hAnsi="Tahoma" w:cs="Tahoma"/>
        </w:rPr>
        <w:t>2019/</w:t>
      </w:r>
      <w:r w:rsidR="006227D7">
        <w:rPr>
          <w:rFonts w:ascii="Tahoma" w:hAnsi="Tahoma" w:cs="Tahoma"/>
        </w:rPr>
        <w:t xml:space="preserve">20). </w:t>
      </w:r>
    </w:p>
    <w:p w14:paraId="41D23C76" w14:textId="39665E4C" w:rsidR="00C3499D" w:rsidRPr="00C3499D" w:rsidRDefault="00C3499D">
      <w:pPr>
        <w:rPr>
          <w:rFonts w:ascii="Tahoma" w:hAnsi="Tahoma" w:cs="Tahoma"/>
          <w:color w:val="003C71"/>
        </w:rPr>
      </w:pPr>
      <w:r w:rsidRPr="00C3499D">
        <w:rPr>
          <w:rFonts w:ascii="Tahoma" w:hAnsi="Tahoma" w:cs="Tahoma"/>
          <w:color w:val="003C71"/>
        </w:rPr>
        <w:t xml:space="preserve">Basis of Preparation </w:t>
      </w:r>
    </w:p>
    <w:p w14:paraId="7E80DDD3" w14:textId="1EDD147C" w:rsidR="00225BF0" w:rsidRPr="00656440" w:rsidRDefault="00C3499D">
      <w:pPr>
        <w:rPr>
          <w:rFonts w:ascii="Tahoma" w:hAnsi="Tahoma" w:cs="Tahoma"/>
        </w:rPr>
      </w:pPr>
      <w:r>
        <w:rPr>
          <w:rFonts w:ascii="Tahoma" w:hAnsi="Tahoma" w:cs="Tahoma"/>
        </w:rPr>
        <w:t>In</w:t>
      </w:r>
      <w:r w:rsidR="00565944">
        <w:rPr>
          <w:rFonts w:ascii="Tahoma" w:hAnsi="Tahoma" w:cs="Tahoma"/>
        </w:rPr>
        <w:t xml:space="preserve"> accordance </w:t>
      </w:r>
      <w:r>
        <w:rPr>
          <w:rFonts w:ascii="Tahoma" w:hAnsi="Tahoma" w:cs="Tahoma"/>
        </w:rPr>
        <w:t>with</w:t>
      </w:r>
      <w:r w:rsidR="00565944">
        <w:rPr>
          <w:rFonts w:ascii="Tahoma" w:hAnsi="Tahoma" w:cs="Tahoma"/>
        </w:rPr>
        <w:t xml:space="preserve"> the requirements of </w:t>
      </w:r>
      <w:r w:rsidR="00565944" w:rsidRPr="00656440">
        <w:rPr>
          <w:rFonts w:ascii="Tahoma" w:hAnsi="Tahoma" w:cs="Tahoma"/>
        </w:rPr>
        <w:t>Section 1.2 of Schedule 2 of the RIN</w:t>
      </w:r>
      <w:r w:rsidR="00565944">
        <w:rPr>
          <w:rFonts w:ascii="Tahoma" w:hAnsi="Tahoma" w:cs="Tahoma"/>
        </w:rPr>
        <w:t xml:space="preserve">, </w:t>
      </w:r>
      <w:r w:rsidR="0099275D">
        <w:rPr>
          <w:rFonts w:ascii="Tahoma" w:hAnsi="Tahoma" w:cs="Tahoma"/>
        </w:rPr>
        <w:t>AGN</w:t>
      </w:r>
      <w:r w:rsidR="00565944">
        <w:rPr>
          <w:rFonts w:ascii="Tahoma" w:hAnsi="Tahoma" w:cs="Tahoma"/>
        </w:rPr>
        <w:t xml:space="preserve"> </w:t>
      </w:r>
      <w:r w:rsidR="004E5B16">
        <w:rPr>
          <w:rFonts w:ascii="Tahoma" w:hAnsi="Tahoma" w:cs="Tahoma"/>
        </w:rPr>
        <w:t xml:space="preserve">is required to </w:t>
      </w:r>
      <w:r w:rsidR="004E5B16" w:rsidRPr="00656440">
        <w:rPr>
          <w:rFonts w:ascii="Tahoma" w:hAnsi="Tahoma" w:cs="Tahoma"/>
        </w:rPr>
        <w:t xml:space="preserve">prepare a Basis of </w:t>
      </w:r>
      <w:r w:rsidR="00C5564A" w:rsidRPr="00656440">
        <w:rPr>
          <w:rFonts w:ascii="Tahoma" w:hAnsi="Tahoma" w:cs="Tahoma"/>
        </w:rPr>
        <w:t>Preparation, which</w:t>
      </w:r>
      <w:r w:rsidR="004E5B16">
        <w:rPr>
          <w:rFonts w:ascii="Tahoma" w:hAnsi="Tahoma" w:cs="Tahoma"/>
        </w:rPr>
        <w:t xml:space="preserve"> must for all information</w:t>
      </w:r>
      <w:r w:rsidR="00225BF0" w:rsidRPr="00656440">
        <w:rPr>
          <w:rFonts w:ascii="Tahoma" w:hAnsi="Tahoma" w:cs="Tahoma"/>
        </w:rPr>
        <w:t>:</w:t>
      </w:r>
    </w:p>
    <w:p w14:paraId="2954BCA3" w14:textId="2CCBC965" w:rsidR="00225BF0" w:rsidRPr="00656440" w:rsidRDefault="00225BF0" w:rsidP="00225BF0">
      <w:pPr>
        <w:pStyle w:val="ListParagraph"/>
        <w:numPr>
          <w:ilvl w:val="0"/>
          <w:numId w:val="2"/>
        </w:numPr>
        <w:rPr>
          <w:rFonts w:ascii="Tahoma" w:hAnsi="Tahoma" w:cs="Tahoma"/>
        </w:rPr>
      </w:pPr>
      <w:r w:rsidRPr="00656440">
        <w:rPr>
          <w:rFonts w:ascii="Tahoma" w:hAnsi="Tahoma" w:cs="Tahoma"/>
        </w:rPr>
        <w:t>demonstrate how the information provided is consistent with the requirements of the RIN;</w:t>
      </w:r>
    </w:p>
    <w:p w14:paraId="32D588DD" w14:textId="2702DE4E" w:rsidR="00225BF0" w:rsidRPr="00656440" w:rsidRDefault="00225BF0" w:rsidP="00225BF0">
      <w:pPr>
        <w:pStyle w:val="ListParagraph"/>
        <w:numPr>
          <w:ilvl w:val="0"/>
          <w:numId w:val="2"/>
        </w:numPr>
        <w:rPr>
          <w:rFonts w:ascii="Tahoma" w:hAnsi="Tahoma" w:cs="Tahoma"/>
        </w:rPr>
      </w:pPr>
      <w:r w:rsidRPr="00656440">
        <w:rPr>
          <w:rFonts w:ascii="Tahoma" w:hAnsi="Tahoma" w:cs="Tahoma"/>
        </w:rPr>
        <w:t>ex</w:t>
      </w:r>
      <w:r w:rsidR="0099275D">
        <w:rPr>
          <w:rFonts w:ascii="Tahoma" w:hAnsi="Tahoma" w:cs="Tahoma"/>
        </w:rPr>
        <w:t>plain the source from which AGN</w:t>
      </w:r>
      <w:r w:rsidR="005255F2">
        <w:rPr>
          <w:rFonts w:ascii="Tahoma" w:hAnsi="Tahoma" w:cs="Tahoma"/>
        </w:rPr>
        <w:t xml:space="preserve"> </w:t>
      </w:r>
      <w:r w:rsidRPr="00656440">
        <w:rPr>
          <w:rFonts w:ascii="Tahoma" w:hAnsi="Tahoma" w:cs="Tahoma"/>
        </w:rPr>
        <w:t xml:space="preserve">used to provide the information; </w:t>
      </w:r>
    </w:p>
    <w:p w14:paraId="44F06359" w14:textId="2093BE26" w:rsidR="00225BF0" w:rsidRPr="00656440" w:rsidRDefault="00225BF0" w:rsidP="00225BF0">
      <w:pPr>
        <w:pStyle w:val="ListParagraph"/>
        <w:numPr>
          <w:ilvl w:val="0"/>
          <w:numId w:val="2"/>
        </w:numPr>
        <w:rPr>
          <w:rFonts w:ascii="Tahoma" w:hAnsi="Tahoma" w:cs="Tahoma"/>
        </w:rPr>
      </w:pPr>
      <w:r w:rsidRPr="00656440">
        <w:rPr>
          <w:rFonts w:ascii="Tahoma" w:hAnsi="Tahoma" w:cs="Tahoma"/>
        </w:rPr>
        <w:t>explain the methodology AGN</w:t>
      </w:r>
      <w:r w:rsidR="0099275D">
        <w:rPr>
          <w:rFonts w:ascii="Tahoma" w:hAnsi="Tahoma" w:cs="Tahoma"/>
        </w:rPr>
        <w:t xml:space="preserve"> </w:t>
      </w:r>
      <w:r w:rsidRPr="00656440">
        <w:rPr>
          <w:rFonts w:ascii="Tahoma" w:hAnsi="Tahoma" w:cs="Tahoma"/>
        </w:rPr>
        <w:t xml:space="preserve">has applied to provide the required information, including any assumptions AGN has made; </w:t>
      </w:r>
    </w:p>
    <w:p w14:paraId="5591EBA1" w14:textId="77777777" w:rsidR="00CC4E51" w:rsidRDefault="00225BF0" w:rsidP="00656440">
      <w:pPr>
        <w:pStyle w:val="ListParagraph"/>
        <w:numPr>
          <w:ilvl w:val="0"/>
          <w:numId w:val="2"/>
        </w:numPr>
        <w:rPr>
          <w:rFonts w:ascii="Tahoma" w:hAnsi="Tahoma" w:cs="Tahoma"/>
        </w:rPr>
      </w:pPr>
      <w:r w:rsidRPr="00656440">
        <w:rPr>
          <w:rFonts w:ascii="Tahoma" w:hAnsi="Tahoma" w:cs="Tahoma"/>
        </w:rPr>
        <w:t>explain</w:t>
      </w:r>
      <w:r w:rsidR="00656440">
        <w:rPr>
          <w:rFonts w:ascii="Tahoma" w:hAnsi="Tahoma" w:cs="Tahoma"/>
        </w:rPr>
        <w:t xml:space="preserve"> where actual information could not be provided and explain why the estimate was required and the basis for the estimate</w:t>
      </w:r>
      <w:r w:rsidR="00CC4E51">
        <w:rPr>
          <w:rFonts w:ascii="Tahoma" w:hAnsi="Tahoma" w:cs="Tahoma"/>
        </w:rPr>
        <w:t xml:space="preserve">; and </w:t>
      </w:r>
    </w:p>
    <w:p w14:paraId="7C4DB3C5" w14:textId="7BD667E7" w:rsidR="00CC4E51" w:rsidRPr="00C43FD9" w:rsidRDefault="00CC4E51" w:rsidP="00CC4E51">
      <w:pPr>
        <w:pStyle w:val="ListParagraph"/>
        <w:numPr>
          <w:ilvl w:val="0"/>
          <w:numId w:val="2"/>
        </w:numPr>
        <w:rPr>
          <w:rFonts w:ascii="Tahoma" w:hAnsi="Tahoma" w:cs="Tahoma"/>
        </w:rPr>
      </w:pPr>
      <w:r w:rsidRPr="00C43FD9">
        <w:rPr>
          <w:rFonts w:ascii="Tahoma" w:hAnsi="Tahoma" w:cs="Tahoma"/>
        </w:rPr>
        <w:t>explain, in circumstances where the pipeline s</w:t>
      </w:r>
      <w:r w:rsidR="00A91A54">
        <w:rPr>
          <w:rFonts w:ascii="Tahoma" w:hAnsi="Tahoma" w:cs="Tahoma"/>
        </w:rPr>
        <w:t>ervice provider provides a ‘Null’</w:t>
      </w:r>
      <w:r w:rsidRPr="00C43FD9">
        <w:rPr>
          <w:rFonts w:ascii="Tahoma" w:hAnsi="Tahoma" w:cs="Tahoma"/>
        </w:rPr>
        <w:t xml:space="preserve"> response a</w:t>
      </w:r>
      <w:r w:rsidR="001E0CF8">
        <w:rPr>
          <w:rFonts w:ascii="Tahoma" w:hAnsi="Tahoma" w:cs="Tahoma"/>
        </w:rPr>
        <w:t>s an input for a variable, why A</w:t>
      </w:r>
      <w:r w:rsidRPr="00C43FD9">
        <w:rPr>
          <w:rFonts w:ascii="Tahoma" w:hAnsi="Tahoma" w:cs="Tahoma"/>
        </w:rPr>
        <w:t>GN believes the variable i</w:t>
      </w:r>
      <w:r>
        <w:rPr>
          <w:rFonts w:ascii="Tahoma" w:hAnsi="Tahoma" w:cs="Tahoma"/>
        </w:rPr>
        <w:t xml:space="preserve">s not applicable. </w:t>
      </w:r>
    </w:p>
    <w:p w14:paraId="552017BC" w14:textId="61BA358F" w:rsidR="00656440" w:rsidRDefault="00656440" w:rsidP="000C613C">
      <w:pPr>
        <w:pStyle w:val="ListParagraph"/>
        <w:rPr>
          <w:rFonts w:ascii="Tahoma" w:hAnsi="Tahoma" w:cs="Tahoma"/>
        </w:rPr>
      </w:pPr>
    </w:p>
    <w:p w14:paraId="1406CC0E" w14:textId="7C77E077" w:rsidR="007E7EE2" w:rsidRPr="00E70550" w:rsidRDefault="007E7EE2" w:rsidP="007E7EE2">
      <w:pPr>
        <w:jc w:val="both"/>
        <w:rPr>
          <w:rFonts w:ascii="Tahoma" w:hAnsi="Tahoma" w:cs="Tahoma"/>
        </w:rPr>
      </w:pPr>
      <w:r w:rsidRPr="00E70550">
        <w:rPr>
          <w:rFonts w:ascii="Tahoma" w:hAnsi="Tahoma" w:cs="Tahoma"/>
        </w:rPr>
        <w:t xml:space="preserve">To satisfy the requirements of </w:t>
      </w:r>
      <w:r w:rsidR="00E70550" w:rsidRPr="00E70550">
        <w:rPr>
          <w:rFonts w:ascii="Tahoma" w:hAnsi="Tahoma" w:cs="Tahoma"/>
        </w:rPr>
        <w:t xml:space="preserve">the RIN, </w:t>
      </w:r>
      <w:r w:rsidR="0099275D">
        <w:rPr>
          <w:rFonts w:ascii="Tahoma" w:hAnsi="Tahoma" w:cs="Tahoma"/>
        </w:rPr>
        <w:t xml:space="preserve">AGN </w:t>
      </w:r>
      <w:r w:rsidR="00E70550">
        <w:rPr>
          <w:rFonts w:ascii="Tahoma" w:hAnsi="Tahoma" w:cs="Tahoma"/>
        </w:rPr>
        <w:t xml:space="preserve">has prepared a Basis of Preparation (this </w:t>
      </w:r>
      <w:r w:rsidR="005255F2">
        <w:rPr>
          <w:rFonts w:ascii="Tahoma" w:hAnsi="Tahoma" w:cs="Tahoma"/>
        </w:rPr>
        <w:t>document</w:t>
      </w:r>
      <w:r w:rsidR="00E70550">
        <w:rPr>
          <w:rFonts w:ascii="Tahoma" w:hAnsi="Tahoma" w:cs="Tahoma"/>
        </w:rPr>
        <w:t xml:space="preserve">) </w:t>
      </w:r>
      <w:r w:rsidR="003B573D">
        <w:rPr>
          <w:rFonts w:ascii="Tahoma" w:hAnsi="Tahoma" w:cs="Tahoma"/>
        </w:rPr>
        <w:t>which is structured to reflect the same section headings used in the relevant workbooks with a table to include</w:t>
      </w:r>
      <w:r w:rsidR="00E70550">
        <w:rPr>
          <w:rFonts w:ascii="Tahoma" w:hAnsi="Tahoma" w:cs="Tahoma"/>
        </w:rPr>
        <w:t xml:space="preserve"> </w:t>
      </w:r>
      <w:r w:rsidR="003B573D">
        <w:rPr>
          <w:rFonts w:ascii="Tahoma" w:hAnsi="Tahoma" w:cs="Tahoma"/>
        </w:rPr>
        <w:t xml:space="preserve">the following </w:t>
      </w:r>
      <w:r w:rsidR="00E70550">
        <w:rPr>
          <w:rFonts w:ascii="Tahoma" w:hAnsi="Tahoma" w:cs="Tahoma"/>
        </w:rPr>
        <w:t>details to support the information provided</w:t>
      </w:r>
      <w:r w:rsidR="00554037">
        <w:rPr>
          <w:rFonts w:ascii="Tahoma" w:hAnsi="Tahoma" w:cs="Tahoma"/>
        </w:rPr>
        <w:t xml:space="preserve">: </w:t>
      </w:r>
    </w:p>
    <w:p w14:paraId="4FC8B648" w14:textId="3D3890D5" w:rsidR="005255F2" w:rsidRDefault="005255F2" w:rsidP="005255F2">
      <w:pPr>
        <w:pStyle w:val="ListParagraph"/>
        <w:numPr>
          <w:ilvl w:val="0"/>
          <w:numId w:val="2"/>
        </w:numPr>
        <w:rPr>
          <w:rFonts w:ascii="Tahoma" w:hAnsi="Tahoma" w:cs="Tahoma"/>
        </w:rPr>
      </w:pPr>
      <w:r>
        <w:rPr>
          <w:rFonts w:ascii="Tahoma" w:hAnsi="Tahoma" w:cs="Tahoma"/>
        </w:rPr>
        <w:t xml:space="preserve">data source of the information provided; </w:t>
      </w:r>
    </w:p>
    <w:p w14:paraId="39883A3D" w14:textId="6205B734" w:rsidR="00554037" w:rsidRPr="005255F2" w:rsidRDefault="00554037" w:rsidP="005255F2">
      <w:pPr>
        <w:pStyle w:val="ListParagraph"/>
        <w:numPr>
          <w:ilvl w:val="0"/>
          <w:numId w:val="2"/>
        </w:numPr>
        <w:rPr>
          <w:rFonts w:ascii="Tahoma" w:hAnsi="Tahoma" w:cs="Tahoma"/>
        </w:rPr>
      </w:pPr>
      <w:r w:rsidRPr="005255F2">
        <w:rPr>
          <w:rFonts w:ascii="Tahoma" w:hAnsi="Tahoma" w:cs="Tahoma"/>
        </w:rPr>
        <w:t xml:space="preserve">methodology and assumptions adopted to prepare the information; </w:t>
      </w:r>
    </w:p>
    <w:p w14:paraId="10FA783A" w14:textId="68174DFD" w:rsidR="007E7EE2" w:rsidRPr="00554037" w:rsidRDefault="007E7EE2" w:rsidP="00554037">
      <w:pPr>
        <w:pStyle w:val="ListParagraph"/>
        <w:numPr>
          <w:ilvl w:val="0"/>
          <w:numId w:val="2"/>
        </w:numPr>
        <w:rPr>
          <w:rFonts w:ascii="Tahoma" w:hAnsi="Tahoma" w:cs="Tahoma"/>
        </w:rPr>
      </w:pPr>
      <w:r w:rsidRPr="00554037">
        <w:rPr>
          <w:rFonts w:ascii="Tahoma" w:hAnsi="Tahoma" w:cs="Tahoma"/>
        </w:rPr>
        <w:t>classification as actual or estimated information, including appropriate justification if estimated;</w:t>
      </w:r>
      <w:r w:rsidR="009F5220">
        <w:rPr>
          <w:rFonts w:ascii="Tahoma" w:hAnsi="Tahoma" w:cs="Tahoma"/>
        </w:rPr>
        <w:t xml:space="preserve"> and </w:t>
      </w:r>
    </w:p>
    <w:p w14:paraId="679A6609" w14:textId="4810A98E" w:rsidR="007E7EE2" w:rsidRPr="00554037" w:rsidRDefault="007E7EE2" w:rsidP="00554037">
      <w:pPr>
        <w:pStyle w:val="ListParagraph"/>
        <w:numPr>
          <w:ilvl w:val="0"/>
          <w:numId w:val="2"/>
        </w:numPr>
        <w:rPr>
          <w:rFonts w:ascii="Tahoma" w:hAnsi="Tahoma" w:cs="Tahoma"/>
        </w:rPr>
      </w:pPr>
      <w:r w:rsidRPr="00554037">
        <w:rPr>
          <w:rFonts w:ascii="Tahoma" w:hAnsi="Tahoma" w:cs="Tahoma"/>
        </w:rPr>
        <w:t>any additional comments to assist users of the</w:t>
      </w:r>
      <w:r w:rsidR="00554037">
        <w:rPr>
          <w:rFonts w:ascii="Tahoma" w:hAnsi="Tahoma" w:cs="Tahoma"/>
        </w:rPr>
        <w:t xml:space="preserve"> information to understand the B</w:t>
      </w:r>
      <w:r w:rsidRPr="00554037">
        <w:rPr>
          <w:rFonts w:ascii="Tahoma" w:hAnsi="Tahoma" w:cs="Tahoma"/>
        </w:rPr>
        <w:t xml:space="preserve">asis of </w:t>
      </w:r>
      <w:r w:rsidR="00554037">
        <w:rPr>
          <w:rFonts w:ascii="Tahoma" w:hAnsi="Tahoma" w:cs="Tahoma"/>
        </w:rPr>
        <w:t>P</w:t>
      </w:r>
      <w:r w:rsidRPr="00554037">
        <w:rPr>
          <w:rFonts w:ascii="Tahoma" w:hAnsi="Tahoma" w:cs="Tahoma"/>
        </w:rPr>
        <w:t>reparation.</w:t>
      </w:r>
    </w:p>
    <w:p w14:paraId="336E57EC" w14:textId="77777777" w:rsidR="00D51055" w:rsidRDefault="00D51055">
      <w:pPr>
        <w:rPr>
          <w:rFonts w:ascii="Tahoma" w:hAnsi="Tahoma" w:cs="Tahoma"/>
        </w:rPr>
        <w:sectPr w:rsidR="00D51055" w:rsidSect="00704D4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pPr>
    </w:p>
    <w:p w14:paraId="019C680D" w14:textId="150672C9" w:rsidR="00BE7356" w:rsidRPr="00527955" w:rsidRDefault="00BE7356">
      <w:pPr>
        <w:rPr>
          <w:rFonts w:ascii="Tahoma" w:hAnsi="Tahoma" w:cs="Tahoma"/>
        </w:rPr>
        <w:sectPr w:rsidR="00BE7356" w:rsidRPr="00527955" w:rsidSect="00D51055">
          <w:type w:val="continuous"/>
          <w:pgSz w:w="11906" w:h="16838"/>
          <w:pgMar w:top="1440" w:right="1440" w:bottom="1440" w:left="1440" w:header="708" w:footer="708" w:gutter="0"/>
          <w:pgNumType w:start="1"/>
          <w:cols w:space="708"/>
          <w:titlePg/>
          <w:docGrid w:linePitch="360"/>
        </w:sectPr>
      </w:pPr>
    </w:p>
    <w:p w14:paraId="685061FC" w14:textId="77777777" w:rsidR="00F02899" w:rsidRPr="00C059E5" w:rsidRDefault="00F02899" w:rsidP="00C059E5">
      <w:pPr>
        <w:pStyle w:val="Heading1"/>
        <w:rPr>
          <w:rFonts w:ascii="Tahoma" w:hAnsi="Tahoma" w:cs="Tahoma"/>
          <w:b/>
          <w:color w:val="003C71"/>
        </w:rPr>
      </w:pPr>
      <w:bookmarkStart w:id="2" w:name="_Toc57314049"/>
      <w:r w:rsidRPr="00C059E5">
        <w:rPr>
          <w:rFonts w:ascii="Tahoma" w:hAnsi="Tahoma" w:cs="Tahoma"/>
          <w:b/>
          <w:color w:val="003C71"/>
        </w:rPr>
        <w:lastRenderedPageBreak/>
        <w:t>E1. Expenditure Summary</w:t>
      </w:r>
      <w:bookmarkEnd w:id="2"/>
      <w:r w:rsidRPr="00C059E5">
        <w:rPr>
          <w:rFonts w:ascii="Tahoma" w:hAnsi="Tahoma" w:cs="Tahoma"/>
          <w:b/>
          <w:color w:val="003C71"/>
        </w:rPr>
        <w:t xml:space="preserve"> </w:t>
      </w:r>
    </w:p>
    <w:p w14:paraId="1E8E5935" w14:textId="77777777" w:rsidR="00F02899" w:rsidRPr="00C059E5" w:rsidRDefault="00F02899" w:rsidP="00C059E5">
      <w:pPr>
        <w:pStyle w:val="Heading2"/>
        <w:rPr>
          <w:rFonts w:ascii="Tahoma" w:hAnsi="Tahoma" w:cs="Tahoma"/>
          <w:color w:val="003C71"/>
        </w:rPr>
      </w:pPr>
      <w:bookmarkStart w:id="3" w:name="_Toc57314050"/>
      <w:r w:rsidRPr="00C059E5">
        <w:rPr>
          <w:rFonts w:ascii="Tahoma" w:hAnsi="Tahoma" w:cs="Tahoma"/>
          <w:color w:val="003C71"/>
        </w:rPr>
        <w:t>E1.1 – Capex</w:t>
      </w:r>
      <w:bookmarkEnd w:id="3"/>
      <w:r w:rsidRPr="00C059E5">
        <w:rPr>
          <w:rFonts w:ascii="Tahoma" w:hAnsi="Tahoma" w:cs="Tahoma"/>
          <w:color w:val="003C71"/>
        </w:rPr>
        <w:t xml:space="preserve"> </w:t>
      </w:r>
    </w:p>
    <w:p w14:paraId="7D872E0C" w14:textId="77777777" w:rsidR="005B5F40" w:rsidRDefault="00F02899" w:rsidP="00BE7356">
      <w:pPr>
        <w:rPr>
          <w:rFonts w:ascii="Tahoma" w:hAnsi="Tahoma" w:cs="Tahoma"/>
          <w:color w:val="00B0F0"/>
        </w:rPr>
      </w:pPr>
      <w:r w:rsidRPr="00BE7356">
        <w:rPr>
          <w:rFonts w:ascii="Tahoma" w:hAnsi="Tahoma" w:cs="Tahoma"/>
          <w:color w:val="00B0F0"/>
        </w:rPr>
        <w:t>E1.1.1 – Reference Services</w:t>
      </w:r>
    </w:p>
    <w:tbl>
      <w:tblPr>
        <w:tblStyle w:val="UETableStyle"/>
        <w:tblW w:w="4991"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2176"/>
        <w:gridCol w:w="4570"/>
        <w:gridCol w:w="2210"/>
        <w:gridCol w:w="3121"/>
        <w:gridCol w:w="1856"/>
      </w:tblGrid>
      <w:tr w:rsidR="001C016D" w:rsidRPr="00751816" w14:paraId="390617AF" w14:textId="77777777" w:rsidTr="00D5579B">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781" w:type="pct"/>
            <w:tcBorders>
              <w:bottom w:val="single" w:sz="4" w:space="0" w:color="00B0F0"/>
            </w:tcBorders>
            <w:shd w:val="clear" w:color="auto" w:fill="003C71"/>
          </w:tcPr>
          <w:p w14:paraId="3BCFC281" w14:textId="590D4C9D" w:rsidR="00B5004C" w:rsidRPr="00751816" w:rsidRDefault="00B5004C" w:rsidP="005C36F2">
            <w:pPr>
              <w:rPr>
                <w:rFonts w:ascii="Tahoma" w:hAnsi="Tahoma" w:cs="Tahoma"/>
                <w:b/>
                <w:color w:val="FFFFFF"/>
                <w:sz w:val="20"/>
              </w:rPr>
            </w:pPr>
            <w:r w:rsidRPr="00751816">
              <w:rPr>
                <w:rFonts w:ascii="Tahoma" w:hAnsi="Tahoma" w:cs="Tahoma"/>
                <w:b/>
                <w:color w:val="FFFFFF"/>
                <w:sz w:val="20"/>
              </w:rPr>
              <w:t xml:space="preserve">Variable </w:t>
            </w:r>
          </w:p>
        </w:tc>
        <w:tc>
          <w:tcPr>
            <w:tcW w:w="1640" w:type="pct"/>
            <w:tcBorders>
              <w:bottom w:val="single" w:sz="4" w:space="0" w:color="00B0F0"/>
            </w:tcBorders>
            <w:shd w:val="clear" w:color="auto" w:fill="003C71"/>
          </w:tcPr>
          <w:p w14:paraId="2C659EF7" w14:textId="77777777" w:rsidR="00B5004C" w:rsidRPr="00751816" w:rsidRDefault="00B5004C"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793" w:type="pct"/>
            <w:tcBorders>
              <w:bottom w:val="single" w:sz="4" w:space="0" w:color="00B0F0"/>
            </w:tcBorders>
            <w:shd w:val="clear" w:color="auto" w:fill="003C71"/>
          </w:tcPr>
          <w:p w14:paraId="519023E0" w14:textId="77777777" w:rsidR="00B5004C" w:rsidRPr="00751816" w:rsidRDefault="00B5004C"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120" w:type="pct"/>
            <w:tcBorders>
              <w:bottom w:val="single" w:sz="4" w:space="0" w:color="00B0F0"/>
            </w:tcBorders>
            <w:shd w:val="clear" w:color="auto" w:fill="003C71"/>
          </w:tcPr>
          <w:p w14:paraId="21BD206B" w14:textId="77777777" w:rsidR="00B5004C" w:rsidRPr="00751816" w:rsidRDefault="00B5004C"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66" w:type="pct"/>
            <w:tcBorders>
              <w:bottom w:val="single" w:sz="4" w:space="0" w:color="00B0F0"/>
            </w:tcBorders>
            <w:shd w:val="clear" w:color="auto" w:fill="003C71"/>
          </w:tcPr>
          <w:p w14:paraId="6F916CC1" w14:textId="77777777" w:rsidR="00B5004C" w:rsidRPr="00751816" w:rsidRDefault="00B5004C"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1C016D" w:rsidRPr="00751816" w14:paraId="34EFB8C7" w14:textId="77777777" w:rsidTr="00D5579B">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36"/>
        </w:trPr>
        <w:tc>
          <w:tcPr>
            <w:cnfStyle w:val="001000000000" w:firstRow="0" w:lastRow="0" w:firstColumn="1" w:lastColumn="0" w:oddVBand="0" w:evenVBand="0" w:oddHBand="0" w:evenHBand="0" w:firstRowFirstColumn="0" w:firstRowLastColumn="0" w:lastRowFirstColumn="0" w:lastRowLastColumn="0"/>
            <w:tcW w:w="781" w:type="pct"/>
            <w:tcBorders>
              <w:top w:val="single" w:sz="4" w:space="0" w:color="00B0F0"/>
              <w:bottom w:val="single" w:sz="4" w:space="0" w:color="00B0F0"/>
            </w:tcBorders>
            <w:shd w:val="clear" w:color="auto" w:fill="00A3E0"/>
            <w:vAlign w:val="center"/>
          </w:tcPr>
          <w:p w14:paraId="75CCFA4B" w14:textId="7CFB51D4" w:rsidR="001C016D" w:rsidRPr="00751816" w:rsidRDefault="00D5579B" w:rsidP="005C36F2">
            <w:pPr>
              <w:spacing w:before="120" w:after="120" w:line="240" w:lineRule="atLeast"/>
              <w:contextualSpacing/>
              <w:rPr>
                <w:rFonts w:ascii="Tahoma" w:hAnsi="Tahoma" w:cs="Tahoma"/>
                <w:sz w:val="20"/>
              </w:rPr>
            </w:pPr>
            <w:r>
              <w:rPr>
                <w:rFonts w:ascii="Tahoma" w:hAnsi="Tahoma" w:cs="Tahoma"/>
                <w:sz w:val="20"/>
              </w:rPr>
              <w:t>2019/20</w:t>
            </w:r>
          </w:p>
        </w:tc>
        <w:tc>
          <w:tcPr>
            <w:tcW w:w="4219" w:type="pct"/>
            <w:gridSpan w:val="4"/>
            <w:tcBorders>
              <w:top w:val="single" w:sz="4" w:space="0" w:color="00B0F0"/>
              <w:left w:val="nil"/>
              <w:bottom w:val="single" w:sz="4" w:space="0" w:color="00B0F0"/>
              <w:right w:val="nil"/>
            </w:tcBorders>
            <w:shd w:val="clear" w:color="auto" w:fill="00A3E0"/>
          </w:tcPr>
          <w:p w14:paraId="2A0A586F" w14:textId="0619AE8F" w:rsidR="00435EDC" w:rsidRPr="00017B16" w:rsidRDefault="001C016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r>
              <w:rPr>
                <w:rFonts w:ascii="Tahoma" w:hAnsi="Tahoma" w:cs="Tahoma"/>
                <w:i/>
                <w:sz w:val="20"/>
              </w:rPr>
              <w:t xml:space="preserve">Refer to </w:t>
            </w:r>
            <w:r w:rsidRPr="00D44709">
              <w:rPr>
                <w:rFonts w:ascii="Tahoma" w:hAnsi="Tahoma" w:cs="Tahoma"/>
                <w:i/>
                <w:sz w:val="20"/>
              </w:rPr>
              <w:t>Appendices A and C</w:t>
            </w:r>
            <w:r w:rsidRPr="006C5573">
              <w:rPr>
                <w:rFonts w:ascii="Tahoma" w:hAnsi="Tahoma" w:cs="Tahoma"/>
                <w:i/>
                <w:sz w:val="20"/>
              </w:rPr>
              <w:t xml:space="preserve"> for a description of the systems and processes that support AGN Limited’s cost capture and reporting of Capex</w:t>
            </w:r>
            <w:r>
              <w:rPr>
                <w:rFonts w:ascii="Tahoma" w:hAnsi="Tahoma" w:cs="Tahoma"/>
                <w:i/>
                <w:sz w:val="20"/>
              </w:rPr>
              <w:t xml:space="preserve"> and</w:t>
            </w:r>
            <w:r w:rsidRPr="006C5573">
              <w:rPr>
                <w:rFonts w:ascii="Tahoma" w:hAnsi="Tahoma" w:cs="Tahoma"/>
                <w:i/>
                <w:sz w:val="20"/>
              </w:rPr>
              <w:t xml:space="preserve"> Overheads expenditure as presented below.</w:t>
            </w:r>
            <w:r w:rsidR="001A05B9">
              <w:rPr>
                <w:rFonts w:ascii="Tahoma" w:hAnsi="Tahoma" w:cs="Tahoma"/>
                <w:i/>
                <w:sz w:val="20"/>
              </w:rPr>
              <w:t xml:space="preserve">  </w:t>
            </w:r>
            <w:r w:rsidR="001A05B9" w:rsidRPr="00017B16">
              <w:rPr>
                <w:rFonts w:ascii="Tahoma" w:hAnsi="Tahoma" w:cs="Tahoma"/>
                <w:i/>
                <w:sz w:val="20"/>
              </w:rPr>
              <w:t xml:space="preserve">These systems and processes provide the necessary level of detail required for AGN Limited to </w:t>
            </w:r>
            <w:r w:rsidR="00435EDC" w:rsidRPr="00017B16">
              <w:rPr>
                <w:rFonts w:ascii="Tahoma" w:hAnsi="Tahoma" w:cs="Tahoma"/>
                <w:i/>
                <w:sz w:val="20"/>
              </w:rPr>
              <w:t>report against</w:t>
            </w:r>
            <w:r w:rsidR="001A05B9" w:rsidRPr="00017B16">
              <w:rPr>
                <w:rFonts w:ascii="Tahoma" w:hAnsi="Tahoma" w:cs="Tahoma"/>
                <w:i/>
                <w:sz w:val="20"/>
              </w:rPr>
              <w:t xml:space="preserve"> the categories and sub-categories of Capex </w:t>
            </w:r>
            <w:r w:rsidR="00435EDC" w:rsidRPr="00017B16">
              <w:rPr>
                <w:rFonts w:ascii="Tahoma" w:hAnsi="Tahoma" w:cs="Tahoma"/>
                <w:i/>
                <w:sz w:val="20"/>
              </w:rPr>
              <w:t xml:space="preserve">and Overheads </w:t>
            </w:r>
            <w:r w:rsidR="001A05B9" w:rsidRPr="00017B16">
              <w:rPr>
                <w:rFonts w:ascii="Tahoma" w:hAnsi="Tahoma" w:cs="Tahoma"/>
                <w:i/>
                <w:sz w:val="20"/>
              </w:rPr>
              <w:t>shown</w:t>
            </w:r>
            <w:r w:rsidR="00435EDC" w:rsidRPr="00017B16">
              <w:rPr>
                <w:rFonts w:ascii="Tahoma" w:hAnsi="Tahoma" w:cs="Tahoma"/>
                <w:i/>
                <w:sz w:val="20"/>
              </w:rPr>
              <w:t xml:space="preserve"> in the RIN templates</w:t>
            </w:r>
            <w:r w:rsidR="001A05B9" w:rsidRPr="00017B16">
              <w:rPr>
                <w:rFonts w:ascii="Tahoma" w:hAnsi="Tahoma" w:cs="Tahoma"/>
                <w:i/>
                <w:sz w:val="20"/>
              </w:rPr>
              <w:t xml:space="preserve">.  </w:t>
            </w:r>
          </w:p>
          <w:p w14:paraId="14870100" w14:textId="77777777" w:rsidR="00435EDC" w:rsidRPr="00017B16" w:rsidRDefault="00435ED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p>
          <w:p w14:paraId="5B437F8E" w14:textId="03CC2C92" w:rsidR="001C016D" w:rsidRDefault="001A05B9"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r w:rsidRPr="00017B16">
              <w:rPr>
                <w:rFonts w:ascii="Tahoma" w:hAnsi="Tahoma" w:cs="Tahoma"/>
                <w:i/>
                <w:sz w:val="20"/>
              </w:rPr>
              <w:t xml:space="preserve">However as required by the RIN notice, total Capex amounts have been derived from </w:t>
            </w:r>
            <w:r w:rsidR="00C00101">
              <w:rPr>
                <w:rFonts w:ascii="Tahoma" w:hAnsi="Tahoma" w:cs="Tahoma"/>
                <w:i/>
                <w:sz w:val="20"/>
              </w:rPr>
              <w:t xml:space="preserve">a </w:t>
            </w:r>
            <w:r w:rsidRPr="00017B16">
              <w:rPr>
                <w:rFonts w:ascii="Tahoma" w:hAnsi="Tahoma" w:cs="Tahoma"/>
                <w:i/>
                <w:sz w:val="20"/>
              </w:rPr>
              <w:t xml:space="preserve">trial balance </w:t>
            </w:r>
            <w:r w:rsidR="00C00101">
              <w:rPr>
                <w:rFonts w:ascii="Tahoma" w:hAnsi="Tahoma" w:cs="Tahoma"/>
                <w:i/>
                <w:sz w:val="20"/>
              </w:rPr>
              <w:t xml:space="preserve">prepared </w:t>
            </w:r>
            <w:r w:rsidRPr="00017B16">
              <w:rPr>
                <w:rFonts w:ascii="Tahoma" w:hAnsi="Tahoma" w:cs="Tahoma"/>
                <w:i/>
                <w:sz w:val="20"/>
              </w:rPr>
              <w:t>for AGN (SA)</w:t>
            </w:r>
            <w:r w:rsidR="00435EDC" w:rsidRPr="00017B16">
              <w:rPr>
                <w:rFonts w:ascii="Tahoma" w:hAnsi="Tahoma" w:cs="Tahoma"/>
                <w:i/>
                <w:sz w:val="20"/>
              </w:rPr>
              <w:t>.  The amounts of Capex reported in this table E1.1 – Capex have been fully reconciled to the related general ledger accounts that form the AGN (SA) trial balance, along with the supporting fixed assets register for the AGN (SA) assets.  These reconciliations have been provided to AGN Limited’s external auditors as part of the assurance process.  Refer to Appendix G for further information about the trial balance for AGN (SA)</w:t>
            </w:r>
            <w:r w:rsidR="00C00101">
              <w:rPr>
                <w:rFonts w:ascii="Tahoma" w:hAnsi="Tahoma" w:cs="Tahoma"/>
                <w:i/>
                <w:sz w:val="20"/>
              </w:rPr>
              <w:t xml:space="preserve"> and the actual financial information contained therein which has been audited</w:t>
            </w:r>
            <w:r w:rsidR="00435EDC" w:rsidRPr="00017B16">
              <w:rPr>
                <w:rFonts w:ascii="Tahoma" w:hAnsi="Tahoma" w:cs="Tahoma"/>
                <w:i/>
                <w:sz w:val="20"/>
              </w:rPr>
              <w:t>.</w:t>
            </w:r>
            <w:r w:rsidR="00435EDC">
              <w:rPr>
                <w:rFonts w:ascii="Tahoma" w:hAnsi="Tahoma" w:cs="Tahoma"/>
                <w:i/>
                <w:sz w:val="20"/>
              </w:rPr>
              <w:t xml:space="preserve"> </w:t>
            </w:r>
          </w:p>
          <w:p w14:paraId="47815BCD" w14:textId="77777777" w:rsidR="001C016D" w:rsidRDefault="001C016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p>
          <w:p w14:paraId="08D6D681" w14:textId="517463E3" w:rsidR="005A0598" w:rsidRPr="00751816" w:rsidRDefault="001C016D" w:rsidP="007802D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31620">
              <w:rPr>
                <w:rFonts w:ascii="Tahoma" w:hAnsi="Tahoma" w:cs="Tahoma"/>
                <w:i/>
                <w:sz w:val="20"/>
              </w:rPr>
              <w:t>Refer to the Regulatory Accounting Principles and Policies and Cost Allocation Methodology documents for guidance on certain expenditure categories that may be included or excluded from capex for regulatory purposes, and in relation to AGN Limited’s policies and processes for cost allocation.</w:t>
            </w:r>
          </w:p>
        </w:tc>
      </w:tr>
      <w:tr w:rsidR="00B5004C" w:rsidRPr="00751816" w14:paraId="7023CB96" w14:textId="77777777" w:rsidTr="00D5579B">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36"/>
        </w:trPr>
        <w:tc>
          <w:tcPr>
            <w:cnfStyle w:val="001000000000" w:firstRow="0" w:lastRow="0" w:firstColumn="1" w:lastColumn="0" w:oddVBand="0" w:evenVBand="0" w:oddHBand="0" w:evenHBand="0" w:firstRowFirstColumn="0" w:firstRowLastColumn="0" w:lastRowFirstColumn="0" w:lastRowLastColumn="0"/>
            <w:tcW w:w="781" w:type="pct"/>
            <w:tcBorders>
              <w:top w:val="single" w:sz="4" w:space="0" w:color="00B0F0"/>
              <w:bottom w:val="single" w:sz="4" w:space="0" w:color="00B0F0"/>
            </w:tcBorders>
            <w:vAlign w:val="center"/>
          </w:tcPr>
          <w:p w14:paraId="6B9080AF" w14:textId="77777777" w:rsidR="00B5004C" w:rsidRPr="00751816" w:rsidRDefault="00B5004C" w:rsidP="005C36F2">
            <w:pPr>
              <w:spacing w:before="120" w:after="120" w:line="240" w:lineRule="atLeast"/>
              <w:contextualSpacing/>
              <w:rPr>
                <w:rFonts w:ascii="Tahoma" w:hAnsi="Tahoma" w:cs="Tahoma"/>
                <w:sz w:val="20"/>
              </w:rPr>
            </w:pPr>
            <w:r w:rsidRPr="00751816">
              <w:rPr>
                <w:rFonts w:ascii="Tahoma" w:hAnsi="Tahoma" w:cs="Tahoma"/>
                <w:sz w:val="20"/>
              </w:rPr>
              <w:t xml:space="preserve">Connections </w:t>
            </w:r>
          </w:p>
        </w:tc>
        <w:tc>
          <w:tcPr>
            <w:tcW w:w="1640" w:type="pct"/>
            <w:tcBorders>
              <w:top w:val="single" w:sz="4" w:space="0" w:color="00B0F0"/>
              <w:left w:val="nil"/>
              <w:bottom w:val="single" w:sz="4" w:space="0" w:color="00B0F0"/>
              <w:right w:val="nil"/>
            </w:tcBorders>
          </w:tcPr>
          <w:p w14:paraId="21A5A3F9" w14:textId="77777777" w:rsidR="00B5004C"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BD4473">
              <w:rPr>
                <w:rFonts w:ascii="Tahoma" w:hAnsi="Tahoma" w:cs="Tahoma"/>
                <w:sz w:val="20"/>
              </w:rPr>
              <w:t>Capex reported as Connections relates to expenditure on connections established or to be established, in accordance with Part 12A of the NGR and applicable energy laws, where there is no existing connection. Connection means a physical link between the gas distribution network and a retail customer's premises to allow the flow of natural gas.</w:t>
            </w:r>
          </w:p>
          <w:p w14:paraId="6A905E99" w14:textId="77777777" w:rsidR="00B5004C"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F89F6F0" w14:textId="77777777" w:rsidR="00B5004C" w:rsidRPr="00B06B97"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w:t>
            </w:r>
            <w:r w:rsidRPr="00B06B97">
              <w:rPr>
                <w:rFonts w:ascii="Tahoma" w:hAnsi="Tahoma" w:cs="Tahoma"/>
                <w:sz w:val="20"/>
              </w:rPr>
              <w:t>ny activities that relate to extending the network to connect a new customer, has been treated as Connections and not as Augmentation.</w:t>
            </w:r>
          </w:p>
          <w:p w14:paraId="2AD3297C" w14:textId="77777777" w:rsidR="00B5004C"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B06B97">
              <w:rPr>
                <w:rFonts w:ascii="Tahoma" w:hAnsi="Tahoma" w:cs="Tahoma"/>
                <w:sz w:val="20"/>
              </w:rPr>
              <w:lastRenderedPageBreak/>
              <w:t>Augmentation expenditure has been identified as activities related to increasing the size or capacity of the pipeline</w:t>
            </w:r>
            <w:r>
              <w:rPr>
                <w:rFonts w:ascii="Tahoma" w:hAnsi="Tahoma" w:cs="Tahoma"/>
                <w:sz w:val="20"/>
              </w:rPr>
              <w:t>.</w:t>
            </w:r>
          </w:p>
          <w:p w14:paraId="01EB3ACA" w14:textId="77777777" w:rsidR="00B5004C"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83B0876" w14:textId="77777777" w:rsidR="00B5004C"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B06B97">
              <w:rPr>
                <w:rFonts w:ascii="Tahoma" w:hAnsi="Tahoma" w:cs="Tahoma"/>
                <w:sz w:val="20"/>
              </w:rPr>
              <w:t>Supply Mains projects have been treated as Connections expenditure because they are not increasing the size or capacity of the pipeline upstream of the new connection.</w:t>
            </w:r>
          </w:p>
          <w:p w14:paraId="4BC06FBC" w14:textId="77777777" w:rsidR="00B5004C"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08B5A1C" w14:textId="1E6A902F" w:rsidR="00B5004C" w:rsidRPr="003C3636"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Capex</w:t>
            </w:r>
            <w:r w:rsidRPr="003C3636">
              <w:rPr>
                <w:rFonts w:ascii="Tahoma" w:hAnsi="Tahoma" w:cs="Tahoma"/>
                <w:sz w:val="20"/>
              </w:rPr>
              <w:t xml:space="preserve"> reported for Connections has been identified with reference to the expenditure captured in APA’s Oracle finance system against </w:t>
            </w:r>
            <w:r>
              <w:rPr>
                <w:rFonts w:ascii="Tahoma" w:hAnsi="Tahoma" w:cs="Tahoma"/>
                <w:sz w:val="20"/>
              </w:rPr>
              <w:t xml:space="preserve">relevant </w:t>
            </w:r>
            <w:r w:rsidR="00821D18">
              <w:rPr>
                <w:rFonts w:ascii="Tahoma" w:hAnsi="Tahoma" w:cs="Tahoma"/>
                <w:sz w:val="20"/>
              </w:rPr>
              <w:t xml:space="preserve">“Development” task and </w:t>
            </w:r>
            <w:r>
              <w:rPr>
                <w:rFonts w:ascii="Tahoma" w:hAnsi="Tahoma" w:cs="Tahoma"/>
                <w:sz w:val="20"/>
              </w:rPr>
              <w:t>activity codes</w:t>
            </w:r>
            <w:r w:rsidR="00821D18">
              <w:rPr>
                <w:rFonts w:ascii="Tahoma" w:hAnsi="Tahoma" w:cs="Tahoma"/>
                <w:sz w:val="20"/>
              </w:rPr>
              <w:t xml:space="preserve">.  Task codes include General Mains, Inlets, Meters Domestic, </w:t>
            </w:r>
            <w:r w:rsidR="00AD02C3">
              <w:rPr>
                <w:rFonts w:ascii="Tahoma" w:hAnsi="Tahoma" w:cs="Tahoma"/>
                <w:sz w:val="20"/>
              </w:rPr>
              <w:t xml:space="preserve">Meters </w:t>
            </w:r>
            <w:r w:rsidR="00821D18">
              <w:rPr>
                <w:rFonts w:ascii="Tahoma" w:hAnsi="Tahoma" w:cs="Tahoma"/>
                <w:sz w:val="20"/>
              </w:rPr>
              <w:t>I&amp;C and I&amp;C&gt;10TJ, Large Consumers, Growth New Areas and Growth Infill, and Activity Codes</w:t>
            </w:r>
            <w:r>
              <w:rPr>
                <w:rFonts w:ascii="Tahoma" w:hAnsi="Tahoma" w:cs="Tahoma"/>
                <w:sz w:val="20"/>
              </w:rPr>
              <w:t xml:space="preserve"> with descriptions that include new mains, new or fabricated meters and new services.  </w:t>
            </w:r>
            <w:r w:rsidR="00821D18">
              <w:rPr>
                <w:rFonts w:ascii="Tahoma" w:hAnsi="Tahoma" w:cs="Tahoma"/>
                <w:sz w:val="20"/>
              </w:rPr>
              <w:t xml:space="preserve">This would cover all connection types including Electricity to Gas, New Homes, New Medium Density High Rise and I&amp;C Tariff and Contract.  </w:t>
            </w:r>
            <w:r>
              <w:rPr>
                <w:rFonts w:ascii="Tahoma" w:hAnsi="Tahoma" w:cs="Tahoma"/>
                <w:sz w:val="20"/>
              </w:rPr>
              <w:t>In addition to major projects that relate to supply mains and growth infill areas.</w:t>
            </w:r>
          </w:p>
          <w:p w14:paraId="2705D8D0" w14:textId="77777777" w:rsidR="00B5004C" w:rsidRPr="003C3636" w:rsidRDefault="00B5004C" w:rsidP="00897F62">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65B6820" w14:textId="77777777" w:rsidR="00B5004C"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Refer to </w:t>
            </w:r>
            <w:r w:rsidRPr="00D44709">
              <w:rPr>
                <w:rFonts w:ascii="Tahoma" w:hAnsi="Tahoma" w:cs="Tahoma"/>
                <w:sz w:val="20"/>
              </w:rPr>
              <w:t>Appendix E</w:t>
            </w:r>
            <w:r>
              <w:rPr>
                <w:rFonts w:ascii="Tahoma" w:hAnsi="Tahoma" w:cs="Tahoma"/>
                <w:sz w:val="20"/>
              </w:rPr>
              <w:t xml:space="preserve"> for a description of the adjustments made due to regulatory accounting policies.  Specifically see adjustment types:</w:t>
            </w:r>
          </w:p>
          <w:p w14:paraId="3BFA94CC" w14:textId="37FA844E" w:rsidR="00B5004C" w:rsidRPr="001C016D" w:rsidRDefault="00B5004C" w:rsidP="001C016D">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67E84">
              <w:rPr>
                <w:rFonts w:ascii="Tahoma" w:hAnsi="Tahoma" w:cs="Tahoma"/>
                <w:sz w:val="20"/>
              </w:rPr>
              <w:t>“</w:t>
            </w:r>
            <w:r>
              <w:rPr>
                <w:rFonts w:ascii="Tahoma" w:hAnsi="Tahoma" w:cs="Tahoma"/>
                <w:sz w:val="20"/>
              </w:rPr>
              <w:t>Marketing Rebates</w:t>
            </w:r>
            <w:r w:rsidRPr="00367E84">
              <w:rPr>
                <w:rFonts w:ascii="Tahoma" w:hAnsi="Tahoma" w:cs="Tahoma"/>
                <w:sz w:val="20"/>
              </w:rPr>
              <w:t xml:space="preserve">” for </w:t>
            </w:r>
            <w:r>
              <w:rPr>
                <w:rFonts w:ascii="Tahoma" w:hAnsi="Tahoma" w:cs="Tahoma"/>
                <w:sz w:val="20"/>
              </w:rPr>
              <w:t xml:space="preserve">expenditure </w:t>
            </w:r>
            <w:r w:rsidR="00BC133B">
              <w:rPr>
                <w:rFonts w:ascii="Tahoma" w:hAnsi="Tahoma" w:cs="Tahoma"/>
                <w:sz w:val="20"/>
              </w:rPr>
              <w:t xml:space="preserve">consistently </w:t>
            </w:r>
            <w:r>
              <w:rPr>
                <w:rFonts w:ascii="Tahoma" w:hAnsi="Tahoma" w:cs="Tahoma"/>
                <w:sz w:val="20"/>
              </w:rPr>
              <w:t>treated as Opex</w:t>
            </w:r>
            <w:r w:rsidR="001863B6">
              <w:rPr>
                <w:rFonts w:ascii="Tahoma" w:hAnsi="Tahoma" w:cs="Tahoma"/>
                <w:sz w:val="20"/>
              </w:rPr>
              <w:t xml:space="preserve"> for regulatory purposes and Capex for statutory accounting purposes</w:t>
            </w:r>
            <w:r w:rsidR="00BC133B">
              <w:rPr>
                <w:rFonts w:ascii="Tahoma" w:hAnsi="Tahoma" w:cs="Tahoma"/>
                <w:sz w:val="20"/>
              </w:rPr>
              <w:t>,</w:t>
            </w:r>
            <w:r w:rsidR="001863B6">
              <w:rPr>
                <w:rFonts w:ascii="Tahoma" w:hAnsi="Tahoma" w:cs="Tahoma"/>
                <w:sz w:val="20"/>
              </w:rPr>
              <w:t xml:space="preserve"> from 1 January 2016</w:t>
            </w:r>
            <w:r w:rsidR="00BC133B">
              <w:rPr>
                <w:rFonts w:ascii="Tahoma" w:hAnsi="Tahoma" w:cs="Tahoma"/>
                <w:sz w:val="20"/>
              </w:rPr>
              <w:t>.</w:t>
            </w:r>
          </w:p>
        </w:tc>
        <w:tc>
          <w:tcPr>
            <w:tcW w:w="793" w:type="pct"/>
            <w:tcBorders>
              <w:top w:val="single" w:sz="4" w:space="0" w:color="00B0F0"/>
              <w:left w:val="nil"/>
              <w:bottom w:val="single" w:sz="4" w:space="0" w:color="00B0F0"/>
              <w:right w:val="nil"/>
            </w:tcBorders>
            <w:vAlign w:val="center"/>
          </w:tcPr>
          <w:p w14:paraId="172B2D07" w14:textId="77777777" w:rsidR="00B5004C" w:rsidRPr="00751816" w:rsidRDefault="00B5004C" w:rsidP="006148C3">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20" w:type="pct"/>
            <w:tcBorders>
              <w:top w:val="single" w:sz="4" w:space="0" w:color="00B0F0"/>
              <w:left w:val="nil"/>
              <w:bottom w:val="single" w:sz="4" w:space="0" w:color="00B0F0"/>
              <w:right w:val="nil"/>
            </w:tcBorders>
          </w:tcPr>
          <w:p w14:paraId="6E6B33FE" w14:textId="77777777" w:rsidR="00B5004C" w:rsidRPr="00751816"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6" w:type="pct"/>
            <w:tcBorders>
              <w:top w:val="single" w:sz="4" w:space="0" w:color="00B0F0"/>
              <w:left w:val="nil"/>
              <w:bottom w:val="single" w:sz="4" w:space="0" w:color="00B0F0"/>
              <w:right w:val="nil"/>
            </w:tcBorders>
          </w:tcPr>
          <w:p w14:paraId="21B677EF" w14:textId="36F0290A" w:rsidR="00B5004C" w:rsidRPr="00751816" w:rsidRDefault="00B5004C" w:rsidP="005A059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B5004C" w:rsidRPr="00751816" w14:paraId="4BD39BBE" w14:textId="77777777" w:rsidTr="00D5579B">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17"/>
        </w:trPr>
        <w:tc>
          <w:tcPr>
            <w:cnfStyle w:val="001000000000" w:firstRow="0" w:lastRow="0" w:firstColumn="1" w:lastColumn="0" w:oddVBand="0" w:evenVBand="0" w:oddHBand="0" w:evenHBand="0" w:firstRowFirstColumn="0" w:firstRowLastColumn="0" w:lastRowFirstColumn="0" w:lastRowLastColumn="0"/>
            <w:tcW w:w="781" w:type="pct"/>
            <w:tcBorders>
              <w:top w:val="single" w:sz="4" w:space="0" w:color="00B0F0"/>
              <w:bottom w:val="single" w:sz="4" w:space="0" w:color="00B0F0"/>
            </w:tcBorders>
            <w:vAlign w:val="center"/>
          </w:tcPr>
          <w:p w14:paraId="28462970" w14:textId="77777777" w:rsidR="00B5004C" w:rsidRPr="00751816" w:rsidRDefault="00B5004C" w:rsidP="005C36F2">
            <w:pPr>
              <w:spacing w:before="120" w:after="120" w:line="240" w:lineRule="atLeast"/>
              <w:contextualSpacing/>
              <w:rPr>
                <w:rFonts w:ascii="Tahoma" w:hAnsi="Tahoma" w:cs="Tahoma"/>
                <w:sz w:val="20"/>
              </w:rPr>
            </w:pPr>
            <w:r w:rsidRPr="00751816">
              <w:rPr>
                <w:rFonts w:ascii="Tahoma" w:hAnsi="Tahoma" w:cs="Tahoma"/>
                <w:sz w:val="20"/>
              </w:rPr>
              <w:lastRenderedPageBreak/>
              <w:t xml:space="preserve">Mains Replacement </w:t>
            </w:r>
          </w:p>
        </w:tc>
        <w:tc>
          <w:tcPr>
            <w:tcW w:w="1640" w:type="pct"/>
            <w:tcBorders>
              <w:top w:val="single" w:sz="4" w:space="0" w:color="00B0F0"/>
              <w:left w:val="nil"/>
              <w:bottom w:val="single" w:sz="4" w:space="0" w:color="00B0F0"/>
              <w:right w:val="nil"/>
            </w:tcBorders>
          </w:tcPr>
          <w:p w14:paraId="26B06F8D" w14:textId="77777777" w:rsidR="00B5004C"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rPr>
            </w:pPr>
            <w:r>
              <w:rPr>
                <w:rFonts w:ascii="Tahoma" w:eastAsia="Times New Roman" w:hAnsi="Tahoma" w:cs="Tahoma"/>
                <w:sz w:val="20"/>
              </w:rPr>
              <w:t>Capex has been reported for Proactive and Reactive Mains Replacement projects.</w:t>
            </w:r>
          </w:p>
          <w:p w14:paraId="59B44119" w14:textId="77777777" w:rsidR="00B5004C"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rPr>
            </w:pPr>
          </w:p>
          <w:p w14:paraId="733243DB" w14:textId="77777777" w:rsidR="00B5004C"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rPr>
            </w:pPr>
            <w:r>
              <w:rPr>
                <w:rFonts w:ascii="Tahoma" w:eastAsia="Times New Roman" w:hAnsi="Tahoma" w:cs="Tahoma"/>
                <w:sz w:val="20"/>
              </w:rPr>
              <w:t>Proactive Mains Replacement projects includes p</w:t>
            </w:r>
            <w:r w:rsidRPr="003F7799">
              <w:rPr>
                <w:rFonts w:ascii="Tahoma" w:eastAsia="Times New Roman" w:hAnsi="Tahoma" w:cs="Tahoma"/>
                <w:sz w:val="20"/>
              </w:rPr>
              <w:t xml:space="preserve">rogrammed renewal of specific areas of </w:t>
            </w:r>
            <w:r w:rsidRPr="00C10600">
              <w:rPr>
                <w:rFonts w:ascii="Tahoma" w:eastAsia="Times New Roman" w:hAnsi="Tahoma" w:cs="Tahoma"/>
                <w:sz w:val="20"/>
              </w:rPr>
              <w:t>mains</w:t>
            </w:r>
            <w:r>
              <w:rPr>
                <w:rFonts w:ascii="Tahoma" w:eastAsia="Times New Roman" w:hAnsi="Tahoma" w:cs="Tahoma"/>
                <w:sz w:val="20"/>
              </w:rPr>
              <w:t>, s</w:t>
            </w:r>
            <w:r w:rsidRPr="003F7799">
              <w:rPr>
                <w:rFonts w:ascii="Tahoma" w:eastAsia="Times New Roman" w:hAnsi="Tahoma" w:cs="Tahoma"/>
                <w:sz w:val="20"/>
              </w:rPr>
              <w:t>pecified at a project</w:t>
            </w:r>
            <w:r w:rsidRPr="003F7799">
              <w:rPr>
                <w:rFonts w:ascii="Tahoma" w:eastAsia="Times New Roman" w:hAnsi="Tahoma" w:cs="Tahoma"/>
                <w:i/>
                <w:sz w:val="20"/>
              </w:rPr>
              <w:t xml:space="preserve"> </w:t>
            </w:r>
            <w:r w:rsidRPr="003F7799">
              <w:rPr>
                <w:rFonts w:ascii="Tahoma" w:eastAsia="Times New Roman" w:hAnsi="Tahoma" w:cs="Tahoma"/>
                <w:sz w:val="20"/>
              </w:rPr>
              <w:t>level.</w:t>
            </w:r>
          </w:p>
          <w:p w14:paraId="6A621859" w14:textId="77777777" w:rsidR="00B5004C" w:rsidRPr="00E32962" w:rsidRDefault="00B5004C" w:rsidP="00897F62">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04D0ED5" w14:textId="77777777" w:rsidR="00B5004C"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Reactive Mains Replacement projects includes u</w:t>
            </w:r>
            <w:r w:rsidRPr="003F7799">
              <w:rPr>
                <w:rFonts w:ascii="Tahoma" w:hAnsi="Tahoma" w:cs="Tahoma"/>
                <w:sz w:val="20"/>
              </w:rPr>
              <w:t>nplanned capital expenditure associated with mains replacement which is required where repairs are not possible and urgent replacement of mains is required to manage gas escape.</w:t>
            </w:r>
          </w:p>
          <w:p w14:paraId="373EEEED" w14:textId="77777777" w:rsidR="00B5004C"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460C302" w14:textId="109AA1AB" w:rsidR="00B5004C"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Capex for Mains Replacement </w:t>
            </w:r>
            <w:r w:rsidRPr="00E32962">
              <w:rPr>
                <w:rFonts w:ascii="Tahoma" w:hAnsi="Tahoma" w:cs="Tahoma"/>
                <w:sz w:val="20"/>
              </w:rPr>
              <w:t xml:space="preserve">projects </w:t>
            </w:r>
            <w:r w:rsidRPr="003C3636">
              <w:rPr>
                <w:rFonts w:ascii="Tahoma" w:hAnsi="Tahoma" w:cs="Tahoma"/>
                <w:sz w:val="20"/>
              </w:rPr>
              <w:t xml:space="preserve">has been identified with reference to the expenditure captured in APA’s Oracle finance system against </w:t>
            </w:r>
            <w:r>
              <w:rPr>
                <w:rFonts w:ascii="Tahoma" w:hAnsi="Tahoma" w:cs="Tahoma"/>
                <w:sz w:val="20"/>
              </w:rPr>
              <w:t xml:space="preserve">relevant </w:t>
            </w:r>
            <w:r w:rsidR="00D961D5" w:rsidRPr="00D961D5">
              <w:rPr>
                <w:rFonts w:ascii="Tahoma" w:hAnsi="Tahoma" w:cs="Tahoma"/>
                <w:sz w:val="20"/>
              </w:rPr>
              <w:t>“Development</w:t>
            </w:r>
            <w:r w:rsidR="00BC133B">
              <w:rPr>
                <w:rFonts w:ascii="Tahoma" w:hAnsi="Tahoma" w:cs="Tahoma"/>
                <w:sz w:val="20"/>
              </w:rPr>
              <w:t xml:space="preserve">” </w:t>
            </w:r>
            <w:r w:rsidR="00D961D5" w:rsidRPr="00D961D5">
              <w:rPr>
                <w:rFonts w:ascii="Tahoma" w:hAnsi="Tahoma" w:cs="Tahoma"/>
                <w:sz w:val="20"/>
              </w:rPr>
              <w:t xml:space="preserve">and “Stay in Business” task and </w:t>
            </w:r>
            <w:r>
              <w:rPr>
                <w:rFonts w:ascii="Tahoma" w:hAnsi="Tahoma" w:cs="Tahoma"/>
                <w:sz w:val="20"/>
              </w:rPr>
              <w:t xml:space="preserve">activity codes. </w:t>
            </w:r>
            <w:r w:rsidR="00D961D5" w:rsidRPr="00D961D5">
              <w:rPr>
                <w:rFonts w:ascii="Tahoma" w:hAnsi="Tahoma" w:cs="Tahoma"/>
                <w:sz w:val="20"/>
              </w:rPr>
              <w:t>Task codes include Mains Renewal – No pressure change and Pressure Increase</w:t>
            </w:r>
            <w:r w:rsidR="00BC133B">
              <w:rPr>
                <w:rFonts w:ascii="Tahoma" w:hAnsi="Tahoma" w:cs="Tahoma"/>
                <w:sz w:val="20"/>
              </w:rPr>
              <w:t>,</w:t>
            </w:r>
            <w:r w:rsidR="00D961D5" w:rsidRPr="00D961D5">
              <w:rPr>
                <w:rFonts w:ascii="Tahoma" w:hAnsi="Tahoma" w:cs="Tahoma"/>
                <w:sz w:val="20"/>
              </w:rPr>
              <w:t xml:space="preserve"> and Activity codes with descriptions that include mains renewal and service renewal</w:t>
            </w:r>
            <w:r w:rsidR="00D961D5">
              <w:rPr>
                <w:rFonts w:ascii="Tahoma" w:hAnsi="Tahoma" w:cs="Tahoma"/>
                <w:sz w:val="20"/>
              </w:rPr>
              <w:t>.</w:t>
            </w:r>
          </w:p>
          <w:p w14:paraId="3839A906" w14:textId="77777777" w:rsidR="00B5004C" w:rsidRPr="00E32962"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7161177" w14:textId="77777777" w:rsidR="00B5004C" w:rsidRDefault="00B5004C" w:rsidP="00897F62">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Refer to </w:t>
            </w:r>
            <w:r w:rsidRPr="00D44709">
              <w:rPr>
                <w:rFonts w:ascii="Tahoma" w:hAnsi="Tahoma" w:cs="Tahoma"/>
                <w:sz w:val="20"/>
              </w:rPr>
              <w:t>Appendix E</w:t>
            </w:r>
            <w:r>
              <w:rPr>
                <w:rFonts w:ascii="Tahoma" w:hAnsi="Tahoma" w:cs="Tahoma"/>
                <w:sz w:val="20"/>
              </w:rPr>
              <w:t xml:space="preserve"> for a description of the adjustments made due to regulatory accounting policies.  Specifically see adjustment type:</w:t>
            </w:r>
          </w:p>
          <w:p w14:paraId="44A8C43E" w14:textId="1738DB77" w:rsidR="00B5004C" w:rsidRPr="00367E84" w:rsidRDefault="00B5004C" w:rsidP="00897F62">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67E84">
              <w:rPr>
                <w:rFonts w:ascii="Tahoma" w:hAnsi="Tahoma" w:cs="Tahoma"/>
                <w:sz w:val="20"/>
              </w:rPr>
              <w:t>“</w:t>
            </w:r>
            <w:r>
              <w:rPr>
                <w:rFonts w:ascii="Tahoma" w:hAnsi="Tahoma" w:cs="Tahoma"/>
                <w:sz w:val="20"/>
              </w:rPr>
              <w:t>Piecemeal Mains Replacement</w:t>
            </w:r>
            <w:r w:rsidRPr="00367E84">
              <w:rPr>
                <w:rFonts w:ascii="Tahoma" w:hAnsi="Tahoma" w:cs="Tahoma"/>
                <w:sz w:val="20"/>
              </w:rPr>
              <w:t xml:space="preserve">” where certain expenditure </w:t>
            </w:r>
            <w:r w:rsidR="001863B6">
              <w:rPr>
                <w:rFonts w:ascii="Tahoma" w:hAnsi="Tahoma" w:cs="Tahoma"/>
                <w:sz w:val="20"/>
              </w:rPr>
              <w:t>has consistently been</w:t>
            </w:r>
            <w:r w:rsidR="001863B6" w:rsidRPr="00367E84">
              <w:rPr>
                <w:rFonts w:ascii="Tahoma" w:hAnsi="Tahoma" w:cs="Tahoma"/>
                <w:sz w:val="20"/>
              </w:rPr>
              <w:t xml:space="preserve"> </w:t>
            </w:r>
            <w:r w:rsidRPr="00367E84">
              <w:rPr>
                <w:rFonts w:ascii="Tahoma" w:hAnsi="Tahoma" w:cs="Tahoma"/>
                <w:sz w:val="20"/>
              </w:rPr>
              <w:t>treated as Opex</w:t>
            </w:r>
            <w:r w:rsidR="001863B6">
              <w:rPr>
                <w:rFonts w:ascii="Tahoma" w:hAnsi="Tahoma" w:cs="Tahoma"/>
                <w:sz w:val="20"/>
              </w:rPr>
              <w:t xml:space="preserve"> </w:t>
            </w:r>
            <w:r w:rsidR="005E6F8D">
              <w:rPr>
                <w:rFonts w:ascii="Tahoma" w:hAnsi="Tahoma" w:cs="Tahoma"/>
                <w:sz w:val="20"/>
              </w:rPr>
              <w:t>for regulatory purposes</w:t>
            </w:r>
            <w:r>
              <w:rPr>
                <w:rFonts w:ascii="Tahoma" w:hAnsi="Tahoma" w:cs="Tahoma"/>
                <w:sz w:val="20"/>
              </w:rPr>
              <w:t>.</w:t>
            </w:r>
          </w:p>
          <w:p w14:paraId="197D5957" w14:textId="77777777" w:rsidR="00B5004C" w:rsidRDefault="00B5004C" w:rsidP="00897F62">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B71F779" w14:textId="7B481C80" w:rsidR="00B5004C" w:rsidRPr="00751816" w:rsidRDefault="00B5004C" w:rsidP="00897F62">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Due to the above mentioned regulatory accounting policy, all expenditure originally recorded against activities designated as “Piece” or “Piecemeal” has been transferred to operating </w:t>
            </w:r>
            <w:r>
              <w:rPr>
                <w:rFonts w:ascii="Tahoma" w:hAnsi="Tahoma" w:cs="Tahoma"/>
                <w:sz w:val="20"/>
              </w:rPr>
              <w:lastRenderedPageBreak/>
              <w:t>expenditure.  Therefore there is nil amount of capital expenditure to report for this activity against Mains Replacement.</w:t>
            </w:r>
          </w:p>
        </w:tc>
        <w:tc>
          <w:tcPr>
            <w:tcW w:w="793" w:type="pct"/>
            <w:tcBorders>
              <w:top w:val="single" w:sz="4" w:space="0" w:color="00B0F0"/>
              <w:left w:val="nil"/>
              <w:bottom w:val="single" w:sz="4" w:space="0" w:color="00B0F0"/>
              <w:right w:val="nil"/>
            </w:tcBorders>
            <w:vAlign w:val="center"/>
          </w:tcPr>
          <w:p w14:paraId="1E2FB034" w14:textId="77777777" w:rsidR="00B5004C" w:rsidRPr="00751816" w:rsidRDefault="00B5004C" w:rsidP="00897F6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20" w:type="pct"/>
            <w:tcBorders>
              <w:top w:val="single" w:sz="4" w:space="0" w:color="00B0F0"/>
              <w:left w:val="nil"/>
              <w:bottom w:val="single" w:sz="4" w:space="0" w:color="00B0F0"/>
              <w:right w:val="nil"/>
            </w:tcBorders>
          </w:tcPr>
          <w:p w14:paraId="26878D2A" w14:textId="77777777" w:rsidR="00B5004C" w:rsidRPr="00751816"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6" w:type="pct"/>
            <w:tcBorders>
              <w:top w:val="single" w:sz="4" w:space="0" w:color="00B0F0"/>
              <w:left w:val="nil"/>
              <w:bottom w:val="single" w:sz="4" w:space="0" w:color="00B0F0"/>
              <w:right w:val="nil"/>
            </w:tcBorders>
          </w:tcPr>
          <w:p w14:paraId="393F48AB" w14:textId="77777777" w:rsidR="00B5004C" w:rsidRPr="00751816"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B5004C" w:rsidRPr="00751816" w14:paraId="376152EF" w14:textId="77777777" w:rsidTr="00D5579B">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14"/>
        </w:trPr>
        <w:tc>
          <w:tcPr>
            <w:cnfStyle w:val="001000000000" w:firstRow="0" w:lastRow="0" w:firstColumn="1" w:lastColumn="0" w:oddVBand="0" w:evenVBand="0" w:oddHBand="0" w:evenHBand="0" w:firstRowFirstColumn="0" w:firstRowLastColumn="0" w:lastRowFirstColumn="0" w:lastRowLastColumn="0"/>
            <w:tcW w:w="781" w:type="pct"/>
            <w:tcBorders>
              <w:top w:val="single" w:sz="4" w:space="0" w:color="00B0F0"/>
              <w:bottom w:val="single" w:sz="4" w:space="0" w:color="00B0F0"/>
            </w:tcBorders>
            <w:vAlign w:val="center"/>
          </w:tcPr>
          <w:p w14:paraId="100A96C7" w14:textId="77777777" w:rsidR="00B5004C" w:rsidRPr="00751816" w:rsidRDefault="00B5004C" w:rsidP="005C36F2">
            <w:pPr>
              <w:spacing w:before="120" w:after="120" w:line="240" w:lineRule="atLeast"/>
              <w:contextualSpacing/>
              <w:rPr>
                <w:rFonts w:ascii="Tahoma" w:hAnsi="Tahoma" w:cs="Tahoma"/>
                <w:sz w:val="20"/>
              </w:rPr>
            </w:pPr>
            <w:r w:rsidRPr="00751816">
              <w:rPr>
                <w:rFonts w:ascii="Tahoma" w:hAnsi="Tahoma" w:cs="Tahoma"/>
                <w:sz w:val="20"/>
              </w:rPr>
              <w:t xml:space="preserve">Mains Augmentation </w:t>
            </w:r>
          </w:p>
        </w:tc>
        <w:tc>
          <w:tcPr>
            <w:tcW w:w="1640" w:type="pct"/>
            <w:tcBorders>
              <w:top w:val="single" w:sz="4" w:space="0" w:color="00B0F0"/>
              <w:left w:val="nil"/>
              <w:bottom w:val="single" w:sz="4" w:space="0" w:color="00B0F0"/>
              <w:right w:val="nil"/>
            </w:tcBorders>
          </w:tcPr>
          <w:p w14:paraId="0147001A" w14:textId="77777777" w:rsidR="00B5004C" w:rsidRPr="008934E9"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Mains Augmentation projects includes c</w:t>
            </w:r>
            <w:r w:rsidRPr="008934E9">
              <w:rPr>
                <w:rFonts w:ascii="Tahoma" w:hAnsi="Tahoma" w:cs="Tahoma"/>
                <w:sz w:val="20"/>
              </w:rPr>
              <w:t xml:space="preserve">apital expenditure incurred </w:t>
            </w:r>
            <w:r>
              <w:rPr>
                <w:rFonts w:ascii="Tahoma" w:hAnsi="Tahoma" w:cs="Tahoma"/>
                <w:sz w:val="20"/>
              </w:rPr>
              <w:t>on the AGN (SA) pipeline</w:t>
            </w:r>
            <w:r w:rsidRPr="008934E9">
              <w:rPr>
                <w:rFonts w:ascii="Tahoma" w:hAnsi="Tahoma" w:cs="Tahoma"/>
                <w:sz w:val="20"/>
              </w:rPr>
              <w:t xml:space="preserve"> due to a change in the capacity requirements of mains and services in the gas distribution network to meet the demands of existing and future customers.</w:t>
            </w:r>
          </w:p>
          <w:p w14:paraId="1BDB9494" w14:textId="77777777" w:rsidR="00B5004C" w:rsidRDefault="00B5004C" w:rsidP="00897F62">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438E90D" w14:textId="77877ED9" w:rsidR="00B5004C" w:rsidRPr="0093430F" w:rsidRDefault="00B5004C" w:rsidP="007802DD">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Capex for Mains Augmentation </w:t>
            </w:r>
            <w:r w:rsidRPr="00E32962">
              <w:rPr>
                <w:rFonts w:ascii="Tahoma" w:hAnsi="Tahoma" w:cs="Tahoma"/>
                <w:sz w:val="20"/>
              </w:rPr>
              <w:t xml:space="preserve">projects </w:t>
            </w:r>
            <w:r w:rsidRPr="003C3636">
              <w:rPr>
                <w:rFonts w:ascii="Tahoma" w:hAnsi="Tahoma" w:cs="Tahoma"/>
                <w:sz w:val="20"/>
              </w:rPr>
              <w:t xml:space="preserve">has been identified with reference to the expenditure captured in APA’s Oracle finance system against </w:t>
            </w:r>
            <w:r>
              <w:rPr>
                <w:rFonts w:ascii="Tahoma" w:hAnsi="Tahoma" w:cs="Tahoma"/>
                <w:sz w:val="20"/>
              </w:rPr>
              <w:t xml:space="preserve">relevant mains augmentation major projects and activity codes for new mains to improve supply. </w:t>
            </w:r>
          </w:p>
        </w:tc>
        <w:tc>
          <w:tcPr>
            <w:tcW w:w="793" w:type="pct"/>
            <w:tcBorders>
              <w:top w:val="single" w:sz="4" w:space="0" w:color="00B0F0"/>
              <w:left w:val="nil"/>
              <w:bottom w:val="single" w:sz="4" w:space="0" w:color="00B0F0"/>
              <w:right w:val="nil"/>
            </w:tcBorders>
            <w:vAlign w:val="center"/>
          </w:tcPr>
          <w:p w14:paraId="665159BC" w14:textId="77777777" w:rsidR="00B5004C" w:rsidRPr="00751816" w:rsidRDefault="00B5004C" w:rsidP="00897F6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20" w:type="pct"/>
            <w:tcBorders>
              <w:top w:val="single" w:sz="4" w:space="0" w:color="00B0F0"/>
              <w:left w:val="nil"/>
              <w:bottom w:val="single" w:sz="4" w:space="0" w:color="00B0F0"/>
              <w:right w:val="nil"/>
            </w:tcBorders>
          </w:tcPr>
          <w:p w14:paraId="59EC5C1C" w14:textId="77777777" w:rsidR="00B5004C" w:rsidRPr="00751816"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6" w:type="pct"/>
            <w:tcBorders>
              <w:top w:val="single" w:sz="4" w:space="0" w:color="00B0F0"/>
              <w:left w:val="nil"/>
              <w:bottom w:val="single" w:sz="4" w:space="0" w:color="00B0F0"/>
              <w:right w:val="nil"/>
            </w:tcBorders>
          </w:tcPr>
          <w:p w14:paraId="5B967DB4" w14:textId="77777777" w:rsidR="00B5004C" w:rsidRPr="00751816"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B5004C" w:rsidRPr="00751816" w14:paraId="4E9819BC" w14:textId="77777777" w:rsidTr="00D5579B">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14"/>
        </w:trPr>
        <w:tc>
          <w:tcPr>
            <w:cnfStyle w:val="001000000000" w:firstRow="0" w:lastRow="0" w:firstColumn="1" w:lastColumn="0" w:oddVBand="0" w:evenVBand="0" w:oddHBand="0" w:evenHBand="0" w:firstRowFirstColumn="0" w:firstRowLastColumn="0" w:lastRowFirstColumn="0" w:lastRowLastColumn="0"/>
            <w:tcW w:w="781" w:type="pct"/>
            <w:tcBorders>
              <w:top w:val="single" w:sz="4" w:space="0" w:color="00B0F0"/>
              <w:bottom w:val="single" w:sz="4" w:space="0" w:color="00B0F0"/>
            </w:tcBorders>
            <w:vAlign w:val="center"/>
          </w:tcPr>
          <w:p w14:paraId="2BB76DEC" w14:textId="77777777" w:rsidR="00B5004C" w:rsidRPr="00751816" w:rsidRDefault="00B5004C" w:rsidP="005C36F2">
            <w:pPr>
              <w:spacing w:before="120" w:after="120" w:line="240" w:lineRule="atLeast"/>
              <w:contextualSpacing/>
              <w:rPr>
                <w:rFonts w:ascii="Tahoma" w:hAnsi="Tahoma" w:cs="Tahoma"/>
                <w:sz w:val="20"/>
              </w:rPr>
            </w:pPr>
            <w:r w:rsidRPr="00751816">
              <w:rPr>
                <w:rFonts w:ascii="Tahoma" w:hAnsi="Tahoma" w:cs="Tahoma"/>
                <w:sz w:val="20"/>
              </w:rPr>
              <w:t xml:space="preserve">Telemetry </w:t>
            </w:r>
          </w:p>
        </w:tc>
        <w:tc>
          <w:tcPr>
            <w:tcW w:w="1640" w:type="pct"/>
            <w:tcBorders>
              <w:top w:val="single" w:sz="4" w:space="0" w:color="00B0F0"/>
              <w:left w:val="nil"/>
              <w:bottom w:val="single" w:sz="4" w:space="0" w:color="00B0F0"/>
              <w:right w:val="nil"/>
            </w:tcBorders>
          </w:tcPr>
          <w:p w14:paraId="3700BB12" w14:textId="77777777" w:rsidR="00B5004C"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rPr>
            </w:pPr>
            <w:r>
              <w:rPr>
                <w:rFonts w:ascii="Tahoma" w:eastAsia="Times New Roman" w:hAnsi="Tahoma" w:cs="Tahoma"/>
                <w:sz w:val="20"/>
              </w:rPr>
              <w:t>Telemetry projects includes c</w:t>
            </w:r>
            <w:r w:rsidRPr="00A21FC3">
              <w:rPr>
                <w:rFonts w:ascii="Tahoma" w:eastAsia="Times New Roman" w:hAnsi="Tahoma" w:cs="Tahoma"/>
                <w:sz w:val="20"/>
              </w:rPr>
              <w:t xml:space="preserve">apital expenditure incurred in the replacement of SCADA </w:t>
            </w:r>
            <w:r>
              <w:rPr>
                <w:rFonts w:ascii="Tahoma" w:eastAsia="Times New Roman" w:hAnsi="Tahoma" w:cs="Tahoma"/>
                <w:sz w:val="20"/>
              </w:rPr>
              <w:t>(</w:t>
            </w:r>
            <w:r w:rsidRPr="00F17EE5">
              <w:rPr>
                <w:rFonts w:ascii="Tahoma" w:hAnsi="Tahoma" w:cs="Tahoma"/>
                <w:sz w:val="20"/>
              </w:rPr>
              <w:t>Supervisory control and data acquisition</w:t>
            </w:r>
            <w:r>
              <w:rPr>
                <w:rFonts w:ascii="Tahoma" w:hAnsi="Tahoma" w:cs="Tahoma"/>
                <w:sz w:val="20"/>
              </w:rPr>
              <w:t xml:space="preserve">) </w:t>
            </w:r>
            <w:r>
              <w:rPr>
                <w:rFonts w:ascii="Tahoma" w:eastAsia="Times New Roman" w:hAnsi="Tahoma" w:cs="Tahoma"/>
                <w:sz w:val="20"/>
              </w:rPr>
              <w:t xml:space="preserve">equipment </w:t>
            </w:r>
            <w:r w:rsidRPr="00A21FC3">
              <w:rPr>
                <w:rFonts w:ascii="Tahoma" w:eastAsia="Times New Roman" w:hAnsi="Tahoma" w:cs="Tahoma"/>
                <w:sz w:val="20"/>
              </w:rPr>
              <w:t xml:space="preserve">operating in the network due to the condition of the assets. </w:t>
            </w:r>
          </w:p>
          <w:p w14:paraId="32156E31" w14:textId="77777777" w:rsidR="00B5004C" w:rsidRDefault="00B5004C" w:rsidP="00897F62">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6BF3C47" w14:textId="18AB821B" w:rsidR="00B5004C" w:rsidRPr="001C016D"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F6230">
              <w:rPr>
                <w:rFonts w:ascii="Tahoma" w:hAnsi="Tahoma" w:cs="Tahoma"/>
                <w:sz w:val="20"/>
              </w:rPr>
              <w:t xml:space="preserve">Expenditure reported for Telemetry Capex projects has been identified with reference to the expenditure captured in APA’s Oracle finance system against the </w:t>
            </w:r>
            <w:r>
              <w:rPr>
                <w:rFonts w:ascii="Tahoma" w:hAnsi="Tahoma" w:cs="Tahoma"/>
                <w:sz w:val="20"/>
              </w:rPr>
              <w:t>activity codes with Telemetry in the description.</w:t>
            </w:r>
          </w:p>
        </w:tc>
        <w:tc>
          <w:tcPr>
            <w:tcW w:w="793" w:type="pct"/>
            <w:tcBorders>
              <w:top w:val="single" w:sz="4" w:space="0" w:color="00B0F0"/>
              <w:left w:val="nil"/>
              <w:bottom w:val="single" w:sz="4" w:space="0" w:color="00B0F0"/>
              <w:right w:val="nil"/>
            </w:tcBorders>
            <w:vAlign w:val="center"/>
          </w:tcPr>
          <w:p w14:paraId="117848E3" w14:textId="77777777" w:rsidR="00B5004C" w:rsidRPr="00751816" w:rsidRDefault="00B5004C" w:rsidP="00897F6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20" w:type="pct"/>
            <w:tcBorders>
              <w:top w:val="single" w:sz="4" w:space="0" w:color="00B0F0"/>
              <w:left w:val="nil"/>
              <w:bottom w:val="single" w:sz="4" w:space="0" w:color="00B0F0"/>
              <w:right w:val="nil"/>
            </w:tcBorders>
          </w:tcPr>
          <w:p w14:paraId="4E90DED1" w14:textId="77777777" w:rsidR="00B5004C" w:rsidRPr="00751816"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6" w:type="pct"/>
            <w:tcBorders>
              <w:top w:val="single" w:sz="4" w:space="0" w:color="00B0F0"/>
              <w:left w:val="nil"/>
              <w:bottom w:val="single" w:sz="4" w:space="0" w:color="00B0F0"/>
              <w:right w:val="nil"/>
            </w:tcBorders>
          </w:tcPr>
          <w:p w14:paraId="26C0D42A" w14:textId="77777777" w:rsidR="00B5004C" w:rsidRPr="00751816"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B5004C" w:rsidRPr="00751816" w14:paraId="027F47CC" w14:textId="77777777" w:rsidTr="00D5579B">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14"/>
        </w:trPr>
        <w:tc>
          <w:tcPr>
            <w:cnfStyle w:val="001000000000" w:firstRow="0" w:lastRow="0" w:firstColumn="1" w:lastColumn="0" w:oddVBand="0" w:evenVBand="0" w:oddHBand="0" w:evenHBand="0" w:firstRowFirstColumn="0" w:firstRowLastColumn="0" w:lastRowFirstColumn="0" w:lastRowLastColumn="0"/>
            <w:tcW w:w="781" w:type="pct"/>
            <w:tcBorders>
              <w:top w:val="single" w:sz="4" w:space="0" w:color="00B0F0"/>
              <w:bottom w:val="single" w:sz="4" w:space="0" w:color="00B0F0"/>
            </w:tcBorders>
            <w:vAlign w:val="center"/>
          </w:tcPr>
          <w:p w14:paraId="3C203044" w14:textId="77777777" w:rsidR="00B5004C" w:rsidRPr="00751816" w:rsidRDefault="00B5004C" w:rsidP="005C36F2">
            <w:pPr>
              <w:spacing w:before="120" w:after="120" w:line="240" w:lineRule="atLeast"/>
              <w:contextualSpacing/>
              <w:rPr>
                <w:rFonts w:ascii="Tahoma" w:hAnsi="Tahoma" w:cs="Tahoma"/>
                <w:sz w:val="20"/>
              </w:rPr>
            </w:pPr>
            <w:r w:rsidRPr="00751816">
              <w:rPr>
                <w:rFonts w:ascii="Tahoma" w:hAnsi="Tahoma" w:cs="Tahoma"/>
                <w:sz w:val="20"/>
              </w:rPr>
              <w:t xml:space="preserve">Meter Replacement </w:t>
            </w:r>
          </w:p>
        </w:tc>
        <w:tc>
          <w:tcPr>
            <w:tcW w:w="1640" w:type="pct"/>
            <w:tcBorders>
              <w:top w:val="single" w:sz="4" w:space="0" w:color="00B0F0"/>
              <w:left w:val="nil"/>
              <w:bottom w:val="single" w:sz="4" w:space="0" w:color="00B0F0"/>
              <w:right w:val="nil"/>
            </w:tcBorders>
          </w:tcPr>
          <w:p w14:paraId="39E87AEB" w14:textId="77777777" w:rsidR="00B5004C" w:rsidRPr="00897F62"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rPr>
            </w:pPr>
            <w:r w:rsidRPr="00897F62">
              <w:rPr>
                <w:rFonts w:ascii="Tahoma" w:eastAsia="Times New Roman" w:hAnsi="Tahoma" w:cs="Tahoma"/>
                <w:sz w:val="20"/>
              </w:rPr>
              <w:t>Capex reported in this category relates to the cost of new and refurbished meters installed into the AGN (SA) network for operation.</w:t>
            </w:r>
          </w:p>
          <w:p w14:paraId="26C05786" w14:textId="77777777" w:rsidR="00B5004C" w:rsidRPr="00897F62"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rPr>
            </w:pPr>
          </w:p>
          <w:p w14:paraId="3BEA7477" w14:textId="77777777" w:rsidR="00B5004C" w:rsidRPr="00897F62"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rPr>
            </w:pPr>
            <w:r w:rsidRPr="00897F62">
              <w:rPr>
                <w:rFonts w:ascii="Tahoma" w:eastAsia="Times New Roman" w:hAnsi="Tahoma" w:cs="Tahoma"/>
                <w:sz w:val="20"/>
              </w:rPr>
              <w:t xml:space="preserve">Replacing domestic gas meters involves: </w:t>
            </w:r>
          </w:p>
          <w:p w14:paraId="30727C06" w14:textId="77777777" w:rsidR="00B5004C" w:rsidRDefault="00B5004C" w:rsidP="00897F62">
            <w:pPr>
              <w:pStyle w:val="ListParagraph"/>
              <w:numPr>
                <w:ilvl w:val="0"/>
                <w:numId w:val="1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procuring any new or refurbished meters required, including quality control;</w:t>
            </w:r>
          </w:p>
          <w:p w14:paraId="330CCA39" w14:textId="77777777" w:rsidR="00B5004C" w:rsidRPr="00543A68" w:rsidRDefault="00B5004C" w:rsidP="00897F62">
            <w:pPr>
              <w:pStyle w:val="ListParagraph"/>
              <w:numPr>
                <w:ilvl w:val="0"/>
                <w:numId w:val="1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543A68">
              <w:rPr>
                <w:rFonts w:ascii="Tahoma" w:hAnsi="Tahoma" w:cs="Tahoma"/>
                <w:bCs/>
                <w:iCs/>
                <w:sz w:val="20"/>
                <w:lang w:val="en-US"/>
              </w:rPr>
              <w:t>planning and scheduling of meters to be changed over</w:t>
            </w:r>
            <w:r>
              <w:rPr>
                <w:rFonts w:ascii="Tahoma" w:hAnsi="Tahoma" w:cs="Tahoma"/>
                <w:bCs/>
                <w:iCs/>
                <w:sz w:val="20"/>
                <w:lang w:val="en-US"/>
              </w:rPr>
              <w:t>;</w:t>
            </w:r>
          </w:p>
          <w:p w14:paraId="0CB6B098" w14:textId="77777777" w:rsidR="00B5004C" w:rsidRPr="00543A68" w:rsidRDefault="00B5004C" w:rsidP="00897F62">
            <w:pPr>
              <w:pStyle w:val="ListParagraph"/>
              <w:numPr>
                <w:ilvl w:val="0"/>
                <w:numId w:val="1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543A68">
              <w:rPr>
                <w:rFonts w:ascii="Tahoma" w:hAnsi="Tahoma" w:cs="Tahoma"/>
                <w:bCs/>
                <w:iCs/>
                <w:sz w:val="20"/>
                <w:lang w:val="en-US"/>
              </w:rPr>
              <w:t>organising resources (combination of direct and contractor) to carry out the meter change, which includes testing of outlet service and relighting appliances, and if required, re-attending premises after hours if the customer requires assistance</w:t>
            </w:r>
            <w:r>
              <w:rPr>
                <w:rFonts w:ascii="Tahoma" w:hAnsi="Tahoma" w:cs="Tahoma"/>
                <w:bCs/>
                <w:iCs/>
                <w:sz w:val="20"/>
                <w:lang w:val="en-US"/>
              </w:rPr>
              <w:t>;</w:t>
            </w:r>
          </w:p>
          <w:p w14:paraId="57A1806C" w14:textId="77777777" w:rsidR="00B5004C" w:rsidRPr="00543A68" w:rsidRDefault="00B5004C" w:rsidP="00897F62">
            <w:pPr>
              <w:pStyle w:val="ListParagraph"/>
              <w:numPr>
                <w:ilvl w:val="0"/>
                <w:numId w:val="1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543A68">
              <w:rPr>
                <w:rFonts w:ascii="Tahoma" w:hAnsi="Tahoma" w:cs="Tahoma"/>
                <w:bCs/>
                <w:iCs/>
                <w:sz w:val="20"/>
                <w:lang w:val="en-US"/>
              </w:rPr>
              <w:t>testing meters brought in from the field</w:t>
            </w:r>
            <w:r>
              <w:rPr>
                <w:rFonts w:ascii="Tahoma" w:hAnsi="Tahoma" w:cs="Tahoma"/>
                <w:bCs/>
                <w:iCs/>
                <w:sz w:val="20"/>
                <w:lang w:val="en-US"/>
              </w:rPr>
              <w:t>;</w:t>
            </w:r>
          </w:p>
          <w:p w14:paraId="69C89AD4" w14:textId="77777777" w:rsidR="00B5004C" w:rsidRDefault="00B5004C" w:rsidP="00897F62">
            <w:pPr>
              <w:pStyle w:val="ListParagraph"/>
              <w:numPr>
                <w:ilvl w:val="0"/>
                <w:numId w:val="1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543A68">
              <w:rPr>
                <w:rFonts w:ascii="Tahoma" w:hAnsi="Tahoma" w:cs="Tahoma"/>
                <w:sz w:val="20"/>
              </w:rPr>
              <w:t>life extension; and</w:t>
            </w:r>
          </w:p>
          <w:p w14:paraId="4FE8B0EC" w14:textId="77777777" w:rsidR="00B5004C" w:rsidRPr="008934E9" w:rsidRDefault="00B5004C" w:rsidP="00897F62">
            <w:pPr>
              <w:pStyle w:val="ListParagraph"/>
              <w:numPr>
                <w:ilvl w:val="0"/>
                <w:numId w:val="1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543A68">
              <w:rPr>
                <w:rFonts w:ascii="Tahoma" w:hAnsi="Tahoma" w:cs="Tahoma"/>
                <w:sz w:val="20"/>
              </w:rPr>
              <w:t>refurbishing meters as required.</w:t>
            </w:r>
          </w:p>
          <w:p w14:paraId="2CD83BE1" w14:textId="77777777" w:rsidR="00B5004C"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Cs/>
                <w:iCs/>
                <w:sz w:val="20"/>
                <w:lang w:val="en-US"/>
              </w:rPr>
            </w:pPr>
          </w:p>
          <w:p w14:paraId="7E7E0106" w14:textId="77777777" w:rsidR="00B5004C"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eastAsia="Times New Roman" w:hAnsi="Tahoma" w:cs="Tahoma"/>
                <w:bCs/>
                <w:iCs/>
                <w:sz w:val="20"/>
              </w:rPr>
              <w:t>A meter is a</w:t>
            </w:r>
            <w:r w:rsidRPr="00A55D98">
              <w:rPr>
                <w:rFonts w:ascii="Tahoma" w:hAnsi="Tahoma" w:cs="Tahoma"/>
                <w:sz w:val="20"/>
              </w:rPr>
              <w:t>n instrument that measures the quantity of gas passing through it and includes associated equipment attached to the instrument to filter, control or regulate the flow of gas.</w:t>
            </w:r>
          </w:p>
          <w:p w14:paraId="42FA3EA9" w14:textId="77777777" w:rsidR="00B5004C"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542C06D" w14:textId="77777777" w:rsidR="00B5004C"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Capex for refurbished meters relates to meters that were operating within the AGN (SA) network which were temporarily taken out of operation and that were able to be restored to full function through a process of being refurbished.</w:t>
            </w:r>
          </w:p>
          <w:p w14:paraId="3CDCBFB5" w14:textId="77777777" w:rsidR="00B5004C"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B6CBF76" w14:textId="54FED854" w:rsidR="00B5004C" w:rsidRPr="001C016D"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Capex</w:t>
            </w:r>
            <w:r w:rsidRPr="00B17688">
              <w:rPr>
                <w:rFonts w:ascii="Tahoma" w:hAnsi="Tahoma" w:cs="Tahoma"/>
                <w:sz w:val="20"/>
              </w:rPr>
              <w:t xml:space="preserve"> reported for Meter Replacement projects has been identified with reference to the expenditure captured in APA’s Oracle finance system against </w:t>
            </w:r>
            <w:r w:rsidR="00D961D5" w:rsidRPr="00D961D5">
              <w:rPr>
                <w:rFonts w:ascii="Tahoma" w:hAnsi="Tahoma" w:cs="Tahoma"/>
                <w:sz w:val="20"/>
              </w:rPr>
              <w:t>specific “Stay in Business” task and activity codes. Task codes include PMC – Domestic and PMC I&amp;C</w:t>
            </w:r>
            <w:r w:rsidR="00FD7638">
              <w:rPr>
                <w:rFonts w:ascii="Tahoma" w:hAnsi="Tahoma" w:cs="Tahoma"/>
                <w:sz w:val="20"/>
              </w:rPr>
              <w:t>,</w:t>
            </w:r>
            <w:r w:rsidR="00D961D5" w:rsidRPr="00D961D5">
              <w:rPr>
                <w:rFonts w:ascii="Tahoma" w:hAnsi="Tahoma" w:cs="Tahoma"/>
                <w:sz w:val="20"/>
              </w:rPr>
              <w:t xml:space="preserve"> and activity codes with descriptions including meter change.</w:t>
            </w:r>
            <w:r w:rsidR="00D961D5" w:rsidRPr="00B17688" w:rsidDel="00D961D5">
              <w:rPr>
                <w:rFonts w:ascii="Tahoma" w:hAnsi="Tahoma" w:cs="Tahoma"/>
                <w:sz w:val="20"/>
              </w:rPr>
              <w:t xml:space="preserve"> </w:t>
            </w:r>
          </w:p>
        </w:tc>
        <w:tc>
          <w:tcPr>
            <w:tcW w:w="793" w:type="pct"/>
            <w:tcBorders>
              <w:top w:val="single" w:sz="4" w:space="0" w:color="00B0F0"/>
              <w:left w:val="nil"/>
              <w:bottom w:val="single" w:sz="4" w:space="0" w:color="00B0F0"/>
              <w:right w:val="nil"/>
            </w:tcBorders>
            <w:vAlign w:val="center"/>
          </w:tcPr>
          <w:p w14:paraId="05F9D7A1" w14:textId="77777777" w:rsidR="00B5004C" w:rsidRPr="00751816" w:rsidRDefault="00B5004C" w:rsidP="00897F6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20" w:type="pct"/>
            <w:tcBorders>
              <w:top w:val="single" w:sz="4" w:space="0" w:color="00B0F0"/>
              <w:left w:val="nil"/>
              <w:bottom w:val="single" w:sz="4" w:space="0" w:color="00B0F0"/>
              <w:right w:val="nil"/>
            </w:tcBorders>
          </w:tcPr>
          <w:p w14:paraId="5CD1F315" w14:textId="77777777" w:rsidR="00B5004C" w:rsidRPr="00751816"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6" w:type="pct"/>
            <w:tcBorders>
              <w:top w:val="single" w:sz="4" w:space="0" w:color="00B0F0"/>
              <w:left w:val="nil"/>
              <w:bottom w:val="single" w:sz="4" w:space="0" w:color="00B0F0"/>
              <w:right w:val="nil"/>
            </w:tcBorders>
          </w:tcPr>
          <w:p w14:paraId="7D676449" w14:textId="77777777" w:rsidR="00B5004C" w:rsidRPr="00751816"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B5004C" w:rsidRPr="00751816" w14:paraId="60A5C9B9" w14:textId="77777777" w:rsidTr="00D5579B">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14"/>
        </w:trPr>
        <w:tc>
          <w:tcPr>
            <w:cnfStyle w:val="001000000000" w:firstRow="0" w:lastRow="0" w:firstColumn="1" w:lastColumn="0" w:oddVBand="0" w:evenVBand="0" w:oddHBand="0" w:evenHBand="0" w:firstRowFirstColumn="0" w:firstRowLastColumn="0" w:lastRowFirstColumn="0" w:lastRowLastColumn="0"/>
            <w:tcW w:w="781" w:type="pct"/>
            <w:tcBorders>
              <w:top w:val="single" w:sz="4" w:space="0" w:color="00B0F0"/>
              <w:bottom w:val="single" w:sz="4" w:space="0" w:color="00B0F0"/>
            </w:tcBorders>
            <w:vAlign w:val="center"/>
          </w:tcPr>
          <w:p w14:paraId="67F21993" w14:textId="77777777" w:rsidR="00B5004C" w:rsidRPr="00751816" w:rsidRDefault="00B5004C" w:rsidP="005C36F2">
            <w:pPr>
              <w:spacing w:before="120" w:after="120" w:line="240" w:lineRule="atLeast"/>
              <w:contextualSpacing/>
              <w:rPr>
                <w:rFonts w:ascii="Tahoma" w:hAnsi="Tahoma" w:cs="Tahoma"/>
                <w:sz w:val="20"/>
              </w:rPr>
            </w:pPr>
            <w:r w:rsidRPr="00751816">
              <w:rPr>
                <w:rFonts w:ascii="Tahoma" w:hAnsi="Tahoma" w:cs="Tahoma"/>
                <w:sz w:val="20"/>
              </w:rPr>
              <w:lastRenderedPageBreak/>
              <w:t xml:space="preserve">ICT </w:t>
            </w:r>
          </w:p>
        </w:tc>
        <w:tc>
          <w:tcPr>
            <w:tcW w:w="1640" w:type="pct"/>
            <w:tcBorders>
              <w:top w:val="single" w:sz="4" w:space="0" w:color="00B0F0"/>
              <w:left w:val="nil"/>
              <w:bottom w:val="single" w:sz="4" w:space="0" w:color="00B0F0"/>
              <w:right w:val="nil"/>
            </w:tcBorders>
          </w:tcPr>
          <w:p w14:paraId="4DCC0CA6" w14:textId="77777777" w:rsidR="00B5004C" w:rsidRPr="00271350" w:rsidRDefault="00B5004C" w:rsidP="00897F62">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ICT </w:t>
            </w:r>
            <w:r w:rsidRPr="00271350">
              <w:rPr>
                <w:rFonts w:ascii="Tahoma" w:hAnsi="Tahoma" w:cs="Tahoma"/>
                <w:sz w:val="20"/>
              </w:rPr>
              <w:t xml:space="preserve">expenditure includes capital expenditure associated with ICT assets (e.g. physical hardware and software and the associated development and implementation costs that are capitalised in accordance with relevant accounting standards and policies). </w:t>
            </w:r>
          </w:p>
          <w:p w14:paraId="280E0A88" w14:textId="77777777" w:rsidR="00B5004C" w:rsidRPr="00271350" w:rsidRDefault="00B5004C" w:rsidP="00897F62">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12E9AAB" w14:textId="5AE34BA5" w:rsidR="006B71DC" w:rsidRDefault="00B5004C" w:rsidP="007802DD">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271350">
              <w:rPr>
                <w:rFonts w:ascii="Tahoma" w:hAnsi="Tahoma" w:cs="Tahoma"/>
                <w:sz w:val="20"/>
              </w:rPr>
              <w:t>Expenditure reported for I</w:t>
            </w:r>
            <w:r>
              <w:rPr>
                <w:rFonts w:ascii="Tahoma" w:hAnsi="Tahoma" w:cs="Tahoma"/>
                <w:sz w:val="20"/>
              </w:rPr>
              <w:t>C</w:t>
            </w:r>
            <w:r w:rsidRPr="00271350">
              <w:rPr>
                <w:rFonts w:ascii="Tahoma" w:hAnsi="Tahoma" w:cs="Tahoma"/>
                <w:sz w:val="20"/>
              </w:rPr>
              <w:t>T capex projects has been identified with reference to specific project names in APA’s Oracle finance system that are known to be ICT projects</w:t>
            </w:r>
            <w:r>
              <w:rPr>
                <w:rFonts w:ascii="Tahoma" w:hAnsi="Tahoma" w:cs="Tahoma"/>
                <w:sz w:val="20"/>
              </w:rPr>
              <w:t xml:space="preserve"> (e.g. relevant ICT activity descriptions are included in the project names)</w:t>
            </w:r>
            <w:r w:rsidRPr="00271350">
              <w:rPr>
                <w:rFonts w:ascii="Tahoma" w:hAnsi="Tahoma" w:cs="Tahoma"/>
                <w:sz w:val="20"/>
              </w:rPr>
              <w:t xml:space="preserve">.  </w:t>
            </w:r>
            <w:r w:rsidR="00FF72B1">
              <w:rPr>
                <w:rFonts w:ascii="Tahoma" w:hAnsi="Tahoma" w:cs="Tahoma"/>
                <w:sz w:val="20"/>
              </w:rPr>
              <w:t>AGN Limited also incurs internal ICT capital expenditure (Head Office Additions)</w:t>
            </w:r>
            <w:r w:rsidR="00344146">
              <w:rPr>
                <w:rFonts w:ascii="Tahoma" w:hAnsi="Tahoma" w:cs="Tahoma"/>
                <w:sz w:val="20"/>
              </w:rPr>
              <w:t xml:space="preserve"> for AGN (SA)</w:t>
            </w:r>
            <w:r w:rsidR="00FF72B1">
              <w:rPr>
                <w:rFonts w:ascii="Tahoma" w:hAnsi="Tahoma" w:cs="Tahoma"/>
                <w:sz w:val="20"/>
              </w:rPr>
              <w:t xml:space="preserve"> which is added to the expenditure information provided by APA.</w:t>
            </w:r>
          </w:p>
          <w:p w14:paraId="1D0B02E5" w14:textId="77777777" w:rsidR="00B5004C" w:rsidRPr="00271350"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6E51EC2" w14:textId="77777777" w:rsidR="00B5004C" w:rsidRPr="001814DD"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814DD">
              <w:rPr>
                <w:rFonts w:ascii="Tahoma" w:hAnsi="Tahoma" w:cs="Tahoma"/>
                <w:sz w:val="20"/>
              </w:rPr>
              <w:t xml:space="preserve">Refer to </w:t>
            </w:r>
            <w:r w:rsidRPr="00D44709">
              <w:rPr>
                <w:rFonts w:ascii="Tahoma" w:hAnsi="Tahoma" w:cs="Tahoma"/>
                <w:sz w:val="20"/>
              </w:rPr>
              <w:t>Appendix E</w:t>
            </w:r>
            <w:r w:rsidRPr="001814DD">
              <w:rPr>
                <w:rFonts w:ascii="Tahoma" w:hAnsi="Tahoma" w:cs="Tahoma"/>
                <w:sz w:val="20"/>
              </w:rPr>
              <w:t xml:space="preserve"> for a description of the adjustments made due to regulatory accounting policies.  Specifically see adjustment types:</w:t>
            </w:r>
          </w:p>
          <w:p w14:paraId="08EFB65D" w14:textId="51632CF0" w:rsidR="008B58E3" w:rsidRPr="00751816" w:rsidRDefault="00B5004C" w:rsidP="00FF72B1">
            <w:pPr>
              <w:numPr>
                <w:ilvl w:val="0"/>
                <w:numId w:val="13"/>
              </w:num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814DD">
              <w:rPr>
                <w:rFonts w:ascii="Tahoma" w:hAnsi="Tahoma" w:cs="Tahoma"/>
                <w:sz w:val="20"/>
              </w:rPr>
              <w:t>“Head Office Additions and Other Adjustments” for Other Capex directly incurred by AGN Limited.</w:t>
            </w:r>
          </w:p>
        </w:tc>
        <w:tc>
          <w:tcPr>
            <w:tcW w:w="793" w:type="pct"/>
            <w:tcBorders>
              <w:top w:val="single" w:sz="4" w:space="0" w:color="00B0F0"/>
              <w:left w:val="nil"/>
              <w:bottom w:val="single" w:sz="4" w:space="0" w:color="00B0F0"/>
              <w:right w:val="nil"/>
            </w:tcBorders>
            <w:vAlign w:val="center"/>
          </w:tcPr>
          <w:p w14:paraId="6F33C71A" w14:textId="77777777" w:rsidR="00B5004C" w:rsidRPr="00751816" w:rsidRDefault="00B5004C" w:rsidP="00897F6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20" w:type="pct"/>
            <w:tcBorders>
              <w:top w:val="single" w:sz="4" w:space="0" w:color="00B0F0"/>
              <w:left w:val="nil"/>
              <w:bottom w:val="single" w:sz="4" w:space="0" w:color="00B0F0"/>
              <w:right w:val="nil"/>
            </w:tcBorders>
          </w:tcPr>
          <w:p w14:paraId="306A2EED" w14:textId="77777777" w:rsidR="00B5004C" w:rsidRPr="00751816"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6" w:type="pct"/>
            <w:tcBorders>
              <w:top w:val="single" w:sz="4" w:space="0" w:color="00B0F0"/>
              <w:left w:val="nil"/>
              <w:bottom w:val="single" w:sz="4" w:space="0" w:color="00B0F0"/>
              <w:right w:val="nil"/>
            </w:tcBorders>
          </w:tcPr>
          <w:p w14:paraId="749704F3" w14:textId="77777777" w:rsidR="00B5004C" w:rsidRPr="00751816"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B5004C" w:rsidRPr="00751816" w14:paraId="36F063F4" w14:textId="77777777" w:rsidTr="00D5579B">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14"/>
        </w:trPr>
        <w:tc>
          <w:tcPr>
            <w:cnfStyle w:val="001000000000" w:firstRow="0" w:lastRow="0" w:firstColumn="1" w:lastColumn="0" w:oddVBand="0" w:evenVBand="0" w:oddHBand="0" w:evenHBand="0" w:firstRowFirstColumn="0" w:firstRowLastColumn="0" w:lastRowFirstColumn="0" w:lastRowLastColumn="0"/>
            <w:tcW w:w="781" w:type="pct"/>
            <w:tcBorders>
              <w:top w:val="single" w:sz="4" w:space="0" w:color="00B0F0"/>
              <w:bottom w:val="single" w:sz="4" w:space="0" w:color="00B0F0"/>
            </w:tcBorders>
            <w:vAlign w:val="center"/>
          </w:tcPr>
          <w:p w14:paraId="5338AA54" w14:textId="77777777" w:rsidR="00B5004C" w:rsidRPr="00751816" w:rsidRDefault="00B5004C" w:rsidP="005C36F2">
            <w:pPr>
              <w:spacing w:before="120" w:after="120" w:line="240" w:lineRule="atLeast"/>
              <w:contextualSpacing/>
              <w:rPr>
                <w:rFonts w:ascii="Tahoma" w:hAnsi="Tahoma" w:cs="Tahoma"/>
                <w:sz w:val="20"/>
              </w:rPr>
            </w:pPr>
            <w:r w:rsidRPr="00751816">
              <w:rPr>
                <w:rFonts w:ascii="Tahoma" w:hAnsi="Tahoma" w:cs="Tahoma"/>
                <w:sz w:val="20"/>
              </w:rPr>
              <w:t xml:space="preserve">Capitalised network overheads </w:t>
            </w:r>
          </w:p>
        </w:tc>
        <w:tc>
          <w:tcPr>
            <w:tcW w:w="1640" w:type="pct"/>
            <w:tcBorders>
              <w:top w:val="single" w:sz="4" w:space="0" w:color="00B0F0"/>
              <w:left w:val="nil"/>
              <w:bottom w:val="single" w:sz="4" w:space="0" w:color="00B0F0"/>
              <w:right w:val="nil"/>
            </w:tcBorders>
          </w:tcPr>
          <w:p w14:paraId="3FEB367A" w14:textId="77777777" w:rsidR="00B5004C"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Refer to </w:t>
            </w:r>
            <w:r w:rsidRPr="00D44709">
              <w:rPr>
                <w:rFonts w:ascii="Tahoma" w:hAnsi="Tahoma" w:cs="Tahoma"/>
                <w:sz w:val="20"/>
              </w:rPr>
              <w:t>Appendix C</w:t>
            </w:r>
            <w:r>
              <w:rPr>
                <w:rFonts w:ascii="Tahoma" w:hAnsi="Tahoma" w:cs="Tahoma"/>
                <w:sz w:val="20"/>
              </w:rPr>
              <w:t xml:space="preserve"> for an explanation of relevant processes and methodologies that apply to Overhead expenditure.</w:t>
            </w:r>
          </w:p>
          <w:p w14:paraId="3D95B79E" w14:textId="77777777" w:rsidR="00B5004C"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3B20550" w14:textId="248092AB" w:rsidR="00B5004C" w:rsidRPr="0093430F" w:rsidRDefault="00B5004C" w:rsidP="001C016D">
            <w:p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3430F">
              <w:rPr>
                <w:rFonts w:ascii="Tahoma" w:hAnsi="Tahoma" w:cs="Tahoma"/>
                <w:sz w:val="20"/>
              </w:rPr>
              <w:t xml:space="preserve">Network overheads allocated by APA to Capex reported in this RIN table represents the </w:t>
            </w:r>
            <w:r w:rsidR="00B80751" w:rsidRPr="0093430F">
              <w:rPr>
                <w:rFonts w:ascii="Tahoma" w:hAnsi="Tahoma" w:cs="Tahoma"/>
                <w:sz w:val="20"/>
              </w:rPr>
              <w:t xml:space="preserve">network </w:t>
            </w:r>
            <w:r w:rsidRPr="0093430F">
              <w:rPr>
                <w:rFonts w:ascii="Tahoma" w:hAnsi="Tahoma" w:cs="Tahoma"/>
                <w:sz w:val="20"/>
              </w:rPr>
              <w:t xml:space="preserve">overheads recorded in APA’s Oracle finance system at the time expenditure was incurred.  </w:t>
            </w:r>
            <w:r w:rsidR="00B80751" w:rsidRPr="0093430F">
              <w:rPr>
                <w:rFonts w:ascii="Tahoma" w:hAnsi="Tahoma" w:cs="Tahoma"/>
                <w:sz w:val="20"/>
              </w:rPr>
              <w:t>Network o</w:t>
            </w:r>
            <w:r w:rsidRPr="0093430F">
              <w:rPr>
                <w:rFonts w:ascii="Tahoma" w:hAnsi="Tahoma" w:cs="Tahoma"/>
                <w:sz w:val="20"/>
              </w:rPr>
              <w:t xml:space="preserve">verheads are allocated by APA on the </w:t>
            </w:r>
            <w:r w:rsidRPr="0093430F">
              <w:rPr>
                <w:rFonts w:ascii="Tahoma" w:hAnsi="Tahoma" w:cs="Tahoma"/>
                <w:sz w:val="20"/>
              </w:rPr>
              <w:lastRenderedPageBreak/>
              <w:t>basis of direct expenditure, as explained in the AGN Limited Cost Allocation Methodology.</w:t>
            </w:r>
          </w:p>
          <w:p w14:paraId="4F828A87" w14:textId="77777777" w:rsidR="00B5004C" w:rsidRPr="0093430F" w:rsidRDefault="00B5004C" w:rsidP="001C016D">
            <w:pP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DA38AA5" w14:textId="4033DDE8" w:rsidR="00B5004C" w:rsidRPr="00751816" w:rsidRDefault="00B5004C" w:rsidP="007802DD">
            <w:p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3430F">
              <w:rPr>
                <w:rFonts w:ascii="Tahoma" w:hAnsi="Tahoma" w:cs="Tahoma"/>
                <w:sz w:val="20"/>
              </w:rPr>
              <w:t xml:space="preserve">APA’s </w:t>
            </w:r>
            <w:r w:rsidR="00B80751" w:rsidRPr="0093430F">
              <w:rPr>
                <w:rFonts w:ascii="Tahoma" w:hAnsi="Tahoma" w:cs="Tahoma"/>
                <w:sz w:val="20"/>
              </w:rPr>
              <w:t xml:space="preserve">network </w:t>
            </w:r>
            <w:r w:rsidRPr="0093430F">
              <w:rPr>
                <w:rFonts w:ascii="Tahoma" w:hAnsi="Tahoma" w:cs="Tahoma"/>
                <w:sz w:val="20"/>
              </w:rPr>
              <w:t xml:space="preserve">overheads include an allocation of the NMF paid by AGN Limited, which for statutory accounting purposes remains in capitalised </w:t>
            </w:r>
            <w:r w:rsidR="00B80751" w:rsidRPr="0093430F">
              <w:rPr>
                <w:rFonts w:ascii="Tahoma" w:hAnsi="Tahoma" w:cs="Tahoma"/>
                <w:sz w:val="20"/>
              </w:rPr>
              <w:t xml:space="preserve">network </w:t>
            </w:r>
            <w:r w:rsidRPr="0093430F">
              <w:rPr>
                <w:rFonts w:ascii="Tahoma" w:hAnsi="Tahoma" w:cs="Tahoma"/>
                <w:sz w:val="20"/>
              </w:rPr>
              <w:t>overheads.  As per the Regulatory Accounting Principles and Policies document, for regulatory purposes, all of the NMF is reported as operating expenditure.</w:t>
            </w:r>
          </w:p>
        </w:tc>
        <w:tc>
          <w:tcPr>
            <w:tcW w:w="793" w:type="pct"/>
            <w:tcBorders>
              <w:top w:val="single" w:sz="4" w:space="0" w:color="00B0F0"/>
              <w:left w:val="nil"/>
              <w:bottom w:val="single" w:sz="4" w:space="0" w:color="00B0F0"/>
              <w:right w:val="nil"/>
            </w:tcBorders>
            <w:vAlign w:val="center"/>
          </w:tcPr>
          <w:p w14:paraId="560A9689" w14:textId="77777777" w:rsidR="00B5004C" w:rsidRPr="00751816" w:rsidRDefault="00B5004C" w:rsidP="00897F6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20" w:type="pct"/>
            <w:tcBorders>
              <w:top w:val="single" w:sz="4" w:space="0" w:color="00B0F0"/>
              <w:left w:val="nil"/>
              <w:bottom w:val="single" w:sz="4" w:space="0" w:color="00B0F0"/>
              <w:right w:val="nil"/>
            </w:tcBorders>
          </w:tcPr>
          <w:p w14:paraId="6F3DE141" w14:textId="77777777" w:rsidR="00B5004C" w:rsidRPr="00751816"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6" w:type="pct"/>
            <w:tcBorders>
              <w:top w:val="single" w:sz="4" w:space="0" w:color="00B0F0"/>
              <w:left w:val="nil"/>
              <w:bottom w:val="single" w:sz="4" w:space="0" w:color="00B0F0"/>
              <w:right w:val="nil"/>
            </w:tcBorders>
          </w:tcPr>
          <w:p w14:paraId="33F77280" w14:textId="77777777" w:rsidR="00B5004C" w:rsidRPr="00751816"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DF2D4A" w:rsidRPr="00751816" w14:paraId="51D7C516" w14:textId="77777777" w:rsidTr="00D5579B">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14"/>
        </w:trPr>
        <w:tc>
          <w:tcPr>
            <w:cnfStyle w:val="001000000000" w:firstRow="0" w:lastRow="0" w:firstColumn="1" w:lastColumn="0" w:oddVBand="0" w:evenVBand="0" w:oddHBand="0" w:evenHBand="0" w:firstRowFirstColumn="0" w:firstRowLastColumn="0" w:lastRowFirstColumn="0" w:lastRowLastColumn="0"/>
            <w:tcW w:w="781" w:type="pct"/>
            <w:tcBorders>
              <w:top w:val="single" w:sz="4" w:space="0" w:color="00B0F0"/>
              <w:bottom w:val="single" w:sz="4" w:space="0" w:color="00B0F0"/>
            </w:tcBorders>
            <w:vAlign w:val="center"/>
          </w:tcPr>
          <w:p w14:paraId="3F375E1C" w14:textId="77777777" w:rsidR="00DF2D4A" w:rsidRPr="00751816" w:rsidRDefault="00DF2D4A" w:rsidP="005C36F2">
            <w:pPr>
              <w:spacing w:before="120" w:after="120" w:line="240" w:lineRule="atLeast"/>
              <w:contextualSpacing/>
              <w:rPr>
                <w:rFonts w:ascii="Tahoma" w:hAnsi="Tahoma" w:cs="Tahoma"/>
                <w:sz w:val="20"/>
              </w:rPr>
            </w:pPr>
            <w:r w:rsidRPr="00751816">
              <w:rPr>
                <w:rFonts w:ascii="Tahoma" w:hAnsi="Tahoma" w:cs="Tahoma"/>
                <w:sz w:val="20"/>
              </w:rPr>
              <w:t xml:space="preserve">Capitalised corporate overheads </w:t>
            </w:r>
          </w:p>
        </w:tc>
        <w:tc>
          <w:tcPr>
            <w:tcW w:w="4219" w:type="pct"/>
            <w:gridSpan w:val="4"/>
            <w:tcBorders>
              <w:top w:val="single" w:sz="4" w:space="0" w:color="00B0F0"/>
              <w:left w:val="nil"/>
              <w:bottom w:val="single" w:sz="4" w:space="0" w:color="00B0F0"/>
              <w:right w:val="nil"/>
            </w:tcBorders>
          </w:tcPr>
          <w:p w14:paraId="6D872E2D" w14:textId="5F5F09B9" w:rsidR="00DF2D4A" w:rsidRDefault="00DF2D4A" w:rsidP="00897F62">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AGN Limited</w:t>
            </w:r>
            <w:r w:rsidR="00760766">
              <w:rPr>
                <w:rFonts w:ascii="Tahoma" w:hAnsi="Tahoma" w:cs="Tahoma"/>
                <w:sz w:val="20"/>
              </w:rPr>
              <w:t>, including AGN (SA)</w:t>
            </w:r>
            <w:r>
              <w:rPr>
                <w:rFonts w:ascii="Tahoma" w:hAnsi="Tahoma" w:cs="Tahoma"/>
                <w:sz w:val="20"/>
              </w:rPr>
              <w:t xml:space="preserve"> has no Capitalised corporate overheads to report, in accordance with the Regulatory Accounting Principles and Policies and Capitalisation Policy documents.</w:t>
            </w:r>
          </w:p>
          <w:p w14:paraId="7E364FFB" w14:textId="77777777" w:rsidR="00EA7E65" w:rsidRDefault="00EA7E65" w:rsidP="00897F62">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F5D8583" w14:textId="000DE7DA" w:rsidR="00EA7E65" w:rsidRPr="00751816" w:rsidRDefault="00EA7E65" w:rsidP="00897F62">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Thus we provide a ‘Null’ response in the reporting template. </w:t>
            </w:r>
          </w:p>
        </w:tc>
      </w:tr>
      <w:tr w:rsidR="00B5004C" w:rsidRPr="00751816" w14:paraId="56A18CF4" w14:textId="77777777" w:rsidTr="00D5579B">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14"/>
        </w:trPr>
        <w:tc>
          <w:tcPr>
            <w:cnfStyle w:val="001000000000" w:firstRow="0" w:lastRow="0" w:firstColumn="1" w:lastColumn="0" w:oddVBand="0" w:evenVBand="0" w:oddHBand="0" w:evenHBand="0" w:firstRowFirstColumn="0" w:firstRowLastColumn="0" w:lastRowFirstColumn="0" w:lastRowLastColumn="0"/>
            <w:tcW w:w="781" w:type="pct"/>
            <w:tcBorders>
              <w:top w:val="single" w:sz="4" w:space="0" w:color="00B0F0"/>
              <w:bottom w:val="single" w:sz="4" w:space="0" w:color="00B0F0"/>
            </w:tcBorders>
            <w:vAlign w:val="center"/>
          </w:tcPr>
          <w:p w14:paraId="5DB0B64E" w14:textId="77777777" w:rsidR="00B5004C" w:rsidRPr="00751816" w:rsidRDefault="00B5004C" w:rsidP="005C36F2">
            <w:pPr>
              <w:spacing w:before="120" w:after="120" w:line="240" w:lineRule="atLeast"/>
              <w:contextualSpacing/>
              <w:rPr>
                <w:rFonts w:ascii="Tahoma" w:hAnsi="Tahoma" w:cs="Tahoma"/>
                <w:sz w:val="20"/>
              </w:rPr>
            </w:pPr>
            <w:r w:rsidRPr="00751816">
              <w:rPr>
                <w:rFonts w:ascii="Tahoma" w:hAnsi="Tahoma" w:cs="Tahoma"/>
                <w:sz w:val="20"/>
              </w:rPr>
              <w:t xml:space="preserve">Other Capex </w:t>
            </w:r>
          </w:p>
        </w:tc>
        <w:tc>
          <w:tcPr>
            <w:tcW w:w="1640" w:type="pct"/>
            <w:tcBorders>
              <w:top w:val="single" w:sz="4" w:space="0" w:color="00B0F0"/>
              <w:left w:val="nil"/>
              <w:bottom w:val="single" w:sz="4" w:space="0" w:color="00B0F0"/>
              <w:right w:val="nil"/>
            </w:tcBorders>
          </w:tcPr>
          <w:p w14:paraId="5F4EBBF4" w14:textId="6ECE3A6D" w:rsidR="00B5004C" w:rsidRPr="001F6230" w:rsidRDefault="00B5004C" w:rsidP="00897F62">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F6230">
              <w:rPr>
                <w:rFonts w:ascii="Tahoma" w:hAnsi="Tahoma" w:cs="Tahoma"/>
                <w:sz w:val="20"/>
              </w:rPr>
              <w:t xml:space="preserve">Expenditure reported for Other capex projects has been identified with reference to specific </w:t>
            </w:r>
            <w:r w:rsidR="00D961D5">
              <w:rPr>
                <w:rFonts w:ascii="Tahoma" w:hAnsi="Tahoma" w:cs="Tahoma"/>
                <w:sz w:val="20"/>
              </w:rPr>
              <w:t xml:space="preserve">“Development” and “Stay in Business” tasks and activities </w:t>
            </w:r>
            <w:r w:rsidRPr="001F6230">
              <w:rPr>
                <w:rFonts w:ascii="Tahoma" w:hAnsi="Tahoma" w:cs="Tahoma"/>
                <w:sz w:val="20"/>
              </w:rPr>
              <w:t>in APA’s Oracle finance system that are known to be miscellaneous projects</w:t>
            </w:r>
            <w:r>
              <w:rPr>
                <w:rFonts w:ascii="Tahoma" w:hAnsi="Tahoma" w:cs="Tahoma"/>
                <w:sz w:val="20"/>
              </w:rPr>
              <w:t xml:space="preserve"> that are not otherwise related</w:t>
            </w:r>
            <w:r w:rsidRPr="001F6230">
              <w:rPr>
                <w:rFonts w:ascii="Tahoma" w:hAnsi="Tahoma" w:cs="Tahoma"/>
                <w:sz w:val="20"/>
              </w:rPr>
              <w:t xml:space="preserve"> to the </w:t>
            </w:r>
            <w:r>
              <w:rPr>
                <w:rFonts w:ascii="Tahoma" w:hAnsi="Tahoma" w:cs="Tahoma"/>
                <w:sz w:val="20"/>
              </w:rPr>
              <w:t>other</w:t>
            </w:r>
            <w:r w:rsidRPr="001F6230">
              <w:rPr>
                <w:rFonts w:ascii="Tahoma" w:hAnsi="Tahoma" w:cs="Tahoma"/>
                <w:sz w:val="20"/>
              </w:rPr>
              <w:t xml:space="preserve"> </w:t>
            </w:r>
            <w:r>
              <w:rPr>
                <w:rFonts w:ascii="Tahoma" w:hAnsi="Tahoma" w:cs="Tahoma"/>
                <w:sz w:val="20"/>
              </w:rPr>
              <w:t xml:space="preserve">categories in this </w:t>
            </w:r>
            <w:r w:rsidRPr="001F6230">
              <w:rPr>
                <w:rFonts w:ascii="Tahoma" w:hAnsi="Tahoma" w:cs="Tahoma"/>
                <w:sz w:val="20"/>
              </w:rPr>
              <w:t xml:space="preserve">table. </w:t>
            </w:r>
            <w:r w:rsidR="00FF72B1">
              <w:rPr>
                <w:rFonts w:ascii="Tahoma" w:hAnsi="Tahoma" w:cs="Tahoma"/>
                <w:sz w:val="20"/>
              </w:rPr>
              <w:t>AGN Limited also incurs internal Other capital expenditure</w:t>
            </w:r>
            <w:r w:rsidR="00760766">
              <w:rPr>
                <w:rFonts w:ascii="Tahoma" w:hAnsi="Tahoma" w:cs="Tahoma"/>
                <w:sz w:val="20"/>
              </w:rPr>
              <w:t xml:space="preserve"> for AGN (SA)</w:t>
            </w:r>
            <w:r w:rsidR="00FF72B1">
              <w:rPr>
                <w:rFonts w:ascii="Tahoma" w:hAnsi="Tahoma" w:cs="Tahoma"/>
                <w:sz w:val="20"/>
              </w:rPr>
              <w:t xml:space="preserve"> (Head Office Additions) which is added to the expenditure information provided by APA.</w:t>
            </w:r>
          </w:p>
          <w:p w14:paraId="6A8D75E0" w14:textId="77777777" w:rsidR="00B5004C" w:rsidRPr="001F6230" w:rsidRDefault="00B5004C"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F99A21D" w14:textId="39BA8B53" w:rsidR="00392FCE" w:rsidRPr="0093430F" w:rsidRDefault="00D961D5" w:rsidP="00897F62">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Tasks and activity codes include Mains Alterations, Regulators, Corrosion, Other Non-Reticulation Capital, Other Network Stopple Equipment and specific Mains Alterations major projects.</w:t>
            </w:r>
            <w:r w:rsidR="00B5004C">
              <w:rPr>
                <w:rFonts w:ascii="Tahoma" w:hAnsi="Tahoma" w:cs="Tahoma"/>
                <w:sz w:val="20"/>
              </w:rPr>
              <w:t xml:space="preserve"> </w:t>
            </w:r>
          </w:p>
          <w:p w14:paraId="24F42FCC" w14:textId="77777777" w:rsidR="00B5004C" w:rsidRDefault="00B5004C" w:rsidP="00897F62">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6DA7B5A" w14:textId="48EF9A9F" w:rsidR="00B5004C" w:rsidRPr="00150110" w:rsidRDefault="00B5004C" w:rsidP="00897F62">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50110">
              <w:rPr>
                <w:rFonts w:ascii="Tahoma" w:hAnsi="Tahoma" w:cs="Tahoma"/>
                <w:sz w:val="20"/>
              </w:rPr>
              <w:lastRenderedPageBreak/>
              <w:t>Refer to Appendix E for a description of the adjustments made due to regulatory accounting policies.  Specifically see adjustment types:</w:t>
            </w:r>
          </w:p>
          <w:p w14:paraId="46BB0828" w14:textId="1B71A529" w:rsidR="00B5004C" w:rsidRPr="00367E84" w:rsidRDefault="0016009D" w:rsidP="00897F62">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50110" w:rsidDel="0016009D">
              <w:rPr>
                <w:rFonts w:ascii="Tahoma" w:hAnsi="Tahoma" w:cs="Tahoma"/>
                <w:sz w:val="20"/>
              </w:rPr>
              <w:t xml:space="preserve"> </w:t>
            </w:r>
            <w:r w:rsidR="00B5004C" w:rsidRPr="00150110">
              <w:rPr>
                <w:rFonts w:ascii="Tahoma" w:hAnsi="Tahoma" w:cs="Tahoma"/>
                <w:sz w:val="20"/>
              </w:rPr>
              <w:t>“Heat Shrinking Sleeves”</w:t>
            </w:r>
            <w:r w:rsidR="00DF7DEE" w:rsidRPr="00150110">
              <w:rPr>
                <w:rFonts w:ascii="Tahoma" w:hAnsi="Tahoma" w:cs="Tahoma"/>
                <w:sz w:val="20"/>
              </w:rPr>
              <w:t xml:space="preserve"> related to the activity Corrosion </w:t>
            </w:r>
            <w:r w:rsidR="00B5004C" w:rsidRPr="00150110">
              <w:rPr>
                <w:rFonts w:ascii="Tahoma" w:hAnsi="Tahoma" w:cs="Tahoma"/>
                <w:sz w:val="20"/>
              </w:rPr>
              <w:t xml:space="preserve">where certain expenditure </w:t>
            </w:r>
            <w:r w:rsidR="00462FA3" w:rsidRPr="00150110">
              <w:rPr>
                <w:rFonts w:ascii="Tahoma" w:hAnsi="Tahoma" w:cs="Tahoma"/>
                <w:sz w:val="20"/>
              </w:rPr>
              <w:t xml:space="preserve">has consistently been </w:t>
            </w:r>
            <w:r w:rsidR="00B5004C" w:rsidRPr="00150110">
              <w:rPr>
                <w:rFonts w:ascii="Tahoma" w:hAnsi="Tahoma" w:cs="Tahoma"/>
                <w:sz w:val="20"/>
              </w:rPr>
              <w:t>treated as Opex</w:t>
            </w:r>
            <w:r w:rsidR="00462FA3" w:rsidRPr="00150110">
              <w:rPr>
                <w:rFonts w:ascii="Tahoma" w:hAnsi="Tahoma" w:cs="Tahoma"/>
                <w:sz w:val="20"/>
              </w:rPr>
              <w:t xml:space="preserve"> </w:t>
            </w:r>
            <w:r w:rsidR="005E6F8D" w:rsidRPr="00150110">
              <w:rPr>
                <w:rFonts w:ascii="Tahoma" w:hAnsi="Tahoma" w:cs="Tahoma"/>
                <w:sz w:val="20"/>
              </w:rPr>
              <w:t>for regulatory purposes</w:t>
            </w:r>
            <w:r w:rsidR="00B5004C" w:rsidRPr="00150110">
              <w:rPr>
                <w:rFonts w:ascii="Tahoma" w:hAnsi="Tahoma" w:cs="Tahoma"/>
                <w:sz w:val="20"/>
              </w:rPr>
              <w:t>; and</w:t>
            </w:r>
          </w:p>
          <w:p w14:paraId="4381565F" w14:textId="04AADE6C" w:rsidR="00B5004C" w:rsidRPr="0093430F" w:rsidRDefault="00B5004C" w:rsidP="00FF72B1">
            <w:pPr>
              <w:pStyle w:val="ListParagraph"/>
              <w:numPr>
                <w:ilvl w:val="0"/>
                <w:numId w:val="13"/>
              </w:num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A3DB5">
              <w:rPr>
                <w:rFonts w:ascii="Tahoma" w:hAnsi="Tahoma" w:cs="Tahoma"/>
                <w:sz w:val="20"/>
              </w:rPr>
              <w:t>“Head Office Additions and Other Adjustments” for Other Capex directly incurred by AGN Limited</w:t>
            </w:r>
            <w:r w:rsidR="00760766">
              <w:rPr>
                <w:rFonts w:ascii="Tahoma" w:hAnsi="Tahoma" w:cs="Tahoma"/>
                <w:sz w:val="20"/>
              </w:rPr>
              <w:t xml:space="preserve"> for AGN (SA)</w:t>
            </w:r>
            <w:r w:rsidR="00FF72B1">
              <w:rPr>
                <w:rFonts w:ascii="Tahoma" w:hAnsi="Tahoma" w:cs="Tahoma"/>
                <w:sz w:val="20"/>
              </w:rPr>
              <w:t>.</w:t>
            </w:r>
          </w:p>
        </w:tc>
        <w:tc>
          <w:tcPr>
            <w:tcW w:w="793" w:type="pct"/>
            <w:tcBorders>
              <w:top w:val="single" w:sz="4" w:space="0" w:color="00B0F0"/>
              <w:left w:val="nil"/>
              <w:bottom w:val="single" w:sz="4" w:space="0" w:color="00B0F0"/>
              <w:right w:val="nil"/>
            </w:tcBorders>
            <w:vAlign w:val="center"/>
          </w:tcPr>
          <w:p w14:paraId="53DB6476" w14:textId="77777777" w:rsidR="00B5004C" w:rsidRPr="00751816" w:rsidRDefault="00B5004C" w:rsidP="00897F6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20" w:type="pct"/>
            <w:tcBorders>
              <w:top w:val="single" w:sz="4" w:space="0" w:color="00B0F0"/>
              <w:left w:val="nil"/>
              <w:bottom w:val="single" w:sz="4" w:space="0" w:color="00B0F0"/>
              <w:right w:val="nil"/>
            </w:tcBorders>
          </w:tcPr>
          <w:p w14:paraId="22A9D690" w14:textId="77777777" w:rsidR="00B5004C" w:rsidRPr="00751816"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6" w:type="pct"/>
            <w:tcBorders>
              <w:top w:val="single" w:sz="4" w:space="0" w:color="00B0F0"/>
              <w:left w:val="nil"/>
              <w:bottom w:val="single" w:sz="4" w:space="0" w:color="00B0F0"/>
              <w:right w:val="nil"/>
            </w:tcBorders>
          </w:tcPr>
          <w:p w14:paraId="68992807" w14:textId="77777777" w:rsidR="00B5004C" w:rsidRPr="00751816" w:rsidRDefault="00B5004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0C99D7CE" w14:textId="7A471630" w:rsidR="005C36F2" w:rsidRDefault="005C36F2">
      <w:pPr>
        <w:rPr>
          <w:rFonts w:ascii="Tahoma" w:hAnsi="Tahoma" w:cs="Tahoma"/>
          <w:color w:val="00B0F0"/>
        </w:rPr>
      </w:pPr>
    </w:p>
    <w:tbl>
      <w:tblPr>
        <w:tblStyle w:val="UETableStyle"/>
        <w:tblW w:w="5003"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6729"/>
        <w:gridCol w:w="7237"/>
      </w:tblGrid>
      <w:tr w:rsidR="001C016D" w:rsidRPr="00751816" w14:paraId="235819C1" w14:textId="77777777" w:rsidTr="001C016D">
        <w:trPr>
          <w:cnfStyle w:val="100000000000" w:firstRow="1" w:lastRow="0" w:firstColumn="0" w:lastColumn="0" w:oddVBand="0" w:evenVBand="0" w:oddHBand="0" w:evenHBand="0" w:firstRowFirstColumn="0" w:firstRowLastColumn="0" w:lastRowFirstColumn="0" w:lastRowLastColumn="0"/>
          <w:trHeight w:val="229"/>
          <w:tblHeader/>
        </w:trPr>
        <w:tc>
          <w:tcPr>
            <w:cnfStyle w:val="001000000000" w:firstRow="0" w:lastRow="0" w:firstColumn="1" w:lastColumn="0" w:oddVBand="0" w:evenVBand="0" w:oddHBand="0" w:evenHBand="0" w:firstRowFirstColumn="0" w:firstRowLastColumn="0" w:lastRowFirstColumn="0" w:lastRowLastColumn="0"/>
            <w:tcW w:w="2409" w:type="pct"/>
            <w:tcBorders>
              <w:bottom w:val="single" w:sz="4" w:space="0" w:color="00B0F0"/>
            </w:tcBorders>
            <w:shd w:val="clear" w:color="auto" w:fill="003C71"/>
            <w:hideMark/>
          </w:tcPr>
          <w:p w14:paraId="2A2E763C" w14:textId="77777777" w:rsidR="001C016D" w:rsidRPr="00751816" w:rsidRDefault="001C016D" w:rsidP="001C016D">
            <w:pPr>
              <w:spacing w:line="240" w:lineRule="auto"/>
              <w:rPr>
                <w:rFonts w:ascii="Tahoma" w:hAnsi="Tahoma" w:cs="Tahoma"/>
                <w:b/>
                <w:color w:val="FFFFFF"/>
                <w:sz w:val="20"/>
              </w:rPr>
            </w:pPr>
            <w:r w:rsidRPr="00751816">
              <w:rPr>
                <w:rFonts w:ascii="Tahoma" w:hAnsi="Tahoma" w:cs="Tahoma"/>
                <w:b/>
                <w:color w:val="FFFFFF"/>
                <w:sz w:val="20"/>
              </w:rPr>
              <w:t xml:space="preserve">Variable </w:t>
            </w:r>
          </w:p>
        </w:tc>
        <w:tc>
          <w:tcPr>
            <w:tcW w:w="2591" w:type="pct"/>
            <w:tcBorders>
              <w:bottom w:val="single" w:sz="4" w:space="0" w:color="00B0F0"/>
            </w:tcBorders>
            <w:shd w:val="clear" w:color="auto" w:fill="003C71"/>
          </w:tcPr>
          <w:p w14:paraId="537AA6A6" w14:textId="77777777" w:rsidR="001C016D" w:rsidRPr="00751816" w:rsidRDefault="001C016D" w:rsidP="001C016D">
            <w:pPr>
              <w:spacing w:line="240" w:lineRule="auto"/>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Pr>
                <w:rFonts w:ascii="Tahoma" w:hAnsi="Tahoma" w:cs="Tahoma"/>
                <w:b/>
                <w:color w:val="FFFFFF"/>
                <w:sz w:val="20"/>
              </w:rPr>
              <w:t>Source Template</w:t>
            </w:r>
            <w:r w:rsidRPr="00751816">
              <w:rPr>
                <w:rFonts w:ascii="Tahoma" w:hAnsi="Tahoma" w:cs="Tahoma"/>
                <w:b/>
                <w:color w:val="FFFFFF"/>
                <w:sz w:val="20"/>
              </w:rPr>
              <w:t xml:space="preserve"> </w:t>
            </w:r>
          </w:p>
        </w:tc>
      </w:tr>
      <w:tr w:rsidR="001C016D" w:rsidRPr="00751816" w14:paraId="46CEEBF9" w14:textId="77777777" w:rsidTr="001C016D">
        <w:trPr>
          <w:trHeight w:val="459"/>
        </w:trPr>
        <w:tc>
          <w:tcPr>
            <w:cnfStyle w:val="001000000000" w:firstRow="0" w:lastRow="0" w:firstColumn="1" w:lastColumn="0" w:oddVBand="0" w:evenVBand="0" w:oddHBand="0" w:evenHBand="0" w:firstRowFirstColumn="0" w:firstRowLastColumn="0" w:lastRowFirstColumn="0" w:lastRowLastColumn="0"/>
            <w:tcW w:w="2409" w:type="pct"/>
            <w:tcBorders>
              <w:top w:val="single" w:sz="4" w:space="0" w:color="00B0F0"/>
              <w:bottom w:val="single" w:sz="4" w:space="0" w:color="00B0F0"/>
            </w:tcBorders>
            <w:shd w:val="clear" w:color="auto" w:fill="D9D9D9" w:themeFill="background1" w:themeFillShade="D9"/>
            <w:vAlign w:val="center"/>
          </w:tcPr>
          <w:p w14:paraId="05E0C6BA" w14:textId="77777777" w:rsidR="001C016D" w:rsidRPr="00751816" w:rsidRDefault="001C016D" w:rsidP="001C016D">
            <w:pPr>
              <w:spacing w:line="240" w:lineRule="auto"/>
              <w:contextualSpacing/>
              <w:rPr>
                <w:rFonts w:ascii="Tahoma" w:hAnsi="Tahoma" w:cs="Tahoma"/>
                <w:sz w:val="20"/>
              </w:rPr>
            </w:pPr>
            <w:r w:rsidRPr="00751816">
              <w:rPr>
                <w:rFonts w:ascii="Tahoma" w:hAnsi="Tahoma" w:cs="Tahoma"/>
                <w:sz w:val="20"/>
              </w:rPr>
              <w:t xml:space="preserve">Capital contributions included in the above </w:t>
            </w:r>
          </w:p>
        </w:tc>
        <w:tc>
          <w:tcPr>
            <w:tcW w:w="2591" w:type="pct"/>
            <w:tcBorders>
              <w:top w:val="single" w:sz="4" w:space="0" w:color="00B0F0"/>
              <w:bottom w:val="single" w:sz="4" w:space="0" w:color="00B0F0"/>
            </w:tcBorders>
            <w:vAlign w:val="center"/>
          </w:tcPr>
          <w:p w14:paraId="1B34773C" w14:textId="3457DAF9" w:rsidR="001C016D" w:rsidRPr="00751816" w:rsidRDefault="001C016D" w:rsidP="001C016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AD083B">
              <w:rPr>
                <w:rFonts w:ascii="Tahoma" w:hAnsi="Tahoma" w:cs="Tahoma"/>
                <w:sz w:val="20"/>
              </w:rPr>
              <w:t>F2</w:t>
            </w:r>
            <w:r>
              <w:rPr>
                <w:rFonts w:ascii="Tahoma" w:hAnsi="Tahoma" w:cs="Tahoma"/>
                <w:sz w:val="20"/>
              </w:rPr>
              <w:t>.</w:t>
            </w:r>
            <w:r w:rsidRPr="00AD083B">
              <w:rPr>
                <w:rFonts w:ascii="Tahoma" w:hAnsi="Tahoma" w:cs="Tahoma"/>
                <w:sz w:val="20"/>
              </w:rPr>
              <w:t xml:space="preserve"> Capex</w:t>
            </w:r>
            <w:r>
              <w:rPr>
                <w:rFonts w:ascii="Tahoma" w:hAnsi="Tahoma" w:cs="Tahoma"/>
                <w:sz w:val="20"/>
              </w:rPr>
              <w:t xml:space="preserve"> </w:t>
            </w:r>
            <w:r w:rsidR="00D85BEA">
              <w:rPr>
                <w:rFonts w:ascii="Tahoma" w:hAnsi="Tahoma" w:cs="Tahoma"/>
                <w:sz w:val="20"/>
              </w:rPr>
              <w:t xml:space="preserve"> </w:t>
            </w:r>
            <w:r w:rsidR="00D85BEA" w:rsidRPr="00D85BEA">
              <w:rPr>
                <w:rFonts w:ascii="Tahoma" w:hAnsi="Tahoma" w:cs="Tahoma"/>
                <w:sz w:val="20"/>
              </w:rPr>
              <w:t>F2.5.1 – Actual – As Incurred</w:t>
            </w:r>
          </w:p>
        </w:tc>
      </w:tr>
    </w:tbl>
    <w:p w14:paraId="330A38B6" w14:textId="5C06A4ED" w:rsidR="005C36F2" w:rsidRDefault="005C36F2" w:rsidP="00BE7356">
      <w:pPr>
        <w:rPr>
          <w:rFonts w:ascii="Tahoma" w:hAnsi="Tahoma" w:cs="Tahoma"/>
          <w:color w:val="00B0F0"/>
        </w:rPr>
      </w:pPr>
    </w:p>
    <w:tbl>
      <w:tblPr>
        <w:tblW w:w="4987" w:type="pct"/>
        <w:tblInd w:w="-10" w:type="dxa"/>
        <w:tblBorders>
          <w:top w:val="single" w:sz="4" w:space="0" w:color="00B0F0"/>
          <w:bottom w:val="single" w:sz="4" w:space="0" w:color="00B0F0"/>
          <w:insideH w:val="single" w:sz="4" w:space="0" w:color="00B0F0"/>
        </w:tblBorders>
        <w:tblLayout w:type="fixed"/>
        <w:tblLook w:val="04A0" w:firstRow="1" w:lastRow="0" w:firstColumn="1" w:lastColumn="0" w:noHBand="0" w:noVBand="1"/>
      </w:tblPr>
      <w:tblGrid>
        <w:gridCol w:w="2175"/>
        <w:gridCol w:w="11747"/>
      </w:tblGrid>
      <w:tr w:rsidR="008E0EB5" w:rsidRPr="0093430F" w14:paraId="31876D05" w14:textId="77777777" w:rsidTr="008E0EB5">
        <w:trPr>
          <w:trHeight w:val="514"/>
        </w:trPr>
        <w:tc>
          <w:tcPr>
            <w:tcW w:w="781" w:type="pct"/>
            <w:tcBorders>
              <w:top w:val="single" w:sz="4" w:space="0" w:color="00B0F0"/>
              <w:bottom w:val="single" w:sz="4" w:space="0" w:color="00B0F0"/>
            </w:tcBorders>
            <w:shd w:val="clear" w:color="auto" w:fill="D9D9D9" w:themeFill="background1" w:themeFillShade="D9"/>
            <w:vAlign w:val="center"/>
          </w:tcPr>
          <w:p w14:paraId="56CDBFFF" w14:textId="77777777" w:rsidR="008E0EB5" w:rsidRPr="0093430F" w:rsidRDefault="008E0EB5" w:rsidP="007715ED">
            <w:pPr>
              <w:rPr>
                <w:rFonts w:ascii="Tahoma" w:hAnsi="Tahoma" w:cs="Tahoma"/>
                <w:color w:val="00B0F0"/>
                <w:sz w:val="20"/>
                <w:szCs w:val="20"/>
              </w:rPr>
            </w:pPr>
            <w:r w:rsidRPr="0093430F">
              <w:rPr>
                <w:rFonts w:ascii="Tahoma" w:hAnsi="Tahoma" w:cs="Tahoma"/>
                <w:color w:val="00B0F0"/>
                <w:sz w:val="20"/>
                <w:szCs w:val="20"/>
              </w:rPr>
              <w:t>Variances</w:t>
            </w:r>
          </w:p>
        </w:tc>
        <w:tc>
          <w:tcPr>
            <w:tcW w:w="4219" w:type="pct"/>
            <w:tcBorders>
              <w:top w:val="single" w:sz="4" w:space="0" w:color="00B0F0"/>
              <w:bottom w:val="single" w:sz="4" w:space="0" w:color="00B0F0"/>
            </w:tcBorders>
            <w:vAlign w:val="center"/>
          </w:tcPr>
          <w:p w14:paraId="15ED6821" w14:textId="77777777" w:rsidR="008E0EB5" w:rsidRPr="005C36F2" w:rsidRDefault="008E0EB5" w:rsidP="00897F62">
            <w:pPr>
              <w:spacing w:after="0" w:line="240" w:lineRule="auto"/>
              <w:rPr>
                <w:rFonts w:ascii="Tahoma" w:hAnsi="Tahoma" w:cs="Tahoma"/>
                <w:b/>
                <w:i/>
                <w:sz w:val="20"/>
                <w:szCs w:val="20"/>
              </w:rPr>
            </w:pPr>
            <w:r w:rsidRPr="005C36F2">
              <w:rPr>
                <w:rFonts w:ascii="Tahoma" w:hAnsi="Tahoma" w:cs="Tahoma"/>
                <w:b/>
                <w:i/>
                <w:sz w:val="20"/>
                <w:szCs w:val="20"/>
              </w:rPr>
              <w:t>Variance Basis of Preparation Requirement</w:t>
            </w:r>
          </w:p>
          <w:p w14:paraId="49A4B7B7" w14:textId="77777777" w:rsidR="00897F62" w:rsidRDefault="00897F62" w:rsidP="00897F62">
            <w:pPr>
              <w:spacing w:after="0" w:line="240" w:lineRule="auto"/>
              <w:rPr>
                <w:rFonts w:ascii="Tahoma" w:hAnsi="Tahoma" w:cs="Tahoma"/>
                <w:sz w:val="20"/>
                <w:szCs w:val="20"/>
              </w:rPr>
            </w:pPr>
          </w:p>
          <w:p w14:paraId="4FC0721C" w14:textId="77777777" w:rsidR="008E0EB5" w:rsidRPr="0093430F" w:rsidRDefault="008E0EB5" w:rsidP="00897F62">
            <w:pPr>
              <w:spacing w:after="0" w:line="240" w:lineRule="auto"/>
              <w:rPr>
                <w:rFonts w:ascii="Tahoma" w:hAnsi="Tahoma" w:cs="Tahoma"/>
                <w:sz w:val="20"/>
                <w:szCs w:val="20"/>
              </w:rPr>
            </w:pPr>
            <w:r w:rsidRPr="0093430F">
              <w:rPr>
                <w:rFonts w:ascii="Tahoma" w:hAnsi="Tahoma" w:cs="Tahoma"/>
                <w:sz w:val="20"/>
                <w:szCs w:val="20"/>
              </w:rPr>
              <w:t>Schedule 1 – 1.5 (b)</w:t>
            </w:r>
          </w:p>
          <w:p w14:paraId="4F28CC7C" w14:textId="77777777" w:rsidR="00897F62" w:rsidRDefault="00897F62" w:rsidP="00897F62">
            <w:pPr>
              <w:spacing w:after="0" w:line="240" w:lineRule="auto"/>
              <w:rPr>
                <w:rFonts w:ascii="Tahoma" w:hAnsi="Tahoma" w:cs="Tahoma"/>
                <w:sz w:val="20"/>
                <w:szCs w:val="20"/>
              </w:rPr>
            </w:pPr>
          </w:p>
          <w:p w14:paraId="24E677E3" w14:textId="288D9735" w:rsidR="008E0EB5" w:rsidRPr="0093430F" w:rsidRDefault="004C1667" w:rsidP="00897F62">
            <w:pPr>
              <w:spacing w:after="0" w:line="240" w:lineRule="auto"/>
              <w:rPr>
                <w:rFonts w:ascii="Tahoma" w:hAnsi="Tahoma" w:cs="Tahoma"/>
                <w:sz w:val="20"/>
                <w:szCs w:val="20"/>
              </w:rPr>
            </w:pPr>
            <w:r>
              <w:rPr>
                <w:rFonts w:ascii="Tahoma" w:hAnsi="Tahoma" w:cs="Tahoma"/>
                <w:sz w:val="20"/>
                <w:szCs w:val="20"/>
              </w:rPr>
              <w:t>Please see below table for 2019/20</w:t>
            </w:r>
            <w:r w:rsidR="008E0EB5" w:rsidRPr="0093430F">
              <w:rPr>
                <w:rFonts w:ascii="Tahoma" w:hAnsi="Tahoma" w:cs="Tahoma"/>
                <w:sz w:val="20"/>
                <w:szCs w:val="20"/>
              </w:rPr>
              <w:t xml:space="preserve"> Capex</w:t>
            </w:r>
            <w:r>
              <w:rPr>
                <w:rFonts w:ascii="Tahoma" w:hAnsi="Tahoma" w:cs="Tahoma"/>
                <w:sz w:val="20"/>
                <w:szCs w:val="20"/>
              </w:rPr>
              <w:t xml:space="preserve"> actually incurred</w:t>
            </w:r>
            <w:r w:rsidR="008E0EB5" w:rsidRPr="0093430F">
              <w:rPr>
                <w:rFonts w:ascii="Tahoma" w:hAnsi="Tahoma" w:cs="Tahoma"/>
                <w:sz w:val="20"/>
                <w:szCs w:val="20"/>
              </w:rPr>
              <w:t xml:space="preserve"> </w:t>
            </w:r>
            <w:r>
              <w:rPr>
                <w:rFonts w:ascii="Tahoma" w:hAnsi="Tahoma" w:cs="Tahoma"/>
                <w:sz w:val="20"/>
                <w:szCs w:val="20"/>
              </w:rPr>
              <w:t>vs that</w:t>
            </w:r>
            <w:r w:rsidR="008E0EB5" w:rsidRPr="0093430F">
              <w:rPr>
                <w:rFonts w:ascii="Tahoma" w:hAnsi="Tahoma" w:cs="Tahoma"/>
                <w:sz w:val="20"/>
                <w:szCs w:val="20"/>
              </w:rPr>
              <w:t xml:space="preserve"> approved in the </w:t>
            </w:r>
            <w:r w:rsidR="00CD1837">
              <w:rPr>
                <w:rFonts w:ascii="Tahoma" w:hAnsi="Tahoma" w:cs="Tahoma"/>
                <w:sz w:val="20"/>
                <w:szCs w:val="20"/>
              </w:rPr>
              <w:t>Post-tax revenue model (</w:t>
            </w:r>
            <w:r w:rsidR="008E0EB5" w:rsidRPr="0093430F">
              <w:rPr>
                <w:rFonts w:ascii="Tahoma" w:hAnsi="Tahoma" w:cs="Tahoma"/>
                <w:sz w:val="20"/>
                <w:szCs w:val="20"/>
              </w:rPr>
              <w:t>PTRM</w:t>
            </w:r>
            <w:r w:rsidR="00CD1837">
              <w:rPr>
                <w:rFonts w:ascii="Tahoma" w:hAnsi="Tahoma" w:cs="Tahoma"/>
                <w:sz w:val="20"/>
                <w:szCs w:val="20"/>
              </w:rPr>
              <w:t>)</w:t>
            </w:r>
            <w:r w:rsidR="008E0EB5" w:rsidRPr="0093430F">
              <w:rPr>
                <w:rFonts w:ascii="Tahoma" w:hAnsi="Tahoma" w:cs="Tahoma"/>
                <w:sz w:val="20"/>
                <w:szCs w:val="20"/>
              </w:rPr>
              <w:t>.</w:t>
            </w:r>
          </w:p>
          <w:p w14:paraId="6B398530" w14:textId="77777777" w:rsidR="00897F62" w:rsidRDefault="00897F62" w:rsidP="00897F62">
            <w:pPr>
              <w:spacing w:after="0" w:line="240" w:lineRule="auto"/>
              <w:rPr>
                <w:rFonts w:ascii="Tahoma" w:hAnsi="Tahoma" w:cs="Tahoma"/>
                <w:sz w:val="20"/>
                <w:szCs w:val="20"/>
              </w:rPr>
            </w:pPr>
          </w:p>
          <w:p w14:paraId="7FE1C27D" w14:textId="184B8844" w:rsidR="008E0EB5" w:rsidRDefault="00F25CB3" w:rsidP="007715ED">
            <w:pPr>
              <w:rPr>
                <w:rFonts w:ascii="Tahoma" w:hAnsi="Tahoma" w:cs="Tahoma"/>
                <w:color w:val="00B0F0"/>
                <w:sz w:val="20"/>
                <w:szCs w:val="20"/>
              </w:rPr>
            </w:pPr>
            <w:r>
              <w:rPr>
                <w:noProof/>
                <w:lang w:eastAsia="en-AU"/>
              </w:rPr>
              <w:drawing>
                <wp:inline distT="0" distB="0" distL="0" distR="0" wp14:anchorId="40C11B6A" wp14:editId="3EF120A1">
                  <wp:extent cx="3688080" cy="548640"/>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688080" cy="548640"/>
                          </a:xfrm>
                          <a:prstGeom prst="rect">
                            <a:avLst/>
                          </a:prstGeom>
                          <a:noFill/>
                          <a:ln>
                            <a:noFill/>
                          </a:ln>
                        </pic:spPr>
                      </pic:pic>
                    </a:graphicData>
                  </a:graphic>
                </wp:inline>
              </w:drawing>
            </w:r>
          </w:p>
          <w:p w14:paraId="69E2814E" w14:textId="667F45D4" w:rsidR="00BE7111" w:rsidRPr="0093430F" w:rsidRDefault="00BE7111" w:rsidP="00A051F0">
            <w:pPr>
              <w:contextualSpacing/>
              <w:rPr>
                <w:rFonts w:ascii="Tahoma" w:hAnsi="Tahoma" w:cs="Tahoma"/>
                <w:color w:val="00B0F0"/>
                <w:sz w:val="20"/>
                <w:szCs w:val="20"/>
              </w:rPr>
            </w:pPr>
            <w:r>
              <w:rPr>
                <w:rFonts w:ascii="Tahoma" w:hAnsi="Tahoma" w:cs="Tahoma"/>
                <w:sz w:val="20"/>
              </w:rPr>
              <w:t xml:space="preserve">The mains replacement and ICT continued to be a key driver of underspend.  </w:t>
            </w:r>
            <w:r w:rsidR="00A051F0">
              <w:rPr>
                <w:rFonts w:ascii="Tahoma" w:hAnsi="Tahoma" w:cs="Tahoma"/>
                <w:sz w:val="20"/>
              </w:rPr>
              <w:t>M</w:t>
            </w:r>
            <w:r>
              <w:rPr>
                <w:rFonts w:ascii="Tahoma" w:hAnsi="Tahoma" w:cs="Tahoma"/>
                <w:sz w:val="20"/>
              </w:rPr>
              <w:t>ains replacement underspend was on account of lower unit rates</w:t>
            </w:r>
            <w:r w:rsidR="00A051F0">
              <w:rPr>
                <w:rFonts w:ascii="Tahoma" w:hAnsi="Tahoma" w:cs="Tahoma"/>
                <w:sz w:val="20"/>
              </w:rPr>
              <w:t xml:space="preserve"> in some categories along with lower reactive and MUS replacements</w:t>
            </w:r>
            <w:r>
              <w:rPr>
                <w:rFonts w:ascii="Tahoma" w:hAnsi="Tahoma" w:cs="Tahoma"/>
                <w:sz w:val="20"/>
              </w:rPr>
              <w:t xml:space="preserve">.  </w:t>
            </w:r>
            <w:r w:rsidRPr="0052397F">
              <w:rPr>
                <w:rFonts w:ascii="Tahoma" w:hAnsi="Tahoma" w:cs="Tahoma"/>
                <w:sz w:val="20"/>
              </w:rPr>
              <w:t>The underspending on ICT results from the deferral of major projects</w:t>
            </w:r>
            <w:r>
              <w:rPr>
                <w:rFonts w:ascii="Tahoma" w:hAnsi="Tahoma" w:cs="Tahoma"/>
                <w:sz w:val="20"/>
              </w:rPr>
              <w:t xml:space="preserve"> such as GIS, Mobility Integration and Business Intelligence.</w:t>
            </w:r>
          </w:p>
        </w:tc>
      </w:tr>
    </w:tbl>
    <w:p w14:paraId="479EA65B" w14:textId="77777777" w:rsidR="007715ED" w:rsidRDefault="007715ED" w:rsidP="00BE7356">
      <w:pPr>
        <w:rPr>
          <w:rFonts w:ascii="Tahoma" w:hAnsi="Tahoma" w:cs="Tahoma"/>
          <w:color w:val="00B0F0"/>
        </w:rPr>
      </w:pPr>
    </w:p>
    <w:p w14:paraId="39A03069" w14:textId="2F783EB3" w:rsidR="00220C58" w:rsidRDefault="00F02899" w:rsidP="00BE7356">
      <w:pPr>
        <w:rPr>
          <w:rFonts w:ascii="Tahoma" w:hAnsi="Tahoma" w:cs="Tahoma"/>
          <w:color w:val="00B0F0"/>
        </w:rPr>
      </w:pPr>
      <w:r w:rsidRPr="00BE7356">
        <w:rPr>
          <w:rFonts w:ascii="Tahoma" w:hAnsi="Tahoma" w:cs="Tahoma"/>
          <w:color w:val="00B0F0"/>
        </w:rPr>
        <w:lastRenderedPageBreak/>
        <w:t xml:space="preserve">E1.1.2 – Non-reference Services </w:t>
      </w:r>
    </w:p>
    <w:p w14:paraId="516E0130" w14:textId="2753001A" w:rsidR="00220C58" w:rsidRDefault="00220C58" w:rsidP="00BE7356">
      <w:pPr>
        <w:rPr>
          <w:rFonts w:ascii="Tahoma" w:hAnsi="Tahoma" w:cs="Tahoma"/>
        </w:rPr>
      </w:pPr>
      <w:r w:rsidRPr="00220C58">
        <w:rPr>
          <w:rFonts w:ascii="Tahoma" w:hAnsi="Tahoma" w:cs="Tahoma"/>
        </w:rPr>
        <w:t xml:space="preserve">AGN </w:t>
      </w:r>
      <w:r w:rsidR="006814A2">
        <w:rPr>
          <w:rFonts w:ascii="Tahoma" w:hAnsi="Tahoma" w:cs="Tahoma"/>
        </w:rPr>
        <w:t xml:space="preserve">SA </w:t>
      </w:r>
      <w:r w:rsidRPr="00220C58">
        <w:rPr>
          <w:rFonts w:ascii="Tahoma" w:hAnsi="Tahoma" w:cs="Tahoma"/>
        </w:rPr>
        <w:t xml:space="preserve">had no capex for non-reference services in </w:t>
      </w:r>
      <w:r w:rsidR="00344146">
        <w:rPr>
          <w:rFonts w:ascii="Tahoma" w:hAnsi="Tahoma" w:cs="Tahoma"/>
        </w:rPr>
        <w:t>2019/20</w:t>
      </w:r>
      <w:r>
        <w:rPr>
          <w:rFonts w:ascii="Tahoma" w:hAnsi="Tahoma" w:cs="Tahoma"/>
        </w:rPr>
        <w:t xml:space="preserve">. For this reason, a </w:t>
      </w:r>
      <w:r w:rsidR="00BE09C7">
        <w:rPr>
          <w:rFonts w:ascii="Tahoma" w:hAnsi="Tahoma" w:cs="Tahoma"/>
        </w:rPr>
        <w:t>‘</w:t>
      </w:r>
      <w:r>
        <w:rPr>
          <w:rFonts w:ascii="Tahoma" w:hAnsi="Tahoma" w:cs="Tahoma"/>
        </w:rPr>
        <w:t>Null</w:t>
      </w:r>
      <w:r w:rsidR="00BE09C7">
        <w:rPr>
          <w:rFonts w:ascii="Tahoma" w:hAnsi="Tahoma" w:cs="Tahoma"/>
        </w:rPr>
        <w:t>’</w:t>
      </w:r>
      <w:r>
        <w:rPr>
          <w:rFonts w:ascii="Tahoma" w:hAnsi="Tahoma" w:cs="Tahoma"/>
        </w:rPr>
        <w:t xml:space="preserve"> response is provided in this reporting template. </w:t>
      </w:r>
    </w:p>
    <w:p w14:paraId="56500919" w14:textId="5186FE9A" w:rsidR="00EB3A09" w:rsidRDefault="00EB3A09">
      <w:pPr>
        <w:rPr>
          <w:rFonts w:ascii="Tahoma" w:eastAsiaTheme="majorEastAsia" w:hAnsi="Tahoma" w:cs="Tahoma"/>
          <w:color w:val="003C71"/>
          <w:sz w:val="26"/>
          <w:szCs w:val="26"/>
        </w:rPr>
      </w:pPr>
    </w:p>
    <w:p w14:paraId="7E44F105" w14:textId="77777777" w:rsidR="00CD1837" w:rsidRDefault="00CD1837">
      <w:pPr>
        <w:rPr>
          <w:rFonts w:ascii="Tahoma" w:eastAsiaTheme="majorEastAsia" w:hAnsi="Tahoma" w:cs="Tahoma"/>
          <w:color w:val="003C71"/>
          <w:sz w:val="26"/>
          <w:szCs w:val="26"/>
        </w:rPr>
      </w:pPr>
      <w:r>
        <w:rPr>
          <w:rFonts w:ascii="Tahoma" w:hAnsi="Tahoma" w:cs="Tahoma"/>
          <w:color w:val="003C71"/>
        </w:rPr>
        <w:br w:type="page"/>
      </w:r>
    </w:p>
    <w:p w14:paraId="510BD2BB" w14:textId="42E24A30" w:rsidR="00F02899" w:rsidRDefault="00F02899" w:rsidP="0095305C">
      <w:pPr>
        <w:pStyle w:val="Heading2"/>
        <w:rPr>
          <w:rFonts w:ascii="Tahoma" w:hAnsi="Tahoma" w:cs="Tahoma"/>
          <w:color w:val="003C71"/>
        </w:rPr>
      </w:pPr>
      <w:bookmarkStart w:id="4" w:name="_Toc57314051"/>
      <w:r w:rsidRPr="0095305C">
        <w:rPr>
          <w:rFonts w:ascii="Tahoma" w:hAnsi="Tahoma" w:cs="Tahoma"/>
          <w:color w:val="003C71"/>
        </w:rPr>
        <w:lastRenderedPageBreak/>
        <w:t>E1.2 – Opex</w:t>
      </w:r>
      <w:bookmarkEnd w:id="4"/>
      <w:r w:rsidRPr="0095305C">
        <w:rPr>
          <w:rFonts w:ascii="Tahoma" w:hAnsi="Tahoma" w:cs="Tahoma"/>
          <w:color w:val="003C71"/>
        </w:rPr>
        <w:t xml:space="preserve"> </w:t>
      </w:r>
    </w:p>
    <w:p w14:paraId="14D9BDD2" w14:textId="5B4B8975" w:rsidR="00F02899" w:rsidRDefault="00F02899" w:rsidP="00220C58">
      <w:pPr>
        <w:rPr>
          <w:rFonts w:ascii="Tahoma" w:hAnsi="Tahoma" w:cs="Tahoma"/>
          <w:color w:val="00B0F0"/>
        </w:rPr>
      </w:pPr>
      <w:r w:rsidRPr="00220C58">
        <w:rPr>
          <w:rFonts w:ascii="Tahoma" w:hAnsi="Tahoma" w:cs="Tahoma"/>
          <w:color w:val="00B0F0"/>
        </w:rPr>
        <w:t xml:space="preserve">E1.2.1 – Reference Services </w:t>
      </w:r>
    </w:p>
    <w:tbl>
      <w:tblPr>
        <w:tblStyle w:val="UETableStyle"/>
        <w:tblpPr w:leftFromText="180" w:rightFromText="180" w:vertAnchor="text" w:horzAnchor="margin" w:tblpY="167"/>
        <w:tblW w:w="5013" w:type="pct"/>
        <w:tblInd w:w="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9"/>
        <w:gridCol w:w="4738"/>
        <w:gridCol w:w="2289"/>
        <w:gridCol w:w="3026"/>
        <w:gridCol w:w="1928"/>
        <w:gridCol w:w="14"/>
      </w:tblGrid>
      <w:tr w:rsidR="00502A36" w:rsidRPr="00751816" w14:paraId="20242BA7" w14:textId="77777777" w:rsidTr="00437558">
        <w:trPr>
          <w:gridAfter w:val="1"/>
          <w:cnfStyle w:val="100000000000" w:firstRow="1" w:lastRow="0" w:firstColumn="0" w:lastColumn="0" w:oddVBand="0" w:evenVBand="0" w:oddHBand="0" w:evenHBand="0" w:firstRowFirstColumn="0" w:firstRowLastColumn="0" w:lastRowFirstColumn="0" w:lastRowLastColumn="0"/>
          <w:wAfter w:w="5" w:type="pct"/>
          <w:trHeight w:val="255"/>
          <w:tblHeader/>
        </w:trPr>
        <w:tc>
          <w:tcPr>
            <w:cnfStyle w:val="001000000000" w:firstRow="0" w:lastRow="0" w:firstColumn="1" w:lastColumn="0" w:oddVBand="0" w:evenVBand="0" w:oddHBand="0" w:evenHBand="0" w:firstRowFirstColumn="0" w:firstRowLastColumn="0" w:lastRowFirstColumn="0" w:lastRowLastColumn="0"/>
            <w:tcW w:w="714" w:type="pct"/>
            <w:tcBorders>
              <w:bottom w:val="single" w:sz="4" w:space="0" w:color="00B0F0"/>
            </w:tcBorders>
            <w:shd w:val="clear" w:color="auto" w:fill="003C71"/>
            <w:hideMark/>
          </w:tcPr>
          <w:p w14:paraId="4CB6E582" w14:textId="77777777" w:rsidR="006B141D" w:rsidRPr="00751816" w:rsidRDefault="006B141D" w:rsidP="001C016D">
            <w:pPr>
              <w:rPr>
                <w:rFonts w:ascii="Tahoma" w:hAnsi="Tahoma" w:cs="Tahoma"/>
                <w:b/>
                <w:color w:val="FFFFFF"/>
                <w:sz w:val="20"/>
              </w:rPr>
            </w:pPr>
            <w:r w:rsidRPr="00751816">
              <w:rPr>
                <w:rFonts w:ascii="Tahoma" w:hAnsi="Tahoma" w:cs="Tahoma"/>
                <w:b/>
                <w:color w:val="FFFFFF"/>
                <w:sz w:val="20"/>
              </w:rPr>
              <w:t xml:space="preserve">Variable </w:t>
            </w:r>
          </w:p>
        </w:tc>
        <w:tc>
          <w:tcPr>
            <w:tcW w:w="1693" w:type="pct"/>
            <w:tcBorders>
              <w:bottom w:val="single" w:sz="4" w:space="0" w:color="00B0F0"/>
            </w:tcBorders>
            <w:shd w:val="clear" w:color="auto" w:fill="003C71"/>
          </w:tcPr>
          <w:p w14:paraId="1F8F8206" w14:textId="77777777" w:rsidR="006B141D" w:rsidRPr="00751816" w:rsidRDefault="006B141D"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18" w:type="pct"/>
            <w:tcBorders>
              <w:bottom w:val="single" w:sz="4" w:space="0" w:color="00B0F0"/>
            </w:tcBorders>
            <w:shd w:val="clear" w:color="auto" w:fill="003C71"/>
          </w:tcPr>
          <w:p w14:paraId="5F7BD2D4" w14:textId="77777777" w:rsidR="006B141D" w:rsidRPr="00751816" w:rsidRDefault="006B141D"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081" w:type="pct"/>
            <w:tcBorders>
              <w:bottom w:val="single" w:sz="4" w:space="0" w:color="00B0F0"/>
            </w:tcBorders>
            <w:shd w:val="clear" w:color="auto" w:fill="003C71"/>
          </w:tcPr>
          <w:p w14:paraId="2C540721" w14:textId="77777777" w:rsidR="006B141D" w:rsidRPr="00751816" w:rsidRDefault="006B141D"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89" w:type="pct"/>
            <w:tcBorders>
              <w:bottom w:val="single" w:sz="4" w:space="0" w:color="00B0F0"/>
            </w:tcBorders>
            <w:shd w:val="clear" w:color="auto" w:fill="003C71"/>
          </w:tcPr>
          <w:p w14:paraId="2EA236FC" w14:textId="77777777" w:rsidR="006B141D" w:rsidRPr="00124959" w:rsidRDefault="006B141D"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0000"/>
                <w:sz w:val="20"/>
              </w:rPr>
            </w:pPr>
            <w:r w:rsidRPr="00D15A91">
              <w:rPr>
                <w:rFonts w:ascii="Tahoma" w:hAnsi="Tahoma" w:cs="Tahoma"/>
                <w:b/>
                <w:color w:val="FFFFFF" w:themeColor="background1"/>
                <w:sz w:val="20"/>
              </w:rPr>
              <w:t xml:space="preserve">Additional Comments </w:t>
            </w:r>
          </w:p>
        </w:tc>
      </w:tr>
      <w:tr w:rsidR="001C016D" w:rsidRPr="00751816" w14:paraId="5D262424" w14:textId="77777777" w:rsidTr="00E3788B">
        <w:trPr>
          <w:trHeight w:val="431"/>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00B0F0"/>
              <w:bottom w:val="single" w:sz="4" w:space="0" w:color="00B0F0"/>
            </w:tcBorders>
            <w:shd w:val="clear" w:color="auto" w:fill="00A3E0"/>
            <w:vAlign w:val="center"/>
          </w:tcPr>
          <w:p w14:paraId="26AB71CC" w14:textId="6B3F0591" w:rsidR="001C016D" w:rsidRDefault="00D5579B" w:rsidP="001C016D">
            <w:pPr>
              <w:spacing w:before="120" w:after="120" w:line="240" w:lineRule="atLeast"/>
              <w:contextualSpacing/>
              <w:rPr>
                <w:rFonts w:ascii="Tahoma" w:hAnsi="Tahoma" w:cs="Tahoma"/>
                <w:sz w:val="20"/>
              </w:rPr>
            </w:pPr>
            <w:r>
              <w:rPr>
                <w:rFonts w:ascii="Tahoma" w:hAnsi="Tahoma" w:cs="Tahoma"/>
                <w:sz w:val="20"/>
              </w:rPr>
              <w:t>2019/20</w:t>
            </w:r>
          </w:p>
        </w:tc>
        <w:tc>
          <w:tcPr>
            <w:tcW w:w="4286" w:type="pct"/>
            <w:gridSpan w:val="5"/>
            <w:tcBorders>
              <w:top w:val="single" w:sz="4" w:space="0" w:color="00B0F0"/>
              <w:bottom w:val="single" w:sz="4" w:space="0" w:color="00B0F0"/>
            </w:tcBorders>
            <w:shd w:val="clear" w:color="auto" w:fill="00A3E0"/>
            <w:vAlign w:val="center"/>
          </w:tcPr>
          <w:p w14:paraId="1C6B0E30" w14:textId="77777777" w:rsidR="001C016D" w:rsidRDefault="001C016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r>
              <w:rPr>
                <w:rFonts w:ascii="Tahoma" w:hAnsi="Tahoma" w:cs="Tahoma"/>
                <w:i/>
                <w:sz w:val="20"/>
              </w:rPr>
              <w:t xml:space="preserve">Refer to </w:t>
            </w:r>
            <w:r w:rsidRPr="00D44709">
              <w:rPr>
                <w:rFonts w:ascii="Tahoma" w:hAnsi="Tahoma" w:cs="Tahoma"/>
                <w:i/>
                <w:sz w:val="20"/>
              </w:rPr>
              <w:t>Appendix B</w:t>
            </w:r>
            <w:r>
              <w:rPr>
                <w:rFonts w:ascii="Tahoma" w:hAnsi="Tahoma" w:cs="Tahoma"/>
                <w:i/>
                <w:sz w:val="20"/>
              </w:rPr>
              <w:t xml:space="preserve"> for a </w:t>
            </w:r>
            <w:r w:rsidRPr="006C5573">
              <w:rPr>
                <w:rFonts w:ascii="Tahoma" w:hAnsi="Tahoma" w:cs="Tahoma"/>
                <w:i/>
                <w:sz w:val="20"/>
              </w:rPr>
              <w:t xml:space="preserve">description of the systems and processes that support AGN Limited’s cost capture and reporting of </w:t>
            </w:r>
            <w:r>
              <w:rPr>
                <w:rFonts w:ascii="Tahoma" w:hAnsi="Tahoma" w:cs="Tahoma"/>
                <w:i/>
                <w:sz w:val="20"/>
              </w:rPr>
              <w:t>Opex</w:t>
            </w:r>
            <w:r w:rsidRPr="006C5573">
              <w:rPr>
                <w:rFonts w:ascii="Tahoma" w:hAnsi="Tahoma" w:cs="Tahoma"/>
                <w:i/>
                <w:sz w:val="20"/>
              </w:rPr>
              <w:t xml:space="preserve"> as presented below.</w:t>
            </w:r>
          </w:p>
          <w:p w14:paraId="520BFA77" w14:textId="77777777" w:rsidR="001C016D" w:rsidRDefault="001C016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p>
          <w:p w14:paraId="24E0BFAD" w14:textId="30947575" w:rsidR="001C016D" w:rsidRPr="00124959" w:rsidRDefault="001C016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color w:val="FF0000"/>
                <w:sz w:val="20"/>
              </w:rPr>
            </w:pPr>
            <w:r w:rsidRPr="00116FDE">
              <w:rPr>
                <w:rFonts w:ascii="Tahoma" w:hAnsi="Tahoma" w:cs="Tahoma"/>
                <w:i/>
                <w:sz w:val="20"/>
              </w:rPr>
              <w:t xml:space="preserve">Refer to the Regulatory Accounting Principles and Policies and Cost Allocation Methodology documents for guidance on certain expenditure categories that may be included or excluded from </w:t>
            </w:r>
            <w:r>
              <w:rPr>
                <w:rFonts w:ascii="Tahoma" w:hAnsi="Tahoma" w:cs="Tahoma"/>
                <w:i/>
                <w:sz w:val="20"/>
              </w:rPr>
              <w:t>Opex</w:t>
            </w:r>
            <w:r w:rsidRPr="00116FDE">
              <w:rPr>
                <w:rFonts w:ascii="Tahoma" w:hAnsi="Tahoma" w:cs="Tahoma"/>
                <w:i/>
                <w:sz w:val="20"/>
              </w:rPr>
              <w:t xml:space="preserve"> for regulatory purposes, and in relation to AGN Limited’s policies and processes for cost allocation.</w:t>
            </w:r>
          </w:p>
        </w:tc>
      </w:tr>
      <w:tr w:rsidR="006B141D" w:rsidRPr="00751816" w14:paraId="30C76186" w14:textId="77777777" w:rsidTr="005C36F2">
        <w:trPr>
          <w:gridAfter w:val="1"/>
          <w:wAfter w:w="5" w:type="pct"/>
          <w:trHeight w:val="431"/>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00B0F0"/>
              <w:bottom w:val="single" w:sz="4" w:space="0" w:color="00B0F0"/>
            </w:tcBorders>
            <w:vAlign w:val="center"/>
          </w:tcPr>
          <w:p w14:paraId="1B45602F" w14:textId="77777777" w:rsidR="006B141D" w:rsidRPr="00751816" w:rsidRDefault="006B141D" w:rsidP="001C016D">
            <w:pPr>
              <w:spacing w:before="120" w:after="120" w:line="240" w:lineRule="atLeast"/>
              <w:contextualSpacing/>
              <w:rPr>
                <w:rFonts w:ascii="Tahoma" w:hAnsi="Tahoma" w:cs="Tahoma"/>
                <w:sz w:val="20"/>
              </w:rPr>
            </w:pPr>
            <w:r>
              <w:rPr>
                <w:rFonts w:ascii="Tahoma" w:hAnsi="Tahoma" w:cs="Tahoma"/>
                <w:sz w:val="20"/>
              </w:rPr>
              <w:t xml:space="preserve">Repairs and maintenance </w:t>
            </w:r>
          </w:p>
        </w:tc>
        <w:tc>
          <w:tcPr>
            <w:tcW w:w="1693" w:type="pct"/>
            <w:tcBorders>
              <w:top w:val="single" w:sz="4" w:space="0" w:color="00B0F0"/>
              <w:bottom w:val="single" w:sz="4" w:space="0" w:color="00B0F0"/>
            </w:tcBorders>
          </w:tcPr>
          <w:p w14:paraId="1ADC8F01" w14:textId="361B94CA" w:rsidR="006B141D" w:rsidRDefault="006B141D" w:rsidP="00D630EB">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w:t>
            </w:r>
            <w:r w:rsidRPr="0035654B">
              <w:rPr>
                <w:rFonts w:ascii="Tahoma" w:hAnsi="Tahoma" w:cs="Tahoma"/>
                <w:sz w:val="20"/>
              </w:rPr>
              <w:t xml:space="preserve">information in this RIN Table </w:t>
            </w:r>
            <w:r>
              <w:rPr>
                <w:rFonts w:ascii="Tahoma" w:hAnsi="Tahoma" w:cs="Tahoma"/>
                <w:sz w:val="20"/>
              </w:rPr>
              <w:t xml:space="preserve">has been </w:t>
            </w:r>
            <w:r w:rsidR="002B4D38">
              <w:rPr>
                <w:rFonts w:ascii="Tahoma" w:hAnsi="Tahoma" w:cs="Tahoma"/>
                <w:sz w:val="20"/>
              </w:rPr>
              <w:t>derived from the AGN (SA) trial balance</w:t>
            </w:r>
            <w:r w:rsidR="00C00101">
              <w:rPr>
                <w:rFonts w:ascii="Tahoma" w:hAnsi="Tahoma" w:cs="Tahoma"/>
                <w:sz w:val="20"/>
              </w:rPr>
              <w:t xml:space="preserve"> which has been audited as set out in Appendix G</w:t>
            </w:r>
            <w:r w:rsidR="002B4D38">
              <w:rPr>
                <w:rFonts w:ascii="Tahoma" w:hAnsi="Tahoma" w:cs="Tahoma"/>
                <w:sz w:val="20"/>
              </w:rPr>
              <w:t xml:space="preserve"> and </w:t>
            </w:r>
            <w:r>
              <w:rPr>
                <w:rFonts w:ascii="Tahoma" w:hAnsi="Tahoma" w:cs="Tahoma"/>
                <w:sz w:val="20"/>
              </w:rPr>
              <w:t xml:space="preserve">the Ring Fenced Accounts (RFAs) prepared by AGN Limited and APA each half year.  The processes and systems that facilitate the production of the RFAs is outlined in </w:t>
            </w:r>
            <w:r w:rsidRPr="00D44709">
              <w:rPr>
                <w:rFonts w:ascii="Tahoma" w:hAnsi="Tahoma" w:cs="Tahoma"/>
                <w:sz w:val="20"/>
              </w:rPr>
              <w:t>Appendix B</w:t>
            </w:r>
            <w:r>
              <w:rPr>
                <w:rFonts w:ascii="Tahoma" w:hAnsi="Tahoma" w:cs="Tahoma"/>
                <w:sz w:val="20"/>
              </w:rPr>
              <w:t>.</w:t>
            </w:r>
          </w:p>
          <w:p w14:paraId="1A66EC89" w14:textId="77777777" w:rsidR="006B141D" w:rsidRDefault="006B141D" w:rsidP="00D630EB">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98D0F12" w14:textId="4B645F88" w:rsidR="006B141D" w:rsidRDefault="006B141D" w:rsidP="00D630EB">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Expenditure reported in this category is the expenditure incurred by AGN </w:t>
            </w:r>
            <w:r w:rsidR="002B4D38">
              <w:rPr>
                <w:rFonts w:ascii="Tahoma" w:hAnsi="Tahoma" w:cs="Tahoma"/>
                <w:sz w:val="20"/>
              </w:rPr>
              <w:t xml:space="preserve">(SA) </w:t>
            </w:r>
            <w:r>
              <w:rPr>
                <w:rFonts w:ascii="Tahoma" w:hAnsi="Tahoma" w:cs="Tahoma"/>
                <w:sz w:val="20"/>
              </w:rPr>
              <w:t>in relation to the repair and maintenance activities for the SA pipeline which provides Reference Services.</w:t>
            </w:r>
          </w:p>
          <w:p w14:paraId="3388146F" w14:textId="77777777" w:rsidR="006B141D"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684B993" w14:textId="31DBA71D" w:rsidR="006B141D"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repair and maintenance of AGN Limited’s SA pipeline has been contracted to APA under the OMA.  It is noted that APA incurs other Opex costs in providing these services to AGN Limited (e.g. general and administrative costs), however all such costs, with the exception of Marketing and Retail Incentives, are effectively bundled into the monthly charges from APA</w:t>
            </w:r>
            <w:r w:rsidRPr="00FD7638">
              <w:rPr>
                <w:rFonts w:ascii="Tahoma" w:hAnsi="Tahoma" w:cs="Tahoma"/>
                <w:sz w:val="20"/>
              </w:rPr>
              <w:t>.</w:t>
            </w:r>
            <w:r>
              <w:rPr>
                <w:rFonts w:ascii="Tahoma" w:hAnsi="Tahoma" w:cs="Tahoma"/>
                <w:sz w:val="20"/>
              </w:rPr>
              <w:t xml:space="preserve">  For this reason all expenditure incurred under the OMA with APA that is not Capex </w:t>
            </w:r>
            <w:r>
              <w:rPr>
                <w:rFonts w:ascii="Tahoma" w:hAnsi="Tahoma" w:cs="Tahoma"/>
                <w:sz w:val="20"/>
              </w:rPr>
              <w:lastRenderedPageBreak/>
              <w:t xml:space="preserve">or Marketing and Retail Incentives expenditure, is classified as Repairs and </w:t>
            </w:r>
            <w:r w:rsidR="00186FEC">
              <w:rPr>
                <w:rFonts w:ascii="Tahoma" w:hAnsi="Tahoma" w:cs="Tahoma"/>
                <w:sz w:val="20"/>
              </w:rPr>
              <w:t xml:space="preserve">Maintenance </w:t>
            </w:r>
            <w:r>
              <w:rPr>
                <w:rFonts w:ascii="Tahoma" w:hAnsi="Tahoma" w:cs="Tahoma"/>
                <w:sz w:val="20"/>
              </w:rPr>
              <w:t xml:space="preserve">expenditure. </w:t>
            </w:r>
          </w:p>
          <w:p w14:paraId="33A0BBB3" w14:textId="77777777" w:rsidR="00344146" w:rsidRDefault="00344146" w:rsidP="00C83AB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4CBF789" w14:textId="1553318D" w:rsidR="00C83AB3" w:rsidRDefault="00C83AB3" w:rsidP="00C83AB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Refer to </w:t>
            </w:r>
            <w:r w:rsidRPr="00D44709">
              <w:rPr>
                <w:rFonts w:ascii="Tahoma" w:hAnsi="Tahoma" w:cs="Tahoma"/>
                <w:sz w:val="20"/>
              </w:rPr>
              <w:t>Appendix E</w:t>
            </w:r>
            <w:r>
              <w:rPr>
                <w:rFonts w:ascii="Tahoma" w:hAnsi="Tahoma" w:cs="Tahoma"/>
                <w:sz w:val="20"/>
              </w:rPr>
              <w:t xml:space="preserve"> for a description of the adjustments made due to regulatory accounting policies.  Specifically see adjustment types:</w:t>
            </w:r>
          </w:p>
          <w:p w14:paraId="4FE42AEB" w14:textId="4F166699" w:rsidR="00C83AB3" w:rsidRDefault="00C83AB3" w:rsidP="00C83AB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67E84">
              <w:rPr>
                <w:rFonts w:ascii="Tahoma" w:hAnsi="Tahoma" w:cs="Tahoma"/>
                <w:sz w:val="20"/>
              </w:rPr>
              <w:t>“</w:t>
            </w:r>
            <w:r>
              <w:rPr>
                <w:rFonts w:ascii="Tahoma" w:hAnsi="Tahoma" w:cs="Tahoma"/>
                <w:sz w:val="20"/>
              </w:rPr>
              <w:t>Piecemeal Mains Replacement</w:t>
            </w:r>
            <w:r w:rsidRPr="00367E84">
              <w:rPr>
                <w:rFonts w:ascii="Tahoma" w:hAnsi="Tahoma" w:cs="Tahoma"/>
                <w:sz w:val="20"/>
              </w:rPr>
              <w:t xml:space="preserve">” where certain expenditure </w:t>
            </w:r>
            <w:r>
              <w:rPr>
                <w:rFonts w:ascii="Tahoma" w:hAnsi="Tahoma" w:cs="Tahoma"/>
                <w:sz w:val="20"/>
              </w:rPr>
              <w:t>has consistently been</w:t>
            </w:r>
            <w:r w:rsidRPr="00367E84">
              <w:rPr>
                <w:rFonts w:ascii="Tahoma" w:hAnsi="Tahoma" w:cs="Tahoma"/>
                <w:sz w:val="20"/>
              </w:rPr>
              <w:t xml:space="preserve"> treated as Opex</w:t>
            </w:r>
            <w:r>
              <w:rPr>
                <w:rFonts w:ascii="Tahoma" w:hAnsi="Tahoma" w:cs="Tahoma"/>
                <w:sz w:val="20"/>
              </w:rPr>
              <w:t xml:space="preserve"> (Repairs and </w:t>
            </w:r>
            <w:r w:rsidR="008D1671">
              <w:rPr>
                <w:rFonts w:ascii="Tahoma" w:hAnsi="Tahoma" w:cs="Tahoma"/>
                <w:sz w:val="20"/>
              </w:rPr>
              <w:t>Maintenance</w:t>
            </w:r>
            <w:r>
              <w:rPr>
                <w:rFonts w:ascii="Tahoma" w:hAnsi="Tahoma" w:cs="Tahoma"/>
                <w:sz w:val="20"/>
              </w:rPr>
              <w:t>) for regulatory purposes; and</w:t>
            </w:r>
          </w:p>
          <w:p w14:paraId="4F1BB594" w14:textId="1DACF807" w:rsidR="00C83AB3" w:rsidRDefault="00C83AB3" w:rsidP="00C83AB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2738AD">
              <w:rPr>
                <w:rFonts w:ascii="Tahoma" w:hAnsi="Tahoma" w:cs="Tahoma"/>
                <w:sz w:val="20"/>
              </w:rPr>
              <w:t>“Heat Shrinking Sleeves” where certain expenditure is treated as Opex</w:t>
            </w:r>
            <w:r>
              <w:rPr>
                <w:rFonts w:ascii="Tahoma" w:hAnsi="Tahoma" w:cs="Tahoma"/>
                <w:sz w:val="20"/>
              </w:rPr>
              <w:t xml:space="preserve"> (Repairs and </w:t>
            </w:r>
            <w:r w:rsidR="008D1671">
              <w:rPr>
                <w:rFonts w:ascii="Tahoma" w:hAnsi="Tahoma" w:cs="Tahoma"/>
                <w:sz w:val="20"/>
              </w:rPr>
              <w:t>Maintenance</w:t>
            </w:r>
            <w:r>
              <w:rPr>
                <w:rFonts w:ascii="Tahoma" w:hAnsi="Tahoma" w:cs="Tahoma"/>
                <w:sz w:val="20"/>
              </w:rPr>
              <w:t>) for regulatory purposes since 1 July 2016</w:t>
            </w:r>
            <w:r w:rsidR="00B12558">
              <w:rPr>
                <w:rFonts w:ascii="Tahoma" w:hAnsi="Tahoma" w:cs="Tahoma"/>
                <w:sz w:val="20"/>
              </w:rPr>
              <w:t>.</w:t>
            </w:r>
          </w:p>
          <w:p w14:paraId="67A3AB13" w14:textId="77777777" w:rsidR="00C83AB3" w:rsidRPr="002738AD" w:rsidRDefault="00C83AB3" w:rsidP="00C83AB3">
            <w:pPr>
              <w:pStyle w:val="ListParagraph"/>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227798E" w14:textId="6CECCCCD" w:rsidR="007802DD" w:rsidRDefault="007802DD" w:rsidP="001C016D">
            <w:p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11FCC">
              <w:rPr>
                <w:rFonts w:ascii="Tahoma" w:hAnsi="Tahoma" w:cs="Tahoma"/>
                <w:sz w:val="20"/>
              </w:rPr>
              <w:t xml:space="preserve">In addition, an adjustment has been made to remove Repairs and maintenance expenditure associated with </w:t>
            </w:r>
            <w:r w:rsidR="00011FCC" w:rsidRPr="00011FCC">
              <w:rPr>
                <w:rFonts w:ascii="Tahoma" w:hAnsi="Tahoma" w:cs="Tahoma"/>
                <w:sz w:val="20"/>
              </w:rPr>
              <w:t>unregulated Other revenue which has also been removed from the final revenue amount reported for the AGN (SA) Distribution Business for 2019/20.</w:t>
            </w:r>
          </w:p>
          <w:p w14:paraId="24BA7DDD" w14:textId="77777777" w:rsidR="007802DD" w:rsidRDefault="007802DD" w:rsidP="001C016D">
            <w:pP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EFC0E85" w14:textId="548245BE" w:rsidR="00E05E4E" w:rsidRPr="00751816" w:rsidRDefault="00C83AB3" w:rsidP="001C016D">
            <w:p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APA’s </w:t>
            </w:r>
            <w:r w:rsidR="00B80751">
              <w:rPr>
                <w:rFonts w:ascii="Tahoma" w:hAnsi="Tahoma" w:cs="Tahoma"/>
                <w:sz w:val="20"/>
              </w:rPr>
              <w:t xml:space="preserve">network </w:t>
            </w:r>
            <w:r>
              <w:rPr>
                <w:rFonts w:ascii="Tahoma" w:hAnsi="Tahoma" w:cs="Tahoma"/>
                <w:sz w:val="20"/>
              </w:rPr>
              <w:t xml:space="preserve">overheads include an allocation of the </w:t>
            </w:r>
            <w:r w:rsidRPr="00186FEC">
              <w:rPr>
                <w:rFonts w:ascii="Tahoma" w:hAnsi="Tahoma" w:cs="Tahoma"/>
                <w:sz w:val="20"/>
              </w:rPr>
              <w:t>N</w:t>
            </w:r>
            <w:r w:rsidR="00186FEC">
              <w:rPr>
                <w:rFonts w:ascii="Tahoma" w:hAnsi="Tahoma" w:cs="Tahoma"/>
                <w:sz w:val="20"/>
              </w:rPr>
              <w:t xml:space="preserve">etwork </w:t>
            </w:r>
            <w:r w:rsidRPr="00186FEC">
              <w:rPr>
                <w:rFonts w:ascii="Tahoma" w:hAnsi="Tahoma" w:cs="Tahoma"/>
                <w:sz w:val="20"/>
              </w:rPr>
              <w:t>M</w:t>
            </w:r>
            <w:r w:rsidR="00186FEC">
              <w:rPr>
                <w:rFonts w:ascii="Tahoma" w:hAnsi="Tahoma" w:cs="Tahoma"/>
                <w:sz w:val="20"/>
              </w:rPr>
              <w:t xml:space="preserve">anagement </w:t>
            </w:r>
            <w:r w:rsidRPr="00186FEC">
              <w:rPr>
                <w:rFonts w:ascii="Tahoma" w:hAnsi="Tahoma" w:cs="Tahoma"/>
                <w:sz w:val="20"/>
              </w:rPr>
              <w:t>F</w:t>
            </w:r>
            <w:r w:rsidR="00186FEC">
              <w:rPr>
                <w:rFonts w:ascii="Tahoma" w:hAnsi="Tahoma" w:cs="Tahoma"/>
                <w:sz w:val="20"/>
              </w:rPr>
              <w:t>ee (NMF)</w:t>
            </w:r>
            <w:r>
              <w:rPr>
                <w:rFonts w:ascii="Tahoma" w:hAnsi="Tahoma" w:cs="Tahoma"/>
                <w:sz w:val="20"/>
              </w:rPr>
              <w:t xml:space="preserve"> paid by AGN Limited</w:t>
            </w:r>
            <w:r w:rsidR="002B4D38">
              <w:rPr>
                <w:rFonts w:ascii="Tahoma" w:hAnsi="Tahoma" w:cs="Tahoma"/>
                <w:sz w:val="20"/>
              </w:rPr>
              <w:t xml:space="preserve"> including for AGN (SA)</w:t>
            </w:r>
            <w:r>
              <w:rPr>
                <w:rFonts w:ascii="Tahoma" w:hAnsi="Tahoma" w:cs="Tahoma"/>
                <w:sz w:val="20"/>
              </w:rPr>
              <w:t xml:space="preserve">, which for statutory accounting purposes remains in capitalised </w:t>
            </w:r>
            <w:r w:rsidR="00B80751">
              <w:rPr>
                <w:rFonts w:ascii="Tahoma" w:hAnsi="Tahoma" w:cs="Tahoma"/>
                <w:sz w:val="20"/>
              </w:rPr>
              <w:t xml:space="preserve">network </w:t>
            </w:r>
            <w:r>
              <w:rPr>
                <w:rFonts w:ascii="Tahoma" w:hAnsi="Tahoma" w:cs="Tahoma"/>
                <w:sz w:val="20"/>
              </w:rPr>
              <w:t xml:space="preserve">overheads.  As per the Regulatory Accounting Principles and Policies document, for regulatory purposes, all of the NMF is reported as operating expenditure and appears in this category of Repairs and </w:t>
            </w:r>
            <w:r w:rsidR="00186FEC">
              <w:rPr>
                <w:rFonts w:ascii="Tahoma" w:hAnsi="Tahoma" w:cs="Tahoma"/>
                <w:sz w:val="20"/>
              </w:rPr>
              <w:t>M</w:t>
            </w:r>
            <w:r>
              <w:rPr>
                <w:rFonts w:ascii="Tahoma" w:hAnsi="Tahoma" w:cs="Tahoma"/>
                <w:sz w:val="20"/>
              </w:rPr>
              <w:t>aintenance.</w:t>
            </w:r>
          </w:p>
        </w:tc>
        <w:tc>
          <w:tcPr>
            <w:tcW w:w="818" w:type="pct"/>
            <w:tcBorders>
              <w:top w:val="single" w:sz="4" w:space="0" w:color="00B0F0"/>
              <w:bottom w:val="single" w:sz="4" w:space="0" w:color="00B0F0"/>
            </w:tcBorders>
            <w:vAlign w:val="center"/>
          </w:tcPr>
          <w:p w14:paraId="299BDEC2" w14:textId="77777777" w:rsidR="006B141D" w:rsidRDefault="006B141D" w:rsidP="005C36F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BBD759E" w14:textId="02F1DD41" w:rsidR="006B141D" w:rsidRPr="00751816" w:rsidRDefault="006B141D" w:rsidP="0089396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15A91">
              <w:rPr>
                <w:rFonts w:ascii="Tahoma" w:hAnsi="Tahoma" w:cs="Tahoma"/>
                <w:sz w:val="20"/>
              </w:rPr>
              <w:t xml:space="preserve">Actual </w:t>
            </w:r>
          </w:p>
        </w:tc>
        <w:tc>
          <w:tcPr>
            <w:tcW w:w="1081" w:type="pct"/>
            <w:tcBorders>
              <w:top w:val="single" w:sz="4" w:space="0" w:color="00B0F0"/>
              <w:bottom w:val="single" w:sz="4" w:space="0" w:color="00B0F0"/>
            </w:tcBorders>
          </w:tcPr>
          <w:p w14:paraId="0E5610A2" w14:textId="7C2FBECD" w:rsidR="006B141D" w:rsidRPr="00751816"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9" w:type="pct"/>
            <w:tcBorders>
              <w:top w:val="single" w:sz="4" w:space="0" w:color="00B0F0"/>
              <w:bottom w:val="single" w:sz="4" w:space="0" w:color="00B0F0"/>
            </w:tcBorders>
          </w:tcPr>
          <w:p w14:paraId="16C8CF5A" w14:textId="7AE9BB48" w:rsidR="006B141D" w:rsidRPr="00124959"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color w:val="FF0000"/>
                <w:sz w:val="20"/>
              </w:rPr>
            </w:pPr>
          </w:p>
        </w:tc>
      </w:tr>
      <w:tr w:rsidR="006B141D" w:rsidRPr="00751816" w14:paraId="226170A9" w14:textId="77777777" w:rsidTr="005C36F2">
        <w:trPr>
          <w:gridAfter w:val="1"/>
          <w:wAfter w:w="5" w:type="pct"/>
          <w:trHeight w:val="510"/>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00B0F0"/>
              <w:bottom w:val="single" w:sz="4" w:space="0" w:color="00B0F0"/>
            </w:tcBorders>
            <w:vAlign w:val="center"/>
          </w:tcPr>
          <w:p w14:paraId="6BF52380" w14:textId="77777777" w:rsidR="006B141D" w:rsidRPr="00751816" w:rsidRDefault="006B141D" w:rsidP="001C016D">
            <w:pPr>
              <w:spacing w:before="120" w:after="120" w:line="240" w:lineRule="atLeast"/>
              <w:contextualSpacing/>
              <w:rPr>
                <w:rFonts w:ascii="Tahoma" w:hAnsi="Tahoma" w:cs="Tahoma"/>
                <w:sz w:val="20"/>
              </w:rPr>
            </w:pPr>
            <w:r>
              <w:rPr>
                <w:rFonts w:ascii="Tahoma" w:hAnsi="Tahoma" w:cs="Tahoma"/>
                <w:sz w:val="20"/>
              </w:rPr>
              <w:t xml:space="preserve">Marketing and retail incentives </w:t>
            </w:r>
            <w:r w:rsidRPr="00751816">
              <w:rPr>
                <w:rFonts w:ascii="Tahoma" w:hAnsi="Tahoma" w:cs="Tahoma"/>
                <w:sz w:val="20"/>
              </w:rPr>
              <w:t xml:space="preserve"> </w:t>
            </w:r>
          </w:p>
        </w:tc>
        <w:tc>
          <w:tcPr>
            <w:tcW w:w="1693" w:type="pct"/>
            <w:tcBorders>
              <w:top w:val="single" w:sz="4" w:space="0" w:color="00B0F0"/>
              <w:bottom w:val="single" w:sz="4" w:space="0" w:color="00B0F0"/>
            </w:tcBorders>
          </w:tcPr>
          <w:p w14:paraId="753F4458" w14:textId="57B6CB8B" w:rsidR="006B141D"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w:t>
            </w:r>
            <w:r w:rsidRPr="0035654B">
              <w:rPr>
                <w:rFonts w:ascii="Tahoma" w:hAnsi="Tahoma" w:cs="Tahoma"/>
                <w:sz w:val="20"/>
              </w:rPr>
              <w:t xml:space="preserve">information in this RIN Table </w:t>
            </w:r>
            <w:r>
              <w:rPr>
                <w:rFonts w:ascii="Tahoma" w:hAnsi="Tahoma" w:cs="Tahoma"/>
                <w:sz w:val="20"/>
              </w:rPr>
              <w:t xml:space="preserve">has been </w:t>
            </w:r>
            <w:r w:rsidR="002B4D38">
              <w:rPr>
                <w:rFonts w:ascii="Tahoma" w:hAnsi="Tahoma" w:cs="Tahoma"/>
                <w:sz w:val="20"/>
              </w:rPr>
              <w:t>derived from the AGN (SA) trial balance</w:t>
            </w:r>
            <w:r w:rsidR="00C00101">
              <w:rPr>
                <w:rFonts w:ascii="Tahoma" w:hAnsi="Tahoma" w:cs="Tahoma"/>
                <w:sz w:val="20"/>
              </w:rPr>
              <w:t xml:space="preserve"> which has been audited as set out in Appendix G </w:t>
            </w:r>
            <w:r w:rsidR="002B4D38">
              <w:rPr>
                <w:rFonts w:ascii="Tahoma" w:hAnsi="Tahoma" w:cs="Tahoma"/>
                <w:sz w:val="20"/>
              </w:rPr>
              <w:t xml:space="preserve">and </w:t>
            </w:r>
            <w:r>
              <w:rPr>
                <w:rFonts w:ascii="Tahoma" w:hAnsi="Tahoma" w:cs="Tahoma"/>
                <w:sz w:val="20"/>
              </w:rPr>
              <w:t xml:space="preserve">the Ring Fenced Accounts (RFAs) prepared by AGN Limited </w:t>
            </w:r>
            <w:r>
              <w:rPr>
                <w:rFonts w:ascii="Tahoma" w:hAnsi="Tahoma" w:cs="Tahoma"/>
                <w:sz w:val="20"/>
              </w:rPr>
              <w:lastRenderedPageBreak/>
              <w:t xml:space="preserve">and APA each half year.  The processes and systems that facilitate the production of the RFAs is outlined </w:t>
            </w:r>
            <w:r w:rsidRPr="00D44709">
              <w:rPr>
                <w:rFonts w:ascii="Tahoma" w:hAnsi="Tahoma" w:cs="Tahoma"/>
                <w:sz w:val="20"/>
              </w:rPr>
              <w:t>in Appendices A and B</w:t>
            </w:r>
            <w:r>
              <w:rPr>
                <w:rFonts w:ascii="Tahoma" w:hAnsi="Tahoma" w:cs="Tahoma"/>
                <w:sz w:val="20"/>
              </w:rPr>
              <w:t>.</w:t>
            </w:r>
            <w:r w:rsidR="00186FEC">
              <w:rPr>
                <w:rFonts w:ascii="Tahoma" w:hAnsi="Tahoma" w:cs="Tahoma"/>
                <w:sz w:val="20"/>
              </w:rPr>
              <w:t xml:space="preserve">  Marketing and Retail Incentives expenditure is also undertaken internally within AGN Limited </w:t>
            </w:r>
            <w:r w:rsidR="002B4D38">
              <w:rPr>
                <w:rFonts w:ascii="Tahoma" w:hAnsi="Tahoma" w:cs="Tahoma"/>
                <w:sz w:val="20"/>
              </w:rPr>
              <w:t xml:space="preserve">including for AGN (SA) </w:t>
            </w:r>
            <w:r w:rsidR="00186FEC">
              <w:rPr>
                <w:rFonts w:ascii="Tahoma" w:hAnsi="Tahoma" w:cs="Tahoma"/>
                <w:sz w:val="20"/>
              </w:rPr>
              <w:t>(separately to activities provided by APA) and information about this expenditure is sourced from the SAP General Ledger (GL)</w:t>
            </w:r>
            <w:r w:rsidR="00667A8B">
              <w:rPr>
                <w:rFonts w:ascii="Tahoma" w:hAnsi="Tahoma" w:cs="Tahoma"/>
                <w:sz w:val="20"/>
              </w:rPr>
              <w:t xml:space="preserve">  </w:t>
            </w:r>
            <w:r w:rsidR="00667A8B" w:rsidRPr="00150110">
              <w:rPr>
                <w:rFonts w:ascii="Tahoma" w:hAnsi="Tahoma" w:cs="Tahoma"/>
                <w:sz w:val="20"/>
              </w:rPr>
              <w:t xml:space="preserve">This internal </w:t>
            </w:r>
            <w:r w:rsidR="00150110" w:rsidRPr="00150110">
              <w:rPr>
                <w:rFonts w:ascii="Tahoma" w:hAnsi="Tahoma" w:cs="Tahoma"/>
                <w:sz w:val="20"/>
              </w:rPr>
              <w:t>expenditure</w:t>
            </w:r>
            <w:r w:rsidR="00667A8B" w:rsidRPr="00150110">
              <w:rPr>
                <w:rFonts w:ascii="Tahoma" w:hAnsi="Tahoma" w:cs="Tahoma"/>
                <w:sz w:val="20"/>
              </w:rPr>
              <w:t xml:space="preserve"> includes </w:t>
            </w:r>
            <w:r w:rsidR="00150110" w:rsidRPr="00150110">
              <w:rPr>
                <w:rFonts w:ascii="Tahoma" w:hAnsi="Tahoma" w:cs="Tahoma"/>
                <w:sz w:val="20"/>
              </w:rPr>
              <w:t xml:space="preserve">AGN (SA) </w:t>
            </w:r>
            <w:r w:rsidR="00667A8B" w:rsidRPr="00150110">
              <w:rPr>
                <w:rFonts w:ascii="Tahoma" w:hAnsi="Tahoma" w:cs="Tahoma"/>
                <w:sz w:val="20"/>
              </w:rPr>
              <w:t>internal labour</w:t>
            </w:r>
            <w:r w:rsidR="00186FEC" w:rsidRPr="00150110">
              <w:rPr>
                <w:rFonts w:ascii="Tahoma" w:hAnsi="Tahoma" w:cs="Tahoma"/>
                <w:sz w:val="20"/>
              </w:rPr>
              <w:t>.</w:t>
            </w:r>
          </w:p>
          <w:p w14:paraId="172DDF14" w14:textId="77777777" w:rsidR="006B141D"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5D3C686" w14:textId="3A9274C2" w:rsidR="006B141D" w:rsidRPr="00CD1837" w:rsidRDefault="006B141D" w:rsidP="00D630EB">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50110">
              <w:rPr>
                <w:rFonts w:ascii="Tahoma" w:hAnsi="Tahoma" w:cs="Tahoma"/>
                <w:sz w:val="20"/>
              </w:rPr>
              <w:t xml:space="preserve">Expenditure reported as Marketing and </w:t>
            </w:r>
            <w:r w:rsidR="00186FEC" w:rsidRPr="00150110">
              <w:rPr>
                <w:rFonts w:ascii="Tahoma" w:hAnsi="Tahoma" w:cs="Tahoma"/>
                <w:sz w:val="20"/>
              </w:rPr>
              <w:t xml:space="preserve">Retail Incentives </w:t>
            </w:r>
            <w:r w:rsidRPr="00150110">
              <w:rPr>
                <w:rFonts w:ascii="Tahoma" w:hAnsi="Tahoma" w:cs="Tahoma"/>
                <w:sz w:val="20"/>
              </w:rPr>
              <w:t xml:space="preserve">includes various marketing activities undertaken </w:t>
            </w:r>
            <w:r w:rsidR="002B4D38" w:rsidRPr="00150110">
              <w:rPr>
                <w:rFonts w:ascii="Tahoma" w:hAnsi="Tahoma" w:cs="Tahoma"/>
                <w:sz w:val="20"/>
              </w:rPr>
              <w:t>for AGN (SA)</w:t>
            </w:r>
            <w:r w:rsidRPr="00150110">
              <w:rPr>
                <w:rFonts w:ascii="Tahoma" w:hAnsi="Tahoma" w:cs="Tahoma"/>
                <w:sz w:val="20"/>
              </w:rPr>
              <w:t xml:space="preserve"> to retain and increase customer numbers. This program incorporates advertising (for example), on platforms such as televis</w:t>
            </w:r>
            <w:r w:rsidR="00CD1837" w:rsidRPr="00150110">
              <w:rPr>
                <w:rFonts w:ascii="Tahoma" w:hAnsi="Tahoma" w:cs="Tahoma"/>
                <w:sz w:val="20"/>
              </w:rPr>
              <w:t xml:space="preserve">ion, radio, digital and press. </w:t>
            </w:r>
            <w:r w:rsidRPr="00150110">
              <w:rPr>
                <w:rFonts w:ascii="Tahoma" w:hAnsi="Tahoma" w:cs="Tahoma"/>
                <w:sz w:val="20"/>
              </w:rPr>
              <w:t>AGN Limited also provides marketing rebates to certain customers</w:t>
            </w:r>
            <w:r w:rsidR="00AC34D6" w:rsidRPr="00150110">
              <w:rPr>
                <w:rFonts w:ascii="Tahoma" w:hAnsi="Tahoma" w:cs="Tahoma"/>
                <w:sz w:val="20"/>
              </w:rPr>
              <w:t xml:space="preserve"> including in SA,</w:t>
            </w:r>
            <w:r w:rsidRPr="00150110">
              <w:rPr>
                <w:rFonts w:ascii="Tahoma" w:hAnsi="Tahoma" w:cs="Tahoma"/>
                <w:sz w:val="20"/>
              </w:rPr>
              <w:t xml:space="preserve"> in the form of a cash payment, as an incentive to have gas connected and take up gas appliances (i.e. gas hot water, gas central heating etc.) in place of their equivalent electric appliances, the costs of which are reported in this category of expenditure.  As outlined above</w:t>
            </w:r>
            <w:r w:rsidR="00AD7F0D">
              <w:rPr>
                <w:rFonts w:ascii="Tahoma" w:hAnsi="Tahoma" w:cs="Tahoma"/>
                <w:sz w:val="20"/>
              </w:rPr>
              <w:t xml:space="preserve"> for</w:t>
            </w:r>
            <w:r w:rsidRPr="00150110">
              <w:rPr>
                <w:rFonts w:ascii="Tahoma" w:hAnsi="Tahoma" w:cs="Tahoma"/>
                <w:sz w:val="20"/>
              </w:rPr>
              <w:t xml:space="preserve"> the Repairs and </w:t>
            </w:r>
            <w:r w:rsidR="008D1671" w:rsidRPr="00150110">
              <w:rPr>
                <w:rFonts w:ascii="Tahoma" w:hAnsi="Tahoma" w:cs="Tahoma"/>
                <w:sz w:val="20"/>
              </w:rPr>
              <w:t xml:space="preserve">Maintenance </w:t>
            </w:r>
            <w:r w:rsidRPr="00150110">
              <w:rPr>
                <w:rFonts w:ascii="Tahoma" w:hAnsi="Tahoma" w:cs="Tahoma"/>
                <w:sz w:val="20"/>
              </w:rPr>
              <w:t xml:space="preserve">category, there is </w:t>
            </w:r>
            <w:r w:rsidR="00AD7F0D">
              <w:rPr>
                <w:rFonts w:ascii="Tahoma" w:hAnsi="Tahoma" w:cs="Tahoma"/>
                <w:sz w:val="20"/>
              </w:rPr>
              <w:t xml:space="preserve">also </w:t>
            </w:r>
            <w:r w:rsidRPr="00150110">
              <w:rPr>
                <w:rFonts w:ascii="Tahoma" w:hAnsi="Tahoma" w:cs="Tahoma"/>
                <w:sz w:val="20"/>
              </w:rPr>
              <w:t xml:space="preserve">some Marketing and </w:t>
            </w:r>
            <w:r w:rsidR="00186FEC" w:rsidRPr="00150110">
              <w:rPr>
                <w:rFonts w:ascii="Tahoma" w:hAnsi="Tahoma" w:cs="Tahoma"/>
                <w:sz w:val="20"/>
              </w:rPr>
              <w:t xml:space="preserve">Retail Incentives </w:t>
            </w:r>
            <w:r w:rsidRPr="00150110">
              <w:rPr>
                <w:rFonts w:ascii="Tahoma" w:hAnsi="Tahoma" w:cs="Tahoma"/>
                <w:sz w:val="20"/>
              </w:rPr>
              <w:t xml:space="preserve">expenditure incurred through payments to APA </w:t>
            </w:r>
            <w:r w:rsidR="00AD7F0D" w:rsidRPr="00150110">
              <w:rPr>
                <w:rFonts w:ascii="Tahoma" w:hAnsi="Tahoma" w:cs="Tahoma"/>
                <w:sz w:val="20"/>
              </w:rPr>
              <w:t>under the OMA</w:t>
            </w:r>
            <w:r w:rsidR="00AD7F0D">
              <w:rPr>
                <w:rFonts w:ascii="Tahoma" w:hAnsi="Tahoma" w:cs="Tahoma"/>
                <w:sz w:val="20"/>
              </w:rPr>
              <w:t>,</w:t>
            </w:r>
            <w:r w:rsidR="00AD7F0D" w:rsidRPr="00150110">
              <w:rPr>
                <w:rFonts w:ascii="Tahoma" w:hAnsi="Tahoma" w:cs="Tahoma"/>
                <w:sz w:val="20"/>
              </w:rPr>
              <w:t xml:space="preserve"> </w:t>
            </w:r>
            <w:r w:rsidRPr="00150110">
              <w:rPr>
                <w:rFonts w:ascii="Tahoma" w:hAnsi="Tahoma" w:cs="Tahoma"/>
                <w:sz w:val="20"/>
              </w:rPr>
              <w:t xml:space="preserve">for activities undertaken on behalf of AGN </w:t>
            </w:r>
            <w:r w:rsidR="00AC34D6" w:rsidRPr="00150110">
              <w:rPr>
                <w:rFonts w:ascii="Tahoma" w:hAnsi="Tahoma" w:cs="Tahoma"/>
                <w:sz w:val="20"/>
              </w:rPr>
              <w:t>(SA)</w:t>
            </w:r>
            <w:r w:rsidRPr="00150110">
              <w:rPr>
                <w:rFonts w:ascii="Tahoma" w:hAnsi="Tahoma" w:cs="Tahoma"/>
                <w:sz w:val="20"/>
              </w:rPr>
              <w:t>.</w:t>
            </w:r>
          </w:p>
          <w:p w14:paraId="2424FBD2" w14:textId="77777777" w:rsidR="00CD1837" w:rsidRDefault="00CD1837" w:rsidP="00E05E4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72D126A" w14:textId="29E6F224" w:rsidR="00E05E4E" w:rsidRDefault="00E05E4E" w:rsidP="00E05E4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Refer to </w:t>
            </w:r>
            <w:r w:rsidRPr="00D44709">
              <w:rPr>
                <w:rFonts w:ascii="Tahoma" w:hAnsi="Tahoma" w:cs="Tahoma"/>
                <w:sz w:val="20"/>
              </w:rPr>
              <w:t>Appendix E</w:t>
            </w:r>
            <w:r>
              <w:rPr>
                <w:rFonts w:ascii="Tahoma" w:hAnsi="Tahoma" w:cs="Tahoma"/>
                <w:sz w:val="20"/>
              </w:rPr>
              <w:t xml:space="preserve"> for a description of the adjustments made due to regulatory accounting policies.  Specifically see adjustment types:</w:t>
            </w:r>
          </w:p>
          <w:p w14:paraId="678CFF5A" w14:textId="1ECF16C1" w:rsidR="00E05E4E" w:rsidRDefault="00E05E4E" w:rsidP="00225391">
            <w:pPr>
              <w:pStyle w:val="BodyText"/>
              <w:numPr>
                <w:ilvl w:val="0"/>
                <w:numId w:val="23"/>
              </w:numPr>
              <w:cnfStyle w:val="000000000000" w:firstRow="0" w:lastRow="0" w:firstColumn="0" w:lastColumn="0" w:oddVBand="0" w:evenVBand="0" w:oddHBand="0" w:evenHBand="0" w:firstRowFirstColumn="0" w:firstRowLastColumn="0" w:lastRowFirstColumn="0" w:lastRowLastColumn="0"/>
              <w:rPr>
                <w:rFonts w:cs="Tahoma"/>
                <w:sz w:val="20"/>
              </w:rPr>
            </w:pPr>
            <w:r w:rsidRPr="00367E84">
              <w:rPr>
                <w:rFonts w:cs="Tahoma"/>
                <w:sz w:val="20"/>
              </w:rPr>
              <w:t>“</w:t>
            </w:r>
            <w:r>
              <w:rPr>
                <w:rFonts w:cs="Tahoma"/>
                <w:sz w:val="20"/>
              </w:rPr>
              <w:t>Marketing Rebates</w:t>
            </w:r>
            <w:r w:rsidRPr="00367E84">
              <w:rPr>
                <w:rFonts w:cs="Tahoma"/>
                <w:sz w:val="20"/>
              </w:rPr>
              <w:t xml:space="preserve">” for </w:t>
            </w:r>
            <w:r>
              <w:rPr>
                <w:rFonts w:cs="Tahoma"/>
                <w:sz w:val="20"/>
              </w:rPr>
              <w:t xml:space="preserve">expenditure treated </w:t>
            </w:r>
            <w:r w:rsidR="00225391">
              <w:rPr>
                <w:rFonts w:cs="Tahoma"/>
                <w:sz w:val="20"/>
              </w:rPr>
              <w:t xml:space="preserve">consistently </w:t>
            </w:r>
            <w:r>
              <w:rPr>
                <w:rFonts w:cs="Tahoma"/>
                <w:sz w:val="20"/>
              </w:rPr>
              <w:t>as Opex for regulatory purposes and Capex for statutory accounting purposes</w:t>
            </w:r>
            <w:r w:rsidR="00225391">
              <w:rPr>
                <w:rFonts w:cs="Tahoma"/>
                <w:sz w:val="20"/>
              </w:rPr>
              <w:t>,</w:t>
            </w:r>
            <w:r>
              <w:rPr>
                <w:rFonts w:cs="Tahoma"/>
                <w:sz w:val="20"/>
              </w:rPr>
              <w:t xml:space="preserve"> from 1 January 2016.</w:t>
            </w:r>
          </w:p>
          <w:p w14:paraId="3873EEBA" w14:textId="77777777" w:rsidR="006B141D" w:rsidRPr="00751816"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18" w:type="pct"/>
            <w:tcBorders>
              <w:top w:val="single" w:sz="4" w:space="0" w:color="00B0F0"/>
              <w:bottom w:val="single" w:sz="4" w:space="0" w:color="00B0F0"/>
            </w:tcBorders>
            <w:vAlign w:val="center"/>
          </w:tcPr>
          <w:p w14:paraId="7FAC65BA" w14:textId="77777777" w:rsidR="006B141D" w:rsidRDefault="006B141D" w:rsidP="005C36F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3C79379" w14:textId="43556F08" w:rsidR="006B141D" w:rsidRPr="00751816" w:rsidRDefault="006B141D" w:rsidP="0089396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15A91">
              <w:rPr>
                <w:rFonts w:ascii="Tahoma" w:hAnsi="Tahoma" w:cs="Tahoma"/>
                <w:sz w:val="20"/>
              </w:rPr>
              <w:t xml:space="preserve">Actual </w:t>
            </w:r>
          </w:p>
        </w:tc>
        <w:tc>
          <w:tcPr>
            <w:tcW w:w="1081" w:type="pct"/>
            <w:tcBorders>
              <w:top w:val="single" w:sz="4" w:space="0" w:color="00B0F0"/>
              <w:bottom w:val="single" w:sz="4" w:space="0" w:color="00B0F0"/>
            </w:tcBorders>
          </w:tcPr>
          <w:p w14:paraId="6A714905" w14:textId="5BE95E13" w:rsidR="006B141D" w:rsidRPr="00751816"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9" w:type="pct"/>
            <w:tcBorders>
              <w:top w:val="single" w:sz="4" w:space="0" w:color="00B0F0"/>
              <w:bottom w:val="single" w:sz="4" w:space="0" w:color="00B0F0"/>
            </w:tcBorders>
          </w:tcPr>
          <w:p w14:paraId="170B2A46" w14:textId="22CAF3CB" w:rsidR="006B141D" w:rsidRPr="00751816"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B141D" w:rsidRPr="00751816" w14:paraId="4AFAB09F" w14:textId="77777777" w:rsidTr="005C36F2">
        <w:trPr>
          <w:gridAfter w:val="1"/>
          <w:wAfter w:w="5" w:type="pct"/>
          <w:trHeight w:val="508"/>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00B0F0"/>
              <w:bottom w:val="single" w:sz="4" w:space="0" w:color="00B0F0"/>
            </w:tcBorders>
            <w:vAlign w:val="center"/>
          </w:tcPr>
          <w:p w14:paraId="0F2BC3D6" w14:textId="77777777" w:rsidR="006B141D" w:rsidRPr="00751816" w:rsidRDefault="006B141D" w:rsidP="001C016D">
            <w:pPr>
              <w:spacing w:before="120" w:after="120" w:line="240" w:lineRule="atLeast"/>
              <w:contextualSpacing/>
              <w:rPr>
                <w:rFonts w:ascii="Tahoma" w:hAnsi="Tahoma" w:cs="Tahoma"/>
                <w:sz w:val="20"/>
              </w:rPr>
            </w:pPr>
            <w:r>
              <w:rPr>
                <w:rFonts w:ascii="Tahoma" w:hAnsi="Tahoma" w:cs="Tahoma"/>
                <w:sz w:val="20"/>
              </w:rPr>
              <w:lastRenderedPageBreak/>
              <w:t xml:space="preserve">Debt raising </w:t>
            </w:r>
            <w:r w:rsidRPr="00751816">
              <w:rPr>
                <w:rFonts w:ascii="Tahoma" w:hAnsi="Tahoma" w:cs="Tahoma"/>
                <w:sz w:val="20"/>
              </w:rPr>
              <w:t xml:space="preserve"> </w:t>
            </w:r>
          </w:p>
        </w:tc>
        <w:tc>
          <w:tcPr>
            <w:tcW w:w="1693" w:type="pct"/>
            <w:tcBorders>
              <w:top w:val="single" w:sz="4" w:space="0" w:color="00B0F0"/>
              <w:bottom w:val="single" w:sz="4" w:space="0" w:color="00B0F0"/>
            </w:tcBorders>
          </w:tcPr>
          <w:p w14:paraId="5ACD3C44" w14:textId="323EDE8A" w:rsidR="006B141D" w:rsidRPr="00225391"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5F0CAB">
              <w:rPr>
                <w:rFonts w:ascii="Tahoma" w:hAnsi="Tahoma" w:cs="Tahoma"/>
                <w:sz w:val="20"/>
              </w:rPr>
              <w:t>The information in this RIN Table has been sourced from</w:t>
            </w:r>
            <w:r w:rsidR="00225391" w:rsidRPr="005F0CAB">
              <w:rPr>
                <w:rFonts w:ascii="Tahoma" w:hAnsi="Tahoma" w:cs="Tahoma"/>
                <w:sz w:val="20"/>
              </w:rPr>
              <w:t xml:space="preserve"> AGN Limited’s SAP GL</w:t>
            </w:r>
            <w:r w:rsidR="000023D6" w:rsidRPr="005F0CAB">
              <w:rPr>
                <w:rFonts w:ascii="Tahoma" w:hAnsi="Tahoma" w:cs="Tahoma"/>
                <w:sz w:val="20"/>
              </w:rPr>
              <w:t xml:space="preserve"> and working papers maintained within the Treasury function of AGN Limited which record related expenditure</w:t>
            </w:r>
            <w:r w:rsidR="00225391" w:rsidRPr="005F0CAB">
              <w:rPr>
                <w:rFonts w:ascii="Tahoma" w:hAnsi="Tahoma" w:cs="Tahoma"/>
                <w:sz w:val="20"/>
              </w:rPr>
              <w:t>.</w:t>
            </w:r>
            <w:r w:rsidR="00225391">
              <w:rPr>
                <w:rFonts w:ascii="Tahoma" w:hAnsi="Tahoma" w:cs="Tahoma"/>
                <w:sz w:val="20"/>
              </w:rPr>
              <w:t xml:space="preserve"> </w:t>
            </w:r>
          </w:p>
          <w:p w14:paraId="0E8DEEBF" w14:textId="77777777" w:rsidR="006B141D"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60CDA65" w14:textId="77777777" w:rsidR="006B141D" w:rsidRPr="00073556"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lang w:val="en-US"/>
              </w:rPr>
            </w:pPr>
            <w:r w:rsidRPr="00073556">
              <w:rPr>
                <w:rFonts w:ascii="Tahoma" w:hAnsi="Tahoma" w:cs="Tahoma"/>
                <w:sz w:val="20"/>
                <w:lang w:val="en-US"/>
              </w:rPr>
              <w:t>Expenditure reported for debt raising costs comprise the following fees and charges paid in relation to raising debt financing for AGN Limited:</w:t>
            </w:r>
          </w:p>
          <w:p w14:paraId="662339B1" w14:textId="77777777" w:rsidR="006B141D" w:rsidRPr="00707704" w:rsidRDefault="006B141D" w:rsidP="006B141D">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07704">
              <w:rPr>
                <w:rFonts w:ascii="Tahoma" w:hAnsi="Tahoma" w:cs="Tahoma"/>
                <w:sz w:val="20"/>
              </w:rPr>
              <w:t>Agents fees</w:t>
            </w:r>
          </w:p>
          <w:p w14:paraId="706935CE" w14:textId="77777777" w:rsidR="006B141D" w:rsidRPr="00707704" w:rsidRDefault="006B141D" w:rsidP="006B141D">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07704">
              <w:rPr>
                <w:rFonts w:ascii="Tahoma" w:hAnsi="Tahoma" w:cs="Tahoma"/>
                <w:sz w:val="20"/>
              </w:rPr>
              <w:t>Registrar Fees</w:t>
            </w:r>
          </w:p>
          <w:p w14:paraId="76BA129E" w14:textId="77777777" w:rsidR="006B141D" w:rsidRPr="00707704" w:rsidRDefault="006B141D" w:rsidP="006B141D">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07704">
              <w:rPr>
                <w:rFonts w:ascii="Tahoma" w:hAnsi="Tahoma" w:cs="Tahoma"/>
                <w:sz w:val="20"/>
              </w:rPr>
              <w:t>Rating Agent fees</w:t>
            </w:r>
          </w:p>
          <w:p w14:paraId="5B691D73" w14:textId="77777777" w:rsidR="006B141D" w:rsidRPr="00707704" w:rsidRDefault="006B141D" w:rsidP="006B141D">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07704">
              <w:rPr>
                <w:rFonts w:ascii="Tahoma" w:hAnsi="Tahoma" w:cs="Tahoma"/>
                <w:sz w:val="20"/>
              </w:rPr>
              <w:t>Establishment/extension fees</w:t>
            </w:r>
          </w:p>
          <w:p w14:paraId="6A9BADE6" w14:textId="77777777" w:rsidR="006B141D" w:rsidRPr="00707704" w:rsidRDefault="006B141D" w:rsidP="006B141D">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07704">
              <w:rPr>
                <w:rFonts w:ascii="Tahoma" w:hAnsi="Tahoma" w:cs="Tahoma"/>
                <w:sz w:val="20"/>
              </w:rPr>
              <w:t>Legal fees</w:t>
            </w:r>
          </w:p>
          <w:p w14:paraId="716B4AAF" w14:textId="77777777" w:rsidR="006B141D" w:rsidRPr="00707704" w:rsidRDefault="006B141D" w:rsidP="006B141D">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07704">
              <w:rPr>
                <w:rFonts w:ascii="Tahoma" w:hAnsi="Tahoma" w:cs="Tahoma"/>
                <w:sz w:val="20"/>
              </w:rPr>
              <w:t>Roadshow and associated travelling costs</w:t>
            </w:r>
          </w:p>
          <w:p w14:paraId="3C1D1EA0" w14:textId="77777777" w:rsidR="006B141D" w:rsidRDefault="006B141D" w:rsidP="00D630EB">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7A91F46" w14:textId="16708FCF" w:rsidR="002B1B92" w:rsidRDefault="006B141D" w:rsidP="00D630EB">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Limited manages its debt finance facilities for the group as a whole.  </w:t>
            </w:r>
            <w:r w:rsidR="00EA0D2D">
              <w:rPr>
                <w:rFonts w:ascii="Tahoma" w:hAnsi="Tahoma" w:cs="Tahoma"/>
                <w:sz w:val="20"/>
              </w:rPr>
              <w:t>T</w:t>
            </w:r>
            <w:r>
              <w:rPr>
                <w:rFonts w:ascii="Tahoma" w:hAnsi="Tahoma" w:cs="Tahoma"/>
                <w:sz w:val="20"/>
              </w:rPr>
              <w:t xml:space="preserve">hese costs are allocated to each jurisdiction </w:t>
            </w:r>
            <w:r w:rsidR="002B1B92">
              <w:rPr>
                <w:rFonts w:ascii="Tahoma" w:hAnsi="Tahoma" w:cs="Tahoma"/>
                <w:sz w:val="20"/>
              </w:rPr>
              <w:t>for regulatory reporting,</w:t>
            </w:r>
            <w:r w:rsidR="00921D8D">
              <w:rPr>
                <w:rFonts w:ascii="Tahoma" w:hAnsi="Tahoma" w:cs="Tahoma"/>
                <w:sz w:val="20"/>
              </w:rPr>
              <w:t xml:space="preserve"> on the basis of </w:t>
            </w:r>
            <w:r w:rsidR="004D15CB">
              <w:rPr>
                <w:rFonts w:ascii="Tahoma" w:hAnsi="Tahoma" w:cs="Tahoma"/>
                <w:sz w:val="20"/>
              </w:rPr>
              <w:t>total assets in each state</w:t>
            </w:r>
            <w:r w:rsidR="00A3448A">
              <w:rPr>
                <w:rFonts w:ascii="Tahoma" w:hAnsi="Tahoma" w:cs="Tahoma"/>
                <w:sz w:val="20"/>
              </w:rPr>
              <w:t xml:space="preserve"> and</w:t>
            </w:r>
            <w:r w:rsidR="004D15CB">
              <w:rPr>
                <w:rFonts w:ascii="Tahoma" w:hAnsi="Tahoma" w:cs="Tahoma"/>
                <w:sz w:val="20"/>
              </w:rPr>
              <w:t xml:space="preserve"> in this case </w:t>
            </w:r>
            <w:r w:rsidR="00921D8D">
              <w:rPr>
                <w:rFonts w:ascii="Tahoma" w:hAnsi="Tahoma" w:cs="Tahoma"/>
                <w:sz w:val="20"/>
              </w:rPr>
              <w:t>AGN (SA)’s assets as a percentage of AGN Limited’s total assets</w:t>
            </w:r>
            <w:r w:rsidR="00225391">
              <w:rPr>
                <w:rFonts w:ascii="Tahoma" w:hAnsi="Tahoma" w:cs="Tahoma"/>
                <w:sz w:val="20"/>
              </w:rPr>
              <w:t>.</w:t>
            </w:r>
            <w:r w:rsidR="00EA0D2D">
              <w:rPr>
                <w:rFonts w:ascii="Tahoma" w:hAnsi="Tahoma" w:cs="Tahoma"/>
                <w:sz w:val="20"/>
              </w:rPr>
              <w:t xml:space="preserve"> This includes an allocation to the unregulated assets in AGN (SA).</w:t>
            </w:r>
            <w:r w:rsidR="008B2991">
              <w:rPr>
                <w:rFonts w:ascii="Tahoma" w:hAnsi="Tahoma" w:cs="Tahoma"/>
                <w:sz w:val="20"/>
              </w:rPr>
              <w:t xml:space="preserve"> </w:t>
            </w:r>
          </w:p>
          <w:p w14:paraId="4CEDF40A" w14:textId="77777777" w:rsidR="002B1B92" w:rsidRDefault="002B1B92" w:rsidP="00D630EB">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120DED7" w14:textId="00B1AAFC" w:rsidR="006B141D" w:rsidRPr="00751816" w:rsidRDefault="008B299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17B16">
              <w:rPr>
                <w:rFonts w:ascii="Tahoma" w:hAnsi="Tahoma" w:cs="Tahoma"/>
                <w:sz w:val="20"/>
              </w:rPr>
              <w:t xml:space="preserve">This allocation </w:t>
            </w:r>
            <w:r w:rsidR="002B1B92" w:rsidRPr="00017B16">
              <w:rPr>
                <w:rFonts w:ascii="Tahoma" w:hAnsi="Tahoma" w:cs="Tahoma"/>
                <w:sz w:val="20"/>
              </w:rPr>
              <w:t xml:space="preserve">of Debt raising costs to each AA </w:t>
            </w:r>
            <w:r w:rsidRPr="00017B16">
              <w:rPr>
                <w:rFonts w:ascii="Tahoma" w:hAnsi="Tahoma" w:cs="Tahoma"/>
                <w:sz w:val="20"/>
              </w:rPr>
              <w:t xml:space="preserve">is not </w:t>
            </w:r>
            <w:r w:rsidR="002B1B92" w:rsidRPr="00017B16">
              <w:rPr>
                <w:rFonts w:ascii="Tahoma" w:hAnsi="Tahoma" w:cs="Tahoma"/>
                <w:sz w:val="20"/>
              </w:rPr>
              <w:t>made in AGN Limited’s general ledger for</w:t>
            </w:r>
            <w:r w:rsidRPr="00017B16">
              <w:rPr>
                <w:rFonts w:ascii="Tahoma" w:hAnsi="Tahoma" w:cs="Tahoma"/>
                <w:sz w:val="20"/>
              </w:rPr>
              <w:t xml:space="preserve"> statutory reporting purposes</w:t>
            </w:r>
            <w:r w:rsidR="002B1B92" w:rsidRPr="00017B16">
              <w:rPr>
                <w:rFonts w:ascii="Tahoma" w:hAnsi="Tahoma" w:cs="Tahoma"/>
                <w:sz w:val="20"/>
              </w:rPr>
              <w:t>. A</w:t>
            </w:r>
            <w:r w:rsidRPr="00017B16">
              <w:rPr>
                <w:rFonts w:ascii="Tahoma" w:hAnsi="Tahoma" w:cs="Tahoma"/>
                <w:sz w:val="20"/>
              </w:rPr>
              <w:t>ccordingly, there is not an equivalent amount for Debt raising costs in the AGN (SA) trial balance</w:t>
            </w:r>
            <w:r w:rsidR="002B1B92" w:rsidRPr="00017B16">
              <w:rPr>
                <w:rFonts w:ascii="Tahoma" w:hAnsi="Tahoma" w:cs="Tahoma"/>
                <w:sz w:val="20"/>
              </w:rPr>
              <w:t xml:space="preserve"> which has been developed to meet the AER’s requirements under the RIN notice.  Rather, the amount has been allocated to the AGN (SA) Distribution Business, as explained above and added to the RIN template via </w:t>
            </w:r>
            <w:r w:rsidR="002B1B92" w:rsidRPr="00017B16">
              <w:rPr>
                <w:rFonts w:ascii="Tahoma" w:hAnsi="Tahoma" w:cs="Tahoma"/>
                <w:sz w:val="20"/>
              </w:rPr>
              <w:lastRenderedPageBreak/>
              <w:t>an adjustment to the AGN (SA) trial balance amounts.</w:t>
            </w:r>
            <w:r w:rsidR="002B1B92">
              <w:rPr>
                <w:rFonts w:ascii="Tahoma" w:hAnsi="Tahoma" w:cs="Tahoma"/>
                <w:sz w:val="20"/>
              </w:rPr>
              <w:t xml:space="preserve"> </w:t>
            </w:r>
            <w:r w:rsidR="006B141D">
              <w:rPr>
                <w:rFonts w:ascii="Tahoma" w:hAnsi="Tahoma" w:cs="Tahoma"/>
                <w:sz w:val="20"/>
              </w:rPr>
              <w:t xml:space="preserve"> </w:t>
            </w:r>
          </w:p>
        </w:tc>
        <w:tc>
          <w:tcPr>
            <w:tcW w:w="818" w:type="pct"/>
            <w:tcBorders>
              <w:top w:val="single" w:sz="4" w:space="0" w:color="00B0F0"/>
              <w:bottom w:val="single" w:sz="4" w:space="0" w:color="00B0F0"/>
            </w:tcBorders>
            <w:vAlign w:val="center"/>
          </w:tcPr>
          <w:p w14:paraId="12C5A184" w14:textId="5C8B4A50" w:rsidR="006B141D" w:rsidRPr="00751816" w:rsidRDefault="006B141D" w:rsidP="0089396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15A91">
              <w:rPr>
                <w:rFonts w:ascii="Tahoma" w:hAnsi="Tahoma" w:cs="Tahoma"/>
                <w:sz w:val="20"/>
              </w:rPr>
              <w:lastRenderedPageBreak/>
              <w:t xml:space="preserve">Actual </w:t>
            </w:r>
          </w:p>
        </w:tc>
        <w:tc>
          <w:tcPr>
            <w:tcW w:w="1081" w:type="pct"/>
            <w:tcBorders>
              <w:top w:val="single" w:sz="4" w:space="0" w:color="00B0F0"/>
              <w:bottom w:val="single" w:sz="4" w:space="0" w:color="00B0F0"/>
            </w:tcBorders>
          </w:tcPr>
          <w:p w14:paraId="42D203D1" w14:textId="11D9C41F" w:rsidR="006B141D" w:rsidRPr="00751816"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9" w:type="pct"/>
            <w:tcBorders>
              <w:top w:val="single" w:sz="4" w:space="0" w:color="00B0F0"/>
              <w:bottom w:val="single" w:sz="4" w:space="0" w:color="00B0F0"/>
            </w:tcBorders>
          </w:tcPr>
          <w:p w14:paraId="0DE951FB" w14:textId="0B2EE993" w:rsidR="006B141D" w:rsidRPr="00751816"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036AD3" w:rsidRPr="00751816" w14:paraId="78264284" w14:textId="77777777" w:rsidTr="00E3788B">
        <w:trPr>
          <w:trHeight w:val="508"/>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00B0F0"/>
              <w:bottom w:val="single" w:sz="4" w:space="0" w:color="00B0F0"/>
            </w:tcBorders>
            <w:vAlign w:val="center"/>
          </w:tcPr>
          <w:p w14:paraId="0E56A493" w14:textId="77777777" w:rsidR="00036AD3" w:rsidRPr="00751816" w:rsidRDefault="00036AD3" w:rsidP="001C016D">
            <w:pPr>
              <w:spacing w:before="120" w:after="120" w:line="240" w:lineRule="atLeast"/>
              <w:contextualSpacing/>
              <w:rPr>
                <w:rFonts w:ascii="Tahoma" w:hAnsi="Tahoma" w:cs="Tahoma"/>
                <w:sz w:val="20"/>
              </w:rPr>
            </w:pPr>
            <w:r>
              <w:rPr>
                <w:rFonts w:ascii="Tahoma" w:hAnsi="Tahoma" w:cs="Tahoma"/>
                <w:sz w:val="20"/>
              </w:rPr>
              <w:t xml:space="preserve">Equity raising </w:t>
            </w:r>
          </w:p>
        </w:tc>
        <w:tc>
          <w:tcPr>
            <w:tcW w:w="4286" w:type="pct"/>
            <w:gridSpan w:val="5"/>
            <w:tcBorders>
              <w:top w:val="single" w:sz="4" w:space="0" w:color="00B0F0"/>
              <w:bottom w:val="single" w:sz="4" w:space="0" w:color="00B0F0"/>
            </w:tcBorders>
            <w:vAlign w:val="center"/>
          </w:tcPr>
          <w:p w14:paraId="22F89F83" w14:textId="1B7050F2" w:rsidR="00036AD3" w:rsidRDefault="00036AD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lang w:val="en-US"/>
              </w:rPr>
            </w:pPr>
            <w:r w:rsidRPr="00073556">
              <w:rPr>
                <w:rFonts w:ascii="Tahoma" w:hAnsi="Tahoma" w:cs="Tahoma"/>
                <w:sz w:val="20"/>
                <w:lang w:val="en-US"/>
              </w:rPr>
              <w:t>AGN Limited does not currently incur equity raising costs under its existing ownership structure and has not incurred equity raising costs</w:t>
            </w:r>
            <w:r w:rsidR="008D1671">
              <w:rPr>
                <w:rFonts w:ascii="Tahoma" w:hAnsi="Tahoma" w:cs="Tahoma"/>
                <w:sz w:val="20"/>
                <w:lang w:val="en-US"/>
              </w:rPr>
              <w:t xml:space="preserve"> in 2019/20</w:t>
            </w:r>
            <w:r w:rsidRPr="00073556">
              <w:rPr>
                <w:rFonts w:ascii="Tahoma" w:hAnsi="Tahoma" w:cs="Tahoma"/>
                <w:sz w:val="20"/>
                <w:lang w:val="en-US"/>
              </w:rPr>
              <w:t>.</w:t>
            </w:r>
          </w:p>
          <w:p w14:paraId="43952981" w14:textId="65D1E933" w:rsidR="00437558" w:rsidRDefault="00437558"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lang w:val="en-US"/>
              </w:rPr>
            </w:pPr>
          </w:p>
          <w:p w14:paraId="628735C2" w14:textId="04580CAF" w:rsidR="00036AD3" w:rsidRPr="00751816" w:rsidRDefault="00437558"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lang w:val="en-US"/>
              </w:rPr>
              <w:t xml:space="preserve">Thus we provide a ‘Null’ response in the reporting template. </w:t>
            </w:r>
          </w:p>
        </w:tc>
      </w:tr>
      <w:tr w:rsidR="006B141D" w:rsidRPr="00751816" w14:paraId="10399AA7" w14:textId="77777777" w:rsidTr="005C36F2">
        <w:trPr>
          <w:gridAfter w:val="1"/>
          <w:wAfter w:w="5" w:type="pct"/>
          <w:trHeight w:val="508"/>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00B0F0"/>
              <w:bottom w:val="single" w:sz="4" w:space="0" w:color="00B0F0"/>
            </w:tcBorders>
            <w:vAlign w:val="center"/>
          </w:tcPr>
          <w:p w14:paraId="6ED2C97F" w14:textId="77777777" w:rsidR="006B141D" w:rsidRPr="00751816" w:rsidRDefault="006B141D" w:rsidP="001C016D">
            <w:pPr>
              <w:spacing w:before="120" w:after="120" w:line="240" w:lineRule="atLeast"/>
              <w:contextualSpacing/>
              <w:rPr>
                <w:rFonts w:ascii="Tahoma" w:hAnsi="Tahoma" w:cs="Tahoma"/>
                <w:sz w:val="20"/>
              </w:rPr>
            </w:pPr>
            <w:r>
              <w:rPr>
                <w:rFonts w:ascii="Tahoma" w:hAnsi="Tahoma" w:cs="Tahoma"/>
                <w:sz w:val="20"/>
              </w:rPr>
              <w:t xml:space="preserve">Unaccounted for gas </w:t>
            </w:r>
            <w:r w:rsidRPr="00751816">
              <w:rPr>
                <w:rFonts w:ascii="Tahoma" w:hAnsi="Tahoma" w:cs="Tahoma"/>
                <w:sz w:val="20"/>
              </w:rPr>
              <w:t xml:space="preserve"> </w:t>
            </w:r>
          </w:p>
        </w:tc>
        <w:tc>
          <w:tcPr>
            <w:tcW w:w="1693" w:type="pct"/>
            <w:tcBorders>
              <w:top w:val="single" w:sz="4" w:space="0" w:color="00B0F0"/>
              <w:bottom w:val="single" w:sz="4" w:space="0" w:color="00B0F0"/>
            </w:tcBorders>
          </w:tcPr>
          <w:p w14:paraId="1D51D871" w14:textId="45C72119" w:rsidR="006B141D" w:rsidRDefault="006B141D" w:rsidP="00D630EB">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w:t>
            </w:r>
            <w:r w:rsidRPr="0035654B">
              <w:rPr>
                <w:rFonts w:ascii="Tahoma" w:hAnsi="Tahoma" w:cs="Tahoma"/>
                <w:sz w:val="20"/>
              </w:rPr>
              <w:t xml:space="preserve">information in this RIN Table </w:t>
            </w:r>
            <w:r>
              <w:rPr>
                <w:rFonts w:ascii="Tahoma" w:hAnsi="Tahoma" w:cs="Tahoma"/>
                <w:sz w:val="20"/>
              </w:rPr>
              <w:t xml:space="preserve">has been </w:t>
            </w:r>
            <w:r w:rsidR="00C46D6F">
              <w:rPr>
                <w:rFonts w:ascii="Tahoma" w:hAnsi="Tahoma" w:cs="Tahoma"/>
                <w:sz w:val="20"/>
              </w:rPr>
              <w:t>derived from the AGN (SA) trial balance</w:t>
            </w:r>
            <w:r w:rsidR="00C00101">
              <w:rPr>
                <w:rFonts w:ascii="Tahoma" w:hAnsi="Tahoma" w:cs="Tahoma"/>
                <w:sz w:val="20"/>
              </w:rPr>
              <w:t xml:space="preserve"> which has been audited as set out in Appendix G </w:t>
            </w:r>
            <w:r w:rsidR="00C46D6F">
              <w:rPr>
                <w:rFonts w:ascii="Tahoma" w:hAnsi="Tahoma" w:cs="Tahoma"/>
                <w:sz w:val="20"/>
              </w:rPr>
              <w:t>and</w:t>
            </w:r>
            <w:r>
              <w:rPr>
                <w:rFonts w:ascii="Tahoma" w:hAnsi="Tahoma" w:cs="Tahoma"/>
                <w:sz w:val="20"/>
              </w:rPr>
              <w:t xml:space="preserve"> the Ring Fenced Accounts (RFAs) prepared by AGN Limited and APA each half year.  The processes and systems that facilitate the production of the RFAs is outlined </w:t>
            </w:r>
            <w:r w:rsidRPr="00D44709">
              <w:rPr>
                <w:rFonts w:ascii="Tahoma" w:hAnsi="Tahoma" w:cs="Tahoma"/>
                <w:sz w:val="20"/>
              </w:rPr>
              <w:t>in Appendices A and B</w:t>
            </w:r>
            <w:r>
              <w:rPr>
                <w:rFonts w:ascii="Tahoma" w:hAnsi="Tahoma" w:cs="Tahoma"/>
                <w:sz w:val="20"/>
              </w:rPr>
              <w:t>.</w:t>
            </w:r>
          </w:p>
          <w:p w14:paraId="67E927B6" w14:textId="77777777" w:rsidR="006B141D" w:rsidRPr="0035654B" w:rsidRDefault="006B141D" w:rsidP="00D630EB">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291D8A0" w14:textId="09A77D4B" w:rsidR="00F56497" w:rsidRPr="00751816" w:rsidRDefault="006B141D" w:rsidP="00C46D6F">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566CFF">
              <w:rPr>
                <w:rFonts w:ascii="Tahoma" w:hAnsi="Tahoma" w:cs="Tahoma"/>
                <w:sz w:val="20"/>
                <w:lang w:val="en-US"/>
              </w:rPr>
              <w:t xml:space="preserve">Expenditure </w:t>
            </w:r>
            <w:r>
              <w:rPr>
                <w:rFonts w:ascii="Tahoma" w:hAnsi="Tahoma" w:cs="Tahoma"/>
                <w:sz w:val="20"/>
                <w:lang w:val="en-US"/>
              </w:rPr>
              <w:t xml:space="preserve">reported for Unaccounted for </w:t>
            </w:r>
            <w:r w:rsidR="00D56ABB">
              <w:rPr>
                <w:rFonts w:ascii="Tahoma" w:hAnsi="Tahoma" w:cs="Tahoma"/>
                <w:sz w:val="20"/>
                <w:lang w:val="en-US"/>
              </w:rPr>
              <w:t xml:space="preserve">Gas </w:t>
            </w:r>
            <w:r>
              <w:rPr>
                <w:rFonts w:ascii="Tahoma" w:hAnsi="Tahoma" w:cs="Tahoma"/>
                <w:sz w:val="20"/>
                <w:lang w:val="en-US"/>
              </w:rPr>
              <w:t>(UAFG) is</w:t>
            </w:r>
            <w:r w:rsidRPr="00566CFF">
              <w:rPr>
                <w:rFonts w:ascii="Tahoma" w:hAnsi="Tahoma" w:cs="Tahoma"/>
                <w:sz w:val="20"/>
                <w:lang w:val="en-US"/>
              </w:rPr>
              <w:t xml:space="preserve"> </w:t>
            </w:r>
            <w:r>
              <w:rPr>
                <w:rFonts w:ascii="Tahoma" w:hAnsi="Tahoma" w:cs="Tahoma"/>
                <w:sz w:val="20"/>
                <w:lang w:val="en-US"/>
              </w:rPr>
              <w:t xml:space="preserve">the cost </w:t>
            </w:r>
            <w:r w:rsidR="00C46D6F">
              <w:rPr>
                <w:rFonts w:ascii="Tahoma" w:hAnsi="Tahoma" w:cs="Tahoma"/>
                <w:sz w:val="20"/>
                <w:lang w:val="en-US"/>
              </w:rPr>
              <w:t>for AGN (SA)</w:t>
            </w:r>
            <w:r>
              <w:rPr>
                <w:rFonts w:ascii="Tahoma" w:hAnsi="Tahoma" w:cs="Tahoma"/>
                <w:sz w:val="20"/>
                <w:lang w:val="en-US"/>
              </w:rPr>
              <w:t xml:space="preserve"> </w:t>
            </w:r>
            <w:r w:rsidRPr="00566CFF">
              <w:rPr>
                <w:rFonts w:ascii="Tahoma" w:hAnsi="Tahoma" w:cs="Tahoma"/>
                <w:sz w:val="20"/>
                <w:lang w:val="en-US"/>
              </w:rPr>
              <w:t>in relation to the</w:t>
            </w:r>
            <w:r w:rsidR="00DC0033">
              <w:rPr>
                <w:rFonts w:ascii="Tahoma" w:hAnsi="Tahoma" w:cs="Tahoma"/>
                <w:sz w:val="20"/>
                <w:lang w:val="en-US"/>
              </w:rPr>
              <w:t xml:space="preserve"> volume</w:t>
            </w:r>
            <w:r w:rsidRPr="00566CFF">
              <w:rPr>
                <w:rFonts w:ascii="Tahoma" w:hAnsi="Tahoma" w:cs="Tahoma"/>
                <w:sz w:val="20"/>
                <w:lang w:val="en-US"/>
              </w:rPr>
              <w:t xml:space="preserve"> </w:t>
            </w:r>
            <w:r w:rsidR="00D93F01">
              <w:rPr>
                <w:rFonts w:ascii="Tahoma" w:hAnsi="Tahoma" w:cs="Tahoma"/>
                <w:sz w:val="20"/>
                <w:lang w:val="en-US"/>
              </w:rPr>
              <w:t xml:space="preserve">of gas </w:t>
            </w:r>
            <w:r w:rsidR="00DC0033">
              <w:rPr>
                <w:rFonts w:ascii="Tahoma" w:hAnsi="Tahoma" w:cs="Tahoma"/>
                <w:sz w:val="20"/>
                <w:lang w:val="en-US"/>
              </w:rPr>
              <w:t xml:space="preserve">calculated by AEMO under clause 8.6.15 of the Retail Market Procedures (South Australia). </w:t>
            </w:r>
            <w:r w:rsidR="00C80758">
              <w:rPr>
                <w:rFonts w:ascii="Tahoma" w:hAnsi="Tahoma" w:cs="Tahoma"/>
                <w:sz w:val="20"/>
                <w:lang w:val="en-US"/>
              </w:rPr>
              <w:t xml:space="preserve">The costs are derived by multiplying the quantity by the </w:t>
            </w:r>
            <w:r w:rsidR="00D56ABB">
              <w:rPr>
                <w:rFonts w:ascii="Tahoma" w:hAnsi="Tahoma" w:cs="Tahoma"/>
                <w:sz w:val="20"/>
                <w:lang w:val="en-US"/>
              </w:rPr>
              <w:t>agreed contract</w:t>
            </w:r>
            <w:r w:rsidR="00C80758">
              <w:rPr>
                <w:rFonts w:ascii="Tahoma" w:hAnsi="Tahoma" w:cs="Tahoma"/>
                <w:sz w:val="20"/>
                <w:lang w:val="en-US"/>
              </w:rPr>
              <w:t xml:space="preserve"> </w:t>
            </w:r>
            <w:r w:rsidR="00D56ABB">
              <w:rPr>
                <w:rFonts w:ascii="Tahoma" w:hAnsi="Tahoma" w:cs="Tahoma"/>
                <w:sz w:val="20"/>
                <w:lang w:val="en-US"/>
              </w:rPr>
              <w:t>rate</w:t>
            </w:r>
            <w:r w:rsidR="00C80758">
              <w:rPr>
                <w:rFonts w:ascii="Tahoma" w:hAnsi="Tahoma" w:cs="Tahoma"/>
                <w:sz w:val="20"/>
                <w:lang w:val="en-US"/>
              </w:rPr>
              <w:t xml:space="preserve"> for gas.</w:t>
            </w:r>
            <w:r w:rsidR="00B97DD5">
              <w:rPr>
                <w:rFonts w:ascii="Tahoma" w:hAnsi="Tahoma" w:cs="Tahoma"/>
                <w:sz w:val="20"/>
                <w:lang w:val="en-US"/>
              </w:rPr>
              <w:t xml:space="preserve">  </w:t>
            </w:r>
            <w:r w:rsidR="00B97DD5" w:rsidRPr="00B97DD5">
              <w:rPr>
                <w:rFonts w:ascii="Tahoma" w:hAnsi="Tahoma" w:cs="Tahoma"/>
                <w:sz w:val="20"/>
                <w:lang w:val="en-US"/>
              </w:rPr>
              <w:t>Initially costs are based on estimated UAFG volumes then adjusted accordingly after the final actual volumes are published by AEMO and the wash-up amount has been agreed to by the contract UAFG supplier.</w:t>
            </w:r>
          </w:p>
        </w:tc>
        <w:tc>
          <w:tcPr>
            <w:tcW w:w="818" w:type="pct"/>
            <w:tcBorders>
              <w:top w:val="single" w:sz="4" w:space="0" w:color="00B0F0"/>
              <w:bottom w:val="single" w:sz="4" w:space="0" w:color="00B0F0"/>
            </w:tcBorders>
            <w:vAlign w:val="center"/>
          </w:tcPr>
          <w:p w14:paraId="42FB1169" w14:textId="66C6BD1A" w:rsidR="006B141D" w:rsidRPr="00751816" w:rsidRDefault="006B141D" w:rsidP="0089396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15A91">
              <w:rPr>
                <w:rFonts w:ascii="Tahoma" w:hAnsi="Tahoma" w:cs="Tahoma"/>
                <w:sz w:val="20"/>
              </w:rPr>
              <w:t xml:space="preserve">Actual </w:t>
            </w:r>
          </w:p>
        </w:tc>
        <w:tc>
          <w:tcPr>
            <w:tcW w:w="1081" w:type="pct"/>
            <w:tcBorders>
              <w:top w:val="single" w:sz="4" w:space="0" w:color="00B0F0"/>
              <w:bottom w:val="single" w:sz="4" w:space="0" w:color="00B0F0"/>
            </w:tcBorders>
          </w:tcPr>
          <w:p w14:paraId="34D7BAD1" w14:textId="495DF013" w:rsidR="006B141D" w:rsidRPr="00751816"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9" w:type="pct"/>
            <w:tcBorders>
              <w:top w:val="single" w:sz="4" w:space="0" w:color="00B0F0"/>
              <w:bottom w:val="single" w:sz="4" w:space="0" w:color="00B0F0"/>
            </w:tcBorders>
          </w:tcPr>
          <w:p w14:paraId="5326BD50" w14:textId="33CFDD33" w:rsidR="006B141D" w:rsidRPr="00751816"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B141D" w:rsidRPr="00751816" w14:paraId="01A49A67" w14:textId="77777777" w:rsidTr="005C36F2">
        <w:trPr>
          <w:gridAfter w:val="1"/>
          <w:wAfter w:w="5" w:type="pct"/>
          <w:trHeight w:val="508"/>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00B0F0"/>
              <w:bottom w:val="single" w:sz="4" w:space="0" w:color="00B0F0"/>
            </w:tcBorders>
            <w:vAlign w:val="center"/>
          </w:tcPr>
          <w:p w14:paraId="0CEEC46D" w14:textId="77777777" w:rsidR="006B141D" w:rsidRPr="00751816" w:rsidRDefault="006B141D" w:rsidP="001C016D">
            <w:pPr>
              <w:spacing w:before="120" w:after="120" w:line="240" w:lineRule="atLeast"/>
              <w:contextualSpacing/>
              <w:rPr>
                <w:rFonts w:ascii="Tahoma" w:hAnsi="Tahoma" w:cs="Tahoma"/>
                <w:sz w:val="20"/>
              </w:rPr>
            </w:pPr>
            <w:r>
              <w:rPr>
                <w:rFonts w:ascii="Tahoma" w:hAnsi="Tahoma" w:cs="Tahoma"/>
                <w:sz w:val="20"/>
              </w:rPr>
              <w:t>Jurisdictional charges</w:t>
            </w:r>
          </w:p>
        </w:tc>
        <w:tc>
          <w:tcPr>
            <w:tcW w:w="1693" w:type="pct"/>
            <w:tcBorders>
              <w:top w:val="single" w:sz="4" w:space="0" w:color="00B0F0"/>
              <w:bottom w:val="single" w:sz="4" w:space="0" w:color="00B0F0"/>
            </w:tcBorders>
          </w:tcPr>
          <w:p w14:paraId="244F2CF3" w14:textId="20FD9CFE" w:rsidR="006B141D" w:rsidRPr="00E3788B"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w:t>
            </w:r>
            <w:r w:rsidRPr="0035654B">
              <w:rPr>
                <w:rFonts w:ascii="Tahoma" w:hAnsi="Tahoma" w:cs="Tahoma"/>
                <w:sz w:val="20"/>
              </w:rPr>
              <w:t xml:space="preserve">information in this RIN Table </w:t>
            </w:r>
            <w:r>
              <w:rPr>
                <w:rFonts w:ascii="Tahoma" w:hAnsi="Tahoma" w:cs="Tahoma"/>
                <w:sz w:val="20"/>
              </w:rPr>
              <w:t xml:space="preserve">has been </w:t>
            </w:r>
            <w:r w:rsidR="00C46D6F">
              <w:rPr>
                <w:rFonts w:ascii="Tahoma" w:hAnsi="Tahoma" w:cs="Tahoma"/>
                <w:sz w:val="20"/>
              </w:rPr>
              <w:t>derived from the AGN (SA) trial balance</w:t>
            </w:r>
            <w:r w:rsidR="00C00101">
              <w:rPr>
                <w:rFonts w:ascii="Tahoma" w:hAnsi="Tahoma" w:cs="Tahoma"/>
                <w:sz w:val="20"/>
              </w:rPr>
              <w:t xml:space="preserve"> which has been audited as set out in Appendix G</w:t>
            </w:r>
            <w:r w:rsidR="00C46D6F">
              <w:rPr>
                <w:rFonts w:ascii="Tahoma" w:hAnsi="Tahoma" w:cs="Tahoma"/>
                <w:sz w:val="20"/>
              </w:rPr>
              <w:t xml:space="preserve"> and </w:t>
            </w:r>
            <w:r w:rsidR="00E3788B">
              <w:rPr>
                <w:rFonts w:ascii="Tahoma" w:hAnsi="Tahoma" w:cs="Tahoma"/>
                <w:sz w:val="20"/>
              </w:rPr>
              <w:t xml:space="preserve">from AGN Limited’s SAP GL. </w:t>
            </w:r>
          </w:p>
          <w:p w14:paraId="0C7C19E8" w14:textId="77777777" w:rsidR="006B141D"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AD41631" w14:textId="58625F57" w:rsidR="006B141D" w:rsidRPr="00751816" w:rsidRDefault="006B141D" w:rsidP="007B668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lang w:val="en-US"/>
              </w:rPr>
              <w:t>Expenditure reported for J</w:t>
            </w:r>
            <w:r w:rsidRPr="00726667">
              <w:rPr>
                <w:rFonts w:ascii="Tahoma" w:hAnsi="Tahoma" w:cs="Tahoma"/>
                <w:sz w:val="20"/>
                <w:lang w:val="en-US"/>
              </w:rPr>
              <w:t>urisdictional charges comprises license fees paid to</w:t>
            </w:r>
            <w:r w:rsidR="002B1B92">
              <w:rPr>
                <w:rFonts w:ascii="Tahoma" w:hAnsi="Tahoma" w:cs="Tahoma"/>
                <w:sz w:val="20"/>
                <w:lang w:val="en-US"/>
              </w:rPr>
              <w:t xml:space="preserve"> the SA</w:t>
            </w:r>
            <w:r w:rsidRPr="00726667">
              <w:rPr>
                <w:rFonts w:ascii="Tahoma" w:hAnsi="Tahoma" w:cs="Tahoma"/>
                <w:sz w:val="20"/>
                <w:lang w:val="en-US"/>
              </w:rPr>
              <w:t xml:space="preserve"> regulatory bod</w:t>
            </w:r>
            <w:r w:rsidR="002B1B92">
              <w:rPr>
                <w:rFonts w:ascii="Tahoma" w:hAnsi="Tahoma" w:cs="Tahoma"/>
                <w:sz w:val="20"/>
                <w:lang w:val="en-US"/>
              </w:rPr>
              <w:t>y E</w:t>
            </w:r>
            <w:r w:rsidR="007B668E">
              <w:rPr>
                <w:rFonts w:ascii="Tahoma" w:hAnsi="Tahoma" w:cs="Tahoma"/>
                <w:sz w:val="20"/>
                <w:lang w:val="en-US"/>
              </w:rPr>
              <w:t xml:space="preserve">ssential </w:t>
            </w:r>
            <w:r w:rsidR="002B1B92">
              <w:rPr>
                <w:rFonts w:ascii="Tahoma" w:hAnsi="Tahoma" w:cs="Tahoma"/>
                <w:sz w:val="20"/>
                <w:lang w:val="en-US"/>
              </w:rPr>
              <w:t>S</w:t>
            </w:r>
            <w:r w:rsidR="007B668E">
              <w:rPr>
                <w:rFonts w:ascii="Tahoma" w:hAnsi="Tahoma" w:cs="Tahoma"/>
                <w:sz w:val="20"/>
                <w:lang w:val="en-US"/>
              </w:rPr>
              <w:t xml:space="preserve">ervices </w:t>
            </w:r>
            <w:r w:rsidR="002B1B92">
              <w:rPr>
                <w:rFonts w:ascii="Tahoma" w:hAnsi="Tahoma" w:cs="Tahoma"/>
                <w:sz w:val="20"/>
                <w:lang w:val="en-US"/>
              </w:rPr>
              <w:t>C</w:t>
            </w:r>
            <w:r w:rsidR="007B668E">
              <w:rPr>
                <w:rFonts w:ascii="Tahoma" w:hAnsi="Tahoma" w:cs="Tahoma"/>
                <w:sz w:val="20"/>
                <w:lang w:val="en-US"/>
              </w:rPr>
              <w:t xml:space="preserve">ommission of </w:t>
            </w:r>
            <w:r w:rsidR="002B1B92">
              <w:rPr>
                <w:rFonts w:ascii="Tahoma" w:hAnsi="Tahoma" w:cs="Tahoma"/>
                <w:sz w:val="20"/>
                <w:lang w:val="en-US"/>
              </w:rPr>
              <w:t>S</w:t>
            </w:r>
            <w:r w:rsidR="007B668E">
              <w:rPr>
                <w:rFonts w:ascii="Tahoma" w:hAnsi="Tahoma" w:cs="Tahoma"/>
                <w:sz w:val="20"/>
                <w:lang w:val="en-US"/>
              </w:rPr>
              <w:t>outh Australia (ESCOSA)</w:t>
            </w:r>
            <w:r w:rsidRPr="00726667">
              <w:rPr>
                <w:rFonts w:ascii="Tahoma" w:hAnsi="Tahoma" w:cs="Tahoma"/>
                <w:sz w:val="20"/>
                <w:lang w:val="en-US"/>
              </w:rPr>
              <w:t>.</w:t>
            </w:r>
          </w:p>
        </w:tc>
        <w:tc>
          <w:tcPr>
            <w:tcW w:w="818" w:type="pct"/>
            <w:tcBorders>
              <w:top w:val="single" w:sz="4" w:space="0" w:color="00B0F0"/>
              <w:bottom w:val="single" w:sz="4" w:space="0" w:color="00B0F0"/>
            </w:tcBorders>
            <w:vAlign w:val="center"/>
          </w:tcPr>
          <w:p w14:paraId="22240E7F" w14:textId="567F3F50" w:rsidR="006B141D" w:rsidRPr="00751816" w:rsidRDefault="006B141D" w:rsidP="0089396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15A91">
              <w:rPr>
                <w:rFonts w:ascii="Tahoma" w:hAnsi="Tahoma" w:cs="Tahoma"/>
                <w:sz w:val="20"/>
              </w:rPr>
              <w:t xml:space="preserve">Actual </w:t>
            </w:r>
          </w:p>
        </w:tc>
        <w:tc>
          <w:tcPr>
            <w:tcW w:w="1081" w:type="pct"/>
            <w:tcBorders>
              <w:top w:val="single" w:sz="4" w:space="0" w:color="00B0F0"/>
              <w:bottom w:val="single" w:sz="4" w:space="0" w:color="00B0F0"/>
            </w:tcBorders>
          </w:tcPr>
          <w:p w14:paraId="5C4CDC67" w14:textId="623C4DDF" w:rsidR="006B141D" w:rsidRPr="00751816"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9" w:type="pct"/>
            <w:tcBorders>
              <w:top w:val="single" w:sz="4" w:space="0" w:color="00B0F0"/>
              <w:bottom w:val="single" w:sz="4" w:space="0" w:color="00B0F0"/>
            </w:tcBorders>
          </w:tcPr>
          <w:p w14:paraId="0BB03316" w14:textId="7259C4F6" w:rsidR="006B141D" w:rsidRPr="00751816"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036AD3" w:rsidRPr="00751816" w14:paraId="674C7C0F" w14:textId="77777777" w:rsidTr="00E3788B">
        <w:trPr>
          <w:trHeight w:val="508"/>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00B0F0"/>
              <w:bottom w:val="single" w:sz="4" w:space="0" w:color="00B0F0"/>
            </w:tcBorders>
            <w:vAlign w:val="center"/>
          </w:tcPr>
          <w:p w14:paraId="22C418DE" w14:textId="77777777" w:rsidR="00036AD3" w:rsidRPr="00751816" w:rsidRDefault="00036AD3" w:rsidP="001C016D">
            <w:pPr>
              <w:spacing w:before="120" w:after="120" w:line="240" w:lineRule="atLeast"/>
              <w:contextualSpacing/>
              <w:rPr>
                <w:rFonts w:ascii="Tahoma" w:hAnsi="Tahoma" w:cs="Tahoma"/>
                <w:sz w:val="20"/>
              </w:rPr>
            </w:pPr>
            <w:r>
              <w:rPr>
                <w:rFonts w:ascii="Tahoma" w:hAnsi="Tahoma" w:cs="Tahoma"/>
                <w:sz w:val="20"/>
              </w:rPr>
              <w:lastRenderedPageBreak/>
              <w:t xml:space="preserve">GSL payments </w:t>
            </w:r>
            <w:r w:rsidRPr="00751816">
              <w:rPr>
                <w:rFonts w:ascii="Tahoma" w:hAnsi="Tahoma" w:cs="Tahoma"/>
                <w:sz w:val="20"/>
              </w:rPr>
              <w:t xml:space="preserve"> </w:t>
            </w:r>
          </w:p>
        </w:tc>
        <w:tc>
          <w:tcPr>
            <w:tcW w:w="4286" w:type="pct"/>
            <w:gridSpan w:val="5"/>
            <w:tcBorders>
              <w:top w:val="single" w:sz="4" w:space="0" w:color="00B0F0"/>
              <w:bottom w:val="single" w:sz="4" w:space="0" w:color="00B0F0"/>
            </w:tcBorders>
            <w:vAlign w:val="center"/>
          </w:tcPr>
          <w:p w14:paraId="1A509037" w14:textId="25D36756" w:rsidR="00036AD3" w:rsidRDefault="00036AD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26667">
              <w:rPr>
                <w:rFonts w:ascii="Tahoma" w:hAnsi="Tahoma" w:cs="Tahoma"/>
                <w:sz w:val="20"/>
              </w:rPr>
              <w:t>AGN Limited has not incurred any expenditure in relation to GSL payments</w:t>
            </w:r>
            <w:r w:rsidR="00C46D6F">
              <w:rPr>
                <w:rFonts w:ascii="Tahoma" w:hAnsi="Tahoma" w:cs="Tahoma"/>
                <w:sz w:val="20"/>
              </w:rPr>
              <w:t xml:space="preserve"> for AGN (SA)</w:t>
            </w:r>
            <w:r w:rsidR="00ED5440">
              <w:rPr>
                <w:rFonts w:ascii="Tahoma" w:hAnsi="Tahoma" w:cs="Tahoma"/>
                <w:sz w:val="20"/>
              </w:rPr>
              <w:t xml:space="preserve"> in 2019/20</w:t>
            </w:r>
            <w:r w:rsidRPr="00726667">
              <w:rPr>
                <w:rFonts w:ascii="Tahoma" w:hAnsi="Tahoma" w:cs="Tahoma"/>
                <w:sz w:val="20"/>
              </w:rPr>
              <w:t>.</w:t>
            </w:r>
          </w:p>
          <w:p w14:paraId="7665D2F4" w14:textId="77777777" w:rsidR="00036AD3" w:rsidRDefault="00036AD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2B36592" w14:textId="26A18CC5" w:rsidR="00C46163" w:rsidRPr="00751816" w:rsidRDefault="00C46163" w:rsidP="00987F5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lang w:val="en-US"/>
              </w:rPr>
              <w:t xml:space="preserve">Thus we provide a ‘Null’ response in the reporting template. </w:t>
            </w:r>
          </w:p>
        </w:tc>
      </w:tr>
      <w:tr w:rsidR="006B141D" w:rsidRPr="00751816" w14:paraId="1656A843" w14:textId="77777777" w:rsidTr="005C36F2">
        <w:trPr>
          <w:gridAfter w:val="1"/>
          <w:wAfter w:w="5" w:type="pct"/>
          <w:trHeight w:val="508"/>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00B0F0"/>
              <w:bottom w:val="single" w:sz="4" w:space="0" w:color="00B0F0"/>
            </w:tcBorders>
            <w:vAlign w:val="center"/>
          </w:tcPr>
          <w:p w14:paraId="7C404C8C" w14:textId="77777777" w:rsidR="006B141D" w:rsidRPr="00751816" w:rsidRDefault="006B141D" w:rsidP="001C016D">
            <w:pPr>
              <w:spacing w:before="120" w:after="120" w:line="240" w:lineRule="atLeast"/>
              <w:contextualSpacing/>
              <w:rPr>
                <w:rFonts w:ascii="Tahoma" w:hAnsi="Tahoma" w:cs="Tahoma"/>
                <w:sz w:val="20"/>
              </w:rPr>
            </w:pPr>
            <w:r>
              <w:rPr>
                <w:rFonts w:ascii="Tahoma" w:hAnsi="Tahoma" w:cs="Tahoma"/>
                <w:sz w:val="20"/>
              </w:rPr>
              <w:t xml:space="preserve">Other Opex </w:t>
            </w:r>
            <w:r w:rsidRPr="00751816">
              <w:rPr>
                <w:rFonts w:ascii="Tahoma" w:hAnsi="Tahoma" w:cs="Tahoma"/>
                <w:sz w:val="20"/>
              </w:rPr>
              <w:t xml:space="preserve"> </w:t>
            </w:r>
          </w:p>
        </w:tc>
        <w:tc>
          <w:tcPr>
            <w:tcW w:w="1693" w:type="pct"/>
            <w:tcBorders>
              <w:top w:val="single" w:sz="4" w:space="0" w:color="00B0F0"/>
              <w:bottom w:val="single" w:sz="4" w:space="0" w:color="00B0F0"/>
            </w:tcBorders>
          </w:tcPr>
          <w:p w14:paraId="5A5665E4" w14:textId="55239622" w:rsidR="006B141D" w:rsidRPr="00E3788B"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w:t>
            </w:r>
            <w:r w:rsidRPr="0035654B">
              <w:rPr>
                <w:rFonts w:ascii="Tahoma" w:hAnsi="Tahoma" w:cs="Tahoma"/>
                <w:sz w:val="20"/>
              </w:rPr>
              <w:t xml:space="preserve">information in this RIN Table </w:t>
            </w:r>
            <w:r>
              <w:rPr>
                <w:rFonts w:ascii="Tahoma" w:hAnsi="Tahoma" w:cs="Tahoma"/>
                <w:sz w:val="20"/>
              </w:rPr>
              <w:t xml:space="preserve">has been </w:t>
            </w:r>
            <w:r w:rsidR="00C46D6F">
              <w:rPr>
                <w:rFonts w:ascii="Tahoma" w:hAnsi="Tahoma" w:cs="Tahoma"/>
                <w:sz w:val="20"/>
              </w:rPr>
              <w:t>derived from the AGN (SA) trial balance</w:t>
            </w:r>
            <w:r w:rsidR="00C00101">
              <w:rPr>
                <w:rFonts w:ascii="Tahoma" w:hAnsi="Tahoma" w:cs="Tahoma"/>
                <w:sz w:val="20"/>
              </w:rPr>
              <w:t xml:space="preserve"> which has been audited as set out in Appendix G</w:t>
            </w:r>
            <w:r w:rsidR="00C46D6F">
              <w:rPr>
                <w:rFonts w:ascii="Tahoma" w:hAnsi="Tahoma" w:cs="Tahoma"/>
                <w:sz w:val="20"/>
              </w:rPr>
              <w:t xml:space="preserve"> and </w:t>
            </w:r>
            <w:r>
              <w:rPr>
                <w:rFonts w:ascii="Tahoma" w:hAnsi="Tahoma" w:cs="Tahoma"/>
                <w:sz w:val="20"/>
              </w:rPr>
              <w:t>from</w:t>
            </w:r>
            <w:r w:rsidR="00E3788B">
              <w:rPr>
                <w:rFonts w:ascii="Tahoma" w:hAnsi="Tahoma" w:cs="Tahoma"/>
                <w:sz w:val="20"/>
              </w:rPr>
              <w:t xml:space="preserve"> AGN Limited’s SAP GL.</w:t>
            </w:r>
            <w:r>
              <w:rPr>
                <w:rFonts w:ascii="Tahoma" w:hAnsi="Tahoma" w:cs="Tahoma"/>
                <w:sz w:val="20"/>
              </w:rPr>
              <w:t xml:space="preserve"> </w:t>
            </w:r>
          </w:p>
          <w:p w14:paraId="3F8FCC25" w14:textId="77777777" w:rsidR="006B141D"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2E28655" w14:textId="5ED5CD25" w:rsidR="006B141D" w:rsidRPr="00751816" w:rsidRDefault="006B141D" w:rsidP="00DF4DC5">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lang w:val="en-US"/>
              </w:rPr>
              <w:t xml:space="preserve">Expenditure reported for </w:t>
            </w:r>
            <w:r>
              <w:rPr>
                <w:rFonts w:ascii="Tahoma" w:hAnsi="Tahoma" w:cs="Tahoma"/>
                <w:sz w:val="20"/>
              </w:rPr>
              <w:t>O</w:t>
            </w:r>
            <w:r w:rsidRPr="009D4C98">
              <w:rPr>
                <w:rFonts w:ascii="Tahoma" w:hAnsi="Tahoma" w:cs="Tahoma"/>
                <w:sz w:val="20"/>
              </w:rPr>
              <w:t xml:space="preserve">ther </w:t>
            </w:r>
            <w:r>
              <w:rPr>
                <w:rFonts w:ascii="Tahoma" w:hAnsi="Tahoma" w:cs="Tahoma"/>
                <w:sz w:val="20"/>
              </w:rPr>
              <w:t xml:space="preserve">Opex represents the other </w:t>
            </w:r>
            <w:r w:rsidR="008F0E84">
              <w:rPr>
                <w:rFonts w:ascii="Tahoma" w:hAnsi="Tahoma" w:cs="Tahoma"/>
                <w:sz w:val="20"/>
              </w:rPr>
              <w:t xml:space="preserve">internal </w:t>
            </w:r>
            <w:r w:rsidRPr="009D4C98">
              <w:rPr>
                <w:rFonts w:ascii="Tahoma" w:hAnsi="Tahoma" w:cs="Tahoma"/>
                <w:sz w:val="20"/>
              </w:rPr>
              <w:t xml:space="preserve">costs associated with the business and include items such as employee costs, consulting </w:t>
            </w:r>
            <w:r w:rsidR="00A42B45" w:rsidRPr="00E3788B">
              <w:rPr>
                <w:rFonts w:ascii="Tahoma" w:hAnsi="Tahoma" w:cs="Tahoma"/>
                <w:sz w:val="20"/>
              </w:rPr>
              <w:t>and legal</w:t>
            </w:r>
            <w:r w:rsidR="00A42B45">
              <w:rPr>
                <w:rFonts w:ascii="Tahoma" w:hAnsi="Tahoma" w:cs="Tahoma"/>
                <w:sz w:val="20"/>
              </w:rPr>
              <w:t xml:space="preserve"> </w:t>
            </w:r>
            <w:r w:rsidRPr="009D4C98">
              <w:rPr>
                <w:rFonts w:ascii="Tahoma" w:hAnsi="Tahoma" w:cs="Tahoma"/>
                <w:sz w:val="20"/>
              </w:rPr>
              <w:t xml:space="preserve">expenses, IT </w:t>
            </w:r>
            <w:r w:rsidR="00A42B45" w:rsidRPr="00E3788B">
              <w:rPr>
                <w:rFonts w:ascii="Tahoma" w:hAnsi="Tahoma" w:cs="Tahoma"/>
                <w:sz w:val="20"/>
              </w:rPr>
              <w:t>support</w:t>
            </w:r>
            <w:r w:rsidR="00A42B45">
              <w:rPr>
                <w:rFonts w:ascii="Tahoma" w:hAnsi="Tahoma" w:cs="Tahoma"/>
                <w:sz w:val="20"/>
              </w:rPr>
              <w:t xml:space="preserve"> </w:t>
            </w:r>
            <w:r w:rsidRPr="009D4C98">
              <w:rPr>
                <w:rFonts w:ascii="Tahoma" w:hAnsi="Tahoma" w:cs="Tahoma"/>
                <w:sz w:val="20"/>
              </w:rPr>
              <w:t>costs</w:t>
            </w:r>
            <w:r w:rsidR="00A42B45">
              <w:rPr>
                <w:rFonts w:ascii="Tahoma" w:hAnsi="Tahoma" w:cs="Tahoma"/>
                <w:sz w:val="20"/>
              </w:rPr>
              <w:t xml:space="preserve">, </w:t>
            </w:r>
            <w:r w:rsidR="00DF4DC5">
              <w:rPr>
                <w:rFonts w:ascii="Tahoma" w:hAnsi="Tahoma" w:cs="Tahoma"/>
                <w:sz w:val="20"/>
              </w:rPr>
              <w:t>insurance</w:t>
            </w:r>
            <w:r w:rsidR="00DF4DC5" w:rsidRPr="009D4C98">
              <w:rPr>
                <w:rFonts w:ascii="Tahoma" w:hAnsi="Tahoma" w:cs="Tahoma"/>
                <w:sz w:val="20"/>
              </w:rPr>
              <w:t xml:space="preserve"> </w:t>
            </w:r>
            <w:r w:rsidRPr="009D4C98">
              <w:rPr>
                <w:rFonts w:ascii="Tahoma" w:hAnsi="Tahoma" w:cs="Tahoma"/>
                <w:sz w:val="20"/>
              </w:rPr>
              <w:t xml:space="preserve">and </w:t>
            </w:r>
            <w:r w:rsidRPr="00E3788B">
              <w:rPr>
                <w:rFonts w:ascii="Tahoma" w:hAnsi="Tahoma" w:cs="Tahoma"/>
                <w:sz w:val="20"/>
              </w:rPr>
              <w:t>costs</w:t>
            </w:r>
            <w:r>
              <w:rPr>
                <w:rFonts w:ascii="Tahoma" w:hAnsi="Tahoma" w:cs="Tahoma"/>
                <w:sz w:val="20"/>
              </w:rPr>
              <w:t xml:space="preserve"> not related to another category in this RIN table</w:t>
            </w:r>
            <w:r w:rsidRPr="009D4C98">
              <w:rPr>
                <w:rFonts w:ascii="Tahoma" w:hAnsi="Tahoma" w:cs="Tahoma"/>
                <w:sz w:val="20"/>
              </w:rPr>
              <w:t>.</w:t>
            </w:r>
          </w:p>
        </w:tc>
        <w:tc>
          <w:tcPr>
            <w:tcW w:w="818" w:type="pct"/>
            <w:tcBorders>
              <w:top w:val="single" w:sz="4" w:space="0" w:color="00B0F0"/>
              <w:bottom w:val="single" w:sz="4" w:space="0" w:color="00B0F0"/>
            </w:tcBorders>
            <w:vAlign w:val="center"/>
          </w:tcPr>
          <w:p w14:paraId="2E1BCF01" w14:textId="77777777" w:rsidR="006B141D" w:rsidRDefault="006B141D" w:rsidP="005C36F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BE12051" w14:textId="71EEE8CB" w:rsidR="006B141D" w:rsidRPr="00751816" w:rsidRDefault="006B141D" w:rsidP="0089396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15A91">
              <w:rPr>
                <w:rFonts w:ascii="Tahoma" w:hAnsi="Tahoma" w:cs="Tahoma"/>
                <w:sz w:val="20"/>
              </w:rPr>
              <w:t xml:space="preserve">Actual </w:t>
            </w:r>
          </w:p>
        </w:tc>
        <w:tc>
          <w:tcPr>
            <w:tcW w:w="1081" w:type="pct"/>
            <w:tcBorders>
              <w:top w:val="single" w:sz="4" w:space="0" w:color="00B0F0"/>
              <w:bottom w:val="single" w:sz="4" w:space="0" w:color="00B0F0"/>
            </w:tcBorders>
          </w:tcPr>
          <w:p w14:paraId="06A1C428" w14:textId="3DCF9EB4" w:rsidR="006B141D" w:rsidRPr="00751816"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9" w:type="pct"/>
            <w:tcBorders>
              <w:top w:val="single" w:sz="4" w:space="0" w:color="00B0F0"/>
              <w:bottom w:val="single" w:sz="4" w:space="0" w:color="00B0F0"/>
            </w:tcBorders>
          </w:tcPr>
          <w:p w14:paraId="06EEE869" w14:textId="13F59932" w:rsidR="006B141D" w:rsidRPr="00751816"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7CC05550" w14:textId="4CE2FF5C" w:rsidR="00AD083B" w:rsidRDefault="00AD083B" w:rsidP="00220C58">
      <w:pPr>
        <w:rPr>
          <w:rFonts w:ascii="Tahoma" w:hAnsi="Tahoma" w:cs="Tahoma"/>
          <w:color w:val="00B0F0"/>
        </w:rPr>
      </w:pPr>
    </w:p>
    <w:tbl>
      <w:tblPr>
        <w:tblpPr w:leftFromText="180" w:rightFromText="180" w:vertAnchor="text" w:horzAnchor="margin" w:tblpY="167"/>
        <w:tblW w:w="5013" w:type="pct"/>
        <w:tblBorders>
          <w:top w:val="single" w:sz="4" w:space="0" w:color="00B0F0"/>
          <w:bottom w:val="single" w:sz="4" w:space="0" w:color="00B0F0"/>
          <w:insideH w:val="single" w:sz="4" w:space="0" w:color="00B0F0"/>
        </w:tblBorders>
        <w:tblLayout w:type="fixed"/>
        <w:tblLook w:val="04A0" w:firstRow="1" w:lastRow="0" w:firstColumn="1" w:lastColumn="0" w:noHBand="0" w:noVBand="1"/>
      </w:tblPr>
      <w:tblGrid>
        <w:gridCol w:w="2001"/>
        <w:gridCol w:w="11993"/>
      </w:tblGrid>
      <w:tr w:rsidR="008E0EB5" w:rsidRPr="008E0EB5" w14:paraId="616B18CD" w14:textId="77777777" w:rsidTr="007B668E">
        <w:trPr>
          <w:trHeight w:val="3392"/>
        </w:trPr>
        <w:tc>
          <w:tcPr>
            <w:tcW w:w="715" w:type="pct"/>
            <w:tcBorders>
              <w:top w:val="single" w:sz="4" w:space="0" w:color="00B0F0"/>
              <w:bottom w:val="single" w:sz="4" w:space="0" w:color="00B0F0"/>
            </w:tcBorders>
            <w:shd w:val="clear" w:color="auto" w:fill="D9D9D9" w:themeFill="background1" w:themeFillShade="D9"/>
            <w:vAlign w:val="center"/>
          </w:tcPr>
          <w:p w14:paraId="73210431" w14:textId="77777777" w:rsidR="008E0EB5" w:rsidRPr="008E0EB5" w:rsidRDefault="008E0EB5" w:rsidP="00D630EB">
            <w:pPr>
              <w:spacing w:after="0" w:line="240" w:lineRule="auto"/>
              <w:rPr>
                <w:rFonts w:ascii="Tahoma" w:hAnsi="Tahoma" w:cs="Tahoma"/>
                <w:color w:val="00B0F0"/>
              </w:rPr>
            </w:pPr>
            <w:r w:rsidRPr="008E0EB5">
              <w:rPr>
                <w:rFonts w:ascii="Tahoma" w:hAnsi="Tahoma" w:cs="Tahoma"/>
                <w:color w:val="00B0F0"/>
              </w:rPr>
              <w:t>Variances</w:t>
            </w:r>
          </w:p>
        </w:tc>
        <w:tc>
          <w:tcPr>
            <w:tcW w:w="4285" w:type="pct"/>
            <w:tcBorders>
              <w:top w:val="single" w:sz="4" w:space="0" w:color="00B0F0"/>
              <w:bottom w:val="single" w:sz="4" w:space="0" w:color="00B0F0"/>
            </w:tcBorders>
          </w:tcPr>
          <w:p w14:paraId="14417868" w14:textId="77777777" w:rsidR="008E0EB5" w:rsidRPr="005C36F2" w:rsidRDefault="008E0EB5" w:rsidP="00D630EB">
            <w:pPr>
              <w:spacing w:after="0" w:line="240" w:lineRule="auto"/>
              <w:rPr>
                <w:rFonts w:ascii="Tahoma" w:hAnsi="Tahoma" w:cs="Tahoma"/>
                <w:b/>
                <w:i/>
                <w:sz w:val="20"/>
                <w:szCs w:val="20"/>
              </w:rPr>
            </w:pPr>
            <w:r w:rsidRPr="005C36F2">
              <w:rPr>
                <w:rFonts w:ascii="Tahoma" w:hAnsi="Tahoma" w:cs="Tahoma"/>
                <w:b/>
                <w:i/>
                <w:sz w:val="20"/>
                <w:szCs w:val="20"/>
              </w:rPr>
              <w:t>Variance Basis of Preparation Requirement</w:t>
            </w:r>
          </w:p>
          <w:p w14:paraId="477265A5" w14:textId="77777777" w:rsidR="00D630EB" w:rsidRPr="005C36F2" w:rsidRDefault="00D630EB" w:rsidP="00D630EB">
            <w:pPr>
              <w:spacing w:after="0" w:line="240" w:lineRule="auto"/>
              <w:rPr>
                <w:rFonts w:ascii="Tahoma" w:hAnsi="Tahoma" w:cs="Tahoma"/>
                <w:b/>
                <w:sz w:val="20"/>
                <w:szCs w:val="20"/>
              </w:rPr>
            </w:pPr>
          </w:p>
          <w:p w14:paraId="2EB4F4BD" w14:textId="77777777" w:rsidR="008E0EB5" w:rsidRPr="00CD1837" w:rsidRDefault="008E0EB5" w:rsidP="00D630EB">
            <w:pPr>
              <w:spacing w:after="0" w:line="240" w:lineRule="auto"/>
              <w:rPr>
                <w:rFonts w:ascii="Tahoma" w:hAnsi="Tahoma" w:cs="Tahoma"/>
                <w:sz w:val="20"/>
                <w:szCs w:val="20"/>
              </w:rPr>
            </w:pPr>
            <w:r w:rsidRPr="00CD1837">
              <w:rPr>
                <w:rFonts w:ascii="Tahoma" w:hAnsi="Tahoma" w:cs="Tahoma"/>
                <w:sz w:val="20"/>
                <w:szCs w:val="20"/>
              </w:rPr>
              <w:t>Schedule 1 – 1.5 (a)</w:t>
            </w:r>
          </w:p>
          <w:p w14:paraId="0AB242D6" w14:textId="77777777" w:rsidR="00D630EB" w:rsidRDefault="00D630EB" w:rsidP="00D630EB">
            <w:pPr>
              <w:spacing w:after="0" w:line="240" w:lineRule="auto"/>
              <w:rPr>
                <w:rFonts w:ascii="Tahoma" w:hAnsi="Tahoma" w:cs="Tahoma"/>
                <w:sz w:val="20"/>
                <w:szCs w:val="20"/>
              </w:rPr>
            </w:pPr>
          </w:p>
          <w:p w14:paraId="209B68C8" w14:textId="248C6400" w:rsidR="003332DB" w:rsidRPr="0093430F" w:rsidRDefault="003332DB" w:rsidP="003332DB">
            <w:pPr>
              <w:spacing w:after="0" w:line="240" w:lineRule="auto"/>
              <w:rPr>
                <w:rFonts w:ascii="Tahoma" w:hAnsi="Tahoma" w:cs="Tahoma"/>
                <w:sz w:val="20"/>
                <w:szCs w:val="20"/>
              </w:rPr>
            </w:pPr>
            <w:r>
              <w:rPr>
                <w:rFonts w:ascii="Tahoma" w:hAnsi="Tahoma" w:cs="Tahoma"/>
                <w:sz w:val="20"/>
                <w:szCs w:val="20"/>
              </w:rPr>
              <w:t>Please see below table for 2019/20</w:t>
            </w:r>
            <w:r w:rsidRPr="0093430F">
              <w:rPr>
                <w:rFonts w:ascii="Tahoma" w:hAnsi="Tahoma" w:cs="Tahoma"/>
                <w:sz w:val="20"/>
                <w:szCs w:val="20"/>
              </w:rPr>
              <w:t xml:space="preserve"> </w:t>
            </w:r>
            <w:r>
              <w:rPr>
                <w:rFonts w:ascii="Tahoma" w:hAnsi="Tahoma" w:cs="Tahoma"/>
                <w:sz w:val="20"/>
                <w:szCs w:val="20"/>
              </w:rPr>
              <w:t>O</w:t>
            </w:r>
            <w:r w:rsidRPr="0093430F">
              <w:rPr>
                <w:rFonts w:ascii="Tahoma" w:hAnsi="Tahoma" w:cs="Tahoma"/>
                <w:sz w:val="20"/>
                <w:szCs w:val="20"/>
              </w:rPr>
              <w:t>pex</w:t>
            </w:r>
            <w:r>
              <w:rPr>
                <w:rFonts w:ascii="Tahoma" w:hAnsi="Tahoma" w:cs="Tahoma"/>
                <w:sz w:val="20"/>
                <w:szCs w:val="20"/>
              </w:rPr>
              <w:t xml:space="preserve"> actually incurred</w:t>
            </w:r>
            <w:r w:rsidRPr="0093430F">
              <w:rPr>
                <w:rFonts w:ascii="Tahoma" w:hAnsi="Tahoma" w:cs="Tahoma"/>
                <w:sz w:val="20"/>
                <w:szCs w:val="20"/>
              </w:rPr>
              <w:t xml:space="preserve"> </w:t>
            </w:r>
            <w:r>
              <w:rPr>
                <w:rFonts w:ascii="Tahoma" w:hAnsi="Tahoma" w:cs="Tahoma"/>
                <w:sz w:val="20"/>
                <w:szCs w:val="20"/>
              </w:rPr>
              <w:t>vs that</w:t>
            </w:r>
            <w:r w:rsidRPr="0093430F">
              <w:rPr>
                <w:rFonts w:ascii="Tahoma" w:hAnsi="Tahoma" w:cs="Tahoma"/>
                <w:sz w:val="20"/>
                <w:szCs w:val="20"/>
              </w:rPr>
              <w:t xml:space="preserve"> approved in the </w:t>
            </w:r>
            <w:r>
              <w:rPr>
                <w:rFonts w:ascii="Tahoma" w:hAnsi="Tahoma" w:cs="Tahoma"/>
                <w:sz w:val="20"/>
                <w:szCs w:val="20"/>
              </w:rPr>
              <w:t>Post-tax revenue model (</w:t>
            </w:r>
            <w:r w:rsidRPr="0093430F">
              <w:rPr>
                <w:rFonts w:ascii="Tahoma" w:hAnsi="Tahoma" w:cs="Tahoma"/>
                <w:sz w:val="20"/>
                <w:szCs w:val="20"/>
              </w:rPr>
              <w:t>PTRM</w:t>
            </w:r>
            <w:r>
              <w:rPr>
                <w:rFonts w:ascii="Tahoma" w:hAnsi="Tahoma" w:cs="Tahoma"/>
                <w:sz w:val="20"/>
                <w:szCs w:val="20"/>
              </w:rPr>
              <w:t>)</w:t>
            </w:r>
            <w:r w:rsidRPr="0093430F">
              <w:rPr>
                <w:rFonts w:ascii="Tahoma" w:hAnsi="Tahoma" w:cs="Tahoma"/>
                <w:sz w:val="20"/>
                <w:szCs w:val="20"/>
              </w:rPr>
              <w:t>.</w:t>
            </w:r>
          </w:p>
          <w:p w14:paraId="73BAC1B0" w14:textId="77777777" w:rsidR="00D630EB" w:rsidRDefault="00D630EB" w:rsidP="00D630EB">
            <w:pPr>
              <w:spacing w:after="0" w:line="240" w:lineRule="auto"/>
              <w:rPr>
                <w:rFonts w:ascii="Tahoma" w:hAnsi="Tahoma" w:cs="Tahoma"/>
                <w:sz w:val="20"/>
                <w:szCs w:val="20"/>
              </w:rPr>
            </w:pPr>
          </w:p>
          <w:p w14:paraId="211FD1C4" w14:textId="5DD56227" w:rsidR="003332DB" w:rsidRPr="00CD1837" w:rsidRDefault="003332DB" w:rsidP="00D630EB">
            <w:pPr>
              <w:spacing w:after="0" w:line="240" w:lineRule="auto"/>
              <w:rPr>
                <w:rFonts w:ascii="Tahoma" w:hAnsi="Tahoma" w:cs="Tahoma"/>
                <w:sz w:val="20"/>
                <w:szCs w:val="20"/>
              </w:rPr>
            </w:pPr>
            <w:r>
              <w:rPr>
                <w:noProof/>
                <w:lang w:eastAsia="en-AU"/>
              </w:rPr>
              <w:drawing>
                <wp:inline distT="0" distB="0" distL="0" distR="0" wp14:anchorId="51DAEBA9" wp14:editId="23103868">
                  <wp:extent cx="3665220" cy="548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3665220" cy="548640"/>
                          </a:xfrm>
                          <a:prstGeom prst="rect">
                            <a:avLst/>
                          </a:prstGeom>
                          <a:noFill/>
                          <a:ln>
                            <a:noFill/>
                          </a:ln>
                        </pic:spPr>
                      </pic:pic>
                    </a:graphicData>
                  </a:graphic>
                </wp:inline>
              </w:drawing>
            </w:r>
          </w:p>
          <w:p w14:paraId="26DC4274" w14:textId="77777777" w:rsidR="003332DB" w:rsidRDefault="003332DB" w:rsidP="00D630EB">
            <w:pPr>
              <w:spacing w:after="0" w:line="240" w:lineRule="auto"/>
              <w:rPr>
                <w:rFonts w:ascii="Tahoma" w:hAnsi="Tahoma" w:cs="Tahoma"/>
                <w:sz w:val="20"/>
                <w:szCs w:val="20"/>
              </w:rPr>
            </w:pPr>
          </w:p>
          <w:p w14:paraId="04E507DB" w14:textId="2D1CAEA7" w:rsidR="008E0EB5" w:rsidRPr="008E0EB5" w:rsidRDefault="00FC797A" w:rsidP="00D630EB">
            <w:pPr>
              <w:spacing w:after="0" w:line="240" w:lineRule="auto"/>
              <w:rPr>
                <w:rFonts w:ascii="Tahoma" w:hAnsi="Tahoma" w:cs="Tahoma"/>
                <w:color w:val="00B0F0"/>
              </w:rPr>
            </w:pPr>
            <w:r>
              <w:rPr>
                <w:rFonts w:ascii="Tahoma" w:hAnsi="Tahoma" w:cs="Tahoma"/>
                <w:sz w:val="20"/>
                <w:szCs w:val="20"/>
              </w:rPr>
              <w:t>The key driver has been UAFG volumes coming in lower than forecast, but savings on consultant fees, employee payroll and legal fees have also contributed.  Additional drivers include lower spending on operations administration and management, regional operations, network maintenance, and planning, technical assurance and information technology.</w:t>
            </w:r>
          </w:p>
        </w:tc>
      </w:tr>
    </w:tbl>
    <w:p w14:paraId="049E6DB2" w14:textId="77777777" w:rsidR="008E0EB5" w:rsidRDefault="008E0EB5" w:rsidP="00D630EB">
      <w:pPr>
        <w:spacing w:after="0" w:line="240" w:lineRule="auto"/>
        <w:rPr>
          <w:rFonts w:ascii="Tahoma" w:hAnsi="Tahoma" w:cs="Tahoma"/>
          <w:color w:val="00B0F0"/>
        </w:rPr>
      </w:pPr>
    </w:p>
    <w:p w14:paraId="6E71EE51" w14:textId="77777777" w:rsidR="00641102" w:rsidRDefault="00641102">
      <w:pPr>
        <w:rPr>
          <w:rFonts w:ascii="Tahoma" w:hAnsi="Tahoma" w:cs="Tahoma"/>
          <w:color w:val="00B0F0"/>
        </w:rPr>
      </w:pPr>
      <w:r>
        <w:rPr>
          <w:rFonts w:ascii="Tahoma" w:hAnsi="Tahoma" w:cs="Tahoma"/>
          <w:color w:val="00B0F0"/>
        </w:rPr>
        <w:br w:type="page"/>
      </w:r>
    </w:p>
    <w:p w14:paraId="00E5091D" w14:textId="266AE8CE" w:rsidR="00F02899" w:rsidRDefault="00F02899" w:rsidP="00220C58">
      <w:pPr>
        <w:rPr>
          <w:rFonts w:ascii="Tahoma" w:hAnsi="Tahoma" w:cs="Tahoma"/>
          <w:color w:val="00B0F0"/>
        </w:rPr>
      </w:pPr>
      <w:r w:rsidRPr="00220C58">
        <w:rPr>
          <w:rFonts w:ascii="Tahoma" w:hAnsi="Tahoma" w:cs="Tahoma"/>
          <w:color w:val="00B0F0"/>
        </w:rPr>
        <w:lastRenderedPageBreak/>
        <w:t xml:space="preserve">E1.2.2 – Non-reference Services </w:t>
      </w:r>
    </w:p>
    <w:tbl>
      <w:tblPr>
        <w:tblStyle w:val="UETableStyle"/>
        <w:tblpPr w:leftFromText="180" w:rightFromText="180" w:vertAnchor="text" w:horzAnchor="margin" w:tblpY="167"/>
        <w:tblW w:w="5015" w:type="pct"/>
        <w:tblInd w:w="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2000"/>
        <w:gridCol w:w="4743"/>
        <w:gridCol w:w="2290"/>
        <w:gridCol w:w="3030"/>
        <w:gridCol w:w="1929"/>
        <w:gridCol w:w="8"/>
      </w:tblGrid>
      <w:tr w:rsidR="00502A36" w:rsidRPr="00751816" w14:paraId="638ED9A2" w14:textId="77777777" w:rsidTr="00D44709">
        <w:trPr>
          <w:gridAfter w:val="1"/>
          <w:cnfStyle w:val="100000000000" w:firstRow="1" w:lastRow="0" w:firstColumn="0" w:lastColumn="0" w:oddVBand="0" w:evenVBand="0" w:oddHBand="0" w:evenHBand="0" w:firstRowFirstColumn="0" w:firstRowLastColumn="0" w:lastRowFirstColumn="0" w:lastRowLastColumn="0"/>
          <w:wAfter w:w="3" w:type="pct"/>
          <w:trHeight w:val="255"/>
          <w:tblHeader/>
        </w:trPr>
        <w:tc>
          <w:tcPr>
            <w:cnfStyle w:val="001000000000" w:firstRow="0" w:lastRow="0" w:firstColumn="1" w:lastColumn="0" w:oddVBand="0" w:evenVBand="0" w:oddHBand="0" w:evenHBand="0" w:firstRowFirstColumn="0" w:firstRowLastColumn="0" w:lastRowFirstColumn="0" w:lastRowLastColumn="0"/>
            <w:tcW w:w="714" w:type="pct"/>
            <w:tcBorders>
              <w:bottom w:val="single" w:sz="4" w:space="0" w:color="00B0F0"/>
            </w:tcBorders>
            <w:shd w:val="clear" w:color="auto" w:fill="003C71"/>
            <w:hideMark/>
          </w:tcPr>
          <w:p w14:paraId="23A76850" w14:textId="77777777" w:rsidR="006B141D" w:rsidRPr="00751816" w:rsidRDefault="006B141D" w:rsidP="001C016D">
            <w:pPr>
              <w:rPr>
                <w:rFonts w:ascii="Tahoma" w:hAnsi="Tahoma" w:cs="Tahoma"/>
                <w:b/>
                <w:color w:val="FFFFFF"/>
                <w:sz w:val="20"/>
              </w:rPr>
            </w:pPr>
            <w:r w:rsidRPr="00751816">
              <w:rPr>
                <w:rFonts w:ascii="Tahoma" w:hAnsi="Tahoma" w:cs="Tahoma"/>
                <w:b/>
                <w:color w:val="FFFFFF"/>
                <w:sz w:val="20"/>
              </w:rPr>
              <w:t xml:space="preserve">Variable </w:t>
            </w:r>
          </w:p>
        </w:tc>
        <w:tc>
          <w:tcPr>
            <w:tcW w:w="1694" w:type="pct"/>
            <w:tcBorders>
              <w:bottom w:val="single" w:sz="4" w:space="0" w:color="00B0F0"/>
            </w:tcBorders>
            <w:shd w:val="clear" w:color="auto" w:fill="003C71"/>
          </w:tcPr>
          <w:p w14:paraId="68599C21" w14:textId="77777777" w:rsidR="006B141D" w:rsidRPr="00751816" w:rsidRDefault="006B141D"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18" w:type="pct"/>
            <w:tcBorders>
              <w:bottom w:val="single" w:sz="4" w:space="0" w:color="00B0F0"/>
            </w:tcBorders>
            <w:shd w:val="clear" w:color="auto" w:fill="003C71"/>
          </w:tcPr>
          <w:p w14:paraId="50C77A60" w14:textId="77777777" w:rsidR="006B141D" w:rsidRPr="00751816" w:rsidRDefault="006B141D"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082" w:type="pct"/>
            <w:tcBorders>
              <w:bottom w:val="single" w:sz="4" w:space="0" w:color="00B0F0"/>
            </w:tcBorders>
            <w:shd w:val="clear" w:color="auto" w:fill="003C71"/>
          </w:tcPr>
          <w:p w14:paraId="0FAE8D4B" w14:textId="77777777" w:rsidR="006B141D" w:rsidRPr="00751816" w:rsidRDefault="006B141D"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89" w:type="pct"/>
            <w:tcBorders>
              <w:bottom w:val="single" w:sz="4" w:space="0" w:color="00B0F0"/>
            </w:tcBorders>
            <w:shd w:val="clear" w:color="auto" w:fill="003C71"/>
          </w:tcPr>
          <w:p w14:paraId="366F369C" w14:textId="77777777" w:rsidR="006B141D" w:rsidRPr="00751816" w:rsidRDefault="006B141D"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1C016D" w:rsidRPr="00751816" w14:paraId="218BEDC8" w14:textId="77777777" w:rsidTr="00D44709">
        <w:trPr>
          <w:trHeight w:val="431"/>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00B0F0"/>
              <w:bottom w:val="single" w:sz="4" w:space="0" w:color="00B0F0"/>
            </w:tcBorders>
            <w:shd w:val="clear" w:color="auto" w:fill="00A3E0"/>
            <w:vAlign w:val="center"/>
          </w:tcPr>
          <w:p w14:paraId="7A400952" w14:textId="5002C30B" w:rsidR="001C016D" w:rsidRDefault="00D5579B" w:rsidP="001C016D">
            <w:pPr>
              <w:spacing w:before="120" w:after="120" w:line="240" w:lineRule="atLeast"/>
              <w:contextualSpacing/>
              <w:rPr>
                <w:rFonts w:ascii="Tahoma" w:hAnsi="Tahoma" w:cs="Tahoma"/>
                <w:sz w:val="20"/>
              </w:rPr>
            </w:pPr>
            <w:r>
              <w:rPr>
                <w:rFonts w:ascii="Tahoma" w:hAnsi="Tahoma" w:cs="Tahoma"/>
                <w:sz w:val="20"/>
              </w:rPr>
              <w:t>2019/20</w:t>
            </w:r>
          </w:p>
        </w:tc>
        <w:tc>
          <w:tcPr>
            <w:tcW w:w="4286" w:type="pct"/>
            <w:gridSpan w:val="5"/>
            <w:tcBorders>
              <w:top w:val="single" w:sz="4" w:space="0" w:color="00B0F0"/>
              <w:bottom w:val="single" w:sz="4" w:space="0" w:color="00B0F0"/>
            </w:tcBorders>
            <w:shd w:val="clear" w:color="auto" w:fill="00A3E0"/>
            <w:vAlign w:val="center"/>
          </w:tcPr>
          <w:p w14:paraId="3BE37F00" w14:textId="6B49081F" w:rsidR="001C016D" w:rsidRPr="00751816" w:rsidRDefault="001C016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i/>
                <w:sz w:val="20"/>
              </w:rPr>
              <w:t xml:space="preserve">Refer </w:t>
            </w:r>
            <w:r w:rsidRPr="00D44709">
              <w:rPr>
                <w:rFonts w:ascii="Tahoma" w:hAnsi="Tahoma" w:cs="Tahoma"/>
                <w:i/>
                <w:sz w:val="20"/>
              </w:rPr>
              <w:t>to Appendix B</w:t>
            </w:r>
            <w:r>
              <w:rPr>
                <w:rFonts w:ascii="Tahoma" w:hAnsi="Tahoma" w:cs="Tahoma"/>
                <w:i/>
                <w:sz w:val="20"/>
              </w:rPr>
              <w:t xml:space="preserve"> for a </w:t>
            </w:r>
            <w:r w:rsidRPr="006C5573">
              <w:rPr>
                <w:rFonts w:ascii="Tahoma" w:hAnsi="Tahoma" w:cs="Tahoma"/>
                <w:i/>
                <w:sz w:val="20"/>
              </w:rPr>
              <w:t xml:space="preserve">description of the systems and processes that support AGN Limited’s cost capture and reporting of </w:t>
            </w:r>
            <w:r>
              <w:rPr>
                <w:rFonts w:ascii="Tahoma" w:hAnsi="Tahoma" w:cs="Tahoma"/>
                <w:i/>
                <w:sz w:val="20"/>
              </w:rPr>
              <w:t>Opex</w:t>
            </w:r>
            <w:r w:rsidRPr="006C5573">
              <w:rPr>
                <w:rFonts w:ascii="Tahoma" w:hAnsi="Tahoma" w:cs="Tahoma"/>
                <w:i/>
                <w:sz w:val="20"/>
              </w:rPr>
              <w:t xml:space="preserve"> as presented below.</w:t>
            </w:r>
            <w:r w:rsidR="00034067">
              <w:rPr>
                <w:rFonts w:ascii="Tahoma" w:hAnsi="Tahoma" w:cs="Tahoma"/>
                <w:i/>
                <w:sz w:val="20"/>
              </w:rPr>
              <w:t xml:space="preserve"> </w:t>
            </w:r>
            <w:r w:rsidRPr="00116FDE">
              <w:rPr>
                <w:rFonts w:ascii="Tahoma" w:hAnsi="Tahoma" w:cs="Tahoma"/>
                <w:i/>
                <w:sz w:val="20"/>
              </w:rPr>
              <w:t xml:space="preserve">Refer to the Regulatory Accounting Principles and Policies and Cost Allocation Methodology documents for guidance on certain expenditure categories that may be included or excluded from </w:t>
            </w:r>
            <w:r>
              <w:rPr>
                <w:rFonts w:ascii="Tahoma" w:hAnsi="Tahoma" w:cs="Tahoma"/>
                <w:i/>
                <w:sz w:val="20"/>
              </w:rPr>
              <w:t>Opex</w:t>
            </w:r>
            <w:r w:rsidRPr="00116FDE">
              <w:rPr>
                <w:rFonts w:ascii="Tahoma" w:hAnsi="Tahoma" w:cs="Tahoma"/>
                <w:i/>
                <w:sz w:val="20"/>
              </w:rPr>
              <w:t xml:space="preserve"> for regulatory purposes, and in relation to AGN Limited’s policies and processes for cost allocation.</w:t>
            </w:r>
          </w:p>
        </w:tc>
      </w:tr>
      <w:tr w:rsidR="006B141D" w:rsidRPr="00751816" w14:paraId="6DC871F1" w14:textId="77777777" w:rsidTr="005C36F2">
        <w:trPr>
          <w:gridAfter w:val="1"/>
          <w:wAfter w:w="3" w:type="pct"/>
          <w:trHeight w:val="431"/>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00B0F0"/>
              <w:bottom w:val="single" w:sz="4" w:space="0" w:color="00B0F0"/>
            </w:tcBorders>
            <w:vAlign w:val="center"/>
          </w:tcPr>
          <w:p w14:paraId="102DCFC6" w14:textId="77777777" w:rsidR="006B141D" w:rsidRPr="00751816" w:rsidRDefault="006B141D" w:rsidP="001C016D">
            <w:pPr>
              <w:spacing w:before="120" w:after="120" w:line="240" w:lineRule="atLeast"/>
              <w:contextualSpacing/>
              <w:rPr>
                <w:rFonts w:ascii="Tahoma" w:hAnsi="Tahoma" w:cs="Tahoma"/>
                <w:sz w:val="20"/>
              </w:rPr>
            </w:pPr>
            <w:r w:rsidRPr="008F0E84">
              <w:rPr>
                <w:rFonts w:ascii="Tahoma" w:hAnsi="Tahoma" w:cs="Tahoma"/>
                <w:sz w:val="20"/>
              </w:rPr>
              <w:t>Repairs and maintenance</w:t>
            </w:r>
            <w:r>
              <w:rPr>
                <w:rFonts w:ascii="Tahoma" w:hAnsi="Tahoma" w:cs="Tahoma"/>
                <w:sz w:val="20"/>
              </w:rPr>
              <w:t xml:space="preserve"> </w:t>
            </w:r>
          </w:p>
        </w:tc>
        <w:tc>
          <w:tcPr>
            <w:tcW w:w="1694" w:type="pct"/>
            <w:tcBorders>
              <w:top w:val="single" w:sz="4" w:space="0" w:color="00B0F0"/>
              <w:bottom w:val="single" w:sz="4" w:space="0" w:color="00B0F0"/>
            </w:tcBorders>
            <w:vAlign w:val="center"/>
          </w:tcPr>
          <w:p w14:paraId="506F220E" w14:textId="53F8280C" w:rsidR="006B141D" w:rsidRDefault="008F0E8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From</w:t>
            </w:r>
            <w:r w:rsidR="006B141D">
              <w:rPr>
                <w:rFonts w:ascii="Tahoma" w:hAnsi="Tahoma" w:cs="Tahoma"/>
                <w:sz w:val="20"/>
              </w:rPr>
              <w:t xml:space="preserve"> 2014/15 AGN Limited has modified its processes used to prepare the RFAs, which is </w:t>
            </w:r>
            <w:r w:rsidR="00F755AA">
              <w:rPr>
                <w:rFonts w:ascii="Tahoma" w:hAnsi="Tahoma" w:cs="Tahoma"/>
                <w:sz w:val="20"/>
              </w:rPr>
              <w:t xml:space="preserve">a key </w:t>
            </w:r>
            <w:r w:rsidR="006B141D">
              <w:rPr>
                <w:rFonts w:ascii="Tahoma" w:hAnsi="Tahoma" w:cs="Tahoma"/>
                <w:sz w:val="20"/>
              </w:rPr>
              <w:t xml:space="preserve">source of information for regulatory reporting and </w:t>
            </w:r>
            <w:r w:rsidR="00F755AA">
              <w:rPr>
                <w:rFonts w:ascii="Tahoma" w:hAnsi="Tahoma" w:cs="Tahoma"/>
                <w:sz w:val="20"/>
              </w:rPr>
              <w:t xml:space="preserve">accordingly </w:t>
            </w:r>
            <w:r w:rsidR="006B141D">
              <w:rPr>
                <w:rFonts w:ascii="Tahoma" w:hAnsi="Tahoma" w:cs="Tahoma"/>
                <w:sz w:val="20"/>
              </w:rPr>
              <w:t xml:space="preserve">can provide </w:t>
            </w:r>
            <w:r w:rsidR="00F755AA" w:rsidRPr="00F755AA">
              <w:rPr>
                <w:rFonts w:ascii="Tahoma" w:hAnsi="Tahoma" w:cs="Tahoma"/>
                <w:sz w:val="20"/>
              </w:rPr>
              <w:t>r</w:t>
            </w:r>
            <w:r w:rsidR="006B141D" w:rsidRPr="00F755AA">
              <w:rPr>
                <w:rFonts w:ascii="Tahoma" w:hAnsi="Tahoma" w:cs="Tahoma"/>
                <w:sz w:val="20"/>
              </w:rPr>
              <w:t>evenue information for Non-reference services</w:t>
            </w:r>
            <w:r w:rsidR="006B141D">
              <w:rPr>
                <w:rFonts w:ascii="Tahoma" w:hAnsi="Tahoma" w:cs="Tahoma"/>
                <w:sz w:val="20"/>
              </w:rPr>
              <w:t xml:space="preserve"> </w:t>
            </w:r>
            <w:r w:rsidR="00FD775A">
              <w:rPr>
                <w:rFonts w:ascii="Tahoma" w:hAnsi="Tahoma" w:cs="Tahoma"/>
                <w:sz w:val="20"/>
              </w:rPr>
              <w:t xml:space="preserve">since that time, including for </w:t>
            </w:r>
            <w:r w:rsidR="00D45A72">
              <w:rPr>
                <w:rFonts w:ascii="Tahoma" w:hAnsi="Tahoma" w:cs="Tahoma"/>
                <w:sz w:val="20"/>
              </w:rPr>
              <w:t>2019/20</w:t>
            </w:r>
            <w:r w:rsidR="006B141D">
              <w:rPr>
                <w:rFonts w:ascii="Tahoma" w:hAnsi="Tahoma" w:cs="Tahoma"/>
                <w:sz w:val="20"/>
              </w:rPr>
              <w:t>.</w:t>
            </w:r>
          </w:p>
          <w:p w14:paraId="527A63DA" w14:textId="77777777" w:rsidR="006B141D"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C558A32" w14:textId="77777777" w:rsidR="006B141D"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However, AGN Limited and APA’s business systems are not configured to capture </w:t>
            </w:r>
            <w:r w:rsidRPr="00F755AA">
              <w:rPr>
                <w:rFonts w:ascii="Tahoma" w:hAnsi="Tahoma" w:cs="Tahoma"/>
                <w:sz w:val="20"/>
              </w:rPr>
              <w:t>expenditure</w:t>
            </w:r>
            <w:r>
              <w:rPr>
                <w:rFonts w:ascii="Tahoma" w:hAnsi="Tahoma" w:cs="Tahoma"/>
                <w:sz w:val="20"/>
              </w:rPr>
              <w:t xml:space="preserve"> information at the level of detail required to report expenditure for Non-reference services.</w:t>
            </w:r>
          </w:p>
          <w:p w14:paraId="38A37E80" w14:textId="77777777" w:rsidR="006B141D"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338C246" w14:textId="77C7CEE3" w:rsidR="006B141D"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In order to report these expenditure figures, AGN Limited has used the Revenue earned from Non-reference services and assumed a 20% margin.  AGN Limited considers this to be the best method for deriving these expenditure figures given the information that is currently available.</w:t>
            </w:r>
          </w:p>
          <w:p w14:paraId="4758CBE8" w14:textId="34935D6C" w:rsidR="00C063BF" w:rsidRDefault="00C063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473BF6B" w14:textId="46A1B25F" w:rsidR="00C063BF" w:rsidRDefault="00C063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services that are included in Non-reference services are:</w:t>
            </w:r>
          </w:p>
          <w:p w14:paraId="373B34EF" w14:textId="5776EFF4" w:rsidR="00C063BF" w:rsidRPr="00707704" w:rsidRDefault="00C063BF" w:rsidP="00C063BF">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Out of hours special read</w:t>
            </w:r>
          </w:p>
          <w:p w14:paraId="756A9494" w14:textId="63EAA106" w:rsidR="00C063BF" w:rsidRDefault="00C063BF" w:rsidP="00C063BF">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Meter Alter Position</w:t>
            </w:r>
          </w:p>
          <w:p w14:paraId="3B305765" w14:textId="26BD0EE4" w:rsidR="00C063BF" w:rsidRDefault="00C063BF" w:rsidP="00C063BF">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Same Day Premium Service</w:t>
            </w:r>
          </w:p>
          <w:p w14:paraId="3DF10490" w14:textId="553E3A93" w:rsidR="00C063BF" w:rsidRDefault="00C063BF" w:rsidP="00C063BF">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Relocate/Remove Service Pipe</w:t>
            </w:r>
          </w:p>
          <w:p w14:paraId="4A7498AD" w14:textId="084B3EC7" w:rsidR="00C063BF" w:rsidRPr="008F0E84" w:rsidRDefault="00C063BF" w:rsidP="008F0E84">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F0E84">
              <w:rPr>
                <w:rFonts w:ascii="Tahoma" w:hAnsi="Tahoma" w:cs="Tahoma"/>
                <w:sz w:val="20"/>
              </w:rPr>
              <w:t>No Access/Incomplete Meter Fix</w:t>
            </w:r>
            <w:r w:rsidR="008F0E84">
              <w:rPr>
                <w:rFonts w:ascii="Tahoma" w:hAnsi="Tahoma" w:cs="Tahoma"/>
                <w:sz w:val="20"/>
              </w:rPr>
              <w:t xml:space="preserve">; </w:t>
            </w:r>
            <w:r w:rsidRPr="008F0E84">
              <w:rPr>
                <w:rFonts w:ascii="Tahoma" w:hAnsi="Tahoma" w:cs="Tahoma"/>
                <w:sz w:val="20"/>
              </w:rPr>
              <w:t>and</w:t>
            </w:r>
          </w:p>
          <w:p w14:paraId="5FCDF57E" w14:textId="70FCFB44" w:rsidR="00C063BF" w:rsidRPr="00150110" w:rsidRDefault="00C063BF" w:rsidP="00C063BF">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Other Negotiated Services</w:t>
            </w:r>
            <w:r w:rsidR="004C6B90">
              <w:rPr>
                <w:rFonts w:ascii="Tahoma" w:hAnsi="Tahoma" w:cs="Tahoma"/>
                <w:sz w:val="20"/>
              </w:rPr>
              <w:t xml:space="preserve"> </w:t>
            </w:r>
          </w:p>
          <w:p w14:paraId="6381E619" w14:textId="77777777" w:rsidR="006B141D"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A36AA87" w14:textId="3D65D968" w:rsidR="006B141D" w:rsidRPr="00751816"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Given delivery of Non-reference services has been contracted to APA through the OMA, all relevant Opex incurred is recor</w:t>
            </w:r>
            <w:r w:rsidR="00CD1837">
              <w:rPr>
                <w:rFonts w:ascii="Tahoma" w:hAnsi="Tahoma" w:cs="Tahoma"/>
                <w:sz w:val="20"/>
              </w:rPr>
              <w:t>ded as Repairs and maintenance.</w:t>
            </w:r>
          </w:p>
        </w:tc>
        <w:tc>
          <w:tcPr>
            <w:tcW w:w="818" w:type="pct"/>
            <w:tcBorders>
              <w:top w:val="single" w:sz="4" w:space="0" w:color="00B0F0"/>
              <w:bottom w:val="single" w:sz="4" w:space="0" w:color="00B0F0"/>
            </w:tcBorders>
            <w:vAlign w:val="center"/>
          </w:tcPr>
          <w:p w14:paraId="11991BD1" w14:textId="77777777" w:rsidR="006B141D" w:rsidRPr="00CD1837" w:rsidRDefault="006B141D" w:rsidP="005C36F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9CCDD65" w14:textId="24B7F591" w:rsidR="006B141D" w:rsidRPr="00751816" w:rsidRDefault="006B141D" w:rsidP="00D45A7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Actual </w:t>
            </w:r>
          </w:p>
        </w:tc>
        <w:tc>
          <w:tcPr>
            <w:tcW w:w="1082" w:type="pct"/>
            <w:tcBorders>
              <w:top w:val="single" w:sz="4" w:space="0" w:color="00B0F0"/>
              <w:bottom w:val="single" w:sz="4" w:space="0" w:color="00B0F0"/>
            </w:tcBorders>
            <w:vAlign w:val="center"/>
          </w:tcPr>
          <w:p w14:paraId="03563593" w14:textId="77777777" w:rsidR="006B141D" w:rsidRPr="00751816"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9" w:type="pct"/>
            <w:tcBorders>
              <w:top w:val="single" w:sz="4" w:space="0" w:color="00B0F0"/>
              <w:bottom w:val="single" w:sz="4" w:space="0" w:color="00B0F0"/>
            </w:tcBorders>
            <w:vAlign w:val="center"/>
          </w:tcPr>
          <w:p w14:paraId="1D51FFA0" w14:textId="77777777" w:rsidR="006B141D" w:rsidRPr="00751816" w:rsidRDefault="006B141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5F3533" w:rsidRPr="00751816" w14:paraId="2E75AE45" w14:textId="77777777" w:rsidTr="00D44709">
        <w:trPr>
          <w:trHeight w:val="510"/>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00B0F0"/>
              <w:bottom w:val="single" w:sz="4" w:space="0" w:color="00B0F0"/>
            </w:tcBorders>
            <w:vAlign w:val="center"/>
          </w:tcPr>
          <w:p w14:paraId="3DC81C11" w14:textId="77777777" w:rsidR="005F3533" w:rsidRPr="00751816" w:rsidRDefault="005F3533" w:rsidP="001C016D">
            <w:pPr>
              <w:spacing w:before="120" w:after="120" w:line="240" w:lineRule="atLeast"/>
              <w:contextualSpacing/>
              <w:rPr>
                <w:rFonts w:ascii="Tahoma" w:hAnsi="Tahoma" w:cs="Tahoma"/>
                <w:sz w:val="20"/>
              </w:rPr>
            </w:pPr>
            <w:r>
              <w:rPr>
                <w:rFonts w:ascii="Tahoma" w:hAnsi="Tahoma" w:cs="Tahoma"/>
                <w:sz w:val="20"/>
              </w:rPr>
              <w:t xml:space="preserve">Marketing and retail incentives </w:t>
            </w:r>
            <w:r w:rsidRPr="00751816">
              <w:rPr>
                <w:rFonts w:ascii="Tahoma" w:hAnsi="Tahoma" w:cs="Tahoma"/>
                <w:sz w:val="20"/>
              </w:rPr>
              <w:t xml:space="preserve"> </w:t>
            </w:r>
          </w:p>
        </w:tc>
        <w:tc>
          <w:tcPr>
            <w:tcW w:w="4286" w:type="pct"/>
            <w:gridSpan w:val="5"/>
            <w:tcBorders>
              <w:top w:val="single" w:sz="4" w:space="0" w:color="00B0F0"/>
              <w:bottom w:val="single" w:sz="4" w:space="0" w:color="00B0F0"/>
            </w:tcBorders>
            <w:vAlign w:val="center"/>
          </w:tcPr>
          <w:p w14:paraId="0E7A4189" w14:textId="333938E9" w:rsidR="005F3533" w:rsidRDefault="005F353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Limited has incurred no Marketing and </w:t>
            </w:r>
            <w:r w:rsidR="008F0E84">
              <w:rPr>
                <w:rFonts w:ascii="Tahoma" w:hAnsi="Tahoma" w:cs="Tahoma"/>
                <w:sz w:val="20"/>
              </w:rPr>
              <w:t xml:space="preserve">Retail Incentives </w:t>
            </w:r>
            <w:r>
              <w:rPr>
                <w:rFonts w:ascii="Tahoma" w:hAnsi="Tahoma" w:cs="Tahoma"/>
                <w:sz w:val="20"/>
              </w:rPr>
              <w:t>expenditure in relation to the provision of Non-reference services</w:t>
            </w:r>
            <w:r w:rsidR="00C46D6F">
              <w:rPr>
                <w:rFonts w:ascii="Tahoma" w:hAnsi="Tahoma" w:cs="Tahoma"/>
                <w:sz w:val="20"/>
              </w:rPr>
              <w:t xml:space="preserve"> for AGN (SA)</w:t>
            </w:r>
            <w:r>
              <w:rPr>
                <w:rFonts w:ascii="Tahoma" w:hAnsi="Tahoma" w:cs="Tahoma"/>
                <w:sz w:val="20"/>
              </w:rPr>
              <w:t xml:space="preserve"> </w:t>
            </w:r>
            <w:r w:rsidR="00FD775A">
              <w:rPr>
                <w:rFonts w:ascii="Tahoma" w:hAnsi="Tahoma" w:cs="Tahoma"/>
                <w:sz w:val="20"/>
              </w:rPr>
              <w:t xml:space="preserve">in </w:t>
            </w:r>
            <w:r w:rsidR="00D45A72">
              <w:rPr>
                <w:rFonts w:ascii="Tahoma" w:hAnsi="Tahoma" w:cs="Tahoma"/>
                <w:sz w:val="20"/>
              </w:rPr>
              <w:t>2019/20</w:t>
            </w:r>
            <w:r>
              <w:rPr>
                <w:rFonts w:ascii="Tahoma" w:hAnsi="Tahoma" w:cs="Tahoma"/>
                <w:sz w:val="20"/>
              </w:rPr>
              <w:t>.</w:t>
            </w:r>
          </w:p>
          <w:p w14:paraId="4D847C71" w14:textId="01C00415" w:rsidR="005F3533" w:rsidRDefault="005F3533" w:rsidP="00D45A7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65D2588" w14:textId="1ECDE6B4" w:rsidR="00D45A72" w:rsidRPr="00751816" w:rsidRDefault="00D45A72" w:rsidP="00D45A7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Thus we provide a ‘Null’</w:t>
            </w:r>
            <w:r w:rsidRPr="00DA4716">
              <w:rPr>
                <w:rFonts w:ascii="Tahoma" w:hAnsi="Tahoma" w:cs="Tahoma"/>
                <w:sz w:val="20"/>
              </w:rPr>
              <w:t xml:space="preserve"> response in the reporting template.</w:t>
            </w:r>
          </w:p>
        </w:tc>
      </w:tr>
      <w:tr w:rsidR="005F3533" w:rsidRPr="00751816" w14:paraId="35ABB22A" w14:textId="77777777" w:rsidTr="00D44709">
        <w:trPr>
          <w:trHeight w:val="508"/>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00B0F0"/>
              <w:bottom w:val="single" w:sz="4" w:space="0" w:color="00B0F0"/>
            </w:tcBorders>
            <w:vAlign w:val="center"/>
          </w:tcPr>
          <w:p w14:paraId="73AB5B10" w14:textId="77777777" w:rsidR="005F3533" w:rsidRPr="00751816" w:rsidRDefault="005F3533" w:rsidP="001C016D">
            <w:pPr>
              <w:spacing w:before="120" w:after="120" w:line="240" w:lineRule="atLeast"/>
              <w:contextualSpacing/>
              <w:rPr>
                <w:rFonts w:ascii="Tahoma" w:hAnsi="Tahoma" w:cs="Tahoma"/>
                <w:sz w:val="20"/>
              </w:rPr>
            </w:pPr>
            <w:r>
              <w:rPr>
                <w:rFonts w:ascii="Tahoma" w:hAnsi="Tahoma" w:cs="Tahoma"/>
                <w:sz w:val="20"/>
              </w:rPr>
              <w:t xml:space="preserve">Debt raising </w:t>
            </w:r>
            <w:r w:rsidRPr="00751816">
              <w:rPr>
                <w:rFonts w:ascii="Tahoma" w:hAnsi="Tahoma" w:cs="Tahoma"/>
                <w:sz w:val="20"/>
              </w:rPr>
              <w:t xml:space="preserve"> </w:t>
            </w:r>
          </w:p>
        </w:tc>
        <w:tc>
          <w:tcPr>
            <w:tcW w:w="4286" w:type="pct"/>
            <w:gridSpan w:val="5"/>
            <w:tcBorders>
              <w:top w:val="single" w:sz="4" w:space="0" w:color="00B0F0"/>
              <w:bottom w:val="single" w:sz="4" w:space="0" w:color="00B0F0"/>
            </w:tcBorders>
            <w:vAlign w:val="center"/>
          </w:tcPr>
          <w:p w14:paraId="20CDF1CF" w14:textId="500F0BB4" w:rsidR="00D13EFE" w:rsidRDefault="005F3533" w:rsidP="00D13EF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Limited has incurred no Debt </w:t>
            </w:r>
            <w:r w:rsidR="008F0E84">
              <w:rPr>
                <w:rFonts w:ascii="Tahoma" w:hAnsi="Tahoma" w:cs="Tahoma"/>
                <w:sz w:val="20"/>
              </w:rPr>
              <w:t xml:space="preserve">Raising </w:t>
            </w:r>
            <w:r>
              <w:rPr>
                <w:rFonts w:ascii="Tahoma" w:hAnsi="Tahoma" w:cs="Tahoma"/>
                <w:sz w:val="20"/>
              </w:rPr>
              <w:t>expenditure related to the provision of Non-reference Services</w:t>
            </w:r>
            <w:r w:rsidR="00C46D6F">
              <w:rPr>
                <w:rFonts w:ascii="Tahoma" w:hAnsi="Tahoma" w:cs="Tahoma"/>
                <w:sz w:val="20"/>
              </w:rPr>
              <w:t xml:space="preserve"> for AGN (SA)</w:t>
            </w:r>
            <w:r w:rsidR="00D13EFE">
              <w:rPr>
                <w:rFonts w:ascii="Tahoma" w:hAnsi="Tahoma" w:cs="Tahoma"/>
                <w:sz w:val="20"/>
              </w:rPr>
              <w:t xml:space="preserve"> </w:t>
            </w:r>
            <w:r w:rsidR="00FD775A">
              <w:rPr>
                <w:rFonts w:ascii="Tahoma" w:hAnsi="Tahoma" w:cs="Tahoma"/>
                <w:sz w:val="20"/>
              </w:rPr>
              <w:t xml:space="preserve">in </w:t>
            </w:r>
            <w:r w:rsidR="00D45A72">
              <w:rPr>
                <w:rFonts w:ascii="Tahoma" w:hAnsi="Tahoma" w:cs="Tahoma"/>
                <w:sz w:val="20"/>
              </w:rPr>
              <w:t>2019/20</w:t>
            </w:r>
            <w:r w:rsidR="00D13EFE">
              <w:rPr>
                <w:rFonts w:ascii="Tahoma" w:hAnsi="Tahoma" w:cs="Tahoma"/>
                <w:sz w:val="20"/>
              </w:rPr>
              <w:t>.</w:t>
            </w:r>
          </w:p>
          <w:p w14:paraId="014AA1C4" w14:textId="041E69B1" w:rsidR="005F3533" w:rsidRDefault="005F3533" w:rsidP="00D45A7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3E790D3" w14:textId="1AE3AE32" w:rsidR="00D45A72" w:rsidRPr="00751816" w:rsidRDefault="00D45A72" w:rsidP="00D45A7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Thus we provide a ‘Null’</w:t>
            </w:r>
            <w:r w:rsidRPr="00DA4716">
              <w:rPr>
                <w:rFonts w:ascii="Tahoma" w:hAnsi="Tahoma" w:cs="Tahoma"/>
                <w:sz w:val="20"/>
              </w:rPr>
              <w:t xml:space="preserve"> response in the reporting template.</w:t>
            </w:r>
          </w:p>
        </w:tc>
      </w:tr>
      <w:tr w:rsidR="005F3533" w:rsidRPr="00751816" w14:paraId="6D44FEAC" w14:textId="77777777" w:rsidTr="00D44709">
        <w:trPr>
          <w:trHeight w:val="508"/>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00B0F0"/>
              <w:bottom w:val="single" w:sz="4" w:space="0" w:color="00B0F0"/>
            </w:tcBorders>
            <w:vAlign w:val="center"/>
          </w:tcPr>
          <w:p w14:paraId="16DEC1FD" w14:textId="77777777" w:rsidR="005F3533" w:rsidRPr="00751816" w:rsidRDefault="005F3533" w:rsidP="001C016D">
            <w:pPr>
              <w:spacing w:before="120" w:after="120" w:line="240" w:lineRule="atLeast"/>
              <w:contextualSpacing/>
              <w:rPr>
                <w:rFonts w:ascii="Tahoma" w:hAnsi="Tahoma" w:cs="Tahoma"/>
                <w:sz w:val="20"/>
              </w:rPr>
            </w:pPr>
            <w:r>
              <w:rPr>
                <w:rFonts w:ascii="Tahoma" w:hAnsi="Tahoma" w:cs="Tahoma"/>
                <w:sz w:val="20"/>
              </w:rPr>
              <w:t xml:space="preserve">Equity raising </w:t>
            </w:r>
          </w:p>
        </w:tc>
        <w:tc>
          <w:tcPr>
            <w:tcW w:w="4286" w:type="pct"/>
            <w:gridSpan w:val="5"/>
            <w:tcBorders>
              <w:top w:val="single" w:sz="4" w:space="0" w:color="00B0F0"/>
              <w:bottom w:val="single" w:sz="4" w:space="0" w:color="00B0F0"/>
            </w:tcBorders>
            <w:vAlign w:val="center"/>
          </w:tcPr>
          <w:p w14:paraId="2007A442" w14:textId="01FD01CD" w:rsidR="005F3533" w:rsidRDefault="005F3533" w:rsidP="00D45A7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lang w:val="en-US"/>
              </w:rPr>
            </w:pPr>
            <w:r w:rsidRPr="00073556">
              <w:rPr>
                <w:rFonts w:ascii="Tahoma" w:hAnsi="Tahoma" w:cs="Tahoma"/>
                <w:sz w:val="20"/>
                <w:lang w:val="en-US"/>
              </w:rPr>
              <w:t xml:space="preserve">AGN Limited does not currently incur </w:t>
            </w:r>
            <w:r w:rsidR="008F0E84">
              <w:rPr>
                <w:rFonts w:ascii="Tahoma" w:hAnsi="Tahoma" w:cs="Tahoma"/>
                <w:sz w:val="20"/>
                <w:lang w:val="en-US"/>
              </w:rPr>
              <w:t>E</w:t>
            </w:r>
            <w:r w:rsidR="008F0E84" w:rsidRPr="00073556">
              <w:rPr>
                <w:rFonts w:ascii="Tahoma" w:hAnsi="Tahoma" w:cs="Tahoma"/>
                <w:sz w:val="20"/>
                <w:lang w:val="en-US"/>
              </w:rPr>
              <w:t xml:space="preserve">quity </w:t>
            </w:r>
            <w:r w:rsidR="008F0E84">
              <w:rPr>
                <w:rFonts w:ascii="Tahoma" w:hAnsi="Tahoma" w:cs="Tahoma"/>
                <w:sz w:val="20"/>
                <w:lang w:val="en-US"/>
              </w:rPr>
              <w:t>R</w:t>
            </w:r>
            <w:r w:rsidR="008F0E84" w:rsidRPr="00073556">
              <w:rPr>
                <w:rFonts w:ascii="Tahoma" w:hAnsi="Tahoma" w:cs="Tahoma"/>
                <w:sz w:val="20"/>
                <w:lang w:val="en-US"/>
              </w:rPr>
              <w:t xml:space="preserve">aising </w:t>
            </w:r>
            <w:r w:rsidRPr="00073556">
              <w:rPr>
                <w:rFonts w:ascii="Tahoma" w:hAnsi="Tahoma" w:cs="Tahoma"/>
                <w:sz w:val="20"/>
                <w:lang w:val="en-US"/>
              </w:rPr>
              <w:t xml:space="preserve">costs under its existing ownership structure and has not incurred equity raising costs </w:t>
            </w:r>
            <w:r w:rsidR="00FD775A">
              <w:rPr>
                <w:rFonts w:ascii="Tahoma" w:hAnsi="Tahoma" w:cs="Tahoma"/>
                <w:sz w:val="20"/>
                <w:lang w:val="en-US"/>
              </w:rPr>
              <w:t>in</w:t>
            </w:r>
            <w:r w:rsidR="00D45A72">
              <w:rPr>
                <w:rFonts w:ascii="Tahoma" w:hAnsi="Tahoma" w:cs="Tahoma"/>
                <w:sz w:val="20"/>
                <w:lang w:val="en-US"/>
              </w:rPr>
              <w:t xml:space="preserve"> 2019/20</w:t>
            </w:r>
            <w:r w:rsidRPr="00073556">
              <w:rPr>
                <w:rFonts w:ascii="Tahoma" w:hAnsi="Tahoma" w:cs="Tahoma"/>
                <w:sz w:val="20"/>
                <w:lang w:val="en-US"/>
              </w:rPr>
              <w:t>.</w:t>
            </w:r>
          </w:p>
          <w:p w14:paraId="0C558C11" w14:textId="77777777" w:rsidR="00D45A72" w:rsidRDefault="00D45A72" w:rsidP="00D45A7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lang w:val="en-US"/>
              </w:rPr>
            </w:pPr>
          </w:p>
          <w:p w14:paraId="6DDDB3BB" w14:textId="0A7F1968" w:rsidR="00D45A72" w:rsidRPr="00751816" w:rsidRDefault="00D45A72" w:rsidP="00D45A7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Thus we provide a ‘Null’</w:t>
            </w:r>
            <w:r w:rsidRPr="00DA4716">
              <w:rPr>
                <w:rFonts w:ascii="Tahoma" w:hAnsi="Tahoma" w:cs="Tahoma"/>
                <w:sz w:val="20"/>
              </w:rPr>
              <w:t xml:space="preserve"> response in the reporting template.</w:t>
            </w:r>
          </w:p>
        </w:tc>
      </w:tr>
      <w:tr w:rsidR="00D13EFE" w:rsidRPr="00751816" w14:paraId="2193B646" w14:textId="77777777" w:rsidTr="00D44709">
        <w:trPr>
          <w:trHeight w:val="508"/>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00B0F0"/>
              <w:bottom w:val="single" w:sz="4" w:space="0" w:color="00B0F0"/>
            </w:tcBorders>
            <w:vAlign w:val="center"/>
          </w:tcPr>
          <w:p w14:paraId="0AEB0280" w14:textId="77777777" w:rsidR="00D13EFE" w:rsidRPr="00751816" w:rsidRDefault="00D13EFE" w:rsidP="001C016D">
            <w:pPr>
              <w:spacing w:before="120" w:after="120" w:line="240" w:lineRule="atLeast"/>
              <w:contextualSpacing/>
              <w:rPr>
                <w:rFonts w:ascii="Tahoma" w:hAnsi="Tahoma" w:cs="Tahoma"/>
                <w:sz w:val="20"/>
              </w:rPr>
            </w:pPr>
            <w:r>
              <w:rPr>
                <w:rFonts w:ascii="Tahoma" w:hAnsi="Tahoma" w:cs="Tahoma"/>
                <w:sz w:val="20"/>
              </w:rPr>
              <w:t xml:space="preserve">Unaccounted for gas </w:t>
            </w:r>
            <w:r w:rsidRPr="00751816">
              <w:rPr>
                <w:rFonts w:ascii="Tahoma" w:hAnsi="Tahoma" w:cs="Tahoma"/>
                <w:sz w:val="20"/>
              </w:rPr>
              <w:t xml:space="preserve"> </w:t>
            </w:r>
          </w:p>
        </w:tc>
        <w:tc>
          <w:tcPr>
            <w:tcW w:w="4286" w:type="pct"/>
            <w:gridSpan w:val="5"/>
            <w:tcBorders>
              <w:top w:val="single" w:sz="4" w:space="0" w:color="00B0F0"/>
              <w:bottom w:val="single" w:sz="4" w:space="0" w:color="00B0F0"/>
            </w:tcBorders>
            <w:vAlign w:val="center"/>
          </w:tcPr>
          <w:p w14:paraId="4B0B18D5" w14:textId="31DFD46C" w:rsidR="00D13EFE" w:rsidRDefault="00D13EFE" w:rsidP="00D13EF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AGN Limited has incurred no UAFG expenditure related to the provision of Non-reference Services</w:t>
            </w:r>
            <w:r w:rsidR="00C46D6F">
              <w:rPr>
                <w:rFonts w:ascii="Tahoma" w:hAnsi="Tahoma" w:cs="Tahoma"/>
                <w:sz w:val="20"/>
              </w:rPr>
              <w:t xml:space="preserve"> for AGN (SA)</w:t>
            </w:r>
            <w:r w:rsidR="00FD775A">
              <w:rPr>
                <w:rFonts w:ascii="Tahoma" w:hAnsi="Tahoma" w:cs="Tahoma"/>
                <w:sz w:val="20"/>
              </w:rPr>
              <w:t xml:space="preserve"> in </w:t>
            </w:r>
            <w:r w:rsidR="00D45A72">
              <w:rPr>
                <w:rFonts w:ascii="Tahoma" w:hAnsi="Tahoma" w:cs="Tahoma"/>
                <w:sz w:val="20"/>
              </w:rPr>
              <w:t>2019/20</w:t>
            </w:r>
            <w:r>
              <w:rPr>
                <w:rFonts w:ascii="Tahoma" w:hAnsi="Tahoma" w:cs="Tahoma"/>
                <w:sz w:val="20"/>
              </w:rPr>
              <w:t>.</w:t>
            </w:r>
          </w:p>
          <w:p w14:paraId="438E7A86" w14:textId="77777777" w:rsidR="00D13EFE" w:rsidRDefault="00D13EFE"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3C0AC02" w14:textId="1DB0C5DC" w:rsidR="00D45A72" w:rsidRPr="00751816" w:rsidRDefault="00D45A72" w:rsidP="00D45A7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Thus we provide a ‘Null’</w:t>
            </w:r>
            <w:r w:rsidRPr="00DA4716">
              <w:rPr>
                <w:rFonts w:ascii="Tahoma" w:hAnsi="Tahoma" w:cs="Tahoma"/>
                <w:sz w:val="20"/>
              </w:rPr>
              <w:t xml:space="preserve"> response in the reporting template.</w:t>
            </w:r>
          </w:p>
        </w:tc>
      </w:tr>
      <w:tr w:rsidR="00D13EFE" w:rsidRPr="00751816" w14:paraId="1DCD8C07" w14:textId="77777777" w:rsidTr="00D44709">
        <w:trPr>
          <w:trHeight w:val="508"/>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00B0F0"/>
              <w:bottom w:val="single" w:sz="4" w:space="0" w:color="00B0F0"/>
            </w:tcBorders>
            <w:vAlign w:val="center"/>
          </w:tcPr>
          <w:p w14:paraId="3AC46456" w14:textId="77777777" w:rsidR="00D13EFE" w:rsidRPr="00751816" w:rsidRDefault="00D13EFE" w:rsidP="001C016D">
            <w:pPr>
              <w:spacing w:before="120" w:after="120" w:line="240" w:lineRule="atLeast"/>
              <w:contextualSpacing/>
              <w:rPr>
                <w:rFonts w:ascii="Tahoma" w:hAnsi="Tahoma" w:cs="Tahoma"/>
                <w:sz w:val="20"/>
              </w:rPr>
            </w:pPr>
            <w:r>
              <w:rPr>
                <w:rFonts w:ascii="Tahoma" w:hAnsi="Tahoma" w:cs="Tahoma"/>
                <w:sz w:val="20"/>
              </w:rPr>
              <w:t>Jurisdictional charges</w:t>
            </w:r>
          </w:p>
        </w:tc>
        <w:tc>
          <w:tcPr>
            <w:tcW w:w="4286" w:type="pct"/>
            <w:gridSpan w:val="5"/>
            <w:tcBorders>
              <w:top w:val="single" w:sz="4" w:space="0" w:color="00B0F0"/>
              <w:bottom w:val="single" w:sz="4" w:space="0" w:color="00B0F0"/>
            </w:tcBorders>
            <w:vAlign w:val="center"/>
          </w:tcPr>
          <w:p w14:paraId="23E81E0A" w14:textId="10023C66" w:rsidR="00D13EFE" w:rsidRDefault="00D13EFE" w:rsidP="00D13EF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AGN Limited has incurred no Jurisdictional charges expenditure related to the provision of Non-reference Services</w:t>
            </w:r>
            <w:r w:rsidR="00C46D6F">
              <w:rPr>
                <w:rFonts w:ascii="Tahoma" w:hAnsi="Tahoma" w:cs="Tahoma"/>
                <w:sz w:val="20"/>
              </w:rPr>
              <w:t xml:space="preserve"> for AGN (SA)</w:t>
            </w:r>
            <w:r w:rsidR="00FD775A">
              <w:rPr>
                <w:rFonts w:ascii="Tahoma" w:hAnsi="Tahoma" w:cs="Tahoma"/>
                <w:sz w:val="20"/>
              </w:rPr>
              <w:t xml:space="preserve"> in </w:t>
            </w:r>
            <w:r w:rsidR="00D45A72">
              <w:rPr>
                <w:rFonts w:ascii="Tahoma" w:hAnsi="Tahoma" w:cs="Tahoma"/>
                <w:sz w:val="20"/>
              </w:rPr>
              <w:t>2019/20</w:t>
            </w:r>
            <w:r>
              <w:rPr>
                <w:rFonts w:ascii="Tahoma" w:hAnsi="Tahoma" w:cs="Tahoma"/>
                <w:sz w:val="20"/>
              </w:rPr>
              <w:t>.</w:t>
            </w:r>
          </w:p>
          <w:p w14:paraId="25B14553" w14:textId="65101BBF" w:rsidR="00D13EFE" w:rsidRDefault="00D13EFE" w:rsidP="00D45A7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B3B5235" w14:textId="51476E46" w:rsidR="00D45A72" w:rsidRPr="00751816" w:rsidRDefault="00D45A72" w:rsidP="00D45A7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Thus we provide a ‘Null’</w:t>
            </w:r>
            <w:r w:rsidRPr="00DA4716">
              <w:rPr>
                <w:rFonts w:ascii="Tahoma" w:hAnsi="Tahoma" w:cs="Tahoma"/>
                <w:sz w:val="20"/>
              </w:rPr>
              <w:t xml:space="preserve"> response in the reporting template.</w:t>
            </w:r>
          </w:p>
        </w:tc>
      </w:tr>
      <w:tr w:rsidR="00D13EFE" w:rsidRPr="00751816" w14:paraId="4EE93417" w14:textId="77777777" w:rsidTr="00D44709">
        <w:trPr>
          <w:trHeight w:val="508"/>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00B0F0"/>
              <w:bottom w:val="single" w:sz="4" w:space="0" w:color="00B0F0"/>
            </w:tcBorders>
            <w:vAlign w:val="center"/>
          </w:tcPr>
          <w:p w14:paraId="7181BB09" w14:textId="77777777" w:rsidR="00D13EFE" w:rsidRPr="00751816" w:rsidRDefault="00D13EFE" w:rsidP="001C016D">
            <w:pPr>
              <w:spacing w:before="120" w:after="120" w:line="240" w:lineRule="atLeast"/>
              <w:contextualSpacing/>
              <w:rPr>
                <w:rFonts w:ascii="Tahoma" w:hAnsi="Tahoma" w:cs="Tahoma"/>
                <w:sz w:val="20"/>
              </w:rPr>
            </w:pPr>
            <w:r>
              <w:rPr>
                <w:rFonts w:ascii="Tahoma" w:hAnsi="Tahoma" w:cs="Tahoma"/>
                <w:sz w:val="20"/>
              </w:rPr>
              <w:t xml:space="preserve">GSL payments </w:t>
            </w:r>
            <w:r w:rsidRPr="00751816">
              <w:rPr>
                <w:rFonts w:ascii="Tahoma" w:hAnsi="Tahoma" w:cs="Tahoma"/>
                <w:sz w:val="20"/>
              </w:rPr>
              <w:t xml:space="preserve"> </w:t>
            </w:r>
          </w:p>
        </w:tc>
        <w:tc>
          <w:tcPr>
            <w:tcW w:w="4286" w:type="pct"/>
            <w:gridSpan w:val="5"/>
            <w:tcBorders>
              <w:top w:val="single" w:sz="4" w:space="0" w:color="00B0F0"/>
              <w:bottom w:val="single" w:sz="4" w:space="0" w:color="00B0F0"/>
            </w:tcBorders>
            <w:vAlign w:val="center"/>
          </w:tcPr>
          <w:p w14:paraId="39A09116" w14:textId="283E5400" w:rsidR="00D13EFE" w:rsidRDefault="00D13EFE"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26667">
              <w:rPr>
                <w:rFonts w:ascii="Tahoma" w:hAnsi="Tahoma" w:cs="Tahoma"/>
                <w:sz w:val="20"/>
              </w:rPr>
              <w:t xml:space="preserve">AGN Limited has not incurred any expenditure in relation to GSL payments </w:t>
            </w:r>
            <w:r w:rsidR="00C46D6F">
              <w:rPr>
                <w:rFonts w:ascii="Tahoma" w:hAnsi="Tahoma" w:cs="Tahoma"/>
                <w:sz w:val="20"/>
              </w:rPr>
              <w:t>for AGN (SA)</w:t>
            </w:r>
            <w:r w:rsidR="00FD775A">
              <w:rPr>
                <w:rFonts w:ascii="Tahoma" w:hAnsi="Tahoma" w:cs="Tahoma"/>
                <w:sz w:val="20"/>
              </w:rPr>
              <w:t xml:space="preserve"> in 2019/20</w:t>
            </w:r>
            <w:r w:rsidRPr="00726667">
              <w:rPr>
                <w:rFonts w:ascii="Tahoma" w:hAnsi="Tahoma" w:cs="Tahoma"/>
                <w:sz w:val="20"/>
              </w:rPr>
              <w:t>.</w:t>
            </w:r>
          </w:p>
          <w:p w14:paraId="5FEAC92A" w14:textId="77777777" w:rsidR="00DA4716" w:rsidRDefault="00DA471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8E39C1E" w14:textId="3B2255C7" w:rsidR="00DA4716" w:rsidRPr="00751816" w:rsidRDefault="00DA4716" w:rsidP="00DA471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Thus we provide a </w:t>
            </w:r>
            <w:r w:rsidR="00BE09C7">
              <w:rPr>
                <w:rFonts w:ascii="Tahoma" w:hAnsi="Tahoma" w:cs="Tahoma"/>
                <w:sz w:val="20"/>
              </w:rPr>
              <w:t>‘Null’</w:t>
            </w:r>
            <w:r w:rsidRPr="00DA4716">
              <w:rPr>
                <w:rFonts w:ascii="Tahoma" w:hAnsi="Tahoma" w:cs="Tahoma"/>
                <w:sz w:val="20"/>
              </w:rPr>
              <w:t xml:space="preserve"> response in the reporting template.</w:t>
            </w:r>
          </w:p>
        </w:tc>
      </w:tr>
      <w:tr w:rsidR="00D13EFE" w:rsidRPr="00751816" w14:paraId="1A570170" w14:textId="77777777" w:rsidTr="007B668E">
        <w:trPr>
          <w:trHeight w:val="1162"/>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00B0F0"/>
              <w:bottom w:val="single" w:sz="4" w:space="0" w:color="00B0F0"/>
            </w:tcBorders>
            <w:vAlign w:val="center"/>
          </w:tcPr>
          <w:p w14:paraId="638046AC" w14:textId="77777777" w:rsidR="00D13EFE" w:rsidRPr="00751816" w:rsidRDefault="00D13EFE" w:rsidP="001C016D">
            <w:pPr>
              <w:spacing w:before="120" w:after="120" w:line="240" w:lineRule="atLeast"/>
              <w:contextualSpacing/>
              <w:rPr>
                <w:rFonts w:ascii="Tahoma" w:hAnsi="Tahoma" w:cs="Tahoma"/>
                <w:sz w:val="20"/>
              </w:rPr>
            </w:pPr>
            <w:r>
              <w:rPr>
                <w:rFonts w:ascii="Tahoma" w:hAnsi="Tahoma" w:cs="Tahoma"/>
                <w:sz w:val="20"/>
              </w:rPr>
              <w:t xml:space="preserve">Other Opex </w:t>
            </w:r>
            <w:r w:rsidRPr="00751816">
              <w:rPr>
                <w:rFonts w:ascii="Tahoma" w:hAnsi="Tahoma" w:cs="Tahoma"/>
                <w:sz w:val="20"/>
              </w:rPr>
              <w:t xml:space="preserve"> </w:t>
            </w:r>
          </w:p>
        </w:tc>
        <w:tc>
          <w:tcPr>
            <w:tcW w:w="4286" w:type="pct"/>
            <w:gridSpan w:val="5"/>
            <w:tcBorders>
              <w:top w:val="single" w:sz="4" w:space="0" w:color="00B0F0"/>
              <w:bottom w:val="single" w:sz="4" w:space="0" w:color="00B0F0"/>
            </w:tcBorders>
            <w:vAlign w:val="center"/>
          </w:tcPr>
          <w:p w14:paraId="1D4B6705" w14:textId="2076DE57" w:rsidR="00D13EFE" w:rsidRDefault="00D13EFE"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AGN Limited has incurred no Other Opex expenditure in relation to the provision of Non-reference services</w:t>
            </w:r>
            <w:r w:rsidR="00C46D6F">
              <w:rPr>
                <w:rFonts w:ascii="Tahoma" w:hAnsi="Tahoma" w:cs="Tahoma"/>
                <w:sz w:val="20"/>
              </w:rPr>
              <w:t xml:space="preserve"> for AGN (SA)</w:t>
            </w:r>
            <w:r w:rsidR="00FD775A">
              <w:rPr>
                <w:rFonts w:ascii="Tahoma" w:hAnsi="Tahoma" w:cs="Tahoma"/>
                <w:sz w:val="20"/>
              </w:rPr>
              <w:t xml:space="preserve"> in</w:t>
            </w:r>
            <w:r w:rsidR="00D45A72">
              <w:rPr>
                <w:rFonts w:ascii="Tahoma" w:hAnsi="Tahoma" w:cs="Tahoma"/>
                <w:sz w:val="20"/>
              </w:rPr>
              <w:t xml:space="preserve"> 2019/20</w:t>
            </w:r>
            <w:r>
              <w:rPr>
                <w:rFonts w:ascii="Tahoma" w:hAnsi="Tahoma" w:cs="Tahoma"/>
                <w:sz w:val="20"/>
              </w:rPr>
              <w:t>, noting as mentioned above, delivery of Non-reference services has been contracted to APA and all related expenditure incurred under the OMA is recorded as Repairs and maintenance expenditure.</w:t>
            </w:r>
          </w:p>
          <w:p w14:paraId="3BC1D6A8" w14:textId="19C2F957" w:rsidR="00D13EFE" w:rsidRDefault="00D13EFE"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DFE2825" w14:textId="49F21624" w:rsidR="00D45A72" w:rsidRPr="00751816" w:rsidRDefault="00D45A7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Thus we provide a ‘Null’</w:t>
            </w:r>
            <w:r w:rsidRPr="00DA4716">
              <w:rPr>
                <w:rFonts w:ascii="Tahoma" w:hAnsi="Tahoma" w:cs="Tahoma"/>
                <w:sz w:val="20"/>
              </w:rPr>
              <w:t xml:space="preserve"> response in the reporting template.</w:t>
            </w:r>
          </w:p>
        </w:tc>
      </w:tr>
    </w:tbl>
    <w:p w14:paraId="317ED01B" w14:textId="2CA559A6" w:rsidR="00F02899" w:rsidRDefault="00F02899" w:rsidP="0095305C">
      <w:pPr>
        <w:pStyle w:val="Heading2"/>
        <w:rPr>
          <w:rFonts w:ascii="Tahoma" w:hAnsi="Tahoma" w:cs="Tahoma"/>
          <w:color w:val="003C71"/>
        </w:rPr>
      </w:pPr>
      <w:bookmarkStart w:id="5" w:name="_Toc57314052"/>
      <w:r w:rsidRPr="0095305C">
        <w:rPr>
          <w:rFonts w:ascii="Tahoma" w:hAnsi="Tahoma" w:cs="Tahoma"/>
          <w:color w:val="003C71"/>
        </w:rPr>
        <w:lastRenderedPageBreak/>
        <w:t>E1.3 – Capcons</w:t>
      </w:r>
      <w:bookmarkEnd w:id="5"/>
      <w:r w:rsidRPr="0095305C">
        <w:rPr>
          <w:rFonts w:ascii="Tahoma" w:hAnsi="Tahoma" w:cs="Tahoma"/>
          <w:color w:val="003C71"/>
        </w:rPr>
        <w:t xml:space="preserve"> </w:t>
      </w:r>
    </w:p>
    <w:p w14:paraId="1D87FD11" w14:textId="7058858C" w:rsidR="00F02899" w:rsidRDefault="00F02899" w:rsidP="00220C58">
      <w:pPr>
        <w:rPr>
          <w:rFonts w:ascii="Tahoma" w:hAnsi="Tahoma" w:cs="Tahoma"/>
          <w:color w:val="00B0F0"/>
        </w:rPr>
      </w:pPr>
      <w:r w:rsidRPr="00220C58">
        <w:rPr>
          <w:rFonts w:ascii="Tahoma" w:hAnsi="Tahoma" w:cs="Tahoma"/>
          <w:color w:val="00B0F0"/>
        </w:rPr>
        <w:t>E1.3.1 – Reference Services</w:t>
      </w:r>
    </w:p>
    <w:tbl>
      <w:tblPr>
        <w:tblStyle w:val="UETableStyle"/>
        <w:tblW w:w="5016"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863"/>
        <w:gridCol w:w="4951"/>
        <w:gridCol w:w="2140"/>
        <w:gridCol w:w="2969"/>
        <w:gridCol w:w="2072"/>
        <w:gridCol w:w="8"/>
      </w:tblGrid>
      <w:tr w:rsidR="00502A36" w:rsidRPr="00751816" w14:paraId="6324B988" w14:textId="77777777" w:rsidTr="00D5579B">
        <w:trPr>
          <w:gridAfter w:val="1"/>
          <w:cnfStyle w:val="100000000000" w:firstRow="1" w:lastRow="0" w:firstColumn="0" w:lastColumn="0" w:oddVBand="0" w:evenVBand="0" w:oddHBand="0" w:evenHBand="0" w:firstRowFirstColumn="0" w:firstRowLastColumn="0" w:lastRowFirstColumn="0" w:lastRowLastColumn="0"/>
          <w:wAfter w:w="3" w:type="pct"/>
          <w:trHeight w:val="233"/>
          <w:tblHeader/>
        </w:trPr>
        <w:tc>
          <w:tcPr>
            <w:cnfStyle w:val="001000000000" w:firstRow="0" w:lastRow="0" w:firstColumn="1" w:lastColumn="0" w:oddVBand="0" w:evenVBand="0" w:oddHBand="0" w:evenHBand="0" w:firstRowFirstColumn="0" w:firstRowLastColumn="0" w:lastRowFirstColumn="0" w:lastRowLastColumn="0"/>
            <w:tcW w:w="665" w:type="pct"/>
            <w:tcBorders>
              <w:bottom w:val="single" w:sz="4" w:space="0" w:color="00B0F0"/>
            </w:tcBorders>
            <w:shd w:val="clear" w:color="auto" w:fill="003C71"/>
            <w:hideMark/>
          </w:tcPr>
          <w:p w14:paraId="2D54ED17" w14:textId="77777777" w:rsidR="00C81EC6" w:rsidRPr="00751816" w:rsidRDefault="00C81EC6" w:rsidP="001C016D">
            <w:pPr>
              <w:rPr>
                <w:rFonts w:ascii="Tahoma" w:hAnsi="Tahoma" w:cs="Tahoma"/>
                <w:b/>
                <w:color w:val="FFFFFF"/>
                <w:sz w:val="20"/>
              </w:rPr>
            </w:pPr>
            <w:r w:rsidRPr="00751816">
              <w:rPr>
                <w:rFonts w:ascii="Tahoma" w:hAnsi="Tahoma" w:cs="Tahoma"/>
                <w:b/>
                <w:color w:val="FFFFFF"/>
                <w:sz w:val="20"/>
              </w:rPr>
              <w:t xml:space="preserve">Variable </w:t>
            </w:r>
          </w:p>
        </w:tc>
        <w:tc>
          <w:tcPr>
            <w:tcW w:w="1768" w:type="pct"/>
            <w:tcBorders>
              <w:bottom w:val="single" w:sz="4" w:space="0" w:color="00B0F0"/>
            </w:tcBorders>
            <w:shd w:val="clear" w:color="auto" w:fill="003C71"/>
          </w:tcPr>
          <w:p w14:paraId="2E186366" w14:textId="77777777" w:rsidR="00C81EC6" w:rsidRPr="00751816" w:rsidRDefault="00C81EC6"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764" w:type="pct"/>
            <w:tcBorders>
              <w:bottom w:val="single" w:sz="4" w:space="0" w:color="00B0F0"/>
            </w:tcBorders>
            <w:shd w:val="clear" w:color="auto" w:fill="003C71"/>
          </w:tcPr>
          <w:p w14:paraId="78AA03F0" w14:textId="77777777" w:rsidR="00C81EC6" w:rsidRPr="00751816" w:rsidRDefault="00C81EC6"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060" w:type="pct"/>
            <w:tcBorders>
              <w:bottom w:val="single" w:sz="4" w:space="0" w:color="00B0F0"/>
            </w:tcBorders>
            <w:shd w:val="clear" w:color="auto" w:fill="003C71"/>
          </w:tcPr>
          <w:p w14:paraId="2D65FDC2" w14:textId="77777777" w:rsidR="00C81EC6" w:rsidRPr="00751816" w:rsidRDefault="00C81EC6"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740" w:type="pct"/>
            <w:tcBorders>
              <w:bottom w:val="single" w:sz="4" w:space="0" w:color="00B0F0"/>
            </w:tcBorders>
            <w:shd w:val="clear" w:color="auto" w:fill="003C71"/>
          </w:tcPr>
          <w:p w14:paraId="3CC4C0C9" w14:textId="77777777" w:rsidR="00C81EC6" w:rsidRPr="00751816" w:rsidRDefault="00C81EC6"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1C016D" w:rsidRPr="00751816" w14:paraId="2BE1CB76" w14:textId="77777777" w:rsidTr="00D5579B">
        <w:trPr>
          <w:trHeight w:val="466"/>
        </w:trPr>
        <w:tc>
          <w:tcPr>
            <w:cnfStyle w:val="001000000000" w:firstRow="0" w:lastRow="0" w:firstColumn="1" w:lastColumn="0" w:oddVBand="0" w:evenVBand="0" w:oddHBand="0" w:evenHBand="0" w:firstRowFirstColumn="0" w:firstRowLastColumn="0" w:lastRowFirstColumn="0" w:lastRowLastColumn="0"/>
            <w:tcW w:w="665" w:type="pct"/>
            <w:tcBorders>
              <w:top w:val="single" w:sz="4" w:space="0" w:color="00B0F0"/>
              <w:bottom w:val="single" w:sz="4" w:space="0" w:color="00B0F0"/>
            </w:tcBorders>
            <w:shd w:val="clear" w:color="auto" w:fill="00A3E0"/>
            <w:vAlign w:val="center"/>
          </w:tcPr>
          <w:p w14:paraId="7CC0CEE0" w14:textId="67E45140" w:rsidR="001C016D" w:rsidRPr="00751816" w:rsidRDefault="00D5579B" w:rsidP="001C016D">
            <w:pPr>
              <w:spacing w:before="120" w:after="120" w:line="240" w:lineRule="atLeast"/>
              <w:contextualSpacing/>
              <w:rPr>
                <w:rFonts w:ascii="Tahoma" w:hAnsi="Tahoma" w:cs="Tahoma"/>
                <w:sz w:val="20"/>
              </w:rPr>
            </w:pPr>
            <w:r>
              <w:rPr>
                <w:rFonts w:ascii="Tahoma" w:hAnsi="Tahoma" w:cs="Tahoma"/>
                <w:sz w:val="20"/>
              </w:rPr>
              <w:t>2019/20</w:t>
            </w:r>
          </w:p>
        </w:tc>
        <w:tc>
          <w:tcPr>
            <w:tcW w:w="4335" w:type="pct"/>
            <w:gridSpan w:val="5"/>
            <w:tcBorders>
              <w:top w:val="single" w:sz="4" w:space="0" w:color="00B0F0"/>
              <w:bottom w:val="single" w:sz="4" w:space="0" w:color="00B0F0"/>
            </w:tcBorders>
            <w:shd w:val="clear" w:color="auto" w:fill="00A3E0"/>
            <w:vAlign w:val="center"/>
          </w:tcPr>
          <w:p w14:paraId="5BD8DEB9" w14:textId="77777777" w:rsidR="001C016D" w:rsidRDefault="001C016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r w:rsidRPr="00116FDE">
              <w:rPr>
                <w:rFonts w:ascii="Tahoma" w:hAnsi="Tahoma" w:cs="Tahoma"/>
                <w:i/>
                <w:sz w:val="20"/>
              </w:rPr>
              <w:t xml:space="preserve">Refer to the Regulatory Accounting Principles and Policies document for guidance on </w:t>
            </w:r>
            <w:r>
              <w:rPr>
                <w:rFonts w:ascii="Tahoma" w:hAnsi="Tahoma" w:cs="Tahoma"/>
                <w:i/>
                <w:sz w:val="20"/>
              </w:rPr>
              <w:t>the treatment of Capital Contributions f</w:t>
            </w:r>
            <w:r w:rsidRPr="00116FDE">
              <w:rPr>
                <w:rFonts w:ascii="Tahoma" w:hAnsi="Tahoma" w:cs="Tahoma"/>
                <w:i/>
                <w:sz w:val="20"/>
              </w:rPr>
              <w:t>or regulatory purposes.</w:t>
            </w:r>
          </w:p>
          <w:p w14:paraId="002D9B69" w14:textId="77777777" w:rsidR="00034067" w:rsidRDefault="00034067"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p>
          <w:p w14:paraId="196752D7" w14:textId="32B7FB0F" w:rsidR="00034067" w:rsidRPr="00751816" w:rsidRDefault="00034067" w:rsidP="00C0010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17B16">
              <w:rPr>
                <w:rFonts w:ascii="Tahoma" w:hAnsi="Tahoma" w:cs="Tahoma"/>
                <w:i/>
                <w:sz w:val="20"/>
              </w:rPr>
              <w:t>As required by the RIN notice, total Capital Contributions amounts have been derived from the trial balance for AGN (SA)</w:t>
            </w:r>
            <w:r w:rsidR="00C00101">
              <w:rPr>
                <w:rFonts w:ascii="Tahoma" w:hAnsi="Tahoma" w:cs="Tahoma"/>
                <w:i/>
                <w:sz w:val="20"/>
              </w:rPr>
              <w:t xml:space="preserve"> </w:t>
            </w:r>
            <w:r w:rsidR="00C00101" w:rsidRPr="00C00101">
              <w:rPr>
                <w:rFonts w:ascii="Tahoma" w:hAnsi="Tahoma" w:cs="Tahoma"/>
                <w:i/>
                <w:sz w:val="20"/>
              </w:rPr>
              <w:t>which has been audited as set out in Appendix G</w:t>
            </w:r>
            <w:r w:rsidRPr="00017B16">
              <w:rPr>
                <w:rFonts w:ascii="Tahoma" w:hAnsi="Tahoma" w:cs="Tahoma"/>
                <w:i/>
                <w:sz w:val="20"/>
              </w:rPr>
              <w:t>.  The amounts of Capital Contributions reported in this table E1.3 – Capcons have been fully reconciled to the related general ledger accounts that form the AGN (SA) trial balance.  These reconciliations have been provided to AGN Limited’s external auditors as part of the assurance process.  Refer to Appendix G for further information about the trial balance for AGN (SA).</w:t>
            </w:r>
            <w:r>
              <w:rPr>
                <w:rFonts w:ascii="Tahoma" w:hAnsi="Tahoma" w:cs="Tahoma"/>
                <w:i/>
                <w:sz w:val="20"/>
              </w:rPr>
              <w:t xml:space="preserve"> </w:t>
            </w:r>
          </w:p>
        </w:tc>
      </w:tr>
      <w:tr w:rsidR="00E21E26" w:rsidRPr="00751816" w14:paraId="0353BC63" w14:textId="77777777" w:rsidTr="00D5579B">
        <w:trPr>
          <w:gridAfter w:val="1"/>
          <w:wAfter w:w="3" w:type="pct"/>
          <w:trHeight w:val="466"/>
        </w:trPr>
        <w:tc>
          <w:tcPr>
            <w:cnfStyle w:val="001000000000" w:firstRow="0" w:lastRow="0" w:firstColumn="1" w:lastColumn="0" w:oddVBand="0" w:evenVBand="0" w:oddHBand="0" w:evenHBand="0" w:firstRowFirstColumn="0" w:firstRowLastColumn="0" w:lastRowFirstColumn="0" w:lastRowLastColumn="0"/>
            <w:tcW w:w="665" w:type="pct"/>
            <w:tcBorders>
              <w:top w:val="single" w:sz="4" w:space="0" w:color="00B0F0"/>
              <w:bottom w:val="single" w:sz="4" w:space="0" w:color="00B0F0"/>
            </w:tcBorders>
            <w:shd w:val="clear" w:color="auto" w:fill="D9D9D9" w:themeFill="background1" w:themeFillShade="D9"/>
            <w:vAlign w:val="center"/>
          </w:tcPr>
          <w:p w14:paraId="1047410A" w14:textId="77777777" w:rsidR="00C81EC6" w:rsidRDefault="00C81EC6" w:rsidP="001C016D">
            <w:pPr>
              <w:spacing w:before="120" w:after="120" w:line="240" w:lineRule="atLeast"/>
              <w:contextualSpacing/>
              <w:rPr>
                <w:rFonts w:ascii="Tahoma" w:hAnsi="Tahoma" w:cs="Tahoma"/>
                <w:sz w:val="20"/>
              </w:rPr>
            </w:pPr>
            <w:r w:rsidRPr="00751816">
              <w:rPr>
                <w:rFonts w:ascii="Tahoma" w:hAnsi="Tahoma" w:cs="Tahoma"/>
                <w:sz w:val="20"/>
              </w:rPr>
              <w:t xml:space="preserve">Connections </w:t>
            </w:r>
          </w:p>
        </w:tc>
        <w:tc>
          <w:tcPr>
            <w:tcW w:w="1768" w:type="pct"/>
            <w:tcBorders>
              <w:top w:val="single" w:sz="4" w:space="0" w:color="00B0F0"/>
              <w:bottom w:val="single" w:sz="4" w:space="0" w:color="00B0F0"/>
            </w:tcBorders>
            <w:vAlign w:val="center"/>
          </w:tcPr>
          <w:p w14:paraId="1896E7F0" w14:textId="2D4661E1" w:rsidR="00C81EC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AGN Limited received no Capital Contributions</w:t>
            </w:r>
            <w:r w:rsidR="00C46D6F">
              <w:rPr>
                <w:rFonts w:ascii="Tahoma" w:hAnsi="Tahoma" w:cs="Tahoma"/>
                <w:sz w:val="20"/>
              </w:rPr>
              <w:t xml:space="preserve"> for AGN (SA)</w:t>
            </w:r>
            <w:r>
              <w:rPr>
                <w:rFonts w:ascii="Tahoma" w:hAnsi="Tahoma" w:cs="Tahoma"/>
                <w:sz w:val="20"/>
              </w:rPr>
              <w:t xml:space="preserve"> in relation to the Electricity to gas connection type</w:t>
            </w:r>
            <w:r w:rsidR="009608A0">
              <w:rPr>
                <w:rFonts w:ascii="Tahoma" w:hAnsi="Tahoma" w:cs="Tahoma"/>
                <w:sz w:val="20"/>
              </w:rPr>
              <w:t xml:space="preserve"> in 2019/20</w:t>
            </w:r>
            <w:r>
              <w:rPr>
                <w:rFonts w:ascii="Tahoma" w:hAnsi="Tahoma" w:cs="Tahoma"/>
                <w:sz w:val="20"/>
              </w:rPr>
              <w:t>.</w:t>
            </w:r>
          </w:p>
          <w:p w14:paraId="704CAAB7" w14:textId="77777777" w:rsidR="00C81EC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83E2817" w14:textId="1E508C08" w:rsidR="00C81EC6" w:rsidRDefault="00C81EC6" w:rsidP="001C016D">
            <w:p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amount of Capital Contributions reported for New Homes (domestic customers) has been derived from invoiced revenue. This revenue mostly funds the economic shortfall for </w:t>
            </w:r>
            <w:r w:rsidR="00C14059">
              <w:rPr>
                <w:rFonts w:ascii="Tahoma" w:hAnsi="Tahoma" w:cs="Tahoma"/>
                <w:sz w:val="20"/>
              </w:rPr>
              <w:t>Mains</w:t>
            </w:r>
            <w:r>
              <w:rPr>
                <w:rFonts w:ascii="Tahoma" w:hAnsi="Tahoma" w:cs="Tahoma"/>
                <w:sz w:val="20"/>
              </w:rPr>
              <w:t xml:space="preserve">. The calculation of this revenue includes allowance for a 20% margin. </w:t>
            </w:r>
          </w:p>
          <w:p w14:paraId="1394CCB4" w14:textId="77777777" w:rsidR="00C81EC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E7DE0C5" w14:textId="581C4D81" w:rsidR="00C81EC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AGN Limited received no Capital Contributions</w:t>
            </w:r>
            <w:r w:rsidR="00C46D6F">
              <w:rPr>
                <w:rFonts w:ascii="Tahoma" w:hAnsi="Tahoma" w:cs="Tahoma"/>
                <w:sz w:val="20"/>
              </w:rPr>
              <w:t xml:space="preserve"> for AGN (SA)</w:t>
            </w:r>
            <w:r>
              <w:rPr>
                <w:rFonts w:ascii="Tahoma" w:hAnsi="Tahoma" w:cs="Tahoma"/>
                <w:sz w:val="20"/>
              </w:rPr>
              <w:t xml:space="preserve"> in relation to the New medium density / high rise connection type</w:t>
            </w:r>
            <w:r w:rsidR="00B2373C">
              <w:rPr>
                <w:rFonts w:ascii="Tahoma" w:hAnsi="Tahoma" w:cs="Tahoma"/>
                <w:sz w:val="20"/>
              </w:rPr>
              <w:t xml:space="preserve"> in 2019/20</w:t>
            </w:r>
            <w:r>
              <w:rPr>
                <w:rFonts w:ascii="Tahoma" w:hAnsi="Tahoma" w:cs="Tahoma"/>
                <w:sz w:val="20"/>
              </w:rPr>
              <w:t>.</w:t>
            </w:r>
          </w:p>
          <w:p w14:paraId="4E24B511" w14:textId="77777777" w:rsidR="00C81EC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1431C4C" w14:textId="1A74FF55" w:rsidR="00C81EC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Limited received no Capital Contributions </w:t>
            </w:r>
            <w:r w:rsidR="00C46D6F">
              <w:rPr>
                <w:rFonts w:ascii="Tahoma" w:hAnsi="Tahoma" w:cs="Tahoma"/>
                <w:sz w:val="20"/>
              </w:rPr>
              <w:t xml:space="preserve">for AGN (SA) </w:t>
            </w:r>
            <w:r>
              <w:rPr>
                <w:rFonts w:ascii="Tahoma" w:hAnsi="Tahoma" w:cs="Tahoma"/>
                <w:sz w:val="20"/>
              </w:rPr>
              <w:t>in relation to the Industrial &amp; Commercial Tariff connection type</w:t>
            </w:r>
            <w:r w:rsidR="009608A0">
              <w:rPr>
                <w:rFonts w:ascii="Tahoma" w:hAnsi="Tahoma" w:cs="Tahoma"/>
                <w:sz w:val="20"/>
              </w:rPr>
              <w:t xml:space="preserve"> in 2019/20</w:t>
            </w:r>
            <w:r>
              <w:rPr>
                <w:rFonts w:ascii="Tahoma" w:hAnsi="Tahoma" w:cs="Tahoma"/>
                <w:sz w:val="20"/>
              </w:rPr>
              <w:t>.</w:t>
            </w:r>
          </w:p>
          <w:p w14:paraId="36A1889F" w14:textId="77777777" w:rsidR="00C81EC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E02FCB9" w14:textId="77777777" w:rsidR="00C81EC6" w:rsidRPr="00531E56" w:rsidRDefault="00C81EC6" w:rsidP="001C016D">
            <w:pPr>
              <w:spacing w:before="0" w:after="160" w:line="259" w:lineRule="auto"/>
              <w:contextualSpacing/>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2"/>
                <w:lang w:eastAsia="en-US"/>
              </w:rPr>
            </w:pPr>
            <w:r w:rsidRPr="00531E56">
              <w:rPr>
                <w:rFonts w:ascii="Tahoma" w:eastAsia="Calibri" w:hAnsi="Tahoma" w:cs="Tahoma"/>
                <w:sz w:val="20"/>
                <w:szCs w:val="22"/>
                <w:lang w:eastAsia="en-US"/>
              </w:rPr>
              <w:t xml:space="preserve">The amount of Capital Contributions reported for Industrial &amp; Commercial Contract customers, is derived from the amounts of related capex incurred, </w:t>
            </w:r>
            <w:r w:rsidRPr="00531E56">
              <w:rPr>
                <w:rFonts w:ascii="Tahoma" w:eastAsia="Calibri" w:hAnsi="Tahoma" w:cs="Tahoma"/>
                <w:sz w:val="20"/>
                <w:szCs w:val="22"/>
                <w:lang w:eastAsia="en-US"/>
              </w:rPr>
              <w:lastRenderedPageBreak/>
              <w:t xml:space="preserve">as reported by APA in the Capex Data Model (with an adjustment to remove the allocated NMF).  </w:t>
            </w:r>
          </w:p>
          <w:p w14:paraId="03A6318F" w14:textId="77777777" w:rsidR="00C81EC6" w:rsidRPr="00531E56" w:rsidRDefault="00C81EC6" w:rsidP="001C016D">
            <w:pPr>
              <w:spacing w:before="0" w:after="160" w:line="259" w:lineRule="auto"/>
              <w:contextualSpacing/>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2"/>
                <w:lang w:eastAsia="en-US"/>
              </w:rPr>
            </w:pPr>
          </w:p>
          <w:p w14:paraId="2418B408" w14:textId="370D7C0D" w:rsidR="00C81EC6" w:rsidRPr="00DA4716" w:rsidRDefault="00C14059" w:rsidP="00DA4716">
            <w:pPr>
              <w:spacing w:before="0" w:after="160" w:line="259" w:lineRule="auto"/>
              <w:contextualSpacing/>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2"/>
                <w:lang w:eastAsia="en-US"/>
              </w:rPr>
            </w:pPr>
            <w:r w:rsidRPr="00C14059">
              <w:rPr>
                <w:rFonts w:ascii="Tahoma" w:eastAsia="Calibri" w:hAnsi="Tahoma" w:cs="Tahoma"/>
                <w:sz w:val="20"/>
                <w:szCs w:val="22"/>
                <w:lang w:eastAsia="en-US"/>
              </w:rPr>
              <w:t>Related capex that is used to derive Capital contributions from Industrial &amp; Commercial Contract Customers has been identified with reference to the expenditure captured in APA’s Oracle finance system against specific “Development” task and activity codes</w:t>
            </w:r>
            <w:r w:rsidR="005D5ACE">
              <w:rPr>
                <w:rFonts w:ascii="Tahoma" w:eastAsia="Calibri" w:hAnsi="Tahoma" w:cs="Tahoma"/>
                <w:sz w:val="20"/>
                <w:szCs w:val="22"/>
                <w:lang w:eastAsia="en-US"/>
              </w:rPr>
              <w:t xml:space="preserve"> (i.e</w:t>
            </w:r>
            <w:r w:rsidRPr="00C14059">
              <w:rPr>
                <w:rFonts w:ascii="Tahoma" w:eastAsia="Calibri" w:hAnsi="Tahoma" w:cs="Tahoma"/>
                <w:sz w:val="20"/>
                <w:szCs w:val="22"/>
                <w:lang w:eastAsia="en-US"/>
              </w:rPr>
              <w:t>. Task code Large Consumers with Activity Codes New Service and New Main &gt;10TJ</w:t>
            </w:r>
            <w:r w:rsidR="005D5ACE">
              <w:rPr>
                <w:rFonts w:ascii="Tahoma" w:eastAsia="Calibri" w:hAnsi="Tahoma" w:cs="Tahoma"/>
                <w:sz w:val="20"/>
                <w:szCs w:val="22"/>
                <w:lang w:eastAsia="en-US"/>
              </w:rPr>
              <w:t>)</w:t>
            </w:r>
            <w:r w:rsidRPr="00C14059">
              <w:rPr>
                <w:rFonts w:ascii="Tahoma" w:eastAsia="Calibri" w:hAnsi="Tahoma" w:cs="Tahoma"/>
                <w:sz w:val="20"/>
                <w:szCs w:val="22"/>
                <w:lang w:eastAsia="en-US"/>
              </w:rPr>
              <w:t>.</w:t>
            </w:r>
          </w:p>
        </w:tc>
        <w:tc>
          <w:tcPr>
            <w:tcW w:w="764" w:type="pct"/>
            <w:tcBorders>
              <w:top w:val="single" w:sz="4" w:space="0" w:color="00B0F0"/>
              <w:bottom w:val="single" w:sz="4" w:space="0" w:color="00B0F0"/>
            </w:tcBorders>
            <w:vAlign w:val="center"/>
          </w:tcPr>
          <w:p w14:paraId="62BF6CB3"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060" w:type="pct"/>
            <w:tcBorders>
              <w:top w:val="single" w:sz="4" w:space="0" w:color="00B0F0"/>
              <w:bottom w:val="single" w:sz="4" w:space="0" w:color="00B0F0"/>
            </w:tcBorders>
            <w:vAlign w:val="center"/>
          </w:tcPr>
          <w:p w14:paraId="64B9E80A"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40" w:type="pct"/>
            <w:tcBorders>
              <w:top w:val="single" w:sz="4" w:space="0" w:color="00B0F0"/>
              <w:bottom w:val="single" w:sz="4" w:space="0" w:color="00B0F0"/>
            </w:tcBorders>
            <w:vAlign w:val="center"/>
          </w:tcPr>
          <w:p w14:paraId="4B07BFBE"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0566D3" w:rsidRPr="00751816" w14:paraId="3DA35634" w14:textId="77777777" w:rsidTr="00D5579B">
        <w:trPr>
          <w:trHeight w:val="466"/>
        </w:trPr>
        <w:tc>
          <w:tcPr>
            <w:cnfStyle w:val="001000000000" w:firstRow="0" w:lastRow="0" w:firstColumn="1" w:lastColumn="0" w:oddVBand="0" w:evenVBand="0" w:oddHBand="0" w:evenHBand="0" w:firstRowFirstColumn="0" w:firstRowLastColumn="0" w:lastRowFirstColumn="0" w:lastRowLastColumn="0"/>
            <w:tcW w:w="665" w:type="pct"/>
            <w:tcBorders>
              <w:top w:val="single" w:sz="4" w:space="0" w:color="00B0F0"/>
              <w:bottom w:val="single" w:sz="4" w:space="0" w:color="00B0F0"/>
            </w:tcBorders>
            <w:shd w:val="clear" w:color="auto" w:fill="D9D9D9" w:themeFill="background1" w:themeFillShade="D9"/>
            <w:vAlign w:val="center"/>
          </w:tcPr>
          <w:p w14:paraId="3E6EC5B5" w14:textId="77777777" w:rsidR="000566D3" w:rsidRPr="00751816" w:rsidRDefault="000566D3" w:rsidP="001C016D">
            <w:pPr>
              <w:spacing w:before="120" w:after="120" w:line="240" w:lineRule="atLeast"/>
              <w:contextualSpacing/>
              <w:rPr>
                <w:rFonts w:ascii="Tahoma" w:hAnsi="Tahoma" w:cs="Tahoma"/>
                <w:sz w:val="20"/>
              </w:rPr>
            </w:pPr>
            <w:r w:rsidRPr="00751816">
              <w:rPr>
                <w:rFonts w:ascii="Tahoma" w:hAnsi="Tahoma" w:cs="Tahoma"/>
                <w:sz w:val="20"/>
              </w:rPr>
              <w:t xml:space="preserve">Mains Replacement </w:t>
            </w:r>
          </w:p>
        </w:tc>
        <w:tc>
          <w:tcPr>
            <w:tcW w:w="4335" w:type="pct"/>
            <w:gridSpan w:val="5"/>
            <w:tcBorders>
              <w:top w:val="single" w:sz="4" w:space="0" w:color="00B0F0"/>
              <w:bottom w:val="single" w:sz="4" w:space="0" w:color="00B0F0"/>
            </w:tcBorders>
            <w:vAlign w:val="center"/>
          </w:tcPr>
          <w:p w14:paraId="299A26CD" w14:textId="56A6FD0D" w:rsidR="000566D3" w:rsidRDefault="000566D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Limited received no Capital contributions </w:t>
            </w:r>
            <w:r w:rsidR="00C46D6F">
              <w:rPr>
                <w:rFonts w:ascii="Tahoma" w:hAnsi="Tahoma" w:cs="Tahoma"/>
                <w:sz w:val="20"/>
              </w:rPr>
              <w:t xml:space="preserve">for AGN (SA) </w:t>
            </w:r>
            <w:r>
              <w:rPr>
                <w:rFonts w:ascii="Tahoma" w:hAnsi="Tahoma" w:cs="Tahoma"/>
                <w:sz w:val="20"/>
              </w:rPr>
              <w:t>in relation to Proactive or Reactive Mains Replacement Capex</w:t>
            </w:r>
            <w:r w:rsidR="009608A0">
              <w:rPr>
                <w:rFonts w:ascii="Tahoma" w:hAnsi="Tahoma" w:cs="Tahoma"/>
                <w:sz w:val="20"/>
              </w:rPr>
              <w:t xml:space="preserve"> in 2019/20</w:t>
            </w:r>
            <w:r>
              <w:rPr>
                <w:rFonts w:ascii="Tahoma" w:hAnsi="Tahoma" w:cs="Tahoma"/>
                <w:sz w:val="20"/>
              </w:rPr>
              <w:t>.</w:t>
            </w:r>
          </w:p>
          <w:p w14:paraId="12D1F2F9" w14:textId="77777777" w:rsidR="000566D3" w:rsidRDefault="000566D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325D683" w14:textId="1B62F74D" w:rsidR="00C46163" w:rsidRPr="00751816" w:rsidRDefault="00C4616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lang w:val="en-US"/>
              </w:rPr>
              <w:t>Thus we provide a ‘Null’ response in the reporting template.</w:t>
            </w:r>
          </w:p>
        </w:tc>
      </w:tr>
      <w:tr w:rsidR="000566D3" w:rsidRPr="00751816" w14:paraId="21D6A1CB" w14:textId="77777777" w:rsidTr="00D5579B">
        <w:trPr>
          <w:trHeight w:val="466"/>
        </w:trPr>
        <w:tc>
          <w:tcPr>
            <w:cnfStyle w:val="001000000000" w:firstRow="0" w:lastRow="0" w:firstColumn="1" w:lastColumn="0" w:oddVBand="0" w:evenVBand="0" w:oddHBand="0" w:evenHBand="0" w:firstRowFirstColumn="0" w:firstRowLastColumn="0" w:lastRowFirstColumn="0" w:lastRowLastColumn="0"/>
            <w:tcW w:w="665" w:type="pct"/>
            <w:tcBorders>
              <w:top w:val="single" w:sz="4" w:space="0" w:color="00B0F0"/>
              <w:bottom w:val="single" w:sz="4" w:space="0" w:color="00B0F0"/>
            </w:tcBorders>
            <w:shd w:val="clear" w:color="auto" w:fill="D9D9D9" w:themeFill="background1" w:themeFillShade="D9"/>
            <w:vAlign w:val="center"/>
          </w:tcPr>
          <w:p w14:paraId="3E2ED0F9" w14:textId="77777777" w:rsidR="000566D3" w:rsidRPr="00751816" w:rsidRDefault="000566D3" w:rsidP="001C016D">
            <w:pPr>
              <w:spacing w:before="120" w:after="120" w:line="240" w:lineRule="atLeast"/>
              <w:contextualSpacing/>
              <w:rPr>
                <w:rFonts w:ascii="Tahoma" w:hAnsi="Tahoma" w:cs="Tahoma"/>
                <w:sz w:val="20"/>
              </w:rPr>
            </w:pPr>
            <w:r w:rsidRPr="00751816">
              <w:rPr>
                <w:rFonts w:ascii="Tahoma" w:hAnsi="Tahoma" w:cs="Tahoma"/>
                <w:sz w:val="20"/>
              </w:rPr>
              <w:t xml:space="preserve">Mains Augmentation </w:t>
            </w:r>
          </w:p>
        </w:tc>
        <w:tc>
          <w:tcPr>
            <w:tcW w:w="4335" w:type="pct"/>
            <w:gridSpan w:val="5"/>
            <w:tcBorders>
              <w:top w:val="single" w:sz="4" w:space="0" w:color="00B0F0"/>
              <w:bottom w:val="single" w:sz="4" w:space="0" w:color="00B0F0"/>
            </w:tcBorders>
            <w:vAlign w:val="center"/>
          </w:tcPr>
          <w:p w14:paraId="558D952C" w14:textId="62CF28A1" w:rsidR="000566D3" w:rsidRDefault="000566D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AGN Limited received no Capital contributions</w:t>
            </w:r>
            <w:r w:rsidR="00C46D6F">
              <w:rPr>
                <w:rFonts w:ascii="Tahoma" w:hAnsi="Tahoma" w:cs="Tahoma"/>
                <w:sz w:val="20"/>
              </w:rPr>
              <w:t xml:space="preserve"> for AGN (SA)</w:t>
            </w:r>
            <w:r>
              <w:rPr>
                <w:rFonts w:ascii="Tahoma" w:hAnsi="Tahoma" w:cs="Tahoma"/>
                <w:sz w:val="20"/>
              </w:rPr>
              <w:t xml:space="preserve"> in relation to Mains Augmentation Capex</w:t>
            </w:r>
            <w:r w:rsidR="009608A0">
              <w:rPr>
                <w:rFonts w:ascii="Tahoma" w:hAnsi="Tahoma" w:cs="Tahoma"/>
                <w:sz w:val="20"/>
              </w:rPr>
              <w:t xml:space="preserve"> in 2019/20</w:t>
            </w:r>
            <w:r>
              <w:rPr>
                <w:rFonts w:ascii="Tahoma" w:hAnsi="Tahoma" w:cs="Tahoma"/>
                <w:sz w:val="20"/>
              </w:rPr>
              <w:t>.</w:t>
            </w:r>
          </w:p>
          <w:p w14:paraId="68DD84DB" w14:textId="153EC29E" w:rsidR="00C46163" w:rsidRDefault="00C4616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CB61F2B" w14:textId="1B5CC96E" w:rsidR="000566D3" w:rsidRPr="00751816" w:rsidRDefault="00C4616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lang w:val="en-US"/>
              </w:rPr>
              <w:t>Thus we provide a ‘Null’ response in the reporting template.</w:t>
            </w:r>
          </w:p>
        </w:tc>
      </w:tr>
      <w:tr w:rsidR="000566D3" w:rsidRPr="00751816" w14:paraId="18614D67" w14:textId="77777777" w:rsidTr="00D5579B">
        <w:trPr>
          <w:trHeight w:val="466"/>
        </w:trPr>
        <w:tc>
          <w:tcPr>
            <w:cnfStyle w:val="001000000000" w:firstRow="0" w:lastRow="0" w:firstColumn="1" w:lastColumn="0" w:oddVBand="0" w:evenVBand="0" w:oddHBand="0" w:evenHBand="0" w:firstRowFirstColumn="0" w:firstRowLastColumn="0" w:lastRowFirstColumn="0" w:lastRowLastColumn="0"/>
            <w:tcW w:w="665" w:type="pct"/>
            <w:tcBorders>
              <w:top w:val="single" w:sz="4" w:space="0" w:color="00B0F0"/>
              <w:bottom w:val="single" w:sz="4" w:space="0" w:color="00B0F0"/>
            </w:tcBorders>
            <w:shd w:val="clear" w:color="auto" w:fill="D9D9D9" w:themeFill="background1" w:themeFillShade="D9"/>
            <w:vAlign w:val="center"/>
          </w:tcPr>
          <w:p w14:paraId="4209B540" w14:textId="77777777" w:rsidR="000566D3" w:rsidRPr="00751816" w:rsidRDefault="000566D3" w:rsidP="001C016D">
            <w:pPr>
              <w:spacing w:before="120" w:after="120" w:line="240" w:lineRule="atLeast"/>
              <w:contextualSpacing/>
              <w:rPr>
                <w:rFonts w:ascii="Tahoma" w:hAnsi="Tahoma" w:cs="Tahoma"/>
                <w:sz w:val="20"/>
              </w:rPr>
            </w:pPr>
            <w:r w:rsidRPr="00751816">
              <w:rPr>
                <w:rFonts w:ascii="Tahoma" w:hAnsi="Tahoma" w:cs="Tahoma"/>
                <w:sz w:val="20"/>
              </w:rPr>
              <w:t xml:space="preserve">Telemetry </w:t>
            </w:r>
          </w:p>
        </w:tc>
        <w:tc>
          <w:tcPr>
            <w:tcW w:w="4335" w:type="pct"/>
            <w:gridSpan w:val="5"/>
            <w:tcBorders>
              <w:top w:val="single" w:sz="4" w:space="0" w:color="00B0F0"/>
              <w:bottom w:val="single" w:sz="4" w:space="0" w:color="00B0F0"/>
            </w:tcBorders>
            <w:vAlign w:val="center"/>
          </w:tcPr>
          <w:p w14:paraId="23B05E9C" w14:textId="1D1E0650" w:rsidR="000566D3" w:rsidRDefault="000566D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AGN Limited received no Capital Contributions</w:t>
            </w:r>
            <w:r w:rsidR="00C46D6F">
              <w:rPr>
                <w:rFonts w:ascii="Tahoma" w:hAnsi="Tahoma" w:cs="Tahoma"/>
                <w:sz w:val="20"/>
              </w:rPr>
              <w:t xml:space="preserve"> for AGN (SA)</w:t>
            </w:r>
            <w:r>
              <w:rPr>
                <w:rFonts w:ascii="Tahoma" w:hAnsi="Tahoma" w:cs="Tahoma"/>
                <w:sz w:val="20"/>
              </w:rPr>
              <w:t xml:space="preserve"> in relation to Telemetry Capex</w:t>
            </w:r>
            <w:r w:rsidR="009608A0">
              <w:rPr>
                <w:rFonts w:ascii="Tahoma" w:hAnsi="Tahoma" w:cs="Tahoma"/>
                <w:sz w:val="20"/>
              </w:rPr>
              <w:t xml:space="preserve"> in 2019/20</w:t>
            </w:r>
            <w:r>
              <w:rPr>
                <w:rFonts w:ascii="Tahoma" w:hAnsi="Tahoma" w:cs="Tahoma"/>
                <w:sz w:val="20"/>
              </w:rPr>
              <w:t>.</w:t>
            </w:r>
          </w:p>
          <w:p w14:paraId="2E774476" w14:textId="308A41CD" w:rsidR="00C46163" w:rsidRDefault="00C4616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C24BC87" w14:textId="51A8381B" w:rsidR="000566D3" w:rsidRPr="00751816" w:rsidRDefault="00C4616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lang w:val="en-US"/>
              </w:rPr>
              <w:t>Thus we provide a ‘Null’ response in the reporting template.</w:t>
            </w:r>
          </w:p>
        </w:tc>
      </w:tr>
      <w:tr w:rsidR="000566D3" w:rsidRPr="00751816" w14:paraId="3C2DA7D4" w14:textId="77777777" w:rsidTr="00D5579B">
        <w:trPr>
          <w:trHeight w:val="466"/>
        </w:trPr>
        <w:tc>
          <w:tcPr>
            <w:cnfStyle w:val="001000000000" w:firstRow="0" w:lastRow="0" w:firstColumn="1" w:lastColumn="0" w:oddVBand="0" w:evenVBand="0" w:oddHBand="0" w:evenHBand="0" w:firstRowFirstColumn="0" w:firstRowLastColumn="0" w:lastRowFirstColumn="0" w:lastRowLastColumn="0"/>
            <w:tcW w:w="665" w:type="pct"/>
            <w:tcBorders>
              <w:top w:val="single" w:sz="4" w:space="0" w:color="00B0F0"/>
              <w:bottom w:val="single" w:sz="4" w:space="0" w:color="00B0F0"/>
            </w:tcBorders>
            <w:shd w:val="clear" w:color="auto" w:fill="D9D9D9" w:themeFill="background1" w:themeFillShade="D9"/>
            <w:vAlign w:val="center"/>
          </w:tcPr>
          <w:p w14:paraId="67E33165" w14:textId="77777777" w:rsidR="000566D3" w:rsidRPr="00751816" w:rsidRDefault="000566D3" w:rsidP="001C016D">
            <w:pPr>
              <w:spacing w:before="120" w:after="120" w:line="240" w:lineRule="atLeast"/>
              <w:contextualSpacing/>
              <w:rPr>
                <w:rFonts w:ascii="Tahoma" w:hAnsi="Tahoma" w:cs="Tahoma"/>
                <w:sz w:val="20"/>
              </w:rPr>
            </w:pPr>
            <w:r w:rsidRPr="00751816">
              <w:rPr>
                <w:rFonts w:ascii="Tahoma" w:hAnsi="Tahoma" w:cs="Tahoma"/>
                <w:sz w:val="20"/>
              </w:rPr>
              <w:t xml:space="preserve">Meter Replacement </w:t>
            </w:r>
          </w:p>
        </w:tc>
        <w:tc>
          <w:tcPr>
            <w:tcW w:w="4335" w:type="pct"/>
            <w:gridSpan w:val="5"/>
            <w:tcBorders>
              <w:top w:val="single" w:sz="4" w:space="0" w:color="00B0F0"/>
              <w:bottom w:val="single" w:sz="4" w:space="0" w:color="00B0F0"/>
            </w:tcBorders>
            <w:vAlign w:val="center"/>
          </w:tcPr>
          <w:p w14:paraId="3A134367" w14:textId="1BE515FE" w:rsidR="000566D3" w:rsidRDefault="000566D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Limited received no Capital contributions </w:t>
            </w:r>
            <w:r w:rsidR="00C46D6F">
              <w:rPr>
                <w:rFonts w:ascii="Tahoma" w:hAnsi="Tahoma" w:cs="Tahoma"/>
                <w:sz w:val="20"/>
              </w:rPr>
              <w:t xml:space="preserve">for AGN (SA) </w:t>
            </w:r>
            <w:r>
              <w:rPr>
                <w:rFonts w:ascii="Tahoma" w:hAnsi="Tahoma" w:cs="Tahoma"/>
                <w:sz w:val="20"/>
              </w:rPr>
              <w:t>in relation to Meter Replacement Capex</w:t>
            </w:r>
            <w:r w:rsidR="009608A0">
              <w:rPr>
                <w:rFonts w:ascii="Tahoma" w:hAnsi="Tahoma" w:cs="Tahoma"/>
                <w:sz w:val="20"/>
              </w:rPr>
              <w:t xml:space="preserve"> in 2019/20</w:t>
            </w:r>
            <w:r>
              <w:rPr>
                <w:rFonts w:ascii="Tahoma" w:hAnsi="Tahoma" w:cs="Tahoma"/>
                <w:sz w:val="20"/>
              </w:rPr>
              <w:t>.</w:t>
            </w:r>
          </w:p>
          <w:p w14:paraId="451ADA36" w14:textId="3232106D" w:rsidR="00C46163" w:rsidRDefault="00C4616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866D608" w14:textId="6C92C161" w:rsidR="000566D3" w:rsidRPr="00751816" w:rsidRDefault="00C4616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lang w:val="en-US"/>
              </w:rPr>
              <w:t>Thus we provide a ‘Null’ response in the reporting template.</w:t>
            </w:r>
          </w:p>
        </w:tc>
      </w:tr>
      <w:tr w:rsidR="000566D3" w:rsidRPr="00751816" w14:paraId="3F39F9E8" w14:textId="77777777" w:rsidTr="00D5579B">
        <w:trPr>
          <w:trHeight w:val="466"/>
        </w:trPr>
        <w:tc>
          <w:tcPr>
            <w:cnfStyle w:val="001000000000" w:firstRow="0" w:lastRow="0" w:firstColumn="1" w:lastColumn="0" w:oddVBand="0" w:evenVBand="0" w:oddHBand="0" w:evenHBand="0" w:firstRowFirstColumn="0" w:firstRowLastColumn="0" w:lastRowFirstColumn="0" w:lastRowLastColumn="0"/>
            <w:tcW w:w="665" w:type="pct"/>
            <w:tcBorders>
              <w:top w:val="single" w:sz="4" w:space="0" w:color="00B0F0"/>
              <w:bottom w:val="single" w:sz="4" w:space="0" w:color="00B0F0"/>
            </w:tcBorders>
            <w:shd w:val="clear" w:color="auto" w:fill="D9D9D9" w:themeFill="background1" w:themeFillShade="D9"/>
            <w:vAlign w:val="center"/>
          </w:tcPr>
          <w:p w14:paraId="3E8C4F53" w14:textId="77777777" w:rsidR="000566D3" w:rsidRPr="00751816" w:rsidRDefault="000566D3" w:rsidP="001C016D">
            <w:pPr>
              <w:spacing w:before="120" w:after="120" w:line="240" w:lineRule="atLeast"/>
              <w:contextualSpacing/>
              <w:rPr>
                <w:rFonts w:ascii="Tahoma" w:hAnsi="Tahoma" w:cs="Tahoma"/>
                <w:sz w:val="20"/>
              </w:rPr>
            </w:pPr>
            <w:r w:rsidRPr="00751816">
              <w:rPr>
                <w:rFonts w:ascii="Tahoma" w:hAnsi="Tahoma" w:cs="Tahoma"/>
                <w:sz w:val="20"/>
              </w:rPr>
              <w:t xml:space="preserve">ICT </w:t>
            </w:r>
          </w:p>
        </w:tc>
        <w:tc>
          <w:tcPr>
            <w:tcW w:w="4335" w:type="pct"/>
            <w:gridSpan w:val="5"/>
            <w:tcBorders>
              <w:top w:val="single" w:sz="4" w:space="0" w:color="00B0F0"/>
              <w:bottom w:val="single" w:sz="4" w:space="0" w:color="00B0F0"/>
            </w:tcBorders>
            <w:vAlign w:val="center"/>
          </w:tcPr>
          <w:p w14:paraId="362AC64E" w14:textId="775AC5A6" w:rsidR="000566D3" w:rsidRDefault="000566D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Limited has received no Capital Contributions </w:t>
            </w:r>
            <w:r w:rsidR="00C46D6F">
              <w:rPr>
                <w:rFonts w:ascii="Tahoma" w:hAnsi="Tahoma" w:cs="Tahoma"/>
                <w:sz w:val="20"/>
              </w:rPr>
              <w:t xml:space="preserve">for AGN (SA) </w:t>
            </w:r>
            <w:r>
              <w:rPr>
                <w:rFonts w:ascii="Tahoma" w:hAnsi="Tahoma" w:cs="Tahoma"/>
                <w:sz w:val="20"/>
              </w:rPr>
              <w:t>in relation to ICT Capex</w:t>
            </w:r>
            <w:r w:rsidR="009608A0">
              <w:rPr>
                <w:rFonts w:ascii="Tahoma" w:hAnsi="Tahoma" w:cs="Tahoma"/>
                <w:sz w:val="20"/>
              </w:rPr>
              <w:t xml:space="preserve"> in 2019/20</w:t>
            </w:r>
            <w:r>
              <w:rPr>
                <w:rFonts w:ascii="Tahoma" w:hAnsi="Tahoma" w:cs="Tahoma"/>
                <w:sz w:val="20"/>
              </w:rPr>
              <w:t>.</w:t>
            </w:r>
          </w:p>
          <w:p w14:paraId="20E0522A" w14:textId="58BCC74F" w:rsidR="00C46163" w:rsidRDefault="00C4616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E7C3CEC" w14:textId="12FA136C" w:rsidR="000566D3" w:rsidRPr="00751816" w:rsidRDefault="00C4616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lang w:val="en-US"/>
              </w:rPr>
              <w:t>Thus we provide a ‘Null’ response in the reporting template.</w:t>
            </w:r>
          </w:p>
        </w:tc>
      </w:tr>
      <w:tr w:rsidR="00E21E26" w:rsidRPr="00751816" w14:paraId="7266B262" w14:textId="77777777" w:rsidTr="00D5579B">
        <w:trPr>
          <w:gridAfter w:val="1"/>
          <w:wAfter w:w="3" w:type="pct"/>
          <w:trHeight w:val="466"/>
        </w:trPr>
        <w:tc>
          <w:tcPr>
            <w:cnfStyle w:val="001000000000" w:firstRow="0" w:lastRow="0" w:firstColumn="1" w:lastColumn="0" w:oddVBand="0" w:evenVBand="0" w:oddHBand="0" w:evenHBand="0" w:firstRowFirstColumn="0" w:firstRowLastColumn="0" w:lastRowFirstColumn="0" w:lastRowLastColumn="0"/>
            <w:tcW w:w="665" w:type="pct"/>
            <w:tcBorders>
              <w:top w:val="single" w:sz="4" w:space="0" w:color="00B0F0"/>
              <w:bottom w:val="single" w:sz="4" w:space="0" w:color="00B0F0"/>
            </w:tcBorders>
            <w:shd w:val="clear" w:color="auto" w:fill="D9D9D9" w:themeFill="background1" w:themeFillShade="D9"/>
            <w:vAlign w:val="center"/>
          </w:tcPr>
          <w:p w14:paraId="2E3520C2" w14:textId="77777777" w:rsidR="00C81EC6" w:rsidRPr="00751816" w:rsidRDefault="00C81EC6" w:rsidP="001C016D">
            <w:pPr>
              <w:spacing w:before="120" w:after="120" w:line="240" w:lineRule="atLeast"/>
              <w:contextualSpacing/>
              <w:rPr>
                <w:rFonts w:ascii="Tahoma" w:hAnsi="Tahoma" w:cs="Tahoma"/>
                <w:sz w:val="20"/>
              </w:rPr>
            </w:pPr>
            <w:r w:rsidRPr="00751816">
              <w:rPr>
                <w:rFonts w:ascii="Tahoma" w:hAnsi="Tahoma" w:cs="Tahoma"/>
                <w:sz w:val="20"/>
              </w:rPr>
              <w:t xml:space="preserve">Capitalised network overheads </w:t>
            </w:r>
          </w:p>
        </w:tc>
        <w:tc>
          <w:tcPr>
            <w:tcW w:w="1768" w:type="pct"/>
            <w:tcBorders>
              <w:top w:val="single" w:sz="4" w:space="0" w:color="00B0F0"/>
              <w:bottom w:val="single" w:sz="4" w:space="0" w:color="00B0F0"/>
            </w:tcBorders>
            <w:vAlign w:val="center"/>
          </w:tcPr>
          <w:p w14:paraId="11CEBB51" w14:textId="3D7D5806" w:rsidR="00C81EC6" w:rsidRDefault="00C81EC6" w:rsidP="00DA471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amount of Capitalised network overheads reported has been sourced from the Capex Data Model information provided by APA (with an adjustment to remove the allocated NMF), which </w:t>
            </w:r>
            <w:r>
              <w:rPr>
                <w:rFonts w:ascii="Tahoma" w:hAnsi="Tahoma" w:cs="Tahoma"/>
                <w:sz w:val="20"/>
              </w:rPr>
              <w:lastRenderedPageBreak/>
              <w:t>identifies the Capitalised network overheads related to the Capital Contributions in each of the categories of Capex shown in this RIN table.</w:t>
            </w:r>
          </w:p>
        </w:tc>
        <w:tc>
          <w:tcPr>
            <w:tcW w:w="764" w:type="pct"/>
            <w:tcBorders>
              <w:top w:val="single" w:sz="4" w:space="0" w:color="00B0F0"/>
              <w:bottom w:val="single" w:sz="4" w:space="0" w:color="00B0F0"/>
            </w:tcBorders>
            <w:vAlign w:val="center"/>
          </w:tcPr>
          <w:p w14:paraId="42F4D81C"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060" w:type="pct"/>
            <w:tcBorders>
              <w:top w:val="single" w:sz="4" w:space="0" w:color="00B0F0"/>
              <w:bottom w:val="single" w:sz="4" w:space="0" w:color="00B0F0"/>
            </w:tcBorders>
            <w:vAlign w:val="center"/>
          </w:tcPr>
          <w:p w14:paraId="4613812A"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40" w:type="pct"/>
            <w:tcBorders>
              <w:top w:val="single" w:sz="4" w:space="0" w:color="00B0F0"/>
              <w:bottom w:val="single" w:sz="4" w:space="0" w:color="00B0F0"/>
            </w:tcBorders>
            <w:vAlign w:val="center"/>
          </w:tcPr>
          <w:p w14:paraId="754EFDAC"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0566D3" w:rsidRPr="00751816" w14:paraId="4CDBDB8B" w14:textId="77777777" w:rsidTr="00D5579B">
        <w:trPr>
          <w:trHeight w:val="466"/>
        </w:trPr>
        <w:tc>
          <w:tcPr>
            <w:cnfStyle w:val="001000000000" w:firstRow="0" w:lastRow="0" w:firstColumn="1" w:lastColumn="0" w:oddVBand="0" w:evenVBand="0" w:oddHBand="0" w:evenHBand="0" w:firstRowFirstColumn="0" w:firstRowLastColumn="0" w:lastRowFirstColumn="0" w:lastRowLastColumn="0"/>
            <w:tcW w:w="665" w:type="pct"/>
            <w:tcBorders>
              <w:top w:val="single" w:sz="4" w:space="0" w:color="00B0F0"/>
              <w:bottom w:val="single" w:sz="4" w:space="0" w:color="00B0F0"/>
            </w:tcBorders>
            <w:shd w:val="clear" w:color="auto" w:fill="D9D9D9" w:themeFill="background1" w:themeFillShade="D9"/>
            <w:vAlign w:val="center"/>
          </w:tcPr>
          <w:p w14:paraId="68D64007" w14:textId="77777777" w:rsidR="000566D3" w:rsidRPr="00751816" w:rsidRDefault="000566D3" w:rsidP="001C016D">
            <w:pPr>
              <w:spacing w:before="120" w:after="120" w:line="240" w:lineRule="atLeast"/>
              <w:contextualSpacing/>
              <w:rPr>
                <w:rFonts w:ascii="Tahoma" w:hAnsi="Tahoma" w:cs="Tahoma"/>
                <w:sz w:val="20"/>
              </w:rPr>
            </w:pPr>
            <w:r w:rsidRPr="00751816">
              <w:rPr>
                <w:rFonts w:ascii="Tahoma" w:hAnsi="Tahoma" w:cs="Tahoma"/>
                <w:sz w:val="20"/>
              </w:rPr>
              <w:t xml:space="preserve">Capitalised corporate overheads </w:t>
            </w:r>
          </w:p>
        </w:tc>
        <w:tc>
          <w:tcPr>
            <w:tcW w:w="4335" w:type="pct"/>
            <w:gridSpan w:val="5"/>
            <w:tcBorders>
              <w:top w:val="single" w:sz="4" w:space="0" w:color="00B0F0"/>
              <w:bottom w:val="single" w:sz="4" w:space="0" w:color="00B0F0"/>
            </w:tcBorders>
            <w:vAlign w:val="center"/>
          </w:tcPr>
          <w:p w14:paraId="0718A8E1" w14:textId="49FD91DB" w:rsidR="000566D3" w:rsidRDefault="000566D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AGN Limited has no Capitalised corporate overheads to report</w:t>
            </w:r>
            <w:r w:rsidR="00C46D6F">
              <w:rPr>
                <w:rFonts w:ascii="Tahoma" w:hAnsi="Tahoma" w:cs="Tahoma"/>
                <w:sz w:val="20"/>
              </w:rPr>
              <w:t xml:space="preserve"> including for AGN (SA)</w:t>
            </w:r>
            <w:r>
              <w:rPr>
                <w:rFonts w:ascii="Tahoma" w:hAnsi="Tahoma" w:cs="Tahoma"/>
                <w:sz w:val="20"/>
              </w:rPr>
              <w:t>, in accordance with the Regulatory Accounting Principles and Policies and Capitalisation Policy documents.</w:t>
            </w:r>
          </w:p>
          <w:p w14:paraId="73BCE3D4" w14:textId="77777777" w:rsidR="000566D3" w:rsidRDefault="000566D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788240D" w14:textId="307D1FAC" w:rsidR="00C46163" w:rsidRPr="00751816" w:rsidRDefault="00C4616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lang w:val="en-US"/>
              </w:rPr>
              <w:t>Thus we provide a ‘Null’ response in the reporting template.</w:t>
            </w:r>
          </w:p>
        </w:tc>
      </w:tr>
      <w:tr w:rsidR="00E21E26" w:rsidRPr="00751816" w14:paraId="596F1980" w14:textId="77777777" w:rsidTr="00D5579B">
        <w:trPr>
          <w:gridAfter w:val="1"/>
          <w:wAfter w:w="3" w:type="pct"/>
          <w:trHeight w:val="466"/>
        </w:trPr>
        <w:tc>
          <w:tcPr>
            <w:cnfStyle w:val="001000000000" w:firstRow="0" w:lastRow="0" w:firstColumn="1" w:lastColumn="0" w:oddVBand="0" w:evenVBand="0" w:oddHBand="0" w:evenHBand="0" w:firstRowFirstColumn="0" w:firstRowLastColumn="0" w:lastRowFirstColumn="0" w:lastRowLastColumn="0"/>
            <w:tcW w:w="665" w:type="pct"/>
            <w:tcBorders>
              <w:top w:val="single" w:sz="4" w:space="0" w:color="00B0F0"/>
              <w:bottom w:val="single" w:sz="4" w:space="0" w:color="00B0F0"/>
            </w:tcBorders>
            <w:shd w:val="clear" w:color="auto" w:fill="D9D9D9" w:themeFill="background1" w:themeFillShade="D9"/>
            <w:vAlign w:val="center"/>
          </w:tcPr>
          <w:p w14:paraId="29823A1D" w14:textId="77777777" w:rsidR="00C81EC6" w:rsidRPr="00751816" w:rsidRDefault="00C81EC6" w:rsidP="001C016D">
            <w:pPr>
              <w:spacing w:before="120" w:after="120" w:line="240" w:lineRule="atLeast"/>
              <w:contextualSpacing/>
              <w:rPr>
                <w:rFonts w:ascii="Tahoma" w:hAnsi="Tahoma" w:cs="Tahoma"/>
                <w:sz w:val="20"/>
              </w:rPr>
            </w:pPr>
            <w:r w:rsidRPr="00751816">
              <w:rPr>
                <w:rFonts w:ascii="Tahoma" w:hAnsi="Tahoma" w:cs="Tahoma"/>
                <w:sz w:val="20"/>
              </w:rPr>
              <w:t xml:space="preserve">Other Capex </w:t>
            </w:r>
          </w:p>
        </w:tc>
        <w:tc>
          <w:tcPr>
            <w:tcW w:w="1768" w:type="pct"/>
            <w:tcBorders>
              <w:top w:val="single" w:sz="4" w:space="0" w:color="00B0F0"/>
              <w:bottom w:val="single" w:sz="4" w:space="0" w:color="00B0F0"/>
            </w:tcBorders>
            <w:vAlign w:val="center"/>
          </w:tcPr>
          <w:p w14:paraId="3FEED94A" w14:textId="4AE051AD" w:rsidR="00FE6F41" w:rsidRPr="008F0E84"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amount of Capital contributions reported for Other Capex is derived from the amounts of related capex incurred, as reported by APA in the Capex Data Model (with an adjustment to remove the allocated NMF)</w:t>
            </w:r>
            <w:r w:rsidR="00FE6F41">
              <w:rPr>
                <w:rFonts w:ascii="Tahoma" w:hAnsi="Tahoma" w:cs="Tahoma"/>
                <w:sz w:val="20"/>
              </w:rPr>
              <w:t xml:space="preserve"> </w:t>
            </w:r>
            <w:r w:rsidR="00FE6F41" w:rsidRPr="008F0E84">
              <w:rPr>
                <w:rFonts w:ascii="Tahoma" w:hAnsi="Tahoma" w:cs="Tahoma"/>
                <w:sz w:val="20"/>
              </w:rPr>
              <w:t xml:space="preserve">and can be identified with reference to expenditure captured in APA’s Oracle finance system against </w:t>
            </w:r>
            <w:r w:rsidR="00505DD9" w:rsidRPr="008F0E84">
              <w:rPr>
                <w:rFonts w:ascii="Tahoma" w:hAnsi="Tahoma" w:cs="Tahoma"/>
                <w:sz w:val="20"/>
              </w:rPr>
              <w:t xml:space="preserve">a </w:t>
            </w:r>
            <w:r w:rsidR="00FE6F41" w:rsidRPr="008F0E84">
              <w:rPr>
                <w:rFonts w:ascii="Tahoma" w:hAnsi="Tahoma" w:cs="Tahoma"/>
                <w:sz w:val="20"/>
              </w:rPr>
              <w:t xml:space="preserve">specific </w:t>
            </w:r>
            <w:r w:rsidR="00505DD9" w:rsidRPr="008F0E84">
              <w:rPr>
                <w:rFonts w:ascii="Tahoma" w:hAnsi="Tahoma" w:cs="Tahoma"/>
                <w:sz w:val="20"/>
              </w:rPr>
              <w:t xml:space="preserve">Mains Alterations </w:t>
            </w:r>
            <w:r w:rsidR="00FE6F41" w:rsidRPr="008F0E84">
              <w:rPr>
                <w:rFonts w:ascii="Tahoma" w:hAnsi="Tahoma" w:cs="Tahoma"/>
                <w:sz w:val="20"/>
              </w:rPr>
              <w:t>task and activity code</w:t>
            </w:r>
            <w:r w:rsidR="00505DD9" w:rsidRPr="008F0E84">
              <w:rPr>
                <w:rFonts w:ascii="Tahoma" w:hAnsi="Tahoma" w:cs="Tahoma"/>
                <w:sz w:val="20"/>
              </w:rPr>
              <w:t xml:space="preserve"> or a specific Major Project code.</w:t>
            </w:r>
            <w:r w:rsidR="00FE6F41" w:rsidRPr="008F0E84">
              <w:rPr>
                <w:rFonts w:ascii="Tahoma" w:hAnsi="Tahoma" w:cs="Tahoma"/>
                <w:sz w:val="20"/>
              </w:rPr>
              <w:t xml:space="preserve"> </w:t>
            </w:r>
          </w:p>
          <w:p w14:paraId="6DB4258F" w14:textId="49DF9D5A" w:rsidR="00C81EC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D438897" w14:textId="71591BB8" w:rsidR="00C81EC6" w:rsidRDefault="00C81EC6" w:rsidP="00DA471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These Capital contributions relate to funded mains alteration projects.  The nature of these projects is to undertake work at customers’ request which they fund, for example to relocate assets due to major infrastructure projects.</w:t>
            </w:r>
          </w:p>
        </w:tc>
        <w:tc>
          <w:tcPr>
            <w:tcW w:w="764" w:type="pct"/>
            <w:tcBorders>
              <w:top w:val="single" w:sz="4" w:space="0" w:color="00B0F0"/>
              <w:bottom w:val="single" w:sz="4" w:space="0" w:color="00B0F0"/>
            </w:tcBorders>
            <w:vAlign w:val="center"/>
          </w:tcPr>
          <w:p w14:paraId="32DBE8C4"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060" w:type="pct"/>
            <w:tcBorders>
              <w:top w:val="single" w:sz="4" w:space="0" w:color="00B0F0"/>
              <w:bottom w:val="single" w:sz="4" w:space="0" w:color="00B0F0"/>
            </w:tcBorders>
            <w:vAlign w:val="center"/>
          </w:tcPr>
          <w:p w14:paraId="397D6DDC"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40" w:type="pct"/>
            <w:tcBorders>
              <w:top w:val="single" w:sz="4" w:space="0" w:color="00B0F0"/>
              <w:bottom w:val="single" w:sz="4" w:space="0" w:color="00B0F0"/>
            </w:tcBorders>
            <w:vAlign w:val="center"/>
          </w:tcPr>
          <w:p w14:paraId="1BEC75C7"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0F08373C" w14:textId="77777777" w:rsidR="00C81EC6" w:rsidRDefault="00C81EC6" w:rsidP="00220C58">
      <w:pPr>
        <w:rPr>
          <w:rFonts w:ascii="Tahoma" w:hAnsi="Tahoma" w:cs="Tahoma"/>
          <w:color w:val="00B0F0"/>
        </w:rPr>
      </w:pPr>
    </w:p>
    <w:p w14:paraId="7DEEF6D6" w14:textId="77777777" w:rsidR="00F02899" w:rsidRDefault="00F02899" w:rsidP="009A031F">
      <w:pPr>
        <w:spacing w:before="120"/>
        <w:rPr>
          <w:rFonts w:ascii="Tahoma" w:hAnsi="Tahoma" w:cs="Tahoma"/>
          <w:color w:val="00B0F0"/>
        </w:rPr>
      </w:pPr>
      <w:r w:rsidRPr="00220C58">
        <w:rPr>
          <w:rFonts w:ascii="Tahoma" w:hAnsi="Tahoma" w:cs="Tahoma"/>
          <w:color w:val="00B0F0"/>
        </w:rPr>
        <w:t xml:space="preserve">E1.3.2 – Non-reference Services </w:t>
      </w:r>
    </w:p>
    <w:p w14:paraId="53805AE4" w14:textId="5731FBE6" w:rsidR="009D6E4A" w:rsidRDefault="009D6E4A" w:rsidP="009D6E4A">
      <w:pPr>
        <w:rPr>
          <w:rFonts w:ascii="Tahoma" w:hAnsi="Tahoma" w:cs="Tahoma"/>
        </w:rPr>
      </w:pPr>
      <w:r>
        <w:rPr>
          <w:rFonts w:ascii="Tahoma" w:hAnsi="Tahoma" w:cs="Tahoma"/>
        </w:rPr>
        <w:t xml:space="preserve">AGN </w:t>
      </w:r>
      <w:r w:rsidR="00523335">
        <w:rPr>
          <w:rFonts w:ascii="Tahoma" w:hAnsi="Tahoma" w:cs="Tahoma"/>
        </w:rPr>
        <w:t>(</w:t>
      </w:r>
      <w:r w:rsidR="006814A2">
        <w:rPr>
          <w:rFonts w:ascii="Tahoma" w:hAnsi="Tahoma" w:cs="Tahoma"/>
        </w:rPr>
        <w:t>SA</w:t>
      </w:r>
      <w:r w:rsidR="00523335">
        <w:rPr>
          <w:rFonts w:ascii="Tahoma" w:hAnsi="Tahoma" w:cs="Tahoma"/>
        </w:rPr>
        <w:t>)</w:t>
      </w:r>
      <w:r w:rsidR="006814A2">
        <w:rPr>
          <w:rFonts w:ascii="Tahoma" w:hAnsi="Tahoma" w:cs="Tahoma"/>
        </w:rPr>
        <w:t xml:space="preserve"> </w:t>
      </w:r>
      <w:r>
        <w:rPr>
          <w:rFonts w:ascii="Tahoma" w:hAnsi="Tahoma" w:cs="Tahoma"/>
        </w:rPr>
        <w:t>had no customer contributions</w:t>
      </w:r>
      <w:r w:rsidRPr="00220C58">
        <w:rPr>
          <w:rFonts w:ascii="Tahoma" w:hAnsi="Tahoma" w:cs="Tahoma"/>
        </w:rPr>
        <w:t xml:space="preserve"> for non-reference services in</w:t>
      </w:r>
      <w:r w:rsidR="005C2AC4">
        <w:rPr>
          <w:rFonts w:ascii="Tahoma" w:hAnsi="Tahoma" w:cs="Tahoma"/>
        </w:rPr>
        <w:t xml:space="preserve"> 2019/20</w:t>
      </w:r>
      <w:r>
        <w:rPr>
          <w:rFonts w:ascii="Tahoma" w:hAnsi="Tahoma" w:cs="Tahoma"/>
        </w:rPr>
        <w:t xml:space="preserve">. For this reason, a </w:t>
      </w:r>
      <w:r w:rsidR="00BE09C7" w:rsidRPr="00BE09C7">
        <w:rPr>
          <w:rFonts w:ascii="Tahoma" w:hAnsi="Tahoma" w:cs="Tahoma"/>
        </w:rPr>
        <w:t>‘Null’</w:t>
      </w:r>
      <w:r>
        <w:rPr>
          <w:rFonts w:ascii="Tahoma" w:hAnsi="Tahoma" w:cs="Tahoma"/>
        </w:rPr>
        <w:t xml:space="preserve"> response is provided in this reporting template. </w:t>
      </w:r>
    </w:p>
    <w:p w14:paraId="635A90AD" w14:textId="6F996FE1" w:rsidR="00011FCC" w:rsidRDefault="00011FCC" w:rsidP="009D6E4A">
      <w:pPr>
        <w:rPr>
          <w:rFonts w:ascii="Tahoma" w:hAnsi="Tahoma" w:cs="Tahoma"/>
        </w:rPr>
      </w:pPr>
    </w:p>
    <w:p w14:paraId="22318401" w14:textId="77777777" w:rsidR="007B668E" w:rsidRDefault="007B668E">
      <w:pPr>
        <w:rPr>
          <w:rFonts w:ascii="Tahoma" w:eastAsiaTheme="majorEastAsia" w:hAnsi="Tahoma" w:cs="Tahoma"/>
          <w:color w:val="003C71"/>
          <w:sz w:val="26"/>
          <w:szCs w:val="26"/>
        </w:rPr>
      </w:pPr>
      <w:r>
        <w:rPr>
          <w:rFonts w:ascii="Tahoma" w:hAnsi="Tahoma" w:cs="Tahoma"/>
          <w:color w:val="003C71"/>
        </w:rPr>
        <w:br w:type="page"/>
      </w:r>
    </w:p>
    <w:p w14:paraId="6C9BA058" w14:textId="7A2CC293" w:rsidR="00F02899" w:rsidRDefault="00B7434F" w:rsidP="0095305C">
      <w:pPr>
        <w:pStyle w:val="Heading2"/>
        <w:rPr>
          <w:rFonts w:ascii="Tahoma" w:hAnsi="Tahoma" w:cs="Tahoma"/>
          <w:color w:val="003C71"/>
        </w:rPr>
      </w:pPr>
      <w:bookmarkStart w:id="6" w:name="_Toc57314053"/>
      <w:r w:rsidRPr="0095305C">
        <w:rPr>
          <w:rFonts w:ascii="Tahoma" w:hAnsi="Tahoma" w:cs="Tahoma"/>
          <w:color w:val="003C71"/>
        </w:rPr>
        <w:lastRenderedPageBreak/>
        <w:t xml:space="preserve">E1.4 </w:t>
      </w:r>
      <w:r w:rsidR="0095305C">
        <w:rPr>
          <w:rFonts w:ascii="Tahoma" w:hAnsi="Tahoma" w:cs="Tahoma"/>
          <w:color w:val="003C71"/>
        </w:rPr>
        <w:t xml:space="preserve">- </w:t>
      </w:r>
      <w:r w:rsidRPr="0095305C">
        <w:rPr>
          <w:rFonts w:ascii="Tahoma" w:hAnsi="Tahoma" w:cs="Tahoma"/>
          <w:color w:val="003C71"/>
        </w:rPr>
        <w:t>Capitalised Overheads</w:t>
      </w:r>
      <w:bookmarkEnd w:id="6"/>
      <w:r w:rsidRPr="0095305C">
        <w:rPr>
          <w:rFonts w:ascii="Tahoma" w:hAnsi="Tahoma" w:cs="Tahoma"/>
          <w:color w:val="003C71"/>
        </w:rPr>
        <w:t xml:space="preserve"> </w:t>
      </w:r>
    </w:p>
    <w:p w14:paraId="608C0ACD" w14:textId="77777777" w:rsidR="00B7434F" w:rsidRDefault="00B7434F" w:rsidP="00220C58">
      <w:pPr>
        <w:rPr>
          <w:rFonts w:ascii="Tahoma" w:hAnsi="Tahoma" w:cs="Tahoma"/>
          <w:color w:val="00B0F0"/>
        </w:rPr>
      </w:pPr>
      <w:r w:rsidRPr="00220C58">
        <w:rPr>
          <w:rFonts w:ascii="Tahoma" w:hAnsi="Tahoma" w:cs="Tahoma"/>
          <w:color w:val="00B0F0"/>
        </w:rPr>
        <w:t>E1.4.1 – Reference Services</w:t>
      </w:r>
    </w:p>
    <w:tbl>
      <w:tblPr>
        <w:tblStyle w:val="UETableStyle"/>
        <w:tblW w:w="5004"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64"/>
        <w:gridCol w:w="4657"/>
        <w:gridCol w:w="2252"/>
        <w:gridCol w:w="3249"/>
        <w:gridCol w:w="1847"/>
      </w:tblGrid>
      <w:tr w:rsidR="00C81EC6" w:rsidRPr="00751816" w14:paraId="3BEDFB99" w14:textId="77777777" w:rsidTr="00D5579B">
        <w:trPr>
          <w:cnfStyle w:val="100000000000" w:firstRow="1" w:lastRow="0" w:firstColumn="0" w:lastColumn="0" w:oddVBand="0" w:evenVBand="0" w:oddHBand="0" w:evenHBand="0" w:firstRowFirstColumn="0" w:firstRowLastColumn="0" w:lastRowFirstColumn="0" w:lastRowLastColumn="0"/>
          <w:trHeight w:val="230"/>
          <w:tblHeader/>
        </w:trPr>
        <w:tc>
          <w:tcPr>
            <w:cnfStyle w:val="001000000000" w:firstRow="0" w:lastRow="0" w:firstColumn="1" w:lastColumn="0" w:oddVBand="0" w:evenVBand="0" w:oddHBand="0" w:evenHBand="0" w:firstRowFirstColumn="0" w:firstRowLastColumn="0" w:lastRowFirstColumn="0" w:lastRowLastColumn="0"/>
            <w:tcW w:w="703" w:type="pct"/>
            <w:tcBorders>
              <w:bottom w:val="single" w:sz="4" w:space="0" w:color="00B0F0"/>
            </w:tcBorders>
            <w:shd w:val="clear" w:color="auto" w:fill="003C71"/>
            <w:hideMark/>
          </w:tcPr>
          <w:p w14:paraId="6F316EA6" w14:textId="77777777" w:rsidR="00C81EC6" w:rsidRPr="00751816" w:rsidRDefault="00C81EC6" w:rsidP="001C016D">
            <w:pPr>
              <w:rPr>
                <w:rFonts w:ascii="Tahoma" w:hAnsi="Tahoma" w:cs="Tahoma"/>
                <w:b/>
                <w:color w:val="FFFFFF"/>
                <w:sz w:val="20"/>
              </w:rPr>
            </w:pPr>
            <w:r>
              <w:rPr>
                <w:rFonts w:ascii="Tahoma" w:hAnsi="Tahoma" w:cs="Tahoma"/>
                <w:b/>
                <w:color w:val="FFFFFF"/>
                <w:sz w:val="20"/>
              </w:rPr>
              <w:t xml:space="preserve">Variable </w:t>
            </w:r>
          </w:p>
        </w:tc>
        <w:tc>
          <w:tcPr>
            <w:tcW w:w="1667" w:type="pct"/>
            <w:tcBorders>
              <w:bottom w:val="single" w:sz="4" w:space="0" w:color="00B0F0"/>
            </w:tcBorders>
            <w:shd w:val="clear" w:color="auto" w:fill="003C71"/>
          </w:tcPr>
          <w:p w14:paraId="566EBFE1" w14:textId="77777777" w:rsidR="00C81EC6" w:rsidRPr="00751816" w:rsidRDefault="00C81EC6"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06" w:type="pct"/>
            <w:tcBorders>
              <w:bottom w:val="single" w:sz="4" w:space="0" w:color="00B0F0"/>
            </w:tcBorders>
            <w:shd w:val="clear" w:color="auto" w:fill="003C71"/>
          </w:tcPr>
          <w:p w14:paraId="71C3F207" w14:textId="77777777" w:rsidR="00C81EC6" w:rsidRPr="00751816" w:rsidRDefault="00C81EC6"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163" w:type="pct"/>
            <w:tcBorders>
              <w:bottom w:val="single" w:sz="4" w:space="0" w:color="00B0F0"/>
            </w:tcBorders>
            <w:shd w:val="clear" w:color="auto" w:fill="003C71"/>
          </w:tcPr>
          <w:p w14:paraId="0528E7D7" w14:textId="77777777" w:rsidR="00C81EC6" w:rsidRPr="00751816" w:rsidRDefault="00C81EC6"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61" w:type="pct"/>
            <w:tcBorders>
              <w:bottom w:val="single" w:sz="4" w:space="0" w:color="00B0F0"/>
            </w:tcBorders>
            <w:shd w:val="clear" w:color="auto" w:fill="003C71"/>
          </w:tcPr>
          <w:p w14:paraId="0D52C8CC" w14:textId="77777777" w:rsidR="00C81EC6" w:rsidRPr="00751816" w:rsidRDefault="00C81EC6"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1C016D" w:rsidRPr="00751816" w14:paraId="48C8DE54" w14:textId="77777777" w:rsidTr="00D5579B">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59"/>
        </w:trPr>
        <w:tc>
          <w:tcPr>
            <w:cnfStyle w:val="001000000000" w:firstRow="0" w:lastRow="0" w:firstColumn="1" w:lastColumn="0" w:oddVBand="0" w:evenVBand="0" w:oddHBand="0" w:evenHBand="0" w:firstRowFirstColumn="0" w:firstRowLastColumn="0" w:lastRowFirstColumn="0" w:lastRowLastColumn="0"/>
            <w:tcW w:w="703" w:type="pct"/>
            <w:shd w:val="clear" w:color="auto" w:fill="00A3E0"/>
            <w:vAlign w:val="center"/>
          </w:tcPr>
          <w:p w14:paraId="68E93EB6" w14:textId="4413F25C" w:rsidR="001C016D" w:rsidRDefault="00D5579B" w:rsidP="005C36F2">
            <w:pPr>
              <w:spacing w:before="120" w:after="120" w:line="240" w:lineRule="atLeast"/>
              <w:contextualSpacing/>
              <w:rPr>
                <w:rFonts w:ascii="Tahoma" w:hAnsi="Tahoma" w:cs="Tahoma"/>
                <w:sz w:val="20"/>
              </w:rPr>
            </w:pPr>
            <w:r>
              <w:rPr>
                <w:rFonts w:ascii="Tahoma" w:hAnsi="Tahoma" w:cs="Tahoma"/>
                <w:sz w:val="20"/>
              </w:rPr>
              <w:t>2019/20</w:t>
            </w:r>
          </w:p>
        </w:tc>
        <w:tc>
          <w:tcPr>
            <w:tcW w:w="4297" w:type="pct"/>
            <w:gridSpan w:val="4"/>
            <w:tcBorders>
              <w:top w:val="single" w:sz="4" w:space="0" w:color="00B0F0"/>
              <w:left w:val="nil"/>
              <w:bottom w:val="single" w:sz="4" w:space="0" w:color="00B0F0"/>
              <w:right w:val="nil"/>
            </w:tcBorders>
            <w:shd w:val="clear" w:color="auto" w:fill="00A3E0"/>
          </w:tcPr>
          <w:p w14:paraId="4AAE9DB3" w14:textId="18C89DC3" w:rsidR="00034067" w:rsidRPr="00017B16" w:rsidRDefault="001C016D" w:rsidP="0003406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r w:rsidRPr="00CD32DB">
              <w:rPr>
                <w:rFonts w:ascii="Tahoma" w:hAnsi="Tahoma" w:cs="Tahoma"/>
                <w:i/>
                <w:sz w:val="20"/>
              </w:rPr>
              <w:t xml:space="preserve">Refer </w:t>
            </w:r>
            <w:r w:rsidRPr="00D44709">
              <w:rPr>
                <w:rFonts w:ascii="Tahoma" w:hAnsi="Tahoma" w:cs="Tahoma"/>
                <w:i/>
                <w:sz w:val="20"/>
              </w:rPr>
              <w:t>to Appendix C for</w:t>
            </w:r>
            <w:r w:rsidRPr="00CD32DB">
              <w:rPr>
                <w:rFonts w:ascii="Tahoma" w:hAnsi="Tahoma" w:cs="Tahoma"/>
                <w:i/>
                <w:sz w:val="20"/>
              </w:rPr>
              <w:t xml:space="preserve"> a description of the systems and processes that support AGN Limited’s cost capture and reporting of Overheads expenditure as presented below.</w:t>
            </w:r>
            <w:r w:rsidR="00034067">
              <w:rPr>
                <w:rFonts w:ascii="Tahoma" w:hAnsi="Tahoma" w:cs="Tahoma"/>
                <w:i/>
                <w:sz w:val="20"/>
              </w:rPr>
              <w:t xml:space="preserve">  </w:t>
            </w:r>
            <w:r w:rsidR="00034067" w:rsidRPr="00017B16">
              <w:rPr>
                <w:rFonts w:ascii="Tahoma" w:hAnsi="Tahoma" w:cs="Tahoma"/>
                <w:i/>
                <w:sz w:val="20"/>
              </w:rPr>
              <w:t xml:space="preserve">These systems and processes provide the necessary level of detail required for AGN Limited to report against the categories and sub-categories of Capex and Overheads shown in the RIN templates.  </w:t>
            </w:r>
          </w:p>
          <w:p w14:paraId="27E4A83B" w14:textId="77777777" w:rsidR="00034067" w:rsidRPr="00017B16" w:rsidRDefault="00034067" w:rsidP="0003406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p>
          <w:p w14:paraId="0A16AEDC" w14:textId="757D173D" w:rsidR="00034067" w:rsidRDefault="00034067" w:rsidP="0003406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r w:rsidRPr="00017B16">
              <w:rPr>
                <w:rFonts w:ascii="Tahoma" w:hAnsi="Tahoma" w:cs="Tahoma"/>
                <w:i/>
                <w:sz w:val="20"/>
              </w:rPr>
              <w:t>However as required by the RIN notice, total Capitalised Overheads amounts have been derived from the trial balance for AGN (SA)</w:t>
            </w:r>
            <w:r w:rsidR="00FA10CC">
              <w:rPr>
                <w:rFonts w:ascii="Tahoma" w:hAnsi="Tahoma" w:cs="Tahoma"/>
                <w:i/>
                <w:sz w:val="20"/>
              </w:rPr>
              <w:t xml:space="preserve"> </w:t>
            </w:r>
            <w:r w:rsidR="00FA10CC" w:rsidRPr="00FA10CC">
              <w:rPr>
                <w:rFonts w:ascii="Tahoma" w:hAnsi="Tahoma" w:cs="Tahoma"/>
                <w:i/>
                <w:sz w:val="20"/>
              </w:rPr>
              <w:t>which has been audited as set out in Appendix G</w:t>
            </w:r>
            <w:r w:rsidRPr="00017B16">
              <w:rPr>
                <w:rFonts w:ascii="Tahoma" w:hAnsi="Tahoma" w:cs="Tahoma"/>
                <w:i/>
                <w:sz w:val="20"/>
              </w:rPr>
              <w:t>.  The amounts of Capitalised Overheads reported in this table E1.4 – Capitalised Overheads have been fully reconciled to the related general ledger accounts that form the AGN (SA) trial balance.  These reconciliations have been provided to AGN Limited’s external auditors as part of the assurance process.  Refer to Appendix G for further information about the trial balance for AGN (SA).</w:t>
            </w:r>
            <w:r>
              <w:rPr>
                <w:rFonts w:ascii="Tahoma" w:hAnsi="Tahoma" w:cs="Tahoma"/>
                <w:i/>
                <w:sz w:val="20"/>
              </w:rPr>
              <w:t xml:space="preserve"> </w:t>
            </w:r>
          </w:p>
          <w:p w14:paraId="69F24058" w14:textId="77777777" w:rsidR="00011FCC" w:rsidRDefault="00011FC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p>
          <w:p w14:paraId="2E212659" w14:textId="7615272B" w:rsidR="00C064F9" w:rsidRPr="00751816" w:rsidRDefault="00C064F9" w:rsidP="00FD3BF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FA7860">
              <w:rPr>
                <w:rFonts w:ascii="Tahoma" w:hAnsi="Tahoma" w:cs="Tahoma"/>
                <w:i/>
                <w:sz w:val="20"/>
              </w:rPr>
              <w:t xml:space="preserve">AGN Limited does not capitalise any of its internal costs other than direct internal Capex </w:t>
            </w:r>
            <w:r w:rsidR="00523335">
              <w:rPr>
                <w:rFonts w:ascii="Tahoma" w:hAnsi="Tahoma" w:cs="Tahoma"/>
                <w:i/>
                <w:sz w:val="20"/>
              </w:rPr>
              <w:t xml:space="preserve">(i.e. </w:t>
            </w:r>
            <w:r w:rsidR="00041CE0">
              <w:rPr>
                <w:rFonts w:ascii="Tahoma" w:hAnsi="Tahoma" w:cs="Tahoma"/>
                <w:i/>
                <w:sz w:val="20"/>
              </w:rPr>
              <w:t>expenditure specifically linked to a capital activity such as a corporate IT project) a</w:t>
            </w:r>
            <w:r w:rsidRPr="00FA7860">
              <w:rPr>
                <w:rFonts w:ascii="Tahoma" w:hAnsi="Tahoma" w:cs="Tahoma"/>
                <w:i/>
                <w:sz w:val="20"/>
              </w:rPr>
              <w:t xml:space="preserve">nd does not treat its internal costs as Corporate Overheads, as outlined in the Capitalisation Policy and Regulatory Accounting Principles and Policy document. </w:t>
            </w:r>
            <w:r w:rsidR="002C1F85" w:rsidRPr="00017B16">
              <w:rPr>
                <w:rFonts w:ascii="Tahoma" w:hAnsi="Tahoma" w:cs="Tahoma"/>
                <w:i/>
                <w:sz w:val="20"/>
              </w:rPr>
              <w:t xml:space="preserve">In 2019/20 AGN Limited has identified specific personnel that are working on internal IT projects and an appropriate amount of their salary costs has been capitalised, as set out in the supplementary information provided </w:t>
            </w:r>
            <w:r w:rsidR="00FD3BFF">
              <w:rPr>
                <w:rFonts w:ascii="Tahoma" w:hAnsi="Tahoma" w:cs="Tahoma"/>
                <w:i/>
                <w:sz w:val="20"/>
              </w:rPr>
              <w:t>in Appendix H of</w:t>
            </w:r>
            <w:r w:rsidR="002C1F85" w:rsidRPr="00017B16">
              <w:rPr>
                <w:rFonts w:ascii="Tahoma" w:hAnsi="Tahoma" w:cs="Tahoma"/>
                <w:i/>
                <w:sz w:val="20"/>
              </w:rPr>
              <w:t xml:space="preserve"> this </w:t>
            </w:r>
            <w:r w:rsidR="00FD3BFF">
              <w:rPr>
                <w:rFonts w:ascii="Tahoma" w:hAnsi="Tahoma" w:cs="Tahoma"/>
                <w:i/>
                <w:sz w:val="20"/>
              </w:rPr>
              <w:t>Basis of Preparation document</w:t>
            </w:r>
            <w:r w:rsidR="002C1F85" w:rsidRPr="00017B16">
              <w:rPr>
                <w:rFonts w:ascii="Tahoma" w:hAnsi="Tahoma" w:cs="Tahoma"/>
                <w:i/>
                <w:sz w:val="20"/>
              </w:rPr>
              <w:t>.  This expenditure appears as direct Capex and In-house Labour in the Annual RIN templates.</w:t>
            </w:r>
          </w:p>
        </w:tc>
      </w:tr>
      <w:tr w:rsidR="00C81EC6" w:rsidRPr="00751816" w14:paraId="33F67DB3" w14:textId="77777777" w:rsidTr="00D5579B">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389"/>
        </w:trPr>
        <w:tc>
          <w:tcPr>
            <w:cnfStyle w:val="001000000000" w:firstRow="0" w:lastRow="0" w:firstColumn="1" w:lastColumn="0" w:oddVBand="0" w:evenVBand="0" w:oddHBand="0" w:evenHBand="0" w:firstRowFirstColumn="0" w:firstRowLastColumn="0" w:lastRowFirstColumn="0" w:lastRowLastColumn="0"/>
            <w:tcW w:w="703" w:type="pct"/>
            <w:tcBorders>
              <w:bottom w:val="single" w:sz="4" w:space="0" w:color="00A3E0"/>
            </w:tcBorders>
            <w:shd w:val="clear" w:color="auto" w:fill="D9D9D9" w:themeFill="background1" w:themeFillShade="D9"/>
            <w:vAlign w:val="center"/>
          </w:tcPr>
          <w:p w14:paraId="5D06069E" w14:textId="77777777" w:rsidR="00C81EC6" w:rsidRPr="00751816" w:rsidRDefault="00C81EC6" w:rsidP="005C36F2">
            <w:pPr>
              <w:spacing w:before="120" w:after="120" w:line="240" w:lineRule="atLeast"/>
              <w:contextualSpacing/>
              <w:rPr>
                <w:rFonts w:ascii="Tahoma" w:hAnsi="Tahoma" w:cs="Tahoma"/>
                <w:sz w:val="20"/>
              </w:rPr>
            </w:pPr>
            <w:r w:rsidRPr="00751816">
              <w:rPr>
                <w:rFonts w:ascii="Tahoma" w:hAnsi="Tahoma" w:cs="Tahoma"/>
                <w:sz w:val="20"/>
              </w:rPr>
              <w:t xml:space="preserve">Connections </w:t>
            </w:r>
          </w:p>
        </w:tc>
        <w:tc>
          <w:tcPr>
            <w:tcW w:w="1667" w:type="pct"/>
            <w:tcBorders>
              <w:top w:val="single" w:sz="4" w:space="0" w:color="00B0F0"/>
              <w:left w:val="nil"/>
              <w:bottom w:val="single" w:sz="4" w:space="0" w:color="00B0F0"/>
              <w:right w:val="nil"/>
            </w:tcBorders>
          </w:tcPr>
          <w:p w14:paraId="4B38CDE3" w14:textId="7B5FB8EC" w:rsidR="00C81EC6" w:rsidRPr="00DA47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A4716">
              <w:rPr>
                <w:rFonts w:ascii="Tahoma" w:hAnsi="Tahoma" w:cs="Tahoma"/>
                <w:sz w:val="20"/>
              </w:rPr>
              <w:t>The Capitalised</w:t>
            </w:r>
            <w:r w:rsidR="0059188A" w:rsidRPr="00DA4716">
              <w:rPr>
                <w:rFonts w:ascii="Tahoma" w:hAnsi="Tahoma" w:cs="Tahoma"/>
                <w:sz w:val="20"/>
              </w:rPr>
              <w:t xml:space="preserve"> Network</w:t>
            </w:r>
            <w:r w:rsidRPr="00DA4716">
              <w:rPr>
                <w:rFonts w:ascii="Tahoma" w:hAnsi="Tahoma" w:cs="Tahoma"/>
                <w:sz w:val="20"/>
              </w:rPr>
              <w:t xml:space="preserve"> Overheads reported in this table represents the Network Overheads that have been allocated to Connections Capex, as reported in Table E1.1.1 above.  </w:t>
            </w:r>
          </w:p>
          <w:p w14:paraId="5D3F6C48" w14:textId="77777777" w:rsidR="00C81EC6" w:rsidRPr="00DA47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02A1A1C" w14:textId="09978AAF" w:rsidR="00C81EC6" w:rsidRPr="00DA4716" w:rsidRDefault="00C81EC6" w:rsidP="00011FC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A4716">
              <w:rPr>
                <w:rFonts w:ascii="Tahoma" w:hAnsi="Tahoma" w:cs="Tahoma"/>
                <w:sz w:val="20"/>
              </w:rPr>
              <w:t xml:space="preserve">Network Overheads are allocated to direct Capex based on the level of spend, as outlined in the CAM.  </w:t>
            </w:r>
          </w:p>
        </w:tc>
        <w:tc>
          <w:tcPr>
            <w:tcW w:w="806" w:type="pct"/>
            <w:tcBorders>
              <w:top w:val="single" w:sz="4" w:space="0" w:color="00B0F0"/>
              <w:left w:val="nil"/>
              <w:bottom w:val="single" w:sz="4" w:space="0" w:color="00B0F0"/>
              <w:right w:val="nil"/>
            </w:tcBorders>
            <w:vAlign w:val="center"/>
          </w:tcPr>
          <w:p w14:paraId="4A388B46" w14:textId="77777777" w:rsidR="00C81EC6" w:rsidRPr="00DA4716" w:rsidRDefault="00C81EC6" w:rsidP="00D630E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A4716">
              <w:rPr>
                <w:rFonts w:ascii="Tahoma" w:hAnsi="Tahoma" w:cs="Tahoma"/>
                <w:sz w:val="20"/>
              </w:rPr>
              <w:t>Actual</w:t>
            </w:r>
          </w:p>
        </w:tc>
        <w:tc>
          <w:tcPr>
            <w:tcW w:w="1163" w:type="pct"/>
            <w:tcBorders>
              <w:top w:val="single" w:sz="4" w:space="0" w:color="00B0F0"/>
              <w:left w:val="nil"/>
              <w:bottom w:val="single" w:sz="4" w:space="0" w:color="00B0F0"/>
              <w:right w:val="nil"/>
            </w:tcBorders>
          </w:tcPr>
          <w:p w14:paraId="7643D3DE"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1" w:type="pct"/>
            <w:tcBorders>
              <w:top w:val="single" w:sz="4" w:space="0" w:color="00B0F0"/>
              <w:left w:val="nil"/>
              <w:bottom w:val="single" w:sz="4" w:space="0" w:color="00B0F0"/>
              <w:right w:val="nil"/>
            </w:tcBorders>
          </w:tcPr>
          <w:p w14:paraId="2323EAE1"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C81EC6" w:rsidRPr="00751816" w14:paraId="4E1BCCAE" w14:textId="77777777" w:rsidTr="00D5579B">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61"/>
        </w:trPr>
        <w:tc>
          <w:tcPr>
            <w:cnfStyle w:val="001000000000" w:firstRow="0" w:lastRow="0" w:firstColumn="1" w:lastColumn="0" w:oddVBand="0" w:evenVBand="0" w:oddHBand="0" w:evenHBand="0" w:firstRowFirstColumn="0" w:firstRowLastColumn="0" w:lastRowFirstColumn="0" w:lastRowLastColumn="0"/>
            <w:tcW w:w="703" w:type="pct"/>
            <w:tcBorders>
              <w:top w:val="single" w:sz="4" w:space="0" w:color="00A3E0"/>
              <w:bottom w:val="single" w:sz="4" w:space="0" w:color="00A3E0"/>
            </w:tcBorders>
            <w:shd w:val="clear" w:color="auto" w:fill="D9D9D9" w:themeFill="background1" w:themeFillShade="D9"/>
            <w:vAlign w:val="center"/>
          </w:tcPr>
          <w:p w14:paraId="12410C34" w14:textId="77777777" w:rsidR="00C81EC6" w:rsidRPr="00751816" w:rsidRDefault="00C81EC6" w:rsidP="005C36F2">
            <w:pPr>
              <w:spacing w:before="120" w:after="120" w:line="240" w:lineRule="atLeast"/>
              <w:contextualSpacing/>
              <w:rPr>
                <w:rFonts w:ascii="Tahoma" w:hAnsi="Tahoma" w:cs="Tahoma"/>
                <w:sz w:val="20"/>
              </w:rPr>
            </w:pPr>
            <w:r w:rsidRPr="00751816">
              <w:rPr>
                <w:rFonts w:ascii="Tahoma" w:hAnsi="Tahoma" w:cs="Tahoma"/>
                <w:sz w:val="20"/>
              </w:rPr>
              <w:t xml:space="preserve">Mains Replacement </w:t>
            </w:r>
          </w:p>
        </w:tc>
        <w:tc>
          <w:tcPr>
            <w:tcW w:w="1667" w:type="pct"/>
            <w:tcBorders>
              <w:top w:val="single" w:sz="4" w:space="0" w:color="00B0F0"/>
              <w:left w:val="nil"/>
              <w:bottom w:val="single" w:sz="4" w:space="0" w:color="00B0F0"/>
              <w:right w:val="nil"/>
            </w:tcBorders>
          </w:tcPr>
          <w:p w14:paraId="647DE800" w14:textId="5C8F0C34" w:rsidR="00C81EC6" w:rsidRPr="00DA47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Capitalised </w:t>
            </w:r>
            <w:r w:rsidR="0059188A">
              <w:rPr>
                <w:rFonts w:ascii="Tahoma" w:hAnsi="Tahoma" w:cs="Tahoma"/>
                <w:sz w:val="20"/>
              </w:rPr>
              <w:t xml:space="preserve">Network </w:t>
            </w:r>
            <w:r>
              <w:rPr>
                <w:rFonts w:ascii="Tahoma" w:hAnsi="Tahoma" w:cs="Tahoma"/>
                <w:sz w:val="20"/>
              </w:rPr>
              <w:t xml:space="preserve">Overheads reported in </w:t>
            </w:r>
            <w:r w:rsidRPr="00DA4716">
              <w:rPr>
                <w:rFonts w:ascii="Tahoma" w:hAnsi="Tahoma" w:cs="Tahoma"/>
                <w:sz w:val="20"/>
              </w:rPr>
              <w:t xml:space="preserve">this table represents the Network Overheads that have been allocated to Mains Replacement Capex, as reported in Table E1.1.1 above.  </w:t>
            </w:r>
          </w:p>
          <w:p w14:paraId="4D3A4248" w14:textId="77777777" w:rsidR="00C81EC6" w:rsidRPr="00DA47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8CB0920" w14:textId="25872F41" w:rsidR="00C81EC6" w:rsidRPr="00751816" w:rsidRDefault="00C81EC6" w:rsidP="00011FC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A4716">
              <w:rPr>
                <w:rFonts w:ascii="Tahoma" w:hAnsi="Tahoma" w:cs="Tahoma"/>
                <w:sz w:val="20"/>
              </w:rPr>
              <w:lastRenderedPageBreak/>
              <w:t xml:space="preserve">Network Overheads are allocated to direct Capex based on the level of spend, as outlined in the CAM.  </w:t>
            </w:r>
          </w:p>
        </w:tc>
        <w:tc>
          <w:tcPr>
            <w:tcW w:w="806" w:type="pct"/>
            <w:tcBorders>
              <w:top w:val="single" w:sz="4" w:space="0" w:color="00B0F0"/>
              <w:left w:val="nil"/>
              <w:bottom w:val="single" w:sz="4" w:space="0" w:color="00B0F0"/>
              <w:right w:val="nil"/>
            </w:tcBorders>
            <w:vAlign w:val="center"/>
          </w:tcPr>
          <w:p w14:paraId="7029C8BE" w14:textId="77777777" w:rsidR="00C81EC6" w:rsidRPr="00751816" w:rsidRDefault="00C81EC6" w:rsidP="00D630E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63" w:type="pct"/>
            <w:tcBorders>
              <w:top w:val="single" w:sz="4" w:space="0" w:color="00B0F0"/>
              <w:left w:val="nil"/>
              <w:bottom w:val="single" w:sz="4" w:space="0" w:color="00B0F0"/>
              <w:right w:val="nil"/>
            </w:tcBorders>
          </w:tcPr>
          <w:p w14:paraId="0E07231A"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1" w:type="pct"/>
            <w:tcBorders>
              <w:top w:val="single" w:sz="4" w:space="0" w:color="00B0F0"/>
              <w:left w:val="nil"/>
              <w:bottom w:val="single" w:sz="4" w:space="0" w:color="00B0F0"/>
              <w:right w:val="nil"/>
            </w:tcBorders>
          </w:tcPr>
          <w:p w14:paraId="42DA5C82"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D630EB" w:rsidRPr="00DA4716" w14:paraId="7DDF5EE8" w14:textId="77777777" w:rsidTr="00D5579B">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59"/>
        </w:trPr>
        <w:tc>
          <w:tcPr>
            <w:cnfStyle w:val="001000000000" w:firstRow="0" w:lastRow="0" w:firstColumn="1" w:lastColumn="0" w:oddVBand="0" w:evenVBand="0" w:oddHBand="0" w:evenHBand="0" w:firstRowFirstColumn="0" w:firstRowLastColumn="0" w:lastRowFirstColumn="0" w:lastRowLastColumn="0"/>
            <w:tcW w:w="703" w:type="pct"/>
            <w:tcBorders>
              <w:top w:val="single" w:sz="4" w:space="0" w:color="00A3E0"/>
              <w:bottom w:val="single" w:sz="4" w:space="0" w:color="00A3E0"/>
            </w:tcBorders>
            <w:shd w:val="clear" w:color="auto" w:fill="D9D9D9" w:themeFill="background1" w:themeFillShade="D9"/>
            <w:vAlign w:val="center"/>
          </w:tcPr>
          <w:p w14:paraId="1B8806CE" w14:textId="77777777" w:rsidR="00C81EC6" w:rsidRPr="00DA4716" w:rsidRDefault="00C81EC6" w:rsidP="005C36F2">
            <w:pPr>
              <w:spacing w:before="120" w:after="120" w:line="240" w:lineRule="atLeast"/>
              <w:contextualSpacing/>
              <w:rPr>
                <w:rFonts w:ascii="Tahoma" w:hAnsi="Tahoma" w:cs="Tahoma"/>
                <w:sz w:val="20"/>
              </w:rPr>
            </w:pPr>
            <w:r w:rsidRPr="00DA4716">
              <w:rPr>
                <w:rFonts w:ascii="Tahoma" w:hAnsi="Tahoma" w:cs="Tahoma"/>
                <w:sz w:val="20"/>
              </w:rPr>
              <w:t xml:space="preserve">Mains Augmentation </w:t>
            </w:r>
          </w:p>
        </w:tc>
        <w:tc>
          <w:tcPr>
            <w:tcW w:w="1667" w:type="pct"/>
            <w:tcBorders>
              <w:top w:val="single" w:sz="4" w:space="0" w:color="00B0F0"/>
              <w:left w:val="nil"/>
              <w:bottom w:val="single" w:sz="4" w:space="0" w:color="00B0F0"/>
              <w:right w:val="nil"/>
            </w:tcBorders>
          </w:tcPr>
          <w:p w14:paraId="4C79CD46" w14:textId="200D7C6F" w:rsidR="00C81EC6" w:rsidRPr="00DA47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A4716">
              <w:rPr>
                <w:rFonts w:ascii="Tahoma" w:hAnsi="Tahoma" w:cs="Tahoma"/>
                <w:sz w:val="20"/>
              </w:rPr>
              <w:t xml:space="preserve">The Capitalised </w:t>
            </w:r>
            <w:r w:rsidR="0059188A" w:rsidRPr="00DA4716">
              <w:rPr>
                <w:rFonts w:ascii="Tahoma" w:hAnsi="Tahoma" w:cs="Tahoma"/>
                <w:sz w:val="20"/>
              </w:rPr>
              <w:t xml:space="preserve">Network </w:t>
            </w:r>
            <w:r w:rsidRPr="00DA4716">
              <w:rPr>
                <w:rFonts w:ascii="Tahoma" w:hAnsi="Tahoma" w:cs="Tahoma"/>
                <w:sz w:val="20"/>
              </w:rPr>
              <w:t xml:space="preserve">Overheads reported in this table represents the Network Overheads that have been allocated to Mains Augmentation Capex, as reported in Table E1.1.1 above.  </w:t>
            </w:r>
          </w:p>
          <w:p w14:paraId="77C4D85C" w14:textId="77777777" w:rsidR="00C81EC6" w:rsidRPr="00DA47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DAC022F" w14:textId="71447EA6" w:rsidR="00C81EC6" w:rsidRPr="00DA4716" w:rsidRDefault="00C81EC6" w:rsidP="00011FC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A4716">
              <w:rPr>
                <w:rFonts w:ascii="Tahoma" w:hAnsi="Tahoma" w:cs="Tahoma"/>
                <w:sz w:val="20"/>
              </w:rPr>
              <w:t xml:space="preserve">Network Overheads are allocated to direct Capex based on the level of spend, as outlined in the CAM.  </w:t>
            </w:r>
          </w:p>
        </w:tc>
        <w:tc>
          <w:tcPr>
            <w:tcW w:w="806" w:type="pct"/>
            <w:tcBorders>
              <w:top w:val="single" w:sz="4" w:space="0" w:color="00B0F0"/>
              <w:left w:val="nil"/>
              <w:bottom w:val="single" w:sz="4" w:space="0" w:color="00B0F0"/>
              <w:right w:val="nil"/>
            </w:tcBorders>
            <w:vAlign w:val="center"/>
          </w:tcPr>
          <w:p w14:paraId="5ADCA80E" w14:textId="77777777" w:rsidR="00C81EC6" w:rsidRPr="00DA4716" w:rsidRDefault="00C81EC6" w:rsidP="00D630E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A4716">
              <w:rPr>
                <w:rFonts w:ascii="Tahoma" w:hAnsi="Tahoma" w:cs="Tahoma"/>
                <w:sz w:val="20"/>
              </w:rPr>
              <w:t>Actual</w:t>
            </w:r>
          </w:p>
        </w:tc>
        <w:tc>
          <w:tcPr>
            <w:tcW w:w="1163" w:type="pct"/>
            <w:tcBorders>
              <w:top w:val="single" w:sz="4" w:space="0" w:color="00B0F0"/>
              <w:left w:val="nil"/>
              <w:bottom w:val="single" w:sz="4" w:space="0" w:color="00B0F0"/>
              <w:right w:val="nil"/>
            </w:tcBorders>
          </w:tcPr>
          <w:p w14:paraId="5E27F8E6" w14:textId="77777777" w:rsidR="00C81EC6" w:rsidRPr="00DA47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1" w:type="pct"/>
            <w:tcBorders>
              <w:top w:val="single" w:sz="4" w:space="0" w:color="00B0F0"/>
              <w:left w:val="nil"/>
              <w:bottom w:val="single" w:sz="4" w:space="0" w:color="00B0F0"/>
              <w:right w:val="nil"/>
            </w:tcBorders>
          </w:tcPr>
          <w:p w14:paraId="3E848B43" w14:textId="77777777" w:rsidR="00C81EC6" w:rsidRPr="00DA47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C81EC6" w:rsidRPr="00751816" w14:paraId="268020A5" w14:textId="77777777" w:rsidTr="00D5579B">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59"/>
        </w:trPr>
        <w:tc>
          <w:tcPr>
            <w:cnfStyle w:val="001000000000" w:firstRow="0" w:lastRow="0" w:firstColumn="1" w:lastColumn="0" w:oddVBand="0" w:evenVBand="0" w:oddHBand="0" w:evenHBand="0" w:firstRowFirstColumn="0" w:firstRowLastColumn="0" w:lastRowFirstColumn="0" w:lastRowLastColumn="0"/>
            <w:tcW w:w="703" w:type="pct"/>
            <w:tcBorders>
              <w:top w:val="single" w:sz="4" w:space="0" w:color="00A3E0"/>
              <w:bottom w:val="single" w:sz="4" w:space="0" w:color="00A3E0"/>
            </w:tcBorders>
            <w:shd w:val="clear" w:color="auto" w:fill="D9D9D9" w:themeFill="background1" w:themeFillShade="D9"/>
            <w:vAlign w:val="center"/>
          </w:tcPr>
          <w:p w14:paraId="7D48D4C0" w14:textId="77777777" w:rsidR="00C81EC6" w:rsidRPr="00751816" w:rsidRDefault="00C81EC6" w:rsidP="005C36F2">
            <w:pPr>
              <w:spacing w:before="120" w:after="120" w:line="240" w:lineRule="atLeast"/>
              <w:contextualSpacing/>
              <w:rPr>
                <w:rFonts w:ascii="Tahoma" w:hAnsi="Tahoma" w:cs="Tahoma"/>
                <w:sz w:val="20"/>
              </w:rPr>
            </w:pPr>
            <w:r w:rsidRPr="00751816">
              <w:rPr>
                <w:rFonts w:ascii="Tahoma" w:hAnsi="Tahoma" w:cs="Tahoma"/>
                <w:sz w:val="20"/>
              </w:rPr>
              <w:t xml:space="preserve">Telemetry </w:t>
            </w:r>
          </w:p>
        </w:tc>
        <w:tc>
          <w:tcPr>
            <w:tcW w:w="1667" w:type="pct"/>
            <w:tcBorders>
              <w:top w:val="single" w:sz="4" w:space="0" w:color="00B0F0"/>
              <w:left w:val="nil"/>
              <w:bottom w:val="single" w:sz="4" w:space="0" w:color="00B0F0"/>
              <w:right w:val="nil"/>
            </w:tcBorders>
          </w:tcPr>
          <w:p w14:paraId="6E16CE4C" w14:textId="469FC06F" w:rsidR="00C81EC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Capitalised </w:t>
            </w:r>
            <w:r w:rsidR="0059188A">
              <w:rPr>
                <w:rFonts w:ascii="Tahoma" w:hAnsi="Tahoma" w:cs="Tahoma"/>
                <w:sz w:val="20"/>
              </w:rPr>
              <w:t xml:space="preserve">Network </w:t>
            </w:r>
            <w:r>
              <w:rPr>
                <w:rFonts w:ascii="Tahoma" w:hAnsi="Tahoma" w:cs="Tahoma"/>
                <w:sz w:val="20"/>
              </w:rPr>
              <w:t xml:space="preserve">Overheads reported in this table represents the Network Overheads that have been allocated to Telemetry Capex, as reported in Table E1.1.1 above.  </w:t>
            </w:r>
          </w:p>
          <w:p w14:paraId="7BF51FE2" w14:textId="77777777" w:rsidR="00C81EC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3CA1264" w14:textId="69C21C53" w:rsidR="00C81EC6" w:rsidRPr="00DA4716" w:rsidRDefault="00C81EC6" w:rsidP="00011FC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color w:val="FF0000"/>
                <w:sz w:val="20"/>
              </w:rPr>
            </w:pPr>
            <w:r>
              <w:rPr>
                <w:rFonts w:ascii="Tahoma" w:hAnsi="Tahoma" w:cs="Tahoma"/>
                <w:sz w:val="20"/>
              </w:rPr>
              <w:t xml:space="preserve">Network Overheads are allocated to direct Capex based on the level of spend, as outlined in the CAM.  </w:t>
            </w:r>
          </w:p>
        </w:tc>
        <w:tc>
          <w:tcPr>
            <w:tcW w:w="806" w:type="pct"/>
            <w:tcBorders>
              <w:top w:val="single" w:sz="4" w:space="0" w:color="00B0F0"/>
              <w:left w:val="nil"/>
              <w:bottom w:val="single" w:sz="4" w:space="0" w:color="00B0F0"/>
              <w:right w:val="nil"/>
            </w:tcBorders>
            <w:vAlign w:val="center"/>
          </w:tcPr>
          <w:p w14:paraId="3A306723" w14:textId="77777777" w:rsidR="00C81EC6" w:rsidRPr="00751816" w:rsidRDefault="00C81EC6" w:rsidP="00D630E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63" w:type="pct"/>
            <w:tcBorders>
              <w:top w:val="single" w:sz="4" w:space="0" w:color="00B0F0"/>
              <w:left w:val="nil"/>
              <w:bottom w:val="single" w:sz="4" w:space="0" w:color="00B0F0"/>
              <w:right w:val="nil"/>
            </w:tcBorders>
          </w:tcPr>
          <w:p w14:paraId="6DF182BA"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1" w:type="pct"/>
            <w:tcBorders>
              <w:top w:val="single" w:sz="4" w:space="0" w:color="00B0F0"/>
              <w:left w:val="nil"/>
              <w:bottom w:val="single" w:sz="4" w:space="0" w:color="00B0F0"/>
              <w:right w:val="nil"/>
            </w:tcBorders>
          </w:tcPr>
          <w:p w14:paraId="653111AE"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C81EC6" w:rsidRPr="00751816" w14:paraId="2330DFB5" w14:textId="77777777" w:rsidTr="00D5579B">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59"/>
        </w:trPr>
        <w:tc>
          <w:tcPr>
            <w:cnfStyle w:val="001000000000" w:firstRow="0" w:lastRow="0" w:firstColumn="1" w:lastColumn="0" w:oddVBand="0" w:evenVBand="0" w:oddHBand="0" w:evenHBand="0" w:firstRowFirstColumn="0" w:firstRowLastColumn="0" w:lastRowFirstColumn="0" w:lastRowLastColumn="0"/>
            <w:tcW w:w="703" w:type="pct"/>
            <w:tcBorders>
              <w:top w:val="single" w:sz="4" w:space="0" w:color="00A3E0"/>
              <w:bottom w:val="single" w:sz="4" w:space="0" w:color="00A3E0"/>
            </w:tcBorders>
            <w:shd w:val="clear" w:color="auto" w:fill="D9D9D9" w:themeFill="background1" w:themeFillShade="D9"/>
            <w:vAlign w:val="center"/>
          </w:tcPr>
          <w:p w14:paraId="1C712B04" w14:textId="77777777" w:rsidR="00C81EC6" w:rsidRPr="00751816" w:rsidRDefault="00C81EC6" w:rsidP="005C36F2">
            <w:pPr>
              <w:spacing w:before="120" w:after="120" w:line="240" w:lineRule="atLeast"/>
              <w:contextualSpacing/>
              <w:rPr>
                <w:rFonts w:ascii="Tahoma" w:hAnsi="Tahoma" w:cs="Tahoma"/>
                <w:sz w:val="20"/>
              </w:rPr>
            </w:pPr>
            <w:r w:rsidRPr="00751816">
              <w:rPr>
                <w:rFonts w:ascii="Tahoma" w:hAnsi="Tahoma" w:cs="Tahoma"/>
                <w:sz w:val="20"/>
              </w:rPr>
              <w:t xml:space="preserve">Meter Replacement </w:t>
            </w:r>
          </w:p>
        </w:tc>
        <w:tc>
          <w:tcPr>
            <w:tcW w:w="1667" w:type="pct"/>
            <w:tcBorders>
              <w:top w:val="single" w:sz="4" w:space="0" w:color="00B0F0"/>
              <w:left w:val="nil"/>
              <w:bottom w:val="single" w:sz="4" w:space="0" w:color="00B0F0"/>
              <w:right w:val="nil"/>
            </w:tcBorders>
          </w:tcPr>
          <w:p w14:paraId="3C8C0076" w14:textId="79F46234" w:rsidR="00C81EC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Capitalised </w:t>
            </w:r>
            <w:r w:rsidR="0059188A">
              <w:rPr>
                <w:rFonts w:ascii="Tahoma" w:hAnsi="Tahoma" w:cs="Tahoma"/>
                <w:sz w:val="20"/>
              </w:rPr>
              <w:t xml:space="preserve">Network </w:t>
            </w:r>
            <w:r>
              <w:rPr>
                <w:rFonts w:ascii="Tahoma" w:hAnsi="Tahoma" w:cs="Tahoma"/>
                <w:sz w:val="20"/>
              </w:rPr>
              <w:t xml:space="preserve">Overheads reported in this table represents the Network Overheads that have been allocated to Meter Replacement Capex, as reported in Table E1.1.1 above.  </w:t>
            </w:r>
          </w:p>
          <w:p w14:paraId="61FA77B2" w14:textId="77777777" w:rsidR="00C81EC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94678C0" w14:textId="0ACB00CE" w:rsidR="00C81EC6" w:rsidRPr="00751816" w:rsidRDefault="00C81EC6" w:rsidP="00011FC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Network Overheads are allocated to direct Capex based on the level of spend, as outlined in the CAM.  </w:t>
            </w:r>
          </w:p>
        </w:tc>
        <w:tc>
          <w:tcPr>
            <w:tcW w:w="806" w:type="pct"/>
            <w:tcBorders>
              <w:top w:val="single" w:sz="4" w:space="0" w:color="00B0F0"/>
              <w:left w:val="nil"/>
              <w:bottom w:val="single" w:sz="4" w:space="0" w:color="00B0F0"/>
              <w:right w:val="nil"/>
            </w:tcBorders>
            <w:vAlign w:val="center"/>
          </w:tcPr>
          <w:p w14:paraId="7F9339E9" w14:textId="77777777" w:rsidR="00C81EC6" w:rsidRPr="00751816" w:rsidRDefault="00C81EC6" w:rsidP="00D630E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63" w:type="pct"/>
            <w:tcBorders>
              <w:top w:val="single" w:sz="4" w:space="0" w:color="00B0F0"/>
              <w:left w:val="nil"/>
              <w:bottom w:val="single" w:sz="4" w:space="0" w:color="00B0F0"/>
              <w:right w:val="nil"/>
            </w:tcBorders>
          </w:tcPr>
          <w:p w14:paraId="4E218985"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1" w:type="pct"/>
            <w:tcBorders>
              <w:top w:val="single" w:sz="4" w:space="0" w:color="00B0F0"/>
              <w:left w:val="nil"/>
              <w:bottom w:val="single" w:sz="4" w:space="0" w:color="00B0F0"/>
              <w:right w:val="nil"/>
            </w:tcBorders>
          </w:tcPr>
          <w:p w14:paraId="77A5801D"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5C2AC4" w:rsidRPr="00751816" w14:paraId="092E3E2C" w14:textId="77777777" w:rsidTr="005C2AC4">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59"/>
        </w:trPr>
        <w:tc>
          <w:tcPr>
            <w:cnfStyle w:val="001000000000" w:firstRow="0" w:lastRow="0" w:firstColumn="1" w:lastColumn="0" w:oddVBand="0" w:evenVBand="0" w:oddHBand="0" w:evenHBand="0" w:firstRowFirstColumn="0" w:firstRowLastColumn="0" w:lastRowFirstColumn="0" w:lastRowLastColumn="0"/>
            <w:tcW w:w="703" w:type="pct"/>
            <w:tcBorders>
              <w:top w:val="single" w:sz="4" w:space="0" w:color="00A3E0"/>
              <w:bottom w:val="single" w:sz="4" w:space="0" w:color="00A3E0"/>
            </w:tcBorders>
            <w:shd w:val="clear" w:color="auto" w:fill="D9D9D9" w:themeFill="background1" w:themeFillShade="D9"/>
            <w:vAlign w:val="center"/>
          </w:tcPr>
          <w:p w14:paraId="2502F04F" w14:textId="77777777" w:rsidR="005C2AC4" w:rsidRPr="00751816" w:rsidRDefault="005C2AC4" w:rsidP="005C36F2">
            <w:pPr>
              <w:spacing w:before="120" w:after="120" w:line="240" w:lineRule="atLeast"/>
              <w:contextualSpacing/>
              <w:rPr>
                <w:rFonts w:ascii="Tahoma" w:hAnsi="Tahoma" w:cs="Tahoma"/>
                <w:sz w:val="20"/>
              </w:rPr>
            </w:pPr>
            <w:r w:rsidRPr="00751816">
              <w:rPr>
                <w:rFonts w:ascii="Tahoma" w:hAnsi="Tahoma" w:cs="Tahoma"/>
                <w:sz w:val="20"/>
              </w:rPr>
              <w:t xml:space="preserve">ICT </w:t>
            </w:r>
          </w:p>
        </w:tc>
        <w:tc>
          <w:tcPr>
            <w:tcW w:w="4297" w:type="pct"/>
            <w:gridSpan w:val="4"/>
            <w:tcBorders>
              <w:top w:val="single" w:sz="4" w:space="0" w:color="00B0F0"/>
              <w:left w:val="nil"/>
              <w:bottom w:val="single" w:sz="4" w:space="0" w:color="00B0F0"/>
              <w:right w:val="nil"/>
            </w:tcBorders>
          </w:tcPr>
          <w:p w14:paraId="25AFDD77" w14:textId="32B3E910" w:rsidR="005C2AC4" w:rsidRDefault="005C2AC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4557F">
              <w:rPr>
                <w:rFonts w:ascii="Tahoma" w:hAnsi="Tahoma" w:cs="Tahoma"/>
                <w:sz w:val="20"/>
              </w:rPr>
              <w:t xml:space="preserve">From 2015-16 AGN Limited ceased allocating Network Overheads to major ICT projects, as outlined in Appendix C and </w:t>
            </w:r>
            <w:r w:rsidR="00011FCC">
              <w:rPr>
                <w:rFonts w:ascii="Tahoma" w:hAnsi="Tahoma" w:cs="Tahoma"/>
                <w:sz w:val="20"/>
              </w:rPr>
              <w:t xml:space="preserve">in </w:t>
            </w:r>
            <w:r w:rsidRPr="0014557F">
              <w:rPr>
                <w:rFonts w:ascii="Tahoma" w:hAnsi="Tahoma" w:cs="Tahoma"/>
                <w:sz w:val="20"/>
              </w:rPr>
              <w:t>the CAM.</w:t>
            </w:r>
          </w:p>
          <w:p w14:paraId="6CCECBBE" w14:textId="340E36E5" w:rsidR="005C2AC4" w:rsidRDefault="005C2AC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6612DFD" w14:textId="2E699FAD" w:rsidR="005C2AC4" w:rsidRPr="00751816" w:rsidRDefault="005C2AC4" w:rsidP="00011FC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lang w:val="en-US"/>
              </w:rPr>
              <w:t>Thus we provide a ‘Null’ response in the reporting template.</w:t>
            </w:r>
          </w:p>
        </w:tc>
      </w:tr>
      <w:tr w:rsidR="00C81EC6" w:rsidRPr="00751816" w14:paraId="64B2AAE0" w14:textId="77777777" w:rsidTr="00D5579B">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59"/>
        </w:trPr>
        <w:tc>
          <w:tcPr>
            <w:cnfStyle w:val="001000000000" w:firstRow="0" w:lastRow="0" w:firstColumn="1" w:lastColumn="0" w:oddVBand="0" w:evenVBand="0" w:oddHBand="0" w:evenHBand="0" w:firstRowFirstColumn="0" w:firstRowLastColumn="0" w:lastRowFirstColumn="0" w:lastRowLastColumn="0"/>
            <w:tcW w:w="703" w:type="pct"/>
            <w:tcBorders>
              <w:top w:val="single" w:sz="4" w:space="0" w:color="00A3E0"/>
              <w:bottom w:val="single" w:sz="4" w:space="0" w:color="00A3E0"/>
            </w:tcBorders>
            <w:shd w:val="clear" w:color="auto" w:fill="D9D9D9" w:themeFill="background1" w:themeFillShade="D9"/>
            <w:vAlign w:val="center"/>
          </w:tcPr>
          <w:p w14:paraId="4E13C9D1" w14:textId="77777777" w:rsidR="00C81EC6" w:rsidRPr="00751816" w:rsidRDefault="00C81EC6" w:rsidP="005C36F2">
            <w:pPr>
              <w:spacing w:before="120" w:after="120" w:line="240" w:lineRule="atLeast"/>
              <w:contextualSpacing/>
              <w:rPr>
                <w:rFonts w:ascii="Tahoma" w:hAnsi="Tahoma" w:cs="Tahoma"/>
                <w:sz w:val="20"/>
              </w:rPr>
            </w:pPr>
            <w:r w:rsidRPr="00751816">
              <w:rPr>
                <w:rFonts w:ascii="Tahoma" w:hAnsi="Tahoma" w:cs="Tahoma"/>
                <w:sz w:val="20"/>
              </w:rPr>
              <w:lastRenderedPageBreak/>
              <w:t xml:space="preserve">Other Capex </w:t>
            </w:r>
          </w:p>
        </w:tc>
        <w:tc>
          <w:tcPr>
            <w:tcW w:w="1667" w:type="pct"/>
            <w:tcBorders>
              <w:top w:val="single" w:sz="4" w:space="0" w:color="00B0F0"/>
              <w:left w:val="nil"/>
              <w:bottom w:val="single" w:sz="4" w:space="0" w:color="00B0F0"/>
              <w:right w:val="nil"/>
            </w:tcBorders>
          </w:tcPr>
          <w:p w14:paraId="68323ABA" w14:textId="0AB42F75" w:rsidR="00C81EC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Capitalised </w:t>
            </w:r>
            <w:r w:rsidR="0059188A">
              <w:rPr>
                <w:rFonts w:ascii="Tahoma" w:hAnsi="Tahoma" w:cs="Tahoma"/>
                <w:sz w:val="20"/>
              </w:rPr>
              <w:t xml:space="preserve">Network </w:t>
            </w:r>
            <w:r>
              <w:rPr>
                <w:rFonts w:ascii="Tahoma" w:hAnsi="Tahoma" w:cs="Tahoma"/>
                <w:sz w:val="20"/>
              </w:rPr>
              <w:t xml:space="preserve">Overheads reported in this table represents the Network Overheads that have been allocated to Other Capex, as reported in Table E1.1.1 above.  </w:t>
            </w:r>
          </w:p>
          <w:p w14:paraId="6A03EFAC" w14:textId="77777777" w:rsidR="00C81EC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83F8042" w14:textId="4A8D716C" w:rsidR="00C81EC6" w:rsidRPr="00751816" w:rsidRDefault="00C81EC6" w:rsidP="00011FC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Network Overheads are allocated to direct Capex based on the level of spend, as outlined in the CAM. </w:t>
            </w:r>
          </w:p>
        </w:tc>
        <w:tc>
          <w:tcPr>
            <w:tcW w:w="806" w:type="pct"/>
            <w:tcBorders>
              <w:top w:val="single" w:sz="4" w:space="0" w:color="00B0F0"/>
              <w:left w:val="nil"/>
              <w:bottom w:val="single" w:sz="4" w:space="0" w:color="00B0F0"/>
              <w:right w:val="nil"/>
            </w:tcBorders>
            <w:vAlign w:val="center"/>
          </w:tcPr>
          <w:p w14:paraId="272832CE" w14:textId="77777777" w:rsidR="00C81EC6" w:rsidRPr="00751816" w:rsidRDefault="00C81EC6" w:rsidP="00D630E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63" w:type="pct"/>
            <w:tcBorders>
              <w:top w:val="single" w:sz="4" w:space="0" w:color="00B0F0"/>
              <w:left w:val="nil"/>
              <w:bottom w:val="single" w:sz="4" w:space="0" w:color="00B0F0"/>
              <w:right w:val="nil"/>
            </w:tcBorders>
          </w:tcPr>
          <w:p w14:paraId="4C31BF9C"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1" w:type="pct"/>
            <w:tcBorders>
              <w:top w:val="single" w:sz="4" w:space="0" w:color="00B0F0"/>
              <w:left w:val="nil"/>
              <w:bottom w:val="single" w:sz="4" w:space="0" w:color="00B0F0"/>
              <w:right w:val="nil"/>
            </w:tcBorders>
          </w:tcPr>
          <w:p w14:paraId="2B90950C"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C81EC6" w:rsidRPr="00751816" w14:paraId="376DECA8" w14:textId="77777777" w:rsidTr="00D5579B">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59"/>
        </w:trPr>
        <w:tc>
          <w:tcPr>
            <w:cnfStyle w:val="001000000000" w:firstRow="0" w:lastRow="0" w:firstColumn="1" w:lastColumn="0" w:oddVBand="0" w:evenVBand="0" w:oddHBand="0" w:evenHBand="0" w:firstRowFirstColumn="0" w:firstRowLastColumn="0" w:lastRowFirstColumn="0" w:lastRowLastColumn="0"/>
            <w:tcW w:w="703" w:type="pct"/>
            <w:tcBorders>
              <w:top w:val="single" w:sz="4" w:space="0" w:color="00A3E0"/>
              <w:bottom w:val="single" w:sz="4" w:space="0" w:color="00A3E0"/>
            </w:tcBorders>
            <w:shd w:val="clear" w:color="auto" w:fill="D9D9D9" w:themeFill="background1" w:themeFillShade="D9"/>
            <w:vAlign w:val="center"/>
          </w:tcPr>
          <w:p w14:paraId="35523216" w14:textId="77777777" w:rsidR="00C81EC6" w:rsidRPr="00751816" w:rsidRDefault="00C81EC6" w:rsidP="005C36F2">
            <w:pPr>
              <w:spacing w:before="120" w:after="120" w:line="240" w:lineRule="atLeast"/>
              <w:contextualSpacing/>
              <w:rPr>
                <w:rFonts w:ascii="Tahoma" w:hAnsi="Tahoma" w:cs="Tahoma"/>
                <w:sz w:val="20"/>
              </w:rPr>
            </w:pPr>
            <w:r>
              <w:rPr>
                <w:rFonts w:ascii="Tahoma" w:hAnsi="Tahoma" w:cs="Tahoma"/>
                <w:sz w:val="20"/>
              </w:rPr>
              <w:t xml:space="preserve">Capital contributions included in the above </w:t>
            </w:r>
          </w:p>
        </w:tc>
        <w:tc>
          <w:tcPr>
            <w:tcW w:w="1667" w:type="pct"/>
            <w:tcBorders>
              <w:top w:val="single" w:sz="4" w:space="0" w:color="00B0F0"/>
              <w:left w:val="nil"/>
              <w:bottom w:val="single" w:sz="4" w:space="0" w:color="00B0F0"/>
              <w:right w:val="nil"/>
            </w:tcBorders>
          </w:tcPr>
          <w:p w14:paraId="2DA58AF4" w14:textId="0E89245F"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Capitalised </w:t>
            </w:r>
            <w:r w:rsidR="0059188A">
              <w:rPr>
                <w:rFonts w:ascii="Tahoma" w:hAnsi="Tahoma" w:cs="Tahoma"/>
                <w:sz w:val="20"/>
              </w:rPr>
              <w:t xml:space="preserve">Network </w:t>
            </w:r>
            <w:r>
              <w:rPr>
                <w:rFonts w:ascii="Tahoma" w:hAnsi="Tahoma" w:cs="Tahoma"/>
                <w:sz w:val="20"/>
              </w:rPr>
              <w:t>Overheads that form part of Capital Contributions as reported in this table have been linked from the amounts reported above in Tab</w:t>
            </w:r>
            <w:r w:rsidR="0014557F">
              <w:rPr>
                <w:rFonts w:ascii="Tahoma" w:hAnsi="Tahoma" w:cs="Tahoma"/>
                <w:sz w:val="20"/>
              </w:rPr>
              <w:t>le E1.3.1 – Reference Services.</w:t>
            </w:r>
          </w:p>
        </w:tc>
        <w:tc>
          <w:tcPr>
            <w:tcW w:w="806" w:type="pct"/>
            <w:tcBorders>
              <w:top w:val="single" w:sz="4" w:space="0" w:color="00B0F0"/>
              <w:left w:val="nil"/>
              <w:bottom w:val="single" w:sz="4" w:space="0" w:color="00B0F0"/>
              <w:right w:val="nil"/>
            </w:tcBorders>
            <w:vAlign w:val="center"/>
          </w:tcPr>
          <w:p w14:paraId="42D072DB" w14:textId="77777777" w:rsidR="00C81EC6" w:rsidRPr="00751816" w:rsidRDefault="00C81EC6" w:rsidP="00D630E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63" w:type="pct"/>
            <w:tcBorders>
              <w:top w:val="single" w:sz="4" w:space="0" w:color="00B0F0"/>
              <w:left w:val="nil"/>
              <w:bottom w:val="single" w:sz="4" w:space="0" w:color="00B0F0"/>
              <w:right w:val="nil"/>
            </w:tcBorders>
          </w:tcPr>
          <w:p w14:paraId="51D30896"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1" w:type="pct"/>
            <w:tcBorders>
              <w:top w:val="single" w:sz="4" w:space="0" w:color="00B0F0"/>
              <w:left w:val="nil"/>
              <w:bottom w:val="single" w:sz="4" w:space="0" w:color="00B0F0"/>
              <w:right w:val="nil"/>
            </w:tcBorders>
          </w:tcPr>
          <w:p w14:paraId="27FD31D8" w14:textId="77777777" w:rsidR="00C81EC6" w:rsidRPr="00751816" w:rsidRDefault="00C81E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42B3DA20" w14:textId="77777777" w:rsidR="004233CA" w:rsidRPr="00220C58" w:rsidRDefault="004233CA" w:rsidP="00220C58">
      <w:pPr>
        <w:rPr>
          <w:rFonts w:ascii="Tahoma" w:hAnsi="Tahoma" w:cs="Tahoma"/>
          <w:color w:val="00B0F0"/>
        </w:rPr>
      </w:pPr>
    </w:p>
    <w:p w14:paraId="08C3E10F" w14:textId="3E451153" w:rsidR="00B7434F" w:rsidRDefault="00B7434F" w:rsidP="00220C58">
      <w:pPr>
        <w:rPr>
          <w:rFonts w:ascii="Tahoma" w:hAnsi="Tahoma" w:cs="Tahoma"/>
          <w:color w:val="00B0F0"/>
        </w:rPr>
      </w:pPr>
      <w:r w:rsidRPr="00220C58">
        <w:rPr>
          <w:rFonts w:ascii="Tahoma" w:hAnsi="Tahoma" w:cs="Tahoma"/>
          <w:color w:val="00B0F0"/>
        </w:rPr>
        <w:t xml:space="preserve">E1.4.2 – Non-reference Services </w:t>
      </w:r>
    </w:p>
    <w:p w14:paraId="5D9DB159" w14:textId="43C659EC" w:rsidR="003E02F8" w:rsidRDefault="004233CA" w:rsidP="004233CA">
      <w:pPr>
        <w:rPr>
          <w:rFonts w:ascii="Tahoma" w:hAnsi="Tahoma" w:cs="Tahoma"/>
        </w:rPr>
      </w:pPr>
      <w:r>
        <w:rPr>
          <w:rFonts w:ascii="Tahoma" w:hAnsi="Tahoma" w:cs="Tahoma"/>
        </w:rPr>
        <w:t xml:space="preserve">AGN </w:t>
      </w:r>
      <w:r w:rsidR="00041CE0">
        <w:rPr>
          <w:rFonts w:ascii="Tahoma" w:hAnsi="Tahoma" w:cs="Tahoma"/>
        </w:rPr>
        <w:t>(</w:t>
      </w:r>
      <w:r w:rsidR="006814A2">
        <w:rPr>
          <w:rFonts w:ascii="Tahoma" w:hAnsi="Tahoma" w:cs="Tahoma"/>
        </w:rPr>
        <w:t>SA</w:t>
      </w:r>
      <w:r w:rsidR="00041CE0">
        <w:rPr>
          <w:rFonts w:ascii="Tahoma" w:hAnsi="Tahoma" w:cs="Tahoma"/>
        </w:rPr>
        <w:t>)</w:t>
      </w:r>
      <w:r w:rsidR="006814A2">
        <w:rPr>
          <w:rFonts w:ascii="Tahoma" w:hAnsi="Tahoma" w:cs="Tahoma"/>
        </w:rPr>
        <w:t xml:space="preserve"> </w:t>
      </w:r>
      <w:r>
        <w:rPr>
          <w:rFonts w:ascii="Tahoma" w:hAnsi="Tahoma" w:cs="Tahoma"/>
        </w:rPr>
        <w:t>had no capital</w:t>
      </w:r>
      <w:r w:rsidR="00C059E5">
        <w:rPr>
          <w:rFonts w:ascii="Tahoma" w:hAnsi="Tahoma" w:cs="Tahoma"/>
        </w:rPr>
        <w:t xml:space="preserve">ised </w:t>
      </w:r>
      <w:r w:rsidR="0059188A">
        <w:rPr>
          <w:rFonts w:ascii="Tahoma" w:hAnsi="Tahoma" w:cs="Tahoma"/>
        </w:rPr>
        <w:t xml:space="preserve">network </w:t>
      </w:r>
      <w:r w:rsidR="00C059E5">
        <w:rPr>
          <w:rFonts w:ascii="Tahoma" w:hAnsi="Tahoma" w:cs="Tahoma"/>
        </w:rPr>
        <w:t>overheads</w:t>
      </w:r>
      <w:r w:rsidRPr="00220C58">
        <w:rPr>
          <w:rFonts w:ascii="Tahoma" w:hAnsi="Tahoma" w:cs="Tahoma"/>
        </w:rPr>
        <w:t xml:space="preserve"> for non-reference services in </w:t>
      </w:r>
      <w:r w:rsidR="005C2AC4">
        <w:rPr>
          <w:rFonts w:ascii="Tahoma" w:hAnsi="Tahoma" w:cs="Tahoma"/>
        </w:rPr>
        <w:t>2019/20</w:t>
      </w:r>
      <w:r>
        <w:rPr>
          <w:rFonts w:ascii="Tahoma" w:hAnsi="Tahoma" w:cs="Tahoma"/>
        </w:rPr>
        <w:t xml:space="preserve">. For this reason, a </w:t>
      </w:r>
      <w:r w:rsidR="00BE09C7">
        <w:rPr>
          <w:rFonts w:ascii="Tahoma" w:hAnsi="Tahoma" w:cs="Tahoma"/>
        </w:rPr>
        <w:t>‘</w:t>
      </w:r>
      <w:r>
        <w:rPr>
          <w:rFonts w:ascii="Tahoma" w:hAnsi="Tahoma" w:cs="Tahoma"/>
        </w:rPr>
        <w:t>Null</w:t>
      </w:r>
      <w:r w:rsidR="00BE09C7">
        <w:rPr>
          <w:rFonts w:ascii="Tahoma" w:hAnsi="Tahoma" w:cs="Tahoma"/>
        </w:rPr>
        <w:t>’</w:t>
      </w:r>
      <w:r>
        <w:rPr>
          <w:rFonts w:ascii="Tahoma" w:hAnsi="Tahoma" w:cs="Tahoma"/>
        </w:rPr>
        <w:t xml:space="preserve"> response is provided in this reporting template. </w:t>
      </w:r>
    </w:p>
    <w:p w14:paraId="03328C4B" w14:textId="77777777" w:rsidR="003E02F8" w:rsidRDefault="003E02F8">
      <w:pPr>
        <w:rPr>
          <w:rFonts w:ascii="Tahoma" w:hAnsi="Tahoma" w:cs="Tahoma"/>
        </w:rPr>
      </w:pPr>
      <w:r>
        <w:rPr>
          <w:rFonts w:ascii="Tahoma" w:hAnsi="Tahoma" w:cs="Tahoma"/>
        </w:rPr>
        <w:br w:type="page"/>
      </w:r>
    </w:p>
    <w:p w14:paraId="05A98651" w14:textId="77777777" w:rsidR="00F02899" w:rsidRPr="0095305C" w:rsidRDefault="00F02899" w:rsidP="00C059E5">
      <w:pPr>
        <w:pStyle w:val="Heading1"/>
        <w:rPr>
          <w:rFonts w:ascii="Tahoma" w:hAnsi="Tahoma" w:cs="Tahoma"/>
          <w:b/>
          <w:color w:val="003C71"/>
        </w:rPr>
      </w:pPr>
      <w:bookmarkStart w:id="7" w:name="_Toc57314054"/>
      <w:r w:rsidRPr="0095305C">
        <w:rPr>
          <w:rFonts w:ascii="Tahoma" w:hAnsi="Tahoma" w:cs="Tahoma"/>
          <w:b/>
          <w:color w:val="003C71"/>
        </w:rPr>
        <w:lastRenderedPageBreak/>
        <w:t>E11. Labour</w:t>
      </w:r>
      <w:bookmarkEnd w:id="7"/>
      <w:r w:rsidRPr="0095305C">
        <w:rPr>
          <w:rFonts w:ascii="Tahoma" w:hAnsi="Tahoma" w:cs="Tahoma"/>
          <w:b/>
          <w:color w:val="003C71"/>
        </w:rPr>
        <w:t xml:space="preserve"> </w:t>
      </w:r>
    </w:p>
    <w:p w14:paraId="36B3C715" w14:textId="77777777" w:rsidR="00F02899" w:rsidRDefault="00B937BE" w:rsidP="0095305C">
      <w:pPr>
        <w:pStyle w:val="Heading2"/>
        <w:rPr>
          <w:rFonts w:ascii="Tahoma" w:hAnsi="Tahoma" w:cs="Tahoma"/>
          <w:color w:val="003C71"/>
        </w:rPr>
      </w:pPr>
      <w:bookmarkStart w:id="8" w:name="_Toc57314055"/>
      <w:r w:rsidRPr="0095305C">
        <w:rPr>
          <w:rFonts w:ascii="Tahoma" w:hAnsi="Tahoma" w:cs="Tahoma"/>
          <w:color w:val="003C71"/>
        </w:rPr>
        <w:t>E11.3 Labour/Non-Labour Expenditure Split</w:t>
      </w:r>
      <w:bookmarkEnd w:id="8"/>
      <w:r w:rsidRPr="0095305C">
        <w:rPr>
          <w:rFonts w:ascii="Tahoma" w:hAnsi="Tahoma" w:cs="Tahoma"/>
          <w:color w:val="003C71"/>
        </w:rPr>
        <w:t xml:space="preserve">  </w:t>
      </w:r>
    </w:p>
    <w:p w14:paraId="7536D6A2" w14:textId="77777777" w:rsidR="002A0842" w:rsidRDefault="002A0842" w:rsidP="002A0842">
      <w:pPr>
        <w:rPr>
          <w:rFonts w:ascii="Tahoma" w:hAnsi="Tahoma" w:cs="Tahoma"/>
          <w:color w:val="00B0F0"/>
        </w:rPr>
      </w:pPr>
      <w:r w:rsidRPr="002A0842">
        <w:rPr>
          <w:rFonts w:ascii="Tahoma" w:hAnsi="Tahoma" w:cs="Tahoma"/>
          <w:color w:val="00B0F0"/>
        </w:rPr>
        <w:t xml:space="preserve">E11.3.1 – Opex </w:t>
      </w:r>
    </w:p>
    <w:tbl>
      <w:tblPr>
        <w:tblStyle w:val="UETableStyle"/>
        <w:tblW w:w="5000" w:type="pct"/>
        <w:tblInd w:w="-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0"/>
        <w:gridCol w:w="4726"/>
        <w:gridCol w:w="2284"/>
        <w:gridCol w:w="3057"/>
        <w:gridCol w:w="1901"/>
      </w:tblGrid>
      <w:tr w:rsidR="00620241" w:rsidRPr="00751816" w14:paraId="1A56BC26" w14:textId="77777777" w:rsidTr="001C016D">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13" w:type="pct"/>
            <w:tcBorders>
              <w:bottom w:val="single" w:sz="4" w:space="0" w:color="00B0F0"/>
            </w:tcBorders>
            <w:shd w:val="clear" w:color="auto" w:fill="003C71"/>
            <w:hideMark/>
          </w:tcPr>
          <w:p w14:paraId="7A760BB9" w14:textId="77777777" w:rsidR="00620241" w:rsidRPr="00751816" w:rsidRDefault="00620241" w:rsidP="001C016D">
            <w:pPr>
              <w:rPr>
                <w:rFonts w:ascii="Tahoma" w:hAnsi="Tahoma" w:cs="Tahoma"/>
                <w:b/>
                <w:color w:val="FFFFFF"/>
                <w:sz w:val="20"/>
              </w:rPr>
            </w:pPr>
            <w:r w:rsidRPr="00751816">
              <w:rPr>
                <w:rFonts w:ascii="Tahoma" w:hAnsi="Tahoma" w:cs="Tahoma"/>
                <w:b/>
                <w:color w:val="FFFFFF"/>
                <w:sz w:val="20"/>
              </w:rPr>
              <w:t xml:space="preserve">Variable </w:t>
            </w:r>
          </w:p>
        </w:tc>
        <w:tc>
          <w:tcPr>
            <w:tcW w:w="1693" w:type="pct"/>
            <w:tcBorders>
              <w:bottom w:val="single" w:sz="4" w:space="0" w:color="00B0F0"/>
            </w:tcBorders>
            <w:shd w:val="clear" w:color="auto" w:fill="003C71"/>
          </w:tcPr>
          <w:p w14:paraId="1DACBD22" w14:textId="77777777" w:rsidR="00620241" w:rsidRPr="00751816" w:rsidRDefault="00620241"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18" w:type="pct"/>
            <w:tcBorders>
              <w:bottom w:val="single" w:sz="4" w:space="0" w:color="00B0F0"/>
            </w:tcBorders>
            <w:shd w:val="clear" w:color="auto" w:fill="003C71"/>
          </w:tcPr>
          <w:p w14:paraId="06E07DD3" w14:textId="77777777" w:rsidR="00620241" w:rsidRPr="00751816" w:rsidRDefault="00620241"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095" w:type="pct"/>
            <w:tcBorders>
              <w:bottom w:val="single" w:sz="4" w:space="0" w:color="00B0F0"/>
            </w:tcBorders>
            <w:shd w:val="clear" w:color="auto" w:fill="003C71"/>
          </w:tcPr>
          <w:p w14:paraId="6D47AB2A" w14:textId="77777777" w:rsidR="00620241" w:rsidRPr="00751816" w:rsidRDefault="00620241"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81" w:type="pct"/>
            <w:tcBorders>
              <w:bottom w:val="single" w:sz="4" w:space="0" w:color="00B0F0"/>
            </w:tcBorders>
            <w:shd w:val="clear" w:color="auto" w:fill="003C71"/>
          </w:tcPr>
          <w:p w14:paraId="717E6E34" w14:textId="77777777" w:rsidR="00620241" w:rsidRPr="00751816" w:rsidRDefault="00620241"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620241" w:rsidRPr="00751816" w14:paraId="122761EA" w14:textId="77777777" w:rsidTr="00EA7CDA">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2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00A3E0"/>
            <w:vAlign w:val="center"/>
          </w:tcPr>
          <w:p w14:paraId="1B57FB02" w14:textId="7686F452" w:rsidR="00620241" w:rsidRPr="00751816" w:rsidRDefault="00D5579B" w:rsidP="00D5579B">
            <w:pPr>
              <w:contextualSpacing/>
              <w:rPr>
                <w:rFonts w:ascii="Tahoma" w:hAnsi="Tahoma" w:cs="Tahoma"/>
                <w:sz w:val="20"/>
              </w:rPr>
            </w:pPr>
            <w:r>
              <w:rPr>
                <w:rFonts w:ascii="Tahoma" w:hAnsi="Tahoma" w:cs="Tahoma"/>
                <w:sz w:val="20"/>
              </w:rPr>
              <w:t>2019/20</w:t>
            </w:r>
          </w:p>
        </w:tc>
        <w:tc>
          <w:tcPr>
            <w:tcW w:w="4287" w:type="pct"/>
            <w:gridSpan w:val="4"/>
            <w:tcBorders>
              <w:top w:val="single" w:sz="4" w:space="0" w:color="00B0F0"/>
              <w:left w:val="nil"/>
              <w:bottom w:val="single" w:sz="4" w:space="0" w:color="00B0F0"/>
              <w:right w:val="nil"/>
            </w:tcBorders>
            <w:shd w:val="clear" w:color="auto" w:fill="00A3E0"/>
          </w:tcPr>
          <w:p w14:paraId="194549A8" w14:textId="77777777" w:rsidR="00620241" w:rsidRPr="00751816"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20241" w:rsidRPr="00751816" w14:paraId="567B59D4"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vAlign w:val="center"/>
          </w:tcPr>
          <w:p w14:paraId="0BE4041C" w14:textId="77777777" w:rsidR="00620241" w:rsidRPr="00751816" w:rsidRDefault="00620241" w:rsidP="001664CF">
            <w:pPr>
              <w:spacing w:before="120" w:after="120" w:line="240" w:lineRule="atLeast"/>
              <w:contextualSpacing/>
              <w:rPr>
                <w:rFonts w:ascii="Tahoma" w:hAnsi="Tahoma" w:cs="Tahoma"/>
                <w:sz w:val="20"/>
              </w:rPr>
            </w:pPr>
            <w:r>
              <w:rPr>
                <w:rFonts w:ascii="Tahoma" w:hAnsi="Tahoma" w:cs="Tahoma"/>
                <w:sz w:val="20"/>
              </w:rPr>
              <w:t xml:space="preserve">In house labour expenditure </w:t>
            </w:r>
          </w:p>
        </w:tc>
        <w:tc>
          <w:tcPr>
            <w:tcW w:w="1693" w:type="pct"/>
            <w:tcBorders>
              <w:top w:val="single" w:sz="4" w:space="0" w:color="00B0F0"/>
              <w:left w:val="nil"/>
              <w:bottom w:val="single" w:sz="4" w:space="0" w:color="00B0F0"/>
              <w:right w:val="nil"/>
            </w:tcBorders>
          </w:tcPr>
          <w:p w14:paraId="457E5F31" w14:textId="3257F616"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In house labour expenditure is sourced from AGN Limited’s General Ledger and </w:t>
            </w:r>
            <w:r w:rsidR="00A16260" w:rsidRPr="00365DFA">
              <w:rPr>
                <w:rFonts w:ascii="Tahoma" w:hAnsi="Tahoma" w:cs="Tahoma"/>
                <w:sz w:val="20"/>
              </w:rPr>
              <w:t>associated</w:t>
            </w:r>
            <w:r w:rsidR="00A16260">
              <w:rPr>
                <w:rFonts w:ascii="Tahoma" w:hAnsi="Tahoma" w:cs="Tahoma"/>
                <w:sz w:val="20"/>
              </w:rPr>
              <w:t xml:space="preserve"> </w:t>
            </w:r>
            <w:r>
              <w:rPr>
                <w:rFonts w:ascii="Tahoma" w:hAnsi="Tahoma" w:cs="Tahoma"/>
                <w:sz w:val="20"/>
              </w:rPr>
              <w:t>working papers</w:t>
            </w:r>
            <w:r w:rsidR="00A16260" w:rsidRPr="00365DFA">
              <w:rPr>
                <w:rFonts w:ascii="Tahoma" w:hAnsi="Tahoma" w:cs="Tahoma"/>
                <w:sz w:val="20"/>
              </w:rPr>
              <w:t>.</w:t>
            </w:r>
            <w:r>
              <w:rPr>
                <w:rFonts w:ascii="Tahoma" w:hAnsi="Tahoma" w:cs="Tahoma"/>
                <w:sz w:val="20"/>
              </w:rPr>
              <w:t xml:space="preserve"> These working papers in the form of Excel spreadsheets, incorporate cost allocation of AGN Limited employee related expenses </w:t>
            </w:r>
            <w:r w:rsidR="00C064F9">
              <w:rPr>
                <w:rFonts w:ascii="Tahoma" w:hAnsi="Tahoma" w:cs="Tahoma"/>
                <w:sz w:val="20"/>
              </w:rPr>
              <w:t>(</w:t>
            </w:r>
            <w:r w:rsidR="00365DFA">
              <w:rPr>
                <w:rFonts w:ascii="Tahoma" w:hAnsi="Tahoma" w:cs="Tahoma"/>
                <w:sz w:val="20"/>
              </w:rPr>
              <w:t>including on-costs</w:t>
            </w:r>
            <w:r w:rsidR="00C064F9">
              <w:rPr>
                <w:rFonts w:ascii="Tahoma" w:hAnsi="Tahoma" w:cs="Tahoma"/>
                <w:sz w:val="20"/>
              </w:rPr>
              <w:t xml:space="preserve">) </w:t>
            </w:r>
            <w:r>
              <w:rPr>
                <w:rFonts w:ascii="Tahoma" w:hAnsi="Tahoma" w:cs="Tahoma"/>
                <w:sz w:val="20"/>
              </w:rPr>
              <w:t>to each of its regulated and unregulated pipelines, as set out in the CAM.</w:t>
            </w:r>
          </w:p>
          <w:p w14:paraId="6A7D9464" w14:textId="77777777" w:rsidR="007F46C7" w:rsidRDefault="007F46C7"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78FDADA" w14:textId="77777777" w:rsidR="00620241" w:rsidRPr="00751816" w:rsidRDefault="00620241" w:rsidP="00AE17E5">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18" w:type="pct"/>
            <w:tcBorders>
              <w:top w:val="single" w:sz="4" w:space="0" w:color="00B0F0"/>
              <w:left w:val="nil"/>
              <w:bottom w:val="single" w:sz="4" w:space="0" w:color="00B0F0"/>
              <w:right w:val="nil"/>
            </w:tcBorders>
            <w:vAlign w:val="center"/>
          </w:tcPr>
          <w:p w14:paraId="34CB8A87" w14:textId="3F406430" w:rsidR="00620241" w:rsidRPr="00751816" w:rsidRDefault="001664CF" w:rsidP="00D630E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Estimate</w:t>
            </w:r>
          </w:p>
        </w:tc>
        <w:tc>
          <w:tcPr>
            <w:tcW w:w="1095" w:type="pct"/>
            <w:tcBorders>
              <w:top w:val="single" w:sz="4" w:space="0" w:color="00B0F0"/>
              <w:left w:val="nil"/>
              <w:bottom w:val="single" w:sz="4" w:space="0" w:color="00B0F0"/>
              <w:right w:val="nil"/>
            </w:tcBorders>
          </w:tcPr>
          <w:p w14:paraId="5DE39330" w14:textId="17124677" w:rsidR="00620241" w:rsidRPr="00751816" w:rsidRDefault="00620241" w:rsidP="0014557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Due to the process of allocating AGN Limited’s total in-house labour which requires relevant personnel who are employed at the group level, to estimate the time spent on each state and between regulated and unregulated businesses, the resulting amounts reported are considered estimated information by AGN Limited.</w:t>
            </w:r>
          </w:p>
        </w:tc>
        <w:tc>
          <w:tcPr>
            <w:tcW w:w="681" w:type="pct"/>
            <w:tcBorders>
              <w:top w:val="single" w:sz="4" w:space="0" w:color="00B0F0"/>
              <w:left w:val="nil"/>
              <w:bottom w:val="single" w:sz="4" w:space="0" w:color="00B0F0"/>
              <w:right w:val="nil"/>
            </w:tcBorders>
            <w:vAlign w:val="center"/>
          </w:tcPr>
          <w:p w14:paraId="7E928814" w14:textId="77777777" w:rsidR="00620241" w:rsidRPr="00751816"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879A2" w:rsidRPr="00751816" w14:paraId="51C98724" w14:textId="77777777" w:rsidTr="009879A2">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691"/>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vAlign w:val="center"/>
          </w:tcPr>
          <w:p w14:paraId="55320FE0" w14:textId="77777777" w:rsidR="009879A2" w:rsidRPr="00751816" w:rsidRDefault="009879A2" w:rsidP="001664CF">
            <w:pPr>
              <w:spacing w:before="120" w:after="120" w:line="240" w:lineRule="atLeast"/>
              <w:contextualSpacing/>
              <w:rPr>
                <w:rFonts w:ascii="Tahoma" w:hAnsi="Tahoma" w:cs="Tahoma"/>
                <w:sz w:val="20"/>
              </w:rPr>
            </w:pPr>
            <w:r>
              <w:rPr>
                <w:rFonts w:ascii="Tahoma" w:hAnsi="Tahoma" w:cs="Tahoma"/>
                <w:sz w:val="20"/>
              </w:rPr>
              <w:t xml:space="preserve">Labour expenditure outsourced to related parties </w:t>
            </w:r>
          </w:p>
        </w:tc>
        <w:tc>
          <w:tcPr>
            <w:tcW w:w="4287" w:type="pct"/>
            <w:gridSpan w:val="4"/>
            <w:tcBorders>
              <w:top w:val="single" w:sz="4" w:space="0" w:color="00B0F0"/>
              <w:left w:val="nil"/>
              <w:bottom w:val="single" w:sz="4" w:space="0" w:color="00B0F0"/>
              <w:right w:val="nil"/>
            </w:tcBorders>
          </w:tcPr>
          <w:p w14:paraId="63ECEB39" w14:textId="026FBE91" w:rsidR="009879A2" w:rsidRDefault="009879A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AGN Limited has no labour expenditure</w:t>
            </w:r>
            <w:r w:rsidR="00B25B83">
              <w:rPr>
                <w:rFonts w:ascii="Tahoma" w:hAnsi="Tahoma" w:cs="Tahoma"/>
                <w:sz w:val="20"/>
              </w:rPr>
              <w:t xml:space="preserve"> for AGN (SA)</w:t>
            </w:r>
            <w:r w:rsidR="00F03BC2">
              <w:rPr>
                <w:rFonts w:ascii="Tahoma" w:hAnsi="Tahoma" w:cs="Tahoma"/>
                <w:sz w:val="20"/>
              </w:rPr>
              <w:t xml:space="preserve"> or any other company within the group that was</w:t>
            </w:r>
            <w:r w:rsidR="00B25B83">
              <w:rPr>
                <w:rFonts w:ascii="Tahoma" w:hAnsi="Tahoma" w:cs="Tahoma"/>
                <w:sz w:val="20"/>
              </w:rPr>
              <w:t xml:space="preserve"> </w:t>
            </w:r>
            <w:r>
              <w:rPr>
                <w:rFonts w:ascii="Tahoma" w:hAnsi="Tahoma" w:cs="Tahoma"/>
                <w:sz w:val="20"/>
              </w:rPr>
              <w:t xml:space="preserve">outsourced to related parties in </w:t>
            </w:r>
            <w:r w:rsidR="00B40049">
              <w:rPr>
                <w:rFonts w:ascii="Tahoma" w:hAnsi="Tahoma" w:cs="Tahoma"/>
                <w:sz w:val="20"/>
              </w:rPr>
              <w:t>2019/20</w:t>
            </w:r>
            <w:r>
              <w:rPr>
                <w:rFonts w:ascii="Tahoma" w:hAnsi="Tahoma" w:cs="Tahoma"/>
                <w:sz w:val="20"/>
              </w:rPr>
              <w:t>.</w:t>
            </w:r>
          </w:p>
          <w:p w14:paraId="1308D24F" w14:textId="77777777" w:rsidR="009879A2" w:rsidRDefault="009879A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CC16195" w14:textId="1383DEDF" w:rsidR="009879A2" w:rsidRPr="00751816" w:rsidRDefault="009879A2" w:rsidP="00F7092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lang w:val="en-US"/>
              </w:rPr>
              <w:t>Thus we provide a ‘Null’ response in the reporting template.</w:t>
            </w:r>
          </w:p>
        </w:tc>
      </w:tr>
      <w:tr w:rsidR="00620241" w:rsidRPr="00751816" w14:paraId="7819FCA6"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688"/>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vAlign w:val="center"/>
          </w:tcPr>
          <w:p w14:paraId="3B524D37" w14:textId="77777777" w:rsidR="00620241" w:rsidRPr="00751816" w:rsidRDefault="00620241" w:rsidP="001664CF">
            <w:pPr>
              <w:spacing w:before="120" w:after="120" w:line="240" w:lineRule="atLeast"/>
              <w:contextualSpacing/>
              <w:rPr>
                <w:rFonts w:ascii="Tahoma" w:hAnsi="Tahoma" w:cs="Tahoma"/>
                <w:sz w:val="20"/>
              </w:rPr>
            </w:pPr>
            <w:r>
              <w:rPr>
                <w:rFonts w:ascii="Tahoma" w:hAnsi="Tahoma" w:cs="Tahoma"/>
                <w:sz w:val="20"/>
              </w:rPr>
              <w:t>Labour expenditure outsourced to unrelated parties</w:t>
            </w:r>
          </w:p>
        </w:tc>
        <w:tc>
          <w:tcPr>
            <w:tcW w:w="1693" w:type="pct"/>
            <w:tcBorders>
              <w:top w:val="single" w:sz="4" w:space="0" w:color="00B0F0"/>
              <w:left w:val="nil"/>
              <w:bottom w:val="single" w:sz="4" w:space="0" w:color="00B0F0"/>
              <w:right w:val="nil"/>
            </w:tcBorders>
          </w:tcPr>
          <w:p w14:paraId="4A570E1D" w14:textId="4A8564B5" w:rsidR="00620241" w:rsidRPr="00137D8C" w:rsidRDefault="00307608"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After 29 August </w:t>
            </w:r>
            <w:r w:rsidR="00743D2C">
              <w:rPr>
                <w:rFonts w:ascii="Tahoma" w:hAnsi="Tahoma" w:cs="Tahoma"/>
                <w:sz w:val="20"/>
              </w:rPr>
              <w:t xml:space="preserve">2014 </w:t>
            </w:r>
            <w:r>
              <w:rPr>
                <w:rFonts w:ascii="Tahoma" w:hAnsi="Tahoma" w:cs="Tahoma"/>
                <w:sz w:val="20"/>
              </w:rPr>
              <w:t>(when APA ceased to be a related party)</w:t>
            </w:r>
            <w:r w:rsidR="00620241" w:rsidRPr="00137D8C">
              <w:rPr>
                <w:rFonts w:ascii="Tahoma" w:hAnsi="Tahoma" w:cs="Tahoma"/>
                <w:sz w:val="20"/>
              </w:rPr>
              <w:t>, all labour expenditure incurred through the outsourcing arrangement with APA is being reported as labour expenditure outsourced to unrelated parties.</w:t>
            </w:r>
          </w:p>
          <w:p w14:paraId="08C538CB" w14:textId="77777777" w:rsidR="00620241" w:rsidRPr="00137D8C"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78672C0" w14:textId="651DFBA9" w:rsidR="00AE17E5" w:rsidRDefault="00620241" w:rsidP="00AE17E5">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37D8C">
              <w:rPr>
                <w:rFonts w:ascii="Tahoma" w:hAnsi="Tahoma" w:cs="Tahoma"/>
                <w:sz w:val="20"/>
              </w:rPr>
              <w:t>The breakdown of labour and non-labour expenditure incurred through the OMA with APA is determined with analysis provided by APA from its Oracle finance systems.</w:t>
            </w:r>
            <w:r w:rsidR="00AE17E5">
              <w:rPr>
                <w:rFonts w:ascii="Tahoma" w:hAnsi="Tahoma" w:cs="Tahoma"/>
                <w:sz w:val="20"/>
              </w:rPr>
              <w:t xml:space="preserve"> This information enables expenditure to be split between labour and non-</w:t>
            </w:r>
            <w:r w:rsidR="00AE17E5">
              <w:rPr>
                <w:rFonts w:ascii="Tahoma" w:hAnsi="Tahoma" w:cs="Tahoma"/>
                <w:sz w:val="20"/>
              </w:rPr>
              <w:lastRenderedPageBreak/>
              <w:t>labour based on analysis of cost categories</w:t>
            </w:r>
            <w:r w:rsidR="00AE17E5" w:rsidRPr="00B53CD5">
              <w:rPr>
                <w:rFonts w:ascii="Tahoma" w:hAnsi="Tahoma" w:cs="Tahoma"/>
                <w:sz w:val="20"/>
              </w:rPr>
              <w:t>.</w:t>
            </w:r>
            <w:r w:rsidR="00AE17E5">
              <w:rPr>
                <w:rFonts w:ascii="Tahoma" w:hAnsi="Tahoma" w:cs="Tahoma"/>
                <w:sz w:val="20"/>
              </w:rPr>
              <w:t xml:space="preserve">  These cost categories identify expenditure split for example between Payroll, Contractors/Consultancy, Materials, etc. in total and for each Activity in APA’s Oracle finance system. </w:t>
            </w:r>
          </w:p>
          <w:p w14:paraId="11207773" w14:textId="79C71A3D" w:rsidR="00620241" w:rsidRPr="00137D8C"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BB17B4D" w14:textId="77777777" w:rsidR="00620241" w:rsidRPr="00137D8C"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u w:val="single"/>
              </w:rPr>
            </w:pPr>
            <w:r w:rsidRPr="00137D8C">
              <w:rPr>
                <w:rFonts w:ascii="Tahoma" w:hAnsi="Tahoma" w:cs="Tahoma"/>
                <w:sz w:val="20"/>
                <w:u w:val="single"/>
              </w:rPr>
              <w:t>Labour and Non-labour split of Regulatory Accounting Adjustments</w:t>
            </w:r>
          </w:p>
          <w:p w14:paraId="02D40853" w14:textId="77777777" w:rsidR="00620241" w:rsidRPr="00137D8C"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37D8C">
              <w:rPr>
                <w:rFonts w:ascii="Tahoma" w:hAnsi="Tahoma" w:cs="Tahoma"/>
                <w:sz w:val="20"/>
              </w:rPr>
              <w:t xml:space="preserve">Cost allocation processes undertaken in preparing the Ring Fenced Accounts include adjustments required due to the regulatory accounting policies that are set out in the AGN Limited Regulatory Accounting Principles and Policies document, Capitalisation Policy and Appendix E of this Basis of Preparation document.  </w:t>
            </w:r>
          </w:p>
          <w:p w14:paraId="1B501958" w14:textId="77777777" w:rsidR="00620241" w:rsidRPr="00137D8C"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AE8F97E" w14:textId="77777777" w:rsidR="00620241" w:rsidRPr="00137D8C"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37D8C">
              <w:rPr>
                <w:rFonts w:ascii="Tahoma" w:hAnsi="Tahoma" w:cs="Tahoma"/>
                <w:sz w:val="20"/>
              </w:rPr>
              <w:t xml:space="preserve">These adjustments are for relevant expenditure incurred through the OMA with APA which is treated as Opex for regulatory accounting purposes but Capex in the Statutory Accounts (e.g. Piecemeal Mains Replacement, Heat Shrinking Sleeves, Marketing Rebates and NMF).  </w:t>
            </w:r>
          </w:p>
          <w:p w14:paraId="06B85448" w14:textId="77777777" w:rsidR="00620241" w:rsidRPr="00137D8C"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8860B38" w14:textId="371B860B" w:rsidR="00620241" w:rsidRPr="00137D8C"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37D8C">
              <w:rPr>
                <w:rFonts w:ascii="Tahoma" w:hAnsi="Tahoma" w:cs="Tahoma"/>
                <w:sz w:val="20"/>
              </w:rPr>
              <w:t xml:space="preserve">Expenditure related to these adjustments (other than for NMF which is all Non-labour) is split between labour and non-labour based on the analysis of </w:t>
            </w:r>
            <w:r w:rsidR="008A2D76">
              <w:rPr>
                <w:rFonts w:ascii="Tahoma" w:hAnsi="Tahoma" w:cs="Tahoma"/>
                <w:sz w:val="20"/>
              </w:rPr>
              <w:t>C</w:t>
            </w:r>
            <w:r w:rsidR="008A2D76" w:rsidRPr="00137D8C">
              <w:rPr>
                <w:rFonts w:ascii="Tahoma" w:hAnsi="Tahoma" w:cs="Tahoma"/>
                <w:sz w:val="20"/>
              </w:rPr>
              <w:t xml:space="preserve">apex </w:t>
            </w:r>
            <w:r w:rsidRPr="00137D8C">
              <w:rPr>
                <w:rFonts w:ascii="Tahoma" w:hAnsi="Tahoma" w:cs="Tahoma"/>
                <w:sz w:val="20"/>
              </w:rPr>
              <w:t xml:space="preserve">cost categories </w:t>
            </w:r>
            <w:r w:rsidR="00F03BC2">
              <w:rPr>
                <w:rFonts w:ascii="Tahoma" w:hAnsi="Tahoma" w:cs="Tahoma"/>
                <w:sz w:val="20"/>
              </w:rPr>
              <w:t xml:space="preserve">provided by APA </w:t>
            </w:r>
            <w:r w:rsidRPr="00137D8C">
              <w:rPr>
                <w:rFonts w:ascii="Tahoma" w:hAnsi="Tahoma" w:cs="Tahoma"/>
                <w:sz w:val="20"/>
              </w:rPr>
              <w:t xml:space="preserve">as already explained. </w:t>
            </w:r>
          </w:p>
          <w:p w14:paraId="796964F7" w14:textId="77777777" w:rsidR="00620241" w:rsidRPr="00365DFA"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612610E" w14:textId="77777777" w:rsidR="00620241" w:rsidRPr="00137D8C"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37D8C">
              <w:rPr>
                <w:rFonts w:ascii="Tahoma" w:hAnsi="Tahoma" w:cs="Tahoma"/>
                <w:sz w:val="20"/>
              </w:rPr>
              <w:t xml:space="preserve">The Activities in APA’s Oracle finance system that align to these regulatory accounting adjustments are set out in </w:t>
            </w:r>
            <w:r w:rsidRPr="00365DFA">
              <w:rPr>
                <w:rFonts w:ascii="Tahoma" w:hAnsi="Tahoma" w:cs="Tahoma"/>
                <w:sz w:val="20"/>
              </w:rPr>
              <w:t>Appendix E</w:t>
            </w:r>
            <w:r w:rsidRPr="00137D8C">
              <w:rPr>
                <w:rFonts w:ascii="Tahoma" w:hAnsi="Tahoma" w:cs="Tahoma"/>
                <w:sz w:val="20"/>
              </w:rPr>
              <w:t>.</w:t>
            </w:r>
          </w:p>
          <w:p w14:paraId="302F8C59" w14:textId="77777777" w:rsidR="00F70928" w:rsidRDefault="00F70928" w:rsidP="0030760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2A7842C" w14:textId="7ABC9866" w:rsidR="00620241" w:rsidRPr="00365DFA" w:rsidRDefault="00620241" w:rsidP="0030760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37D8C">
              <w:rPr>
                <w:rFonts w:ascii="Tahoma" w:hAnsi="Tahoma" w:cs="Tahoma"/>
                <w:sz w:val="20"/>
              </w:rPr>
              <w:lastRenderedPageBreak/>
              <w:t xml:space="preserve">The expenditure related to cost categories that are for APA’s internal payroll and contractor/consultants is reported as Labour expenditure outsourced to </w:t>
            </w:r>
            <w:r w:rsidR="00E231D8">
              <w:rPr>
                <w:rFonts w:ascii="Tahoma" w:hAnsi="Tahoma" w:cs="Tahoma"/>
                <w:sz w:val="20"/>
              </w:rPr>
              <w:t>unrelated parties.</w:t>
            </w:r>
          </w:p>
        </w:tc>
        <w:tc>
          <w:tcPr>
            <w:tcW w:w="818" w:type="pct"/>
            <w:tcBorders>
              <w:top w:val="single" w:sz="4" w:space="0" w:color="00B0F0"/>
              <w:left w:val="nil"/>
              <w:bottom w:val="single" w:sz="4" w:space="0" w:color="00B0F0"/>
              <w:right w:val="nil"/>
            </w:tcBorders>
            <w:vAlign w:val="center"/>
          </w:tcPr>
          <w:p w14:paraId="4F867017" w14:textId="758A7BC3" w:rsidR="00620241" w:rsidRPr="00751816" w:rsidRDefault="001664CF" w:rsidP="00D630E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Estimate</w:t>
            </w:r>
          </w:p>
        </w:tc>
        <w:tc>
          <w:tcPr>
            <w:tcW w:w="1095" w:type="pct"/>
            <w:tcBorders>
              <w:top w:val="single" w:sz="4" w:space="0" w:color="00B0F0"/>
              <w:left w:val="nil"/>
              <w:bottom w:val="single" w:sz="4" w:space="0" w:color="00B0F0"/>
              <w:right w:val="nil"/>
            </w:tcBorders>
          </w:tcPr>
          <w:p w14:paraId="684EAC4E" w14:textId="061FA448" w:rsidR="00307608" w:rsidRDefault="00307608" w:rsidP="0030760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Analysis of cost categories provided by APA</w:t>
            </w:r>
            <w:r w:rsidR="00AE17E5">
              <w:rPr>
                <w:rFonts w:ascii="Tahoma" w:hAnsi="Tahoma" w:cs="Tahoma"/>
                <w:sz w:val="20"/>
              </w:rPr>
              <w:t>, prepared using information from its Oracle finance system,</w:t>
            </w:r>
            <w:r>
              <w:rPr>
                <w:rFonts w:ascii="Tahoma" w:hAnsi="Tahoma" w:cs="Tahoma"/>
                <w:sz w:val="20"/>
              </w:rPr>
              <w:t xml:space="preserve"> has been used to allocate expenditure incurred by AGN Limited </w:t>
            </w:r>
            <w:r w:rsidR="00F136F0">
              <w:rPr>
                <w:rFonts w:ascii="Tahoma" w:hAnsi="Tahoma" w:cs="Tahoma"/>
                <w:sz w:val="20"/>
              </w:rPr>
              <w:t xml:space="preserve">for AGN (SA) </w:t>
            </w:r>
            <w:r>
              <w:rPr>
                <w:rFonts w:ascii="Tahoma" w:hAnsi="Tahoma" w:cs="Tahoma"/>
                <w:sz w:val="20"/>
              </w:rPr>
              <w:t>under the OMA as between labour and non-labour.</w:t>
            </w:r>
          </w:p>
          <w:p w14:paraId="2D350B92" w14:textId="77777777" w:rsidR="00307608" w:rsidRDefault="00307608" w:rsidP="0030760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386EF9B" w14:textId="6B8E3317" w:rsidR="00307608" w:rsidRPr="00751816" w:rsidRDefault="00307608"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C1020">
              <w:rPr>
                <w:rFonts w:ascii="Tahoma" w:hAnsi="Tahoma" w:cs="Tahoma"/>
                <w:sz w:val="20"/>
              </w:rPr>
              <w:t xml:space="preserve">AGN Limited considers this the most accurate representation </w:t>
            </w:r>
            <w:r>
              <w:rPr>
                <w:rFonts w:ascii="Tahoma" w:hAnsi="Tahoma" w:cs="Tahoma"/>
                <w:sz w:val="20"/>
              </w:rPr>
              <w:lastRenderedPageBreak/>
              <w:t xml:space="preserve">possible </w:t>
            </w:r>
            <w:r w:rsidRPr="007C1020">
              <w:rPr>
                <w:rFonts w:ascii="Tahoma" w:hAnsi="Tahoma" w:cs="Tahoma"/>
                <w:sz w:val="20"/>
              </w:rPr>
              <w:t xml:space="preserve">of the breakdown of labour and non-labour expenditure </w:t>
            </w:r>
            <w:r>
              <w:rPr>
                <w:rFonts w:ascii="Tahoma" w:hAnsi="Tahoma" w:cs="Tahoma"/>
                <w:sz w:val="20"/>
              </w:rPr>
              <w:t>using the information available</w:t>
            </w:r>
            <w:r w:rsidRPr="007C1020">
              <w:rPr>
                <w:rFonts w:ascii="Tahoma" w:hAnsi="Tahoma" w:cs="Tahoma"/>
                <w:sz w:val="20"/>
              </w:rPr>
              <w:t xml:space="preserve">.  However, given </w:t>
            </w:r>
            <w:r w:rsidR="00F136F0">
              <w:rPr>
                <w:rFonts w:ascii="Tahoma" w:hAnsi="Tahoma" w:cs="Tahoma"/>
                <w:sz w:val="20"/>
              </w:rPr>
              <w:t>the amounts</w:t>
            </w:r>
            <w:r w:rsidRPr="007C1020">
              <w:rPr>
                <w:rFonts w:ascii="Tahoma" w:hAnsi="Tahoma" w:cs="Tahoma"/>
                <w:sz w:val="20"/>
              </w:rPr>
              <w:t xml:space="preserve"> are based on analysis provided by APA</w:t>
            </w:r>
            <w:r>
              <w:rPr>
                <w:rFonts w:ascii="Tahoma" w:hAnsi="Tahoma" w:cs="Tahoma"/>
                <w:sz w:val="20"/>
              </w:rPr>
              <w:t xml:space="preserve"> and not directly taken from their Oracle finance system and </w:t>
            </w:r>
            <w:r w:rsidR="00F136F0">
              <w:rPr>
                <w:rFonts w:ascii="Tahoma" w:hAnsi="Tahoma" w:cs="Tahoma"/>
                <w:sz w:val="20"/>
              </w:rPr>
              <w:t xml:space="preserve">further, </w:t>
            </w:r>
            <w:r>
              <w:rPr>
                <w:rFonts w:ascii="Tahoma" w:hAnsi="Tahoma" w:cs="Tahoma"/>
                <w:sz w:val="20"/>
              </w:rPr>
              <w:t xml:space="preserve">because </w:t>
            </w:r>
            <w:r w:rsidRPr="007C1020">
              <w:rPr>
                <w:rFonts w:ascii="Tahoma" w:hAnsi="Tahoma" w:cs="Tahoma"/>
                <w:sz w:val="20"/>
              </w:rPr>
              <w:t xml:space="preserve">some categories of expenditure could not be split (e.g. shared services and recovery of </w:t>
            </w:r>
            <w:r>
              <w:rPr>
                <w:rFonts w:ascii="Tahoma" w:hAnsi="Tahoma" w:cs="Tahoma"/>
                <w:sz w:val="20"/>
              </w:rPr>
              <w:t xml:space="preserve">network </w:t>
            </w:r>
            <w:r w:rsidRPr="007C1020">
              <w:rPr>
                <w:rFonts w:ascii="Tahoma" w:hAnsi="Tahoma" w:cs="Tahoma"/>
                <w:sz w:val="20"/>
              </w:rPr>
              <w:t>overheads), the reported amounts are considered estimated information by AGN Limited.</w:t>
            </w:r>
          </w:p>
        </w:tc>
        <w:tc>
          <w:tcPr>
            <w:tcW w:w="681" w:type="pct"/>
            <w:tcBorders>
              <w:top w:val="single" w:sz="4" w:space="0" w:color="00B0F0"/>
              <w:left w:val="nil"/>
              <w:bottom w:val="single" w:sz="4" w:space="0" w:color="00B0F0"/>
              <w:right w:val="nil"/>
            </w:tcBorders>
          </w:tcPr>
          <w:p w14:paraId="1AA2F191" w14:textId="77777777" w:rsidR="00620241" w:rsidRPr="00751816"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20241" w:rsidRPr="00751816" w14:paraId="745DAB9F"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688"/>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vAlign w:val="center"/>
          </w:tcPr>
          <w:p w14:paraId="17FE5642" w14:textId="77777777" w:rsidR="00620241" w:rsidRPr="00751816" w:rsidRDefault="00620241" w:rsidP="001664CF">
            <w:pPr>
              <w:spacing w:before="120" w:after="120" w:line="240" w:lineRule="atLeast"/>
              <w:contextualSpacing/>
              <w:rPr>
                <w:rFonts w:ascii="Tahoma" w:hAnsi="Tahoma" w:cs="Tahoma"/>
                <w:sz w:val="20"/>
              </w:rPr>
            </w:pPr>
            <w:r>
              <w:rPr>
                <w:rFonts w:ascii="Tahoma" w:hAnsi="Tahoma" w:cs="Tahoma"/>
                <w:sz w:val="20"/>
              </w:rPr>
              <w:lastRenderedPageBreak/>
              <w:t xml:space="preserve">Non-labour expenditure </w:t>
            </w:r>
          </w:p>
        </w:tc>
        <w:tc>
          <w:tcPr>
            <w:tcW w:w="1693" w:type="pct"/>
            <w:tcBorders>
              <w:top w:val="single" w:sz="4" w:space="0" w:color="00B0F0"/>
              <w:left w:val="nil"/>
              <w:bottom w:val="single" w:sz="4" w:space="0" w:color="00B0F0"/>
              <w:right w:val="nil"/>
            </w:tcBorders>
          </w:tcPr>
          <w:p w14:paraId="133FCF76" w14:textId="17669889"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Information on non-labour expenditure has been sourced from analysis provided by APA from its Oracle business system, AGN Limited’s General Ledger and working papers that underpin preparation of the Ring Fenced Accounts. These working papers in the form of Excel spreadsheets, incorporate cost allocation of AGN Limited non-labour expenses to each of its regulated and unregulated pipelines, as set out in the CAM.</w:t>
            </w:r>
          </w:p>
          <w:p w14:paraId="12069F29"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314B1B3" w14:textId="77777777" w:rsidR="00620241" w:rsidRPr="00926DBF"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u w:val="single"/>
              </w:rPr>
            </w:pPr>
            <w:r>
              <w:rPr>
                <w:rFonts w:ascii="Tahoma" w:hAnsi="Tahoma" w:cs="Tahoma"/>
                <w:sz w:val="20"/>
                <w:u w:val="single"/>
              </w:rPr>
              <w:t xml:space="preserve">Labour and Non-labour split of </w:t>
            </w:r>
            <w:r w:rsidRPr="00926DBF">
              <w:rPr>
                <w:rFonts w:ascii="Tahoma" w:hAnsi="Tahoma" w:cs="Tahoma"/>
                <w:sz w:val="20"/>
                <w:u w:val="single"/>
              </w:rPr>
              <w:t>Regulatory Accounting Adjustments</w:t>
            </w:r>
          </w:p>
          <w:p w14:paraId="6BF1F6A4"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Cost allocation processes undertaken in preparing the Ring Fenced Accounts include adjustments required due to the regulatory accounting policies that are set out in the AGN Limited Regulatory Accounting Principles and Policies document, Capitalisation Policy and Appendix E of this Basis of Preparation document.  </w:t>
            </w:r>
          </w:p>
          <w:p w14:paraId="3C8FF0E2"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918D8F4"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These include adjustments for relevant expenditure incurred through the OMA with APA which is treated as Opex for regulatory accounting purposes but Capex in the Statutory Accounts (e.g. Piecemeal Mains Replacement, Heat Shrinking Sleeves, Marketing Rebates and NMF).  </w:t>
            </w:r>
          </w:p>
          <w:p w14:paraId="4947F416"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86BDC1D" w14:textId="6D9E1E26"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Expenditure related to these adjustments (other than for NMF which is all non-labour) is split </w:t>
            </w:r>
            <w:r>
              <w:rPr>
                <w:rFonts w:ascii="Tahoma" w:hAnsi="Tahoma" w:cs="Tahoma"/>
                <w:sz w:val="20"/>
              </w:rPr>
              <w:lastRenderedPageBreak/>
              <w:t xml:space="preserve">between labour and non-labour based on the analysis of </w:t>
            </w:r>
            <w:r w:rsidR="00137D8C" w:rsidRPr="00365DFA">
              <w:rPr>
                <w:rFonts w:ascii="Tahoma" w:hAnsi="Tahoma" w:cs="Tahoma"/>
                <w:sz w:val="20"/>
              </w:rPr>
              <w:t>capex</w:t>
            </w:r>
            <w:r w:rsidR="00137D8C">
              <w:rPr>
                <w:rFonts w:ascii="Tahoma" w:hAnsi="Tahoma" w:cs="Tahoma"/>
                <w:sz w:val="20"/>
              </w:rPr>
              <w:t xml:space="preserve"> </w:t>
            </w:r>
            <w:r>
              <w:rPr>
                <w:rFonts w:ascii="Tahoma" w:hAnsi="Tahoma" w:cs="Tahoma"/>
                <w:sz w:val="20"/>
              </w:rPr>
              <w:t xml:space="preserve">cost categories as already explained. </w:t>
            </w:r>
          </w:p>
          <w:p w14:paraId="0CE82280"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CF60EA1"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Activities in APA’s Oracle finance system that align to these regulatory accounting adjustments are set out in </w:t>
            </w:r>
            <w:r w:rsidRPr="00365DFA">
              <w:rPr>
                <w:rFonts w:ascii="Tahoma" w:hAnsi="Tahoma" w:cs="Tahoma"/>
                <w:sz w:val="20"/>
              </w:rPr>
              <w:t>Appendix E</w:t>
            </w:r>
            <w:r>
              <w:rPr>
                <w:rFonts w:ascii="Tahoma" w:hAnsi="Tahoma" w:cs="Tahoma"/>
                <w:sz w:val="20"/>
              </w:rPr>
              <w:t>.</w:t>
            </w:r>
          </w:p>
          <w:p w14:paraId="769C005D"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0814831" w14:textId="34E854A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expenditure related to all cost categories that are not for APA’s internal payroll and contractor/consultants are grouped and reported as non-labour expenditure.  This includes the regulatory accounting adjustment for NMF which is all non-labour expenditure.</w:t>
            </w:r>
          </w:p>
          <w:p w14:paraId="556A9860" w14:textId="44F44137" w:rsidR="004F6C3E" w:rsidRDefault="004F6C3E"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855D6EC" w14:textId="4DD5BBD2" w:rsidR="00620241" w:rsidRPr="00751816" w:rsidRDefault="004F6C3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AGN Limited’s internal non-labour expenditure</w:t>
            </w:r>
            <w:r w:rsidR="00B25B83">
              <w:rPr>
                <w:rFonts w:ascii="Tahoma" w:hAnsi="Tahoma" w:cs="Tahoma"/>
                <w:sz w:val="20"/>
              </w:rPr>
              <w:t xml:space="preserve"> for AGN (SA)</w:t>
            </w:r>
            <w:r>
              <w:rPr>
                <w:rFonts w:ascii="Tahoma" w:hAnsi="Tahoma" w:cs="Tahoma"/>
                <w:sz w:val="20"/>
              </w:rPr>
              <w:t xml:space="preserve"> is identified through analysis of balances in General Ledger account codes and the underlying nature of the Opex transactions recorded in the General Ledger.</w:t>
            </w:r>
          </w:p>
        </w:tc>
        <w:tc>
          <w:tcPr>
            <w:tcW w:w="818" w:type="pct"/>
            <w:tcBorders>
              <w:top w:val="single" w:sz="4" w:space="0" w:color="00B0F0"/>
              <w:left w:val="nil"/>
              <w:bottom w:val="single" w:sz="4" w:space="0" w:color="00B0F0"/>
              <w:right w:val="nil"/>
            </w:tcBorders>
            <w:vAlign w:val="center"/>
          </w:tcPr>
          <w:p w14:paraId="3022D2A8" w14:textId="09B81BEC" w:rsidR="00620241" w:rsidRPr="00751816" w:rsidRDefault="001664CF" w:rsidP="00D630E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Estimate</w:t>
            </w:r>
          </w:p>
        </w:tc>
        <w:tc>
          <w:tcPr>
            <w:tcW w:w="1095" w:type="pct"/>
            <w:tcBorders>
              <w:top w:val="single" w:sz="4" w:space="0" w:color="00B0F0"/>
              <w:left w:val="nil"/>
              <w:bottom w:val="single" w:sz="4" w:space="0" w:color="00B0F0"/>
              <w:right w:val="nil"/>
            </w:tcBorders>
          </w:tcPr>
          <w:p w14:paraId="42F85657" w14:textId="57198296"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As explained above, the analysis of cost categories provided by APA has been used to allocate expenditure incurred by AGN Limited </w:t>
            </w:r>
            <w:r w:rsidR="00952B40">
              <w:rPr>
                <w:rFonts w:ascii="Tahoma" w:hAnsi="Tahoma" w:cs="Tahoma"/>
                <w:sz w:val="20"/>
              </w:rPr>
              <w:t xml:space="preserve">for AGN (SA) </w:t>
            </w:r>
            <w:r>
              <w:rPr>
                <w:rFonts w:ascii="Tahoma" w:hAnsi="Tahoma" w:cs="Tahoma"/>
                <w:sz w:val="20"/>
              </w:rPr>
              <w:t>under the OMA as between labour and non-labour.</w:t>
            </w:r>
          </w:p>
          <w:p w14:paraId="4C15233E"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0C4E6C2" w14:textId="3BD1D0EB" w:rsidR="00620241" w:rsidRPr="00751816"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C1020">
              <w:rPr>
                <w:rFonts w:ascii="Tahoma" w:hAnsi="Tahoma" w:cs="Tahoma"/>
                <w:sz w:val="20"/>
              </w:rPr>
              <w:t xml:space="preserve">AGN Limited considers this the most accurate representation </w:t>
            </w:r>
            <w:r>
              <w:rPr>
                <w:rFonts w:ascii="Tahoma" w:hAnsi="Tahoma" w:cs="Tahoma"/>
                <w:sz w:val="20"/>
              </w:rPr>
              <w:t xml:space="preserve">possible </w:t>
            </w:r>
            <w:r w:rsidRPr="007C1020">
              <w:rPr>
                <w:rFonts w:ascii="Tahoma" w:hAnsi="Tahoma" w:cs="Tahoma"/>
                <w:sz w:val="20"/>
              </w:rPr>
              <w:t xml:space="preserve">of the breakdown of labour and non-labour expenditure </w:t>
            </w:r>
            <w:r>
              <w:rPr>
                <w:rFonts w:ascii="Tahoma" w:hAnsi="Tahoma" w:cs="Tahoma"/>
                <w:sz w:val="20"/>
              </w:rPr>
              <w:t>using the information available</w:t>
            </w:r>
            <w:r w:rsidRPr="007C1020">
              <w:rPr>
                <w:rFonts w:ascii="Tahoma" w:hAnsi="Tahoma" w:cs="Tahoma"/>
                <w:sz w:val="20"/>
              </w:rPr>
              <w:t>.  However, given the</w:t>
            </w:r>
            <w:r w:rsidR="00952B40">
              <w:rPr>
                <w:rFonts w:ascii="Tahoma" w:hAnsi="Tahoma" w:cs="Tahoma"/>
                <w:sz w:val="20"/>
              </w:rPr>
              <w:t xml:space="preserve"> amounts </w:t>
            </w:r>
            <w:r w:rsidRPr="007C1020">
              <w:rPr>
                <w:rFonts w:ascii="Tahoma" w:hAnsi="Tahoma" w:cs="Tahoma"/>
                <w:sz w:val="20"/>
              </w:rPr>
              <w:t>are based on analysis provided by APA</w:t>
            </w:r>
            <w:r>
              <w:rPr>
                <w:rFonts w:ascii="Tahoma" w:hAnsi="Tahoma" w:cs="Tahoma"/>
                <w:sz w:val="20"/>
              </w:rPr>
              <w:t xml:space="preserve"> and not directly taken from their Oracle finance system and </w:t>
            </w:r>
            <w:r w:rsidR="00952B40">
              <w:rPr>
                <w:rFonts w:ascii="Tahoma" w:hAnsi="Tahoma" w:cs="Tahoma"/>
                <w:sz w:val="20"/>
              </w:rPr>
              <w:t xml:space="preserve">further, </w:t>
            </w:r>
            <w:r>
              <w:rPr>
                <w:rFonts w:ascii="Tahoma" w:hAnsi="Tahoma" w:cs="Tahoma"/>
                <w:sz w:val="20"/>
              </w:rPr>
              <w:t xml:space="preserve">because </w:t>
            </w:r>
            <w:r w:rsidRPr="007C1020">
              <w:rPr>
                <w:rFonts w:ascii="Tahoma" w:hAnsi="Tahoma" w:cs="Tahoma"/>
                <w:sz w:val="20"/>
              </w:rPr>
              <w:t xml:space="preserve">some categories of expenditure could not be split (e.g. shared services and recovery of </w:t>
            </w:r>
            <w:r w:rsidR="0059188A">
              <w:rPr>
                <w:rFonts w:ascii="Tahoma" w:hAnsi="Tahoma" w:cs="Tahoma"/>
                <w:sz w:val="20"/>
              </w:rPr>
              <w:t xml:space="preserve">network </w:t>
            </w:r>
            <w:r w:rsidRPr="007C1020">
              <w:rPr>
                <w:rFonts w:ascii="Tahoma" w:hAnsi="Tahoma" w:cs="Tahoma"/>
                <w:sz w:val="20"/>
              </w:rPr>
              <w:t>overheads), the reported amounts are considered estimated information by AGN Limited.</w:t>
            </w:r>
          </w:p>
        </w:tc>
        <w:tc>
          <w:tcPr>
            <w:tcW w:w="681" w:type="pct"/>
            <w:tcBorders>
              <w:top w:val="single" w:sz="4" w:space="0" w:color="00B0F0"/>
              <w:left w:val="nil"/>
              <w:bottom w:val="single" w:sz="4" w:space="0" w:color="00B0F0"/>
              <w:right w:val="nil"/>
            </w:tcBorders>
          </w:tcPr>
          <w:p w14:paraId="0CD577B2" w14:textId="77777777" w:rsidR="00620241" w:rsidRPr="00751816"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539ABB56" w14:textId="77777777" w:rsidR="002A0842" w:rsidRPr="002A0842" w:rsidRDefault="002A0842" w:rsidP="002A0842">
      <w:pPr>
        <w:rPr>
          <w:rFonts w:ascii="Tahoma" w:hAnsi="Tahoma" w:cs="Tahoma"/>
          <w:color w:val="00B0F0"/>
        </w:rPr>
      </w:pPr>
    </w:p>
    <w:p w14:paraId="7870AE76" w14:textId="77777777" w:rsidR="00E231D8" w:rsidRDefault="00E231D8">
      <w:pPr>
        <w:rPr>
          <w:rFonts w:ascii="Tahoma" w:hAnsi="Tahoma" w:cs="Tahoma"/>
          <w:color w:val="00B0F0"/>
        </w:rPr>
      </w:pPr>
      <w:r>
        <w:rPr>
          <w:rFonts w:ascii="Tahoma" w:hAnsi="Tahoma" w:cs="Tahoma"/>
          <w:color w:val="00B0F0"/>
        </w:rPr>
        <w:br w:type="page"/>
      </w:r>
    </w:p>
    <w:p w14:paraId="7211C721" w14:textId="1D198E31" w:rsidR="002A0842" w:rsidRDefault="002A0842" w:rsidP="002A0842">
      <w:pPr>
        <w:rPr>
          <w:rFonts w:ascii="Tahoma" w:hAnsi="Tahoma" w:cs="Tahoma"/>
          <w:color w:val="00B0F0"/>
        </w:rPr>
      </w:pPr>
      <w:r w:rsidRPr="002A0842">
        <w:rPr>
          <w:rFonts w:ascii="Tahoma" w:hAnsi="Tahoma" w:cs="Tahoma"/>
          <w:color w:val="00B0F0"/>
        </w:rPr>
        <w:lastRenderedPageBreak/>
        <w:t xml:space="preserve">E11.3.2- Capex </w:t>
      </w:r>
    </w:p>
    <w:tbl>
      <w:tblPr>
        <w:tblStyle w:val="UETableStyle"/>
        <w:tblW w:w="5004"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73"/>
        <w:gridCol w:w="4682"/>
        <w:gridCol w:w="25"/>
        <w:gridCol w:w="2126"/>
        <w:gridCol w:w="112"/>
        <w:gridCol w:w="3151"/>
        <w:gridCol w:w="17"/>
        <w:gridCol w:w="1883"/>
      </w:tblGrid>
      <w:tr w:rsidR="00620241" w:rsidRPr="00751816" w14:paraId="40B01250" w14:textId="77777777" w:rsidTr="00AD12C7">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06" w:type="pct"/>
            <w:tcBorders>
              <w:bottom w:val="single" w:sz="4" w:space="0" w:color="00B0F0"/>
            </w:tcBorders>
            <w:shd w:val="clear" w:color="auto" w:fill="003C71"/>
            <w:hideMark/>
          </w:tcPr>
          <w:p w14:paraId="3778C20F" w14:textId="77777777" w:rsidR="00620241" w:rsidRPr="00751816" w:rsidRDefault="00620241" w:rsidP="001C016D">
            <w:pPr>
              <w:rPr>
                <w:rFonts w:ascii="Tahoma" w:hAnsi="Tahoma" w:cs="Tahoma"/>
                <w:b/>
                <w:color w:val="FFFFFF"/>
                <w:sz w:val="20"/>
              </w:rPr>
            </w:pPr>
            <w:r w:rsidRPr="00751816">
              <w:rPr>
                <w:rFonts w:ascii="Tahoma" w:hAnsi="Tahoma" w:cs="Tahoma"/>
                <w:b/>
                <w:color w:val="FFFFFF"/>
                <w:sz w:val="20"/>
              </w:rPr>
              <w:t xml:space="preserve">Variable </w:t>
            </w:r>
          </w:p>
        </w:tc>
        <w:tc>
          <w:tcPr>
            <w:tcW w:w="1676" w:type="pct"/>
            <w:tcBorders>
              <w:bottom w:val="single" w:sz="4" w:space="0" w:color="00B0F0"/>
            </w:tcBorders>
            <w:shd w:val="clear" w:color="auto" w:fill="003C71"/>
          </w:tcPr>
          <w:p w14:paraId="2EB9844E" w14:textId="77777777" w:rsidR="00620241" w:rsidRPr="00751816" w:rsidRDefault="00620241"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10" w:type="pct"/>
            <w:gridSpan w:val="3"/>
            <w:tcBorders>
              <w:bottom w:val="single" w:sz="4" w:space="0" w:color="00B0F0"/>
            </w:tcBorders>
            <w:shd w:val="clear" w:color="auto" w:fill="003C71"/>
          </w:tcPr>
          <w:p w14:paraId="1E15696C" w14:textId="77777777" w:rsidR="00620241" w:rsidRPr="00751816" w:rsidRDefault="00620241"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134" w:type="pct"/>
            <w:gridSpan w:val="2"/>
            <w:tcBorders>
              <w:bottom w:val="single" w:sz="4" w:space="0" w:color="00B0F0"/>
            </w:tcBorders>
            <w:shd w:val="clear" w:color="auto" w:fill="003C71"/>
          </w:tcPr>
          <w:p w14:paraId="367A19D8" w14:textId="77777777" w:rsidR="00620241" w:rsidRPr="00751816" w:rsidRDefault="00620241"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74" w:type="pct"/>
            <w:tcBorders>
              <w:bottom w:val="single" w:sz="4" w:space="0" w:color="00B0F0"/>
            </w:tcBorders>
            <w:shd w:val="clear" w:color="auto" w:fill="003C71"/>
          </w:tcPr>
          <w:p w14:paraId="053E437F" w14:textId="77777777" w:rsidR="00620241" w:rsidRPr="00751816" w:rsidRDefault="00620241"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620241" w:rsidRPr="00751816" w14:paraId="2302110B" w14:textId="77777777" w:rsidTr="00AD12C7">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283"/>
        </w:trPr>
        <w:tc>
          <w:tcPr>
            <w:cnfStyle w:val="001000000000" w:firstRow="0" w:lastRow="0" w:firstColumn="1" w:lastColumn="0" w:oddVBand="0" w:evenVBand="0" w:oddHBand="0" w:evenHBand="0" w:firstRowFirstColumn="0" w:firstRowLastColumn="0" w:lastRowFirstColumn="0" w:lastRowLastColumn="0"/>
            <w:tcW w:w="706" w:type="pct"/>
            <w:tcBorders>
              <w:top w:val="single" w:sz="4" w:space="0" w:color="00B0F0"/>
              <w:bottom w:val="single" w:sz="4" w:space="0" w:color="00B0F0"/>
            </w:tcBorders>
            <w:shd w:val="clear" w:color="auto" w:fill="00A3E0"/>
            <w:vAlign w:val="center"/>
          </w:tcPr>
          <w:p w14:paraId="6E90056E" w14:textId="2AA90F37" w:rsidR="00620241" w:rsidRPr="00751816" w:rsidRDefault="00DD6B14" w:rsidP="001664CF">
            <w:pPr>
              <w:contextualSpacing/>
              <w:rPr>
                <w:rFonts w:ascii="Tahoma" w:hAnsi="Tahoma" w:cs="Tahoma"/>
                <w:sz w:val="20"/>
              </w:rPr>
            </w:pPr>
            <w:r>
              <w:rPr>
                <w:rFonts w:ascii="Tahoma" w:hAnsi="Tahoma" w:cs="Tahoma"/>
                <w:sz w:val="20"/>
              </w:rPr>
              <w:t>2019/20</w:t>
            </w:r>
            <w:r w:rsidR="00620241">
              <w:rPr>
                <w:rFonts w:ascii="Tahoma" w:hAnsi="Tahoma" w:cs="Tahoma"/>
                <w:sz w:val="20"/>
              </w:rPr>
              <w:t xml:space="preserve">  </w:t>
            </w:r>
          </w:p>
        </w:tc>
        <w:tc>
          <w:tcPr>
            <w:tcW w:w="1676" w:type="pct"/>
            <w:tcBorders>
              <w:top w:val="single" w:sz="4" w:space="0" w:color="00B0F0"/>
              <w:left w:val="nil"/>
              <w:bottom w:val="single" w:sz="4" w:space="0" w:color="00B0F0"/>
              <w:right w:val="nil"/>
            </w:tcBorders>
            <w:shd w:val="clear" w:color="auto" w:fill="00A3E0"/>
          </w:tcPr>
          <w:p w14:paraId="262D32F1" w14:textId="77777777" w:rsidR="00620241" w:rsidRPr="00751816"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10" w:type="pct"/>
            <w:gridSpan w:val="3"/>
            <w:tcBorders>
              <w:top w:val="single" w:sz="4" w:space="0" w:color="00B0F0"/>
              <w:left w:val="nil"/>
              <w:bottom w:val="single" w:sz="4" w:space="0" w:color="00B0F0"/>
              <w:right w:val="nil"/>
            </w:tcBorders>
            <w:shd w:val="clear" w:color="auto" w:fill="00A3E0"/>
          </w:tcPr>
          <w:p w14:paraId="2F080345" w14:textId="77777777" w:rsidR="00620241" w:rsidRPr="00751816"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1134" w:type="pct"/>
            <w:gridSpan w:val="2"/>
            <w:tcBorders>
              <w:top w:val="single" w:sz="4" w:space="0" w:color="00B0F0"/>
              <w:left w:val="nil"/>
              <w:bottom w:val="single" w:sz="4" w:space="0" w:color="00B0F0"/>
              <w:right w:val="nil"/>
            </w:tcBorders>
            <w:shd w:val="clear" w:color="auto" w:fill="00A3E0"/>
          </w:tcPr>
          <w:p w14:paraId="61723EFD" w14:textId="77777777" w:rsidR="00620241" w:rsidRPr="00751816"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74" w:type="pct"/>
            <w:tcBorders>
              <w:top w:val="single" w:sz="4" w:space="0" w:color="00B0F0"/>
              <w:left w:val="nil"/>
              <w:bottom w:val="single" w:sz="4" w:space="0" w:color="00B0F0"/>
              <w:right w:val="nil"/>
            </w:tcBorders>
            <w:shd w:val="clear" w:color="auto" w:fill="00A3E0"/>
          </w:tcPr>
          <w:p w14:paraId="76E75057" w14:textId="77777777" w:rsidR="00620241" w:rsidRPr="00751816"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AD12C7" w:rsidRPr="00751816" w14:paraId="29E930C7" w14:textId="77777777" w:rsidTr="00641102">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83"/>
        </w:trPr>
        <w:tc>
          <w:tcPr>
            <w:cnfStyle w:val="001000000000" w:firstRow="0" w:lastRow="0" w:firstColumn="1" w:lastColumn="0" w:oddVBand="0" w:evenVBand="0" w:oddHBand="0" w:evenHBand="0" w:firstRowFirstColumn="0" w:firstRowLastColumn="0" w:lastRowFirstColumn="0" w:lastRowLastColumn="0"/>
            <w:tcW w:w="706" w:type="pct"/>
            <w:tcBorders>
              <w:top w:val="single" w:sz="4" w:space="0" w:color="00B0F0"/>
              <w:bottom w:val="single" w:sz="4" w:space="0" w:color="00B0F0"/>
            </w:tcBorders>
            <w:vAlign w:val="center"/>
          </w:tcPr>
          <w:p w14:paraId="21549B27" w14:textId="77777777" w:rsidR="00AD12C7" w:rsidRPr="00751816" w:rsidRDefault="00AD12C7" w:rsidP="001664CF">
            <w:pPr>
              <w:spacing w:before="120" w:after="120" w:line="240" w:lineRule="atLeast"/>
              <w:contextualSpacing/>
              <w:rPr>
                <w:rFonts w:ascii="Tahoma" w:hAnsi="Tahoma" w:cs="Tahoma"/>
                <w:sz w:val="20"/>
              </w:rPr>
            </w:pPr>
            <w:r>
              <w:rPr>
                <w:rFonts w:ascii="Tahoma" w:hAnsi="Tahoma" w:cs="Tahoma"/>
                <w:sz w:val="20"/>
              </w:rPr>
              <w:t xml:space="preserve">In house labour expenditure </w:t>
            </w:r>
          </w:p>
        </w:tc>
        <w:tc>
          <w:tcPr>
            <w:tcW w:w="1685" w:type="pct"/>
            <w:gridSpan w:val="2"/>
            <w:tcBorders>
              <w:top w:val="single" w:sz="4" w:space="0" w:color="00B0F0"/>
              <w:left w:val="nil"/>
              <w:bottom w:val="single" w:sz="4" w:space="0" w:color="00B0F0"/>
              <w:right w:val="nil"/>
            </w:tcBorders>
          </w:tcPr>
          <w:p w14:paraId="3CDC66E8" w14:textId="06A49796" w:rsidR="00952B40" w:rsidRDefault="00B40049"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In house labour expenditure reported in this table relates to sp</w:t>
            </w:r>
            <w:r w:rsidR="00F70928" w:rsidRPr="00AD12C7">
              <w:rPr>
                <w:rFonts w:ascii="Tahoma" w:hAnsi="Tahoma" w:cs="Tahoma"/>
                <w:sz w:val="20"/>
              </w:rPr>
              <w:t>ecific internal ICT projects</w:t>
            </w:r>
            <w:r>
              <w:rPr>
                <w:rFonts w:ascii="Tahoma" w:hAnsi="Tahoma" w:cs="Tahoma"/>
                <w:sz w:val="20"/>
              </w:rPr>
              <w:t xml:space="preserve">.  Other than for these ICT projects, </w:t>
            </w:r>
            <w:r w:rsidR="00AD12C7" w:rsidRPr="00AD12C7">
              <w:rPr>
                <w:rFonts w:ascii="Tahoma" w:hAnsi="Tahoma" w:cs="Tahoma"/>
                <w:sz w:val="20"/>
              </w:rPr>
              <w:t xml:space="preserve">AGN Limited does not typically incur internal labour expenditure in relation to delivery of its </w:t>
            </w:r>
            <w:r w:rsidR="00F70928">
              <w:rPr>
                <w:rFonts w:ascii="Tahoma" w:hAnsi="Tahoma" w:cs="Tahoma"/>
                <w:sz w:val="20"/>
              </w:rPr>
              <w:t xml:space="preserve">general </w:t>
            </w:r>
            <w:r w:rsidR="00AD12C7" w:rsidRPr="00AD12C7">
              <w:rPr>
                <w:rFonts w:ascii="Tahoma" w:hAnsi="Tahoma" w:cs="Tahoma"/>
                <w:sz w:val="20"/>
              </w:rPr>
              <w:t xml:space="preserve">Capex program. </w:t>
            </w:r>
          </w:p>
          <w:p w14:paraId="09A67CEE" w14:textId="77777777" w:rsidR="00952B40" w:rsidRDefault="00952B40"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174E9B2" w14:textId="73F29AEF" w:rsidR="00B40049" w:rsidRDefault="00952B40"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In house labour expenditure for AGN (SA) reported in this table</w:t>
            </w:r>
            <w:r w:rsidR="00AD12C7" w:rsidRPr="00AD12C7">
              <w:rPr>
                <w:rFonts w:ascii="Tahoma" w:hAnsi="Tahoma" w:cs="Tahoma"/>
                <w:sz w:val="20"/>
              </w:rPr>
              <w:t xml:space="preserve"> </w:t>
            </w:r>
            <w:r>
              <w:rPr>
                <w:rFonts w:ascii="Tahoma" w:hAnsi="Tahoma" w:cs="Tahoma"/>
                <w:sz w:val="20"/>
              </w:rPr>
              <w:t xml:space="preserve">has been derived from AGN Limited’s general ledger and working papers in the form of Excel spreadsheets that are used to allocate AGN Limited’s internal costs </w:t>
            </w:r>
            <w:r w:rsidR="00B40049">
              <w:rPr>
                <w:rFonts w:ascii="Tahoma" w:hAnsi="Tahoma" w:cs="Tahoma"/>
                <w:sz w:val="20"/>
              </w:rPr>
              <w:t xml:space="preserve">(including labour) </w:t>
            </w:r>
            <w:r>
              <w:rPr>
                <w:rFonts w:ascii="Tahoma" w:hAnsi="Tahoma" w:cs="Tahoma"/>
                <w:sz w:val="20"/>
              </w:rPr>
              <w:t xml:space="preserve">between its regulated and unregulated </w:t>
            </w:r>
            <w:r w:rsidR="00B40049">
              <w:rPr>
                <w:rFonts w:ascii="Tahoma" w:hAnsi="Tahoma" w:cs="Tahoma"/>
                <w:sz w:val="20"/>
              </w:rPr>
              <w:t>pipeline</w:t>
            </w:r>
            <w:r>
              <w:rPr>
                <w:rFonts w:ascii="Tahoma" w:hAnsi="Tahoma" w:cs="Tahoma"/>
                <w:sz w:val="20"/>
              </w:rPr>
              <w:t>s.</w:t>
            </w:r>
            <w:r w:rsidR="00B40049">
              <w:rPr>
                <w:rFonts w:ascii="Tahoma" w:hAnsi="Tahoma" w:cs="Tahoma"/>
                <w:sz w:val="20"/>
              </w:rPr>
              <w:t xml:space="preserve">  </w:t>
            </w:r>
          </w:p>
          <w:p w14:paraId="3A850B06" w14:textId="77777777" w:rsidR="00B40049" w:rsidRDefault="00B40049"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970B140" w14:textId="611CC18E" w:rsidR="00F70928" w:rsidRDefault="00B40049"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FD3BFF">
              <w:rPr>
                <w:rFonts w:ascii="Tahoma" w:hAnsi="Tahoma" w:cs="Tahoma"/>
                <w:sz w:val="20"/>
              </w:rPr>
              <w:t xml:space="preserve">Refer to the supplementary information provided </w:t>
            </w:r>
            <w:r w:rsidR="00FD3BFF" w:rsidRPr="00FD3BFF">
              <w:rPr>
                <w:rFonts w:ascii="Tahoma" w:hAnsi="Tahoma" w:cs="Tahoma"/>
                <w:sz w:val="20"/>
              </w:rPr>
              <w:t xml:space="preserve">in Appendix H of </w:t>
            </w:r>
            <w:r w:rsidRPr="00FD3BFF">
              <w:rPr>
                <w:rFonts w:ascii="Tahoma" w:hAnsi="Tahoma" w:cs="Tahoma"/>
                <w:sz w:val="20"/>
              </w:rPr>
              <w:t xml:space="preserve">this </w:t>
            </w:r>
            <w:r w:rsidR="00FD3BFF" w:rsidRPr="00FD3BFF">
              <w:rPr>
                <w:rFonts w:ascii="Tahoma" w:hAnsi="Tahoma" w:cs="Tahoma"/>
                <w:sz w:val="20"/>
              </w:rPr>
              <w:t>Basis of Preparation document</w:t>
            </w:r>
            <w:r w:rsidRPr="00FD3BFF">
              <w:rPr>
                <w:rFonts w:ascii="Tahoma" w:hAnsi="Tahoma" w:cs="Tahoma"/>
                <w:sz w:val="20"/>
              </w:rPr>
              <w:t>, related to the Cost Allocation Methodology, which sets out AGN Limite</w:t>
            </w:r>
            <w:r w:rsidR="00017B16" w:rsidRPr="00FD3BFF">
              <w:rPr>
                <w:rFonts w:ascii="Tahoma" w:hAnsi="Tahoma" w:cs="Tahoma"/>
                <w:sz w:val="20"/>
              </w:rPr>
              <w:t>d’s processes for capitalising I</w:t>
            </w:r>
            <w:r w:rsidRPr="00FD3BFF">
              <w:rPr>
                <w:rFonts w:ascii="Tahoma" w:hAnsi="Tahoma" w:cs="Tahoma"/>
                <w:sz w:val="20"/>
              </w:rPr>
              <w:t>n house labour for internal ICT projects.</w:t>
            </w:r>
          </w:p>
          <w:p w14:paraId="0DEB7EAA" w14:textId="77777777" w:rsidR="00F70928" w:rsidRDefault="00F70928"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5F07A5F" w14:textId="09239A30" w:rsidR="00AD12C7" w:rsidRDefault="00AD12C7" w:rsidP="00F7092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AD12C7">
              <w:rPr>
                <w:rFonts w:ascii="Tahoma" w:hAnsi="Tahoma" w:cs="Tahoma"/>
                <w:sz w:val="20"/>
              </w:rPr>
              <w:t xml:space="preserve">With the exception of </w:t>
            </w:r>
            <w:r w:rsidR="00F70928">
              <w:rPr>
                <w:rFonts w:ascii="Tahoma" w:hAnsi="Tahoma" w:cs="Tahoma"/>
                <w:sz w:val="20"/>
              </w:rPr>
              <w:t xml:space="preserve">these </w:t>
            </w:r>
            <w:r w:rsidRPr="00AD12C7">
              <w:rPr>
                <w:rFonts w:ascii="Tahoma" w:hAnsi="Tahoma" w:cs="Tahoma"/>
                <w:sz w:val="20"/>
              </w:rPr>
              <w:t>internal ICT projects, delivery of AGN Limited’s Capex program, including for AGN (SA)</w:t>
            </w:r>
            <w:r>
              <w:rPr>
                <w:rFonts w:ascii="Tahoma" w:hAnsi="Tahoma" w:cs="Tahoma"/>
                <w:sz w:val="20"/>
              </w:rPr>
              <w:t>,</w:t>
            </w:r>
            <w:r w:rsidRPr="00AD12C7">
              <w:rPr>
                <w:rFonts w:ascii="Tahoma" w:hAnsi="Tahoma" w:cs="Tahoma"/>
                <w:sz w:val="20"/>
              </w:rPr>
              <w:t xml:space="preserve"> is performed by APA Asset Management (APA) under an Operating and Management Agreement (OMA).  Accordingly this expenditure is reported in other categories as shown below.</w:t>
            </w:r>
          </w:p>
        </w:tc>
        <w:tc>
          <w:tcPr>
            <w:tcW w:w="761" w:type="pct"/>
            <w:tcBorders>
              <w:top w:val="single" w:sz="4" w:space="0" w:color="00B0F0"/>
              <w:left w:val="nil"/>
              <w:bottom w:val="single" w:sz="4" w:space="0" w:color="00B0F0"/>
              <w:right w:val="nil"/>
            </w:tcBorders>
            <w:vAlign w:val="center"/>
          </w:tcPr>
          <w:p w14:paraId="396EAD05" w14:textId="3B4E10B0" w:rsidR="00AD12C7" w:rsidDel="00236AD9" w:rsidRDefault="00AD12C7"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68" w:type="pct"/>
            <w:gridSpan w:val="2"/>
            <w:tcBorders>
              <w:top w:val="single" w:sz="4" w:space="0" w:color="00B0F0"/>
              <w:left w:val="nil"/>
              <w:bottom w:val="single" w:sz="4" w:space="0" w:color="00B0F0"/>
              <w:right w:val="nil"/>
            </w:tcBorders>
          </w:tcPr>
          <w:p w14:paraId="2B1756EE" w14:textId="77777777" w:rsidR="00AD12C7" w:rsidRDefault="00AD12C7"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gridSpan w:val="2"/>
            <w:tcBorders>
              <w:top w:val="single" w:sz="4" w:space="0" w:color="00B0F0"/>
              <w:left w:val="nil"/>
              <w:bottom w:val="single" w:sz="4" w:space="0" w:color="00B0F0"/>
              <w:right w:val="nil"/>
            </w:tcBorders>
          </w:tcPr>
          <w:p w14:paraId="6173935D" w14:textId="750F1F19" w:rsidR="00AD12C7" w:rsidRPr="00751816" w:rsidRDefault="00AD12C7"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236AD9" w:rsidRPr="00751816" w14:paraId="1C3E775F" w14:textId="77777777" w:rsidTr="009D2068">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213"/>
        </w:trPr>
        <w:tc>
          <w:tcPr>
            <w:cnfStyle w:val="001000000000" w:firstRow="0" w:lastRow="0" w:firstColumn="1" w:lastColumn="0" w:oddVBand="0" w:evenVBand="0" w:oddHBand="0" w:evenHBand="0" w:firstRowFirstColumn="0" w:firstRowLastColumn="0" w:lastRowFirstColumn="0" w:lastRowLastColumn="0"/>
            <w:tcW w:w="706" w:type="pct"/>
            <w:tcBorders>
              <w:top w:val="single" w:sz="4" w:space="0" w:color="00B0F0"/>
              <w:bottom w:val="single" w:sz="4" w:space="0" w:color="00B0F0"/>
            </w:tcBorders>
            <w:vAlign w:val="center"/>
          </w:tcPr>
          <w:p w14:paraId="7200FB89" w14:textId="77777777" w:rsidR="00236AD9" w:rsidRPr="00751816" w:rsidRDefault="00236AD9" w:rsidP="001664CF">
            <w:pPr>
              <w:spacing w:before="120" w:after="120" w:line="240" w:lineRule="atLeast"/>
              <w:contextualSpacing/>
              <w:rPr>
                <w:rFonts w:ascii="Tahoma" w:hAnsi="Tahoma" w:cs="Tahoma"/>
                <w:sz w:val="20"/>
              </w:rPr>
            </w:pPr>
            <w:r>
              <w:rPr>
                <w:rFonts w:ascii="Tahoma" w:hAnsi="Tahoma" w:cs="Tahoma"/>
                <w:sz w:val="20"/>
              </w:rPr>
              <w:t xml:space="preserve">Labour expenditure outsourced to related parties </w:t>
            </w:r>
          </w:p>
        </w:tc>
        <w:tc>
          <w:tcPr>
            <w:tcW w:w="4294" w:type="pct"/>
            <w:gridSpan w:val="7"/>
            <w:tcBorders>
              <w:top w:val="single" w:sz="4" w:space="0" w:color="00B0F0"/>
              <w:left w:val="nil"/>
              <w:bottom w:val="single" w:sz="4" w:space="0" w:color="00B0F0"/>
              <w:right w:val="nil"/>
            </w:tcBorders>
          </w:tcPr>
          <w:p w14:paraId="4A994043" w14:textId="0925FD9C" w:rsidR="00236AD9" w:rsidRDefault="00236AD9" w:rsidP="0027656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AGN Limited has no labour expenditure</w:t>
            </w:r>
            <w:r w:rsidR="00B25B83">
              <w:rPr>
                <w:rFonts w:ascii="Tahoma" w:hAnsi="Tahoma" w:cs="Tahoma"/>
                <w:sz w:val="20"/>
              </w:rPr>
              <w:t xml:space="preserve"> for AGN (SA)</w:t>
            </w:r>
            <w:r w:rsidR="00B40049">
              <w:rPr>
                <w:rFonts w:ascii="Tahoma" w:hAnsi="Tahoma" w:cs="Tahoma"/>
                <w:sz w:val="20"/>
              </w:rPr>
              <w:t xml:space="preserve"> or any other company within the group that was </w:t>
            </w:r>
            <w:r>
              <w:rPr>
                <w:rFonts w:ascii="Tahoma" w:hAnsi="Tahoma" w:cs="Tahoma"/>
                <w:sz w:val="20"/>
              </w:rPr>
              <w:t xml:space="preserve">outsourced to related parties in </w:t>
            </w:r>
            <w:r w:rsidR="00B40049">
              <w:rPr>
                <w:rFonts w:ascii="Tahoma" w:hAnsi="Tahoma" w:cs="Tahoma"/>
                <w:sz w:val="20"/>
              </w:rPr>
              <w:t>2019/20</w:t>
            </w:r>
            <w:r>
              <w:rPr>
                <w:rFonts w:ascii="Tahoma" w:hAnsi="Tahoma" w:cs="Tahoma"/>
                <w:sz w:val="20"/>
              </w:rPr>
              <w:t>.</w:t>
            </w:r>
          </w:p>
          <w:p w14:paraId="74431E1B" w14:textId="77777777" w:rsidR="00236AD9" w:rsidRDefault="00236AD9" w:rsidP="0027656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2373D7C" w14:textId="215515DC" w:rsidR="00236AD9" w:rsidRPr="00751816" w:rsidRDefault="00236AD9" w:rsidP="00F7092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lang w:val="en-US"/>
              </w:rPr>
              <w:lastRenderedPageBreak/>
              <w:t>Thus we provide a ‘Null’ response in the reporting template.</w:t>
            </w:r>
          </w:p>
        </w:tc>
      </w:tr>
      <w:tr w:rsidR="00620241" w:rsidRPr="00751816" w14:paraId="4DE6061E" w14:textId="77777777" w:rsidTr="00AD12C7">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688"/>
        </w:trPr>
        <w:tc>
          <w:tcPr>
            <w:cnfStyle w:val="001000000000" w:firstRow="0" w:lastRow="0" w:firstColumn="1" w:lastColumn="0" w:oddVBand="0" w:evenVBand="0" w:oddHBand="0" w:evenHBand="0" w:firstRowFirstColumn="0" w:firstRowLastColumn="0" w:lastRowFirstColumn="0" w:lastRowLastColumn="0"/>
            <w:tcW w:w="706" w:type="pct"/>
            <w:tcBorders>
              <w:top w:val="single" w:sz="4" w:space="0" w:color="00B0F0"/>
              <w:bottom w:val="single" w:sz="4" w:space="0" w:color="00B0F0"/>
            </w:tcBorders>
            <w:vAlign w:val="center"/>
          </w:tcPr>
          <w:p w14:paraId="23762945" w14:textId="77777777" w:rsidR="00620241" w:rsidRPr="00751816" w:rsidRDefault="00620241" w:rsidP="001664CF">
            <w:pPr>
              <w:spacing w:before="120" w:after="120" w:line="240" w:lineRule="atLeast"/>
              <w:contextualSpacing/>
              <w:rPr>
                <w:rFonts w:ascii="Tahoma" w:hAnsi="Tahoma" w:cs="Tahoma"/>
                <w:sz w:val="20"/>
              </w:rPr>
            </w:pPr>
            <w:r>
              <w:rPr>
                <w:rFonts w:ascii="Tahoma" w:hAnsi="Tahoma" w:cs="Tahoma"/>
                <w:sz w:val="20"/>
              </w:rPr>
              <w:lastRenderedPageBreak/>
              <w:t>Labour expenditure outsourced to unrelated parties</w:t>
            </w:r>
          </w:p>
        </w:tc>
        <w:tc>
          <w:tcPr>
            <w:tcW w:w="1676" w:type="pct"/>
            <w:tcBorders>
              <w:top w:val="single" w:sz="4" w:space="0" w:color="00B0F0"/>
              <w:left w:val="nil"/>
              <w:bottom w:val="single" w:sz="4" w:space="0" w:color="00B0F0"/>
              <w:right w:val="nil"/>
            </w:tcBorders>
          </w:tcPr>
          <w:p w14:paraId="162E8250" w14:textId="64E0F9C9" w:rsidR="00620241" w:rsidRDefault="0027656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After 29 August </w:t>
            </w:r>
            <w:r w:rsidR="00743D2C">
              <w:rPr>
                <w:rFonts w:ascii="Tahoma" w:hAnsi="Tahoma" w:cs="Tahoma"/>
                <w:sz w:val="20"/>
              </w:rPr>
              <w:t xml:space="preserve">2014 </w:t>
            </w:r>
            <w:r>
              <w:rPr>
                <w:rFonts w:ascii="Tahoma" w:hAnsi="Tahoma" w:cs="Tahoma"/>
                <w:sz w:val="20"/>
              </w:rPr>
              <w:t>(when APA ceased to be a related party)</w:t>
            </w:r>
            <w:r w:rsidRPr="00137D8C">
              <w:rPr>
                <w:rFonts w:ascii="Tahoma" w:hAnsi="Tahoma" w:cs="Tahoma"/>
                <w:sz w:val="20"/>
              </w:rPr>
              <w:t xml:space="preserve">, </w:t>
            </w:r>
            <w:r w:rsidR="00620241">
              <w:rPr>
                <w:rFonts w:ascii="Tahoma" w:hAnsi="Tahoma" w:cs="Tahoma"/>
                <w:sz w:val="20"/>
              </w:rPr>
              <w:t>all labour expenditure incurred through the outsourcing arrangement with APA is being reported as labour expenditure outsourced to unrelated parties.</w:t>
            </w:r>
          </w:p>
          <w:p w14:paraId="114A0704"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FFBD0A9" w14:textId="06D6F0AE"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breakdown of labour and non-labour expenditure incurred through the OMA with APA is determined with analysis provided by APA from its Oracle finance systems.</w:t>
            </w:r>
            <w:r w:rsidR="00276566">
              <w:rPr>
                <w:rFonts w:ascii="Tahoma" w:hAnsi="Tahoma" w:cs="Tahoma"/>
                <w:sz w:val="20"/>
              </w:rPr>
              <w:t xml:space="preserve"> This information enables expenditure to be split between labour and non-labour based on analysis of cost categories</w:t>
            </w:r>
            <w:r w:rsidR="00276566" w:rsidRPr="00B53CD5">
              <w:rPr>
                <w:rFonts w:ascii="Tahoma" w:hAnsi="Tahoma" w:cs="Tahoma"/>
                <w:sz w:val="20"/>
              </w:rPr>
              <w:t>.</w:t>
            </w:r>
            <w:r w:rsidR="00276566">
              <w:rPr>
                <w:rFonts w:ascii="Tahoma" w:hAnsi="Tahoma" w:cs="Tahoma"/>
                <w:sz w:val="20"/>
              </w:rPr>
              <w:t xml:space="preserve">  These cost categories identify expenditure split for example between Payroll, Contractors/Consultancy, Materials, etc. in total and for each Activity in APA’s Oracle finance system.</w:t>
            </w:r>
          </w:p>
          <w:p w14:paraId="5A80C3AD"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8DFAD59" w14:textId="77777777" w:rsidR="00620241" w:rsidRPr="00543B35"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u w:val="single"/>
              </w:rPr>
            </w:pPr>
            <w:r w:rsidRPr="00543B35">
              <w:rPr>
                <w:rFonts w:ascii="Tahoma" w:hAnsi="Tahoma" w:cs="Tahoma"/>
                <w:i/>
                <w:sz w:val="20"/>
                <w:u w:val="single"/>
              </w:rPr>
              <w:t>Labour and Non-labour split of Regulatory Accounting Adjustments related to Regulatory Accounting Policies</w:t>
            </w:r>
          </w:p>
          <w:p w14:paraId="5809FF94" w14:textId="1F9020A4"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Cost allocation processes undertaken in preparing the Ring Fenced Accounts which are a key source of regulatory accounting information (as explained in Appendices A and B) include adjustments required due to the regulatory accounting policies that are set out in the AGN Limited Regulatory Accounting Principles and Policies and Capitalisation Policy documents.  The application of these policies to the information reported in the </w:t>
            </w:r>
            <w:r w:rsidR="008214CA">
              <w:rPr>
                <w:rFonts w:ascii="Tahoma" w:hAnsi="Tahoma" w:cs="Tahoma"/>
                <w:sz w:val="20"/>
              </w:rPr>
              <w:t>Annual RIN</w:t>
            </w:r>
            <w:r>
              <w:rPr>
                <w:rFonts w:ascii="Tahoma" w:hAnsi="Tahoma" w:cs="Tahoma"/>
                <w:sz w:val="20"/>
              </w:rPr>
              <w:t xml:space="preserve"> has also been detailed in Appendix E of this Basis of Preparation document.  </w:t>
            </w:r>
          </w:p>
          <w:p w14:paraId="129EBF37"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F1A4A6A"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 xml:space="preserve">These adjustments are for relevant expenditure incurred through the OMA with APA which is treated as Opex for regulatory accounting purposes but Capex in the Statutory Accounts (e.g. Piecemeal Mains Replacement, Heat Shrinking Sleeves, Marketing Rebates and NMF).  </w:t>
            </w:r>
          </w:p>
          <w:p w14:paraId="5EA5AF81"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54AD064" w14:textId="7740E900"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Expenditure related to these adjustments (other than for NMF which is all Non-labour) is split between labour and non-labour based on the analysis of cost categories as already explained. </w:t>
            </w:r>
          </w:p>
          <w:p w14:paraId="45C10BEF"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9F3A2D9"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Activities in APA’s Oracle finance system that align to these regulatory accounting adjustments are set out in </w:t>
            </w:r>
            <w:r w:rsidRPr="009D3416">
              <w:rPr>
                <w:rFonts w:ascii="Tahoma" w:hAnsi="Tahoma" w:cs="Tahoma"/>
                <w:sz w:val="20"/>
              </w:rPr>
              <w:t>Appendix E</w:t>
            </w:r>
            <w:r>
              <w:rPr>
                <w:rFonts w:ascii="Tahoma" w:hAnsi="Tahoma" w:cs="Tahoma"/>
                <w:sz w:val="20"/>
              </w:rPr>
              <w:t>.</w:t>
            </w:r>
          </w:p>
          <w:p w14:paraId="4F35A14D"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CB8F639" w14:textId="7EDBED04" w:rsidR="00620241" w:rsidRPr="00751816" w:rsidRDefault="00620241" w:rsidP="00EA1490">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expenditure related to General Ledger cost categories that are for APA’s internal payroll and contractor/consultants is reported as Labour expenditure o</w:t>
            </w:r>
            <w:r w:rsidR="00E231D8">
              <w:rPr>
                <w:rFonts w:ascii="Tahoma" w:hAnsi="Tahoma" w:cs="Tahoma"/>
                <w:sz w:val="20"/>
              </w:rPr>
              <w:t>utsourced to unrelated parties.</w:t>
            </w:r>
          </w:p>
        </w:tc>
        <w:tc>
          <w:tcPr>
            <w:tcW w:w="810" w:type="pct"/>
            <w:gridSpan w:val="3"/>
            <w:tcBorders>
              <w:top w:val="single" w:sz="4" w:space="0" w:color="00B0F0"/>
              <w:left w:val="nil"/>
              <w:bottom w:val="single" w:sz="4" w:space="0" w:color="00B0F0"/>
              <w:right w:val="nil"/>
            </w:tcBorders>
            <w:vAlign w:val="center"/>
          </w:tcPr>
          <w:p w14:paraId="2ECAA2A1" w14:textId="4FD271B2" w:rsidR="00620241" w:rsidRPr="00751816" w:rsidRDefault="001664CF" w:rsidP="00D630E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Estimate</w:t>
            </w:r>
          </w:p>
        </w:tc>
        <w:tc>
          <w:tcPr>
            <w:tcW w:w="1134" w:type="pct"/>
            <w:gridSpan w:val="2"/>
            <w:tcBorders>
              <w:top w:val="single" w:sz="4" w:space="0" w:color="00B0F0"/>
              <w:left w:val="nil"/>
              <w:bottom w:val="single" w:sz="4" w:space="0" w:color="00B0F0"/>
              <w:right w:val="nil"/>
            </w:tcBorders>
          </w:tcPr>
          <w:p w14:paraId="49D59AF3" w14:textId="77777777" w:rsidR="00EA1490" w:rsidRDefault="00EA1490" w:rsidP="00EA1490">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Analysis of cost categories provided by APA, prepared using information from its Oracle finance system, has been used to allocate expenditure incurred by AGN Limited under the OMA as between labour and non-labour.</w:t>
            </w:r>
          </w:p>
          <w:p w14:paraId="22A639DD" w14:textId="77777777" w:rsidR="00EA1490" w:rsidRDefault="00EA1490" w:rsidP="00EA1490">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486F1F6" w14:textId="36379616" w:rsidR="00EA1490" w:rsidRPr="00751816" w:rsidRDefault="00EA1490"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C1020">
              <w:rPr>
                <w:rFonts w:ascii="Tahoma" w:hAnsi="Tahoma" w:cs="Tahoma"/>
                <w:sz w:val="20"/>
              </w:rPr>
              <w:t xml:space="preserve">AGN Limited considers this the most accurate representation </w:t>
            </w:r>
            <w:r>
              <w:rPr>
                <w:rFonts w:ascii="Tahoma" w:hAnsi="Tahoma" w:cs="Tahoma"/>
                <w:sz w:val="20"/>
              </w:rPr>
              <w:t xml:space="preserve">possible </w:t>
            </w:r>
            <w:r w:rsidRPr="007C1020">
              <w:rPr>
                <w:rFonts w:ascii="Tahoma" w:hAnsi="Tahoma" w:cs="Tahoma"/>
                <w:sz w:val="20"/>
              </w:rPr>
              <w:t xml:space="preserve">of the breakdown of labour and non-labour expenditure </w:t>
            </w:r>
            <w:r>
              <w:rPr>
                <w:rFonts w:ascii="Tahoma" w:hAnsi="Tahoma" w:cs="Tahoma"/>
                <w:sz w:val="20"/>
              </w:rPr>
              <w:t>using the information available</w:t>
            </w:r>
            <w:r w:rsidRPr="007C1020">
              <w:rPr>
                <w:rFonts w:ascii="Tahoma" w:hAnsi="Tahoma" w:cs="Tahoma"/>
                <w:sz w:val="20"/>
              </w:rPr>
              <w:t>.  However, given they are based on analysis provided by APA</w:t>
            </w:r>
            <w:r>
              <w:rPr>
                <w:rFonts w:ascii="Tahoma" w:hAnsi="Tahoma" w:cs="Tahoma"/>
                <w:sz w:val="20"/>
              </w:rPr>
              <w:t xml:space="preserve"> and not directly taken from their Oracle finance system and because </w:t>
            </w:r>
            <w:r w:rsidRPr="007C1020">
              <w:rPr>
                <w:rFonts w:ascii="Tahoma" w:hAnsi="Tahoma" w:cs="Tahoma"/>
                <w:sz w:val="20"/>
              </w:rPr>
              <w:t xml:space="preserve">some categories of expenditure could not be split (e.g. shared services and recovery of </w:t>
            </w:r>
            <w:r>
              <w:rPr>
                <w:rFonts w:ascii="Tahoma" w:hAnsi="Tahoma" w:cs="Tahoma"/>
                <w:sz w:val="20"/>
              </w:rPr>
              <w:t xml:space="preserve">network </w:t>
            </w:r>
            <w:r w:rsidRPr="007C1020">
              <w:rPr>
                <w:rFonts w:ascii="Tahoma" w:hAnsi="Tahoma" w:cs="Tahoma"/>
                <w:sz w:val="20"/>
              </w:rPr>
              <w:t>overheads), the reported amounts are considered estimated information by AGN Limited.</w:t>
            </w:r>
          </w:p>
        </w:tc>
        <w:tc>
          <w:tcPr>
            <w:tcW w:w="674" w:type="pct"/>
            <w:tcBorders>
              <w:top w:val="single" w:sz="4" w:space="0" w:color="00B0F0"/>
              <w:left w:val="nil"/>
              <w:bottom w:val="single" w:sz="4" w:space="0" w:color="00B0F0"/>
              <w:right w:val="nil"/>
            </w:tcBorders>
            <w:vAlign w:val="center"/>
          </w:tcPr>
          <w:p w14:paraId="62ED8A78" w14:textId="20A1996A" w:rsidR="00620241" w:rsidRPr="00751816" w:rsidRDefault="00620241" w:rsidP="00E231D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20241" w:rsidRPr="00751816" w14:paraId="165D7B62" w14:textId="77777777" w:rsidTr="00AD12C7">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688"/>
        </w:trPr>
        <w:tc>
          <w:tcPr>
            <w:cnfStyle w:val="001000000000" w:firstRow="0" w:lastRow="0" w:firstColumn="1" w:lastColumn="0" w:oddVBand="0" w:evenVBand="0" w:oddHBand="0" w:evenHBand="0" w:firstRowFirstColumn="0" w:firstRowLastColumn="0" w:lastRowFirstColumn="0" w:lastRowLastColumn="0"/>
            <w:tcW w:w="706" w:type="pct"/>
            <w:tcBorders>
              <w:top w:val="single" w:sz="4" w:space="0" w:color="00B0F0"/>
              <w:bottom w:val="single" w:sz="4" w:space="0" w:color="00B0F0"/>
            </w:tcBorders>
            <w:vAlign w:val="center"/>
          </w:tcPr>
          <w:p w14:paraId="0C8595A7" w14:textId="77777777" w:rsidR="00620241" w:rsidRPr="00751816" w:rsidRDefault="00620241" w:rsidP="001664CF">
            <w:pPr>
              <w:spacing w:before="120" w:after="120" w:line="240" w:lineRule="atLeast"/>
              <w:contextualSpacing/>
              <w:rPr>
                <w:rFonts w:ascii="Tahoma" w:hAnsi="Tahoma" w:cs="Tahoma"/>
                <w:sz w:val="20"/>
              </w:rPr>
            </w:pPr>
            <w:r>
              <w:rPr>
                <w:rFonts w:ascii="Tahoma" w:hAnsi="Tahoma" w:cs="Tahoma"/>
                <w:sz w:val="20"/>
              </w:rPr>
              <w:t xml:space="preserve">Non-labour expenditure </w:t>
            </w:r>
          </w:p>
        </w:tc>
        <w:tc>
          <w:tcPr>
            <w:tcW w:w="1676" w:type="pct"/>
            <w:tcBorders>
              <w:top w:val="single" w:sz="4" w:space="0" w:color="00B0F0"/>
              <w:left w:val="nil"/>
              <w:bottom w:val="single" w:sz="4" w:space="0" w:color="00B0F0"/>
              <w:right w:val="nil"/>
            </w:tcBorders>
          </w:tcPr>
          <w:p w14:paraId="7BCAD898" w14:textId="5756B589"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Non-labour expenditure includes expenditure incurred through the OMA with APA and AGN Limited’s own internal non-labour expenditure</w:t>
            </w:r>
            <w:r w:rsidR="00B25B83">
              <w:rPr>
                <w:rFonts w:ascii="Tahoma" w:hAnsi="Tahoma" w:cs="Tahoma"/>
                <w:sz w:val="20"/>
              </w:rPr>
              <w:t xml:space="preserve"> for AGN (SA)</w:t>
            </w:r>
            <w:r>
              <w:rPr>
                <w:rFonts w:ascii="Tahoma" w:hAnsi="Tahoma" w:cs="Tahoma"/>
                <w:sz w:val="20"/>
              </w:rPr>
              <w:t xml:space="preserve">. AGN Limited’s internal non-labour expenditure </w:t>
            </w:r>
            <w:r w:rsidR="00B25B83">
              <w:rPr>
                <w:rFonts w:ascii="Tahoma" w:hAnsi="Tahoma" w:cs="Tahoma"/>
                <w:sz w:val="20"/>
              </w:rPr>
              <w:t xml:space="preserve">for AGN (SA) </w:t>
            </w:r>
            <w:r>
              <w:rPr>
                <w:rFonts w:ascii="Tahoma" w:hAnsi="Tahoma" w:cs="Tahoma"/>
                <w:sz w:val="20"/>
              </w:rPr>
              <w:t>has been sourced from its General Ledger and the working papers that underpin preparation of the Ring Fenced Accounts.  These working papers in the form of Excel spreadsheets, incorporate cost allocation of AGN Limited non-labour expenditure to each of its regulated and unregulated pipelines, as set out in the CAM.</w:t>
            </w:r>
          </w:p>
          <w:p w14:paraId="2FE43083"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025DDA4" w14:textId="77777777" w:rsidR="00620241" w:rsidRPr="00543B35"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u w:val="single"/>
              </w:rPr>
            </w:pPr>
            <w:r w:rsidRPr="00543B35">
              <w:rPr>
                <w:rFonts w:ascii="Tahoma" w:hAnsi="Tahoma" w:cs="Tahoma"/>
                <w:i/>
                <w:sz w:val="20"/>
                <w:u w:val="single"/>
              </w:rPr>
              <w:lastRenderedPageBreak/>
              <w:t>Labour and Non-labour split of Regulatory Accounting Adjustments related to Regulatory Accounting Policies</w:t>
            </w:r>
          </w:p>
          <w:p w14:paraId="27B4C46E" w14:textId="7AF54019"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Cost allocation processes undertaken in preparing the Ring Fenced Accounts which are a key source of regulatory accounting information (as explained in Appendices A and B) include adjustments required due to the regulatory accounting policies that are set out in the AGN Limited Regulatory Accounting Principles and Policies and Capitalisation Policy documents.  The application of these policies to the information reported in the </w:t>
            </w:r>
            <w:r w:rsidR="008214CA">
              <w:rPr>
                <w:rFonts w:ascii="Tahoma" w:hAnsi="Tahoma" w:cs="Tahoma"/>
                <w:sz w:val="20"/>
              </w:rPr>
              <w:t>Annual RIN</w:t>
            </w:r>
            <w:r>
              <w:rPr>
                <w:rFonts w:ascii="Tahoma" w:hAnsi="Tahoma" w:cs="Tahoma"/>
                <w:sz w:val="20"/>
              </w:rPr>
              <w:t xml:space="preserve"> has also been detailed in Appendix E of this Basis of Preparation document.  </w:t>
            </w:r>
          </w:p>
          <w:p w14:paraId="5CE0805C"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BA91F71"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These include adjustments for relevant expenditure incurred through the OMA with APA which is treated as Opex for regulatory accounting purposes but Capex in the Statutory Accounts (e.g. Piecemeal Mains Replacement, Heat Shrinking Sleeves, Marketing Rebates and the Network Management Fee (NMF)).  </w:t>
            </w:r>
          </w:p>
          <w:p w14:paraId="1227F99C"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29F9B0F" w14:textId="277755CD"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Expenditure related to these adjustments (other than for NMF which is all non-labour) is split between labour and non-labour based on the analysis of cost categories</w:t>
            </w:r>
            <w:r w:rsidR="00B40049">
              <w:rPr>
                <w:rFonts w:ascii="Tahoma" w:hAnsi="Tahoma" w:cs="Tahoma"/>
                <w:sz w:val="20"/>
              </w:rPr>
              <w:t xml:space="preserve"> </w:t>
            </w:r>
            <w:r>
              <w:rPr>
                <w:rFonts w:ascii="Tahoma" w:hAnsi="Tahoma" w:cs="Tahoma"/>
                <w:sz w:val="20"/>
              </w:rPr>
              <w:t xml:space="preserve">as explained above. </w:t>
            </w:r>
          </w:p>
          <w:p w14:paraId="600C4991"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B181378" w14:textId="5360D852" w:rsidR="00620241" w:rsidRPr="00751816" w:rsidRDefault="00620241" w:rsidP="00A557F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Activities in APA’s Oracle finance system that align to these regulatory accounting adjustments are set out in </w:t>
            </w:r>
            <w:r w:rsidRPr="009D3416">
              <w:rPr>
                <w:rFonts w:ascii="Tahoma" w:hAnsi="Tahoma" w:cs="Tahoma"/>
                <w:sz w:val="20"/>
              </w:rPr>
              <w:t>Appendix E</w:t>
            </w:r>
            <w:r>
              <w:rPr>
                <w:rFonts w:ascii="Tahoma" w:hAnsi="Tahoma" w:cs="Tahoma"/>
                <w:sz w:val="20"/>
              </w:rPr>
              <w:t>.</w:t>
            </w:r>
          </w:p>
        </w:tc>
        <w:tc>
          <w:tcPr>
            <w:tcW w:w="810" w:type="pct"/>
            <w:gridSpan w:val="3"/>
            <w:tcBorders>
              <w:top w:val="single" w:sz="4" w:space="0" w:color="00B0F0"/>
              <w:left w:val="nil"/>
              <w:bottom w:val="single" w:sz="4" w:space="0" w:color="00B0F0"/>
              <w:right w:val="nil"/>
            </w:tcBorders>
            <w:vAlign w:val="center"/>
          </w:tcPr>
          <w:p w14:paraId="75AFAFA8" w14:textId="6F738247" w:rsidR="00620241" w:rsidRPr="00751816" w:rsidRDefault="001664CF" w:rsidP="00D630E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Estimate</w:t>
            </w:r>
          </w:p>
        </w:tc>
        <w:tc>
          <w:tcPr>
            <w:tcW w:w="1134" w:type="pct"/>
            <w:gridSpan w:val="2"/>
            <w:tcBorders>
              <w:top w:val="single" w:sz="4" w:space="0" w:color="00B0F0"/>
              <w:left w:val="nil"/>
              <w:bottom w:val="single" w:sz="4" w:space="0" w:color="00B0F0"/>
              <w:right w:val="nil"/>
            </w:tcBorders>
          </w:tcPr>
          <w:p w14:paraId="6FF2A615" w14:textId="47748C9D"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As explained above, the analysis of cost categories provided by APA has been used to allocate expenditure incurred by AGN Limited under the OMA as between labour and non-labour.</w:t>
            </w:r>
          </w:p>
          <w:p w14:paraId="4ADA5CC1" w14:textId="77777777" w:rsidR="00620241" w:rsidRDefault="0062024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1F4D232" w14:textId="788BA325" w:rsidR="00620241" w:rsidRPr="00751816" w:rsidRDefault="00620241" w:rsidP="00C54E0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C1020">
              <w:rPr>
                <w:rFonts w:ascii="Tahoma" w:hAnsi="Tahoma" w:cs="Tahoma"/>
                <w:sz w:val="20"/>
              </w:rPr>
              <w:t xml:space="preserve">AGN Limited considers this the most accurate representation </w:t>
            </w:r>
            <w:r>
              <w:rPr>
                <w:rFonts w:ascii="Tahoma" w:hAnsi="Tahoma" w:cs="Tahoma"/>
                <w:sz w:val="20"/>
              </w:rPr>
              <w:t xml:space="preserve">possible </w:t>
            </w:r>
            <w:r w:rsidRPr="007C1020">
              <w:rPr>
                <w:rFonts w:ascii="Tahoma" w:hAnsi="Tahoma" w:cs="Tahoma"/>
                <w:sz w:val="20"/>
              </w:rPr>
              <w:t>of the breakdown of labour and non-labour expenditure for these years</w:t>
            </w:r>
            <w:r>
              <w:rPr>
                <w:rFonts w:ascii="Tahoma" w:hAnsi="Tahoma" w:cs="Tahoma"/>
                <w:sz w:val="20"/>
              </w:rPr>
              <w:t xml:space="preserve"> using the information now available</w:t>
            </w:r>
            <w:r w:rsidRPr="007C1020">
              <w:rPr>
                <w:rFonts w:ascii="Tahoma" w:hAnsi="Tahoma" w:cs="Tahoma"/>
                <w:sz w:val="20"/>
              </w:rPr>
              <w:t xml:space="preserve">.  </w:t>
            </w:r>
            <w:r w:rsidRPr="007C1020">
              <w:rPr>
                <w:rFonts w:ascii="Tahoma" w:hAnsi="Tahoma" w:cs="Tahoma"/>
                <w:sz w:val="20"/>
              </w:rPr>
              <w:lastRenderedPageBreak/>
              <w:t>However, given they are based on analysis provided by APA</w:t>
            </w:r>
            <w:r>
              <w:rPr>
                <w:rFonts w:ascii="Tahoma" w:hAnsi="Tahoma" w:cs="Tahoma"/>
                <w:sz w:val="20"/>
              </w:rPr>
              <w:t xml:space="preserve"> and not directly taken from their Oracle finance system and because </w:t>
            </w:r>
            <w:r w:rsidRPr="007C1020">
              <w:rPr>
                <w:rFonts w:ascii="Tahoma" w:hAnsi="Tahoma" w:cs="Tahoma"/>
                <w:sz w:val="20"/>
              </w:rPr>
              <w:t xml:space="preserve">some categories of expenditure could not be split (e.g. shared services and recovery of </w:t>
            </w:r>
            <w:r w:rsidR="0059188A">
              <w:rPr>
                <w:rFonts w:ascii="Tahoma" w:hAnsi="Tahoma" w:cs="Tahoma"/>
                <w:sz w:val="20"/>
              </w:rPr>
              <w:t xml:space="preserve">network </w:t>
            </w:r>
            <w:r w:rsidRPr="007C1020">
              <w:rPr>
                <w:rFonts w:ascii="Tahoma" w:hAnsi="Tahoma" w:cs="Tahoma"/>
                <w:sz w:val="20"/>
              </w:rPr>
              <w:t>overheads), the reported amounts are considered estima</w:t>
            </w:r>
            <w:r w:rsidR="00D630EB">
              <w:rPr>
                <w:rFonts w:ascii="Tahoma" w:hAnsi="Tahoma" w:cs="Tahoma"/>
                <w:sz w:val="20"/>
              </w:rPr>
              <w:t>ted information by AGN Limited.</w:t>
            </w:r>
          </w:p>
        </w:tc>
        <w:tc>
          <w:tcPr>
            <w:tcW w:w="674" w:type="pct"/>
            <w:tcBorders>
              <w:top w:val="single" w:sz="4" w:space="0" w:color="00B0F0"/>
              <w:left w:val="nil"/>
              <w:bottom w:val="single" w:sz="4" w:space="0" w:color="00B0F0"/>
              <w:right w:val="nil"/>
            </w:tcBorders>
            <w:vAlign w:val="center"/>
          </w:tcPr>
          <w:p w14:paraId="5207F561" w14:textId="77777777" w:rsidR="00620241" w:rsidRPr="00751816" w:rsidRDefault="00620241" w:rsidP="008F10D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28017E7E" w14:textId="77777777" w:rsidR="00057937" w:rsidRDefault="00057937">
      <w:pPr>
        <w:rPr>
          <w:rFonts w:ascii="Tahoma" w:eastAsiaTheme="majorEastAsia" w:hAnsi="Tahoma" w:cs="Tahoma"/>
          <w:b/>
          <w:color w:val="003C71"/>
          <w:sz w:val="32"/>
          <w:szCs w:val="32"/>
        </w:rPr>
      </w:pPr>
      <w:r>
        <w:rPr>
          <w:rFonts w:ascii="Tahoma" w:hAnsi="Tahoma" w:cs="Tahoma"/>
          <w:b/>
          <w:color w:val="003C71"/>
        </w:rPr>
        <w:br w:type="page"/>
      </w:r>
    </w:p>
    <w:p w14:paraId="1A24EE94" w14:textId="2B3193D8" w:rsidR="00F02899" w:rsidRDefault="00F02899" w:rsidP="00C059E5">
      <w:pPr>
        <w:pStyle w:val="Heading1"/>
        <w:rPr>
          <w:rFonts w:ascii="Tahoma" w:hAnsi="Tahoma" w:cs="Tahoma"/>
          <w:b/>
          <w:color w:val="003C71"/>
        </w:rPr>
      </w:pPr>
      <w:bookmarkStart w:id="9" w:name="_Toc57314056"/>
      <w:r w:rsidRPr="0095305C">
        <w:rPr>
          <w:rFonts w:ascii="Tahoma" w:hAnsi="Tahoma" w:cs="Tahoma"/>
          <w:b/>
          <w:color w:val="003C71"/>
        </w:rPr>
        <w:lastRenderedPageBreak/>
        <w:t>E21. Ancillary Reference Services (ARS)</w:t>
      </w:r>
      <w:bookmarkEnd w:id="9"/>
      <w:r w:rsidRPr="0095305C">
        <w:rPr>
          <w:rFonts w:ascii="Tahoma" w:hAnsi="Tahoma" w:cs="Tahoma"/>
          <w:b/>
          <w:color w:val="003C71"/>
        </w:rPr>
        <w:t xml:space="preserve"> </w:t>
      </w:r>
    </w:p>
    <w:p w14:paraId="000800C5" w14:textId="77777777" w:rsidR="00B937BE" w:rsidRDefault="00B937BE" w:rsidP="00C97516">
      <w:pPr>
        <w:pStyle w:val="Heading2"/>
        <w:rPr>
          <w:rFonts w:ascii="Tahoma" w:hAnsi="Tahoma" w:cs="Tahoma"/>
          <w:color w:val="003C71"/>
        </w:rPr>
      </w:pPr>
      <w:bookmarkStart w:id="10" w:name="_Toc57314057"/>
      <w:r w:rsidRPr="00C97516">
        <w:rPr>
          <w:rFonts w:ascii="Tahoma" w:hAnsi="Tahoma" w:cs="Tahoma"/>
          <w:color w:val="003C71"/>
        </w:rPr>
        <w:t>E21.1 – Volumes</w:t>
      </w:r>
      <w:bookmarkEnd w:id="10"/>
      <w:r w:rsidRPr="00C97516">
        <w:rPr>
          <w:rFonts w:ascii="Tahoma" w:hAnsi="Tahoma" w:cs="Tahoma"/>
          <w:color w:val="003C71"/>
        </w:rPr>
        <w:t xml:space="preserve"> </w:t>
      </w:r>
    </w:p>
    <w:tbl>
      <w:tblPr>
        <w:tblStyle w:val="UETableStyle"/>
        <w:tblW w:w="5035"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53"/>
        <w:gridCol w:w="4636"/>
        <w:gridCol w:w="2241"/>
        <w:gridCol w:w="3278"/>
        <w:gridCol w:w="1948"/>
      </w:tblGrid>
      <w:tr w:rsidR="00D568E5" w:rsidRPr="00751816" w14:paraId="4779536F" w14:textId="77777777" w:rsidTr="004C5611">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695" w:type="pct"/>
            <w:tcBorders>
              <w:bottom w:val="single" w:sz="4" w:space="0" w:color="00B0F0"/>
            </w:tcBorders>
            <w:shd w:val="clear" w:color="auto" w:fill="003C71"/>
            <w:hideMark/>
          </w:tcPr>
          <w:p w14:paraId="2CF33730" w14:textId="77777777" w:rsidR="00D568E5" w:rsidRPr="00751816" w:rsidRDefault="00D568E5" w:rsidP="001C016D">
            <w:pPr>
              <w:rPr>
                <w:rFonts w:ascii="Tahoma" w:hAnsi="Tahoma" w:cs="Tahoma"/>
                <w:b/>
                <w:color w:val="FFFFFF"/>
                <w:sz w:val="20"/>
              </w:rPr>
            </w:pPr>
            <w:r w:rsidRPr="00751816">
              <w:rPr>
                <w:rFonts w:ascii="Tahoma" w:hAnsi="Tahoma" w:cs="Tahoma"/>
                <w:b/>
                <w:color w:val="FFFFFF"/>
                <w:sz w:val="20"/>
              </w:rPr>
              <w:t xml:space="preserve">Variable </w:t>
            </w:r>
          </w:p>
        </w:tc>
        <w:tc>
          <w:tcPr>
            <w:tcW w:w="1649" w:type="pct"/>
            <w:tcBorders>
              <w:bottom w:val="single" w:sz="4" w:space="0" w:color="00B0F0"/>
            </w:tcBorders>
            <w:shd w:val="clear" w:color="auto" w:fill="003C71"/>
          </w:tcPr>
          <w:p w14:paraId="0998E862" w14:textId="77777777" w:rsidR="00D568E5" w:rsidRPr="00751816" w:rsidRDefault="00D568E5"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797" w:type="pct"/>
            <w:tcBorders>
              <w:bottom w:val="single" w:sz="4" w:space="0" w:color="00B0F0"/>
            </w:tcBorders>
            <w:shd w:val="clear" w:color="auto" w:fill="003C71"/>
          </w:tcPr>
          <w:p w14:paraId="4A17B711" w14:textId="77777777" w:rsidR="00D568E5" w:rsidRPr="00751816" w:rsidRDefault="00D568E5"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166" w:type="pct"/>
            <w:tcBorders>
              <w:bottom w:val="single" w:sz="4" w:space="0" w:color="00B0F0"/>
            </w:tcBorders>
            <w:shd w:val="clear" w:color="auto" w:fill="003C71"/>
          </w:tcPr>
          <w:p w14:paraId="0AD6DB40" w14:textId="77777777" w:rsidR="00D568E5" w:rsidRPr="00751816" w:rsidRDefault="00D568E5"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93" w:type="pct"/>
            <w:tcBorders>
              <w:bottom w:val="single" w:sz="4" w:space="0" w:color="00B0F0"/>
            </w:tcBorders>
            <w:shd w:val="clear" w:color="auto" w:fill="003C71"/>
          </w:tcPr>
          <w:p w14:paraId="6FA5D215" w14:textId="77777777" w:rsidR="00D568E5" w:rsidRPr="00751816" w:rsidRDefault="00D568E5"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D568E5" w:rsidRPr="00751816" w14:paraId="037DF6D4" w14:textId="77777777" w:rsidTr="00EA7CDA">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283"/>
        </w:trPr>
        <w:tc>
          <w:tcPr>
            <w:cnfStyle w:val="001000000000" w:firstRow="0" w:lastRow="0" w:firstColumn="1" w:lastColumn="0" w:oddVBand="0" w:evenVBand="0" w:oddHBand="0" w:evenHBand="0" w:firstRowFirstColumn="0" w:firstRowLastColumn="0" w:lastRowFirstColumn="0" w:lastRowLastColumn="0"/>
            <w:tcW w:w="695" w:type="pct"/>
            <w:tcBorders>
              <w:top w:val="single" w:sz="4" w:space="0" w:color="00B0F0"/>
              <w:bottom w:val="single" w:sz="4" w:space="0" w:color="00B0F0"/>
            </w:tcBorders>
            <w:shd w:val="clear" w:color="auto" w:fill="00A3E0"/>
            <w:vAlign w:val="center"/>
          </w:tcPr>
          <w:p w14:paraId="3B4B1396" w14:textId="27CA49F2" w:rsidR="00D568E5" w:rsidRPr="00C0205D" w:rsidRDefault="00DD6B14" w:rsidP="001664CF">
            <w:pPr>
              <w:spacing w:before="120" w:after="120" w:line="240" w:lineRule="atLeast"/>
              <w:contextualSpacing/>
              <w:rPr>
                <w:rFonts w:ascii="Tahoma" w:hAnsi="Tahoma" w:cs="Tahoma"/>
                <w:sz w:val="20"/>
              </w:rPr>
            </w:pPr>
            <w:r>
              <w:rPr>
                <w:rFonts w:ascii="Tahoma" w:hAnsi="Tahoma" w:cs="Tahoma"/>
                <w:sz w:val="20"/>
              </w:rPr>
              <w:t>2019/20</w:t>
            </w:r>
          </w:p>
        </w:tc>
        <w:tc>
          <w:tcPr>
            <w:tcW w:w="1649" w:type="pct"/>
            <w:tcBorders>
              <w:top w:val="single" w:sz="4" w:space="0" w:color="00B0F0"/>
              <w:left w:val="nil"/>
              <w:bottom w:val="single" w:sz="4" w:space="0" w:color="00B0F0"/>
              <w:right w:val="nil"/>
            </w:tcBorders>
            <w:shd w:val="clear" w:color="auto" w:fill="00A3E0"/>
          </w:tcPr>
          <w:p w14:paraId="4A3B4812" w14:textId="77777777" w:rsidR="00D568E5" w:rsidRPr="00C0205D" w:rsidRDefault="00D568E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97" w:type="pct"/>
            <w:tcBorders>
              <w:top w:val="single" w:sz="4" w:space="0" w:color="00B0F0"/>
              <w:left w:val="nil"/>
              <w:bottom w:val="single" w:sz="4" w:space="0" w:color="00B0F0"/>
              <w:right w:val="nil"/>
            </w:tcBorders>
            <w:shd w:val="clear" w:color="auto" w:fill="00A3E0"/>
          </w:tcPr>
          <w:p w14:paraId="5F48A790" w14:textId="77777777" w:rsidR="00D568E5" w:rsidRPr="00751816" w:rsidRDefault="00D568E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1166" w:type="pct"/>
            <w:tcBorders>
              <w:top w:val="single" w:sz="4" w:space="0" w:color="00B0F0"/>
              <w:left w:val="nil"/>
              <w:bottom w:val="single" w:sz="4" w:space="0" w:color="00B0F0"/>
              <w:right w:val="nil"/>
            </w:tcBorders>
            <w:shd w:val="clear" w:color="auto" w:fill="00A3E0"/>
          </w:tcPr>
          <w:p w14:paraId="01513507" w14:textId="77777777" w:rsidR="00D568E5" w:rsidRPr="00751816" w:rsidRDefault="00D568E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3" w:type="pct"/>
            <w:tcBorders>
              <w:top w:val="single" w:sz="4" w:space="0" w:color="00B0F0"/>
              <w:left w:val="nil"/>
              <w:bottom w:val="single" w:sz="4" w:space="0" w:color="00B0F0"/>
              <w:right w:val="nil"/>
            </w:tcBorders>
            <w:shd w:val="clear" w:color="auto" w:fill="00A3E0"/>
          </w:tcPr>
          <w:p w14:paraId="236C0EBC" w14:textId="77777777" w:rsidR="00D568E5" w:rsidRPr="00751816" w:rsidRDefault="00D568E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D568E5" w:rsidRPr="00751816" w14:paraId="464EB5EA"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83"/>
        </w:trPr>
        <w:tc>
          <w:tcPr>
            <w:cnfStyle w:val="001000000000" w:firstRow="0" w:lastRow="0" w:firstColumn="1" w:lastColumn="0" w:oddVBand="0" w:evenVBand="0" w:oddHBand="0" w:evenHBand="0" w:firstRowFirstColumn="0" w:firstRowLastColumn="0" w:lastRowFirstColumn="0" w:lastRowLastColumn="0"/>
            <w:tcW w:w="695" w:type="pct"/>
            <w:tcBorders>
              <w:top w:val="single" w:sz="4" w:space="0" w:color="00B0F0"/>
              <w:bottom w:val="single" w:sz="4" w:space="0" w:color="00B0F0"/>
            </w:tcBorders>
            <w:vAlign w:val="center"/>
          </w:tcPr>
          <w:p w14:paraId="1272C84C" w14:textId="77777777" w:rsidR="00D568E5" w:rsidRPr="00DB6462" w:rsidRDefault="00D568E5" w:rsidP="001664CF">
            <w:pPr>
              <w:spacing w:before="120" w:after="120" w:line="240" w:lineRule="atLeast"/>
              <w:contextualSpacing/>
              <w:rPr>
                <w:rFonts w:ascii="Tahoma" w:hAnsi="Tahoma" w:cs="Tahoma"/>
                <w:i/>
                <w:sz w:val="20"/>
              </w:rPr>
            </w:pPr>
            <w:r w:rsidRPr="004D4A8F">
              <w:rPr>
                <w:rFonts w:ascii="Tahoma" w:hAnsi="Tahoma" w:cs="Tahoma"/>
                <w:sz w:val="20"/>
              </w:rPr>
              <w:t xml:space="preserve">Disconnection </w:t>
            </w:r>
          </w:p>
        </w:tc>
        <w:tc>
          <w:tcPr>
            <w:tcW w:w="1649" w:type="pct"/>
            <w:tcBorders>
              <w:top w:val="single" w:sz="4" w:space="0" w:color="00B0F0"/>
              <w:left w:val="nil"/>
              <w:bottom w:val="single" w:sz="4" w:space="0" w:color="00B0F0"/>
              <w:right w:val="nil"/>
            </w:tcBorders>
          </w:tcPr>
          <w:p w14:paraId="587AB9F4" w14:textId="77777777" w:rsidR="00D568E5" w:rsidRDefault="00D568E5" w:rsidP="0045441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APA have been contracted by AGN Limited under the OMA to provide these services.  </w:t>
            </w:r>
          </w:p>
          <w:p w14:paraId="773C9985" w14:textId="77777777" w:rsidR="00D568E5" w:rsidRDefault="00D568E5" w:rsidP="0045441A">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ADA7D99" w14:textId="3ACFCEA1" w:rsidR="00D568E5" w:rsidRDefault="00D568E5" w:rsidP="0045441A">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EC55A9">
              <w:rPr>
                <w:rFonts w:ascii="Tahoma" w:hAnsi="Tahoma" w:cs="Tahoma"/>
                <w:sz w:val="20"/>
              </w:rPr>
              <w:t xml:space="preserve">ARS </w:t>
            </w:r>
            <w:r w:rsidR="002370C5">
              <w:rPr>
                <w:rFonts w:ascii="Tahoma" w:hAnsi="Tahoma" w:cs="Tahoma"/>
                <w:sz w:val="20"/>
              </w:rPr>
              <w:t>volumes</w:t>
            </w:r>
            <w:r w:rsidR="002370C5" w:rsidRPr="00EC55A9">
              <w:rPr>
                <w:rFonts w:ascii="Tahoma" w:hAnsi="Tahoma" w:cs="Tahoma"/>
                <w:sz w:val="20"/>
              </w:rPr>
              <w:t xml:space="preserve"> </w:t>
            </w:r>
            <w:r w:rsidRPr="00EC55A9">
              <w:rPr>
                <w:rFonts w:ascii="Tahoma" w:hAnsi="Tahoma" w:cs="Tahoma"/>
                <w:sz w:val="20"/>
              </w:rPr>
              <w:t>reported for Disconnections relates to</w:t>
            </w:r>
            <w:r>
              <w:rPr>
                <w:rFonts w:ascii="Tahoma" w:hAnsi="Tahoma" w:cs="Tahoma"/>
                <w:sz w:val="20"/>
              </w:rPr>
              <w:t xml:space="preserve"> undertaking</w:t>
            </w:r>
            <w:r w:rsidRPr="00EC55A9">
              <w:rPr>
                <w:rFonts w:ascii="Tahoma" w:hAnsi="Tahoma" w:cs="Tahoma"/>
                <w:sz w:val="20"/>
              </w:rPr>
              <w:t xml:space="preserve"> the following services:</w:t>
            </w:r>
          </w:p>
          <w:p w14:paraId="5B114134" w14:textId="77777777" w:rsidR="00D568E5" w:rsidRDefault="00D568E5" w:rsidP="0045441A">
            <w:pPr>
              <w:pStyle w:val="ListParagraph"/>
              <w:numPr>
                <w:ilvl w:val="0"/>
                <w:numId w:val="16"/>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74505">
              <w:rPr>
                <w:rFonts w:ascii="Tahoma" w:hAnsi="Tahoma" w:cs="Tahoma"/>
                <w:sz w:val="20"/>
              </w:rPr>
              <w:t>Disconnections – attach locks or plugs to meter for debt</w:t>
            </w:r>
          </w:p>
          <w:p w14:paraId="3FFF5403" w14:textId="77777777" w:rsidR="00D568E5" w:rsidRDefault="00D568E5" w:rsidP="0045441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1587B68" w14:textId="4EBE8945" w:rsidR="00D568E5" w:rsidRPr="00374505" w:rsidRDefault="00D568E5" w:rsidP="008D1E0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volume of Disconnection services as reported has been determined from a count using data supplied by APA.  The transaction data is extracted from APA’s billing system (</w:t>
            </w:r>
            <w:r w:rsidR="008D1E02">
              <w:rPr>
                <w:rFonts w:ascii="Tahoma" w:hAnsi="Tahoma" w:cs="Tahoma"/>
                <w:sz w:val="20"/>
              </w:rPr>
              <w:t>Customer Care and Billing</w:t>
            </w:r>
            <w:r>
              <w:rPr>
                <w:rFonts w:ascii="Tahoma" w:hAnsi="Tahoma" w:cs="Tahoma"/>
                <w:sz w:val="20"/>
              </w:rPr>
              <w:t>) which provides information to retailers and is also used internally to produce the revenue figures in the RFAs (see Appendix B</w:t>
            </w:r>
            <w:r w:rsidR="001279EE">
              <w:rPr>
                <w:rFonts w:ascii="Tahoma" w:hAnsi="Tahoma" w:cs="Tahoma"/>
                <w:sz w:val="20"/>
              </w:rPr>
              <w:t xml:space="preserve"> for more information about the RFAs</w:t>
            </w:r>
            <w:r>
              <w:rPr>
                <w:rFonts w:ascii="Tahoma" w:hAnsi="Tahoma" w:cs="Tahoma"/>
                <w:sz w:val="20"/>
              </w:rPr>
              <w:t>).</w:t>
            </w:r>
          </w:p>
        </w:tc>
        <w:tc>
          <w:tcPr>
            <w:tcW w:w="797" w:type="pct"/>
            <w:tcBorders>
              <w:top w:val="single" w:sz="4" w:space="0" w:color="00B0F0"/>
              <w:left w:val="nil"/>
              <w:bottom w:val="single" w:sz="4" w:space="0" w:color="00B0F0"/>
              <w:right w:val="nil"/>
            </w:tcBorders>
            <w:vAlign w:val="center"/>
          </w:tcPr>
          <w:p w14:paraId="3A82E84C" w14:textId="77777777" w:rsidR="00D568E5" w:rsidRPr="00751816" w:rsidRDefault="00D568E5"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66" w:type="pct"/>
            <w:tcBorders>
              <w:top w:val="single" w:sz="4" w:space="0" w:color="00B0F0"/>
              <w:left w:val="nil"/>
              <w:bottom w:val="single" w:sz="4" w:space="0" w:color="00B0F0"/>
              <w:right w:val="nil"/>
            </w:tcBorders>
          </w:tcPr>
          <w:p w14:paraId="4B168932" w14:textId="77777777" w:rsidR="00D568E5" w:rsidRPr="00751816" w:rsidRDefault="00D568E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3" w:type="pct"/>
            <w:tcBorders>
              <w:top w:val="single" w:sz="4" w:space="0" w:color="00B0F0"/>
              <w:left w:val="nil"/>
              <w:bottom w:val="single" w:sz="4" w:space="0" w:color="00B0F0"/>
              <w:right w:val="nil"/>
            </w:tcBorders>
          </w:tcPr>
          <w:p w14:paraId="3A9A2373" w14:textId="77777777" w:rsidR="00D568E5" w:rsidRPr="00751816" w:rsidRDefault="00D568E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D568E5" w:rsidRPr="00751816" w14:paraId="56F39403"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83"/>
        </w:trPr>
        <w:tc>
          <w:tcPr>
            <w:cnfStyle w:val="001000000000" w:firstRow="0" w:lastRow="0" w:firstColumn="1" w:lastColumn="0" w:oddVBand="0" w:evenVBand="0" w:oddHBand="0" w:evenHBand="0" w:firstRowFirstColumn="0" w:firstRowLastColumn="0" w:lastRowFirstColumn="0" w:lastRowLastColumn="0"/>
            <w:tcW w:w="695" w:type="pct"/>
            <w:tcBorders>
              <w:top w:val="single" w:sz="4" w:space="0" w:color="00B0F0"/>
              <w:bottom w:val="single" w:sz="4" w:space="0" w:color="00B0F0"/>
            </w:tcBorders>
            <w:vAlign w:val="center"/>
          </w:tcPr>
          <w:p w14:paraId="54A5A241" w14:textId="77777777" w:rsidR="00D568E5" w:rsidRDefault="00D568E5" w:rsidP="001664CF">
            <w:pPr>
              <w:spacing w:before="120" w:after="120" w:line="240" w:lineRule="atLeast"/>
              <w:contextualSpacing/>
              <w:rPr>
                <w:rFonts w:ascii="Tahoma" w:hAnsi="Tahoma" w:cs="Tahoma"/>
                <w:sz w:val="20"/>
              </w:rPr>
            </w:pPr>
            <w:r w:rsidRPr="004D4A8F">
              <w:rPr>
                <w:rFonts w:ascii="Tahoma" w:hAnsi="Tahoma" w:cs="Tahoma"/>
                <w:sz w:val="20"/>
              </w:rPr>
              <w:t>Reconnection</w:t>
            </w:r>
          </w:p>
        </w:tc>
        <w:tc>
          <w:tcPr>
            <w:tcW w:w="1649" w:type="pct"/>
            <w:tcBorders>
              <w:top w:val="single" w:sz="4" w:space="0" w:color="00B0F0"/>
              <w:left w:val="nil"/>
              <w:bottom w:val="single" w:sz="4" w:space="0" w:color="00B0F0"/>
              <w:right w:val="nil"/>
            </w:tcBorders>
          </w:tcPr>
          <w:p w14:paraId="714E860E" w14:textId="77777777" w:rsidR="00D568E5" w:rsidRDefault="00D568E5" w:rsidP="0045441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APA have been contracted by AGN Limited under the OMA to provide these services.  </w:t>
            </w:r>
          </w:p>
          <w:p w14:paraId="6C79BD3F" w14:textId="77777777" w:rsidR="00D568E5" w:rsidRDefault="00D568E5" w:rsidP="0045441A">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55E04F6" w14:textId="7806CE74" w:rsidR="00D568E5" w:rsidRDefault="00D568E5" w:rsidP="0045441A">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EC55A9">
              <w:rPr>
                <w:rFonts w:ascii="Tahoma" w:hAnsi="Tahoma" w:cs="Tahoma"/>
                <w:sz w:val="20"/>
              </w:rPr>
              <w:t xml:space="preserve">ARS </w:t>
            </w:r>
            <w:r w:rsidR="002370C5">
              <w:rPr>
                <w:rFonts w:ascii="Tahoma" w:hAnsi="Tahoma" w:cs="Tahoma"/>
                <w:sz w:val="20"/>
              </w:rPr>
              <w:t>volumes</w:t>
            </w:r>
            <w:r w:rsidR="002370C5" w:rsidRPr="00EC55A9">
              <w:rPr>
                <w:rFonts w:ascii="Tahoma" w:hAnsi="Tahoma" w:cs="Tahoma"/>
                <w:sz w:val="20"/>
              </w:rPr>
              <w:t xml:space="preserve"> </w:t>
            </w:r>
            <w:r w:rsidRPr="00EC55A9">
              <w:rPr>
                <w:rFonts w:ascii="Tahoma" w:hAnsi="Tahoma" w:cs="Tahoma"/>
                <w:sz w:val="20"/>
              </w:rPr>
              <w:t xml:space="preserve">reported for </w:t>
            </w:r>
            <w:r>
              <w:rPr>
                <w:rFonts w:ascii="Tahoma" w:hAnsi="Tahoma" w:cs="Tahoma"/>
                <w:sz w:val="20"/>
              </w:rPr>
              <w:t>Re</w:t>
            </w:r>
            <w:r w:rsidRPr="00EC55A9">
              <w:rPr>
                <w:rFonts w:ascii="Tahoma" w:hAnsi="Tahoma" w:cs="Tahoma"/>
                <w:sz w:val="20"/>
              </w:rPr>
              <w:t>connections relates to</w:t>
            </w:r>
            <w:r>
              <w:rPr>
                <w:rFonts w:ascii="Tahoma" w:hAnsi="Tahoma" w:cs="Tahoma"/>
                <w:sz w:val="20"/>
              </w:rPr>
              <w:t xml:space="preserve"> undertaking</w:t>
            </w:r>
            <w:r w:rsidRPr="00EC55A9">
              <w:rPr>
                <w:rFonts w:ascii="Tahoma" w:hAnsi="Tahoma" w:cs="Tahoma"/>
                <w:sz w:val="20"/>
              </w:rPr>
              <w:t xml:space="preserve"> the following services:</w:t>
            </w:r>
          </w:p>
          <w:p w14:paraId="52F11A92" w14:textId="77777777" w:rsidR="00D568E5" w:rsidRDefault="00D568E5" w:rsidP="0045441A">
            <w:pPr>
              <w:pStyle w:val="ListParagraph"/>
              <w:numPr>
                <w:ilvl w:val="0"/>
                <w:numId w:val="16"/>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Reconnections – meter turn on after debt (includes removal of locks or plugs)</w:t>
            </w:r>
          </w:p>
          <w:p w14:paraId="06953EA4" w14:textId="77777777" w:rsidR="00D568E5" w:rsidRDefault="00D568E5" w:rsidP="0045441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CB3DBD7" w14:textId="52277163" w:rsidR="00D568E5" w:rsidRPr="00AD53C7" w:rsidRDefault="00D568E5" w:rsidP="008D1E02">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volume of Reconnection services as reported has been determined from a count using data supplied by APA.  The transaction data is extracted from APA’s billing system (</w:t>
            </w:r>
            <w:r w:rsidR="008D1E02">
              <w:rPr>
                <w:rFonts w:ascii="Tahoma" w:hAnsi="Tahoma" w:cs="Tahoma"/>
                <w:sz w:val="20"/>
              </w:rPr>
              <w:t xml:space="preserve">Customer Care and </w:t>
            </w:r>
            <w:r w:rsidR="008D1E02">
              <w:rPr>
                <w:rFonts w:ascii="Tahoma" w:hAnsi="Tahoma" w:cs="Tahoma"/>
                <w:sz w:val="20"/>
              </w:rPr>
              <w:lastRenderedPageBreak/>
              <w:t>Billing</w:t>
            </w:r>
            <w:r>
              <w:rPr>
                <w:rFonts w:ascii="Tahoma" w:hAnsi="Tahoma" w:cs="Tahoma"/>
                <w:sz w:val="20"/>
              </w:rPr>
              <w:t xml:space="preserve">) which provides information to retailers and is also used internally to produce the revenue figures in the RFAs.   </w:t>
            </w:r>
          </w:p>
        </w:tc>
        <w:tc>
          <w:tcPr>
            <w:tcW w:w="797" w:type="pct"/>
            <w:tcBorders>
              <w:top w:val="single" w:sz="4" w:space="0" w:color="00B0F0"/>
              <w:left w:val="nil"/>
              <w:bottom w:val="single" w:sz="4" w:space="0" w:color="00B0F0"/>
              <w:right w:val="nil"/>
            </w:tcBorders>
            <w:vAlign w:val="center"/>
          </w:tcPr>
          <w:p w14:paraId="2B05AE22" w14:textId="77777777" w:rsidR="00D568E5" w:rsidRPr="00751816" w:rsidRDefault="00D568E5"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66" w:type="pct"/>
            <w:tcBorders>
              <w:top w:val="single" w:sz="4" w:space="0" w:color="00B0F0"/>
              <w:left w:val="nil"/>
              <w:bottom w:val="single" w:sz="4" w:space="0" w:color="00B0F0"/>
              <w:right w:val="nil"/>
            </w:tcBorders>
          </w:tcPr>
          <w:p w14:paraId="13F61ED4" w14:textId="77777777" w:rsidR="00D568E5" w:rsidRPr="00751816" w:rsidRDefault="00D568E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3" w:type="pct"/>
            <w:tcBorders>
              <w:top w:val="single" w:sz="4" w:space="0" w:color="00B0F0"/>
              <w:left w:val="nil"/>
              <w:bottom w:val="single" w:sz="4" w:space="0" w:color="00B0F0"/>
              <w:right w:val="nil"/>
            </w:tcBorders>
          </w:tcPr>
          <w:p w14:paraId="640961A3" w14:textId="77777777" w:rsidR="00D568E5" w:rsidRPr="00751816" w:rsidRDefault="00D568E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D568E5" w:rsidRPr="00751816" w14:paraId="7BF41DCF"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83"/>
        </w:trPr>
        <w:tc>
          <w:tcPr>
            <w:cnfStyle w:val="001000000000" w:firstRow="0" w:lastRow="0" w:firstColumn="1" w:lastColumn="0" w:oddVBand="0" w:evenVBand="0" w:oddHBand="0" w:evenHBand="0" w:firstRowFirstColumn="0" w:firstRowLastColumn="0" w:lastRowFirstColumn="0" w:lastRowLastColumn="0"/>
            <w:tcW w:w="695" w:type="pct"/>
            <w:tcBorders>
              <w:top w:val="single" w:sz="4" w:space="0" w:color="00B0F0"/>
              <w:bottom w:val="single" w:sz="4" w:space="0" w:color="00B0F0"/>
            </w:tcBorders>
            <w:vAlign w:val="center"/>
          </w:tcPr>
          <w:p w14:paraId="59822336" w14:textId="77777777" w:rsidR="00D568E5" w:rsidRDefault="00D568E5" w:rsidP="001664CF">
            <w:pPr>
              <w:spacing w:before="120" w:after="120" w:line="240" w:lineRule="atLeast"/>
              <w:contextualSpacing/>
              <w:rPr>
                <w:rFonts w:ascii="Tahoma" w:hAnsi="Tahoma" w:cs="Tahoma"/>
                <w:sz w:val="20"/>
              </w:rPr>
            </w:pPr>
            <w:r w:rsidRPr="004D4A8F">
              <w:rPr>
                <w:rFonts w:ascii="Tahoma" w:hAnsi="Tahoma" w:cs="Tahoma"/>
                <w:sz w:val="20"/>
              </w:rPr>
              <w:t>Special Meter Read</w:t>
            </w:r>
          </w:p>
        </w:tc>
        <w:tc>
          <w:tcPr>
            <w:tcW w:w="1649" w:type="pct"/>
            <w:tcBorders>
              <w:top w:val="single" w:sz="4" w:space="0" w:color="00B0F0"/>
              <w:left w:val="nil"/>
              <w:bottom w:val="single" w:sz="4" w:space="0" w:color="00B0F0"/>
              <w:right w:val="nil"/>
            </w:tcBorders>
          </w:tcPr>
          <w:p w14:paraId="708DAC93" w14:textId="3195013F" w:rsidR="00D568E5" w:rsidRDefault="00D568E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EC55A9">
              <w:rPr>
                <w:rFonts w:ascii="Tahoma" w:hAnsi="Tahoma" w:cs="Tahoma"/>
                <w:sz w:val="20"/>
              </w:rPr>
              <w:t xml:space="preserve">ARS </w:t>
            </w:r>
            <w:r w:rsidR="002370C5">
              <w:rPr>
                <w:rFonts w:ascii="Tahoma" w:hAnsi="Tahoma" w:cs="Tahoma"/>
                <w:sz w:val="20"/>
              </w:rPr>
              <w:t>volumes</w:t>
            </w:r>
            <w:r w:rsidR="002370C5" w:rsidRPr="00EC55A9">
              <w:rPr>
                <w:rFonts w:ascii="Tahoma" w:hAnsi="Tahoma" w:cs="Tahoma"/>
                <w:sz w:val="20"/>
              </w:rPr>
              <w:t xml:space="preserve"> </w:t>
            </w:r>
            <w:r w:rsidRPr="00EC55A9">
              <w:rPr>
                <w:rFonts w:ascii="Tahoma" w:hAnsi="Tahoma" w:cs="Tahoma"/>
                <w:sz w:val="20"/>
              </w:rPr>
              <w:t xml:space="preserve">reported for </w:t>
            </w:r>
            <w:r>
              <w:rPr>
                <w:rFonts w:ascii="Tahoma" w:hAnsi="Tahoma" w:cs="Tahoma"/>
                <w:sz w:val="20"/>
              </w:rPr>
              <w:t>Special Meter Read</w:t>
            </w:r>
            <w:r w:rsidRPr="00EC55A9">
              <w:rPr>
                <w:rFonts w:ascii="Tahoma" w:hAnsi="Tahoma" w:cs="Tahoma"/>
                <w:sz w:val="20"/>
              </w:rPr>
              <w:t xml:space="preserve"> relates to</w:t>
            </w:r>
            <w:r>
              <w:rPr>
                <w:rFonts w:ascii="Tahoma" w:hAnsi="Tahoma" w:cs="Tahoma"/>
                <w:sz w:val="20"/>
              </w:rPr>
              <w:t xml:space="preserve"> undertaking</w:t>
            </w:r>
            <w:r w:rsidRPr="00EC55A9">
              <w:rPr>
                <w:rFonts w:ascii="Tahoma" w:hAnsi="Tahoma" w:cs="Tahoma"/>
                <w:sz w:val="20"/>
              </w:rPr>
              <w:t xml:space="preserve"> the following services:</w:t>
            </w:r>
          </w:p>
          <w:p w14:paraId="06227B11" w14:textId="77777777" w:rsidR="00D568E5" w:rsidRDefault="00D568E5" w:rsidP="00D568E5">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Special final read</w:t>
            </w:r>
          </w:p>
          <w:p w14:paraId="73D7F1CC" w14:textId="77777777" w:rsidR="00D568E5" w:rsidRDefault="00D568E5" w:rsidP="00D568E5">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Special monthly transfer</w:t>
            </w:r>
          </w:p>
          <w:p w14:paraId="3E6408E9" w14:textId="77777777" w:rsidR="00D568E5" w:rsidRDefault="00D568E5" w:rsidP="00D568E5">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Special reference read</w:t>
            </w:r>
          </w:p>
          <w:p w14:paraId="1EB69868" w14:textId="77777777" w:rsidR="00D568E5" w:rsidRPr="00EC55A9" w:rsidRDefault="00D568E5" w:rsidP="00D568E5">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Special transfer read </w:t>
            </w:r>
          </w:p>
          <w:p w14:paraId="5E018560" w14:textId="77777777" w:rsidR="00D568E5" w:rsidRDefault="00D568E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05EA8E0" w14:textId="092B9EB3" w:rsidR="00D568E5" w:rsidRPr="00751816" w:rsidRDefault="00D568E5" w:rsidP="001279EE">
            <w:p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volume of Special Meter Read services as reported has been determined from a count using data supplied by APA.  The transaction data is extracted from APA’s billing system (</w:t>
            </w:r>
            <w:r w:rsidR="008D1E02">
              <w:rPr>
                <w:rFonts w:ascii="Tahoma" w:hAnsi="Tahoma" w:cs="Tahoma"/>
                <w:sz w:val="20"/>
              </w:rPr>
              <w:t>Customer Care and Billing</w:t>
            </w:r>
            <w:r>
              <w:rPr>
                <w:rFonts w:ascii="Tahoma" w:hAnsi="Tahoma" w:cs="Tahoma"/>
                <w:sz w:val="20"/>
              </w:rPr>
              <w:t xml:space="preserve">) which provides information to retailers and is also used internally to produce the revenue figures in the RFAs.   </w:t>
            </w:r>
          </w:p>
        </w:tc>
        <w:tc>
          <w:tcPr>
            <w:tcW w:w="797" w:type="pct"/>
            <w:tcBorders>
              <w:top w:val="single" w:sz="4" w:space="0" w:color="00B0F0"/>
              <w:left w:val="nil"/>
              <w:bottom w:val="single" w:sz="4" w:space="0" w:color="00B0F0"/>
              <w:right w:val="nil"/>
            </w:tcBorders>
            <w:vAlign w:val="center"/>
          </w:tcPr>
          <w:p w14:paraId="2A8176F6" w14:textId="77777777" w:rsidR="00D568E5" w:rsidRPr="00751816" w:rsidRDefault="00D568E5"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66" w:type="pct"/>
            <w:tcBorders>
              <w:top w:val="single" w:sz="4" w:space="0" w:color="00B0F0"/>
              <w:left w:val="nil"/>
              <w:bottom w:val="single" w:sz="4" w:space="0" w:color="00B0F0"/>
              <w:right w:val="nil"/>
            </w:tcBorders>
          </w:tcPr>
          <w:p w14:paraId="43BD9030" w14:textId="77777777" w:rsidR="00D568E5" w:rsidRPr="00751816" w:rsidRDefault="00D568E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3" w:type="pct"/>
            <w:tcBorders>
              <w:top w:val="single" w:sz="4" w:space="0" w:color="00B0F0"/>
              <w:left w:val="nil"/>
              <w:bottom w:val="single" w:sz="4" w:space="0" w:color="00B0F0"/>
              <w:right w:val="nil"/>
            </w:tcBorders>
          </w:tcPr>
          <w:p w14:paraId="5A514C97" w14:textId="77777777" w:rsidR="00D568E5" w:rsidRPr="00751816" w:rsidRDefault="00D568E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B777EA" w:rsidRPr="00751816" w14:paraId="69DE7339"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83"/>
        </w:trPr>
        <w:tc>
          <w:tcPr>
            <w:cnfStyle w:val="001000000000" w:firstRow="0" w:lastRow="0" w:firstColumn="1" w:lastColumn="0" w:oddVBand="0" w:evenVBand="0" w:oddHBand="0" w:evenHBand="0" w:firstRowFirstColumn="0" w:firstRowLastColumn="0" w:lastRowFirstColumn="0" w:lastRowLastColumn="0"/>
            <w:tcW w:w="695" w:type="pct"/>
            <w:tcBorders>
              <w:top w:val="single" w:sz="4" w:space="0" w:color="00B0F0"/>
              <w:bottom w:val="single" w:sz="4" w:space="0" w:color="00B0F0"/>
            </w:tcBorders>
            <w:vAlign w:val="center"/>
          </w:tcPr>
          <w:p w14:paraId="5F28900C" w14:textId="77777777" w:rsidR="00B777EA" w:rsidRPr="004D4A8F" w:rsidRDefault="00B777EA" w:rsidP="001664CF">
            <w:pPr>
              <w:spacing w:before="120" w:after="120" w:line="240" w:lineRule="atLeast"/>
              <w:contextualSpacing/>
              <w:rPr>
                <w:rFonts w:ascii="Tahoma" w:hAnsi="Tahoma" w:cs="Tahoma"/>
                <w:sz w:val="20"/>
              </w:rPr>
            </w:pPr>
            <w:r w:rsidRPr="004D4A8F">
              <w:rPr>
                <w:rFonts w:ascii="Tahoma" w:hAnsi="Tahoma" w:cs="Tahoma"/>
                <w:sz w:val="20"/>
              </w:rPr>
              <w:t>Meter Removal</w:t>
            </w:r>
          </w:p>
        </w:tc>
        <w:tc>
          <w:tcPr>
            <w:tcW w:w="1649" w:type="pct"/>
            <w:tcBorders>
              <w:top w:val="single" w:sz="4" w:space="0" w:color="00B0F0"/>
              <w:left w:val="nil"/>
              <w:bottom w:val="single" w:sz="4" w:space="0" w:color="00B0F0"/>
              <w:right w:val="nil"/>
            </w:tcBorders>
          </w:tcPr>
          <w:p w14:paraId="322B1452" w14:textId="36977809" w:rsidR="00B777EA" w:rsidRDefault="00B777EA" w:rsidP="0045441A">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EC55A9">
              <w:rPr>
                <w:rFonts w:ascii="Tahoma" w:hAnsi="Tahoma" w:cs="Tahoma"/>
                <w:sz w:val="20"/>
              </w:rPr>
              <w:t xml:space="preserve">ARS </w:t>
            </w:r>
            <w:r w:rsidR="002370C5">
              <w:rPr>
                <w:rFonts w:ascii="Tahoma" w:hAnsi="Tahoma" w:cs="Tahoma"/>
                <w:sz w:val="20"/>
              </w:rPr>
              <w:t>volumes</w:t>
            </w:r>
            <w:r w:rsidR="002370C5" w:rsidRPr="00EC55A9">
              <w:rPr>
                <w:rFonts w:ascii="Tahoma" w:hAnsi="Tahoma" w:cs="Tahoma"/>
                <w:sz w:val="20"/>
              </w:rPr>
              <w:t xml:space="preserve"> </w:t>
            </w:r>
            <w:r w:rsidRPr="00EC55A9">
              <w:rPr>
                <w:rFonts w:ascii="Tahoma" w:hAnsi="Tahoma" w:cs="Tahoma"/>
                <w:sz w:val="20"/>
              </w:rPr>
              <w:t xml:space="preserve">reported for </w:t>
            </w:r>
            <w:r>
              <w:rPr>
                <w:rFonts w:ascii="Tahoma" w:hAnsi="Tahoma" w:cs="Tahoma"/>
                <w:sz w:val="20"/>
              </w:rPr>
              <w:t>Meter Removal</w:t>
            </w:r>
            <w:r w:rsidRPr="00EC55A9">
              <w:rPr>
                <w:rFonts w:ascii="Tahoma" w:hAnsi="Tahoma" w:cs="Tahoma"/>
                <w:sz w:val="20"/>
              </w:rPr>
              <w:t xml:space="preserve"> relates to</w:t>
            </w:r>
            <w:r>
              <w:rPr>
                <w:rFonts w:ascii="Tahoma" w:hAnsi="Tahoma" w:cs="Tahoma"/>
                <w:sz w:val="20"/>
              </w:rPr>
              <w:t xml:space="preserve"> undertaking</w:t>
            </w:r>
            <w:r w:rsidRPr="00EC55A9">
              <w:rPr>
                <w:rFonts w:ascii="Tahoma" w:hAnsi="Tahoma" w:cs="Tahoma"/>
                <w:sz w:val="20"/>
              </w:rPr>
              <w:t xml:space="preserve"> the following services:</w:t>
            </w:r>
          </w:p>
          <w:p w14:paraId="39B76036" w14:textId="77777777" w:rsidR="00B777EA" w:rsidRPr="00EC55A9" w:rsidRDefault="00B777EA" w:rsidP="0045441A">
            <w:pPr>
              <w:pStyle w:val="ListParagraph"/>
              <w:numPr>
                <w:ilvl w:val="0"/>
                <w:numId w:val="16"/>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EC55A9">
              <w:rPr>
                <w:rFonts w:ascii="Tahoma" w:hAnsi="Tahoma" w:cs="Tahoma"/>
                <w:sz w:val="20"/>
              </w:rPr>
              <w:t>Meter removal – remove gas meter for non-payment of arrears</w:t>
            </w:r>
          </w:p>
          <w:p w14:paraId="4AF2C9F7" w14:textId="77777777" w:rsidR="00B777EA" w:rsidRDefault="00B777EA" w:rsidP="0045441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highlight w:val="yellow"/>
              </w:rPr>
            </w:pPr>
          </w:p>
          <w:p w14:paraId="4D234151" w14:textId="5A9064AB" w:rsidR="00B777EA" w:rsidRPr="00751816" w:rsidRDefault="00B777EA" w:rsidP="001279EE">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volume of Meter Removal services as reported has been determined from a count using data supplied by APA.  The transaction data is extracted from APA’s billing system (</w:t>
            </w:r>
            <w:r w:rsidR="008D1E02">
              <w:rPr>
                <w:rFonts w:ascii="Tahoma" w:hAnsi="Tahoma" w:cs="Tahoma"/>
                <w:sz w:val="20"/>
              </w:rPr>
              <w:t>Customer Care and Billing</w:t>
            </w:r>
            <w:r>
              <w:rPr>
                <w:rFonts w:ascii="Tahoma" w:hAnsi="Tahoma" w:cs="Tahoma"/>
                <w:sz w:val="20"/>
              </w:rPr>
              <w:t xml:space="preserve">) which provides information to retailers and is also used internally to produce the revenue figures in the RFAs.   </w:t>
            </w:r>
          </w:p>
        </w:tc>
        <w:tc>
          <w:tcPr>
            <w:tcW w:w="797" w:type="pct"/>
            <w:tcBorders>
              <w:top w:val="single" w:sz="4" w:space="0" w:color="00B0F0"/>
              <w:left w:val="nil"/>
              <w:bottom w:val="single" w:sz="4" w:space="0" w:color="00B0F0"/>
              <w:right w:val="nil"/>
            </w:tcBorders>
            <w:vAlign w:val="center"/>
          </w:tcPr>
          <w:p w14:paraId="5C8DA7AD" w14:textId="77777777" w:rsidR="00B777EA" w:rsidRPr="00751816" w:rsidRDefault="00B777EA"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66" w:type="pct"/>
            <w:tcBorders>
              <w:top w:val="single" w:sz="4" w:space="0" w:color="00B0F0"/>
              <w:left w:val="nil"/>
              <w:bottom w:val="single" w:sz="4" w:space="0" w:color="00B0F0"/>
              <w:right w:val="nil"/>
            </w:tcBorders>
          </w:tcPr>
          <w:p w14:paraId="41667D3A" w14:textId="77777777" w:rsidR="00B777EA" w:rsidRPr="00751816" w:rsidRDefault="00B777EA" w:rsidP="00B777E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3" w:type="pct"/>
            <w:tcBorders>
              <w:top w:val="single" w:sz="4" w:space="0" w:color="00B0F0"/>
              <w:left w:val="nil"/>
              <w:bottom w:val="single" w:sz="4" w:space="0" w:color="00B0F0"/>
              <w:right w:val="nil"/>
            </w:tcBorders>
          </w:tcPr>
          <w:p w14:paraId="13DEEAB2" w14:textId="77777777" w:rsidR="00B777EA" w:rsidRPr="00751816" w:rsidRDefault="00B777EA" w:rsidP="00B777E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B777EA" w:rsidRPr="00751816" w14:paraId="34AC0996"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83"/>
        </w:trPr>
        <w:tc>
          <w:tcPr>
            <w:cnfStyle w:val="001000000000" w:firstRow="0" w:lastRow="0" w:firstColumn="1" w:lastColumn="0" w:oddVBand="0" w:evenVBand="0" w:oddHBand="0" w:evenHBand="0" w:firstRowFirstColumn="0" w:firstRowLastColumn="0" w:lastRowFirstColumn="0" w:lastRowLastColumn="0"/>
            <w:tcW w:w="695" w:type="pct"/>
            <w:tcBorders>
              <w:top w:val="single" w:sz="4" w:space="0" w:color="00B0F0"/>
              <w:bottom w:val="single" w:sz="4" w:space="0" w:color="00B0F0"/>
            </w:tcBorders>
            <w:vAlign w:val="center"/>
          </w:tcPr>
          <w:p w14:paraId="15F73344" w14:textId="77777777" w:rsidR="00B777EA" w:rsidRPr="004D4A8F" w:rsidRDefault="00B777EA" w:rsidP="001664CF">
            <w:pPr>
              <w:spacing w:before="120" w:after="120" w:line="240" w:lineRule="atLeast"/>
              <w:contextualSpacing/>
              <w:rPr>
                <w:rFonts w:ascii="Tahoma" w:hAnsi="Tahoma" w:cs="Tahoma"/>
                <w:sz w:val="20"/>
              </w:rPr>
            </w:pPr>
            <w:r w:rsidRPr="004D4A8F">
              <w:rPr>
                <w:rFonts w:ascii="Tahoma" w:hAnsi="Tahoma" w:cs="Tahoma"/>
                <w:sz w:val="20"/>
              </w:rPr>
              <w:t>Meter Reinstallation</w:t>
            </w:r>
          </w:p>
        </w:tc>
        <w:tc>
          <w:tcPr>
            <w:tcW w:w="1649" w:type="pct"/>
            <w:tcBorders>
              <w:top w:val="single" w:sz="4" w:space="0" w:color="00B0F0"/>
              <w:left w:val="nil"/>
              <w:bottom w:val="single" w:sz="4" w:space="0" w:color="00B0F0"/>
              <w:right w:val="nil"/>
            </w:tcBorders>
          </w:tcPr>
          <w:p w14:paraId="47767E36" w14:textId="6BE4D11A" w:rsidR="00B777EA" w:rsidRDefault="00B777EA" w:rsidP="00B777E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EC55A9">
              <w:rPr>
                <w:rFonts w:ascii="Tahoma" w:hAnsi="Tahoma" w:cs="Tahoma"/>
                <w:sz w:val="20"/>
              </w:rPr>
              <w:t xml:space="preserve">ARS </w:t>
            </w:r>
            <w:r w:rsidR="002370C5">
              <w:rPr>
                <w:rFonts w:ascii="Tahoma" w:hAnsi="Tahoma" w:cs="Tahoma"/>
                <w:sz w:val="20"/>
              </w:rPr>
              <w:t>volumes</w:t>
            </w:r>
            <w:r w:rsidRPr="00EC55A9">
              <w:rPr>
                <w:rFonts w:ascii="Tahoma" w:hAnsi="Tahoma" w:cs="Tahoma"/>
                <w:sz w:val="20"/>
              </w:rPr>
              <w:t xml:space="preserve"> reported for </w:t>
            </w:r>
            <w:r>
              <w:rPr>
                <w:rFonts w:ascii="Tahoma" w:hAnsi="Tahoma" w:cs="Tahoma"/>
                <w:sz w:val="20"/>
              </w:rPr>
              <w:t>Meter Reinstallation</w:t>
            </w:r>
            <w:r w:rsidRPr="00EC55A9">
              <w:rPr>
                <w:rFonts w:ascii="Tahoma" w:hAnsi="Tahoma" w:cs="Tahoma"/>
                <w:sz w:val="20"/>
              </w:rPr>
              <w:t xml:space="preserve"> relates to</w:t>
            </w:r>
            <w:r>
              <w:rPr>
                <w:rFonts w:ascii="Tahoma" w:hAnsi="Tahoma" w:cs="Tahoma"/>
                <w:sz w:val="20"/>
              </w:rPr>
              <w:t xml:space="preserve"> undertaking</w:t>
            </w:r>
            <w:r w:rsidRPr="00EC55A9">
              <w:rPr>
                <w:rFonts w:ascii="Tahoma" w:hAnsi="Tahoma" w:cs="Tahoma"/>
                <w:sz w:val="20"/>
              </w:rPr>
              <w:t xml:space="preserve"> the following services:</w:t>
            </w:r>
          </w:p>
          <w:p w14:paraId="27D4B489" w14:textId="77777777" w:rsidR="00B777EA" w:rsidRDefault="00B777EA" w:rsidP="00B777E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Meter reinstallation – energise gas supply to a site that has been disconnected</w:t>
            </w:r>
          </w:p>
          <w:p w14:paraId="261EBA39" w14:textId="77777777" w:rsidR="00B777EA" w:rsidRPr="00EC55A9" w:rsidRDefault="00B777EA" w:rsidP="00B777E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Refix gas meter following non-payment of arrears</w:t>
            </w:r>
          </w:p>
          <w:p w14:paraId="03DAD701" w14:textId="77777777" w:rsidR="00B777EA" w:rsidRDefault="00B777EA" w:rsidP="00B777E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047BCA6" w14:textId="452383FD" w:rsidR="00B777EA" w:rsidRPr="00751816" w:rsidRDefault="00B777EA" w:rsidP="001279EE">
            <w:p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volume of Meter Reinstallation services as reported has been determined from a count using data supplied by APA.  The transaction data is extracted from APA’s billing system (</w:t>
            </w:r>
            <w:r w:rsidR="008D1E02">
              <w:rPr>
                <w:rFonts w:ascii="Tahoma" w:hAnsi="Tahoma" w:cs="Tahoma"/>
                <w:sz w:val="20"/>
              </w:rPr>
              <w:t>Customer Care and Billing</w:t>
            </w:r>
            <w:r>
              <w:rPr>
                <w:rFonts w:ascii="Tahoma" w:hAnsi="Tahoma" w:cs="Tahoma"/>
                <w:sz w:val="20"/>
              </w:rPr>
              <w:t xml:space="preserve">) which provides information to retailers and is also used internally to produce the revenue figures in the RFAs.   </w:t>
            </w:r>
          </w:p>
        </w:tc>
        <w:tc>
          <w:tcPr>
            <w:tcW w:w="797" w:type="pct"/>
            <w:tcBorders>
              <w:top w:val="single" w:sz="4" w:space="0" w:color="00B0F0"/>
              <w:left w:val="nil"/>
              <w:bottom w:val="single" w:sz="4" w:space="0" w:color="00B0F0"/>
              <w:right w:val="nil"/>
            </w:tcBorders>
            <w:vAlign w:val="center"/>
          </w:tcPr>
          <w:p w14:paraId="4B1CFD01" w14:textId="77777777" w:rsidR="00B777EA" w:rsidRPr="00751816" w:rsidRDefault="00B777EA"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66" w:type="pct"/>
            <w:tcBorders>
              <w:top w:val="single" w:sz="4" w:space="0" w:color="00B0F0"/>
              <w:left w:val="nil"/>
              <w:bottom w:val="single" w:sz="4" w:space="0" w:color="00B0F0"/>
              <w:right w:val="nil"/>
            </w:tcBorders>
          </w:tcPr>
          <w:p w14:paraId="3222DAE4" w14:textId="77777777" w:rsidR="00B777EA" w:rsidRPr="00751816" w:rsidRDefault="00B777EA" w:rsidP="00B777E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3" w:type="pct"/>
            <w:tcBorders>
              <w:top w:val="single" w:sz="4" w:space="0" w:color="00B0F0"/>
              <w:left w:val="nil"/>
              <w:bottom w:val="single" w:sz="4" w:space="0" w:color="00B0F0"/>
              <w:right w:val="nil"/>
            </w:tcBorders>
          </w:tcPr>
          <w:p w14:paraId="7E343A43" w14:textId="77777777" w:rsidR="00B777EA" w:rsidRPr="00751816" w:rsidRDefault="00B777EA" w:rsidP="00B777E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F61A1B" w:rsidRPr="00751816" w14:paraId="16721629"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83"/>
        </w:trPr>
        <w:tc>
          <w:tcPr>
            <w:cnfStyle w:val="001000000000" w:firstRow="0" w:lastRow="0" w:firstColumn="1" w:lastColumn="0" w:oddVBand="0" w:evenVBand="0" w:oddHBand="0" w:evenHBand="0" w:firstRowFirstColumn="0" w:firstRowLastColumn="0" w:lastRowFirstColumn="0" w:lastRowLastColumn="0"/>
            <w:tcW w:w="695" w:type="pct"/>
            <w:tcBorders>
              <w:top w:val="single" w:sz="4" w:space="0" w:color="00B0F0"/>
              <w:bottom w:val="single" w:sz="4" w:space="0" w:color="00B0F0"/>
            </w:tcBorders>
            <w:vAlign w:val="center"/>
          </w:tcPr>
          <w:p w14:paraId="46F8930A" w14:textId="77777777" w:rsidR="00F61A1B" w:rsidRPr="004D4A8F" w:rsidRDefault="00F61A1B" w:rsidP="001664CF">
            <w:pPr>
              <w:spacing w:before="120" w:after="120" w:line="240" w:lineRule="atLeast"/>
              <w:contextualSpacing/>
              <w:rPr>
                <w:rFonts w:ascii="Tahoma" w:hAnsi="Tahoma" w:cs="Tahoma"/>
                <w:sz w:val="20"/>
              </w:rPr>
            </w:pPr>
            <w:r w:rsidRPr="004D4A8F">
              <w:rPr>
                <w:rFonts w:ascii="Tahoma" w:hAnsi="Tahoma" w:cs="Tahoma"/>
                <w:sz w:val="20"/>
              </w:rPr>
              <w:t>Meter Gas and Installation test</w:t>
            </w:r>
          </w:p>
        </w:tc>
        <w:tc>
          <w:tcPr>
            <w:tcW w:w="1649" w:type="pct"/>
            <w:tcBorders>
              <w:top w:val="single" w:sz="4" w:space="0" w:color="00B0F0"/>
              <w:left w:val="nil"/>
              <w:bottom w:val="single" w:sz="4" w:space="0" w:color="00B0F0"/>
              <w:right w:val="nil"/>
            </w:tcBorders>
          </w:tcPr>
          <w:p w14:paraId="492DAE6A" w14:textId="4436B87F" w:rsidR="00F61A1B" w:rsidRDefault="00F61A1B" w:rsidP="0045441A">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EC55A9">
              <w:rPr>
                <w:rFonts w:ascii="Tahoma" w:hAnsi="Tahoma" w:cs="Tahoma"/>
                <w:sz w:val="20"/>
              </w:rPr>
              <w:t xml:space="preserve">ARS </w:t>
            </w:r>
            <w:r w:rsidR="002370C5">
              <w:rPr>
                <w:rFonts w:ascii="Tahoma" w:hAnsi="Tahoma" w:cs="Tahoma"/>
                <w:sz w:val="20"/>
              </w:rPr>
              <w:t>volumes</w:t>
            </w:r>
            <w:r w:rsidR="002370C5" w:rsidRPr="00EC55A9">
              <w:rPr>
                <w:rFonts w:ascii="Tahoma" w:hAnsi="Tahoma" w:cs="Tahoma"/>
                <w:sz w:val="20"/>
              </w:rPr>
              <w:t xml:space="preserve"> </w:t>
            </w:r>
            <w:r w:rsidRPr="00EC55A9">
              <w:rPr>
                <w:rFonts w:ascii="Tahoma" w:hAnsi="Tahoma" w:cs="Tahoma"/>
                <w:sz w:val="20"/>
              </w:rPr>
              <w:t xml:space="preserve">reported for </w:t>
            </w:r>
            <w:r>
              <w:rPr>
                <w:rFonts w:ascii="Tahoma" w:hAnsi="Tahoma" w:cs="Tahoma"/>
                <w:sz w:val="20"/>
              </w:rPr>
              <w:t>Meter Gas and Installation test</w:t>
            </w:r>
            <w:r w:rsidRPr="00EC55A9">
              <w:rPr>
                <w:rFonts w:ascii="Tahoma" w:hAnsi="Tahoma" w:cs="Tahoma"/>
                <w:sz w:val="20"/>
              </w:rPr>
              <w:t xml:space="preserve"> relates to</w:t>
            </w:r>
            <w:r>
              <w:rPr>
                <w:rFonts w:ascii="Tahoma" w:hAnsi="Tahoma" w:cs="Tahoma"/>
                <w:sz w:val="20"/>
              </w:rPr>
              <w:t xml:space="preserve"> undertaking</w:t>
            </w:r>
            <w:r w:rsidRPr="00EC55A9">
              <w:rPr>
                <w:rFonts w:ascii="Tahoma" w:hAnsi="Tahoma" w:cs="Tahoma"/>
                <w:sz w:val="20"/>
              </w:rPr>
              <w:t xml:space="preserve"> the following services:</w:t>
            </w:r>
          </w:p>
          <w:p w14:paraId="7888F2CB" w14:textId="77777777" w:rsidR="00F61A1B" w:rsidRDefault="00F61A1B" w:rsidP="0045441A">
            <w:pPr>
              <w:pStyle w:val="ListParagraph"/>
              <w:numPr>
                <w:ilvl w:val="0"/>
                <w:numId w:val="16"/>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Meter retake and test</w:t>
            </w:r>
          </w:p>
          <w:p w14:paraId="38D7513B" w14:textId="77777777" w:rsidR="00F61A1B" w:rsidRPr="00EC55A9" w:rsidRDefault="00F61A1B" w:rsidP="0045441A">
            <w:pPr>
              <w:pStyle w:val="ListParagraph"/>
              <w:numPr>
                <w:ilvl w:val="0"/>
                <w:numId w:val="16"/>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High account investigation</w:t>
            </w:r>
          </w:p>
          <w:p w14:paraId="37540519" w14:textId="77777777" w:rsidR="00F61A1B" w:rsidRDefault="00F61A1B" w:rsidP="0045441A">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CD483DC" w14:textId="3DEE9063" w:rsidR="00F61A1B" w:rsidRPr="00751816" w:rsidRDefault="00F61A1B" w:rsidP="001279EE">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volume of Meter Gas and Installation test services as reported has been determined from a count using data supplied by APA.  The transaction data is extracted from APA’s billing system (</w:t>
            </w:r>
            <w:r w:rsidR="008D1E02">
              <w:rPr>
                <w:rFonts w:ascii="Tahoma" w:hAnsi="Tahoma" w:cs="Tahoma"/>
                <w:sz w:val="20"/>
              </w:rPr>
              <w:t>Customer Care and Billing</w:t>
            </w:r>
            <w:r>
              <w:rPr>
                <w:rFonts w:ascii="Tahoma" w:hAnsi="Tahoma" w:cs="Tahoma"/>
                <w:sz w:val="20"/>
              </w:rPr>
              <w:t xml:space="preserve">) which provides information to retailers and is also used internally to produce the revenue figures in the RFAs.   </w:t>
            </w:r>
          </w:p>
        </w:tc>
        <w:tc>
          <w:tcPr>
            <w:tcW w:w="797" w:type="pct"/>
            <w:tcBorders>
              <w:top w:val="single" w:sz="4" w:space="0" w:color="00B0F0"/>
              <w:left w:val="nil"/>
              <w:bottom w:val="single" w:sz="4" w:space="0" w:color="00B0F0"/>
              <w:right w:val="nil"/>
            </w:tcBorders>
            <w:vAlign w:val="center"/>
          </w:tcPr>
          <w:p w14:paraId="2FD3933F" w14:textId="77777777" w:rsidR="00F61A1B" w:rsidRPr="00751816" w:rsidRDefault="00F61A1B"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66" w:type="pct"/>
            <w:tcBorders>
              <w:top w:val="single" w:sz="4" w:space="0" w:color="00B0F0"/>
              <w:left w:val="nil"/>
              <w:bottom w:val="single" w:sz="4" w:space="0" w:color="00B0F0"/>
              <w:right w:val="nil"/>
            </w:tcBorders>
          </w:tcPr>
          <w:p w14:paraId="62C4A955" w14:textId="77777777" w:rsidR="00F61A1B" w:rsidRPr="00751816"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3" w:type="pct"/>
            <w:tcBorders>
              <w:top w:val="single" w:sz="4" w:space="0" w:color="00B0F0"/>
              <w:left w:val="nil"/>
              <w:bottom w:val="single" w:sz="4" w:space="0" w:color="00B0F0"/>
              <w:right w:val="nil"/>
            </w:tcBorders>
          </w:tcPr>
          <w:p w14:paraId="2DA10CBA" w14:textId="77777777" w:rsidR="00F61A1B" w:rsidRPr="00751816"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10C33C76" w14:textId="77777777" w:rsidR="00D568E5" w:rsidRPr="009A1070" w:rsidRDefault="00D568E5" w:rsidP="009A1070"/>
    <w:p w14:paraId="0CC03B86" w14:textId="77777777" w:rsidR="00B937BE" w:rsidRDefault="00B937BE" w:rsidP="00C97516">
      <w:pPr>
        <w:pStyle w:val="Heading2"/>
        <w:rPr>
          <w:rFonts w:ascii="Tahoma" w:hAnsi="Tahoma" w:cs="Tahoma"/>
          <w:color w:val="003C71"/>
        </w:rPr>
      </w:pPr>
      <w:bookmarkStart w:id="11" w:name="_Toc57314058"/>
      <w:r w:rsidRPr="00C97516">
        <w:rPr>
          <w:rFonts w:ascii="Tahoma" w:hAnsi="Tahoma" w:cs="Tahoma"/>
          <w:color w:val="003C71"/>
        </w:rPr>
        <w:lastRenderedPageBreak/>
        <w:t>E21.2 – Expenditure</w:t>
      </w:r>
      <w:bookmarkEnd w:id="11"/>
    </w:p>
    <w:tbl>
      <w:tblPr>
        <w:tblStyle w:val="UETableStyle"/>
        <w:tblW w:w="4881"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3"/>
        <w:gridCol w:w="4728"/>
        <w:gridCol w:w="2286"/>
        <w:gridCol w:w="2717"/>
        <w:gridCol w:w="1902"/>
      </w:tblGrid>
      <w:tr w:rsidR="00D568E5" w:rsidRPr="00751816" w14:paraId="46026740" w14:textId="77777777" w:rsidTr="001C016D">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0314C4FB" w14:textId="77777777" w:rsidR="00D568E5" w:rsidRPr="00751816" w:rsidRDefault="00D568E5" w:rsidP="001C016D">
            <w:pPr>
              <w:rPr>
                <w:rFonts w:ascii="Tahoma" w:hAnsi="Tahoma" w:cs="Tahoma"/>
                <w:b/>
                <w:color w:val="FFFFFF"/>
                <w:sz w:val="20"/>
              </w:rPr>
            </w:pPr>
            <w:r w:rsidRPr="00751816">
              <w:rPr>
                <w:rFonts w:ascii="Tahoma" w:hAnsi="Tahoma" w:cs="Tahoma"/>
                <w:b/>
                <w:color w:val="FFFFFF"/>
                <w:sz w:val="20"/>
              </w:rPr>
              <w:t xml:space="preserve">Variable </w:t>
            </w:r>
          </w:p>
        </w:tc>
        <w:tc>
          <w:tcPr>
            <w:tcW w:w="1735" w:type="pct"/>
            <w:tcBorders>
              <w:bottom w:val="single" w:sz="4" w:space="0" w:color="00B0F0"/>
            </w:tcBorders>
            <w:shd w:val="clear" w:color="auto" w:fill="003C71"/>
          </w:tcPr>
          <w:p w14:paraId="4ED582DC" w14:textId="77777777" w:rsidR="00D568E5" w:rsidRPr="00751816" w:rsidRDefault="00D568E5"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9" w:type="pct"/>
            <w:tcBorders>
              <w:bottom w:val="single" w:sz="4" w:space="0" w:color="00B0F0"/>
            </w:tcBorders>
            <w:shd w:val="clear" w:color="auto" w:fill="003C71"/>
          </w:tcPr>
          <w:p w14:paraId="700A1C2C" w14:textId="77777777" w:rsidR="00D568E5" w:rsidRPr="00751816" w:rsidRDefault="00D568E5"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7" w:type="pct"/>
            <w:tcBorders>
              <w:bottom w:val="single" w:sz="4" w:space="0" w:color="00B0F0"/>
            </w:tcBorders>
            <w:shd w:val="clear" w:color="auto" w:fill="003C71"/>
          </w:tcPr>
          <w:p w14:paraId="4EE7A431" w14:textId="77777777" w:rsidR="00D568E5" w:rsidRPr="00751816" w:rsidRDefault="00D568E5"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98" w:type="pct"/>
            <w:tcBorders>
              <w:bottom w:val="single" w:sz="4" w:space="0" w:color="00B0F0"/>
            </w:tcBorders>
            <w:shd w:val="clear" w:color="auto" w:fill="003C71"/>
          </w:tcPr>
          <w:p w14:paraId="2792CE55" w14:textId="77777777" w:rsidR="00D568E5" w:rsidRPr="00751816" w:rsidRDefault="00D568E5"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F61A1B" w:rsidRPr="00751816" w14:paraId="64F66C39" w14:textId="77777777" w:rsidTr="00EA7CDA">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00A3E0"/>
            <w:vAlign w:val="center"/>
          </w:tcPr>
          <w:p w14:paraId="6746F428" w14:textId="0250C944" w:rsidR="00F61A1B" w:rsidRPr="004D4A8F" w:rsidRDefault="00DD6B14" w:rsidP="001664CF">
            <w:pPr>
              <w:spacing w:before="120" w:after="120" w:line="240" w:lineRule="atLeast"/>
              <w:contextualSpacing/>
              <w:rPr>
                <w:rFonts w:ascii="Tahoma" w:hAnsi="Tahoma" w:cs="Tahoma"/>
                <w:sz w:val="20"/>
              </w:rPr>
            </w:pPr>
            <w:r>
              <w:rPr>
                <w:rFonts w:ascii="Tahoma" w:hAnsi="Tahoma" w:cs="Tahoma"/>
                <w:sz w:val="20"/>
              </w:rPr>
              <w:t>2019/20</w:t>
            </w:r>
          </w:p>
        </w:tc>
        <w:tc>
          <w:tcPr>
            <w:tcW w:w="1735" w:type="pct"/>
            <w:tcBorders>
              <w:top w:val="single" w:sz="4" w:space="0" w:color="00B0F0"/>
              <w:left w:val="nil"/>
              <w:bottom w:val="single" w:sz="4" w:space="0" w:color="00B0F0"/>
              <w:right w:val="nil"/>
            </w:tcBorders>
            <w:shd w:val="clear" w:color="auto" w:fill="00A3E0"/>
          </w:tcPr>
          <w:p w14:paraId="28119A6B" w14:textId="77777777" w:rsidR="00F61A1B" w:rsidRPr="00751816"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39" w:type="pct"/>
            <w:tcBorders>
              <w:top w:val="single" w:sz="4" w:space="0" w:color="00B0F0"/>
              <w:left w:val="nil"/>
              <w:bottom w:val="single" w:sz="4" w:space="0" w:color="00B0F0"/>
              <w:right w:val="nil"/>
            </w:tcBorders>
            <w:shd w:val="clear" w:color="auto" w:fill="00A3E0"/>
          </w:tcPr>
          <w:p w14:paraId="465DC653" w14:textId="77777777" w:rsidR="00F61A1B" w:rsidRPr="00751816"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997" w:type="pct"/>
            <w:tcBorders>
              <w:top w:val="single" w:sz="4" w:space="0" w:color="00B0F0"/>
              <w:left w:val="nil"/>
              <w:bottom w:val="single" w:sz="4" w:space="0" w:color="00B0F0"/>
              <w:right w:val="nil"/>
            </w:tcBorders>
            <w:shd w:val="clear" w:color="auto" w:fill="00A3E0"/>
          </w:tcPr>
          <w:p w14:paraId="168E349F" w14:textId="77777777" w:rsidR="00F61A1B" w:rsidRPr="00751816"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left w:val="nil"/>
              <w:bottom w:val="single" w:sz="4" w:space="0" w:color="00B0F0"/>
              <w:right w:val="nil"/>
            </w:tcBorders>
            <w:shd w:val="clear" w:color="auto" w:fill="00A3E0"/>
          </w:tcPr>
          <w:p w14:paraId="688582C3" w14:textId="77777777" w:rsidR="00F61A1B" w:rsidRPr="00751816"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F61A1B" w:rsidRPr="00751816" w14:paraId="305708E2"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5CA2AA6F" w14:textId="77777777" w:rsidR="00F61A1B" w:rsidRPr="00DB6462" w:rsidRDefault="00F61A1B" w:rsidP="001664CF">
            <w:pPr>
              <w:spacing w:before="120" w:after="120" w:line="240" w:lineRule="atLeast"/>
              <w:contextualSpacing/>
              <w:rPr>
                <w:rFonts w:ascii="Tahoma" w:hAnsi="Tahoma" w:cs="Tahoma"/>
                <w:i/>
                <w:sz w:val="20"/>
              </w:rPr>
            </w:pPr>
            <w:r w:rsidRPr="004D4A8F">
              <w:rPr>
                <w:rFonts w:ascii="Tahoma" w:hAnsi="Tahoma" w:cs="Tahoma"/>
                <w:sz w:val="20"/>
              </w:rPr>
              <w:t xml:space="preserve">Disconnection </w:t>
            </w:r>
          </w:p>
        </w:tc>
        <w:tc>
          <w:tcPr>
            <w:tcW w:w="1735" w:type="pct"/>
            <w:tcBorders>
              <w:top w:val="single" w:sz="4" w:space="0" w:color="00B0F0"/>
              <w:left w:val="nil"/>
              <w:bottom w:val="single" w:sz="4" w:space="0" w:color="00B0F0"/>
              <w:right w:val="nil"/>
            </w:tcBorders>
          </w:tcPr>
          <w:p w14:paraId="67715B75" w14:textId="77777777" w:rsidR="00F61A1B"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Due to specific expenditure data not being available for ARS, it has been assumed that expenditure is equal to revenue earned from providing the services.  </w:t>
            </w:r>
          </w:p>
          <w:p w14:paraId="02CE905E" w14:textId="77777777" w:rsidR="00F61A1B"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9851919" w14:textId="7045E31B" w:rsidR="00F61A1B"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Hence AGN Limited has replicated the figures reported for ARS revenue </w:t>
            </w:r>
            <w:r w:rsidR="00B25B83">
              <w:rPr>
                <w:rFonts w:ascii="Tahoma" w:hAnsi="Tahoma" w:cs="Tahoma"/>
                <w:sz w:val="20"/>
              </w:rPr>
              <w:t xml:space="preserve">for AGN (SA) </w:t>
            </w:r>
            <w:r>
              <w:rPr>
                <w:rFonts w:ascii="Tahoma" w:hAnsi="Tahoma" w:cs="Tahoma"/>
                <w:sz w:val="20"/>
              </w:rPr>
              <w:t xml:space="preserve">as representing expenditure for each category in this table.  </w:t>
            </w:r>
          </w:p>
          <w:p w14:paraId="1220C1B5" w14:textId="77777777" w:rsidR="00F61A1B"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D08029A" w14:textId="0226B4B4" w:rsidR="00F61A1B" w:rsidRPr="00751816" w:rsidRDefault="00F61A1B"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EF5294">
              <w:rPr>
                <w:rFonts w:ascii="Tahoma" w:hAnsi="Tahoma" w:cs="Tahoma"/>
                <w:sz w:val="20"/>
              </w:rPr>
              <w:t>AGN Limited considers this to be a reasonable estimate and the best method from which to determine these figures given the information available.</w:t>
            </w:r>
          </w:p>
        </w:tc>
        <w:tc>
          <w:tcPr>
            <w:tcW w:w="839" w:type="pct"/>
            <w:tcBorders>
              <w:top w:val="single" w:sz="4" w:space="0" w:color="00B0F0"/>
              <w:left w:val="nil"/>
              <w:bottom w:val="single" w:sz="4" w:space="0" w:color="00B0F0"/>
              <w:right w:val="nil"/>
            </w:tcBorders>
            <w:vAlign w:val="center"/>
          </w:tcPr>
          <w:p w14:paraId="4758B32C" w14:textId="77777777" w:rsidR="00F61A1B" w:rsidRPr="0045441A" w:rsidRDefault="00F61A1B"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45441A">
              <w:rPr>
                <w:rFonts w:ascii="Tahoma" w:hAnsi="Tahoma" w:cs="Tahoma"/>
                <w:sz w:val="20"/>
              </w:rPr>
              <w:t>Estimate</w:t>
            </w:r>
          </w:p>
        </w:tc>
        <w:tc>
          <w:tcPr>
            <w:tcW w:w="997" w:type="pct"/>
            <w:tcBorders>
              <w:top w:val="single" w:sz="4" w:space="0" w:color="00B0F0"/>
              <w:left w:val="nil"/>
              <w:bottom w:val="single" w:sz="4" w:space="0" w:color="00B0F0"/>
              <w:right w:val="nil"/>
            </w:tcBorders>
          </w:tcPr>
          <w:p w14:paraId="64158E12" w14:textId="1D4F3165" w:rsidR="00F61A1B" w:rsidRPr="00751816" w:rsidRDefault="00F61A1B"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D61A0">
              <w:rPr>
                <w:rFonts w:ascii="Tahoma" w:hAnsi="Tahoma" w:cs="Tahoma"/>
                <w:sz w:val="20"/>
              </w:rPr>
              <w:t xml:space="preserve">AGN Limited and APA’s business systems are not configured to capture information at the level of detail required to determine the expenditure associated with providing the services categorised as ARS.  </w:t>
            </w:r>
            <w:r>
              <w:rPr>
                <w:rFonts w:ascii="Tahoma" w:hAnsi="Tahoma" w:cs="Tahoma"/>
                <w:sz w:val="20"/>
              </w:rPr>
              <w:t>Therefore these figures have been estimated using the method explained in this table.</w:t>
            </w:r>
          </w:p>
        </w:tc>
        <w:tc>
          <w:tcPr>
            <w:tcW w:w="698" w:type="pct"/>
            <w:tcBorders>
              <w:top w:val="single" w:sz="4" w:space="0" w:color="00B0F0"/>
              <w:left w:val="nil"/>
              <w:bottom w:val="single" w:sz="4" w:space="0" w:color="00B0F0"/>
              <w:right w:val="nil"/>
            </w:tcBorders>
          </w:tcPr>
          <w:p w14:paraId="29F82959" w14:textId="77777777" w:rsidR="00F61A1B" w:rsidRPr="00751816"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F61A1B" w:rsidRPr="00751816" w14:paraId="60B63754"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15FC9FDE" w14:textId="77777777" w:rsidR="00F61A1B" w:rsidRDefault="00F61A1B" w:rsidP="001664CF">
            <w:pPr>
              <w:spacing w:before="120" w:after="120" w:line="240" w:lineRule="atLeast"/>
              <w:contextualSpacing/>
              <w:rPr>
                <w:rFonts w:ascii="Tahoma" w:hAnsi="Tahoma" w:cs="Tahoma"/>
                <w:sz w:val="20"/>
              </w:rPr>
            </w:pPr>
            <w:r w:rsidRPr="004D4A8F">
              <w:rPr>
                <w:rFonts w:ascii="Tahoma" w:hAnsi="Tahoma" w:cs="Tahoma"/>
                <w:sz w:val="20"/>
              </w:rPr>
              <w:t>Reconnection</w:t>
            </w:r>
          </w:p>
        </w:tc>
        <w:tc>
          <w:tcPr>
            <w:tcW w:w="1735" w:type="pct"/>
            <w:tcBorders>
              <w:top w:val="single" w:sz="4" w:space="0" w:color="00B0F0"/>
              <w:left w:val="nil"/>
              <w:bottom w:val="single" w:sz="4" w:space="0" w:color="00B0F0"/>
              <w:right w:val="nil"/>
            </w:tcBorders>
          </w:tcPr>
          <w:p w14:paraId="178DD25B" w14:textId="77777777" w:rsidR="00F61A1B"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Due to specific expenditure data not being available for ARS, it has been assumed that expenditure is equal to revenue earned from providing the services.  </w:t>
            </w:r>
          </w:p>
          <w:p w14:paraId="36CBA435" w14:textId="77777777" w:rsidR="00F61A1B"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D67531B" w14:textId="442685DC" w:rsidR="00F61A1B"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Hence AGN Limited has replicated the figures reported for ARS revenue </w:t>
            </w:r>
            <w:r w:rsidR="00B25B83">
              <w:rPr>
                <w:rFonts w:ascii="Tahoma" w:hAnsi="Tahoma" w:cs="Tahoma"/>
                <w:sz w:val="20"/>
              </w:rPr>
              <w:t xml:space="preserve">for AGN (SA) </w:t>
            </w:r>
            <w:r>
              <w:rPr>
                <w:rFonts w:ascii="Tahoma" w:hAnsi="Tahoma" w:cs="Tahoma"/>
                <w:sz w:val="20"/>
              </w:rPr>
              <w:t>as representing expenditure for each category in this table.</w:t>
            </w:r>
          </w:p>
          <w:p w14:paraId="3FEC0215" w14:textId="77777777" w:rsidR="00F61A1B"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C92B6A0" w14:textId="21EF1C08" w:rsidR="00F61A1B" w:rsidRPr="00751816" w:rsidRDefault="00F61A1B"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EF5294">
              <w:rPr>
                <w:rFonts w:ascii="Tahoma" w:hAnsi="Tahoma" w:cs="Tahoma"/>
                <w:sz w:val="20"/>
              </w:rPr>
              <w:t>AGN Limited considers this to be a reasonable estimate and the best method from which to determine these figures given the information available.</w:t>
            </w:r>
          </w:p>
        </w:tc>
        <w:tc>
          <w:tcPr>
            <w:tcW w:w="839" w:type="pct"/>
            <w:tcBorders>
              <w:top w:val="single" w:sz="4" w:space="0" w:color="00B0F0"/>
              <w:left w:val="nil"/>
              <w:bottom w:val="single" w:sz="4" w:space="0" w:color="00B0F0"/>
              <w:right w:val="nil"/>
            </w:tcBorders>
            <w:vAlign w:val="center"/>
          </w:tcPr>
          <w:p w14:paraId="6374FE40" w14:textId="77777777" w:rsidR="00F61A1B" w:rsidRPr="00751816" w:rsidRDefault="00F61A1B"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F3507">
              <w:rPr>
                <w:rFonts w:ascii="Tahoma" w:hAnsi="Tahoma" w:cs="Tahoma"/>
                <w:sz w:val="20"/>
              </w:rPr>
              <w:t>Estimate</w:t>
            </w:r>
          </w:p>
        </w:tc>
        <w:tc>
          <w:tcPr>
            <w:tcW w:w="997" w:type="pct"/>
            <w:tcBorders>
              <w:top w:val="single" w:sz="4" w:space="0" w:color="00B0F0"/>
              <w:left w:val="nil"/>
              <w:bottom w:val="single" w:sz="4" w:space="0" w:color="00B0F0"/>
              <w:right w:val="nil"/>
            </w:tcBorders>
          </w:tcPr>
          <w:p w14:paraId="43F74EAE" w14:textId="149A69E5" w:rsidR="00F61A1B" w:rsidRPr="00751816" w:rsidRDefault="00F61A1B"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D61A0">
              <w:rPr>
                <w:rFonts w:ascii="Tahoma" w:hAnsi="Tahoma" w:cs="Tahoma"/>
                <w:sz w:val="20"/>
              </w:rPr>
              <w:t xml:space="preserve">AGN Limited and APA’s business systems are not configured to capture information at the level of detail required to determine the expenditure associated with providing the services categorised as ARS.  </w:t>
            </w:r>
            <w:r>
              <w:rPr>
                <w:rFonts w:ascii="Tahoma" w:hAnsi="Tahoma" w:cs="Tahoma"/>
                <w:sz w:val="20"/>
              </w:rPr>
              <w:t>Therefore these figures have been estimated using the method explained in this table.</w:t>
            </w:r>
          </w:p>
        </w:tc>
        <w:tc>
          <w:tcPr>
            <w:tcW w:w="698" w:type="pct"/>
            <w:tcBorders>
              <w:top w:val="single" w:sz="4" w:space="0" w:color="00B0F0"/>
              <w:left w:val="nil"/>
              <w:bottom w:val="single" w:sz="4" w:space="0" w:color="00B0F0"/>
              <w:right w:val="nil"/>
            </w:tcBorders>
          </w:tcPr>
          <w:p w14:paraId="019232DF" w14:textId="77777777" w:rsidR="00F61A1B" w:rsidRPr="00751816"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F61A1B" w:rsidRPr="00751816" w14:paraId="00D7AEC8"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497572B3" w14:textId="77777777" w:rsidR="00F61A1B" w:rsidRDefault="00F61A1B" w:rsidP="001664CF">
            <w:pPr>
              <w:spacing w:before="120" w:after="120" w:line="240" w:lineRule="atLeast"/>
              <w:contextualSpacing/>
              <w:rPr>
                <w:rFonts w:ascii="Tahoma" w:hAnsi="Tahoma" w:cs="Tahoma"/>
                <w:sz w:val="20"/>
              </w:rPr>
            </w:pPr>
            <w:r w:rsidRPr="004D4A8F">
              <w:rPr>
                <w:rFonts w:ascii="Tahoma" w:hAnsi="Tahoma" w:cs="Tahoma"/>
                <w:sz w:val="20"/>
              </w:rPr>
              <w:lastRenderedPageBreak/>
              <w:t>Special Meter Read</w:t>
            </w:r>
          </w:p>
        </w:tc>
        <w:tc>
          <w:tcPr>
            <w:tcW w:w="1735" w:type="pct"/>
            <w:tcBorders>
              <w:top w:val="single" w:sz="4" w:space="0" w:color="00B0F0"/>
              <w:left w:val="nil"/>
              <w:bottom w:val="single" w:sz="4" w:space="0" w:color="00B0F0"/>
              <w:right w:val="nil"/>
            </w:tcBorders>
          </w:tcPr>
          <w:p w14:paraId="39BE1285" w14:textId="77777777" w:rsidR="00F61A1B"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Due to specific expenditure data not being available for ARS, it has been assumed that expenditure is equal to revenue earned from providing the services.  </w:t>
            </w:r>
          </w:p>
          <w:p w14:paraId="4BD95BD2" w14:textId="77777777" w:rsidR="00F61A1B"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CA46985" w14:textId="14EA2DDA" w:rsidR="00F61A1B"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Hence AGN Limited has replicated the figures reported for ARS revenue </w:t>
            </w:r>
            <w:r w:rsidR="00B25B83">
              <w:rPr>
                <w:rFonts w:ascii="Tahoma" w:hAnsi="Tahoma" w:cs="Tahoma"/>
                <w:sz w:val="20"/>
              </w:rPr>
              <w:t xml:space="preserve">for AGN (SA) </w:t>
            </w:r>
            <w:r>
              <w:rPr>
                <w:rFonts w:ascii="Tahoma" w:hAnsi="Tahoma" w:cs="Tahoma"/>
                <w:sz w:val="20"/>
              </w:rPr>
              <w:t>as representing expenditure for each category in this table.</w:t>
            </w:r>
          </w:p>
          <w:p w14:paraId="7A70F22C" w14:textId="77777777" w:rsidR="00F61A1B"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CE0BFC5" w14:textId="334523BB" w:rsidR="00F61A1B" w:rsidRPr="00751816"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EF5294">
              <w:rPr>
                <w:rFonts w:ascii="Tahoma" w:hAnsi="Tahoma" w:cs="Tahoma"/>
                <w:sz w:val="20"/>
              </w:rPr>
              <w:t>AGN Limited considers this to be a reasonable estimate and the best method from which to determine these figures given the information available.</w:t>
            </w:r>
          </w:p>
        </w:tc>
        <w:tc>
          <w:tcPr>
            <w:tcW w:w="839" w:type="pct"/>
            <w:tcBorders>
              <w:top w:val="single" w:sz="4" w:space="0" w:color="00B0F0"/>
              <w:left w:val="nil"/>
              <w:bottom w:val="single" w:sz="4" w:space="0" w:color="00B0F0"/>
              <w:right w:val="nil"/>
            </w:tcBorders>
            <w:vAlign w:val="center"/>
          </w:tcPr>
          <w:p w14:paraId="0529CE9F" w14:textId="77777777" w:rsidR="00F61A1B" w:rsidRPr="00751816" w:rsidRDefault="00F61A1B"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F3507">
              <w:rPr>
                <w:rFonts w:ascii="Tahoma" w:hAnsi="Tahoma" w:cs="Tahoma"/>
                <w:sz w:val="20"/>
              </w:rPr>
              <w:t>Estimate</w:t>
            </w:r>
          </w:p>
        </w:tc>
        <w:tc>
          <w:tcPr>
            <w:tcW w:w="997" w:type="pct"/>
            <w:tcBorders>
              <w:top w:val="single" w:sz="4" w:space="0" w:color="00B0F0"/>
              <w:left w:val="nil"/>
              <w:bottom w:val="single" w:sz="4" w:space="0" w:color="00B0F0"/>
              <w:right w:val="nil"/>
            </w:tcBorders>
          </w:tcPr>
          <w:p w14:paraId="21BB2C77" w14:textId="791B9C39" w:rsidR="00F61A1B" w:rsidRPr="00751816" w:rsidRDefault="00F61A1B"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D61A0">
              <w:rPr>
                <w:rFonts w:ascii="Tahoma" w:hAnsi="Tahoma" w:cs="Tahoma"/>
                <w:sz w:val="20"/>
              </w:rPr>
              <w:t xml:space="preserve">AGN Limited and APA’s business systems are not configured to capture information at the level of detail required to determine the expenditure associated with providing the services categorised as ARS.  </w:t>
            </w:r>
            <w:r>
              <w:rPr>
                <w:rFonts w:ascii="Tahoma" w:hAnsi="Tahoma" w:cs="Tahoma"/>
                <w:sz w:val="20"/>
              </w:rPr>
              <w:t>Therefore these figures have been estimated using the method explained in this table.</w:t>
            </w:r>
          </w:p>
        </w:tc>
        <w:tc>
          <w:tcPr>
            <w:tcW w:w="698" w:type="pct"/>
            <w:tcBorders>
              <w:top w:val="single" w:sz="4" w:space="0" w:color="00B0F0"/>
              <w:left w:val="nil"/>
              <w:bottom w:val="single" w:sz="4" w:space="0" w:color="00B0F0"/>
              <w:right w:val="nil"/>
            </w:tcBorders>
          </w:tcPr>
          <w:p w14:paraId="24A59F29" w14:textId="77777777" w:rsidR="00F61A1B" w:rsidRPr="00751816" w:rsidRDefault="00F61A1B" w:rsidP="00F61A1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CB7787" w:rsidRPr="00751816" w14:paraId="5774F806"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6D58DBB0" w14:textId="77777777" w:rsidR="00CB7787" w:rsidRPr="004D4A8F" w:rsidRDefault="00CB7787" w:rsidP="001664CF">
            <w:pPr>
              <w:spacing w:before="120" w:after="120" w:line="240" w:lineRule="atLeast"/>
              <w:contextualSpacing/>
              <w:rPr>
                <w:rFonts w:ascii="Tahoma" w:hAnsi="Tahoma" w:cs="Tahoma"/>
                <w:sz w:val="20"/>
              </w:rPr>
            </w:pPr>
            <w:r w:rsidRPr="004D4A8F">
              <w:rPr>
                <w:rFonts w:ascii="Tahoma" w:hAnsi="Tahoma" w:cs="Tahoma"/>
                <w:sz w:val="20"/>
              </w:rPr>
              <w:t>Meter Removal</w:t>
            </w:r>
          </w:p>
        </w:tc>
        <w:tc>
          <w:tcPr>
            <w:tcW w:w="1735" w:type="pct"/>
            <w:tcBorders>
              <w:top w:val="single" w:sz="4" w:space="0" w:color="00B0F0"/>
              <w:left w:val="nil"/>
              <w:bottom w:val="single" w:sz="4" w:space="0" w:color="00B0F0"/>
              <w:right w:val="nil"/>
            </w:tcBorders>
          </w:tcPr>
          <w:p w14:paraId="04F0CF27" w14:textId="34618D71" w:rsidR="00CB7787" w:rsidRDefault="00CB7787" w:rsidP="00CB778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Due to specific expenditure data not being available for ARS, it has been assumed that expenditure is equal to revenue earned from providing the services.  </w:t>
            </w:r>
          </w:p>
          <w:p w14:paraId="2547AC83" w14:textId="77777777" w:rsidR="00CB7787" w:rsidRDefault="00CB7787" w:rsidP="00CB778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9B1F0E9" w14:textId="76EDD15E" w:rsidR="00CB7787" w:rsidRDefault="00CB7787" w:rsidP="00CB778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Hence AGN Limited has replicated the figures reported for ARS revenue </w:t>
            </w:r>
            <w:r w:rsidR="00B25B83">
              <w:rPr>
                <w:rFonts w:ascii="Tahoma" w:hAnsi="Tahoma" w:cs="Tahoma"/>
                <w:sz w:val="20"/>
              </w:rPr>
              <w:t xml:space="preserve">for AGN (SA) </w:t>
            </w:r>
            <w:r>
              <w:rPr>
                <w:rFonts w:ascii="Tahoma" w:hAnsi="Tahoma" w:cs="Tahoma"/>
                <w:sz w:val="20"/>
              </w:rPr>
              <w:t>as representing expenditure for each category in this table.</w:t>
            </w:r>
          </w:p>
          <w:p w14:paraId="4A73F3E2" w14:textId="77777777" w:rsidR="00CB7787" w:rsidRDefault="00CB7787" w:rsidP="00CB778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8AFBF1C" w14:textId="523AB1C8" w:rsidR="00CB7787" w:rsidRPr="00751816" w:rsidRDefault="00CB7787"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EF5294">
              <w:rPr>
                <w:rFonts w:ascii="Tahoma" w:hAnsi="Tahoma" w:cs="Tahoma"/>
                <w:sz w:val="20"/>
              </w:rPr>
              <w:t>AGN Limited considers this to be a reasonable estimate and the best method from which to determine these figures given the information available.</w:t>
            </w:r>
          </w:p>
        </w:tc>
        <w:tc>
          <w:tcPr>
            <w:tcW w:w="839" w:type="pct"/>
            <w:tcBorders>
              <w:top w:val="single" w:sz="4" w:space="0" w:color="00B0F0"/>
              <w:left w:val="nil"/>
              <w:bottom w:val="single" w:sz="4" w:space="0" w:color="00B0F0"/>
              <w:right w:val="nil"/>
            </w:tcBorders>
            <w:vAlign w:val="center"/>
          </w:tcPr>
          <w:p w14:paraId="19436067" w14:textId="77777777" w:rsidR="00CB7787" w:rsidRPr="00751816" w:rsidRDefault="00CB7787"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F3507">
              <w:rPr>
                <w:rFonts w:ascii="Tahoma" w:hAnsi="Tahoma" w:cs="Tahoma"/>
                <w:sz w:val="20"/>
              </w:rPr>
              <w:t>Estimate</w:t>
            </w:r>
          </w:p>
        </w:tc>
        <w:tc>
          <w:tcPr>
            <w:tcW w:w="997" w:type="pct"/>
            <w:tcBorders>
              <w:top w:val="single" w:sz="4" w:space="0" w:color="00B0F0"/>
              <w:left w:val="nil"/>
              <w:bottom w:val="single" w:sz="4" w:space="0" w:color="00B0F0"/>
              <w:right w:val="nil"/>
            </w:tcBorders>
          </w:tcPr>
          <w:p w14:paraId="2390A71F" w14:textId="09991EAE" w:rsidR="00CB7787" w:rsidRPr="00751816" w:rsidRDefault="00CB7787"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D61A0">
              <w:rPr>
                <w:rFonts w:ascii="Tahoma" w:hAnsi="Tahoma" w:cs="Tahoma"/>
                <w:sz w:val="20"/>
              </w:rPr>
              <w:t xml:space="preserve">AGN Limited and APA’s business systems are not configured to capture information at the level of detail required to determine the expenditure associated with providing the services categorised as ARS.  </w:t>
            </w:r>
            <w:r>
              <w:rPr>
                <w:rFonts w:ascii="Tahoma" w:hAnsi="Tahoma" w:cs="Tahoma"/>
                <w:sz w:val="20"/>
              </w:rPr>
              <w:t>Therefore these figures have been estimated using the method explained in this table.</w:t>
            </w:r>
          </w:p>
        </w:tc>
        <w:tc>
          <w:tcPr>
            <w:tcW w:w="698" w:type="pct"/>
            <w:tcBorders>
              <w:top w:val="single" w:sz="4" w:space="0" w:color="00B0F0"/>
              <w:left w:val="nil"/>
              <w:bottom w:val="single" w:sz="4" w:space="0" w:color="00B0F0"/>
              <w:right w:val="nil"/>
            </w:tcBorders>
          </w:tcPr>
          <w:p w14:paraId="7F681830" w14:textId="77777777" w:rsidR="00CB7787" w:rsidRPr="00751816" w:rsidRDefault="00CB7787" w:rsidP="00CB778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CB7787" w:rsidRPr="00751816" w14:paraId="1A64A461"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3D5BF17F" w14:textId="77777777" w:rsidR="00CB7787" w:rsidRPr="004D4A8F" w:rsidRDefault="00CB7787" w:rsidP="001664CF">
            <w:pPr>
              <w:spacing w:before="120" w:after="120" w:line="240" w:lineRule="atLeast"/>
              <w:contextualSpacing/>
              <w:rPr>
                <w:rFonts w:ascii="Tahoma" w:hAnsi="Tahoma" w:cs="Tahoma"/>
                <w:sz w:val="20"/>
              </w:rPr>
            </w:pPr>
            <w:r w:rsidRPr="004D4A8F">
              <w:rPr>
                <w:rFonts w:ascii="Tahoma" w:hAnsi="Tahoma" w:cs="Tahoma"/>
                <w:sz w:val="20"/>
              </w:rPr>
              <w:t>Meter Reinstallation</w:t>
            </w:r>
          </w:p>
        </w:tc>
        <w:tc>
          <w:tcPr>
            <w:tcW w:w="1735" w:type="pct"/>
            <w:tcBorders>
              <w:top w:val="single" w:sz="4" w:space="0" w:color="00B0F0"/>
              <w:left w:val="nil"/>
              <w:bottom w:val="single" w:sz="4" w:space="0" w:color="00B0F0"/>
              <w:right w:val="nil"/>
            </w:tcBorders>
          </w:tcPr>
          <w:p w14:paraId="0B4C5D85" w14:textId="5D9F8411" w:rsidR="00CB7787" w:rsidRDefault="00CB7787" w:rsidP="00CB778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Due to specific expenditure data not being available for ARS, it has been assumed that expenditure is equal to revenue earned from providing the services.  </w:t>
            </w:r>
          </w:p>
          <w:p w14:paraId="7335E0A3" w14:textId="1C8606CD" w:rsidR="00CB7787" w:rsidRDefault="00CB7787" w:rsidP="00CB778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 xml:space="preserve">Hence AGN Limited has replicated the figures reported for ARS revenue </w:t>
            </w:r>
            <w:r w:rsidR="00B25B83">
              <w:rPr>
                <w:rFonts w:ascii="Tahoma" w:hAnsi="Tahoma" w:cs="Tahoma"/>
                <w:sz w:val="20"/>
              </w:rPr>
              <w:t xml:space="preserve">for AGN (SA) </w:t>
            </w:r>
            <w:r>
              <w:rPr>
                <w:rFonts w:ascii="Tahoma" w:hAnsi="Tahoma" w:cs="Tahoma"/>
                <w:sz w:val="20"/>
              </w:rPr>
              <w:t>as representing expenditure for each category in this table.</w:t>
            </w:r>
          </w:p>
          <w:p w14:paraId="74F7B73C" w14:textId="77777777" w:rsidR="00CB7787" w:rsidRDefault="00CB7787" w:rsidP="00CB778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77A4531" w14:textId="496833A0" w:rsidR="00CB7787" w:rsidRPr="00751816" w:rsidRDefault="00CB7787"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EF5294">
              <w:rPr>
                <w:rFonts w:ascii="Tahoma" w:hAnsi="Tahoma" w:cs="Tahoma"/>
                <w:sz w:val="20"/>
              </w:rPr>
              <w:t>AGN Limited considers this to be a reasonable estimate and the best method from which to determine these figures given the information available.</w:t>
            </w:r>
          </w:p>
        </w:tc>
        <w:tc>
          <w:tcPr>
            <w:tcW w:w="839" w:type="pct"/>
            <w:tcBorders>
              <w:top w:val="single" w:sz="4" w:space="0" w:color="00B0F0"/>
              <w:left w:val="nil"/>
              <w:bottom w:val="single" w:sz="4" w:space="0" w:color="00B0F0"/>
              <w:right w:val="nil"/>
            </w:tcBorders>
            <w:vAlign w:val="center"/>
          </w:tcPr>
          <w:p w14:paraId="28BD646F" w14:textId="77777777" w:rsidR="00CB7787" w:rsidRPr="00751816" w:rsidRDefault="00CB7787"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F3507">
              <w:rPr>
                <w:rFonts w:ascii="Tahoma" w:hAnsi="Tahoma" w:cs="Tahoma"/>
                <w:sz w:val="20"/>
              </w:rPr>
              <w:lastRenderedPageBreak/>
              <w:t>Estimate</w:t>
            </w:r>
          </w:p>
        </w:tc>
        <w:tc>
          <w:tcPr>
            <w:tcW w:w="997" w:type="pct"/>
            <w:tcBorders>
              <w:top w:val="single" w:sz="4" w:space="0" w:color="00B0F0"/>
              <w:left w:val="nil"/>
              <w:bottom w:val="single" w:sz="4" w:space="0" w:color="00B0F0"/>
              <w:right w:val="nil"/>
            </w:tcBorders>
          </w:tcPr>
          <w:p w14:paraId="4719C808" w14:textId="0E6F4F7B" w:rsidR="00CB7787" w:rsidRPr="00751816" w:rsidRDefault="00CB7787"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D61A0">
              <w:rPr>
                <w:rFonts w:ascii="Tahoma" w:hAnsi="Tahoma" w:cs="Tahoma"/>
                <w:sz w:val="20"/>
              </w:rPr>
              <w:t xml:space="preserve">AGN Limited and APA’s business systems are not configured to capture information at the level of </w:t>
            </w:r>
            <w:r w:rsidRPr="001D61A0">
              <w:rPr>
                <w:rFonts w:ascii="Tahoma" w:hAnsi="Tahoma" w:cs="Tahoma"/>
                <w:sz w:val="20"/>
              </w:rPr>
              <w:lastRenderedPageBreak/>
              <w:t xml:space="preserve">detail required to determine the expenditure associated with providing the services categorised as ARS.  </w:t>
            </w:r>
            <w:r>
              <w:rPr>
                <w:rFonts w:ascii="Tahoma" w:hAnsi="Tahoma" w:cs="Tahoma"/>
                <w:sz w:val="20"/>
              </w:rPr>
              <w:t>Therefore these figures have been estimated using the method explained in this table.</w:t>
            </w:r>
          </w:p>
        </w:tc>
        <w:tc>
          <w:tcPr>
            <w:tcW w:w="698" w:type="pct"/>
            <w:tcBorders>
              <w:top w:val="single" w:sz="4" w:space="0" w:color="00B0F0"/>
              <w:left w:val="nil"/>
              <w:bottom w:val="single" w:sz="4" w:space="0" w:color="00B0F0"/>
              <w:right w:val="nil"/>
            </w:tcBorders>
          </w:tcPr>
          <w:p w14:paraId="431BBE69" w14:textId="77777777" w:rsidR="00CB7787" w:rsidRPr="00751816" w:rsidRDefault="00CB7787" w:rsidP="00CB778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CB7787" w:rsidRPr="00751816" w14:paraId="3AD0A781"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2202D5BD" w14:textId="77777777" w:rsidR="00CB7787" w:rsidRPr="004D4A8F" w:rsidRDefault="00CB7787" w:rsidP="001664CF">
            <w:pPr>
              <w:spacing w:before="120" w:after="120" w:line="240" w:lineRule="atLeast"/>
              <w:contextualSpacing/>
              <w:rPr>
                <w:rFonts w:ascii="Tahoma" w:hAnsi="Tahoma" w:cs="Tahoma"/>
                <w:sz w:val="20"/>
              </w:rPr>
            </w:pPr>
            <w:r w:rsidRPr="004D4A8F">
              <w:rPr>
                <w:rFonts w:ascii="Tahoma" w:hAnsi="Tahoma" w:cs="Tahoma"/>
                <w:sz w:val="20"/>
              </w:rPr>
              <w:t>Meter Gas and Installation test</w:t>
            </w:r>
          </w:p>
        </w:tc>
        <w:tc>
          <w:tcPr>
            <w:tcW w:w="1735" w:type="pct"/>
            <w:tcBorders>
              <w:top w:val="single" w:sz="4" w:space="0" w:color="00B0F0"/>
              <w:left w:val="nil"/>
              <w:bottom w:val="single" w:sz="4" w:space="0" w:color="00B0F0"/>
              <w:right w:val="nil"/>
            </w:tcBorders>
          </w:tcPr>
          <w:p w14:paraId="61CE657C" w14:textId="272AAAB8" w:rsidR="00CB7787" w:rsidRDefault="00CB7787" w:rsidP="00CB778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Due to specific expenditure data not being available for ARS, it has been assumed that expenditure is equal to revenue earned from providing the services.  </w:t>
            </w:r>
          </w:p>
          <w:p w14:paraId="46183E3B" w14:textId="77777777" w:rsidR="00CB7787" w:rsidRDefault="00CB7787" w:rsidP="00CB778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B1844C3" w14:textId="5CBF9F7E" w:rsidR="00CB7787" w:rsidRDefault="00CB7787" w:rsidP="00CB778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Hence AGN Limited has replicated the figures reported for ARS revenue </w:t>
            </w:r>
            <w:r w:rsidR="00B25B83">
              <w:rPr>
                <w:rFonts w:ascii="Tahoma" w:hAnsi="Tahoma" w:cs="Tahoma"/>
                <w:sz w:val="20"/>
              </w:rPr>
              <w:t xml:space="preserve">for AGN (SA) </w:t>
            </w:r>
            <w:r>
              <w:rPr>
                <w:rFonts w:ascii="Tahoma" w:hAnsi="Tahoma" w:cs="Tahoma"/>
                <w:sz w:val="20"/>
              </w:rPr>
              <w:t>as representing expenditure for each category in this table.</w:t>
            </w:r>
          </w:p>
          <w:p w14:paraId="5D12B2D2" w14:textId="77777777" w:rsidR="00CB7787" w:rsidRDefault="00CB7787" w:rsidP="00CB778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12F6477" w14:textId="2C34969E" w:rsidR="00CB7787" w:rsidRPr="00751816" w:rsidRDefault="00CB7787"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EF5294">
              <w:rPr>
                <w:rFonts w:ascii="Tahoma" w:hAnsi="Tahoma" w:cs="Tahoma"/>
                <w:sz w:val="20"/>
              </w:rPr>
              <w:t>AGN Limited considers this to be a reasonable estimate and the best method from which to determine these figures given the information available.</w:t>
            </w:r>
          </w:p>
        </w:tc>
        <w:tc>
          <w:tcPr>
            <w:tcW w:w="839" w:type="pct"/>
            <w:tcBorders>
              <w:top w:val="single" w:sz="4" w:space="0" w:color="00B0F0"/>
              <w:left w:val="nil"/>
              <w:bottom w:val="single" w:sz="4" w:space="0" w:color="00B0F0"/>
              <w:right w:val="nil"/>
            </w:tcBorders>
            <w:vAlign w:val="center"/>
          </w:tcPr>
          <w:p w14:paraId="522E0744" w14:textId="77777777" w:rsidR="00CB7787" w:rsidRPr="000F3507" w:rsidRDefault="00CB7787"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F3507">
              <w:rPr>
                <w:rFonts w:ascii="Tahoma" w:hAnsi="Tahoma" w:cs="Tahoma"/>
                <w:sz w:val="20"/>
              </w:rPr>
              <w:t>Estimate</w:t>
            </w:r>
          </w:p>
        </w:tc>
        <w:tc>
          <w:tcPr>
            <w:tcW w:w="997" w:type="pct"/>
            <w:tcBorders>
              <w:top w:val="single" w:sz="4" w:space="0" w:color="00B0F0"/>
              <w:left w:val="nil"/>
              <w:bottom w:val="single" w:sz="4" w:space="0" w:color="00B0F0"/>
              <w:right w:val="nil"/>
            </w:tcBorders>
          </w:tcPr>
          <w:p w14:paraId="7C00E64E" w14:textId="513F76F1" w:rsidR="00CB7787" w:rsidRPr="00751816" w:rsidRDefault="00CB7787"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D61A0">
              <w:rPr>
                <w:rFonts w:ascii="Tahoma" w:hAnsi="Tahoma" w:cs="Tahoma"/>
                <w:sz w:val="20"/>
              </w:rPr>
              <w:t xml:space="preserve">AGN Limited and APA’s business systems are not configured to capture information at the level of detail required to determine the expenditure associated with providing the services categorised as ARS.  </w:t>
            </w:r>
            <w:r>
              <w:rPr>
                <w:rFonts w:ascii="Tahoma" w:hAnsi="Tahoma" w:cs="Tahoma"/>
                <w:sz w:val="20"/>
              </w:rPr>
              <w:t>Therefore these figures have been estimated using the method explained in this table.</w:t>
            </w:r>
          </w:p>
        </w:tc>
        <w:tc>
          <w:tcPr>
            <w:tcW w:w="698" w:type="pct"/>
            <w:tcBorders>
              <w:top w:val="single" w:sz="4" w:space="0" w:color="00B0F0"/>
              <w:left w:val="nil"/>
              <w:bottom w:val="single" w:sz="4" w:space="0" w:color="00B0F0"/>
              <w:right w:val="nil"/>
            </w:tcBorders>
          </w:tcPr>
          <w:p w14:paraId="49902B0E" w14:textId="77777777" w:rsidR="00CB7787" w:rsidRPr="00751816" w:rsidRDefault="00CB7787" w:rsidP="00CB778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66135EF9" w14:textId="0AC2D398" w:rsidR="008161B4" w:rsidRDefault="008161B4">
      <w:pPr>
        <w:rPr>
          <w:rFonts w:ascii="Tahoma" w:hAnsi="Tahoma" w:cs="Tahoma"/>
          <w:b/>
          <w:color w:val="003C71"/>
        </w:rPr>
      </w:pPr>
    </w:p>
    <w:p w14:paraId="588FE5C3" w14:textId="77777777" w:rsidR="002446D1" w:rsidRDefault="002446D1">
      <w:pPr>
        <w:rPr>
          <w:rFonts w:ascii="Tahoma" w:eastAsiaTheme="majorEastAsia" w:hAnsi="Tahoma" w:cs="Tahoma"/>
          <w:b/>
          <w:color w:val="003C71"/>
          <w:sz w:val="32"/>
          <w:szCs w:val="32"/>
        </w:rPr>
      </w:pPr>
    </w:p>
    <w:p w14:paraId="735AFF03" w14:textId="77777777" w:rsidR="0045441A" w:rsidRDefault="0045441A">
      <w:pPr>
        <w:rPr>
          <w:rFonts w:ascii="Tahoma" w:eastAsiaTheme="majorEastAsia" w:hAnsi="Tahoma" w:cs="Tahoma"/>
          <w:b/>
          <w:color w:val="003C71"/>
          <w:sz w:val="32"/>
          <w:szCs w:val="32"/>
        </w:rPr>
      </w:pPr>
      <w:r>
        <w:rPr>
          <w:rFonts w:ascii="Tahoma" w:hAnsi="Tahoma" w:cs="Tahoma"/>
          <w:b/>
          <w:color w:val="003C71"/>
        </w:rPr>
        <w:br w:type="page"/>
      </w:r>
    </w:p>
    <w:p w14:paraId="47A3C459" w14:textId="6F3C321A" w:rsidR="00B937BE" w:rsidRPr="0095305C" w:rsidRDefault="00B937BE" w:rsidP="00C059E5">
      <w:pPr>
        <w:pStyle w:val="Heading1"/>
        <w:rPr>
          <w:rFonts w:ascii="Tahoma" w:hAnsi="Tahoma" w:cs="Tahoma"/>
          <w:b/>
          <w:color w:val="003C71"/>
        </w:rPr>
      </w:pPr>
      <w:bookmarkStart w:id="12" w:name="_Toc57314059"/>
      <w:r w:rsidRPr="0095305C">
        <w:rPr>
          <w:rFonts w:ascii="Tahoma" w:hAnsi="Tahoma" w:cs="Tahoma"/>
          <w:b/>
          <w:color w:val="003C71"/>
        </w:rPr>
        <w:lastRenderedPageBreak/>
        <w:t>N1. Demand</w:t>
      </w:r>
      <w:bookmarkEnd w:id="12"/>
      <w:r w:rsidRPr="0095305C">
        <w:rPr>
          <w:rFonts w:ascii="Tahoma" w:hAnsi="Tahoma" w:cs="Tahoma"/>
          <w:b/>
          <w:color w:val="003C71"/>
        </w:rPr>
        <w:t xml:space="preserve"> </w:t>
      </w:r>
    </w:p>
    <w:p w14:paraId="70B06B36" w14:textId="2C622FFA" w:rsidR="00B937BE" w:rsidRDefault="00B937BE" w:rsidP="00C97516">
      <w:pPr>
        <w:pStyle w:val="Heading2"/>
        <w:rPr>
          <w:rFonts w:ascii="Tahoma" w:hAnsi="Tahoma" w:cs="Tahoma"/>
          <w:color w:val="003C71"/>
        </w:rPr>
      </w:pPr>
      <w:bookmarkStart w:id="13" w:name="_Toc57314060"/>
      <w:r w:rsidRPr="00C97516">
        <w:rPr>
          <w:rFonts w:ascii="Tahoma" w:hAnsi="Tahoma" w:cs="Tahoma"/>
          <w:color w:val="003C71"/>
        </w:rPr>
        <w:t>N1.1 – Demand – by Customer Type</w:t>
      </w:r>
      <w:bookmarkEnd w:id="13"/>
      <w:r w:rsidRPr="00C97516">
        <w:rPr>
          <w:rFonts w:ascii="Tahoma" w:hAnsi="Tahoma" w:cs="Tahoma"/>
          <w:color w:val="003C71"/>
        </w:rPr>
        <w:t xml:space="preserve"> </w:t>
      </w:r>
    </w:p>
    <w:tbl>
      <w:tblPr>
        <w:tblStyle w:val="UETableStyle"/>
        <w:tblW w:w="4885"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4"/>
        <w:gridCol w:w="4732"/>
        <w:gridCol w:w="2288"/>
        <w:gridCol w:w="2719"/>
        <w:gridCol w:w="1904"/>
      </w:tblGrid>
      <w:tr w:rsidR="00A37A7F" w:rsidRPr="00751816" w14:paraId="44B3DC1A" w14:textId="77777777" w:rsidTr="00A37A7F">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025B877B" w14:textId="77777777" w:rsidR="00A37A7F" w:rsidRPr="00751816" w:rsidRDefault="00A37A7F" w:rsidP="009A3E2E">
            <w:pPr>
              <w:rPr>
                <w:rFonts w:ascii="Tahoma" w:hAnsi="Tahoma" w:cs="Tahoma"/>
                <w:b/>
                <w:color w:val="FFFFFF"/>
                <w:sz w:val="20"/>
              </w:rPr>
            </w:pPr>
            <w:r w:rsidRPr="00751816">
              <w:rPr>
                <w:rFonts w:ascii="Tahoma" w:hAnsi="Tahoma" w:cs="Tahoma"/>
                <w:b/>
                <w:color w:val="FFFFFF"/>
                <w:sz w:val="20"/>
              </w:rPr>
              <w:t xml:space="preserve">Variable </w:t>
            </w:r>
          </w:p>
        </w:tc>
        <w:tc>
          <w:tcPr>
            <w:tcW w:w="1735" w:type="pct"/>
            <w:tcBorders>
              <w:bottom w:val="single" w:sz="4" w:space="0" w:color="00B0F0"/>
            </w:tcBorders>
            <w:shd w:val="clear" w:color="auto" w:fill="003C71"/>
          </w:tcPr>
          <w:p w14:paraId="0C693435" w14:textId="77777777" w:rsidR="00A37A7F" w:rsidRPr="00751816" w:rsidRDefault="00A37A7F"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9" w:type="pct"/>
            <w:tcBorders>
              <w:bottom w:val="single" w:sz="4" w:space="0" w:color="00B0F0"/>
            </w:tcBorders>
            <w:shd w:val="clear" w:color="auto" w:fill="003C71"/>
          </w:tcPr>
          <w:p w14:paraId="3B04836A" w14:textId="77777777" w:rsidR="00A37A7F" w:rsidRPr="00751816" w:rsidRDefault="00A37A7F"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7" w:type="pct"/>
            <w:tcBorders>
              <w:bottom w:val="single" w:sz="4" w:space="0" w:color="00B0F0"/>
            </w:tcBorders>
            <w:shd w:val="clear" w:color="auto" w:fill="003C71"/>
          </w:tcPr>
          <w:p w14:paraId="37323FC8" w14:textId="77777777" w:rsidR="00A37A7F" w:rsidRPr="00751816" w:rsidRDefault="00A37A7F"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98" w:type="pct"/>
            <w:tcBorders>
              <w:bottom w:val="single" w:sz="4" w:space="0" w:color="00B0F0"/>
            </w:tcBorders>
            <w:shd w:val="clear" w:color="auto" w:fill="003C71"/>
          </w:tcPr>
          <w:p w14:paraId="1DC5B4C0" w14:textId="77777777" w:rsidR="00A37A7F" w:rsidRPr="00751816" w:rsidRDefault="00A37A7F"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A37A7F" w:rsidRPr="00751816" w14:paraId="0FDB2AB2" w14:textId="77777777" w:rsidTr="00EA7CDA">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00A3E0"/>
            <w:vAlign w:val="center"/>
          </w:tcPr>
          <w:p w14:paraId="430FADAF" w14:textId="18946F94" w:rsidR="00A37A7F" w:rsidRPr="00C0205D" w:rsidRDefault="00DD6B14" w:rsidP="009A3E2E">
            <w:pPr>
              <w:spacing w:before="120" w:after="120" w:line="240" w:lineRule="atLeast"/>
              <w:contextualSpacing/>
              <w:rPr>
                <w:rFonts w:ascii="Tahoma" w:hAnsi="Tahoma" w:cs="Tahoma"/>
                <w:sz w:val="20"/>
              </w:rPr>
            </w:pPr>
            <w:r>
              <w:rPr>
                <w:rFonts w:ascii="Tahoma" w:hAnsi="Tahoma" w:cs="Tahoma"/>
                <w:sz w:val="20"/>
              </w:rPr>
              <w:t>2019/20</w:t>
            </w:r>
          </w:p>
        </w:tc>
        <w:tc>
          <w:tcPr>
            <w:tcW w:w="4269" w:type="pct"/>
            <w:gridSpan w:val="4"/>
            <w:tcBorders>
              <w:top w:val="single" w:sz="4" w:space="0" w:color="00B0F0"/>
              <w:bottom w:val="single" w:sz="4" w:space="0" w:color="00B0F0"/>
            </w:tcBorders>
            <w:shd w:val="clear" w:color="auto" w:fill="00A3E0"/>
            <w:vAlign w:val="center"/>
          </w:tcPr>
          <w:p w14:paraId="4B86DD0D" w14:textId="77777777" w:rsidR="00A37A7F" w:rsidRPr="00C0205D" w:rsidRDefault="00A37A7F"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A37A7F" w:rsidRPr="00751816" w14:paraId="1D1B37F0"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6601A283" w14:textId="77777777" w:rsidR="00A37A7F" w:rsidRDefault="00A37A7F" w:rsidP="009A3E2E">
            <w:pPr>
              <w:spacing w:before="120" w:after="120" w:line="240" w:lineRule="atLeast"/>
              <w:contextualSpacing/>
              <w:rPr>
                <w:rFonts w:ascii="Tahoma" w:hAnsi="Tahoma" w:cs="Tahoma"/>
                <w:sz w:val="20"/>
              </w:rPr>
            </w:pPr>
            <w:r>
              <w:rPr>
                <w:rFonts w:ascii="Tahoma" w:hAnsi="Tahoma" w:cs="Tahoma"/>
                <w:sz w:val="20"/>
              </w:rPr>
              <w:t xml:space="preserve">Residential </w:t>
            </w:r>
          </w:p>
        </w:tc>
        <w:tc>
          <w:tcPr>
            <w:tcW w:w="1735" w:type="pct"/>
            <w:tcBorders>
              <w:top w:val="single" w:sz="4" w:space="0" w:color="00B0F0"/>
              <w:bottom w:val="single" w:sz="4" w:space="0" w:color="00B0F0"/>
            </w:tcBorders>
            <w:vAlign w:val="center"/>
          </w:tcPr>
          <w:p w14:paraId="67C4701A" w14:textId="55ADE7D6" w:rsidR="00A37A7F" w:rsidRDefault="00A37A7F"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Demand data </w:t>
            </w:r>
            <w:r w:rsidR="00DA53C2">
              <w:rPr>
                <w:rFonts w:ascii="Tahoma" w:hAnsi="Tahoma" w:cs="Tahoma"/>
                <w:sz w:val="20"/>
              </w:rPr>
              <w:t>are</w:t>
            </w:r>
            <w:r>
              <w:rPr>
                <w:rFonts w:ascii="Tahoma" w:hAnsi="Tahoma" w:cs="Tahoma"/>
                <w:sz w:val="20"/>
              </w:rPr>
              <w:t xml:space="preserve"> sourced from the data files which </w:t>
            </w:r>
            <w:r w:rsidR="00103C59">
              <w:rPr>
                <w:rFonts w:ascii="Tahoma" w:hAnsi="Tahoma" w:cs="Tahoma"/>
                <w:sz w:val="20"/>
              </w:rPr>
              <w:t xml:space="preserve">are </w:t>
            </w:r>
            <w:r>
              <w:rPr>
                <w:rFonts w:ascii="Tahoma" w:hAnsi="Tahoma" w:cs="Tahoma"/>
                <w:sz w:val="20"/>
              </w:rPr>
              <w:t>used to populate the Gas Tariff Models submitted to the AER each year as part of the annual tariff submissions for South Australia.</w:t>
            </w:r>
            <w:r w:rsidR="00103C59">
              <w:rPr>
                <w:rFonts w:ascii="Tahoma" w:hAnsi="Tahoma" w:cs="Tahoma"/>
                <w:sz w:val="20"/>
              </w:rPr>
              <w:t xml:space="preserve"> Since the </w:t>
            </w:r>
            <w:r w:rsidR="00566A8A">
              <w:rPr>
                <w:rFonts w:ascii="Tahoma" w:hAnsi="Tahoma" w:cs="Tahoma"/>
                <w:sz w:val="20"/>
              </w:rPr>
              <w:t xml:space="preserve">proposed distribution </w:t>
            </w:r>
            <w:r w:rsidR="00103C59">
              <w:rPr>
                <w:rFonts w:ascii="Tahoma" w:hAnsi="Tahoma" w:cs="Tahoma"/>
                <w:sz w:val="20"/>
              </w:rPr>
              <w:t xml:space="preserve">tariffs for 2021/22 have not yet been submitted, the files have been prepared for the purposes of the RIN and will also be used for the </w:t>
            </w:r>
            <w:r w:rsidR="00EE05B8">
              <w:rPr>
                <w:rFonts w:ascii="Tahoma" w:hAnsi="Tahoma" w:cs="Tahoma"/>
                <w:sz w:val="20"/>
              </w:rPr>
              <w:t xml:space="preserve">2021/22 </w:t>
            </w:r>
            <w:r w:rsidR="00103C59">
              <w:rPr>
                <w:rFonts w:ascii="Tahoma" w:hAnsi="Tahoma" w:cs="Tahoma"/>
                <w:sz w:val="20"/>
              </w:rPr>
              <w:t>tariff submission.</w:t>
            </w:r>
          </w:p>
          <w:p w14:paraId="760D8097" w14:textId="77777777" w:rsidR="00A37A7F" w:rsidRDefault="00A37A7F"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F0B1750" w14:textId="52CD2491" w:rsidR="00A37A7F" w:rsidRDefault="00A37A7F"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In respect of the Industrial tariffs, M</w:t>
            </w:r>
            <w:r w:rsidR="009537D6">
              <w:rPr>
                <w:rFonts w:ascii="Tahoma" w:hAnsi="Tahoma" w:cs="Tahoma"/>
                <w:sz w:val="20"/>
              </w:rPr>
              <w:t xml:space="preserve">aximum </w:t>
            </w:r>
            <w:r>
              <w:rPr>
                <w:rFonts w:ascii="Tahoma" w:hAnsi="Tahoma" w:cs="Tahoma"/>
                <w:sz w:val="20"/>
              </w:rPr>
              <w:t>D</w:t>
            </w:r>
            <w:r w:rsidR="009537D6">
              <w:rPr>
                <w:rFonts w:ascii="Tahoma" w:hAnsi="Tahoma" w:cs="Tahoma"/>
                <w:sz w:val="20"/>
              </w:rPr>
              <w:t xml:space="preserve">aily </w:t>
            </w:r>
            <w:r>
              <w:rPr>
                <w:rFonts w:ascii="Tahoma" w:hAnsi="Tahoma" w:cs="Tahoma"/>
                <w:sz w:val="20"/>
              </w:rPr>
              <w:t>Q</w:t>
            </w:r>
            <w:r w:rsidR="009537D6">
              <w:rPr>
                <w:rFonts w:ascii="Tahoma" w:hAnsi="Tahoma" w:cs="Tahoma"/>
                <w:sz w:val="20"/>
              </w:rPr>
              <w:t>uantity (MDQ)</w:t>
            </w:r>
            <w:r>
              <w:rPr>
                <w:rFonts w:ascii="Tahoma" w:hAnsi="Tahoma" w:cs="Tahoma"/>
                <w:sz w:val="20"/>
              </w:rPr>
              <w:t xml:space="preserve"> is required to update the Gas Tariff Model template as part of the annual tariff update. The </w:t>
            </w:r>
            <w:r w:rsidRPr="008F5059">
              <w:rPr>
                <w:rFonts w:ascii="Tahoma" w:hAnsi="Tahoma" w:cs="Tahoma"/>
                <w:sz w:val="20"/>
              </w:rPr>
              <w:t>N1 Demand</w:t>
            </w:r>
            <w:r>
              <w:rPr>
                <w:rFonts w:ascii="Tahoma" w:hAnsi="Tahoma" w:cs="Tahoma"/>
                <w:sz w:val="20"/>
              </w:rPr>
              <w:t xml:space="preserve"> tab, containing tables N1.1 and N1.2, requires volumes in GJ rather than MDQ. The data file which contains the MDQ required for the annual tariff submission also contains Annual Consumed Quantity (ACQ) which expresses the consumption in GJ and by tariff, which is what </w:t>
            </w:r>
            <w:r w:rsidR="00EE05B8">
              <w:rPr>
                <w:rFonts w:ascii="Tahoma" w:hAnsi="Tahoma" w:cs="Tahoma"/>
                <w:sz w:val="20"/>
              </w:rPr>
              <w:t xml:space="preserve">N1 </w:t>
            </w:r>
            <w:r>
              <w:rPr>
                <w:rFonts w:ascii="Tahoma" w:hAnsi="Tahoma" w:cs="Tahoma"/>
                <w:sz w:val="20"/>
              </w:rPr>
              <w:t>tab requires.</w:t>
            </w:r>
          </w:p>
          <w:p w14:paraId="6DA351EF" w14:textId="5643BDB4" w:rsidR="00103C59" w:rsidRDefault="00103C59"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26BAED0" w14:textId="77777777" w:rsidR="00A37A7F" w:rsidRDefault="00A37A7F"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Table N1.1 aggregates the demand by tariff class contained in table N1.2.</w:t>
            </w:r>
          </w:p>
          <w:p w14:paraId="381E284C" w14:textId="77777777" w:rsidR="00A37A7F" w:rsidRDefault="00A37A7F"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AAAC600" w14:textId="77777777" w:rsidR="00A37A7F" w:rsidRDefault="00A37A7F"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Tariff R and Tariff C are split into a tariff excluding Tanunda (South Australia excluding Tanunda) and then the Tanunda tariff. The first natural gas was delivered to the Tanunda township in 2015/16.</w:t>
            </w:r>
          </w:p>
          <w:p w14:paraId="147ABE53" w14:textId="77777777" w:rsidR="00A37A7F" w:rsidRDefault="00A37A7F"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00C510C" w14:textId="0D705297" w:rsidR="00A37A7F" w:rsidRDefault="00A37A7F"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201</w:t>
            </w:r>
            <w:r w:rsidR="00103C59">
              <w:rPr>
                <w:rFonts w:ascii="Tahoma" w:hAnsi="Tahoma" w:cs="Tahoma"/>
                <w:sz w:val="20"/>
              </w:rPr>
              <w:t>9</w:t>
            </w:r>
            <w:r>
              <w:rPr>
                <w:rFonts w:ascii="Tahoma" w:hAnsi="Tahoma" w:cs="Tahoma"/>
                <w:sz w:val="20"/>
              </w:rPr>
              <w:t>/</w:t>
            </w:r>
            <w:r w:rsidR="00103C59">
              <w:rPr>
                <w:rFonts w:ascii="Tahoma" w:hAnsi="Tahoma" w:cs="Tahoma"/>
                <w:sz w:val="20"/>
              </w:rPr>
              <w:t>20</w:t>
            </w:r>
            <w:r>
              <w:rPr>
                <w:rFonts w:ascii="Tahoma" w:hAnsi="Tahoma" w:cs="Tahoma"/>
                <w:sz w:val="20"/>
              </w:rPr>
              <w:t xml:space="preserve"> has been sourced from the same systems, and the underlying report is in the same form, as the reports produced for the purposes of annual tariff adjustments, and is therefore equivalent to the files used to populate the other years in tables N1.1 and N1.2 which were used for annual tariff adjustments.</w:t>
            </w:r>
          </w:p>
          <w:p w14:paraId="038E1E5E" w14:textId="77777777" w:rsidR="00A37A7F" w:rsidRDefault="00A37A7F"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E2FA9ED" w14:textId="77777777" w:rsidR="00A37A7F" w:rsidRPr="00942BF3" w:rsidRDefault="00A37A7F"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u w:val="single"/>
              </w:rPr>
            </w:pPr>
            <w:r w:rsidRPr="00942BF3">
              <w:rPr>
                <w:rFonts w:ascii="Tahoma" w:hAnsi="Tahoma" w:cs="Tahoma"/>
                <w:sz w:val="20"/>
                <w:u w:val="single"/>
              </w:rPr>
              <w:t>Basis of Preparation Requirement</w:t>
            </w:r>
          </w:p>
          <w:p w14:paraId="0596E8A1" w14:textId="77777777" w:rsidR="00A37A7F" w:rsidRPr="00942BF3" w:rsidRDefault="00A37A7F"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u w:val="single"/>
              </w:rPr>
            </w:pPr>
            <w:r w:rsidRPr="00942BF3">
              <w:rPr>
                <w:rFonts w:ascii="Tahoma" w:hAnsi="Tahoma" w:cs="Tahoma"/>
                <w:sz w:val="20"/>
                <w:u w:val="single"/>
              </w:rPr>
              <w:t>Schedule 1 – 1.5 (c)</w:t>
            </w:r>
          </w:p>
          <w:p w14:paraId="200399B7" w14:textId="51BF0884" w:rsidR="008702DB" w:rsidRDefault="00103C59"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In 2019/20</w:t>
            </w:r>
            <w:r w:rsidR="00A37A7F">
              <w:rPr>
                <w:rFonts w:ascii="Tahoma" w:hAnsi="Tahoma" w:cs="Tahoma"/>
                <w:sz w:val="20"/>
              </w:rPr>
              <w:t xml:space="preserve">, Residential volumes exceeded the volumes approved in the PTRM </w:t>
            </w:r>
            <w:r w:rsidR="008702DB">
              <w:rPr>
                <w:rFonts w:ascii="Tahoma" w:hAnsi="Tahoma" w:cs="Tahoma"/>
                <w:sz w:val="20"/>
              </w:rPr>
              <w:t>by more than 10%</w:t>
            </w:r>
            <w:r w:rsidR="00A37A7F">
              <w:rPr>
                <w:rFonts w:ascii="Tahoma" w:hAnsi="Tahoma" w:cs="Tahoma"/>
                <w:sz w:val="20"/>
              </w:rPr>
              <w:t xml:space="preserve">. </w:t>
            </w:r>
          </w:p>
          <w:p w14:paraId="6099BBFE" w14:textId="77777777" w:rsidR="008702DB" w:rsidRDefault="008702DB"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0A2802B" w14:textId="77777777" w:rsidR="00AC7F34" w:rsidRDefault="00AC7F34" w:rsidP="00AC7F3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This was a result of higher consumption and stronger connections growth than forecast. 2019/20 was also colder than the five-year average (i.e. there were 1,084 Effective Degree Days compared with the average of 1,009) which increases space heating consumption.</w:t>
            </w:r>
          </w:p>
          <w:p w14:paraId="548E9A0E" w14:textId="77777777" w:rsidR="00A37A7F" w:rsidRDefault="00A37A7F"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DB8F40F" w14:textId="24C784F9" w:rsidR="00A37A7F" w:rsidRDefault="00A37A7F"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B352DA">
              <w:rPr>
                <w:rFonts w:ascii="Tahoma" w:hAnsi="Tahoma" w:cs="Tahoma"/>
                <w:sz w:val="20"/>
              </w:rPr>
              <w:t xml:space="preserve">The table </w:t>
            </w:r>
            <w:r w:rsidR="009D5D31">
              <w:rPr>
                <w:rFonts w:ascii="Tahoma" w:hAnsi="Tahoma" w:cs="Tahoma"/>
                <w:sz w:val="20"/>
              </w:rPr>
              <w:t xml:space="preserve">below </w:t>
            </w:r>
            <w:r w:rsidR="00103C59">
              <w:rPr>
                <w:rFonts w:ascii="Tahoma" w:hAnsi="Tahoma" w:cs="Tahoma"/>
                <w:sz w:val="20"/>
              </w:rPr>
              <w:t xml:space="preserve">shows a comparison of demand in 2019/20 and the </w:t>
            </w:r>
            <w:r w:rsidRPr="00B352DA">
              <w:rPr>
                <w:rFonts w:ascii="Tahoma" w:hAnsi="Tahoma" w:cs="Tahoma"/>
                <w:sz w:val="20"/>
              </w:rPr>
              <w:t xml:space="preserve">volumes approved in the final decision PTRM for the relevant year: </w:t>
            </w:r>
          </w:p>
          <w:p w14:paraId="4C9CB3F5" w14:textId="0558983C" w:rsidR="00103C59" w:rsidRDefault="00103C59"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B77CFA5" w14:textId="52019091" w:rsidR="00A37A7F" w:rsidRDefault="00103C59"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03C59">
              <w:rPr>
                <w:rFonts w:ascii="Tahoma" w:hAnsi="Tahoma" w:cs="Tahoma"/>
                <w:noProof/>
                <w:sz w:val="20"/>
              </w:rPr>
              <w:drawing>
                <wp:inline distT="0" distB="0" distL="0" distR="0" wp14:anchorId="448C1631" wp14:editId="78DCC7DE">
                  <wp:extent cx="2933700"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3700" cy="514350"/>
                          </a:xfrm>
                          <a:prstGeom prst="rect">
                            <a:avLst/>
                          </a:prstGeom>
                          <a:noFill/>
                          <a:ln>
                            <a:noFill/>
                          </a:ln>
                        </pic:spPr>
                      </pic:pic>
                    </a:graphicData>
                  </a:graphic>
                </wp:inline>
              </w:drawing>
            </w:r>
          </w:p>
          <w:p w14:paraId="3C239E75" w14:textId="77777777" w:rsidR="00A37A7F" w:rsidRPr="00751816" w:rsidRDefault="00A37A7F"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39" w:type="pct"/>
            <w:tcBorders>
              <w:top w:val="single" w:sz="4" w:space="0" w:color="00B0F0"/>
              <w:bottom w:val="single" w:sz="4" w:space="0" w:color="00B0F0"/>
            </w:tcBorders>
            <w:vAlign w:val="center"/>
          </w:tcPr>
          <w:p w14:paraId="3D82C366" w14:textId="77777777" w:rsidR="00A37A7F" w:rsidRPr="00751816" w:rsidRDefault="00A37A7F"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997" w:type="pct"/>
            <w:tcBorders>
              <w:top w:val="single" w:sz="4" w:space="0" w:color="00B0F0"/>
              <w:bottom w:val="single" w:sz="4" w:space="0" w:color="00B0F0"/>
            </w:tcBorders>
            <w:vAlign w:val="center"/>
          </w:tcPr>
          <w:p w14:paraId="5C8EF22D" w14:textId="6CAE706D" w:rsidR="00A37A7F" w:rsidRPr="00751816" w:rsidRDefault="00A37A7F"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72ED852E" w14:textId="04F601C4" w:rsidR="00A37A7F" w:rsidRPr="00751816" w:rsidRDefault="00A37A7F"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F73AD7" w:rsidRPr="00751816" w14:paraId="3A3211B7"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383DC057" w14:textId="77777777" w:rsidR="00F73AD7" w:rsidRDefault="00F73AD7" w:rsidP="00F73AD7">
            <w:pPr>
              <w:spacing w:before="120" w:after="120" w:line="240" w:lineRule="atLeast"/>
              <w:contextualSpacing/>
              <w:rPr>
                <w:rFonts w:ascii="Tahoma" w:hAnsi="Tahoma" w:cs="Tahoma"/>
                <w:sz w:val="20"/>
              </w:rPr>
            </w:pPr>
            <w:r>
              <w:rPr>
                <w:rFonts w:ascii="Tahoma" w:hAnsi="Tahoma" w:cs="Tahoma"/>
                <w:sz w:val="20"/>
              </w:rPr>
              <w:t xml:space="preserve">Commercial </w:t>
            </w:r>
          </w:p>
        </w:tc>
        <w:tc>
          <w:tcPr>
            <w:tcW w:w="1735" w:type="pct"/>
            <w:tcBorders>
              <w:top w:val="single" w:sz="4" w:space="0" w:color="00B0F0"/>
              <w:bottom w:val="single" w:sz="4" w:space="0" w:color="00B0F0"/>
            </w:tcBorders>
            <w:vAlign w:val="center"/>
          </w:tcPr>
          <w:p w14:paraId="6BC14011" w14:textId="36583D99" w:rsidR="00AC7F34" w:rsidRPr="00AC7F34" w:rsidRDefault="00AC7F34" w:rsidP="00AC7F3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AC7F34">
              <w:rPr>
                <w:rFonts w:ascii="Tahoma" w:hAnsi="Tahoma" w:cs="Tahoma"/>
                <w:sz w:val="20"/>
              </w:rPr>
              <w:t xml:space="preserve">Demand data </w:t>
            </w:r>
            <w:r w:rsidR="00DA53C2">
              <w:rPr>
                <w:rFonts w:ascii="Tahoma" w:hAnsi="Tahoma" w:cs="Tahoma"/>
                <w:sz w:val="20"/>
              </w:rPr>
              <w:t xml:space="preserve">are </w:t>
            </w:r>
            <w:r w:rsidRPr="00AC7F34">
              <w:rPr>
                <w:rFonts w:ascii="Tahoma" w:hAnsi="Tahoma" w:cs="Tahoma"/>
                <w:sz w:val="20"/>
              </w:rPr>
              <w:t xml:space="preserve">sourced from the data files which are used to populate the Gas Tariff Models submitted to the AER each year as part of the annual tariff submissions for South Australia. Since </w:t>
            </w:r>
            <w:r w:rsidRPr="00AC7F34">
              <w:rPr>
                <w:rFonts w:ascii="Tahoma" w:hAnsi="Tahoma" w:cs="Tahoma"/>
                <w:sz w:val="20"/>
              </w:rPr>
              <w:lastRenderedPageBreak/>
              <w:t xml:space="preserve">the </w:t>
            </w:r>
            <w:r w:rsidR="009537D6">
              <w:rPr>
                <w:rFonts w:ascii="Tahoma" w:hAnsi="Tahoma" w:cs="Tahoma"/>
                <w:sz w:val="20"/>
              </w:rPr>
              <w:t xml:space="preserve">proposed distribution </w:t>
            </w:r>
            <w:r w:rsidRPr="00AC7F34">
              <w:rPr>
                <w:rFonts w:ascii="Tahoma" w:hAnsi="Tahoma" w:cs="Tahoma"/>
                <w:sz w:val="20"/>
              </w:rPr>
              <w:t>tariffs for 2021/22 have not yet been submitted, the files have been prepared for the purposes of the RIN and will also be used for the 2021/22 tariff submission.</w:t>
            </w:r>
          </w:p>
          <w:p w14:paraId="6FC3C449" w14:textId="77777777" w:rsidR="00AC7F34" w:rsidRPr="00AC7F34" w:rsidRDefault="00AC7F34" w:rsidP="00AC7F3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44E04F4" w14:textId="77777777" w:rsidR="00AC7F34" w:rsidRPr="00AC7F34" w:rsidRDefault="00AC7F34" w:rsidP="00AC7F3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AC7F34">
              <w:rPr>
                <w:rFonts w:ascii="Tahoma" w:hAnsi="Tahoma" w:cs="Tahoma"/>
                <w:sz w:val="20"/>
              </w:rPr>
              <w:t>In respect of the Industrial tariffs, MDQ is required to update the Gas Tariff Model template as part of the annual tariff update. The N1 Demand tab, containing tables N1.1 and N1.2, requires volumes in GJ rather than MDQ. The data file which contains the MDQ required for the annual tariff submission also contains Annual Consumed Quantity (ACQ) which expresses the consumption in GJ and by tariff, which is what N1 tab requires.</w:t>
            </w:r>
          </w:p>
          <w:p w14:paraId="0020D5CB" w14:textId="77777777" w:rsidR="00AC7F34" w:rsidRPr="00AC7F34" w:rsidRDefault="00AC7F34" w:rsidP="00AC7F3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6B6755C" w14:textId="77777777" w:rsidR="00AC7F34" w:rsidRPr="00AC7F34" w:rsidRDefault="00AC7F34" w:rsidP="00AC7F3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AC7F34">
              <w:rPr>
                <w:rFonts w:ascii="Tahoma" w:hAnsi="Tahoma" w:cs="Tahoma"/>
                <w:sz w:val="20"/>
              </w:rPr>
              <w:t>Table N1.1 aggregates the demand by tariff class contained in table N1.2.</w:t>
            </w:r>
          </w:p>
          <w:p w14:paraId="20C10F23" w14:textId="77777777" w:rsidR="00AC7F34" w:rsidRPr="00AC7F34" w:rsidRDefault="00AC7F34" w:rsidP="00AC7F3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96E62DC" w14:textId="77777777" w:rsidR="00AC7F34" w:rsidRPr="00AC7F34" w:rsidRDefault="00AC7F34" w:rsidP="00AC7F3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AC7F34">
              <w:rPr>
                <w:rFonts w:ascii="Tahoma" w:hAnsi="Tahoma" w:cs="Tahoma"/>
                <w:sz w:val="20"/>
              </w:rPr>
              <w:t>Tariff R and Tariff C are split into a tariff excluding Tanunda (South Australia excluding Tanunda) and then the Tanunda tariff. The first natural gas was delivered to the Tanunda township in 2015/16.</w:t>
            </w:r>
          </w:p>
          <w:p w14:paraId="0AD36283" w14:textId="77777777" w:rsidR="00AC7F34" w:rsidRPr="00AC7F34" w:rsidRDefault="00AC7F34" w:rsidP="00AC7F3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1C0AF21" w14:textId="15B3C28D" w:rsidR="00F73AD7" w:rsidRDefault="00AC7F34" w:rsidP="00AC7F3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AC7F34">
              <w:rPr>
                <w:rFonts w:ascii="Tahoma" w:hAnsi="Tahoma" w:cs="Tahoma"/>
                <w:sz w:val="20"/>
              </w:rPr>
              <w:t>2019/20 has been sourced from the same systems, and the underlying report is in the same form, as the reports produced for the purposes of annual tariff adjustments, and is therefore equivalent to the files used to populate the other years in tables N1.1 and N1.2 which were used for annual tariff adjustments.</w:t>
            </w:r>
          </w:p>
          <w:p w14:paraId="2C3B5EA9" w14:textId="77777777" w:rsidR="00AC7F34" w:rsidRDefault="00AC7F34" w:rsidP="00AC7F3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065A79A" w14:textId="77777777" w:rsidR="00AC7F34" w:rsidRDefault="00AC7F34" w:rsidP="00F73AD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u w:val="single"/>
              </w:rPr>
            </w:pPr>
          </w:p>
          <w:p w14:paraId="0A069321" w14:textId="77777777" w:rsidR="00AC7F34" w:rsidRDefault="00AC7F34" w:rsidP="00F73AD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u w:val="single"/>
              </w:rPr>
            </w:pPr>
          </w:p>
          <w:p w14:paraId="080B7D1A" w14:textId="4B649E13" w:rsidR="00F73AD7" w:rsidRPr="00942BF3" w:rsidRDefault="00F73AD7" w:rsidP="00F73AD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u w:val="single"/>
              </w:rPr>
            </w:pPr>
            <w:r w:rsidRPr="00942BF3">
              <w:rPr>
                <w:rFonts w:ascii="Tahoma" w:hAnsi="Tahoma" w:cs="Tahoma"/>
                <w:sz w:val="20"/>
                <w:u w:val="single"/>
              </w:rPr>
              <w:lastRenderedPageBreak/>
              <w:t>Basis of Preparation Requirement</w:t>
            </w:r>
          </w:p>
          <w:p w14:paraId="3BCB0884" w14:textId="77777777" w:rsidR="00F73AD7" w:rsidRPr="00942BF3" w:rsidRDefault="00F73AD7" w:rsidP="00F73AD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u w:val="single"/>
              </w:rPr>
            </w:pPr>
            <w:r w:rsidRPr="00942BF3">
              <w:rPr>
                <w:rFonts w:ascii="Tahoma" w:hAnsi="Tahoma" w:cs="Tahoma"/>
                <w:sz w:val="20"/>
                <w:u w:val="single"/>
              </w:rPr>
              <w:t>Schedule 1 – 1.5 (c)</w:t>
            </w:r>
          </w:p>
          <w:p w14:paraId="77128106" w14:textId="2D6D61B8" w:rsidR="00F73AD7" w:rsidRDefault="00F73AD7" w:rsidP="00F73AD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In 2019/20, </w:t>
            </w:r>
            <w:r w:rsidR="009D5D31">
              <w:rPr>
                <w:rFonts w:ascii="Tahoma" w:hAnsi="Tahoma" w:cs="Tahoma"/>
                <w:sz w:val="20"/>
              </w:rPr>
              <w:t xml:space="preserve">Commercial </w:t>
            </w:r>
            <w:r>
              <w:rPr>
                <w:rFonts w:ascii="Tahoma" w:hAnsi="Tahoma" w:cs="Tahoma"/>
                <w:sz w:val="20"/>
              </w:rPr>
              <w:t xml:space="preserve">volumes exceeded the volumes approved in the PTRM by more than 10%. </w:t>
            </w:r>
          </w:p>
          <w:p w14:paraId="1BECB18D" w14:textId="77777777" w:rsidR="00F73AD7" w:rsidRDefault="00F73AD7" w:rsidP="00F73AD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CC50C15" w14:textId="25649271" w:rsidR="00B87B25" w:rsidRDefault="00B87B25" w:rsidP="00B87B25">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This was a result of higher consumption and stronger connections growth than forecast. 2019/20 was also colder than the five-year average (i.e. there were 1,084 Effective Degree Days compared with the average of 1,009) which </w:t>
            </w:r>
            <w:r w:rsidR="00AC7F34">
              <w:rPr>
                <w:rFonts w:ascii="Tahoma" w:hAnsi="Tahoma" w:cs="Tahoma"/>
                <w:sz w:val="20"/>
              </w:rPr>
              <w:t xml:space="preserve">increases space heating </w:t>
            </w:r>
            <w:r>
              <w:rPr>
                <w:rFonts w:ascii="Tahoma" w:hAnsi="Tahoma" w:cs="Tahoma"/>
                <w:sz w:val="20"/>
              </w:rPr>
              <w:t>consumption.</w:t>
            </w:r>
          </w:p>
          <w:p w14:paraId="1F66C9EE" w14:textId="77777777" w:rsidR="00B87B25" w:rsidRDefault="00B87B25" w:rsidP="00B87B25">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98B7625" w14:textId="77777777" w:rsidR="00F73AD7" w:rsidRDefault="00F73AD7" w:rsidP="00F73AD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B352DA">
              <w:rPr>
                <w:rFonts w:ascii="Tahoma" w:hAnsi="Tahoma" w:cs="Tahoma"/>
                <w:sz w:val="20"/>
              </w:rPr>
              <w:t xml:space="preserve">The table </w:t>
            </w:r>
            <w:r>
              <w:rPr>
                <w:rFonts w:ascii="Tahoma" w:hAnsi="Tahoma" w:cs="Tahoma"/>
                <w:sz w:val="20"/>
              </w:rPr>
              <w:t xml:space="preserve">shows a comparison of demand in 2019/20 and the </w:t>
            </w:r>
            <w:r w:rsidRPr="00B352DA">
              <w:rPr>
                <w:rFonts w:ascii="Tahoma" w:hAnsi="Tahoma" w:cs="Tahoma"/>
                <w:sz w:val="20"/>
              </w:rPr>
              <w:t xml:space="preserve">volumes approved in the final decision PTRM for the relevant year: </w:t>
            </w:r>
          </w:p>
          <w:p w14:paraId="56405616" w14:textId="77777777" w:rsidR="00F73AD7" w:rsidRDefault="00F73AD7" w:rsidP="00F73AD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9205C0F" w14:textId="3928EB8C" w:rsidR="00F73AD7" w:rsidRPr="00751816" w:rsidRDefault="009D5D31" w:rsidP="00F73AD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D5D31">
              <w:rPr>
                <w:rFonts w:ascii="Tahoma" w:hAnsi="Tahoma" w:cs="Tahoma"/>
                <w:noProof/>
                <w:sz w:val="20"/>
              </w:rPr>
              <w:drawing>
                <wp:inline distT="0" distB="0" distL="0" distR="0" wp14:anchorId="556DBAAE" wp14:editId="1AE49673">
                  <wp:extent cx="2933700" cy="514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3700" cy="514350"/>
                          </a:xfrm>
                          <a:prstGeom prst="rect">
                            <a:avLst/>
                          </a:prstGeom>
                          <a:noFill/>
                          <a:ln>
                            <a:noFill/>
                          </a:ln>
                        </pic:spPr>
                      </pic:pic>
                    </a:graphicData>
                  </a:graphic>
                </wp:inline>
              </w:drawing>
            </w:r>
          </w:p>
        </w:tc>
        <w:tc>
          <w:tcPr>
            <w:tcW w:w="839" w:type="pct"/>
            <w:tcBorders>
              <w:top w:val="single" w:sz="4" w:space="0" w:color="00B0F0"/>
              <w:bottom w:val="single" w:sz="4" w:space="0" w:color="00B0F0"/>
            </w:tcBorders>
            <w:vAlign w:val="center"/>
          </w:tcPr>
          <w:p w14:paraId="59786C09" w14:textId="77777777" w:rsidR="00F73AD7" w:rsidRPr="00751816" w:rsidRDefault="00F73AD7"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997" w:type="pct"/>
            <w:tcBorders>
              <w:top w:val="single" w:sz="4" w:space="0" w:color="00B0F0"/>
              <w:bottom w:val="single" w:sz="4" w:space="0" w:color="00B0F0"/>
            </w:tcBorders>
            <w:vAlign w:val="center"/>
          </w:tcPr>
          <w:p w14:paraId="7BD58522" w14:textId="48FD68F7" w:rsidR="00F73AD7" w:rsidRPr="00751816" w:rsidRDefault="00F73AD7" w:rsidP="00F73AD7">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496170D2" w14:textId="7539E46F" w:rsidR="00F73AD7" w:rsidRPr="00751816" w:rsidRDefault="00F73AD7" w:rsidP="00F73AD7">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F73AD7" w:rsidRPr="00751816" w14:paraId="22A29BC1"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2DDE62C3" w14:textId="77777777" w:rsidR="00F73AD7" w:rsidRDefault="00F73AD7" w:rsidP="00F73AD7">
            <w:pPr>
              <w:spacing w:before="120" w:after="120" w:line="240" w:lineRule="atLeast"/>
              <w:contextualSpacing/>
              <w:rPr>
                <w:rFonts w:ascii="Tahoma" w:hAnsi="Tahoma" w:cs="Tahoma"/>
                <w:sz w:val="20"/>
              </w:rPr>
            </w:pPr>
            <w:r>
              <w:rPr>
                <w:rFonts w:ascii="Tahoma" w:hAnsi="Tahoma" w:cs="Tahoma"/>
                <w:sz w:val="20"/>
              </w:rPr>
              <w:lastRenderedPageBreak/>
              <w:t xml:space="preserve">Industrial </w:t>
            </w:r>
          </w:p>
        </w:tc>
        <w:tc>
          <w:tcPr>
            <w:tcW w:w="1735" w:type="pct"/>
            <w:tcBorders>
              <w:top w:val="single" w:sz="4" w:space="0" w:color="00B0F0"/>
              <w:bottom w:val="single" w:sz="4" w:space="0" w:color="00B0F0"/>
            </w:tcBorders>
            <w:vAlign w:val="center"/>
          </w:tcPr>
          <w:p w14:paraId="00876853" w14:textId="5F201938" w:rsidR="003C5D39" w:rsidRPr="003C5D39" w:rsidRDefault="003C5D39" w:rsidP="003C5D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C5D39">
              <w:rPr>
                <w:rFonts w:ascii="Tahoma" w:hAnsi="Tahoma" w:cs="Tahoma"/>
                <w:sz w:val="20"/>
              </w:rPr>
              <w:t xml:space="preserve">Demand data </w:t>
            </w:r>
            <w:r w:rsidR="00DA53C2">
              <w:rPr>
                <w:rFonts w:ascii="Tahoma" w:hAnsi="Tahoma" w:cs="Tahoma"/>
                <w:sz w:val="20"/>
              </w:rPr>
              <w:t xml:space="preserve">are </w:t>
            </w:r>
            <w:r w:rsidRPr="003C5D39">
              <w:rPr>
                <w:rFonts w:ascii="Tahoma" w:hAnsi="Tahoma" w:cs="Tahoma"/>
                <w:sz w:val="20"/>
              </w:rPr>
              <w:t xml:space="preserve">sourced from the data files which are used to populate the Gas Tariff Models submitted to the AER each year as part of the annual tariff submissions for South Australia. Since the </w:t>
            </w:r>
            <w:r w:rsidR="009537D6">
              <w:rPr>
                <w:rFonts w:ascii="Tahoma" w:hAnsi="Tahoma" w:cs="Tahoma"/>
                <w:sz w:val="20"/>
              </w:rPr>
              <w:t xml:space="preserve">proposed distribution </w:t>
            </w:r>
            <w:r w:rsidRPr="003C5D39">
              <w:rPr>
                <w:rFonts w:ascii="Tahoma" w:hAnsi="Tahoma" w:cs="Tahoma"/>
                <w:sz w:val="20"/>
              </w:rPr>
              <w:t>tariffs for 2021/22 have not yet been submitted, the files have been prepared for the purposes of the RIN and will also be used for the 2021/22 tariff submission.</w:t>
            </w:r>
          </w:p>
          <w:p w14:paraId="65B9E170" w14:textId="77777777" w:rsidR="003C5D39" w:rsidRPr="003C5D39" w:rsidRDefault="003C5D39" w:rsidP="003C5D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70A62C0" w14:textId="77777777" w:rsidR="003C5D39" w:rsidRPr="003C5D39" w:rsidRDefault="003C5D39" w:rsidP="003C5D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C5D39">
              <w:rPr>
                <w:rFonts w:ascii="Tahoma" w:hAnsi="Tahoma" w:cs="Tahoma"/>
                <w:sz w:val="20"/>
              </w:rPr>
              <w:t xml:space="preserve">In respect of the Industrial tariffs, MDQ is required to update the Gas Tariff Model template as part of the annual tariff update. The N1 Demand tab, containing tables N1.1 and N1.2, requires volumes </w:t>
            </w:r>
            <w:r w:rsidRPr="003C5D39">
              <w:rPr>
                <w:rFonts w:ascii="Tahoma" w:hAnsi="Tahoma" w:cs="Tahoma"/>
                <w:sz w:val="20"/>
              </w:rPr>
              <w:lastRenderedPageBreak/>
              <w:t>in GJ rather than MDQ. The data file which contains the MDQ required for the annual tariff submission also contains Annual Consumed Quantity (ACQ) which expresses the consumption in GJ and by tariff, which is what N1 tab requires.</w:t>
            </w:r>
          </w:p>
          <w:p w14:paraId="547B359E" w14:textId="77777777" w:rsidR="003C5D39" w:rsidRPr="003C5D39" w:rsidRDefault="003C5D39" w:rsidP="003C5D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5C4CE62" w14:textId="77777777" w:rsidR="003C5D39" w:rsidRPr="003C5D39" w:rsidRDefault="003C5D39" w:rsidP="003C5D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C5D39">
              <w:rPr>
                <w:rFonts w:ascii="Tahoma" w:hAnsi="Tahoma" w:cs="Tahoma"/>
                <w:sz w:val="20"/>
              </w:rPr>
              <w:t>Table N1.1 aggregates the demand by tariff class contained in table N1.2.</w:t>
            </w:r>
          </w:p>
          <w:p w14:paraId="3A2E533A" w14:textId="77777777" w:rsidR="003C5D39" w:rsidRPr="003C5D39" w:rsidRDefault="003C5D39" w:rsidP="003C5D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E3BB8CE" w14:textId="77777777" w:rsidR="003C5D39" w:rsidRPr="003C5D39" w:rsidRDefault="003C5D39" w:rsidP="003C5D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C5D39">
              <w:rPr>
                <w:rFonts w:ascii="Tahoma" w:hAnsi="Tahoma" w:cs="Tahoma"/>
                <w:sz w:val="20"/>
              </w:rPr>
              <w:t>Tariff R and Tariff C are split into a tariff excluding Tanunda (South Australia excluding Tanunda) and then the Tanunda tariff. The first natural gas was delivered to the Tanunda township in 2015/16.</w:t>
            </w:r>
          </w:p>
          <w:p w14:paraId="742D7D6A" w14:textId="77777777" w:rsidR="003C5D39" w:rsidRPr="003C5D39" w:rsidRDefault="003C5D39" w:rsidP="003C5D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19E0AA9" w14:textId="2D3606F9" w:rsidR="00F73AD7" w:rsidRPr="00751816" w:rsidRDefault="003C5D39" w:rsidP="00F73AD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C5D39">
              <w:rPr>
                <w:rFonts w:ascii="Tahoma" w:hAnsi="Tahoma" w:cs="Tahoma"/>
                <w:sz w:val="20"/>
              </w:rPr>
              <w:t>2019/20 has been sourced from the same systems, and the underlying report is in the same form, as the reports produced for the purposes of annual tariff adjustments, and is therefore equivalent to the files used to populate the other years in tables N1.1 and N1.2 which were used for annual tariff adjustments.</w:t>
            </w:r>
          </w:p>
        </w:tc>
        <w:tc>
          <w:tcPr>
            <w:tcW w:w="839" w:type="pct"/>
            <w:tcBorders>
              <w:top w:val="single" w:sz="4" w:space="0" w:color="00B0F0"/>
              <w:bottom w:val="single" w:sz="4" w:space="0" w:color="00B0F0"/>
            </w:tcBorders>
            <w:vAlign w:val="center"/>
          </w:tcPr>
          <w:p w14:paraId="770BA173" w14:textId="77777777" w:rsidR="00F73AD7" w:rsidRPr="00751816" w:rsidRDefault="00F73AD7"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997" w:type="pct"/>
            <w:tcBorders>
              <w:top w:val="single" w:sz="4" w:space="0" w:color="00B0F0"/>
              <w:bottom w:val="single" w:sz="4" w:space="0" w:color="00B0F0"/>
            </w:tcBorders>
            <w:vAlign w:val="center"/>
          </w:tcPr>
          <w:p w14:paraId="143DB17D" w14:textId="21DB69EB" w:rsidR="00F73AD7" w:rsidRPr="00751816" w:rsidRDefault="00F73AD7" w:rsidP="00F73AD7">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1DCED3DE" w14:textId="330354DD" w:rsidR="00F73AD7" w:rsidRPr="00751816" w:rsidRDefault="00F73AD7" w:rsidP="00F73AD7">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02AEB851" w14:textId="4DC0D7A5" w:rsidR="00A751D4" w:rsidRDefault="00A751D4" w:rsidP="00A751D4"/>
    <w:p w14:paraId="7A1DA21D" w14:textId="612DA4EA" w:rsidR="00F70928" w:rsidRDefault="00F70928" w:rsidP="00A751D4"/>
    <w:p w14:paraId="2F1C9819" w14:textId="77777777" w:rsidR="00F70928" w:rsidRPr="00A751D4" w:rsidRDefault="00F70928" w:rsidP="00A751D4"/>
    <w:p w14:paraId="7C9DE475" w14:textId="77777777" w:rsidR="009D2068" w:rsidRDefault="009D2068">
      <w:pPr>
        <w:rPr>
          <w:rFonts w:ascii="Tahoma" w:eastAsiaTheme="majorEastAsia" w:hAnsi="Tahoma" w:cs="Tahoma"/>
          <w:color w:val="003C71"/>
          <w:sz w:val="26"/>
          <w:szCs w:val="26"/>
        </w:rPr>
      </w:pPr>
      <w:r>
        <w:rPr>
          <w:rFonts w:ascii="Tahoma" w:hAnsi="Tahoma" w:cs="Tahoma"/>
          <w:color w:val="003C71"/>
        </w:rPr>
        <w:br w:type="page"/>
      </w:r>
    </w:p>
    <w:p w14:paraId="3B0DF180" w14:textId="4B865CAB" w:rsidR="00B937BE" w:rsidRDefault="00B937BE" w:rsidP="00C97516">
      <w:pPr>
        <w:pStyle w:val="Heading2"/>
        <w:rPr>
          <w:rFonts w:ascii="Tahoma" w:hAnsi="Tahoma" w:cs="Tahoma"/>
          <w:color w:val="003C71"/>
        </w:rPr>
      </w:pPr>
      <w:bookmarkStart w:id="14" w:name="_Toc57314061"/>
      <w:r w:rsidRPr="00C97516">
        <w:rPr>
          <w:rFonts w:ascii="Tahoma" w:hAnsi="Tahoma" w:cs="Tahoma"/>
          <w:color w:val="003C71"/>
        </w:rPr>
        <w:lastRenderedPageBreak/>
        <w:t>N1.2 – Demand – by Tariff</w:t>
      </w:r>
      <w:bookmarkEnd w:id="14"/>
      <w:r w:rsidRPr="00C97516">
        <w:rPr>
          <w:rFonts w:ascii="Tahoma" w:hAnsi="Tahoma" w:cs="Tahoma"/>
          <w:color w:val="003C71"/>
        </w:rPr>
        <w:t xml:space="preserve"> </w:t>
      </w:r>
    </w:p>
    <w:tbl>
      <w:tblPr>
        <w:tblStyle w:val="UETableStyle"/>
        <w:tblW w:w="4889" w:type="pct"/>
        <w:tblInd w:w="-2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6"/>
        <w:gridCol w:w="4736"/>
        <w:gridCol w:w="2290"/>
        <w:gridCol w:w="2721"/>
        <w:gridCol w:w="1905"/>
      </w:tblGrid>
      <w:tr w:rsidR="00A37A7F" w:rsidRPr="00751816" w14:paraId="104540AE" w14:textId="77777777" w:rsidTr="00A37A7F">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3356DB5D" w14:textId="77777777" w:rsidR="00A37A7F" w:rsidRPr="00751816" w:rsidRDefault="00A37A7F" w:rsidP="009A3E2E">
            <w:pPr>
              <w:rPr>
                <w:rFonts w:ascii="Tahoma" w:hAnsi="Tahoma" w:cs="Tahoma"/>
                <w:b/>
                <w:color w:val="FFFFFF"/>
                <w:sz w:val="20"/>
              </w:rPr>
            </w:pPr>
            <w:r w:rsidRPr="00751816">
              <w:rPr>
                <w:rFonts w:ascii="Tahoma" w:hAnsi="Tahoma" w:cs="Tahoma"/>
                <w:b/>
                <w:color w:val="FFFFFF"/>
                <w:sz w:val="20"/>
              </w:rPr>
              <w:t xml:space="preserve">Variable </w:t>
            </w:r>
          </w:p>
        </w:tc>
        <w:tc>
          <w:tcPr>
            <w:tcW w:w="1735" w:type="pct"/>
            <w:tcBorders>
              <w:bottom w:val="single" w:sz="4" w:space="0" w:color="00B0F0"/>
            </w:tcBorders>
            <w:shd w:val="clear" w:color="auto" w:fill="003C71"/>
          </w:tcPr>
          <w:p w14:paraId="262A3B41" w14:textId="77777777" w:rsidR="00A37A7F" w:rsidRPr="00751816" w:rsidRDefault="00A37A7F"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9" w:type="pct"/>
            <w:tcBorders>
              <w:bottom w:val="single" w:sz="4" w:space="0" w:color="00B0F0"/>
            </w:tcBorders>
            <w:shd w:val="clear" w:color="auto" w:fill="003C71"/>
          </w:tcPr>
          <w:p w14:paraId="3D2FF67E" w14:textId="77777777" w:rsidR="00A37A7F" w:rsidRPr="00751816" w:rsidRDefault="00A37A7F"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7" w:type="pct"/>
            <w:tcBorders>
              <w:bottom w:val="single" w:sz="4" w:space="0" w:color="00B0F0"/>
            </w:tcBorders>
            <w:shd w:val="clear" w:color="auto" w:fill="003C71"/>
          </w:tcPr>
          <w:p w14:paraId="74101D5B" w14:textId="77777777" w:rsidR="00A37A7F" w:rsidRPr="00751816" w:rsidRDefault="00A37A7F"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98" w:type="pct"/>
            <w:tcBorders>
              <w:bottom w:val="single" w:sz="4" w:space="0" w:color="00B0F0"/>
            </w:tcBorders>
            <w:shd w:val="clear" w:color="auto" w:fill="003C71"/>
          </w:tcPr>
          <w:p w14:paraId="2943273E" w14:textId="77777777" w:rsidR="00A37A7F" w:rsidRPr="00751816" w:rsidRDefault="00A37A7F"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A37A7F" w:rsidRPr="00751816" w14:paraId="0CC208AE" w14:textId="77777777" w:rsidTr="00EA7CDA">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00A3E0"/>
            <w:vAlign w:val="center"/>
          </w:tcPr>
          <w:p w14:paraId="4BCF0DCE" w14:textId="0CB64A37" w:rsidR="00A37A7F" w:rsidRPr="00C0205D" w:rsidRDefault="00DD6B14" w:rsidP="009A3E2E">
            <w:pPr>
              <w:spacing w:before="120" w:after="120" w:line="240" w:lineRule="atLeast"/>
              <w:contextualSpacing/>
              <w:rPr>
                <w:rFonts w:ascii="Tahoma" w:hAnsi="Tahoma" w:cs="Tahoma"/>
                <w:sz w:val="20"/>
              </w:rPr>
            </w:pPr>
            <w:r>
              <w:rPr>
                <w:rFonts w:ascii="Tahoma" w:hAnsi="Tahoma" w:cs="Tahoma"/>
                <w:sz w:val="20"/>
              </w:rPr>
              <w:t>2019/20</w:t>
            </w:r>
          </w:p>
        </w:tc>
        <w:tc>
          <w:tcPr>
            <w:tcW w:w="4269" w:type="pct"/>
            <w:gridSpan w:val="4"/>
            <w:tcBorders>
              <w:top w:val="single" w:sz="4" w:space="0" w:color="00B0F0"/>
              <w:bottom w:val="single" w:sz="4" w:space="0" w:color="00B0F0"/>
            </w:tcBorders>
            <w:shd w:val="clear" w:color="auto" w:fill="00A3E0"/>
            <w:vAlign w:val="center"/>
          </w:tcPr>
          <w:p w14:paraId="61517352" w14:textId="77777777" w:rsidR="00A37A7F" w:rsidRPr="00751816" w:rsidRDefault="00A37A7F"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A37A7F" w:rsidRPr="00751816" w14:paraId="7FFA5FFC" w14:textId="77777777" w:rsidTr="00343E89">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0AD3A04E" w14:textId="3806A572" w:rsidR="00A37A7F" w:rsidRDefault="00A37A7F" w:rsidP="009A3E2E">
            <w:pPr>
              <w:spacing w:before="120" w:after="120" w:line="240" w:lineRule="atLeast"/>
              <w:contextualSpacing/>
              <w:rPr>
                <w:rFonts w:ascii="Tahoma" w:hAnsi="Tahoma" w:cs="Tahoma"/>
                <w:sz w:val="20"/>
              </w:rPr>
            </w:pPr>
          </w:p>
        </w:tc>
        <w:tc>
          <w:tcPr>
            <w:tcW w:w="1735" w:type="pct"/>
            <w:tcBorders>
              <w:top w:val="single" w:sz="4" w:space="0" w:color="00B0F0"/>
              <w:bottom w:val="single" w:sz="4" w:space="0" w:color="00B0F0"/>
            </w:tcBorders>
            <w:vAlign w:val="center"/>
          </w:tcPr>
          <w:p w14:paraId="1EF9550D" w14:textId="08CF3276" w:rsidR="003C5D39" w:rsidRPr="003C5D39" w:rsidRDefault="003C5D39" w:rsidP="003C5D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C5D39">
              <w:rPr>
                <w:rFonts w:ascii="Tahoma" w:hAnsi="Tahoma" w:cs="Tahoma"/>
                <w:sz w:val="20"/>
              </w:rPr>
              <w:t xml:space="preserve">Demand data </w:t>
            </w:r>
            <w:r w:rsidR="00DA53C2">
              <w:rPr>
                <w:rFonts w:ascii="Tahoma" w:hAnsi="Tahoma" w:cs="Tahoma"/>
                <w:sz w:val="20"/>
              </w:rPr>
              <w:t xml:space="preserve">are </w:t>
            </w:r>
            <w:r w:rsidRPr="003C5D39">
              <w:rPr>
                <w:rFonts w:ascii="Tahoma" w:hAnsi="Tahoma" w:cs="Tahoma"/>
                <w:sz w:val="20"/>
              </w:rPr>
              <w:t xml:space="preserve">sourced from the data files which are used to populate the Gas Tariff Models submitted to the AER each year as part of the annual tariff submissions for South Australia. Since the </w:t>
            </w:r>
            <w:r w:rsidR="009537D6">
              <w:rPr>
                <w:rFonts w:ascii="Tahoma" w:hAnsi="Tahoma" w:cs="Tahoma"/>
                <w:sz w:val="20"/>
              </w:rPr>
              <w:t xml:space="preserve">proposed distribution </w:t>
            </w:r>
            <w:r w:rsidRPr="003C5D39">
              <w:rPr>
                <w:rFonts w:ascii="Tahoma" w:hAnsi="Tahoma" w:cs="Tahoma"/>
                <w:sz w:val="20"/>
              </w:rPr>
              <w:t>tariffs for 2021/22 have not yet been submitted, the files have been prepared for the purposes of the RIN and will also be used for the 2021/22 tariff submission.</w:t>
            </w:r>
          </w:p>
          <w:p w14:paraId="5E40974E" w14:textId="77777777" w:rsidR="003C5D39" w:rsidRPr="003C5D39" w:rsidRDefault="003C5D39" w:rsidP="003C5D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EF98564" w14:textId="77777777" w:rsidR="003C5D39" w:rsidRPr="003C5D39" w:rsidRDefault="003C5D39" w:rsidP="003C5D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C5D39">
              <w:rPr>
                <w:rFonts w:ascii="Tahoma" w:hAnsi="Tahoma" w:cs="Tahoma"/>
                <w:sz w:val="20"/>
              </w:rPr>
              <w:t>In respect of the Industrial tariffs, MDQ is required to update the Gas Tariff Model template as part of the annual tariff update. The N1 Demand tab, containing tables N1.1 and N1.2, requires volumes in GJ rather than MDQ. The data file which contains the MDQ required for the annual tariff submission also contains Annual Consumed Quantity (ACQ) which expresses the consumption in GJ and by tariff, which is what N1 tab requires.</w:t>
            </w:r>
          </w:p>
          <w:p w14:paraId="757F4968" w14:textId="77777777" w:rsidR="003C5D39" w:rsidRPr="003C5D39" w:rsidRDefault="003C5D39" w:rsidP="003C5D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F301331" w14:textId="77777777" w:rsidR="003C5D39" w:rsidRPr="003C5D39" w:rsidRDefault="003C5D39" w:rsidP="003C5D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C5D39">
              <w:rPr>
                <w:rFonts w:ascii="Tahoma" w:hAnsi="Tahoma" w:cs="Tahoma"/>
                <w:sz w:val="20"/>
              </w:rPr>
              <w:t>Table N1.1 aggregates the demand by tariff class contained in table N1.2.</w:t>
            </w:r>
          </w:p>
          <w:p w14:paraId="625D14BE" w14:textId="77777777" w:rsidR="003C5D39" w:rsidRPr="003C5D39" w:rsidRDefault="003C5D39" w:rsidP="003C5D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7F1A3FA" w14:textId="77777777" w:rsidR="003C5D39" w:rsidRPr="003C5D39" w:rsidRDefault="003C5D39" w:rsidP="003C5D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C5D39">
              <w:rPr>
                <w:rFonts w:ascii="Tahoma" w:hAnsi="Tahoma" w:cs="Tahoma"/>
                <w:sz w:val="20"/>
              </w:rPr>
              <w:t>Tariff R and Tariff C are split into a tariff excluding Tanunda (South Australia excluding Tanunda) and then the Tanunda tariff. The first natural gas was delivered to the Tanunda township in 2015/16.</w:t>
            </w:r>
          </w:p>
          <w:p w14:paraId="7C2C7752" w14:textId="77777777" w:rsidR="003C5D39" w:rsidRPr="003C5D39" w:rsidRDefault="003C5D39" w:rsidP="003C5D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428FAA3" w14:textId="4B55B75F" w:rsidR="00A37A7F" w:rsidRPr="00751816" w:rsidRDefault="003C5D39" w:rsidP="0045441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C5D39">
              <w:rPr>
                <w:rFonts w:ascii="Tahoma" w:hAnsi="Tahoma" w:cs="Tahoma"/>
                <w:sz w:val="20"/>
              </w:rPr>
              <w:t xml:space="preserve">2019/20 has been sourced from the same systems, and the underlying report is in the same form, as the reports produced for the purposes of annual </w:t>
            </w:r>
            <w:r w:rsidRPr="003C5D39">
              <w:rPr>
                <w:rFonts w:ascii="Tahoma" w:hAnsi="Tahoma" w:cs="Tahoma"/>
                <w:sz w:val="20"/>
              </w:rPr>
              <w:lastRenderedPageBreak/>
              <w:t>tariff adjustments, and is therefore equivalent to the files used to populate the other years in tables N1.1 and N1.2 which were used for annual tariff adjustments.</w:t>
            </w:r>
          </w:p>
        </w:tc>
        <w:tc>
          <w:tcPr>
            <w:tcW w:w="839" w:type="pct"/>
            <w:tcBorders>
              <w:top w:val="single" w:sz="4" w:space="0" w:color="00B0F0"/>
              <w:bottom w:val="single" w:sz="4" w:space="0" w:color="00B0F0"/>
            </w:tcBorders>
            <w:vAlign w:val="center"/>
          </w:tcPr>
          <w:p w14:paraId="23242199" w14:textId="77777777" w:rsidR="00A37A7F" w:rsidRPr="00751816" w:rsidRDefault="00A37A7F" w:rsidP="00343E8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997" w:type="pct"/>
            <w:tcBorders>
              <w:top w:val="single" w:sz="4" w:space="0" w:color="00B0F0"/>
              <w:bottom w:val="single" w:sz="4" w:space="0" w:color="00B0F0"/>
            </w:tcBorders>
            <w:vAlign w:val="center"/>
          </w:tcPr>
          <w:p w14:paraId="3C29B104" w14:textId="01E638F6" w:rsidR="00A37A7F" w:rsidRPr="00751816" w:rsidRDefault="00A37A7F"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2678B667" w14:textId="618D3990" w:rsidR="00A37A7F" w:rsidRPr="00751816" w:rsidRDefault="00A37A7F"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0DDD595A" w14:textId="0613DF37" w:rsidR="00A37A7F" w:rsidRDefault="00A37A7F" w:rsidP="00A37A7F"/>
    <w:p w14:paraId="43F49FA0" w14:textId="77777777" w:rsidR="007B5588" w:rsidRDefault="007B5588">
      <w:pPr>
        <w:rPr>
          <w:rFonts w:ascii="Tahoma" w:eastAsiaTheme="majorEastAsia" w:hAnsi="Tahoma" w:cs="Tahoma"/>
          <w:b/>
          <w:color w:val="003C71"/>
          <w:sz w:val="32"/>
          <w:szCs w:val="32"/>
        </w:rPr>
      </w:pPr>
      <w:r>
        <w:rPr>
          <w:rFonts w:ascii="Tahoma" w:hAnsi="Tahoma" w:cs="Tahoma"/>
          <w:b/>
          <w:color w:val="003C71"/>
        </w:rPr>
        <w:br w:type="page"/>
      </w:r>
    </w:p>
    <w:p w14:paraId="20F69125" w14:textId="4E34357B" w:rsidR="00B937BE" w:rsidRDefault="00B937BE" w:rsidP="00C059E5">
      <w:pPr>
        <w:pStyle w:val="Heading1"/>
        <w:rPr>
          <w:rFonts w:ascii="Tahoma" w:hAnsi="Tahoma" w:cs="Tahoma"/>
          <w:b/>
          <w:color w:val="003C71"/>
        </w:rPr>
      </w:pPr>
      <w:bookmarkStart w:id="15" w:name="_Toc57314062"/>
      <w:r w:rsidRPr="0095305C">
        <w:rPr>
          <w:rFonts w:ascii="Tahoma" w:hAnsi="Tahoma" w:cs="Tahoma"/>
          <w:b/>
          <w:color w:val="003C71"/>
        </w:rPr>
        <w:lastRenderedPageBreak/>
        <w:t>N2. Network Characteristics</w:t>
      </w:r>
      <w:bookmarkEnd w:id="15"/>
      <w:r w:rsidRPr="0095305C">
        <w:rPr>
          <w:rFonts w:ascii="Tahoma" w:hAnsi="Tahoma" w:cs="Tahoma"/>
          <w:b/>
          <w:color w:val="003C71"/>
        </w:rPr>
        <w:t xml:space="preserve"> </w:t>
      </w:r>
    </w:p>
    <w:p w14:paraId="2E2B0385" w14:textId="77777777" w:rsidR="00B937BE" w:rsidRDefault="00B937BE" w:rsidP="00C97516">
      <w:pPr>
        <w:pStyle w:val="Heading2"/>
        <w:rPr>
          <w:rFonts w:ascii="Tahoma" w:hAnsi="Tahoma" w:cs="Tahoma"/>
          <w:color w:val="003C71"/>
        </w:rPr>
      </w:pPr>
      <w:bookmarkStart w:id="16" w:name="_Toc57314063"/>
      <w:r w:rsidRPr="00C97516">
        <w:rPr>
          <w:rFonts w:ascii="Tahoma" w:hAnsi="Tahoma" w:cs="Tahoma"/>
          <w:color w:val="003C71"/>
        </w:rPr>
        <w:t>N2.1 – Network Length – by Pressure and Asset Type</w:t>
      </w:r>
      <w:bookmarkEnd w:id="16"/>
      <w:r w:rsidRPr="00C97516">
        <w:rPr>
          <w:rFonts w:ascii="Tahoma" w:hAnsi="Tahoma" w:cs="Tahoma"/>
          <w:color w:val="003C71"/>
        </w:rPr>
        <w:t xml:space="preserve"> </w:t>
      </w:r>
    </w:p>
    <w:p w14:paraId="258664DA" w14:textId="26F6D5DA" w:rsidR="00FA7AD4" w:rsidRDefault="00FA7AD4" w:rsidP="00FA7AD4">
      <w:pPr>
        <w:rPr>
          <w:rFonts w:ascii="Tahoma" w:hAnsi="Tahoma" w:cs="Tahoma"/>
          <w:color w:val="00B0F0"/>
        </w:rPr>
      </w:pPr>
      <w:r>
        <w:rPr>
          <w:rFonts w:ascii="Tahoma" w:hAnsi="Tahoma" w:cs="Tahoma"/>
          <w:color w:val="00B0F0"/>
        </w:rPr>
        <w:t xml:space="preserve">N2.1.1 </w:t>
      </w:r>
      <w:r w:rsidR="005A32C3">
        <w:rPr>
          <w:rFonts w:ascii="Tahoma" w:hAnsi="Tahoma" w:cs="Tahoma"/>
          <w:color w:val="00B0F0"/>
        </w:rPr>
        <w:t>/ N2.1.2 /N2.1.3</w:t>
      </w:r>
      <w:r w:rsidR="002839D0">
        <w:rPr>
          <w:rFonts w:ascii="Tahoma" w:hAnsi="Tahoma" w:cs="Tahoma"/>
          <w:color w:val="00B0F0"/>
        </w:rPr>
        <w:t>/N2.1.4</w:t>
      </w:r>
      <w:r w:rsidR="005A32C3">
        <w:rPr>
          <w:rFonts w:ascii="Tahoma" w:hAnsi="Tahoma" w:cs="Tahoma"/>
          <w:color w:val="00B0F0"/>
        </w:rPr>
        <w:t xml:space="preserve"> </w:t>
      </w:r>
      <w:r>
        <w:rPr>
          <w:rFonts w:ascii="Tahoma" w:hAnsi="Tahoma" w:cs="Tahoma"/>
          <w:color w:val="00B0F0"/>
        </w:rPr>
        <w:t xml:space="preserve">– Network Length – by Pressure and Asset Type – Low </w:t>
      </w:r>
      <w:r w:rsidR="005A32C3">
        <w:rPr>
          <w:rFonts w:ascii="Tahoma" w:hAnsi="Tahoma" w:cs="Tahoma"/>
          <w:color w:val="00B0F0"/>
        </w:rPr>
        <w:t xml:space="preserve">Pressure / Medium Pressure / High Pressure </w:t>
      </w:r>
      <w:r w:rsidR="002839D0">
        <w:rPr>
          <w:rFonts w:ascii="Tahoma" w:hAnsi="Tahoma" w:cs="Tahoma"/>
          <w:color w:val="00B0F0"/>
        </w:rPr>
        <w:t>/ Transmission</w:t>
      </w:r>
    </w:p>
    <w:tbl>
      <w:tblPr>
        <w:tblStyle w:val="UETableStyle"/>
        <w:tblW w:w="5000"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80"/>
        <w:gridCol w:w="4701"/>
        <w:gridCol w:w="2272"/>
        <w:gridCol w:w="2892"/>
        <w:gridCol w:w="2113"/>
      </w:tblGrid>
      <w:tr w:rsidR="00FA7AD4" w:rsidRPr="00751816" w14:paraId="20E2279C" w14:textId="77777777" w:rsidTr="00C53252">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09" w:type="pct"/>
            <w:tcBorders>
              <w:bottom w:val="single" w:sz="4" w:space="0" w:color="00B0F0"/>
            </w:tcBorders>
            <w:shd w:val="clear" w:color="auto" w:fill="003C71"/>
            <w:hideMark/>
          </w:tcPr>
          <w:p w14:paraId="001295FF" w14:textId="764CDE5C" w:rsidR="00FA7AD4" w:rsidRPr="00751816" w:rsidRDefault="00FA7AD4" w:rsidP="004605F3">
            <w:pPr>
              <w:rPr>
                <w:rFonts w:ascii="Tahoma" w:hAnsi="Tahoma" w:cs="Tahoma"/>
                <w:b/>
                <w:color w:val="FFFFFF"/>
                <w:sz w:val="20"/>
              </w:rPr>
            </w:pPr>
            <w:r w:rsidRPr="00751816">
              <w:rPr>
                <w:rFonts w:ascii="Tahoma" w:hAnsi="Tahoma" w:cs="Tahoma"/>
                <w:b/>
                <w:color w:val="FFFFFF"/>
                <w:sz w:val="20"/>
              </w:rPr>
              <w:t xml:space="preserve">Variable </w:t>
            </w:r>
          </w:p>
        </w:tc>
        <w:tc>
          <w:tcPr>
            <w:tcW w:w="1684" w:type="pct"/>
            <w:tcBorders>
              <w:bottom w:val="single" w:sz="4" w:space="0" w:color="00B0F0"/>
            </w:tcBorders>
            <w:shd w:val="clear" w:color="auto" w:fill="003C71"/>
          </w:tcPr>
          <w:p w14:paraId="641107E3" w14:textId="77777777" w:rsidR="00FA7AD4" w:rsidRPr="00751816" w:rsidRDefault="00FA7AD4"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14" w:type="pct"/>
            <w:tcBorders>
              <w:bottom w:val="single" w:sz="4" w:space="0" w:color="00B0F0"/>
            </w:tcBorders>
            <w:shd w:val="clear" w:color="auto" w:fill="003C71"/>
          </w:tcPr>
          <w:p w14:paraId="7C688EC4" w14:textId="77777777" w:rsidR="00FA7AD4" w:rsidRPr="00751816" w:rsidRDefault="00FA7AD4"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036" w:type="pct"/>
            <w:tcBorders>
              <w:bottom w:val="single" w:sz="4" w:space="0" w:color="00B0F0"/>
            </w:tcBorders>
            <w:shd w:val="clear" w:color="auto" w:fill="003C71"/>
          </w:tcPr>
          <w:p w14:paraId="5239F3FB" w14:textId="77777777" w:rsidR="00FA7AD4" w:rsidRPr="00751816" w:rsidRDefault="00FA7AD4"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757" w:type="pct"/>
            <w:tcBorders>
              <w:bottom w:val="single" w:sz="4" w:space="0" w:color="00B0F0"/>
            </w:tcBorders>
            <w:shd w:val="clear" w:color="auto" w:fill="003C71"/>
          </w:tcPr>
          <w:p w14:paraId="1451CAEA" w14:textId="77777777" w:rsidR="00FA7AD4" w:rsidRPr="00751816" w:rsidRDefault="00FA7AD4"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FB7A5F" w:rsidRPr="00751816" w14:paraId="7CF916A0" w14:textId="77777777" w:rsidTr="00C53252">
        <w:trPr>
          <w:trHeight w:val="283"/>
        </w:trPr>
        <w:tc>
          <w:tcPr>
            <w:cnfStyle w:val="001000000000" w:firstRow="0" w:lastRow="0" w:firstColumn="1" w:lastColumn="0" w:oddVBand="0" w:evenVBand="0" w:oddHBand="0" w:evenHBand="0" w:firstRowFirstColumn="0" w:firstRowLastColumn="0" w:lastRowFirstColumn="0" w:lastRowLastColumn="0"/>
            <w:tcW w:w="709" w:type="pct"/>
            <w:tcBorders>
              <w:top w:val="single" w:sz="4" w:space="0" w:color="00B0F0"/>
              <w:bottom w:val="single" w:sz="4" w:space="0" w:color="00B0F0"/>
            </w:tcBorders>
            <w:shd w:val="clear" w:color="auto" w:fill="00A3E0"/>
            <w:vAlign w:val="center"/>
          </w:tcPr>
          <w:p w14:paraId="31BCF48E" w14:textId="37EC35C5" w:rsidR="00FB7A5F" w:rsidRDefault="00DD6B14" w:rsidP="000D1C90">
            <w:pPr>
              <w:spacing w:before="120" w:after="120" w:line="240" w:lineRule="atLeast"/>
              <w:contextualSpacing/>
              <w:rPr>
                <w:rFonts w:ascii="Tahoma" w:hAnsi="Tahoma" w:cs="Tahoma"/>
                <w:sz w:val="20"/>
              </w:rPr>
            </w:pPr>
            <w:r>
              <w:rPr>
                <w:rFonts w:ascii="Tahoma" w:hAnsi="Tahoma" w:cs="Tahoma"/>
                <w:sz w:val="20"/>
              </w:rPr>
              <w:t>2019/20</w:t>
            </w:r>
          </w:p>
        </w:tc>
        <w:tc>
          <w:tcPr>
            <w:tcW w:w="4291" w:type="pct"/>
            <w:gridSpan w:val="4"/>
            <w:tcBorders>
              <w:top w:val="single" w:sz="4" w:space="0" w:color="00B0F0"/>
              <w:bottom w:val="single" w:sz="4" w:space="0" w:color="00B0F0"/>
            </w:tcBorders>
            <w:shd w:val="clear" w:color="auto" w:fill="00A3E0"/>
            <w:vAlign w:val="center"/>
          </w:tcPr>
          <w:p w14:paraId="2DF3CC80" w14:textId="33B6599E" w:rsidR="00FB7A5F" w:rsidRPr="00751816" w:rsidRDefault="00FB7A5F" w:rsidP="00C3723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FA7AD4" w:rsidRPr="00751816" w14:paraId="25D0CCAC" w14:textId="77777777" w:rsidTr="00A91A54">
        <w:trPr>
          <w:trHeight w:val="583"/>
        </w:trPr>
        <w:tc>
          <w:tcPr>
            <w:cnfStyle w:val="001000000000" w:firstRow="0" w:lastRow="0" w:firstColumn="1" w:lastColumn="0" w:oddVBand="0" w:evenVBand="0" w:oddHBand="0" w:evenHBand="0" w:firstRowFirstColumn="0" w:firstRowLastColumn="0" w:lastRowFirstColumn="0" w:lastRowLastColumn="0"/>
            <w:tcW w:w="709" w:type="pct"/>
            <w:tcBorders>
              <w:top w:val="single" w:sz="4" w:space="0" w:color="00B0F0"/>
              <w:bottom w:val="single" w:sz="4" w:space="0" w:color="00B0F0"/>
            </w:tcBorders>
            <w:shd w:val="clear" w:color="auto" w:fill="D9D9D9" w:themeFill="background1" w:themeFillShade="D9"/>
            <w:vAlign w:val="center"/>
          </w:tcPr>
          <w:p w14:paraId="1F1652C8" w14:textId="6A719D45" w:rsidR="00FA7AD4" w:rsidRDefault="000D1C90" w:rsidP="000D1C90">
            <w:pPr>
              <w:spacing w:before="120" w:after="120" w:line="240" w:lineRule="atLeast"/>
              <w:contextualSpacing/>
              <w:rPr>
                <w:rFonts w:ascii="Tahoma" w:hAnsi="Tahoma" w:cs="Tahoma"/>
                <w:sz w:val="20"/>
              </w:rPr>
            </w:pPr>
            <w:r>
              <w:rPr>
                <w:rFonts w:ascii="Tahoma" w:hAnsi="Tahoma" w:cs="Tahoma"/>
                <w:sz w:val="20"/>
              </w:rPr>
              <w:t>Low</w:t>
            </w:r>
            <w:r w:rsidR="008C51C4">
              <w:rPr>
                <w:rFonts w:ascii="Tahoma" w:hAnsi="Tahoma" w:cs="Tahoma"/>
                <w:sz w:val="20"/>
              </w:rPr>
              <w:t xml:space="preserve"> Pressure / </w:t>
            </w:r>
            <w:r>
              <w:rPr>
                <w:rFonts w:ascii="Tahoma" w:hAnsi="Tahoma" w:cs="Tahoma"/>
                <w:sz w:val="20"/>
              </w:rPr>
              <w:t>Medium</w:t>
            </w:r>
            <w:r w:rsidR="008C51C4">
              <w:rPr>
                <w:rFonts w:ascii="Tahoma" w:hAnsi="Tahoma" w:cs="Tahoma"/>
                <w:sz w:val="20"/>
              </w:rPr>
              <w:t xml:space="preserve"> Pressure /</w:t>
            </w:r>
            <w:r>
              <w:rPr>
                <w:rFonts w:ascii="Tahoma" w:hAnsi="Tahoma" w:cs="Tahoma"/>
                <w:sz w:val="20"/>
              </w:rPr>
              <w:t xml:space="preserve"> High</w:t>
            </w:r>
            <w:r w:rsidR="008C51C4">
              <w:rPr>
                <w:rFonts w:ascii="Tahoma" w:hAnsi="Tahoma" w:cs="Tahoma"/>
                <w:sz w:val="20"/>
              </w:rPr>
              <w:t xml:space="preserve"> Pressure</w:t>
            </w:r>
            <w:r>
              <w:rPr>
                <w:rFonts w:ascii="Tahoma" w:hAnsi="Tahoma" w:cs="Tahoma"/>
                <w:sz w:val="20"/>
              </w:rPr>
              <w:t xml:space="preserve"> </w:t>
            </w:r>
          </w:p>
        </w:tc>
        <w:tc>
          <w:tcPr>
            <w:tcW w:w="1684" w:type="pct"/>
            <w:tcBorders>
              <w:top w:val="single" w:sz="4" w:space="0" w:color="00B0F0"/>
              <w:bottom w:val="single" w:sz="4" w:space="0" w:color="00B0F0"/>
            </w:tcBorders>
          </w:tcPr>
          <w:p w14:paraId="059B5DD9" w14:textId="77777777" w:rsidR="007B5588" w:rsidRDefault="007B5588" w:rsidP="007B55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Historic data is compiled based on historic snapshots captured from GIS system, with snapshots taken at financial year-end dates.</w:t>
            </w:r>
          </w:p>
          <w:p w14:paraId="346C0A13" w14:textId="77777777" w:rsidR="007B5588" w:rsidRDefault="007B5588" w:rsidP="007B55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FCB563E" w14:textId="77777777" w:rsidR="007B5588" w:rsidRDefault="007B5588" w:rsidP="007B55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D1C90">
              <w:rPr>
                <w:rFonts w:ascii="Tahoma" w:hAnsi="Tahoma" w:cs="Tahoma"/>
                <w:sz w:val="20"/>
              </w:rPr>
              <w:t>All Existing and In</w:t>
            </w:r>
            <w:r>
              <w:rPr>
                <w:rFonts w:ascii="Tahoma" w:hAnsi="Tahoma" w:cs="Tahoma"/>
                <w:sz w:val="20"/>
              </w:rPr>
              <w:t xml:space="preserve"> </w:t>
            </w:r>
            <w:r w:rsidRPr="000D1C90">
              <w:rPr>
                <w:rFonts w:ascii="Tahoma" w:hAnsi="Tahoma" w:cs="Tahoma"/>
                <w:sz w:val="20"/>
              </w:rPr>
              <w:t>Service Pipes only</w:t>
            </w:r>
            <w:r>
              <w:rPr>
                <w:rFonts w:ascii="Tahoma" w:hAnsi="Tahoma" w:cs="Tahoma"/>
                <w:sz w:val="20"/>
              </w:rPr>
              <w:t>.</w:t>
            </w:r>
            <w:r w:rsidRPr="000D1C90">
              <w:rPr>
                <w:rFonts w:ascii="Tahoma" w:hAnsi="Tahoma" w:cs="Tahoma"/>
                <w:sz w:val="20"/>
              </w:rPr>
              <w:t xml:space="preserve"> Abandoned pipe</w:t>
            </w:r>
            <w:r>
              <w:rPr>
                <w:rFonts w:ascii="Tahoma" w:hAnsi="Tahoma" w:cs="Tahoma"/>
                <w:sz w:val="20"/>
              </w:rPr>
              <w:t xml:space="preserve"> or casing is </w:t>
            </w:r>
            <w:r w:rsidRPr="000D1C90">
              <w:rPr>
                <w:rFonts w:ascii="Tahoma" w:hAnsi="Tahoma" w:cs="Tahoma"/>
                <w:sz w:val="20"/>
              </w:rPr>
              <w:t>not included.</w:t>
            </w:r>
          </w:p>
          <w:p w14:paraId="26B84C1C" w14:textId="77777777" w:rsidR="007B5588" w:rsidRDefault="007B5588" w:rsidP="007B55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74CA1DF" w14:textId="77777777" w:rsidR="007B5588" w:rsidRDefault="007B5588" w:rsidP="007B55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It is assumed high-pressure HDPE250 and HDPE575 is actually HDPE100. It is assumed all high-pressure steel mains are coated steel (protected steel).  All other steel mains are considered unprotected.</w:t>
            </w:r>
          </w:p>
          <w:p w14:paraId="21EA975E" w14:textId="77777777" w:rsidR="007B5588" w:rsidRDefault="007B5588" w:rsidP="007B55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6728498" w14:textId="6E2877A4" w:rsidR="00CF0F9F" w:rsidRPr="00751816" w:rsidRDefault="007B5588" w:rsidP="00A91A5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It includes</w:t>
            </w:r>
            <w:r w:rsidRPr="000D1C90">
              <w:rPr>
                <w:rFonts w:ascii="Tahoma" w:hAnsi="Tahoma" w:cs="Tahoma"/>
                <w:sz w:val="20"/>
              </w:rPr>
              <w:t xml:space="preserve"> all pipes that are registered under </w:t>
            </w:r>
            <w:r>
              <w:rPr>
                <w:rFonts w:ascii="Tahoma" w:hAnsi="Tahoma" w:cs="Tahoma"/>
                <w:sz w:val="20"/>
              </w:rPr>
              <w:t xml:space="preserve">AGN’s Gas </w:t>
            </w:r>
            <w:r w:rsidRPr="000D1C90">
              <w:rPr>
                <w:rFonts w:ascii="Tahoma" w:hAnsi="Tahoma" w:cs="Tahoma"/>
                <w:sz w:val="20"/>
              </w:rPr>
              <w:t>Distribution Licen</w:t>
            </w:r>
            <w:r>
              <w:rPr>
                <w:rFonts w:ascii="Tahoma" w:hAnsi="Tahoma" w:cs="Tahoma"/>
                <w:sz w:val="20"/>
              </w:rPr>
              <w:t>c</w:t>
            </w:r>
            <w:r w:rsidRPr="000D1C90">
              <w:rPr>
                <w:rFonts w:ascii="Tahoma" w:hAnsi="Tahoma" w:cs="Tahoma"/>
                <w:sz w:val="20"/>
              </w:rPr>
              <w:t>e</w:t>
            </w:r>
            <w:r>
              <w:rPr>
                <w:rFonts w:ascii="Tahoma" w:hAnsi="Tahoma" w:cs="Tahoma"/>
                <w:sz w:val="20"/>
              </w:rPr>
              <w:t>.</w:t>
            </w:r>
          </w:p>
        </w:tc>
        <w:tc>
          <w:tcPr>
            <w:tcW w:w="814" w:type="pct"/>
            <w:tcBorders>
              <w:top w:val="single" w:sz="4" w:space="0" w:color="00B0F0"/>
              <w:bottom w:val="single" w:sz="4" w:space="0" w:color="00B0F0"/>
            </w:tcBorders>
            <w:vAlign w:val="center"/>
          </w:tcPr>
          <w:p w14:paraId="62558F10" w14:textId="17977B98" w:rsidR="00FA7AD4" w:rsidRPr="00751816" w:rsidRDefault="000D1C90" w:rsidP="00343E8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036" w:type="pct"/>
            <w:tcBorders>
              <w:top w:val="single" w:sz="4" w:space="0" w:color="00B0F0"/>
              <w:bottom w:val="single" w:sz="4" w:space="0" w:color="00B0F0"/>
            </w:tcBorders>
          </w:tcPr>
          <w:p w14:paraId="075E3C79" w14:textId="390B6B38" w:rsidR="00FA7AD4" w:rsidRPr="00751816" w:rsidRDefault="00FA7AD4" w:rsidP="00A91A54">
            <w:pPr>
              <w:pStyle w:val="Default"/>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57" w:type="pct"/>
            <w:tcBorders>
              <w:top w:val="single" w:sz="4" w:space="0" w:color="00B0F0"/>
              <w:bottom w:val="single" w:sz="4" w:space="0" w:color="00B0F0"/>
            </w:tcBorders>
            <w:vAlign w:val="center"/>
          </w:tcPr>
          <w:p w14:paraId="45429166" w14:textId="4CB2BE4A" w:rsidR="00FA7AD4" w:rsidRPr="00751816" w:rsidRDefault="00FA7AD4" w:rsidP="00C3723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8C51C4" w:rsidRPr="00751816" w14:paraId="4C557B2A" w14:textId="77777777" w:rsidTr="00A91A54">
        <w:trPr>
          <w:trHeight w:val="583"/>
        </w:trPr>
        <w:tc>
          <w:tcPr>
            <w:cnfStyle w:val="001000000000" w:firstRow="0" w:lastRow="0" w:firstColumn="1" w:lastColumn="0" w:oddVBand="0" w:evenVBand="0" w:oddHBand="0" w:evenHBand="0" w:firstRowFirstColumn="0" w:firstRowLastColumn="0" w:lastRowFirstColumn="0" w:lastRowLastColumn="0"/>
            <w:tcW w:w="709" w:type="pct"/>
            <w:tcBorders>
              <w:top w:val="single" w:sz="4" w:space="0" w:color="00B0F0"/>
              <w:bottom w:val="single" w:sz="4" w:space="0" w:color="00B0F0"/>
            </w:tcBorders>
            <w:shd w:val="clear" w:color="auto" w:fill="D9D9D9" w:themeFill="background1" w:themeFillShade="D9"/>
            <w:vAlign w:val="center"/>
          </w:tcPr>
          <w:p w14:paraId="37DE06A2" w14:textId="6113E5FD" w:rsidR="008C51C4" w:rsidRDefault="008C51C4" w:rsidP="000D1C90">
            <w:pPr>
              <w:spacing w:before="120" w:after="120" w:line="240" w:lineRule="atLeast"/>
              <w:contextualSpacing/>
              <w:rPr>
                <w:rFonts w:ascii="Tahoma" w:hAnsi="Tahoma" w:cs="Tahoma"/>
                <w:sz w:val="20"/>
              </w:rPr>
            </w:pPr>
            <w:r>
              <w:rPr>
                <w:rFonts w:ascii="Tahoma" w:hAnsi="Tahoma" w:cs="Tahoma"/>
                <w:sz w:val="20"/>
              </w:rPr>
              <w:t xml:space="preserve">Transmission </w:t>
            </w:r>
          </w:p>
        </w:tc>
        <w:tc>
          <w:tcPr>
            <w:tcW w:w="1684" w:type="pct"/>
            <w:tcBorders>
              <w:top w:val="single" w:sz="4" w:space="0" w:color="00B0F0"/>
              <w:bottom w:val="single" w:sz="4" w:space="0" w:color="00B0F0"/>
            </w:tcBorders>
          </w:tcPr>
          <w:p w14:paraId="5BB150B6" w14:textId="1B84A3C4" w:rsidR="008C51C4" w:rsidRDefault="000315D6" w:rsidP="00A91A5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Transmission data has </w:t>
            </w:r>
            <w:r w:rsidRPr="000315D6">
              <w:rPr>
                <w:rFonts w:ascii="Tahoma" w:hAnsi="Tahoma" w:cs="Tahoma"/>
                <w:sz w:val="20"/>
              </w:rPr>
              <w:t>been extracted from GIS system and the lengths of mains calculated.</w:t>
            </w:r>
            <w:r>
              <w:rPr>
                <w:rFonts w:ascii="Tahoma" w:hAnsi="Tahoma" w:cs="Tahoma"/>
                <w:sz w:val="20"/>
              </w:rPr>
              <w:t xml:space="preserve"> T</w:t>
            </w:r>
            <w:r w:rsidR="000E68CA" w:rsidRPr="000315D6">
              <w:rPr>
                <w:rFonts w:ascii="Tahoma" w:hAnsi="Tahoma" w:cs="Tahoma"/>
                <w:sz w:val="20"/>
              </w:rPr>
              <w:t>ransmission data refers to the Adelaide Metro Transmission Pipeline</w:t>
            </w:r>
            <w:r w:rsidRPr="000315D6">
              <w:rPr>
                <w:rFonts w:ascii="Tahoma" w:hAnsi="Tahoma" w:cs="Tahoma"/>
                <w:sz w:val="20"/>
              </w:rPr>
              <w:t>, and any Transmission Pressure pipelines downstream of City Gate Stations in regional networks</w:t>
            </w:r>
            <w:r>
              <w:rPr>
                <w:rFonts w:ascii="Tahoma" w:hAnsi="Tahoma" w:cs="Tahoma"/>
                <w:sz w:val="20"/>
              </w:rPr>
              <w:t xml:space="preserve">. </w:t>
            </w:r>
            <w:r w:rsidR="00015EAB" w:rsidRPr="000315D6">
              <w:rPr>
                <w:rFonts w:ascii="Tahoma" w:hAnsi="Tahoma" w:cs="Tahoma"/>
                <w:sz w:val="20"/>
              </w:rPr>
              <w:t xml:space="preserve">All transmission pipelines are coated steel. </w:t>
            </w:r>
          </w:p>
        </w:tc>
        <w:tc>
          <w:tcPr>
            <w:tcW w:w="814" w:type="pct"/>
            <w:tcBorders>
              <w:top w:val="single" w:sz="4" w:space="0" w:color="00B0F0"/>
              <w:bottom w:val="single" w:sz="4" w:space="0" w:color="00B0F0"/>
            </w:tcBorders>
            <w:vAlign w:val="center"/>
          </w:tcPr>
          <w:p w14:paraId="3C724A7B" w14:textId="140999E0" w:rsidR="008C51C4" w:rsidRDefault="00D81362" w:rsidP="00343E8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Actual </w:t>
            </w:r>
          </w:p>
        </w:tc>
        <w:tc>
          <w:tcPr>
            <w:tcW w:w="1036" w:type="pct"/>
            <w:tcBorders>
              <w:top w:val="single" w:sz="4" w:space="0" w:color="00B0F0"/>
              <w:bottom w:val="single" w:sz="4" w:space="0" w:color="00B0F0"/>
            </w:tcBorders>
          </w:tcPr>
          <w:p w14:paraId="07A02DE6" w14:textId="6A81B3E1" w:rsidR="008C51C4" w:rsidRPr="000C3BB5" w:rsidRDefault="008C51C4" w:rsidP="00A91A54">
            <w:pPr>
              <w:pStyle w:val="Default"/>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p>
        </w:tc>
        <w:tc>
          <w:tcPr>
            <w:tcW w:w="757" w:type="pct"/>
            <w:tcBorders>
              <w:top w:val="single" w:sz="4" w:space="0" w:color="00B0F0"/>
              <w:bottom w:val="single" w:sz="4" w:space="0" w:color="00B0F0"/>
            </w:tcBorders>
            <w:vAlign w:val="center"/>
          </w:tcPr>
          <w:p w14:paraId="270D8289" w14:textId="77777777" w:rsidR="008C51C4" w:rsidRDefault="008C51C4" w:rsidP="00A4413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6F29E9F9" w14:textId="77777777" w:rsidR="00FA7AD4" w:rsidRDefault="00FA7AD4" w:rsidP="00FA7AD4"/>
    <w:p w14:paraId="4332DF4E" w14:textId="77777777" w:rsidR="00B937BE" w:rsidRDefault="00B937BE" w:rsidP="00C97516">
      <w:pPr>
        <w:pStyle w:val="Heading2"/>
        <w:rPr>
          <w:rFonts w:ascii="Tahoma" w:hAnsi="Tahoma" w:cs="Tahoma"/>
          <w:color w:val="003C71"/>
        </w:rPr>
      </w:pPr>
      <w:bookmarkStart w:id="17" w:name="_Toc57314064"/>
      <w:r w:rsidRPr="00C97516">
        <w:rPr>
          <w:rFonts w:ascii="Tahoma" w:hAnsi="Tahoma" w:cs="Tahoma"/>
          <w:color w:val="003C71"/>
        </w:rPr>
        <w:lastRenderedPageBreak/>
        <w:t>N2.2 – City Gates/Regulators</w:t>
      </w:r>
      <w:bookmarkEnd w:id="17"/>
      <w:r w:rsidRPr="00C97516">
        <w:rPr>
          <w:rFonts w:ascii="Tahoma" w:hAnsi="Tahoma" w:cs="Tahoma"/>
          <w:color w:val="003C71"/>
        </w:rPr>
        <w:t xml:space="preserve"> </w:t>
      </w:r>
    </w:p>
    <w:tbl>
      <w:tblPr>
        <w:tblStyle w:val="UETableStyle"/>
        <w:tblW w:w="4885"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4"/>
        <w:gridCol w:w="4732"/>
        <w:gridCol w:w="2288"/>
        <w:gridCol w:w="2719"/>
        <w:gridCol w:w="1904"/>
      </w:tblGrid>
      <w:tr w:rsidR="00F45FD2" w:rsidRPr="00751816" w14:paraId="5E537E7D" w14:textId="77777777" w:rsidTr="00C3723A">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3B63D508" w14:textId="537DF752" w:rsidR="00F45FD2" w:rsidRPr="00751816" w:rsidRDefault="00F45FD2" w:rsidP="004605F3">
            <w:pPr>
              <w:rPr>
                <w:rFonts w:ascii="Tahoma" w:hAnsi="Tahoma" w:cs="Tahoma"/>
                <w:b/>
                <w:color w:val="FFFFFF"/>
                <w:sz w:val="20"/>
              </w:rPr>
            </w:pPr>
            <w:r w:rsidRPr="00751816">
              <w:rPr>
                <w:rFonts w:ascii="Tahoma" w:hAnsi="Tahoma" w:cs="Tahoma"/>
                <w:b/>
                <w:color w:val="FFFFFF"/>
                <w:sz w:val="20"/>
              </w:rPr>
              <w:t xml:space="preserve">Variable </w:t>
            </w:r>
          </w:p>
        </w:tc>
        <w:tc>
          <w:tcPr>
            <w:tcW w:w="1735" w:type="pct"/>
            <w:tcBorders>
              <w:bottom w:val="single" w:sz="4" w:space="0" w:color="00B0F0"/>
            </w:tcBorders>
            <w:shd w:val="clear" w:color="auto" w:fill="003C71"/>
          </w:tcPr>
          <w:p w14:paraId="7FF05551" w14:textId="77777777" w:rsidR="00F45FD2" w:rsidRPr="00751816" w:rsidRDefault="00F45FD2"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9" w:type="pct"/>
            <w:tcBorders>
              <w:bottom w:val="single" w:sz="4" w:space="0" w:color="00B0F0"/>
            </w:tcBorders>
            <w:shd w:val="clear" w:color="auto" w:fill="003C71"/>
          </w:tcPr>
          <w:p w14:paraId="4205F438" w14:textId="77777777" w:rsidR="00F45FD2" w:rsidRPr="00751816" w:rsidRDefault="00F45FD2"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7" w:type="pct"/>
            <w:tcBorders>
              <w:bottom w:val="single" w:sz="4" w:space="0" w:color="00B0F0"/>
            </w:tcBorders>
            <w:shd w:val="clear" w:color="auto" w:fill="003C71"/>
          </w:tcPr>
          <w:p w14:paraId="7976E27B" w14:textId="77777777" w:rsidR="00F45FD2" w:rsidRPr="00751816" w:rsidRDefault="00F45FD2"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98" w:type="pct"/>
            <w:tcBorders>
              <w:bottom w:val="single" w:sz="4" w:space="0" w:color="00B0F0"/>
            </w:tcBorders>
            <w:shd w:val="clear" w:color="auto" w:fill="003C71"/>
          </w:tcPr>
          <w:p w14:paraId="60DB763A" w14:textId="77777777" w:rsidR="00F45FD2" w:rsidRPr="00751816" w:rsidRDefault="00F45FD2"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9C2F36" w:rsidRPr="00751816" w14:paraId="4E48A828" w14:textId="77777777" w:rsidTr="009A031F">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00A3E0"/>
            <w:vAlign w:val="center"/>
          </w:tcPr>
          <w:p w14:paraId="0BF33C65" w14:textId="00BF8182" w:rsidR="009C2F36" w:rsidRDefault="00DD6B14" w:rsidP="00212173">
            <w:pPr>
              <w:spacing w:before="120" w:after="120" w:line="240" w:lineRule="atLeast"/>
              <w:contextualSpacing/>
              <w:rPr>
                <w:rFonts w:ascii="Tahoma" w:hAnsi="Tahoma" w:cs="Tahoma"/>
                <w:sz w:val="20"/>
              </w:rPr>
            </w:pPr>
            <w:r>
              <w:rPr>
                <w:rFonts w:ascii="Tahoma" w:hAnsi="Tahoma" w:cs="Tahoma"/>
                <w:sz w:val="20"/>
              </w:rPr>
              <w:t>2019/20</w:t>
            </w:r>
          </w:p>
        </w:tc>
        <w:tc>
          <w:tcPr>
            <w:tcW w:w="4269" w:type="pct"/>
            <w:gridSpan w:val="4"/>
            <w:tcBorders>
              <w:top w:val="single" w:sz="4" w:space="0" w:color="00B0F0"/>
              <w:bottom w:val="single" w:sz="4" w:space="0" w:color="00B0F0"/>
            </w:tcBorders>
            <w:shd w:val="clear" w:color="auto" w:fill="00A3E0"/>
            <w:vAlign w:val="center"/>
          </w:tcPr>
          <w:p w14:paraId="0D609BE0" w14:textId="6E94FA97" w:rsidR="009C2F36" w:rsidRPr="00751816" w:rsidRDefault="009C2F36" w:rsidP="009C2F3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C2F36" w:rsidRPr="00751816" w14:paraId="1C440265" w14:textId="77777777" w:rsidTr="00A91A54">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5467E0D2" w14:textId="77777777" w:rsidR="009C2F36" w:rsidRDefault="009C2F36" w:rsidP="00E3529B">
            <w:pPr>
              <w:spacing w:before="120" w:after="120" w:line="240" w:lineRule="atLeast"/>
              <w:contextualSpacing/>
              <w:rPr>
                <w:rFonts w:ascii="Tahoma" w:hAnsi="Tahoma" w:cs="Tahoma"/>
                <w:sz w:val="20"/>
              </w:rPr>
            </w:pPr>
            <w:r>
              <w:rPr>
                <w:rFonts w:ascii="Tahoma" w:hAnsi="Tahoma" w:cs="Tahoma"/>
                <w:sz w:val="20"/>
              </w:rPr>
              <w:t xml:space="preserve">City Gate </w:t>
            </w:r>
          </w:p>
        </w:tc>
        <w:tc>
          <w:tcPr>
            <w:tcW w:w="1735" w:type="pct"/>
            <w:tcBorders>
              <w:top w:val="single" w:sz="4" w:space="0" w:color="00B0F0"/>
              <w:bottom w:val="single" w:sz="4" w:space="0" w:color="00B0F0"/>
            </w:tcBorders>
          </w:tcPr>
          <w:p w14:paraId="3028AD69" w14:textId="7A345176" w:rsidR="00523D06" w:rsidRPr="00751816" w:rsidRDefault="00523D06" w:rsidP="00A91A5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City Gates are considered Gate Regulating Station (GRS</w:t>
            </w:r>
            <w:r w:rsidR="00AB5F84">
              <w:rPr>
                <w:rFonts w:ascii="Tahoma" w:hAnsi="Tahoma" w:cs="Tahoma"/>
                <w:sz w:val="20"/>
              </w:rPr>
              <w:t>), which</w:t>
            </w:r>
            <w:r>
              <w:rPr>
                <w:rFonts w:ascii="Tahoma" w:hAnsi="Tahoma" w:cs="Tahoma"/>
                <w:sz w:val="20"/>
              </w:rPr>
              <w:t xml:space="preserve"> perform the function of pressure reduction of primary network feed from the upstream TP network.</w:t>
            </w:r>
            <w:r w:rsidR="00F43E01">
              <w:rPr>
                <w:rFonts w:ascii="Tahoma" w:hAnsi="Tahoma" w:cs="Tahoma"/>
                <w:sz w:val="20"/>
              </w:rPr>
              <w:t xml:space="preserve">  There are no regulated AGN owned City Gates.</w:t>
            </w:r>
          </w:p>
        </w:tc>
        <w:tc>
          <w:tcPr>
            <w:tcW w:w="839" w:type="pct"/>
            <w:tcBorders>
              <w:top w:val="single" w:sz="4" w:space="0" w:color="00B0F0"/>
              <w:bottom w:val="single" w:sz="4" w:space="0" w:color="00B0F0"/>
            </w:tcBorders>
            <w:vAlign w:val="center"/>
          </w:tcPr>
          <w:p w14:paraId="239155CF" w14:textId="479AFC1D" w:rsidR="009C2F36" w:rsidRPr="00751816" w:rsidRDefault="00AB5F84" w:rsidP="00343E8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1995B6AD" w14:textId="77777777" w:rsidR="009C2F36" w:rsidRPr="00751816" w:rsidRDefault="009C2F36" w:rsidP="00E3529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1F8DC179" w14:textId="17C4F375" w:rsidR="009C2F36" w:rsidRPr="00751816" w:rsidRDefault="009C2F36" w:rsidP="0029515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C2F36" w:rsidRPr="00751816" w14:paraId="683DD06E" w14:textId="77777777" w:rsidTr="00A91A54">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781CA272" w14:textId="77777777" w:rsidR="009C2F36" w:rsidRDefault="009C2F36" w:rsidP="00E3529B">
            <w:pPr>
              <w:spacing w:before="120" w:after="120" w:line="240" w:lineRule="atLeast"/>
              <w:contextualSpacing/>
              <w:rPr>
                <w:rFonts w:ascii="Tahoma" w:hAnsi="Tahoma" w:cs="Tahoma"/>
                <w:sz w:val="20"/>
              </w:rPr>
            </w:pPr>
            <w:r>
              <w:rPr>
                <w:rFonts w:ascii="Tahoma" w:hAnsi="Tahoma" w:cs="Tahoma"/>
                <w:sz w:val="20"/>
              </w:rPr>
              <w:t xml:space="preserve">Field Regulator </w:t>
            </w:r>
          </w:p>
        </w:tc>
        <w:tc>
          <w:tcPr>
            <w:tcW w:w="1735" w:type="pct"/>
            <w:tcBorders>
              <w:top w:val="single" w:sz="4" w:space="0" w:color="00B0F0"/>
              <w:bottom w:val="single" w:sz="4" w:space="0" w:color="00B0F0"/>
            </w:tcBorders>
          </w:tcPr>
          <w:p w14:paraId="5BB43929" w14:textId="09C6AD3D" w:rsidR="009C2F36" w:rsidRDefault="00523D06" w:rsidP="00A91A5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Field Regulators are considered District Regulator Stations (DRS</w:t>
            </w:r>
            <w:r w:rsidR="00AB5F84">
              <w:rPr>
                <w:rFonts w:ascii="Tahoma" w:hAnsi="Tahoma" w:cs="Tahoma"/>
                <w:sz w:val="20"/>
              </w:rPr>
              <w:t>), which</w:t>
            </w:r>
            <w:r>
              <w:rPr>
                <w:rFonts w:ascii="Tahoma" w:hAnsi="Tahoma" w:cs="Tahoma"/>
                <w:sz w:val="20"/>
              </w:rPr>
              <w:t xml:space="preserve"> perform the function of controlling the delivery of gas into the H</w:t>
            </w:r>
            <w:r w:rsidR="007D6230">
              <w:rPr>
                <w:rFonts w:ascii="Tahoma" w:hAnsi="Tahoma" w:cs="Tahoma"/>
                <w:sz w:val="20"/>
              </w:rPr>
              <w:t xml:space="preserve">igh </w:t>
            </w:r>
            <w:r>
              <w:rPr>
                <w:rFonts w:ascii="Tahoma" w:hAnsi="Tahoma" w:cs="Tahoma"/>
                <w:sz w:val="20"/>
              </w:rPr>
              <w:t>P</w:t>
            </w:r>
            <w:r w:rsidR="007D6230">
              <w:rPr>
                <w:rFonts w:ascii="Tahoma" w:hAnsi="Tahoma" w:cs="Tahoma"/>
                <w:sz w:val="20"/>
              </w:rPr>
              <w:t>ressure (HP)</w:t>
            </w:r>
            <w:r>
              <w:rPr>
                <w:rFonts w:ascii="Tahoma" w:hAnsi="Tahoma" w:cs="Tahoma"/>
                <w:sz w:val="20"/>
              </w:rPr>
              <w:t>, M</w:t>
            </w:r>
            <w:r w:rsidR="007D6230">
              <w:rPr>
                <w:rFonts w:ascii="Tahoma" w:hAnsi="Tahoma" w:cs="Tahoma"/>
                <w:sz w:val="20"/>
              </w:rPr>
              <w:t xml:space="preserve">edium </w:t>
            </w:r>
            <w:r>
              <w:rPr>
                <w:rFonts w:ascii="Tahoma" w:hAnsi="Tahoma" w:cs="Tahoma"/>
                <w:sz w:val="20"/>
              </w:rPr>
              <w:t>P</w:t>
            </w:r>
            <w:r w:rsidR="007D6230">
              <w:rPr>
                <w:rFonts w:ascii="Tahoma" w:hAnsi="Tahoma" w:cs="Tahoma"/>
                <w:sz w:val="20"/>
              </w:rPr>
              <w:t>ressure (MP)</w:t>
            </w:r>
            <w:r>
              <w:rPr>
                <w:rFonts w:ascii="Tahoma" w:hAnsi="Tahoma" w:cs="Tahoma"/>
                <w:sz w:val="20"/>
              </w:rPr>
              <w:t>, L</w:t>
            </w:r>
            <w:r w:rsidR="007D6230">
              <w:rPr>
                <w:rFonts w:ascii="Tahoma" w:hAnsi="Tahoma" w:cs="Tahoma"/>
                <w:sz w:val="20"/>
              </w:rPr>
              <w:t>ow Pressure (LP)</w:t>
            </w:r>
            <w:r>
              <w:rPr>
                <w:rFonts w:ascii="Tahoma" w:hAnsi="Tahoma" w:cs="Tahoma"/>
                <w:sz w:val="20"/>
              </w:rPr>
              <w:t xml:space="preserve"> distribution networks within the allowable operating pressure of the downstream network.  </w:t>
            </w:r>
          </w:p>
          <w:p w14:paraId="1EB6178C" w14:textId="77777777" w:rsidR="00A91A54" w:rsidRDefault="00A91A54" w:rsidP="00A91A5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D90F3BC" w14:textId="49C09802" w:rsidR="00AB5F84" w:rsidRPr="00751816" w:rsidRDefault="00523D06" w:rsidP="00A91A5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RIN definition of ‘Field Regulators’ overlaps with the definition of ‘District Regulators’.</w:t>
            </w:r>
            <w:r w:rsidR="00AB5F84">
              <w:rPr>
                <w:rFonts w:ascii="Tahoma" w:hAnsi="Tahoma" w:cs="Tahoma"/>
                <w:sz w:val="20"/>
              </w:rPr>
              <w:t xml:space="preserve">  To avoid double counting</w:t>
            </w:r>
            <w:r w:rsidR="00A44137">
              <w:rPr>
                <w:rFonts w:ascii="Tahoma" w:hAnsi="Tahoma" w:cs="Tahoma"/>
                <w:sz w:val="20"/>
              </w:rPr>
              <w:t>,</w:t>
            </w:r>
            <w:r w:rsidR="00AB5F84">
              <w:rPr>
                <w:rFonts w:ascii="Tahoma" w:hAnsi="Tahoma" w:cs="Tahoma"/>
                <w:sz w:val="20"/>
              </w:rPr>
              <w:t xml:space="preserve"> </w:t>
            </w:r>
            <w:r w:rsidR="00A44137">
              <w:rPr>
                <w:rFonts w:ascii="Tahoma" w:hAnsi="Tahoma" w:cs="Tahoma"/>
                <w:sz w:val="20"/>
              </w:rPr>
              <w:t>AGN</w:t>
            </w:r>
            <w:r w:rsidR="00AB5F84">
              <w:rPr>
                <w:rFonts w:ascii="Tahoma" w:hAnsi="Tahoma" w:cs="Tahoma"/>
                <w:sz w:val="20"/>
              </w:rPr>
              <w:t xml:space="preserve"> will report all as Field Regulators.</w:t>
            </w:r>
          </w:p>
        </w:tc>
        <w:tc>
          <w:tcPr>
            <w:tcW w:w="839" w:type="pct"/>
            <w:tcBorders>
              <w:top w:val="single" w:sz="4" w:space="0" w:color="00B0F0"/>
              <w:bottom w:val="single" w:sz="4" w:space="0" w:color="00B0F0"/>
            </w:tcBorders>
            <w:vAlign w:val="center"/>
          </w:tcPr>
          <w:p w14:paraId="3CE36B1C" w14:textId="26A1D920" w:rsidR="009C2F36" w:rsidRPr="00751816" w:rsidRDefault="00AB5F84" w:rsidP="00343E8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7B90D5BA" w14:textId="77777777" w:rsidR="009C2F36" w:rsidRPr="00751816" w:rsidRDefault="009C2F36" w:rsidP="00E3529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7E64487D" w14:textId="77777777" w:rsidR="009C2F36" w:rsidRPr="00751816" w:rsidRDefault="009C2F36" w:rsidP="00E3529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02657" w:rsidRPr="00751816" w14:paraId="214B57D6" w14:textId="77777777" w:rsidTr="00602657">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2671F0E4" w14:textId="77777777" w:rsidR="00602657" w:rsidRDefault="00602657" w:rsidP="00E3529B">
            <w:pPr>
              <w:spacing w:before="120" w:after="120" w:line="240" w:lineRule="atLeast"/>
              <w:contextualSpacing/>
              <w:rPr>
                <w:rFonts w:ascii="Tahoma" w:hAnsi="Tahoma" w:cs="Tahoma"/>
                <w:sz w:val="20"/>
              </w:rPr>
            </w:pPr>
            <w:r>
              <w:rPr>
                <w:rFonts w:ascii="Tahoma" w:hAnsi="Tahoma" w:cs="Tahoma"/>
                <w:sz w:val="20"/>
              </w:rPr>
              <w:t xml:space="preserve">District Regulator </w:t>
            </w:r>
          </w:p>
        </w:tc>
        <w:tc>
          <w:tcPr>
            <w:tcW w:w="4269" w:type="pct"/>
            <w:gridSpan w:val="4"/>
            <w:tcBorders>
              <w:top w:val="single" w:sz="4" w:space="0" w:color="00B0F0"/>
              <w:bottom w:val="single" w:sz="4" w:space="0" w:color="00B0F0"/>
            </w:tcBorders>
            <w:vAlign w:val="center"/>
          </w:tcPr>
          <w:p w14:paraId="35244931" w14:textId="77777777" w:rsidR="0045441A" w:rsidRDefault="00602657" w:rsidP="0045441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Due to overlap in the definition, these have all been reported as Field Regulators. </w:t>
            </w:r>
          </w:p>
          <w:p w14:paraId="67498F9B" w14:textId="77777777" w:rsidR="0045441A" w:rsidRDefault="0045441A" w:rsidP="0045441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3E5C88C" w14:textId="4C189CF0" w:rsidR="00602657" w:rsidRPr="00751816" w:rsidRDefault="00602657" w:rsidP="0045441A">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Thus we provide a ‘Null’ response in the reporting template for the District Regulator. </w:t>
            </w:r>
          </w:p>
        </w:tc>
      </w:tr>
    </w:tbl>
    <w:p w14:paraId="3CB13169" w14:textId="77777777" w:rsidR="00F45FD2" w:rsidRPr="00F45FD2" w:rsidRDefault="00F45FD2" w:rsidP="00F45FD2"/>
    <w:p w14:paraId="01290CA4" w14:textId="6948FEAC" w:rsidR="00F45FD2" w:rsidRPr="00FF66FF" w:rsidRDefault="00F45FD2"/>
    <w:p w14:paraId="77BCA1DB" w14:textId="77777777" w:rsidR="00FF66FF" w:rsidRDefault="00FF66FF">
      <w:pPr>
        <w:rPr>
          <w:rFonts w:ascii="Tahoma" w:eastAsiaTheme="majorEastAsia" w:hAnsi="Tahoma" w:cs="Tahoma"/>
          <w:b/>
          <w:color w:val="003C71"/>
          <w:sz w:val="32"/>
          <w:szCs w:val="32"/>
        </w:rPr>
      </w:pPr>
      <w:r>
        <w:rPr>
          <w:rFonts w:ascii="Tahoma" w:hAnsi="Tahoma" w:cs="Tahoma"/>
          <w:b/>
          <w:color w:val="003C71"/>
        </w:rPr>
        <w:br w:type="page"/>
      </w:r>
    </w:p>
    <w:p w14:paraId="11AD92F3" w14:textId="23FE8EE5" w:rsidR="00B937BE" w:rsidRDefault="009144DE" w:rsidP="00C059E5">
      <w:pPr>
        <w:pStyle w:val="Heading1"/>
        <w:rPr>
          <w:rFonts w:ascii="Tahoma" w:hAnsi="Tahoma" w:cs="Tahoma"/>
          <w:b/>
          <w:color w:val="003C71"/>
        </w:rPr>
      </w:pPr>
      <w:bookmarkStart w:id="18" w:name="_Toc57314065"/>
      <w:r w:rsidRPr="0095305C">
        <w:rPr>
          <w:rFonts w:ascii="Tahoma" w:hAnsi="Tahoma" w:cs="Tahoma"/>
          <w:b/>
          <w:color w:val="003C71"/>
        </w:rPr>
        <w:lastRenderedPageBreak/>
        <w:t>S1. Customer Numbers</w:t>
      </w:r>
      <w:bookmarkEnd w:id="18"/>
      <w:r w:rsidRPr="0095305C">
        <w:rPr>
          <w:rFonts w:ascii="Tahoma" w:hAnsi="Tahoma" w:cs="Tahoma"/>
          <w:b/>
          <w:color w:val="003C71"/>
        </w:rPr>
        <w:t xml:space="preserve"> </w:t>
      </w:r>
    </w:p>
    <w:p w14:paraId="4AEB1F10" w14:textId="10272368" w:rsidR="009144DE" w:rsidRDefault="009144DE" w:rsidP="00C97516">
      <w:pPr>
        <w:pStyle w:val="Heading2"/>
        <w:rPr>
          <w:rFonts w:ascii="Tahoma" w:hAnsi="Tahoma" w:cs="Tahoma"/>
          <w:color w:val="003C71"/>
        </w:rPr>
      </w:pPr>
      <w:bookmarkStart w:id="19" w:name="_Toc57314066"/>
      <w:r w:rsidRPr="00C97516">
        <w:rPr>
          <w:rFonts w:ascii="Tahoma" w:hAnsi="Tahoma" w:cs="Tahoma"/>
          <w:color w:val="003C71"/>
        </w:rPr>
        <w:t>S1.1 – Customer Numbers – by Customer Type</w:t>
      </w:r>
      <w:bookmarkEnd w:id="19"/>
      <w:r w:rsidRPr="00C97516">
        <w:rPr>
          <w:rFonts w:ascii="Tahoma" w:hAnsi="Tahoma" w:cs="Tahoma"/>
          <w:color w:val="003C71"/>
        </w:rPr>
        <w:t xml:space="preserve"> </w:t>
      </w:r>
    </w:p>
    <w:tbl>
      <w:tblPr>
        <w:tblStyle w:val="UETableStyle"/>
        <w:tblW w:w="4892" w:type="pct"/>
        <w:tblInd w:w="-2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6"/>
        <w:gridCol w:w="4739"/>
        <w:gridCol w:w="2292"/>
        <w:gridCol w:w="2723"/>
        <w:gridCol w:w="1907"/>
      </w:tblGrid>
      <w:tr w:rsidR="009A3E2E" w:rsidRPr="00751816" w14:paraId="6285DE82" w14:textId="77777777" w:rsidTr="009A3E2E">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2BC92B81" w14:textId="5ABDB2E9" w:rsidR="009A3E2E" w:rsidRPr="00751816" w:rsidRDefault="009A3E2E" w:rsidP="00EA7CDA">
            <w:pPr>
              <w:rPr>
                <w:rFonts w:ascii="Tahoma" w:hAnsi="Tahoma" w:cs="Tahoma"/>
                <w:b/>
                <w:color w:val="FFFFFF"/>
                <w:sz w:val="20"/>
              </w:rPr>
            </w:pPr>
            <w:r w:rsidRPr="00751816">
              <w:rPr>
                <w:rFonts w:ascii="Tahoma" w:hAnsi="Tahoma" w:cs="Tahoma"/>
                <w:b/>
                <w:color w:val="FFFFFF"/>
                <w:sz w:val="20"/>
              </w:rPr>
              <w:t xml:space="preserve">Variable </w:t>
            </w:r>
          </w:p>
        </w:tc>
        <w:tc>
          <w:tcPr>
            <w:tcW w:w="1735" w:type="pct"/>
            <w:tcBorders>
              <w:bottom w:val="single" w:sz="4" w:space="0" w:color="00B0F0"/>
            </w:tcBorders>
            <w:shd w:val="clear" w:color="auto" w:fill="003C71"/>
          </w:tcPr>
          <w:p w14:paraId="5F96BB32" w14:textId="77777777" w:rsidR="009A3E2E" w:rsidRPr="00751816" w:rsidRDefault="009A3E2E"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9" w:type="pct"/>
            <w:tcBorders>
              <w:bottom w:val="single" w:sz="4" w:space="0" w:color="00B0F0"/>
            </w:tcBorders>
            <w:shd w:val="clear" w:color="auto" w:fill="003C71"/>
          </w:tcPr>
          <w:p w14:paraId="34984402" w14:textId="77777777" w:rsidR="009A3E2E" w:rsidRPr="00751816" w:rsidRDefault="009A3E2E"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7" w:type="pct"/>
            <w:tcBorders>
              <w:bottom w:val="single" w:sz="4" w:space="0" w:color="00B0F0"/>
            </w:tcBorders>
            <w:shd w:val="clear" w:color="auto" w:fill="003C71"/>
          </w:tcPr>
          <w:p w14:paraId="5075C835" w14:textId="77777777" w:rsidR="009A3E2E" w:rsidRPr="00751816" w:rsidRDefault="009A3E2E"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98" w:type="pct"/>
            <w:tcBorders>
              <w:bottom w:val="single" w:sz="4" w:space="0" w:color="00B0F0"/>
            </w:tcBorders>
            <w:shd w:val="clear" w:color="auto" w:fill="003C71"/>
          </w:tcPr>
          <w:p w14:paraId="518E7E08" w14:textId="77777777" w:rsidR="009A3E2E" w:rsidRPr="00751816" w:rsidRDefault="009A3E2E"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9A3E2E" w:rsidRPr="00751816" w14:paraId="7CA9C129" w14:textId="77777777" w:rsidTr="00EA7CDA">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00A3E0"/>
            <w:vAlign w:val="center"/>
          </w:tcPr>
          <w:p w14:paraId="44B606C1" w14:textId="12F4E8E5" w:rsidR="009A3E2E" w:rsidRPr="00970ECB" w:rsidRDefault="00DD6B14" w:rsidP="009A3E2E">
            <w:pPr>
              <w:spacing w:before="120" w:after="120" w:line="240" w:lineRule="atLeast"/>
              <w:contextualSpacing/>
              <w:rPr>
                <w:rFonts w:ascii="Tahoma" w:hAnsi="Tahoma" w:cs="Tahoma"/>
                <w:sz w:val="20"/>
              </w:rPr>
            </w:pPr>
            <w:r>
              <w:rPr>
                <w:rFonts w:ascii="Tahoma" w:hAnsi="Tahoma" w:cs="Tahoma"/>
                <w:sz w:val="20"/>
              </w:rPr>
              <w:t>2019/20</w:t>
            </w:r>
          </w:p>
        </w:tc>
        <w:tc>
          <w:tcPr>
            <w:tcW w:w="4269" w:type="pct"/>
            <w:gridSpan w:val="4"/>
            <w:tcBorders>
              <w:top w:val="single" w:sz="4" w:space="0" w:color="00B0F0"/>
              <w:bottom w:val="single" w:sz="4" w:space="0" w:color="00B0F0"/>
            </w:tcBorders>
            <w:shd w:val="clear" w:color="auto" w:fill="00A3E0"/>
            <w:vAlign w:val="center"/>
          </w:tcPr>
          <w:p w14:paraId="162DF8AD" w14:textId="77777777" w:rsidR="009A3E2E" w:rsidRPr="00751816" w:rsidRDefault="009A3E2E"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0F5C631E" w14:textId="77777777" w:rsidTr="00EA7CDA">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17644A91" w14:textId="77777777" w:rsidR="009A3E2E" w:rsidRPr="00654EBD" w:rsidRDefault="009A3E2E" w:rsidP="009A3E2E">
            <w:pPr>
              <w:spacing w:before="120" w:after="120" w:line="240" w:lineRule="atLeast"/>
              <w:contextualSpacing/>
              <w:rPr>
                <w:rFonts w:ascii="Tahoma" w:hAnsi="Tahoma" w:cs="Tahoma"/>
                <w:b/>
                <w:sz w:val="20"/>
              </w:rPr>
            </w:pPr>
            <w:r w:rsidRPr="00654EBD">
              <w:rPr>
                <w:rFonts w:ascii="Tahoma" w:hAnsi="Tahoma" w:cs="Tahoma"/>
                <w:b/>
                <w:sz w:val="20"/>
              </w:rPr>
              <w:t xml:space="preserve">A. Residential </w:t>
            </w:r>
          </w:p>
        </w:tc>
        <w:tc>
          <w:tcPr>
            <w:tcW w:w="1735" w:type="pct"/>
            <w:tcBorders>
              <w:top w:val="single" w:sz="4" w:space="0" w:color="00B0F0"/>
              <w:bottom w:val="single" w:sz="4" w:space="0" w:color="00B0F0"/>
            </w:tcBorders>
            <w:vAlign w:val="center"/>
          </w:tcPr>
          <w:p w14:paraId="246B248C" w14:textId="77777777" w:rsidR="009A3E2E" w:rsidRPr="00751816" w:rsidRDefault="009A3E2E"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39" w:type="pct"/>
            <w:tcBorders>
              <w:top w:val="single" w:sz="4" w:space="0" w:color="00B0F0"/>
              <w:bottom w:val="single" w:sz="4" w:space="0" w:color="00B0F0"/>
            </w:tcBorders>
            <w:vAlign w:val="center"/>
          </w:tcPr>
          <w:p w14:paraId="3D65DE5C" w14:textId="7913C10B"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997" w:type="pct"/>
            <w:tcBorders>
              <w:top w:val="single" w:sz="4" w:space="0" w:color="00B0F0"/>
              <w:bottom w:val="single" w:sz="4" w:space="0" w:color="00B0F0"/>
            </w:tcBorders>
            <w:vAlign w:val="center"/>
          </w:tcPr>
          <w:p w14:paraId="08103E8D" w14:textId="05E1B052"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723C5381" w14:textId="3E35EDDD"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4E3CD243"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66533510" w14:textId="2FDB6F77" w:rsidR="009A3E2E" w:rsidRDefault="009A3E2E" w:rsidP="009A3E2E">
            <w:pPr>
              <w:spacing w:before="120" w:after="120" w:line="240" w:lineRule="atLeast"/>
              <w:contextualSpacing/>
              <w:rPr>
                <w:rFonts w:ascii="Tahoma" w:hAnsi="Tahoma" w:cs="Tahoma"/>
                <w:sz w:val="20"/>
              </w:rPr>
            </w:pPr>
            <w:r>
              <w:rPr>
                <w:rFonts w:ascii="Tahoma" w:hAnsi="Tahoma" w:cs="Tahoma"/>
                <w:sz w:val="20"/>
              </w:rPr>
              <w:t>Customer number</w:t>
            </w:r>
            <w:r w:rsidR="00505D3E">
              <w:rPr>
                <w:rFonts w:ascii="Tahoma" w:hAnsi="Tahoma" w:cs="Tahoma"/>
                <w:sz w:val="20"/>
              </w:rPr>
              <w:t>s</w:t>
            </w:r>
            <w:r>
              <w:rPr>
                <w:rFonts w:ascii="Tahoma" w:hAnsi="Tahoma" w:cs="Tahoma"/>
                <w:sz w:val="20"/>
              </w:rPr>
              <w:t xml:space="preserve"> as at 1 July </w:t>
            </w:r>
          </w:p>
        </w:tc>
        <w:tc>
          <w:tcPr>
            <w:tcW w:w="1735" w:type="pct"/>
            <w:tcBorders>
              <w:top w:val="single" w:sz="4" w:space="0" w:color="00B0F0"/>
              <w:bottom w:val="single" w:sz="4" w:space="0" w:color="00B0F0"/>
            </w:tcBorders>
            <w:vAlign w:val="center"/>
          </w:tcPr>
          <w:p w14:paraId="05E1F3A4" w14:textId="7792342B" w:rsidR="009A3E2E" w:rsidRPr="007B5588" w:rsidRDefault="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w:t>
            </w:r>
            <w:r w:rsidR="003677E3" w:rsidRPr="007B5588">
              <w:rPr>
                <w:rFonts w:ascii="Tahoma" w:hAnsi="Tahoma" w:cs="Tahoma"/>
                <w:sz w:val="20"/>
              </w:rPr>
              <w:t xml:space="preserve">APA’s </w:t>
            </w:r>
            <w:r w:rsidR="00E2488D" w:rsidRPr="00707D14">
              <w:rPr>
                <w:rFonts w:ascii="Tahoma" w:hAnsi="Tahoma" w:cs="Tahoma"/>
                <w:sz w:val="20"/>
              </w:rPr>
              <w:t>NASA</w:t>
            </w:r>
            <w:r w:rsidR="003677E3" w:rsidRPr="00707D14">
              <w:rPr>
                <w:rFonts w:ascii="Tahoma" w:hAnsi="Tahoma" w:cs="Tahoma"/>
                <w:sz w:val="20"/>
              </w:rPr>
              <w:t xml:space="preserve"> system which contains demand data</w:t>
            </w:r>
            <w:r w:rsidR="00E2488D" w:rsidRPr="00707D14">
              <w:rPr>
                <w:rFonts w:ascii="Tahoma" w:hAnsi="Tahoma" w:cs="Tahoma"/>
                <w:sz w:val="20"/>
              </w:rPr>
              <w:t xml:space="preserve">.  The Tanunda </w:t>
            </w:r>
            <w:r w:rsidR="003677E3" w:rsidRPr="00707D14">
              <w:rPr>
                <w:rFonts w:ascii="Tahoma" w:hAnsi="Tahoma" w:cs="Tahoma"/>
                <w:sz w:val="20"/>
              </w:rPr>
              <w:t xml:space="preserve">customer </w:t>
            </w:r>
            <w:r w:rsidR="00E2488D" w:rsidRPr="00707D14">
              <w:rPr>
                <w:rFonts w:ascii="Tahoma" w:hAnsi="Tahoma" w:cs="Tahoma"/>
                <w:sz w:val="20"/>
              </w:rPr>
              <w:t xml:space="preserve">numbers are from the reporting database which is populated from </w:t>
            </w:r>
            <w:r w:rsidR="003677E3" w:rsidRPr="00707D14">
              <w:rPr>
                <w:rFonts w:ascii="Tahoma" w:hAnsi="Tahoma" w:cs="Tahoma"/>
                <w:sz w:val="20"/>
              </w:rPr>
              <w:t>APA’s Customer Care and Billing (CC&amp;B) Oracle System</w:t>
            </w:r>
            <w:r w:rsidR="00E2488D" w:rsidRPr="00707D14">
              <w:rPr>
                <w:rFonts w:ascii="Tahoma" w:hAnsi="Tahoma" w:cs="Tahoma"/>
                <w:sz w:val="20"/>
              </w:rPr>
              <w:t xml:space="preserve"> data.</w:t>
            </w:r>
          </w:p>
        </w:tc>
        <w:tc>
          <w:tcPr>
            <w:tcW w:w="839" w:type="pct"/>
            <w:tcBorders>
              <w:top w:val="single" w:sz="4" w:space="0" w:color="00B0F0"/>
              <w:bottom w:val="single" w:sz="4" w:space="0" w:color="00B0F0"/>
            </w:tcBorders>
            <w:vAlign w:val="center"/>
          </w:tcPr>
          <w:p w14:paraId="484C8849"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3B152AB7" w14:textId="08067F8E"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36149249" w14:textId="4A465A64"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434CCFF2"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0E5B22B8" w14:textId="12F35DAD" w:rsidR="009A3E2E" w:rsidRDefault="009A3E2E" w:rsidP="009A3E2E">
            <w:pPr>
              <w:spacing w:before="120" w:after="120" w:line="240" w:lineRule="atLeast"/>
              <w:contextualSpacing/>
              <w:rPr>
                <w:rFonts w:ascii="Tahoma" w:hAnsi="Tahoma" w:cs="Tahoma"/>
                <w:sz w:val="20"/>
              </w:rPr>
            </w:pPr>
            <w:r>
              <w:rPr>
                <w:rFonts w:ascii="Tahoma" w:hAnsi="Tahoma" w:cs="Tahoma"/>
                <w:sz w:val="20"/>
              </w:rPr>
              <w:t>Customer number</w:t>
            </w:r>
            <w:r w:rsidR="00505D3E">
              <w:rPr>
                <w:rFonts w:ascii="Tahoma" w:hAnsi="Tahoma" w:cs="Tahoma"/>
                <w:sz w:val="20"/>
              </w:rPr>
              <w:t>s</w:t>
            </w:r>
            <w:r>
              <w:rPr>
                <w:rFonts w:ascii="Tahoma" w:hAnsi="Tahoma" w:cs="Tahoma"/>
                <w:sz w:val="20"/>
              </w:rPr>
              <w:t xml:space="preserve"> as at 30 June</w:t>
            </w:r>
          </w:p>
        </w:tc>
        <w:tc>
          <w:tcPr>
            <w:tcW w:w="1735" w:type="pct"/>
            <w:tcBorders>
              <w:top w:val="single" w:sz="4" w:space="0" w:color="00B0F0"/>
              <w:bottom w:val="single" w:sz="4" w:space="0" w:color="00B0F0"/>
            </w:tcBorders>
            <w:vAlign w:val="center"/>
          </w:tcPr>
          <w:p w14:paraId="1957237A" w14:textId="4CA5166C"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3EF8CCCC"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69D580E7" w14:textId="5AF0A435"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3EBF131B" w14:textId="7C581A29"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46174AD5"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74D24849" w14:textId="77777777" w:rsidR="009A3E2E" w:rsidRDefault="009A3E2E" w:rsidP="009A3E2E">
            <w:pPr>
              <w:spacing w:before="120" w:after="120" w:line="240" w:lineRule="atLeast"/>
              <w:contextualSpacing/>
              <w:rPr>
                <w:rFonts w:ascii="Tahoma" w:hAnsi="Tahoma" w:cs="Tahoma"/>
                <w:sz w:val="20"/>
              </w:rPr>
            </w:pPr>
            <w:r>
              <w:rPr>
                <w:rFonts w:ascii="Tahoma" w:hAnsi="Tahoma" w:cs="Tahoma"/>
                <w:sz w:val="20"/>
              </w:rPr>
              <w:t xml:space="preserve">Total customer connections </w:t>
            </w:r>
          </w:p>
        </w:tc>
        <w:tc>
          <w:tcPr>
            <w:tcW w:w="1735" w:type="pct"/>
            <w:tcBorders>
              <w:top w:val="single" w:sz="4" w:space="0" w:color="00B0F0"/>
              <w:bottom w:val="single" w:sz="4" w:space="0" w:color="00B0F0"/>
            </w:tcBorders>
            <w:vAlign w:val="center"/>
          </w:tcPr>
          <w:p w14:paraId="13C61055" w14:textId="4898B622"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306D3C76"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69B53B74" w14:textId="7717C71B"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68B6C102" w14:textId="5CD87545"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6B4AC401"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069EB6CF" w14:textId="77777777" w:rsidR="009A3E2E" w:rsidRDefault="009A3E2E" w:rsidP="009A3E2E">
            <w:pPr>
              <w:spacing w:before="120" w:after="120" w:line="240" w:lineRule="atLeast"/>
              <w:contextualSpacing/>
              <w:rPr>
                <w:rFonts w:ascii="Tahoma" w:hAnsi="Tahoma" w:cs="Tahoma"/>
                <w:sz w:val="20"/>
              </w:rPr>
            </w:pPr>
            <w:r>
              <w:rPr>
                <w:rFonts w:ascii="Tahoma" w:hAnsi="Tahoma" w:cs="Tahoma"/>
                <w:sz w:val="20"/>
              </w:rPr>
              <w:t xml:space="preserve">Total customer disconnections </w:t>
            </w:r>
          </w:p>
        </w:tc>
        <w:tc>
          <w:tcPr>
            <w:tcW w:w="1735" w:type="pct"/>
            <w:tcBorders>
              <w:top w:val="single" w:sz="4" w:space="0" w:color="00B0F0"/>
              <w:bottom w:val="single" w:sz="4" w:space="0" w:color="00B0F0"/>
            </w:tcBorders>
            <w:vAlign w:val="center"/>
          </w:tcPr>
          <w:p w14:paraId="0B1369DF" w14:textId="19B3F71D"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02D1582C"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34304064" w14:textId="01B6932B"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3A22FCD8" w14:textId="663E5E5A"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779A1214" w14:textId="77777777" w:rsidTr="00641102">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2E4E5CE4" w14:textId="77777777" w:rsidR="009A3E2E" w:rsidRPr="005E7C37" w:rsidRDefault="009A3E2E" w:rsidP="009A3E2E">
            <w:pPr>
              <w:spacing w:before="120" w:after="120" w:line="240" w:lineRule="atLeast"/>
              <w:contextualSpacing/>
              <w:rPr>
                <w:rFonts w:ascii="Tahoma" w:hAnsi="Tahoma" w:cs="Tahoma"/>
                <w:b/>
                <w:sz w:val="20"/>
              </w:rPr>
            </w:pPr>
            <w:r w:rsidRPr="005E7C37">
              <w:rPr>
                <w:rFonts w:ascii="Tahoma" w:hAnsi="Tahoma" w:cs="Tahoma"/>
                <w:b/>
                <w:sz w:val="20"/>
              </w:rPr>
              <w:t xml:space="preserve">B. Commercial </w:t>
            </w:r>
          </w:p>
        </w:tc>
        <w:tc>
          <w:tcPr>
            <w:tcW w:w="1735" w:type="pct"/>
            <w:tcBorders>
              <w:top w:val="single" w:sz="4" w:space="0" w:color="00B0F0"/>
              <w:bottom w:val="single" w:sz="4" w:space="0" w:color="00B0F0"/>
            </w:tcBorders>
            <w:vAlign w:val="center"/>
          </w:tcPr>
          <w:p w14:paraId="0F4E5A7E" w14:textId="77777777" w:rsidR="009A3E2E" w:rsidRPr="00751816" w:rsidRDefault="009A3E2E"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39" w:type="pct"/>
            <w:tcBorders>
              <w:top w:val="single" w:sz="4" w:space="0" w:color="00B0F0"/>
              <w:bottom w:val="single" w:sz="4" w:space="0" w:color="00B0F0"/>
            </w:tcBorders>
            <w:vAlign w:val="center"/>
          </w:tcPr>
          <w:p w14:paraId="4BF24813"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997" w:type="pct"/>
            <w:tcBorders>
              <w:top w:val="single" w:sz="4" w:space="0" w:color="00B0F0"/>
              <w:bottom w:val="single" w:sz="4" w:space="0" w:color="00B0F0"/>
            </w:tcBorders>
            <w:vAlign w:val="center"/>
          </w:tcPr>
          <w:p w14:paraId="28C3D280" w14:textId="77777777"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7B6F4AEB" w14:textId="77777777"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66E4CE13"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6CB47B14" w14:textId="10EF08F9" w:rsidR="009A3E2E" w:rsidRDefault="009A3E2E" w:rsidP="009A3E2E">
            <w:pPr>
              <w:spacing w:before="120" w:after="120" w:line="240" w:lineRule="atLeast"/>
              <w:contextualSpacing/>
              <w:rPr>
                <w:rFonts w:ascii="Tahoma" w:hAnsi="Tahoma" w:cs="Tahoma"/>
                <w:sz w:val="20"/>
              </w:rPr>
            </w:pPr>
            <w:r>
              <w:rPr>
                <w:rFonts w:ascii="Tahoma" w:hAnsi="Tahoma" w:cs="Tahoma"/>
                <w:sz w:val="20"/>
              </w:rPr>
              <w:t>Customer number</w:t>
            </w:r>
            <w:r w:rsidR="00505D3E">
              <w:rPr>
                <w:rFonts w:ascii="Tahoma" w:hAnsi="Tahoma" w:cs="Tahoma"/>
                <w:sz w:val="20"/>
              </w:rPr>
              <w:t>s</w:t>
            </w:r>
            <w:r>
              <w:rPr>
                <w:rFonts w:ascii="Tahoma" w:hAnsi="Tahoma" w:cs="Tahoma"/>
                <w:sz w:val="20"/>
              </w:rPr>
              <w:t xml:space="preserve"> as at 1 July </w:t>
            </w:r>
          </w:p>
        </w:tc>
        <w:tc>
          <w:tcPr>
            <w:tcW w:w="1735" w:type="pct"/>
            <w:tcBorders>
              <w:top w:val="single" w:sz="4" w:space="0" w:color="00B0F0"/>
              <w:bottom w:val="single" w:sz="4" w:space="0" w:color="00B0F0"/>
            </w:tcBorders>
            <w:vAlign w:val="center"/>
          </w:tcPr>
          <w:p w14:paraId="640ECDC6" w14:textId="653D92BB"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 xml:space="preserve">NASA system which contains demand data.  The Tanunda customer numbers are from the reporting database </w:t>
            </w:r>
            <w:r w:rsidRPr="00707D14">
              <w:rPr>
                <w:rFonts w:ascii="Tahoma" w:hAnsi="Tahoma" w:cs="Tahoma"/>
                <w:sz w:val="20"/>
              </w:rPr>
              <w:lastRenderedPageBreak/>
              <w:t>which is populated from APA’s Customer Care and Billing (CC&amp;B) Oracle System data.</w:t>
            </w:r>
          </w:p>
        </w:tc>
        <w:tc>
          <w:tcPr>
            <w:tcW w:w="839" w:type="pct"/>
            <w:tcBorders>
              <w:top w:val="single" w:sz="4" w:space="0" w:color="00B0F0"/>
              <w:bottom w:val="single" w:sz="4" w:space="0" w:color="00B0F0"/>
            </w:tcBorders>
            <w:vAlign w:val="center"/>
          </w:tcPr>
          <w:p w14:paraId="26F904EA"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997" w:type="pct"/>
            <w:tcBorders>
              <w:top w:val="single" w:sz="4" w:space="0" w:color="00B0F0"/>
              <w:bottom w:val="single" w:sz="4" w:space="0" w:color="00B0F0"/>
            </w:tcBorders>
            <w:vAlign w:val="center"/>
          </w:tcPr>
          <w:p w14:paraId="3A3E52A2" w14:textId="1655646D"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03F4F197" w14:textId="54387E62"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6E6680E9"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72C28CC9" w14:textId="0C182D26" w:rsidR="009A3E2E" w:rsidRDefault="009A3E2E" w:rsidP="009A3E2E">
            <w:pPr>
              <w:spacing w:before="120" w:after="120" w:line="240" w:lineRule="atLeast"/>
              <w:contextualSpacing/>
              <w:rPr>
                <w:rFonts w:ascii="Tahoma" w:hAnsi="Tahoma" w:cs="Tahoma"/>
                <w:sz w:val="20"/>
              </w:rPr>
            </w:pPr>
            <w:r>
              <w:rPr>
                <w:rFonts w:ascii="Tahoma" w:hAnsi="Tahoma" w:cs="Tahoma"/>
                <w:sz w:val="20"/>
              </w:rPr>
              <w:t>Customer number</w:t>
            </w:r>
            <w:r w:rsidR="00505D3E">
              <w:rPr>
                <w:rFonts w:ascii="Tahoma" w:hAnsi="Tahoma" w:cs="Tahoma"/>
                <w:sz w:val="20"/>
              </w:rPr>
              <w:t>s</w:t>
            </w:r>
            <w:r>
              <w:rPr>
                <w:rFonts w:ascii="Tahoma" w:hAnsi="Tahoma" w:cs="Tahoma"/>
                <w:sz w:val="20"/>
              </w:rPr>
              <w:t xml:space="preserve"> as at 30 June</w:t>
            </w:r>
          </w:p>
        </w:tc>
        <w:tc>
          <w:tcPr>
            <w:tcW w:w="1735" w:type="pct"/>
            <w:tcBorders>
              <w:top w:val="single" w:sz="4" w:space="0" w:color="00B0F0"/>
              <w:bottom w:val="single" w:sz="4" w:space="0" w:color="00B0F0"/>
            </w:tcBorders>
            <w:vAlign w:val="center"/>
          </w:tcPr>
          <w:p w14:paraId="5D814242" w14:textId="402B061E"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42D7D1BE"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6C9631D9" w14:textId="753BA347"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59034B24" w14:textId="64FA6683"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2625BFB7"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6D6C6CDE" w14:textId="77777777" w:rsidR="009A3E2E" w:rsidRDefault="009A3E2E" w:rsidP="009A3E2E">
            <w:pPr>
              <w:spacing w:before="120" w:after="120" w:line="240" w:lineRule="atLeast"/>
              <w:contextualSpacing/>
              <w:rPr>
                <w:rFonts w:ascii="Tahoma" w:hAnsi="Tahoma" w:cs="Tahoma"/>
                <w:sz w:val="20"/>
              </w:rPr>
            </w:pPr>
            <w:r>
              <w:rPr>
                <w:rFonts w:ascii="Tahoma" w:hAnsi="Tahoma" w:cs="Tahoma"/>
                <w:sz w:val="20"/>
              </w:rPr>
              <w:t xml:space="preserve">Total customer connections </w:t>
            </w:r>
          </w:p>
        </w:tc>
        <w:tc>
          <w:tcPr>
            <w:tcW w:w="1735" w:type="pct"/>
            <w:tcBorders>
              <w:top w:val="single" w:sz="4" w:space="0" w:color="00B0F0"/>
              <w:bottom w:val="single" w:sz="4" w:space="0" w:color="00B0F0"/>
            </w:tcBorders>
            <w:vAlign w:val="center"/>
          </w:tcPr>
          <w:p w14:paraId="1F3C030B" w14:textId="0BD4B6BB"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5C4D79FC"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234DB335" w14:textId="22005E99"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76E0B8FD" w14:textId="0BF3C605"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061A4422"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1138A86C" w14:textId="77777777" w:rsidR="009A3E2E" w:rsidRDefault="009A3E2E" w:rsidP="009A3E2E">
            <w:pPr>
              <w:spacing w:before="120" w:after="120" w:line="240" w:lineRule="atLeast"/>
              <w:contextualSpacing/>
              <w:rPr>
                <w:rFonts w:ascii="Tahoma" w:hAnsi="Tahoma" w:cs="Tahoma"/>
                <w:sz w:val="20"/>
              </w:rPr>
            </w:pPr>
            <w:r>
              <w:rPr>
                <w:rFonts w:ascii="Tahoma" w:hAnsi="Tahoma" w:cs="Tahoma"/>
                <w:sz w:val="20"/>
              </w:rPr>
              <w:t xml:space="preserve">Total customer disconnections </w:t>
            </w:r>
          </w:p>
        </w:tc>
        <w:tc>
          <w:tcPr>
            <w:tcW w:w="1735" w:type="pct"/>
            <w:tcBorders>
              <w:top w:val="single" w:sz="4" w:space="0" w:color="00B0F0"/>
              <w:bottom w:val="single" w:sz="4" w:space="0" w:color="00B0F0"/>
            </w:tcBorders>
            <w:vAlign w:val="center"/>
          </w:tcPr>
          <w:p w14:paraId="2F92D7C5" w14:textId="087E7784"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2F6C7037"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6E19CB0A" w14:textId="5C036BB2"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6E8F2F66" w14:textId="0339D094"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2FACE7F3" w14:textId="77777777" w:rsidTr="00343E89">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38B48B5E" w14:textId="77777777" w:rsidR="009A3E2E" w:rsidRPr="005E7C37" w:rsidRDefault="009A3E2E" w:rsidP="009A3E2E">
            <w:pPr>
              <w:spacing w:before="120" w:after="120" w:line="240" w:lineRule="atLeast"/>
              <w:contextualSpacing/>
              <w:rPr>
                <w:rFonts w:ascii="Tahoma" w:hAnsi="Tahoma" w:cs="Tahoma"/>
                <w:b/>
                <w:sz w:val="20"/>
              </w:rPr>
            </w:pPr>
            <w:r w:rsidRPr="005E7C37">
              <w:rPr>
                <w:rFonts w:ascii="Tahoma" w:hAnsi="Tahoma" w:cs="Tahoma"/>
                <w:b/>
                <w:sz w:val="20"/>
              </w:rPr>
              <w:t xml:space="preserve">C. Industrial </w:t>
            </w:r>
          </w:p>
        </w:tc>
        <w:tc>
          <w:tcPr>
            <w:tcW w:w="1735" w:type="pct"/>
            <w:tcBorders>
              <w:top w:val="single" w:sz="4" w:space="0" w:color="00B0F0"/>
              <w:bottom w:val="single" w:sz="4" w:space="0" w:color="00B0F0"/>
            </w:tcBorders>
            <w:vAlign w:val="center"/>
          </w:tcPr>
          <w:p w14:paraId="015365C7" w14:textId="77777777" w:rsidR="009A3E2E" w:rsidRPr="00751816" w:rsidRDefault="009A3E2E"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39" w:type="pct"/>
            <w:tcBorders>
              <w:top w:val="single" w:sz="4" w:space="0" w:color="00B0F0"/>
              <w:bottom w:val="single" w:sz="4" w:space="0" w:color="00B0F0"/>
            </w:tcBorders>
            <w:vAlign w:val="center"/>
          </w:tcPr>
          <w:p w14:paraId="7774217C" w14:textId="77777777" w:rsidR="009A3E2E" w:rsidRPr="00751816" w:rsidRDefault="009A3E2E" w:rsidP="006148C3">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997" w:type="pct"/>
            <w:tcBorders>
              <w:top w:val="single" w:sz="4" w:space="0" w:color="00B0F0"/>
              <w:bottom w:val="single" w:sz="4" w:space="0" w:color="00B0F0"/>
            </w:tcBorders>
            <w:vAlign w:val="center"/>
          </w:tcPr>
          <w:p w14:paraId="3D3599F8" w14:textId="77777777" w:rsidR="009A3E2E" w:rsidRPr="00751816" w:rsidRDefault="009A3E2E"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4C609124" w14:textId="77777777" w:rsidR="009A3E2E" w:rsidRPr="00751816" w:rsidRDefault="009A3E2E"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3F50D7EF"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174B0EE6" w14:textId="4F805F63" w:rsidR="009A3E2E" w:rsidRDefault="009A3E2E" w:rsidP="009A3E2E">
            <w:pPr>
              <w:spacing w:before="120" w:after="120" w:line="240" w:lineRule="atLeast"/>
              <w:contextualSpacing/>
              <w:rPr>
                <w:rFonts w:ascii="Tahoma" w:hAnsi="Tahoma" w:cs="Tahoma"/>
                <w:sz w:val="20"/>
              </w:rPr>
            </w:pPr>
            <w:r>
              <w:rPr>
                <w:rFonts w:ascii="Tahoma" w:hAnsi="Tahoma" w:cs="Tahoma"/>
                <w:sz w:val="20"/>
              </w:rPr>
              <w:t>Customer number</w:t>
            </w:r>
            <w:r w:rsidR="00505D3E">
              <w:rPr>
                <w:rFonts w:ascii="Tahoma" w:hAnsi="Tahoma" w:cs="Tahoma"/>
                <w:sz w:val="20"/>
              </w:rPr>
              <w:t>s</w:t>
            </w:r>
            <w:r>
              <w:rPr>
                <w:rFonts w:ascii="Tahoma" w:hAnsi="Tahoma" w:cs="Tahoma"/>
                <w:sz w:val="20"/>
              </w:rPr>
              <w:t xml:space="preserve"> as at 1 July </w:t>
            </w:r>
          </w:p>
        </w:tc>
        <w:tc>
          <w:tcPr>
            <w:tcW w:w="1735" w:type="pct"/>
            <w:tcBorders>
              <w:top w:val="single" w:sz="4" w:space="0" w:color="00B0F0"/>
              <w:bottom w:val="single" w:sz="4" w:space="0" w:color="00B0F0"/>
            </w:tcBorders>
            <w:vAlign w:val="center"/>
          </w:tcPr>
          <w:p w14:paraId="3AFFDFFF" w14:textId="04EDD524"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05411787"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2D303A03" w14:textId="2D06100C"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2E2E3FC3" w14:textId="3A8575D4"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17D67BEC"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1B78B93A" w14:textId="4C0A0C88" w:rsidR="009A3E2E" w:rsidRDefault="009A3E2E" w:rsidP="009A3E2E">
            <w:pPr>
              <w:spacing w:before="120" w:after="120" w:line="240" w:lineRule="atLeast"/>
              <w:contextualSpacing/>
              <w:rPr>
                <w:rFonts w:ascii="Tahoma" w:hAnsi="Tahoma" w:cs="Tahoma"/>
                <w:sz w:val="20"/>
              </w:rPr>
            </w:pPr>
            <w:r>
              <w:rPr>
                <w:rFonts w:ascii="Tahoma" w:hAnsi="Tahoma" w:cs="Tahoma"/>
                <w:sz w:val="20"/>
              </w:rPr>
              <w:t>Customer number</w:t>
            </w:r>
            <w:r w:rsidR="00505D3E">
              <w:rPr>
                <w:rFonts w:ascii="Tahoma" w:hAnsi="Tahoma" w:cs="Tahoma"/>
                <w:sz w:val="20"/>
              </w:rPr>
              <w:t>s</w:t>
            </w:r>
            <w:r>
              <w:rPr>
                <w:rFonts w:ascii="Tahoma" w:hAnsi="Tahoma" w:cs="Tahoma"/>
                <w:sz w:val="20"/>
              </w:rPr>
              <w:t xml:space="preserve"> as at 30 June</w:t>
            </w:r>
          </w:p>
        </w:tc>
        <w:tc>
          <w:tcPr>
            <w:tcW w:w="1735" w:type="pct"/>
            <w:tcBorders>
              <w:top w:val="single" w:sz="4" w:space="0" w:color="00B0F0"/>
              <w:bottom w:val="single" w:sz="4" w:space="0" w:color="00B0F0"/>
            </w:tcBorders>
            <w:vAlign w:val="center"/>
          </w:tcPr>
          <w:p w14:paraId="7997E642" w14:textId="5DEF99C4"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536978B2"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10483549" w14:textId="720AB7A5"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3D30E538" w14:textId="0A4772C5"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6D028138"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1A5CD9C3" w14:textId="77777777" w:rsidR="009A3E2E" w:rsidRDefault="009A3E2E" w:rsidP="009A3E2E">
            <w:pPr>
              <w:spacing w:before="120" w:after="120" w:line="240" w:lineRule="atLeast"/>
              <w:contextualSpacing/>
              <w:rPr>
                <w:rFonts w:ascii="Tahoma" w:hAnsi="Tahoma" w:cs="Tahoma"/>
                <w:sz w:val="20"/>
              </w:rPr>
            </w:pPr>
            <w:r>
              <w:rPr>
                <w:rFonts w:ascii="Tahoma" w:hAnsi="Tahoma" w:cs="Tahoma"/>
                <w:sz w:val="20"/>
              </w:rPr>
              <w:lastRenderedPageBreak/>
              <w:t xml:space="preserve">Total customer connections </w:t>
            </w:r>
          </w:p>
        </w:tc>
        <w:tc>
          <w:tcPr>
            <w:tcW w:w="1735" w:type="pct"/>
            <w:tcBorders>
              <w:top w:val="single" w:sz="4" w:space="0" w:color="00B0F0"/>
              <w:bottom w:val="single" w:sz="4" w:space="0" w:color="00B0F0"/>
            </w:tcBorders>
            <w:vAlign w:val="center"/>
          </w:tcPr>
          <w:p w14:paraId="295001F3" w14:textId="48B2035A"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7D679559"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09D981E1" w14:textId="0C666F85"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785842AB" w14:textId="20342B1B"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7C45C45F"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14243F27" w14:textId="77777777" w:rsidR="009A3E2E" w:rsidRDefault="009A3E2E" w:rsidP="009A3E2E">
            <w:pPr>
              <w:spacing w:before="120" w:after="120" w:line="240" w:lineRule="atLeast"/>
              <w:contextualSpacing/>
              <w:rPr>
                <w:rFonts w:ascii="Tahoma" w:hAnsi="Tahoma" w:cs="Tahoma"/>
                <w:sz w:val="20"/>
              </w:rPr>
            </w:pPr>
            <w:r>
              <w:rPr>
                <w:rFonts w:ascii="Tahoma" w:hAnsi="Tahoma" w:cs="Tahoma"/>
                <w:sz w:val="20"/>
              </w:rPr>
              <w:t xml:space="preserve">Total customer disconnections </w:t>
            </w:r>
          </w:p>
        </w:tc>
        <w:tc>
          <w:tcPr>
            <w:tcW w:w="1735" w:type="pct"/>
            <w:tcBorders>
              <w:top w:val="single" w:sz="4" w:space="0" w:color="00B0F0"/>
              <w:bottom w:val="single" w:sz="4" w:space="0" w:color="00B0F0"/>
            </w:tcBorders>
            <w:vAlign w:val="center"/>
          </w:tcPr>
          <w:p w14:paraId="293846BD" w14:textId="50606D5F"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6EFE8A63"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360FEDFA" w14:textId="7E8A9C0A"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1C296CF5" w14:textId="50D10A72"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1B8B7AC2" w14:textId="77777777" w:rsidR="009A3E2E" w:rsidRPr="00F45FD2" w:rsidRDefault="009A3E2E" w:rsidP="009A3E2E"/>
    <w:p w14:paraId="3790141B" w14:textId="77777777" w:rsidR="00EA7CDA" w:rsidRDefault="00EA7CDA">
      <w:pPr>
        <w:rPr>
          <w:rFonts w:ascii="Tahoma" w:eastAsiaTheme="majorEastAsia" w:hAnsi="Tahoma" w:cs="Tahoma"/>
          <w:color w:val="003C71"/>
          <w:sz w:val="26"/>
          <w:szCs w:val="26"/>
        </w:rPr>
      </w:pPr>
      <w:r>
        <w:rPr>
          <w:rFonts w:ascii="Tahoma" w:hAnsi="Tahoma" w:cs="Tahoma"/>
          <w:color w:val="003C71"/>
        </w:rPr>
        <w:br w:type="page"/>
      </w:r>
    </w:p>
    <w:p w14:paraId="391377CA" w14:textId="7EF5D241" w:rsidR="009144DE" w:rsidRDefault="009144DE" w:rsidP="00FF66FF">
      <w:pPr>
        <w:pStyle w:val="Heading2"/>
        <w:spacing w:before="160"/>
        <w:rPr>
          <w:rFonts w:ascii="Tahoma" w:hAnsi="Tahoma" w:cs="Tahoma"/>
          <w:color w:val="003C71"/>
        </w:rPr>
      </w:pPr>
      <w:bookmarkStart w:id="20" w:name="_Toc57314067"/>
      <w:r w:rsidRPr="00C97516">
        <w:rPr>
          <w:rFonts w:ascii="Tahoma" w:hAnsi="Tahoma" w:cs="Tahoma"/>
          <w:color w:val="003C71"/>
        </w:rPr>
        <w:lastRenderedPageBreak/>
        <w:t>S1.2 - Customer Numbers – by Tariff</w:t>
      </w:r>
      <w:bookmarkEnd w:id="20"/>
      <w:r w:rsidRPr="00C97516">
        <w:rPr>
          <w:rFonts w:ascii="Tahoma" w:hAnsi="Tahoma" w:cs="Tahoma"/>
          <w:color w:val="003C71"/>
        </w:rPr>
        <w:t xml:space="preserve"> </w:t>
      </w:r>
    </w:p>
    <w:p w14:paraId="73FCED9F" w14:textId="77777777" w:rsidR="009A3E2E" w:rsidRDefault="009A3E2E" w:rsidP="009A3E2E">
      <w:pPr>
        <w:rPr>
          <w:rFonts w:ascii="Tahoma" w:hAnsi="Tahoma" w:cs="Tahoma"/>
          <w:color w:val="00B0F0"/>
        </w:rPr>
      </w:pPr>
      <w:r>
        <w:rPr>
          <w:rFonts w:ascii="Tahoma" w:hAnsi="Tahoma" w:cs="Tahoma"/>
          <w:color w:val="00B0F0"/>
        </w:rPr>
        <w:t>S1.2</w:t>
      </w:r>
      <w:r w:rsidRPr="00C97516">
        <w:rPr>
          <w:rFonts w:ascii="Tahoma" w:hAnsi="Tahoma" w:cs="Tahoma"/>
          <w:color w:val="00B0F0"/>
        </w:rPr>
        <w:t>.1</w:t>
      </w:r>
      <w:r>
        <w:rPr>
          <w:rFonts w:ascii="Tahoma" w:hAnsi="Tahoma" w:cs="Tahoma"/>
          <w:color w:val="00B0F0"/>
        </w:rPr>
        <w:t xml:space="preserve"> </w:t>
      </w:r>
      <w:r w:rsidRPr="00C97516">
        <w:rPr>
          <w:rFonts w:ascii="Tahoma" w:hAnsi="Tahoma" w:cs="Tahoma"/>
          <w:color w:val="00B0F0"/>
        </w:rPr>
        <w:t xml:space="preserve">– </w:t>
      </w:r>
      <w:r>
        <w:rPr>
          <w:rFonts w:ascii="Tahoma" w:hAnsi="Tahoma" w:cs="Tahoma"/>
          <w:color w:val="00B0F0"/>
        </w:rPr>
        <w:t>Customer number as at 1 July /</w:t>
      </w:r>
      <w:r w:rsidRPr="00097648">
        <w:rPr>
          <w:rFonts w:ascii="Tahoma" w:hAnsi="Tahoma" w:cs="Tahoma"/>
          <w:color w:val="00B0F0"/>
        </w:rPr>
        <w:t xml:space="preserve"> </w:t>
      </w:r>
      <w:r>
        <w:rPr>
          <w:rFonts w:ascii="Tahoma" w:hAnsi="Tahoma" w:cs="Tahoma"/>
          <w:color w:val="00B0F0"/>
        </w:rPr>
        <w:t xml:space="preserve">S1.2.2 </w:t>
      </w:r>
      <w:r w:rsidRPr="00C97516">
        <w:rPr>
          <w:rFonts w:ascii="Tahoma" w:hAnsi="Tahoma" w:cs="Tahoma"/>
          <w:color w:val="00B0F0"/>
        </w:rPr>
        <w:t xml:space="preserve">– </w:t>
      </w:r>
      <w:r>
        <w:rPr>
          <w:rFonts w:ascii="Tahoma" w:hAnsi="Tahoma" w:cs="Tahoma"/>
          <w:color w:val="00B0F0"/>
        </w:rPr>
        <w:t>Customer number as at 30 June</w:t>
      </w:r>
    </w:p>
    <w:tbl>
      <w:tblPr>
        <w:tblStyle w:val="UETableStyle"/>
        <w:tblW w:w="4881"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3"/>
        <w:gridCol w:w="4728"/>
        <w:gridCol w:w="2286"/>
        <w:gridCol w:w="2717"/>
        <w:gridCol w:w="1902"/>
      </w:tblGrid>
      <w:tr w:rsidR="009A3E2E" w:rsidRPr="00751816" w14:paraId="28DF2270" w14:textId="77777777" w:rsidTr="009A3E2E">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0EAD0EE5" w14:textId="2D601977" w:rsidR="009A3E2E" w:rsidRPr="00751816" w:rsidRDefault="009A3E2E" w:rsidP="00EA7CDA">
            <w:pPr>
              <w:rPr>
                <w:rFonts w:ascii="Tahoma" w:hAnsi="Tahoma" w:cs="Tahoma"/>
                <w:b/>
                <w:color w:val="FFFFFF"/>
                <w:sz w:val="20"/>
              </w:rPr>
            </w:pPr>
            <w:r w:rsidRPr="00751816">
              <w:rPr>
                <w:rFonts w:ascii="Tahoma" w:hAnsi="Tahoma" w:cs="Tahoma"/>
                <w:b/>
                <w:color w:val="FFFFFF"/>
                <w:sz w:val="20"/>
              </w:rPr>
              <w:t xml:space="preserve">Variable </w:t>
            </w:r>
          </w:p>
        </w:tc>
        <w:tc>
          <w:tcPr>
            <w:tcW w:w="1735" w:type="pct"/>
            <w:tcBorders>
              <w:bottom w:val="single" w:sz="4" w:space="0" w:color="00B0F0"/>
            </w:tcBorders>
            <w:shd w:val="clear" w:color="auto" w:fill="003C71"/>
          </w:tcPr>
          <w:p w14:paraId="20211B7E" w14:textId="77777777" w:rsidR="009A3E2E" w:rsidRPr="00751816" w:rsidRDefault="009A3E2E"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9" w:type="pct"/>
            <w:tcBorders>
              <w:bottom w:val="single" w:sz="4" w:space="0" w:color="00B0F0"/>
            </w:tcBorders>
            <w:shd w:val="clear" w:color="auto" w:fill="003C71"/>
          </w:tcPr>
          <w:p w14:paraId="3128825F" w14:textId="77777777" w:rsidR="009A3E2E" w:rsidRPr="00751816" w:rsidRDefault="009A3E2E"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7" w:type="pct"/>
            <w:tcBorders>
              <w:bottom w:val="single" w:sz="4" w:space="0" w:color="00B0F0"/>
            </w:tcBorders>
            <w:shd w:val="clear" w:color="auto" w:fill="003C71"/>
          </w:tcPr>
          <w:p w14:paraId="7A1E48EE" w14:textId="77777777" w:rsidR="009A3E2E" w:rsidRPr="00751816" w:rsidRDefault="009A3E2E"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98" w:type="pct"/>
            <w:tcBorders>
              <w:bottom w:val="single" w:sz="4" w:space="0" w:color="00B0F0"/>
            </w:tcBorders>
            <w:shd w:val="clear" w:color="auto" w:fill="003C71"/>
          </w:tcPr>
          <w:p w14:paraId="76E0CB2B" w14:textId="77777777" w:rsidR="009A3E2E" w:rsidRPr="00751816" w:rsidRDefault="009A3E2E"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9A3E2E" w:rsidRPr="00751816" w14:paraId="17A14AAF" w14:textId="77777777" w:rsidTr="00EA7CDA">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00A3E0"/>
            <w:vAlign w:val="center"/>
          </w:tcPr>
          <w:p w14:paraId="1338F93C" w14:textId="5DE02F86" w:rsidR="009A3E2E" w:rsidRPr="00C0205D" w:rsidRDefault="00DD6B14" w:rsidP="009A3E2E">
            <w:pPr>
              <w:spacing w:before="120" w:after="120" w:line="240" w:lineRule="atLeast"/>
              <w:contextualSpacing/>
              <w:rPr>
                <w:rFonts w:ascii="Tahoma" w:hAnsi="Tahoma" w:cs="Tahoma"/>
                <w:sz w:val="20"/>
              </w:rPr>
            </w:pPr>
            <w:r>
              <w:rPr>
                <w:rFonts w:ascii="Tahoma" w:hAnsi="Tahoma" w:cs="Tahoma"/>
                <w:sz w:val="20"/>
              </w:rPr>
              <w:t>2019/20</w:t>
            </w:r>
          </w:p>
        </w:tc>
        <w:tc>
          <w:tcPr>
            <w:tcW w:w="4269" w:type="pct"/>
            <w:gridSpan w:val="4"/>
            <w:tcBorders>
              <w:top w:val="single" w:sz="4" w:space="0" w:color="00B0F0"/>
              <w:bottom w:val="single" w:sz="4" w:space="0" w:color="00B0F0"/>
            </w:tcBorders>
            <w:shd w:val="clear" w:color="auto" w:fill="00A3E0"/>
            <w:vAlign w:val="center"/>
          </w:tcPr>
          <w:p w14:paraId="0BBE1E69" w14:textId="77777777" w:rsidR="009A3E2E" w:rsidRPr="00751816" w:rsidRDefault="009A3E2E"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2887FDB6"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21BAD951" w14:textId="77777777" w:rsidR="009A3E2E" w:rsidRPr="00B45607" w:rsidRDefault="009A3E2E" w:rsidP="001664CF">
            <w:pPr>
              <w:spacing w:before="120" w:after="120" w:line="240" w:lineRule="atLeast"/>
              <w:contextualSpacing/>
              <w:rPr>
                <w:rFonts w:ascii="Tahoma" w:hAnsi="Tahoma" w:cs="Tahoma"/>
                <w:i/>
                <w:sz w:val="20"/>
              </w:rPr>
            </w:pPr>
            <w:r w:rsidRPr="00C0205D">
              <w:rPr>
                <w:rFonts w:ascii="Tahoma" w:hAnsi="Tahoma" w:cs="Tahoma"/>
                <w:sz w:val="20"/>
              </w:rPr>
              <w:t xml:space="preserve">Tariff R </w:t>
            </w:r>
            <w:r>
              <w:rPr>
                <w:rFonts w:ascii="Tahoma" w:hAnsi="Tahoma" w:cs="Tahoma"/>
                <w:sz w:val="20"/>
              </w:rPr>
              <w:t xml:space="preserve">- </w:t>
            </w:r>
            <w:r w:rsidRPr="002908FE">
              <w:rPr>
                <w:rFonts w:ascii="Tahoma" w:hAnsi="Tahoma" w:cs="Tahoma"/>
                <w:sz w:val="20"/>
              </w:rPr>
              <w:t>excluding Tanunda</w:t>
            </w:r>
          </w:p>
        </w:tc>
        <w:tc>
          <w:tcPr>
            <w:tcW w:w="1735" w:type="pct"/>
            <w:tcBorders>
              <w:top w:val="single" w:sz="4" w:space="0" w:color="00B0F0"/>
              <w:bottom w:val="single" w:sz="4" w:space="0" w:color="00B0F0"/>
            </w:tcBorders>
            <w:vAlign w:val="center"/>
          </w:tcPr>
          <w:p w14:paraId="0DEDDE2C" w14:textId="38A8B11B" w:rsidR="009A3E2E" w:rsidRPr="007B5588" w:rsidRDefault="00AC0243" w:rsidP="000E0D6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7970EF82"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7CA150E6" w14:textId="2C53DC49"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53A97F5D" w14:textId="1E332D0C"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4ABA7E03"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041CEA51" w14:textId="77777777" w:rsidR="009A3E2E" w:rsidRDefault="009A3E2E" w:rsidP="001664CF">
            <w:pPr>
              <w:spacing w:before="120" w:after="120" w:line="240" w:lineRule="atLeast"/>
              <w:contextualSpacing/>
              <w:rPr>
                <w:rFonts w:ascii="Tahoma" w:hAnsi="Tahoma" w:cs="Tahoma"/>
                <w:sz w:val="20"/>
              </w:rPr>
            </w:pPr>
            <w:r w:rsidRPr="00C0205D">
              <w:rPr>
                <w:rFonts w:ascii="Tahoma" w:hAnsi="Tahoma" w:cs="Tahoma"/>
                <w:sz w:val="20"/>
              </w:rPr>
              <w:t xml:space="preserve">Tariff R </w:t>
            </w:r>
            <w:r>
              <w:rPr>
                <w:rFonts w:ascii="Tahoma" w:hAnsi="Tahoma" w:cs="Tahoma"/>
                <w:sz w:val="20"/>
              </w:rPr>
              <w:t xml:space="preserve">- </w:t>
            </w:r>
            <w:r w:rsidRPr="00C0205D">
              <w:rPr>
                <w:rFonts w:ascii="Tahoma" w:hAnsi="Tahoma" w:cs="Tahoma"/>
                <w:sz w:val="20"/>
              </w:rPr>
              <w:t>Tanunda</w:t>
            </w:r>
          </w:p>
        </w:tc>
        <w:tc>
          <w:tcPr>
            <w:tcW w:w="1735" w:type="pct"/>
            <w:tcBorders>
              <w:top w:val="single" w:sz="4" w:space="0" w:color="00B0F0"/>
              <w:bottom w:val="single" w:sz="4" w:space="0" w:color="00B0F0"/>
            </w:tcBorders>
            <w:vAlign w:val="center"/>
          </w:tcPr>
          <w:p w14:paraId="1EF64717" w14:textId="1B5699F2"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6911F8FF"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718A3EF4" w14:textId="5110D1DE"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5F9DFB31" w14:textId="28369578"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5BE0916E"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6F81128D" w14:textId="77777777" w:rsidR="009A3E2E" w:rsidRDefault="009A3E2E" w:rsidP="001664CF">
            <w:pPr>
              <w:spacing w:before="120" w:after="120" w:line="240" w:lineRule="atLeast"/>
              <w:contextualSpacing/>
              <w:rPr>
                <w:rFonts w:ascii="Tahoma" w:hAnsi="Tahoma" w:cs="Tahoma"/>
                <w:sz w:val="20"/>
              </w:rPr>
            </w:pPr>
            <w:r>
              <w:rPr>
                <w:rFonts w:ascii="Tahoma" w:hAnsi="Tahoma" w:cs="Tahoma"/>
                <w:sz w:val="20"/>
              </w:rPr>
              <w:t xml:space="preserve">Tariff C - </w:t>
            </w:r>
            <w:r w:rsidRPr="002908FE">
              <w:rPr>
                <w:rFonts w:ascii="Tahoma" w:hAnsi="Tahoma" w:cs="Tahoma"/>
                <w:sz w:val="20"/>
              </w:rPr>
              <w:t>excluding Tanunda</w:t>
            </w:r>
          </w:p>
        </w:tc>
        <w:tc>
          <w:tcPr>
            <w:tcW w:w="1735" w:type="pct"/>
            <w:tcBorders>
              <w:top w:val="single" w:sz="4" w:space="0" w:color="00B0F0"/>
              <w:bottom w:val="single" w:sz="4" w:space="0" w:color="00B0F0"/>
            </w:tcBorders>
            <w:vAlign w:val="center"/>
          </w:tcPr>
          <w:p w14:paraId="46D24503" w14:textId="6A7B9795"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0BAE5817"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3A760F39" w14:textId="53AD2262"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5E32BF45" w14:textId="0D50111C"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1E5A5742"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51382138" w14:textId="77777777" w:rsidR="009A3E2E" w:rsidRDefault="009A3E2E" w:rsidP="001664CF">
            <w:pPr>
              <w:spacing w:before="120" w:after="120" w:line="240" w:lineRule="atLeast"/>
              <w:contextualSpacing/>
              <w:rPr>
                <w:rFonts w:ascii="Tahoma" w:hAnsi="Tahoma" w:cs="Tahoma"/>
                <w:sz w:val="20"/>
              </w:rPr>
            </w:pPr>
            <w:r>
              <w:rPr>
                <w:rFonts w:ascii="Tahoma" w:hAnsi="Tahoma" w:cs="Tahoma"/>
                <w:sz w:val="20"/>
              </w:rPr>
              <w:t xml:space="preserve">Tariff C - </w:t>
            </w:r>
            <w:r w:rsidRPr="002908FE">
              <w:rPr>
                <w:rFonts w:ascii="Tahoma" w:hAnsi="Tahoma" w:cs="Tahoma"/>
                <w:sz w:val="20"/>
              </w:rPr>
              <w:t>Tanunda</w:t>
            </w:r>
          </w:p>
        </w:tc>
        <w:tc>
          <w:tcPr>
            <w:tcW w:w="1735" w:type="pct"/>
            <w:tcBorders>
              <w:top w:val="single" w:sz="4" w:space="0" w:color="00B0F0"/>
              <w:bottom w:val="single" w:sz="4" w:space="0" w:color="00B0F0"/>
            </w:tcBorders>
            <w:vAlign w:val="center"/>
          </w:tcPr>
          <w:p w14:paraId="65127E90" w14:textId="3D3C9AB8"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118E5739"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1CB4D151" w14:textId="283152E3"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5FCEDF53" w14:textId="149B62FD"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4A0C9ADB"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0AD24C3B" w14:textId="77777777" w:rsidR="009A3E2E" w:rsidRDefault="009A3E2E" w:rsidP="001664CF">
            <w:pPr>
              <w:spacing w:before="120" w:after="120" w:line="240" w:lineRule="atLeast"/>
              <w:contextualSpacing/>
              <w:rPr>
                <w:rFonts w:ascii="Tahoma" w:hAnsi="Tahoma" w:cs="Tahoma"/>
                <w:sz w:val="20"/>
              </w:rPr>
            </w:pPr>
            <w:r>
              <w:rPr>
                <w:rFonts w:ascii="Tahoma" w:hAnsi="Tahoma" w:cs="Tahoma"/>
                <w:sz w:val="20"/>
              </w:rPr>
              <w:t xml:space="preserve">Tariff D </w:t>
            </w:r>
          </w:p>
        </w:tc>
        <w:tc>
          <w:tcPr>
            <w:tcW w:w="1735" w:type="pct"/>
            <w:tcBorders>
              <w:top w:val="single" w:sz="4" w:space="0" w:color="00B0F0"/>
              <w:bottom w:val="single" w:sz="4" w:space="0" w:color="00B0F0"/>
            </w:tcBorders>
            <w:vAlign w:val="center"/>
          </w:tcPr>
          <w:p w14:paraId="4743C236" w14:textId="5BABF33F"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0D7E6AB6"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45D07A78" w14:textId="132BEE7B"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69F729D4" w14:textId="0745932E"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609DB287" w14:textId="77777777" w:rsidR="009A3E2E" w:rsidRDefault="009A3E2E" w:rsidP="009A3E2E"/>
    <w:p w14:paraId="75741520" w14:textId="77777777" w:rsidR="009A3E2E" w:rsidRDefault="009A3E2E" w:rsidP="009A3E2E">
      <w:pPr>
        <w:rPr>
          <w:rFonts w:ascii="Tahoma" w:hAnsi="Tahoma" w:cs="Tahoma"/>
          <w:color w:val="00B0F0"/>
        </w:rPr>
      </w:pPr>
      <w:r>
        <w:rPr>
          <w:rFonts w:ascii="Tahoma" w:hAnsi="Tahoma" w:cs="Tahoma"/>
          <w:color w:val="00B0F0"/>
        </w:rPr>
        <w:lastRenderedPageBreak/>
        <w:t>S1.2</w:t>
      </w:r>
      <w:r w:rsidRPr="00C97516">
        <w:rPr>
          <w:rFonts w:ascii="Tahoma" w:hAnsi="Tahoma" w:cs="Tahoma"/>
          <w:color w:val="00B0F0"/>
        </w:rPr>
        <w:t>.</w:t>
      </w:r>
      <w:r>
        <w:rPr>
          <w:rFonts w:ascii="Tahoma" w:hAnsi="Tahoma" w:cs="Tahoma"/>
          <w:color w:val="00B0F0"/>
        </w:rPr>
        <w:t xml:space="preserve">3 – Total customer connections </w:t>
      </w:r>
    </w:p>
    <w:tbl>
      <w:tblPr>
        <w:tblStyle w:val="UETableStyle"/>
        <w:tblW w:w="4881"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3"/>
        <w:gridCol w:w="4728"/>
        <w:gridCol w:w="2286"/>
        <w:gridCol w:w="2717"/>
        <w:gridCol w:w="1902"/>
      </w:tblGrid>
      <w:tr w:rsidR="009A3E2E" w:rsidRPr="00751816" w14:paraId="41989A7C" w14:textId="77777777" w:rsidTr="009A3E2E">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2843172E" w14:textId="5CA26184" w:rsidR="009A3E2E" w:rsidRPr="00751816" w:rsidRDefault="009A3E2E" w:rsidP="00EA7CDA">
            <w:pPr>
              <w:rPr>
                <w:rFonts w:ascii="Tahoma" w:hAnsi="Tahoma" w:cs="Tahoma"/>
                <w:b/>
                <w:color w:val="FFFFFF"/>
                <w:sz w:val="20"/>
              </w:rPr>
            </w:pPr>
            <w:r w:rsidRPr="00751816">
              <w:rPr>
                <w:rFonts w:ascii="Tahoma" w:hAnsi="Tahoma" w:cs="Tahoma"/>
                <w:b/>
                <w:color w:val="FFFFFF"/>
                <w:sz w:val="20"/>
              </w:rPr>
              <w:t xml:space="preserve">Variable </w:t>
            </w:r>
          </w:p>
        </w:tc>
        <w:tc>
          <w:tcPr>
            <w:tcW w:w="1735" w:type="pct"/>
            <w:tcBorders>
              <w:bottom w:val="single" w:sz="4" w:space="0" w:color="00B0F0"/>
            </w:tcBorders>
            <w:shd w:val="clear" w:color="auto" w:fill="003C71"/>
          </w:tcPr>
          <w:p w14:paraId="30DD07CB" w14:textId="77777777" w:rsidR="009A3E2E" w:rsidRPr="00751816" w:rsidRDefault="009A3E2E"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9" w:type="pct"/>
            <w:tcBorders>
              <w:bottom w:val="single" w:sz="4" w:space="0" w:color="00B0F0"/>
            </w:tcBorders>
            <w:shd w:val="clear" w:color="auto" w:fill="003C71"/>
          </w:tcPr>
          <w:p w14:paraId="2A80D20C" w14:textId="77777777" w:rsidR="009A3E2E" w:rsidRPr="00751816" w:rsidRDefault="009A3E2E"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7" w:type="pct"/>
            <w:tcBorders>
              <w:bottom w:val="single" w:sz="4" w:space="0" w:color="00B0F0"/>
            </w:tcBorders>
            <w:shd w:val="clear" w:color="auto" w:fill="003C71"/>
          </w:tcPr>
          <w:p w14:paraId="2B06E9A5" w14:textId="77777777" w:rsidR="009A3E2E" w:rsidRPr="00751816" w:rsidRDefault="009A3E2E"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98" w:type="pct"/>
            <w:tcBorders>
              <w:bottom w:val="single" w:sz="4" w:space="0" w:color="00B0F0"/>
            </w:tcBorders>
            <w:shd w:val="clear" w:color="auto" w:fill="003C71"/>
          </w:tcPr>
          <w:p w14:paraId="433E2184" w14:textId="77777777" w:rsidR="009A3E2E" w:rsidRPr="00751816" w:rsidRDefault="009A3E2E"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9A3E2E" w:rsidRPr="00751816" w14:paraId="0EDA2FBD" w14:textId="77777777" w:rsidTr="00EA7CDA">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00A3E0"/>
            <w:vAlign w:val="center"/>
          </w:tcPr>
          <w:p w14:paraId="166B5AD2" w14:textId="7514DA99" w:rsidR="009A3E2E" w:rsidRPr="00C0205D" w:rsidRDefault="00DD6B14" w:rsidP="009A3E2E">
            <w:pPr>
              <w:spacing w:before="120" w:after="120" w:line="240" w:lineRule="atLeast"/>
              <w:contextualSpacing/>
              <w:rPr>
                <w:rFonts w:ascii="Tahoma" w:hAnsi="Tahoma" w:cs="Tahoma"/>
                <w:sz w:val="20"/>
              </w:rPr>
            </w:pPr>
            <w:r>
              <w:rPr>
                <w:rFonts w:ascii="Tahoma" w:hAnsi="Tahoma" w:cs="Tahoma"/>
                <w:sz w:val="20"/>
              </w:rPr>
              <w:t>2019/20</w:t>
            </w:r>
          </w:p>
        </w:tc>
        <w:tc>
          <w:tcPr>
            <w:tcW w:w="1735" w:type="pct"/>
            <w:tcBorders>
              <w:top w:val="single" w:sz="4" w:space="0" w:color="00B0F0"/>
              <w:bottom w:val="single" w:sz="4" w:space="0" w:color="00B0F0"/>
            </w:tcBorders>
            <w:shd w:val="clear" w:color="auto" w:fill="00A3E0"/>
            <w:vAlign w:val="center"/>
          </w:tcPr>
          <w:p w14:paraId="2F87E09D" w14:textId="77777777" w:rsidR="009A3E2E" w:rsidRPr="00751816" w:rsidRDefault="009A3E2E"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39" w:type="pct"/>
            <w:tcBorders>
              <w:top w:val="single" w:sz="4" w:space="0" w:color="00B0F0"/>
              <w:bottom w:val="single" w:sz="4" w:space="0" w:color="00B0F0"/>
            </w:tcBorders>
            <w:shd w:val="clear" w:color="auto" w:fill="00A3E0"/>
            <w:vAlign w:val="center"/>
          </w:tcPr>
          <w:p w14:paraId="0AC0B4F7" w14:textId="77777777" w:rsidR="009A3E2E" w:rsidRPr="00751816" w:rsidRDefault="009A3E2E"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997" w:type="pct"/>
            <w:tcBorders>
              <w:top w:val="single" w:sz="4" w:space="0" w:color="00B0F0"/>
              <w:bottom w:val="single" w:sz="4" w:space="0" w:color="00B0F0"/>
            </w:tcBorders>
            <w:shd w:val="clear" w:color="auto" w:fill="00A3E0"/>
            <w:vAlign w:val="center"/>
          </w:tcPr>
          <w:p w14:paraId="1DEB179D" w14:textId="77777777" w:rsidR="009A3E2E" w:rsidRPr="00751816" w:rsidRDefault="009A3E2E"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shd w:val="clear" w:color="auto" w:fill="00A3E0"/>
            <w:vAlign w:val="center"/>
          </w:tcPr>
          <w:p w14:paraId="5EF59822" w14:textId="77777777" w:rsidR="009A3E2E" w:rsidRPr="00751816" w:rsidRDefault="009A3E2E"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4FA7AA52"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636621E7" w14:textId="77777777" w:rsidR="009A3E2E" w:rsidRDefault="009A3E2E" w:rsidP="001664CF">
            <w:pPr>
              <w:spacing w:before="120" w:after="120" w:line="240" w:lineRule="atLeast"/>
              <w:contextualSpacing/>
              <w:rPr>
                <w:rFonts w:ascii="Tahoma" w:hAnsi="Tahoma" w:cs="Tahoma"/>
                <w:sz w:val="20"/>
              </w:rPr>
            </w:pPr>
            <w:r w:rsidRPr="00C0205D">
              <w:rPr>
                <w:rFonts w:ascii="Tahoma" w:hAnsi="Tahoma" w:cs="Tahoma"/>
                <w:sz w:val="20"/>
              </w:rPr>
              <w:t xml:space="preserve">Tariff R </w:t>
            </w:r>
            <w:r>
              <w:rPr>
                <w:rFonts w:ascii="Tahoma" w:hAnsi="Tahoma" w:cs="Tahoma"/>
                <w:sz w:val="20"/>
              </w:rPr>
              <w:t xml:space="preserve">- </w:t>
            </w:r>
            <w:r w:rsidRPr="002908FE">
              <w:rPr>
                <w:rFonts w:ascii="Tahoma" w:hAnsi="Tahoma" w:cs="Tahoma"/>
                <w:sz w:val="20"/>
              </w:rPr>
              <w:t>excluding Tanunda</w:t>
            </w:r>
          </w:p>
        </w:tc>
        <w:tc>
          <w:tcPr>
            <w:tcW w:w="1735" w:type="pct"/>
            <w:tcBorders>
              <w:top w:val="single" w:sz="4" w:space="0" w:color="00B0F0"/>
              <w:bottom w:val="single" w:sz="4" w:space="0" w:color="00B0F0"/>
            </w:tcBorders>
            <w:vAlign w:val="center"/>
          </w:tcPr>
          <w:p w14:paraId="6CDD8275" w14:textId="330E1E13"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08E2BEBD"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7DBC126D" w14:textId="24401BF2"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331BE186" w14:textId="1768A2F4"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78A2A0B1"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6E3DE10E" w14:textId="77777777" w:rsidR="009A3E2E" w:rsidRDefault="009A3E2E" w:rsidP="001664CF">
            <w:pPr>
              <w:spacing w:before="120" w:after="120" w:line="240" w:lineRule="atLeast"/>
              <w:contextualSpacing/>
              <w:rPr>
                <w:rFonts w:ascii="Tahoma" w:hAnsi="Tahoma" w:cs="Tahoma"/>
                <w:sz w:val="20"/>
              </w:rPr>
            </w:pPr>
            <w:r w:rsidRPr="00C0205D">
              <w:rPr>
                <w:rFonts w:ascii="Tahoma" w:hAnsi="Tahoma" w:cs="Tahoma"/>
                <w:sz w:val="20"/>
              </w:rPr>
              <w:t xml:space="preserve">Tariff R </w:t>
            </w:r>
            <w:r>
              <w:rPr>
                <w:rFonts w:ascii="Tahoma" w:hAnsi="Tahoma" w:cs="Tahoma"/>
                <w:sz w:val="20"/>
              </w:rPr>
              <w:t xml:space="preserve">- </w:t>
            </w:r>
            <w:r w:rsidRPr="00C0205D">
              <w:rPr>
                <w:rFonts w:ascii="Tahoma" w:hAnsi="Tahoma" w:cs="Tahoma"/>
                <w:sz w:val="20"/>
              </w:rPr>
              <w:t>Tanunda</w:t>
            </w:r>
          </w:p>
        </w:tc>
        <w:tc>
          <w:tcPr>
            <w:tcW w:w="1735" w:type="pct"/>
            <w:tcBorders>
              <w:top w:val="single" w:sz="4" w:space="0" w:color="00B0F0"/>
              <w:bottom w:val="single" w:sz="4" w:space="0" w:color="00B0F0"/>
            </w:tcBorders>
            <w:vAlign w:val="center"/>
          </w:tcPr>
          <w:p w14:paraId="18A825F8" w14:textId="042F68B7"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05C55312"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7E1080F3" w14:textId="32D0599A"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5A2FD8F2" w14:textId="4A7CDA52"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6BC4DBF0"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11FB8BE8" w14:textId="77777777" w:rsidR="009A3E2E" w:rsidRDefault="009A3E2E" w:rsidP="001664CF">
            <w:pPr>
              <w:spacing w:before="120" w:after="120" w:line="240" w:lineRule="atLeast"/>
              <w:contextualSpacing/>
              <w:rPr>
                <w:rFonts w:ascii="Tahoma" w:hAnsi="Tahoma" w:cs="Tahoma"/>
                <w:sz w:val="20"/>
              </w:rPr>
            </w:pPr>
            <w:r>
              <w:rPr>
                <w:rFonts w:ascii="Tahoma" w:hAnsi="Tahoma" w:cs="Tahoma"/>
                <w:sz w:val="20"/>
              </w:rPr>
              <w:t xml:space="preserve">Tariff C - </w:t>
            </w:r>
            <w:r w:rsidRPr="002908FE">
              <w:rPr>
                <w:rFonts w:ascii="Tahoma" w:hAnsi="Tahoma" w:cs="Tahoma"/>
                <w:sz w:val="20"/>
              </w:rPr>
              <w:t>excluding Tanunda</w:t>
            </w:r>
          </w:p>
        </w:tc>
        <w:tc>
          <w:tcPr>
            <w:tcW w:w="1735" w:type="pct"/>
            <w:tcBorders>
              <w:top w:val="single" w:sz="4" w:space="0" w:color="00B0F0"/>
              <w:bottom w:val="single" w:sz="4" w:space="0" w:color="00B0F0"/>
            </w:tcBorders>
            <w:vAlign w:val="center"/>
          </w:tcPr>
          <w:p w14:paraId="3507E293" w14:textId="16C03481"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0A8C0429"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38885BCE" w14:textId="6752917D"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6236CF8A" w14:textId="7E0A2C4D"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2CB0C943"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7A367B39" w14:textId="77777777" w:rsidR="009A3E2E" w:rsidRDefault="009A3E2E" w:rsidP="001664CF">
            <w:pPr>
              <w:spacing w:before="120" w:after="120" w:line="240" w:lineRule="atLeast"/>
              <w:contextualSpacing/>
              <w:rPr>
                <w:rFonts w:ascii="Tahoma" w:hAnsi="Tahoma" w:cs="Tahoma"/>
                <w:sz w:val="20"/>
              </w:rPr>
            </w:pPr>
            <w:r>
              <w:rPr>
                <w:rFonts w:ascii="Tahoma" w:hAnsi="Tahoma" w:cs="Tahoma"/>
                <w:sz w:val="20"/>
              </w:rPr>
              <w:t xml:space="preserve">Tariff C - </w:t>
            </w:r>
            <w:r w:rsidRPr="002908FE">
              <w:rPr>
                <w:rFonts w:ascii="Tahoma" w:hAnsi="Tahoma" w:cs="Tahoma"/>
                <w:sz w:val="20"/>
              </w:rPr>
              <w:t>Tanunda</w:t>
            </w:r>
          </w:p>
        </w:tc>
        <w:tc>
          <w:tcPr>
            <w:tcW w:w="1735" w:type="pct"/>
            <w:tcBorders>
              <w:top w:val="single" w:sz="4" w:space="0" w:color="00B0F0"/>
              <w:bottom w:val="single" w:sz="4" w:space="0" w:color="00B0F0"/>
            </w:tcBorders>
            <w:vAlign w:val="center"/>
          </w:tcPr>
          <w:p w14:paraId="3588DD77" w14:textId="2DA7442D"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5EA4EE2D"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78522D47" w14:textId="6AD0546F"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03A00371" w14:textId="65A44AA4"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4281A293"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1525E68F" w14:textId="77777777" w:rsidR="009A3E2E" w:rsidRDefault="009A3E2E" w:rsidP="001664CF">
            <w:pPr>
              <w:spacing w:before="120" w:after="120" w:line="240" w:lineRule="atLeast"/>
              <w:contextualSpacing/>
              <w:rPr>
                <w:rFonts w:ascii="Tahoma" w:hAnsi="Tahoma" w:cs="Tahoma"/>
                <w:sz w:val="20"/>
              </w:rPr>
            </w:pPr>
            <w:r>
              <w:rPr>
                <w:rFonts w:ascii="Tahoma" w:hAnsi="Tahoma" w:cs="Tahoma"/>
                <w:sz w:val="20"/>
              </w:rPr>
              <w:t xml:space="preserve">Tariff D </w:t>
            </w:r>
          </w:p>
        </w:tc>
        <w:tc>
          <w:tcPr>
            <w:tcW w:w="1735" w:type="pct"/>
            <w:tcBorders>
              <w:top w:val="single" w:sz="4" w:space="0" w:color="00B0F0"/>
              <w:bottom w:val="single" w:sz="4" w:space="0" w:color="00B0F0"/>
            </w:tcBorders>
            <w:vAlign w:val="center"/>
          </w:tcPr>
          <w:p w14:paraId="0DFB76DE" w14:textId="715D8567"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030BE856"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7ADCDBDE" w14:textId="32479DA3"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05EBCF70" w14:textId="554424E1"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0246C5A9" w14:textId="77777777" w:rsidR="009A3E2E" w:rsidRDefault="009A3E2E" w:rsidP="009A3E2E"/>
    <w:p w14:paraId="25F4C317" w14:textId="77777777" w:rsidR="00AC0243" w:rsidRDefault="00AC0243" w:rsidP="009A3E2E">
      <w:pPr>
        <w:rPr>
          <w:rFonts w:ascii="Tahoma" w:hAnsi="Tahoma" w:cs="Tahoma"/>
          <w:color w:val="00B0F0"/>
        </w:rPr>
      </w:pPr>
    </w:p>
    <w:p w14:paraId="70199937" w14:textId="51D9A752" w:rsidR="009A3E2E" w:rsidRDefault="009A3E2E" w:rsidP="009A3E2E">
      <w:pPr>
        <w:rPr>
          <w:rFonts w:ascii="Tahoma" w:hAnsi="Tahoma" w:cs="Tahoma"/>
          <w:color w:val="00B0F0"/>
        </w:rPr>
      </w:pPr>
      <w:r>
        <w:rPr>
          <w:rFonts w:ascii="Tahoma" w:hAnsi="Tahoma" w:cs="Tahoma"/>
          <w:color w:val="00B0F0"/>
        </w:rPr>
        <w:lastRenderedPageBreak/>
        <w:t>S1.2</w:t>
      </w:r>
      <w:r w:rsidRPr="00C97516">
        <w:rPr>
          <w:rFonts w:ascii="Tahoma" w:hAnsi="Tahoma" w:cs="Tahoma"/>
          <w:color w:val="00B0F0"/>
        </w:rPr>
        <w:t>.</w:t>
      </w:r>
      <w:r>
        <w:rPr>
          <w:rFonts w:ascii="Tahoma" w:hAnsi="Tahoma" w:cs="Tahoma"/>
          <w:color w:val="00B0F0"/>
        </w:rPr>
        <w:t xml:space="preserve">4 – Total customer disconnections  </w:t>
      </w:r>
    </w:p>
    <w:tbl>
      <w:tblPr>
        <w:tblStyle w:val="UETableStyle"/>
        <w:tblW w:w="4881"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3"/>
        <w:gridCol w:w="4728"/>
        <w:gridCol w:w="2286"/>
        <w:gridCol w:w="2717"/>
        <w:gridCol w:w="1902"/>
      </w:tblGrid>
      <w:tr w:rsidR="009A3E2E" w:rsidRPr="00751816" w14:paraId="7A8A1B7F" w14:textId="77777777" w:rsidTr="009A3E2E">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2A60F713" w14:textId="5C83F7E4" w:rsidR="009A3E2E" w:rsidRPr="00751816" w:rsidRDefault="009A3E2E" w:rsidP="00EA7CDA">
            <w:pPr>
              <w:rPr>
                <w:rFonts w:ascii="Tahoma" w:hAnsi="Tahoma" w:cs="Tahoma"/>
                <w:b/>
                <w:color w:val="FFFFFF"/>
                <w:sz w:val="20"/>
              </w:rPr>
            </w:pPr>
            <w:r w:rsidRPr="00751816">
              <w:rPr>
                <w:rFonts w:ascii="Tahoma" w:hAnsi="Tahoma" w:cs="Tahoma"/>
                <w:b/>
                <w:color w:val="FFFFFF"/>
                <w:sz w:val="20"/>
              </w:rPr>
              <w:t xml:space="preserve">Variable </w:t>
            </w:r>
          </w:p>
        </w:tc>
        <w:tc>
          <w:tcPr>
            <w:tcW w:w="1735" w:type="pct"/>
            <w:tcBorders>
              <w:bottom w:val="single" w:sz="4" w:space="0" w:color="00B0F0"/>
            </w:tcBorders>
            <w:shd w:val="clear" w:color="auto" w:fill="003C71"/>
          </w:tcPr>
          <w:p w14:paraId="64F366C5" w14:textId="77777777" w:rsidR="009A3E2E" w:rsidRPr="00751816" w:rsidRDefault="009A3E2E"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9" w:type="pct"/>
            <w:tcBorders>
              <w:bottom w:val="single" w:sz="4" w:space="0" w:color="00B0F0"/>
            </w:tcBorders>
            <w:shd w:val="clear" w:color="auto" w:fill="003C71"/>
          </w:tcPr>
          <w:p w14:paraId="68BA8FB8" w14:textId="77777777" w:rsidR="009A3E2E" w:rsidRPr="00751816" w:rsidRDefault="009A3E2E"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7" w:type="pct"/>
            <w:tcBorders>
              <w:bottom w:val="single" w:sz="4" w:space="0" w:color="00B0F0"/>
            </w:tcBorders>
            <w:shd w:val="clear" w:color="auto" w:fill="003C71"/>
          </w:tcPr>
          <w:p w14:paraId="58288538" w14:textId="77777777" w:rsidR="009A3E2E" w:rsidRPr="00751816" w:rsidRDefault="009A3E2E"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98" w:type="pct"/>
            <w:tcBorders>
              <w:bottom w:val="single" w:sz="4" w:space="0" w:color="00B0F0"/>
            </w:tcBorders>
            <w:shd w:val="clear" w:color="auto" w:fill="003C71"/>
          </w:tcPr>
          <w:p w14:paraId="258BAD75" w14:textId="77777777" w:rsidR="009A3E2E" w:rsidRPr="00751816" w:rsidRDefault="009A3E2E" w:rsidP="009A3E2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9A3E2E" w:rsidRPr="00751816" w14:paraId="19702991" w14:textId="77777777" w:rsidTr="00EA7CDA">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00A3E0"/>
            <w:vAlign w:val="center"/>
          </w:tcPr>
          <w:p w14:paraId="1F4DC79B" w14:textId="0F3E2115" w:rsidR="009A3E2E" w:rsidRPr="00C0205D" w:rsidRDefault="00DD6B14" w:rsidP="009A3E2E">
            <w:pPr>
              <w:spacing w:before="120" w:after="120" w:line="240" w:lineRule="atLeast"/>
              <w:contextualSpacing/>
              <w:rPr>
                <w:rFonts w:ascii="Tahoma" w:hAnsi="Tahoma" w:cs="Tahoma"/>
                <w:sz w:val="20"/>
              </w:rPr>
            </w:pPr>
            <w:r>
              <w:rPr>
                <w:rFonts w:ascii="Tahoma" w:hAnsi="Tahoma" w:cs="Tahoma"/>
                <w:sz w:val="20"/>
              </w:rPr>
              <w:t>2019/20</w:t>
            </w:r>
          </w:p>
        </w:tc>
        <w:tc>
          <w:tcPr>
            <w:tcW w:w="1735" w:type="pct"/>
            <w:tcBorders>
              <w:top w:val="single" w:sz="4" w:space="0" w:color="00B0F0"/>
              <w:bottom w:val="single" w:sz="4" w:space="0" w:color="00B0F0"/>
            </w:tcBorders>
            <w:shd w:val="clear" w:color="auto" w:fill="00A3E0"/>
            <w:vAlign w:val="center"/>
          </w:tcPr>
          <w:p w14:paraId="05EF5184" w14:textId="77777777" w:rsidR="009A3E2E" w:rsidRPr="00751816" w:rsidRDefault="009A3E2E"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39" w:type="pct"/>
            <w:tcBorders>
              <w:top w:val="single" w:sz="4" w:space="0" w:color="00B0F0"/>
              <w:bottom w:val="single" w:sz="4" w:space="0" w:color="00B0F0"/>
            </w:tcBorders>
            <w:shd w:val="clear" w:color="auto" w:fill="00A3E0"/>
            <w:vAlign w:val="center"/>
          </w:tcPr>
          <w:p w14:paraId="4916DE03" w14:textId="77777777" w:rsidR="009A3E2E" w:rsidRPr="00751816" w:rsidRDefault="009A3E2E"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997" w:type="pct"/>
            <w:tcBorders>
              <w:top w:val="single" w:sz="4" w:space="0" w:color="00B0F0"/>
              <w:bottom w:val="single" w:sz="4" w:space="0" w:color="00B0F0"/>
            </w:tcBorders>
            <w:shd w:val="clear" w:color="auto" w:fill="00A3E0"/>
            <w:vAlign w:val="center"/>
          </w:tcPr>
          <w:p w14:paraId="0D50079D" w14:textId="77777777" w:rsidR="009A3E2E" w:rsidRPr="00751816" w:rsidRDefault="009A3E2E"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shd w:val="clear" w:color="auto" w:fill="00A3E0"/>
            <w:vAlign w:val="center"/>
          </w:tcPr>
          <w:p w14:paraId="5240C270" w14:textId="77777777" w:rsidR="009A3E2E" w:rsidRPr="00751816" w:rsidRDefault="009A3E2E"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0FAA7E21"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7EF76235" w14:textId="77777777" w:rsidR="009A3E2E" w:rsidRPr="006F3EA3" w:rsidRDefault="009A3E2E" w:rsidP="001664CF">
            <w:pPr>
              <w:spacing w:before="120" w:after="120" w:line="240" w:lineRule="atLeast"/>
              <w:contextualSpacing/>
              <w:rPr>
                <w:rFonts w:ascii="Tahoma" w:hAnsi="Tahoma" w:cs="Tahoma"/>
                <w:i/>
                <w:color w:val="C00000"/>
                <w:sz w:val="20"/>
              </w:rPr>
            </w:pPr>
            <w:r w:rsidRPr="00C0205D">
              <w:rPr>
                <w:rFonts w:ascii="Tahoma" w:hAnsi="Tahoma" w:cs="Tahoma"/>
                <w:sz w:val="20"/>
              </w:rPr>
              <w:t xml:space="preserve">Tariff R </w:t>
            </w:r>
            <w:r>
              <w:rPr>
                <w:rFonts w:ascii="Tahoma" w:hAnsi="Tahoma" w:cs="Tahoma"/>
                <w:sz w:val="20"/>
              </w:rPr>
              <w:t xml:space="preserve">- </w:t>
            </w:r>
            <w:r w:rsidRPr="002908FE">
              <w:rPr>
                <w:rFonts w:ascii="Tahoma" w:hAnsi="Tahoma" w:cs="Tahoma"/>
                <w:sz w:val="20"/>
              </w:rPr>
              <w:t>excluding Tanunda</w:t>
            </w:r>
          </w:p>
        </w:tc>
        <w:tc>
          <w:tcPr>
            <w:tcW w:w="1735" w:type="pct"/>
            <w:tcBorders>
              <w:top w:val="single" w:sz="4" w:space="0" w:color="00B0F0"/>
              <w:bottom w:val="single" w:sz="4" w:space="0" w:color="00B0F0"/>
            </w:tcBorders>
            <w:vAlign w:val="center"/>
          </w:tcPr>
          <w:p w14:paraId="3EC3E1F0" w14:textId="153C20B0" w:rsidR="009A3E2E" w:rsidRPr="007B5588" w:rsidRDefault="00AC0243" w:rsidP="009537D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w:t>
            </w:r>
          </w:p>
        </w:tc>
        <w:tc>
          <w:tcPr>
            <w:tcW w:w="839" w:type="pct"/>
            <w:tcBorders>
              <w:top w:val="single" w:sz="4" w:space="0" w:color="00B0F0"/>
              <w:bottom w:val="single" w:sz="4" w:space="0" w:color="00B0F0"/>
            </w:tcBorders>
            <w:vAlign w:val="center"/>
          </w:tcPr>
          <w:p w14:paraId="7BBF89C1"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7E149B95" w14:textId="7997F9AA"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77A1A7AD" w14:textId="00773E26"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73233F42"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1AB56938" w14:textId="77777777" w:rsidR="009A3E2E" w:rsidRPr="006F3EA3" w:rsidRDefault="009A3E2E" w:rsidP="001664CF">
            <w:pPr>
              <w:spacing w:before="120" w:after="120" w:line="240" w:lineRule="atLeast"/>
              <w:contextualSpacing/>
              <w:rPr>
                <w:rFonts w:ascii="Tahoma" w:hAnsi="Tahoma" w:cs="Tahoma"/>
                <w:i/>
                <w:color w:val="C00000"/>
                <w:sz w:val="20"/>
              </w:rPr>
            </w:pPr>
            <w:r w:rsidRPr="00C0205D">
              <w:rPr>
                <w:rFonts w:ascii="Tahoma" w:hAnsi="Tahoma" w:cs="Tahoma"/>
                <w:sz w:val="20"/>
              </w:rPr>
              <w:t xml:space="preserve">Tariff R </w:t>
            </w:r>
            <w:r>
              <w:rPr>
                <w:rFonts w:ascii="Tahoma" w:hAnsi="Tahoma" w:cs="Tahoma"/>
                <w:sz w:val="20"/>
              </w:rPr>
              <w:t xml:space="preserve">- </w:t>
            </w:r>
            <w:r w:rsidRPr="00C0205D">
              <w:rPr>
                <w:rFonts w:ascii="Tahoma" w:hAnsi="Tahoma" w:cs="Tahoma"/>
                <w:sz w:val="20"/>
              </w:rPr>
              <w:t>Tanunda</w:t>
            </w:r>
          </w:p>
        </w:tc>
        <w:tc>
          <w:tcPr>
            <w:tcW w:w="1735" w:type="pct"/>
            <w:tcBorders>
              <w:top w:val="single" w:sz="4" w:space="0" w:color="00B0F0"/>
              <w:bottom w:val="single" w:sz="4" w:space="0" w:color="00B0F0"/>
            </w:tcBorders>
            <w:vAlign w:val="center"/>
          </w:tcPr>
          <w:p w14:paraId="1821FEFB" w14:textId="5AC6C49A"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07D14">
              <w:rPr>
                <w:rFonts w:ascii="Tahoma" w:hAnsi="Tahoma" w:cs="Tahoma"/>
                <w:sz w:val="20"/>
              </w:rPr>
              <w:t>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6B3FB23B"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05A5737A" w14:textId="1E57E6F4"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374BD47B" w14:textId="5651E1FF"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4F2D3B82"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2A3EB93E" w14:textId="77777777" w:rsidR="009A3E2E" w:rsidRPr="006F3EA3" w:rsidRDefault="009A3E2E" w:rsidP="001664CF">
            <w:pPr>
              <w:spacing w:before="120" w:after="120" w:line="240" w:lineRule="atLeast"/>
              <w:contextualSpacing/>
              <w:rPr>
                <w:rFonts w:ascii="Tahoma" w:hAnsi="Tahoma" w:cs="Tahoma"/>
                <w:i/>
                <w:color w:val="C00000"/>
                <w:sz w:val="20"/>
              </w:rPr>
            </w:pPr>
            <w:r>
              <w:rPr>
                <w:rFonts w:ascii="Tahoma" w:hAnsi="Tahoma" w:cs="Tahoma"/>
                <w:sz w:val="20"/>
              </w:rPr>
              <w:t xml:space="preserve">Tariff C - </w:t>
            </w:r>
            <w:r w:rsidRPr="002908FE">
              <w:rPr>
                <w:rFonts w:ascii="Tahoma" w:hAnsi="Tahoma" w:cs="Tahoma"/>
                <w:sz w:val="20"/>
              </w:rPr>
              <w:t>excluding Tanunda</w:t>
            </w:r>
          </w:p>
        </w:tc>
        <w:tc>
          <w:tcPr>
            <w:tcW w:w="1735" w:type="pct"/>
            <w:tcBorders>
              <w:top w:val="single" w:sz="4" w:space="0" w:color="00B0F0"/>
              <w:bottom w:val="single" w:sz="4" w:space="0" w:color="00B0F0"/>
            </w:tcBorders>
            <w:vAlign w:val="center"/>
          </w:tcPr>
          <w:p w14:paraId="0F585D5D" w14:textId="0BAC6FC8" w:rsidR="009A3E2E" w:rsidRPr="007B5588" w:rsidRDefault="00AC0243" w:rsidP="009537D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w:t>
            </w:r>
          </w:p>
        </w:tc>
        <w:tc>
          <w:tcPr>
            <w:tcW w:w="839" w:type="pct"/>
            <w:tcBorders>
              <w:top w:val="single" w:sz="4" w:space="0" w:color="00B0F0"/>
              <w:bottom w:val="single" w:sz="4" w:space="0" w:color="00B0F0"/>
            </w:tcBorders>
            <w:vAlign w:val="center"/>
          </w:tcPr>
          <w:p w14:paraId="4C0281EA"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173ED2A4" w14:textId="2102967E"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60238EE1" w14:textId="2D43E706"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168151F5"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1550C80A" w14:textId="77777777" w:rsidR="009A3E2E" w:rsidRDefault="009A3E2E" w:rsidP="001664CF">
            <w:pPr>
              <w:spacing w:before="120" w:after="120" w:line="240" w:lineRule="atLeast"/>
              <w:contextualSpacing/>
              <w:rPr>
                <w:rFonts w:ascii="Tahoma" w:hAnsi="Tahoma" w:cs="Tahoma"/>
                <w:sz w:val="20"/>
              </w:rPr>
            </w:pPr>
            <w:r>
              <w:rPr>
                <w:rFonts w:ascii="Tahoma" w:hAnsi="Tahoma" w:cs="Tahoma"/>
                <w:sz w:val="20"/>
              </w:rPr>
              <w:t xml:space="preserve">Tariff C - </w:t>
            </w:r>
            <w:r w:rsidRPr="002908FE">
              <w:rPr>
                <w:rFonts w:ascii="Tahoma" w:hAnsi="Tahoma" w:cs="Tahoma"/>
                <w:sz w:val="20"/>
              </w:rPr>
              <w:t>Tanunda</w:t>
            </w:r>
          </w:p>
        </w:tc>
        <w:tc>
          <w:tcPr>
            <w:tcW w:w="1735" w:type="pct"/>
            <w:tcBorders>
              <w:top w:val="single" w:sz="4" w:space="0" w:color="00B0F0"/>
              <w:bottom w:val="single" w:sz="4" w:space="0" w:color="00B0F0"/>
            </w:tcBorders>
            <w:vAlign w:val="center"/>
          </w:tcPr>
          <w:p w14:paraId="7AD7CEC8" w14:textId="54F5F84B"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07D14">
              <w:rPr>
                <w:rFonts w:ascii="Tahoma" w:hAnsi="Tahoma" w:cs="Tahoma"/>
                <w:sz w:val="20"/>
              </w:rPr>
              <w:t>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4424C618"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51D04EE0" w14:textId="638D2EC2"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3F6EBE24" w14:textId="7B5413EC"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A3E2E" w:rsidRPr="00751816" w14:paraId="2491CC38"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7A31E689" w14:textId="77777777" w:rsidR="009A3E2E" w:rsidRDefault="009A3E2E" w:rsidP="001664CF">
            <w:pPr>
              <w:spacing w:before="120" w:after="120" w:line="240" w:lineRule="atLeast"/>
              <w:contextualSpacing/>
              <w:rPr>
                <w:rFonts w:ascii="Tahoma" w:hAnsi="Tahoma" w:cs="Tahoma"/>
                <w:sz w:val="20"/>
              </w:rPr>
            </w:pPr>
            <w:r>
              <w:rPr>
                <w:rFonts w:ascii="Tahoma" w:hAnsi="Tahoma" w:cs="Tahoma"/>
                <w:sz w:val="20"/>
              </w:rPr>
              <w:t xml:space="preserve">Tariff D </w:t>
            </w:r>
          </w:p>
        </w:tc>
        <w:tc>
          <w:tcPr>
            <w:tcW w:w="1735" w:type="pct"/>
            <w:tcBorders>
              <w:top w:val="single" w:sz="4" w:space="0" w:color="00B0F0"/>
              <w:bottom w:val="single" w:sz="4" w:space="0" w:color="00B0F0"/>
            </w:tcBorders>
            <w:vAlign w:val="center"/>
          </w:tcPr>
          <w:p w14:paraId="23EF9E46" w14:textId="517D9F02" w:rsidR="009A3E2E" w:rsidRPr="007B5588" w:rsidRDefault="00AC0243" w:rsidP="009A3E2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7B5588">
              <w:rPr>
                <w:rFonts w:ascii="Tahoma" w:hAnsi="Tahoma" w:cs="Tahoma"/>
                <w:sz w:val="20"/>
              </w:rPr>
              <w:t xml:space="preserve">Customer numbers were sourced from APA’s </w:t>
            </w:r>
            <w:r w:rsidRPr="00707D14">
              <w:rPr>
                <w:rFonts w:ascii="Tahoma" w:hAnsi="Tahoma" w:cs="Tahoma"/>
                <w:sz w:val="20"/>
              </w:rPr>
              <w:t>NASA system which contains demand data.  The Tanunda customer numbers are from the reporting database which is populated from APA’s Customer Care and Billing (CC&amp;B) Oracle System data.</w:t>
            </w:r>
          </w:p>
        </w:tc>
        <w:tc>
          <w:tcPr>
            <w:tcW w:w="839" w:type="pct"/>
            <w:tcBorders>
              <w:top w:val="single" w:sz="4" w:space="0" w:color="00B0F0"/>
              <w:bottom w:val="single" w:sz="4" w:space="0" w:color="00B0F0"/>
            </w:tcBorders>
            <w:vAlign w:val="center"/>
          </w:tcPr>
          <w:p w14:paraId="3A97B9AC" w14:textId="77777777" w:rsidR="009A3E2E" w:rsidRPr="00751816" w:rsidRDefault="009A3E2E"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69BAD7F2" w14:textId="694D4D8B"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3FFB3E4C" w14:textId="3A47A337" w:rsidR="009A3E2E" w:rsidRPr="00751816" w:rsidRDefault="009A3E2E" w:rsidP="009A3E2E">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39D46E93" w14:textId="77777777" w:rsidR="009A3E2E" w:rsidRPr="009A3E2E" w:rsidRDefault="009A3E2E" w:rsidP="009A3E2E"/>
    <w:p w14:paraId="0DA4BBFD" w14:textId="77777777" w:rsidR="00EC5463" w:rsidRDefault="00EC5463">
      <w:pPr>
        <w:rPr>
          <w:rFonts w:ascii="Tahoma" w:eastAsiaTheme="majorEastAsia" w:hAnsi="Tahoma" w:cs="Tahoma"/>
          <w:b/>
          <w:color w:val="003C71"/>
          <w:sz w:val="32"/>
          <w:szCs w:val="32"/>
        </w:rPr>
      </w:pPr>
      <w:r>
        <w:rPr>
          <w:rFonts w:ascii="Tahoma" w:hAnsi="Tahoma" w:cs="Tahoma"/>
          <w:b/>
          <w:color w:val="003C71"/>
        </w:rPr>
        <w:br w:type="page"/>
      </w:r>
    </w:p>
    <w:p w14:paraId="3AE74518" w14:textId="394B0251" w:rsidR="009144DE" w:rsidRDefault="00D65342" w:rsidP="00C059E5">
      <w:pPr>
        <w:pStyle w:val="Heading1"/>
        <w:rPr>
          <w:rFonts w:ascii="Tahoma" w:hAnsi="Tahoma" w:cs="Tahoma"/>
          <w:b/>
          <w:color w:val="003C71"/>
        </w:rPr>
      </w:pPr>
      <w:bookmarkStart w:id="21" w:name="_Toc57314068"/>
      <w:r w:rsidRPr="0095305C">
        <w:rPr>
          <w:rFonts w:ascii="Tahoma" w:hAnsi="Tahoma" w:cs="Tahoma"/>
          <w:b/>
          <w:color w:val="003C71"/>
        </w:rPr>
        <w:lastRenderedPageBreak/>
        <w:t>S10. Network Quality</w:t>
      </w:r>
      <w:bookmarkEnd w:id="21"/>
      <w:r w:rsidRPr="0095305C">
        <w:rPr>
          <w:rFonts w:ascii="Tahoma" w:hAnsi="Tahoma" w:cs="Tahoma"/>
          <w:b/>
          <w:color w:val="003C71"/>
        </w:rPr>
        <w:t xml:space="preserve"> </w:t>
      </w:r>
    </w:p>
    <w:p w14:paraId="555272D9" w14:textId="77777777" w:rsidR="00D65342" w:rsidRDefault="00D65342" w:rsidP="00C97516">
      <w:pPr>
        <w:pStyle w:val="Heading2"/>
        <w:rPr>
          <w:rFonts w:ascii="Tahoma" w:hAnsi="Tahoma" w:cs="Tahoma"/>
          <w:color w:val="003C71"/>
        </w:rPr>
      </w:pPr>
      <w:bookmarkStart w:id="22" w:name="_Toc57314069"/>
      <w:r w:rsidRPr="00C97516">
        <w:rPr>
          <w:rFonts w:ascii="Tahoma" w:hAnsi="Tahoma" w:cs="Tahoma"/>
          <w:color w:val="003C71"/>
        </w:rPr>
        <w:t>S10.1 – Pressure Faults</w:t>
      </w:r>
      <w:bookmarkEnd w:id="22"/>
    </w:p>
    <w:tbl>
      <w:tblPr>
        <w:tblStyle w:val="UETableStyle"/>
        <w:tblW w:w="4880"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05"/>
        <w:gridCol w:w="4501"/>
        <w:gridCol w:w="2640"/>
        <w:gridCol w:w="3016"/>
        <w:gridCol w:w="1561"/>
      </w:tblGrid>
      <w:tr w:rsidR="00D81362" w:rsidRPr="00751816" w14:paraId="69E06C85" w14:textId="77777777" w:rsidTr="00D81362">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699" w:type="pct"/>
            <w:tcBorders>
              <w:bottom w:val="single" w:sz="4" w:space="0" w:color="00B0F0"/>
            </w:tcBorders>
            <w:shd w:val="clear" w:color="auto" w:fill="003C71"/>
            <w:hideMark/>
          </w:tcPr>
          <w:p w14:paraId="2363158F" w14:textId="5EFF9D8D" w:rsidR="009E1541" w:rsidRPr="00751816" w:rsidRDefault="009E1541" w:rsidP="001664CF">
            <w:pPr>
              <w:rPr>
                <w:rFonts w:ascii="Tahoma" w:hAnsi="Tahoma" w:cs="Tahoma"/>
                <w:b/>
                <w:color w:val="FFFFFF"/>
                <w:sz w:val="20"/>
              </w:rPr>
            </w:pPr>
            <w:r w:rsidRPr="00751816">
              <w:rPr>
                <w:rFonts w:ascii="Tahoma" w:hAnsi="Tahoma" w:cs="Tahoma"/>
                <w:b/>
                <w:color w:val="FFFFFF"/>
                <w:sz w:val="20"/>
              </w:rPr>
              <w:t xml:space="preserve">Variable </w:t>
            </w:r>
          </w:p>
        </w:tc>
        <w:tc>
          <w:tcPr>
            <w:tcW w:w="1652" w:type="pct"/>
            <w:tcBorders>
              <w:bottom w:val="single" w:sz="4" w:space="0" w:color="00B0F0"/>
            </w:tcBorders>
            <w:shd w:val="clear" w:color="auto" w:fill="003C71"/>
          </w:tcPr>
          <w:p w14:paraId="2B3EE3B2" w14:textId="77777777" w:rsidR="009E1541" w:rsidRPr="00751816" w:rsidRDefault="009E1541"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969" w:type="pct"/>
            <w:tcBorders>
              <w:bottom w:val="single" w:sz="4" w:space="0" w:color="00B0F0"/>
            </w:tcBorders>
            <w:shd w:val="clear" w:color="auto" w:fill="003C71"/>
          </w:tcPr>
          <w:p w14:paraId="26B1E7DA" w14:textId="77777777" w:rsidR="009E1541" w:rsidRPr="00751816" w:rsidRDefault="009E1541"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107" w:type="pct"/>
            <w:tcBorders>
              <w:bottom w:val="single" w:sz="4" w:space="0" w:color="00B0F0"/>
            </w:tcBorders>
            <w:shd w:val="clear" w:color="auto" w:fill="003C71"/>
          </w:tcPr>
          <w:p w14:paraId="121854EA" w14:textId="77777777" w:rsidR="009E1541" w:rsidRPr="00751816" w:rsidRDefault="009E1541"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573" w:type="pct"/>
            <w:tcBorders>
              <w:bottom w:val="single" w:sz="4" w:space="0" w:color="00B0F0"/>
            </w:tcBorders>
            <w:shd w:val="clear" w:color="auto" w:fill="003C71"/>
          </w:tcPr>
          <w:p w14:paraId="4A7E49C2" w14:textId="77777777" w:rsidR="009E1541" w:rsidRPr="00751816" w:rsidRDefault="009E1541"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602657" w:rsidRPr="00751816" w14:paraId="086FA5A6" w14:textId="77777777" w:rsidTr="009A031F">
        <w:trPr>
          <w:trHeight w:val="283"/>
        </w:trPr>
        <w:tc>
          <w:tcPr>
            <w:cnfStyle w:val="001000000000" w:firstRow="0" w:lastRow="0" w:firstColumn="1" w:lastColumn="0" w:oddVBand="0" w:evenVBand="0" w:oddHBand="0" w:evenHBand="0" w:firstRowFirstColumn="0" w:firstRowLastColumn="0" w:lastRowFirstColumn="0" w:lastRowLastColumn="0"/>
            <w:tcW w:w="699" w:type="pct"/>
            <w:tcBorders>
              <w:top w:val="single" w:sz="4" w:space="0" w:color="00B0F0"/>
              <w:bottom w:val="single" w:sz="4" w:space="0" w:color="00B0F0"/>
            </w:tcBorders>
            <w:shd w:val="clear" w:color="auto" w:fill="00A3E0"/>
            <w:vAlign w:val="center"/>
          </w:tcPr>
          <w:p w14:paraId="42EB3F53" w14:textId="7E2F9348" w:rsidR="00602657" w:rsidRDefault="00DD6B14" w:rsidP="00602657">
            <w:pPr>
              <w:spacing w:before="120" w:after="120" w:line="240" w:lineRule="atLeast"/>
              <w:contextualSpacing/>
              <w:rPr>
                <w:rFonts w:ascii="Tahoma" w:hAnsi="Tahoma" w:cs="Tahoma"/>
                <w:sz w:val="20"/>
              </w:rPr>
            </w:pPr>
            <w:r>
              <w:rPr>
                <w:rFonts w:ascii="Tahoma" w:hAnsi="Tahoma" w:cs="Tahoma"/>
                <w:sz w:val="20"/>
              </w:rPr>
              <w:t>2019/20</w:t>
            </w:r>
          </w:p>
        </w:tc>
        <w:tc>
          <w:tcPr>
            <w:tcW w:w="1652" w:type="pct"/>
            <w:tcBorders>
              <w:top w:val="single" w:sz="4" w:space="0" w:color="00B0F0"/>
              <w:bottom w:val="single" w:sz="4" w:space="0" w:color="00B0F0"/>
            </w:tcBorders>
            <w:shd w:val="clear" w:color="auto" w:fill="00A3E0"/>
            <w:vAlign w:val="center"/>
          </w:tcPr>
          <w:p w14:paraId="55E91BAF" w14:textId="77777777" w:rsidR="00602657" w:rsidRPr="00751816" w:rsidRDefault="00602657" w:rsidP="006026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969" w:type="pct"/>
            <w:tcBorders>
              <w:top w:val="single" w:sz="4" w:space="0" w:color="00B0F0"/>
              <w:bottom w:val="single" w:sz="4" w:space="0" w:color="00B0F0"/>
            </w:tcBorders>
            <w:shd w:val="clear" w:color="auto" w:fill="00A3E0"/>
            <w:vAlign w:val="center"/>
          </w:tcPr>
          <w:p w14:paraId="6AD7DBD1" w14:textId="77777777" w:rsidR="00602657" w:rsidRPr="00751816" w:rsidRDefault="00602657" w:rsidP="006026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1107" w:type="pct"/>
            <w:tcBorders>
              <w:top w:val="single" w:sz="4" w:space="0" w:color="00B0F0"/>
              <w:bottom w:val="single" w:sz="4" w:space="0" w:color="00B0F0"/>
            </w:tcBorders>
            <w:shd w:val="clear" w:color="auto" w:fill="00A3E0"/>
            <w:vAlign w:val="center"/>
          </w:tcPr>
          <w:p w14:paraId="7618D98F" w14:textId="77777777" w:rsidR="00602657" w:rsidRPr="00751816" w:rsidRDefault="00602657" w:rsidP="006026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573" w:type="pct"/>
            <w:tcBorders>
              <w:top w:val="single" w:sz="4" w:space="0" w:color="00B0F0"/>
              <w:bottom w:val="single" w:sz="4" w:space="0" w:color="00B0F0"/>
            </w:tcBorders>
            <w:shd w:val="clear" w:color="auto" w:fill="00A3E0"/>
            <w:vAlign w:val="center"/>
          </w:tcPr>
          <w:p w14:paraId="325F2DE0" w14:textId="77777777" w:rsidR="00602657" w:rsidRPr="00751816" w:rsidRDefault="00602657" w:rsidP="006026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AD5EE6" w:rsidRPr="00751816" w14:paraId="51699A1C" w14:textId="77777777" w:rsidTr="00AD5EE6">
        <w:trPr>
          <w:cantSplit/>
          <w:trHeight w:val="583"/>
        </w:trPr>
        <w:tc>
          <w:tcPr>
            <w:cnfStyle w:val="001000000000" w:firstRow="0" w:lastRow="0" w:firstColumn="1" w:lastColumn="0" w:oddVBand="0" w:evenVBand="0" w:oddHBand="0" w:evenHBand="0" w:firstRowFirstColumn="0" w:firstRowLastColumn="0" w:lastRowFirstColumn="0" w:lastRowLastColumn="0"/>
            <w:tcW w:w="699" w:type="pct"/>
            <w:tcBorders>
              <w:top w:val="single" w:sz="4" w:space="0" w:color="00B0F0"/>
              <w:bottom w:val="single" w:sz="4" w:space="0" w:color="00B0F0"/>
            </w:tcBorders>
            <w:shd w:val="clear" w:color="auto" w:fill="D9D9D9" w:themeFill="background1" w:themeFillShade="D9"/>
            <w:vAlign w:val="center"/>
          </w:tcPr>
          <w:p w14:paraId="403BD49A" w14:textId="2300B114" w:rsidR="00AD5EE6" w:rsidRDefault="00AD5EE6" w:rsidP="00602657">
            <w:pPr>
              <w:spacing w:before="120" w:after="120" w:line="240" w:lineRule="atLeast"/>
              <w:contextualSpacing/>
              <w:rPr>
                <w:rFonts w:ascii="Tahoma" w:hAnsi="Tahoma" w:cs="Tahoma"/>
                <w:sz w:val="20"/>
              </w:rPr>
            </w:pPr>
            <w:r>
              <w:rPr>
                <w:rFonts w:ascii="Tahoma" w:hAnsi="Tahoma" w:cs="Tahoma"/>
                <w:sz w:val="20"/>
              </w:rPr>
              <w:t xml:space="preserve">Poor Pressure events – mains </w:t>
            </w:r>
          </w:p>
        </w:tc>
        <w:tc>
          <w:tcPr>
            <w:tcW w:w="4301" w:type="pct"/>
            <w:gridSpan w:val="4"/>
            <w:tcBorders>
              <w:top w:val="single" w:sz="4" w:space="0" w:color="00B0F0"/>
              <w:bottom w:val="single" w:sz="4" w:space="0" w:color="00B0F0"/>
            </w:tcBorders>
            <w:vAlign w:val="center"/>
          </w:tcPr>
          <w:p w14:paraId="6097ED22" w14:textId="77777777" w:rsidR="0045441A" w:rsidRDefault="00AD5EE6" w:rsidP="00A91A5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AGN is unable to populate this field as we do not measure poor pressure events on mains and have no basis to make an estimate.</w:t>
            </w:r>
          </w:p>
          <w:p w14:paraId="22FCD77A" w14:textId="3F710BDE" w:rsidR="00AD5EE6" w:rsidRDefault="00AD5EE6" w:rsidP="00A91A5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  </w:t>
            </w:r>
          </w:p>
          <w:p w14:paraId="6EC9DE7F" w14:textId="640F8B1E" w:rsidR="00AD5EE6" w:rsidRPr="00751816" w:rsidRDefault="00AD5EE6" w:rsidP="00A91A54">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Thus we provide a ‘Null’ response in the reporting template.</w:t>
            </w:r>
          </w:p>
        </w:tc>
      </w:tr>
      <w:tr w:rsidR="00602657" w:rsidRPr="00751816" w14:paraId="4BA1107B" w14:textId="77777777" w:rsidTr="00641102">
        <w:trPr>
          <w:cantSplit/>
          <w:trHeight w:val="583"/>
        </w:trPr>
        <w:tc>
          <w:tcPr>
            <w:cnfStyle w:val="001000000000" w:firstRow="0" w:lastRow="0" w:firstColumn="1" w:lastColumn="0" w:oddVBand="0" w:evenVBand="0" w:oddHBand="0" w:evenHBand="0" w:firstRowFirstColumn="0" w:firstRowLastColumn="0" w:lastRowFirstColumn="0" w:lastRowLastColumn="0"/>
            <w:tcW w:w="699" w:type="pct"/>
            <w:tcBorders>
              <w:top w:val="single" w:sz="4" w:space="0" w:color="00B0F0"/>
              <w:bottom w:val="single" w:sz="4" w:space="0" w:color="00B0F0"/>
            </w:tcBorders>
            <w:shd w:val="clear" w:color="auto" w:fill="D9D9D9" w:themeFill="background1" w:themeFillShade="D9"/>
            <w:vAlign w:val="center"/>
          </w:tcPr>
          <w:p w14:paraId="1417A982" w14:textId="77777777" w:rsidR="00602657" w:rsidRDefault="00602657" w:rsidP="00602657">
            <w:pPr>
              <w:spacing w:before="120" w:after="120" w:line="240" w:lineRule="atLeast"/>
              <w:contextualSpacing/>
              <w:rPr>
                <w:rFonts w:ascii="Tahoma" w:hAnsi="Tahoma" w:cs="Tahoma"/>
                <w:sz w:val="20"/>
              </w:rPr>
            </w:pPr>
            <w:r>
              <w:rPr>
                <w:rFonts w:ascii="Tahoma" w:hAnsi="Tahoma" w:cs="Tahoma"/>
                <w:sz w:val="20"/>
              </w:rPr>
              <w:t>Poor Pressure events – services /</w:t>
            </w:r>
          </w:p>
          <w:p w14:paraId="36B8C78A" w14:textId="7D21C88C" w:rsidR="00602657" w:rsidRDefault="00602657" w:rsidP="00602657">
            <w:pPr>
              <w:spacing w:before="120" w:after="120" w:line="240" w:lineRule="atLeast"/>
              <w:contextualSpacing/>
              <w:rPr>
                <w:rFonts w:ascii="Tahoma" w:hAnsi="Tahoma" w:cs="Tahoma"/>
                <w:sz w:val="20"/>
              </w:rPr>
            </w:pPr>
            <w:r>
              <w:rPr>
                <w:rFonts w:ascii="Tahoma" w:hAnsi="Tahoma" w:cs="Tahoma"/>
                <w:sz w:val="20"/>
              </w:rPr>
              <w:t xml:space="preserve">Poor Pressure events – meters </w:t>
            </w:r>
          </w:p>
        </w:tc>
        <w:tc>
          <w:tcPr>
            <w:tcW w:w="1652" w:type="pct"/>
            <w:tcBorders>
              <w:top w:val="single" w:sz="4" w:space="0" w:color="00B0F0"/>
              <w:bottom w:val="single" w:sz="4" w:space="0" w:color="00B0F0"/>
            </w:tcBorders>
            <w:vAlign w:val="center"/>
          </w:tcPr>
          <w:p w14:paraId="689EB3D1"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We do not distinguish poor pressure events at service or meter.  All poor pressure events are considered at the Meter.</w:t>
            </w:r>
          </w:p>
          <w:p w14:paraId="2B653A09"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5702E54"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Data is sourced from a SSAS tabular data model utilising data sourced from the current Maximo instance.</w:t>
            </w:r>
          </w:p>
          <w:p w14:paraId="1BAE3C29"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646BD1A"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In order to capture Poor Pressure events, all Supply Investigations were captured where:</w:t>
            </w:r>
          </w:p>
          <w:p w14:paraId="62D13781" w14:textId="77777777" w:rsidR="00D21488" w:rsidRDefault="00D21488" w:rsidP="00D21488">
            <w:pPr>
              <w:pStyle w:val="ListParagraph"/>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Work Order Status and Outcome is Complete,</w:t>
            </w:r>
          </w:p>
          <w:p w14:paraId="0F4B3E63" w14:textId="77777777" w:rsidR="00D21488" w:rsidRDefault="00D21488" w:rsidP="00D21488">
            <w:pPr>
              <w:pStyle w:val="ListParagraph"/>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Investigation Result excludes Downstream Customer Problem, No Fault Found, and Planned Network Activity, and</w:t>
            </w:r>
          </w:p>
          <w:p w14:paraId="54A50C5E" w14:textId="77777777" w:rsidR="00D21488" w:rsidRDefault="00D21488" w:rsidP="00D21488">
            <w:pPr>
              <w:pStyle w:val="ListParagraph"/>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There was no Supply Loss</w:t>
            </w:r>
          </w:p>
          <w:p w14:paraId="5AD85906" w14:textId="77777777" w:rsidR="00D21488" w:rsidRPr="00A91A54" w:rsidRDefault="00D21488" w:rsidP="00707D1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9CBD61E" w14:textId="385AF487" w:rsidR="00602657" w:rsidRDefault="00D21488" w:rsidP="00A91A54">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Work Orders for the same location on the same day were considered duplicates and removed. Work Orders are grouped by interruption start day and location to categorise as an </w:t>
            </w:r>
            <w:r w:rsidRPr="00A43671">
              <w:rPr>
                <w:rFonts w:ascii="Tahoma" w:hAnsi="Tahoma" w:cs="Tahoma"/>
                <w:sz w:val="20"/>
              </w:rPr>
              <w:t>event</w:t>
            </w:r>
            <w:r>
              <w:rPr>
                <w:rFonts w:ascii="Tahoma" w:hAnsi="Tahoma" w:cs="Tahoma"/>
                <w:sz w:val="20"/>
              </w:rPr>
              <w:t xml:space="preserve">.  </w:t>
            </w:r>
          </w:p>
        </w:tc>
        <w:tc>
          <w:tcPr>
            <w:tcW w:w="969" w:type="pct"/>
            <w:tcBorders>
              <w:top w:val="single" w:sz="4" w:space="0" w:color="00B0F0"/>
              <w:bottom w:val="single" w:sz="4" w:space="0" w:color="00B0F0"/>
            </w:tcBorders>
            <w:vAlign w:val="center"/>
          </w:tcPr>
          <w:p w14:paraId="4BE226B2" w14:textId="3A369CCD" w:rsidR="00602657" w:rsidRDefault="00602657"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07" w:type="pct"/>
            <w:tcBorders>
              <w:top w:val="single" w:sz="4" w:space="0" w:color="00B0F0"/>
              <w:bottom w:val="single" w:sz="4" w:space="0" w:color="00B0F0"/>
            </w:tcBorders>
            <w:vAlign w:val="center"/>
          </w:tcPr>
          <w:p w14:paraId="3DF366C9" w14:textId="77777777" w:rsidR="00602657" w:rsidRPr="00751816" w:rsidRDefault="00602657" w:rsidP="006026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573" w:type="pct"/>
            <w:tcBorders>
              <w:top w:val="single" w:sz="4" w:space="0" w:color="00B0F0"/>
              <w:bottom w:val="single" w:sz="4" w:space="0" w:color="00B0F0"/>
            </w:tcBorders>
            <w:vAlign w:val="center"/>
          </w:tcPr>
          <w:p w14:paraId="3DBB0AFB" w14:textId="77777777" w:rsidR="00602657" w:rsidRPr="00751816" w:rsidRDefault="00602657" w:rsidP="006026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D21488" w:rsidRPr="00751816" w14:paraId="3E3CEF73" w14:textId="77777777" w:rsidTr="00641102">
        <w:trPr>
          <w:cantSplit/>
          <w:trHeight w:val="583"/>
        </w:trPr>
        <w:tc>
          <w:tcPr>
            <w:cnfStyle w:val="001000000000" w:firstRow="0" w:lastRow="0" w:firstColumn="1" w:lastColumn="0" w:oddVBand="0" w:evenVBand="0" w:oddHBand="0" w:evenHBand="0" w:firstRowFirstColumn="0" w:firstRowLastColumn="0" w:lastRowFirstColumn="0" w:lastRowLastColumn="0"/>
            <w:tcW w:w="699" w:type="pct"/>
            <w:tcBorders>
              <w:top w:val="single" w:sz="4" w:space="0" w:color="00B0F0"/>
              <w:bottom w:val="single" w:sz="4" w:space="0" w:color="00B0F0"/>
            </w:tcBorders>
            <w:shd w:val="clear" w:color="auto" w:fill="D9D9D9" w:themeFill="background1" w:themeFillShade="D9"/>
            <w:vAlign w:val="center"/>
          </w:tcPr>
          <w:p w14:paraId="318117DB" w14:textId="42BAD50F" w:rsidR="00D21488" w:rsidRDefault="00D21488" w:rsidP="00D21488">
            <w:pPr>
              <w:spacing w:before="120" w:after="120" w:line="240" w:lineRule="atLeast"/>
              <w:contextualSpacing/>
              <w:rPr>
                <w:rFonts w:ascii="Tahoma" w:hAnsi="Tahoma" w:cs="Tahoma"/>
                <w:sz w:val="20"/>
              </w:rPr>
            </w:pPr>
            <w:r>
              <w:rPr>
                <w:rFonts w:ascii="Tahoma" w:hAnsi="Tahoma" w:cs="Tahoma"/>
                <w:sz w:val="20"/>
              </w:rPr>
              <w:lastRenderedPageBreak/>
              <w:t xml:space="preserve">Pressure events impacting 5+ customers </w:t>
            </w:r>
          </w:p>
        </w:tc>
        <w:tc>
          <w:tcPr>
            <w:tcW w:w="1652" w:type="pct"/>
            <w:tcBorders>
              <w:top w:val="single" w:sz="4" w:space="0" w:color="00B0F0"/>
              <w:bottom w:val="single" w:sz="4" w:space="0" w:color="00B0F0"/>
            </w:tcBorders>
            <w:vAlign w:val="center"/>
          </w:tcPr>
          <w:p w14:paraId="3208A679"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This variable was calculated using the same data set used to calculate poor pressure events for Meters.  </w:t>
            </w:r>
          </w:p>
          <w:p w14:paraId="10E73A97"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07D06B3" w14:textId="74FF8A01"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As part of grouping Work Orders as </w:t>
            </w:r>
            <w:r w:rsidRPr="00A43671">
              <w:rPr>
                <w:rFonts w:ascii="Tahoma" w:hAnsi="Tahoma" w:cs="Tahoma"/>
                <w:sz w:val="20"/>
              </w:rPr>
              <w:t>events</w:t>
            </w:r>
            <w:r>
              <w:rPr>
                <w:rFonts w:ascii="Tahoma" w:hAnsi="Tahoma" w:cs="Tahoma"/>
                <w:sz w:val="20"/>
              </w:rPr>
              <w:t>, a count of customers was captured.  This variable counts the number of events where the count of customers was 5 or more.</w:t>
            </w:r>
          </w:p>
        </w:tc>
        <w:tc>
          <w:tcPr>
            <w:tcW w:w="969" w:type="pct"/>
            <w:tcBorders>
              <w:top w:val="single" w:sz="4" w:space="0" w:color="00B0F0"/>
              <w:bottom w:val="single" w:sz="4" w:space="0" w:color="00B0F0"/>
            </w:tcBorders>
            <w:vAlign w:val="center"/>
          </w:tcPr>
          <w:p w14:paraId="1776C836" w14:textId="6E69E177" w:rsidR="00D21488" w:rsidRDefault="00D21488"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07" w:type="pct"/>
            <w:tcBorders>
              <w:top w:val="single" w:sz="4" w:space="0" w:color="00B0F0"/>
              <w:bottom w:val="single" w:sz="4" w:space="0" w:color="00B0F0"/>
            </w:tcBorders>
            <w:vAlign w:val="center"/>
          </w:tcPr>
          <w:p w14:paraId="42EB8886" w14:textId="77777777" w:rsidR="00D21488" w:rsidRPr="00751816" w:rsidRDefault="00D21488" w:rsidP="00D2148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573" w:type="pct"/>
            <w:tcBorders>
              <w:top w:val="single" w:sz="4" w:space="0" w:color="00B0F0"/>
              <w:bottom w:val="single" w:sz="4" w:space="0" w:color="00B0F0"/>
            </w:tcBorders>
            <w:vAlign w:val="center"/>
          </w:tcPr>
          <w:p w14:paraId="60E14C67" w14:textId="77777777" w:rsidR="00D21488" w:rsidRPr="00751816" w:rsidRDefault="00D21488" w:rsidP="00D2148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D21488" w:rsidRPr="00751816" w14:paraId="717EE9F6" w14:textId="77777777" w:rsidTr="00641102">
        <w:trPr>
          <w:cantSplit/>
          <w:trHeight w:val="583"/>
        </w:trPr>
        <w:tc>
          <w:tcPr>
            <w:cnfStyle w:val="001000000000" w:firstRow="0" w:lastRow="0" w:firstColumn="1" w:lastColumn="0" w:oddVBand="0" w:evenVBand="0" w:oddHBand="0" w:evenHBand="0" w:firstRowFirstColumn="0" w:firstRowLastColumn="0" w:lastRowFirstColumn="0" w:lastRowLastColumn="0"/>
            <w:tcW w:w="699" w:type="pct"/>
            <w:tcBorders>
              <w:top w:val="single" w:sz="4" w:space="0" w:color="00B0F0"/>
              <w:bottom w:val="single" w:sz="4" w:space="0" w:color="00B0F0"/>
            </w:tcBorders>
            <w:shd w:val="clear" w:color="auto" w:fill="D9D9D9" w:themeFill="background1" w:themeFillShade="D9"/>
            <w:vAlign w:val="center"/>
          </w:tcPr>
          <w:p w14:paraId="4E013E21" w14:textId="2CE269D8" w:rsidR="00D21488" w:rsidRDefault="00D21488" w:rsidP="00D21488">
            <w:pPr>
              <w:spacing w:before="120" w:after="120" w:line="240" w:lineRule="atLeast"/>
              <w:contextualSpacing/>
              <w:rPr>
                <w:rFonts w:ascii="Tahoma" w:hAnsi="Tahoma" w:cs="Tahoma"/>
                <w:sz w:val="20"/>
              </w:rPr>
            </w:pPr>
            <w:r>
              <w:rPr>
                <w:rFonts w:ascii="Tahoma" w:hAnsi="Tahoma" w:cs="Tahoma"/>
                <w:sz w:val="20"/>
              </w:rPr>
              <w:t xml:space="preserve">Pressure events with &gt; 12 hours restoration </w:t>
            </w:r>
          </w:p>
        </w:tc>
        <w:tc>
          <w:tcPr>
            <w:tcW w:w="1652" w:type="pct"/>
            <w:tcBorders>
              <w:top w:val="single" w:sz="4" w:space="0" w:color="00B0F0"/>
              <w:bottom w:val="single" w:sz="4" w:space="0" w:color="00B0F0"/>
            </w:tcBorders>
            <w:vAlign w:val="center"/>
          </w:tcPr>
          <w:p w14:paraId="0CC35B6E"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This variable was calculated using the same data set used to calculate poor pressure events for Meters.  </w:t>
            </w:r>
          </w:p>
          <w:p w14:paraId="3D973333"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0B95C05" w14:textId="054F1055"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Duration is considered from Work Order Report Date to Actual Finish Date.</w:t>
            </w:r>
          </w:p>
        </w:tc>
        <w:tc>
          <w:tcPr>
            <w:tcW w:w="969" w:type="pct"/>
            <w:tcBorders>
              <w:top w:val="single" w:sz="4" w:space="0" w:color="00B0F0"/>
              <w:bottom w:val="single" w:sz="4" w:space="0" w:color="00B0F0"/>
            </w:tcBorders>
            <w:vAlign w:val="center"/>
          </w:tcPr>
          <w:p w14:paraId="020BF21A" w14:textId="6C3F3B75" w:rsidR="00D21488" w:rsidRDefault="00D21488"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07" w:type="pct"/>
            <w:tcBorders>
              <w:top w:val="single" w:sz="4" w:space="0" w:color="00B0F0"/>
              <w:bottom w:val="single" w:sz="4" w:space="0" w:color="00B0F0"/>
            </w:tcBorders>
            <w:vAlign w:val="center"/>
          </w:tcPr>
          <w:p w14:paraId="1F539176" w14:textId="77777777" w:rsidR="00D21488" w:rsidRPr="00751816" w:rsidRDefault="00D21488" w:rsidP="00D2148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573" w:type="pct"/>
            <w:tcBorders>
              <w:top w:val="single" w:sz="4" w:space="0" w:color="00B0F0"/>
              <w:bottom w:val="single" w:sz="4" w:space="0" w:color="00B0F0"/>
            </w:tcBorders>
            <w:vAlign w:val="center"/>
          </w:tcPr>
          <w:p w14:paraId="64001051" w14:textId="77777777" w:rsidR="00D21488" w:rsidRPr="00751816" w:rsidRDefault="00D21488" w:rsidP="00D2148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310DEAD9" w14:textId="77777777" w:rsidR="009E1541" w:rsidRPr="009E1541" w:rsidRDefault="009E1541" w:rsidP="009E1541"/>
    <w:p w14:paraId="38630614" w14:textId="77777777" w:rsidR="00490E1B" w:rsidRDefault="00490E1B">
      <w:pPr>
        <w:rPr>
          <w:rFonts w:ascii="Tahoma" w:eastAsiaTheme="majorEastAsia" w:hAnsi="Tahoma" w:cs="Tahoma"/>
          <w:b/>
          <w:color w:val="003C71"/>
          <w:sz w:val="32"/>
          <w:szCs w:val="32"/>
        </w:rPr>
      </w:pPr>
      <w:r>
        <w:rPr>
          <w:rFonts w:ascii="Tahoma" w:hAnsi="Tahoma" w:cs="Tahoma"/>
          <w:b/>
          <w:color w:val="003C71"/>
        </w:rPr>
        <w:br w:type="page"/>
      </w:r>
    </w:p>
    <w:p w14:paraId="570CD376" w14:textId="490AA4D9" w:rsidR="00D65342" w:rsidRDefault="00D65342" w:rsidP="00C059E5">
      <w:pPr>
        <w:pStyle w:val="Heading1"/>
        <w:rPr>
          <w:rFonts w:ascii="Tahoma" w:hAnsi="Tahoma" w:cs="Tahoma"/>
          <w:b/>
          <w:color w:val="003C71"/>
        </w:rPr>
      </w:pPr>
      <w:bookmarkStart w:id="23" w:name="_Toc57314070"/>
      <w:r w:rsidRPr="0095305C">
        <w:rPr>
          <w:rFonts w:ascii="Tahoma" w:hAnsi="Tahoma" w:cs="Tahoma"/>
          <w:b/>
          <w:color w:val="003C71"/>
        </w:rPr>
        <w:lastRenderedPageBreak/>
        <w:t>S11. Network Reliability</w:t>
      </w:r>
      <w:bookmarkEnd w:id="23"/>
      <w:r w:rsidRPr="0095305C">
        <w:rPr>
          <w:rFonts w:ascii="Tahoma" w:hAnsi="Tahoma" w:cs="Tahoma"/>
          <w:b/>
          <w:color w:val="003C71"/>
        </w:rPr>
        <w:t xml:space="preserve"> </w:t>
      </w:r>
    </w:p>
    <w:p w14:paraId="22192D89" w14:textId="77777777" w:rsidR="00D65342" w:rsidRDefault="00D65342" w:rsidP="00C97516">
      <w:pPr>
        <w:pStyle w:val="Heading2"/>
        <w:rPr>
          <w:rFonts w:ascii="Tahoma" w:hAnsi="Tahoma" w:cs="Tahoma"/>
          <w:color w:val="003C71"/>
        </w:rPr>
      </w:pPr>
      <w:bookmarkStart w:id="24" w:name="_Toc57314071"/>
      <w:r w:rsidRPr="00C97516">
        <w:rPr>
          <w:rFonts w:ascii="Tahoma" w:hAnsi="Tahoma" w:cs="Tahoma"/>
          <w:color w:val="003C71"/>
        </w:rPr>
        <w:t>S11.1 – Network Outages</w:t>
      </w:r>
      <w:bookmarkEnd w:id="24"/>
      <w:r w:rsidRPr="00C97516">
        <w:rPr>
          <w:rFonts w:ascii="Tahoma" w:hAnsi="Tahoma" w:cs="Tahoma"/>
          <w:color w:val="003C71"/>
        </w:rPr>
        <w:t xml:space="preserve"> </w:t>
      </w:r>
    </w:p>
    <w:p w14:paraId="3AF4A82D" w14:textId="77777777" w:rsidR="00D65342" w:rsidRDefault="00D65342">
      <w:pPr>
        <w:rPr>
          <w:rFonts w:ascii="Tahoma" w:hAnsi="Tahoma" w:cs="Tahoma"/>
          <w:color w:val="00B0F0"/>
        </w:rPr>
      </w:pPr>
      <w:r w:rsidRPr="00C97516">
        <w:rPr>
          <w:rFonts w:ascii="Tahoma" w:hAnsi="Tahoma" w:cs="Tahoma"/>
          <w:color w:val="00B0F0"/>
        </w:rPr>
        <w:t xml:space="preserve">S11.1.1 – Planned </w:t>
      </w:r>
    </w:p>
    <w:tbl>
      <w:tblPr>
        <w:tblStyle w:val="UETableStyle"/>
        <w:tblW w:w="4885"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4"/>
        <w:gridCol w:w="4732"/>
        <w:gridCol w:w="2288"/>
        <w:gridCol w:w="2719"/>
        <w:gridCol w:w="1904"/>
      </w:tblGrid>
      <w:tr w:rsidR="00001E0E" w:rsidRPr="00751816" w14:paraId="4A51D5B6" w14:textId="77777777" w:rsidTr="00001A78">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739B0772" w14:textId="3B2D96D1" w:rsidR="00001E0E" w:rsidRPr="00751816" w:rsidRDefault="00001E0E" w:rsidP="001664CF">
            <w:pPr>
              <w:rPr>
                <w:rFonts w:ascii="Tahoma" w:hAnsi="Tahoma" w:cs="Tahoma"/>
                <w:b/>
                <w:color w:val="FFFFFF"/>
                <w:sz w:val="20"/>
              </w:rPr>
            </w:pPr>
            <w:r w:rsidRPr="00751816">
              <w:rPr>
                <w:rFonts w:ascii="Tahoma" w:hAnsi="Tahoma" w:cs="Tahoma"/>
                <w:b/>
                <w:color w:val="FFFFFF"/>
                <w:sz w:val="20"/>
              </w:rPr>
              <w:t xml:space="preserve">Variable </w:t>
            </w:r>
          </w:p>
        </w:tc>
        <w:tc>
          <w:tcPr>
            <w:tcW w:w="1735" w:type="pct"/>
            <w:tcBorders>
              <w:bottom w:val="single" w:sz="4" w:space="0" w:color="00B0F0"/>
            </w:tcBorders>
            <w:shd w:val="clear" w:color="auto" w:fill="003C71"/>
          </w:tcPr>
          <w:p w14:paraId="1D7990BD" w14:textId="77777777" w:rsidR="00001E0E" w:rsidRPr="00751816" w:rsidRDefault="00001E0E"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9" w:type="pct"/>
            <w:tcBorders>
              <w:bottom w:val="single" w:sz="4" w:space="0" w:color="00B0F0"/>
            </w:tcBorders>
            <w:shd w:val="clear" w:color="auto" w:fill="003C71"/>
          </w:tcPr>
          <w:p w14:paraId="5BB2517D" w14:textId="77777777" w:rsidR="00001E0E" w:rsidRPr="00751816" w:rsidRDefault="00001E0E"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7" w:type="pct"/>
            <w:tcBorders>
              <w:bottom w:val="single" w:sz="4" w:space="0" w:color="00B0F0"/>
            </w:tcBorders>
            <w:shd w:val="clear" w:color="auto" w:fill="003C71"/>
          </w:tcPr>
          <w:p w14:paraId="62ED1667" w14:textId="77777777" w:rsidR="00001E0E" w:rsidRPr="00751816" w:rsidRDefault="00001E0E"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98" w:type="pct"/>
            <w:tcBorders>
              <w:bottom w:val="single" w:sz="4" w:space="0" w:color="00B0F0"/>
            </w:tcBorders>
            <w:shd w:val="clear" w:color="auto" w:fill="003C71"/>
          </w:tcPr>
          <w:p w14:paraId="3C816022" w14:textId="77777777" w:rsidR="00001E0E" w:rsidRPr="00751816" w:rsidRDefault="00001E0E"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E71F95" w:rsidRPr="00751816" w14:paraId="4A9DE08D" w14:textId="77777777" w:rsidTr="009A031F">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00B0F0"/>
              <w:bottom w:val="single" w:sz="4" w:space="0" w:color="00B0F0"/>
            </w:tcBorders>
            <w:shd w:val="clear" w:color="auto" w:fill="00A3E0"/>
            <w:vAlign w:val="center"/>
          </w:tcPr>
          <w:p w14:paraId="708C1F69" w14:textId="02321CC2" w:rsidR="00E71F95" w:rsidRPr="00751816" w:rsidRDefault="00DD6B14" w:rsidP="00C3723A">
            <w:pPr>
              <w:contextualSpacing/>
              <w:rPr>
                <w:rFonts w:ascii="Tahoma" w:hAnsi="Tahoma" w:cs="Tahoma"/>
                <w:sz w:val="20"/>
              </w:rPr>
            </w:pPr>
            <w:r>
              <w:rPr>
                <w:rFonts w:ascii="Tahoma" w:hAnsi="Tahoma" w:cs="Tahoma"/>
                <w:sz w:val="20"/>
              </w:rPr>
              <w:t>2019/20</w:t>
            </w:r>
          </w:p>
        </w:tc>
      </w:tr>
      <w:tr w:rsidR="00001E0E" w:rsidRPr="00751816" w14:paraId="40DCA64A" w14:textId="77777777" w:rsidTr="00A91A54">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40808D65" w14:textId="533FA154" w:rsidR="00001E0E" w:rsidRDefault="00001E0E" w:rsidP="00C3723A">
            <w:pPr>
              <w:spacing w:before="120" w:after="120" w:line="240" w:lineRule="atLeast"/>
              <w:contextualSpacing/>
              <w:rPr>
                <w:rFonts w:ascii="Tahoma" w:hAnsi="Tahoma" w:cs="Tahoma"/>
                <w:sz w:val="20"/>
              </w:rPr>
            </w:pPr>
            <w:r>
              <w:rPr>
                <w:rFonts w:ascii="Tahoma" w:hAnsi="Tahoma" w:cs="Tahoma"/>
                <w:sz w:val="20"/>
              </w:rPr>
              <w:t xml:space="preserve">Count of outage events </w:t>
            </w:r>
          </w:p>
        </w:tc>
        <w:tc>
          <w:tcPr>
            <w:tcW w:w="1735" w:type="pct"/>
            <w:tcBorders>
              <w:top w:val="single" w:sz="4" w:space="0" w:color="00B0F0"/>
              <w:bottom w:val="single" w:sz="4" w:space="0" w:color="00B0F0"/>
            </w:tcBorders>
          </w:tcPr>
          <w:p w14:paraId="01730C34"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During the planning phase of Mains Renewal, GIS system is used to identify all impacted services for the location targeted for Mains Renewal Programs (MRP). These services are listed in a manual tracking spreadsheet. Individual customer addresses are identified as an inlet may service multiple customers. </w:t>
            </w:r>
          </w:p>
          <w:p w14:paraId="35A7D978"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34E9B61"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As the planned work is executed, the specific service and date the customer was impacted is captured.  This information is later added to the manual tracking spreadsheet.</w:t>
            </w:r>
          </w:p>
          <w:p w14:paraId="79AB7B74"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EBD3336" w14:textId="29CDE8A8" w:rsidR="00980782" w:rsidRPr="00751816" w:rsidRDefault="00D21488" w:rsidP="00A91A5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 single service impacted by Mains Renewal work is considered a single event.  </w:t>
            </w:r>
          </w:p>
        </w:tc>
        <w:tc>
          <w:tcPr>
            <w:tcW w:w="839" w:type="pct"/>
            <w:tcBorders>
              <w:top w:val="single" w:sz="4" w:space="0" w:color="00B0F0"/>
              <w:bottom w:val="single" w:sz="4" w:space="0" w:color="00B0F0"/>
            </w:tcBorders>
            <w:vAlign w:val="center"/>
          </w:tcPr>
          <w:p w14:paraId="5B625816" w14:textId="66D465D6" w:rsidR="00001E0E" w:rsidRPr="00751816" w:rsidRDefault="004969FD" w:rsidP="00343E8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66DA2A0B" w14:textId="77777777" w:rsidR="00001E0E" w:rsidRPr="00751816" w:rsidRDefault="00001E0E" w:rsidP="00C3723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5A8BD0F8" w14:textId="77777777" w:rsidR="00001E0E" w:rsidRPr="00751816" w:rsidRDefault="00001E0E" w:rsidP="00C3723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E2401E" w:rsidRPr="00751816" w14:paraId="5A2F30D5" w14:textId="77777777" w:rsidTr="00E2401E">
        <w:trPr>
          <w:trHeight w:val="865"/>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6BE449CF" w14:textId="4B1CEE54" w:rsidR="00E2401E" w:rsidRDefault="00E2401E" w:rsidP="00C3723A">
            <w:pPr>
              <w:spacing w:before="120" w:after="120" w:line="240" w:lineRule="atLeast"/>
              <w:contextualSpacing/>
              <w:rPr>
                <w:rFonts w:ascii="Tahoma" w:hAnsi="Tahoma" w:cs="Tahoma"/>
                <w:sz w:val="20"/>
              </w:rPr>
            </w:pPr>
            <w:r>
              <w:rPr>
                <w:rFonts w:ascii="Tahoma" w:hAnsi="Tahoma" w:cs="Tahoma"/>
                <w:sz w:val="20"/>
              </w:rPr>
              <w:t xml:space="preserve">Outages affecting 5+ customers </w:t>
            </w:r>
          </w:p>
        </w:tc>
        <w:tc>
          <w:tcPr>
            <w:tcW w:w="4269" w:type="pct"/>
            <w:gridSpan w:val="4"/>
            <w:tcBorders>
              <w:top w:val="single" w:sz="4" w:space="0" w:color="00B0F0"/>
              <w:bottom w:val="single" w:sz="4" w:space="0" w:color="00B0F0"/>
            </w:tcBorders>
            <w:vAlign w:val="center"/>
          </w:tcPr>
          <w:p w14:paraId="48114920" w14:textId="07328D89" w:rsidR="00E2401E" w:rsidRPr="00751816" w:rsidRDefault="00E2401E" w:rsidP="00A91A5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 single </w:t>
            </w:r>
            <w:bookmarkStart w:id="25" w:name="_Hlk40963657"/>
            <w:r>
              <w:rPr>
                <w:rFonts w:ascii="Tahoma" w:hAnsi="Tahoma" w:cs="Tahoma"/>
                <w:sz w:val="20"/>
              </w:rPr>
              <w:t xml:space="preserve">service impacted by Mains Renewal work </w:t>
            </w:r>
            <w:bookmarkEnd w:id="25"/>
            <w:r>
              <w:rPr>
                <w:rFonts w:ascii="Tahoma" w:hAnsi="Tahoma" w:cs="Tahoma"/>
                <w:sz w:val="20"/>
              </w:rPr>
              <w:t xml:space="preserve">is considered a single event.  As such, there are no 5+ customer outages reported. </w:t>
            </w:r>
          </w:p>
        </w:tc>
      </w:tr>
      <w:tr w:rsidR="00E2401E" w:rsidRPr="00751816" w14:paraId="0EA5AB00" w14:textId="77777777" w:rsidTr="00E2401E">
        <w:trPr>
          <w:trHeight w:val="941"/>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5F713DE8" w14:textId="2FEFEC0D" w:rsidR="00E2401E" w:rsidRDefault="00E2401E" w:rsidP="00C3723A">
            <w:pPr>
              <w:spacing w:before="120" w:after="120" w:line="240" w:lineRule="atLeast"/>
              <w:contextualSpacing/>
              <w:rPr>
                <w:rFonts w:ascii="Tahoma" w:hAnsi="Tahoma" w:cs="Tahoma"/>
                <w:sz w:val="20"/>
              </w:rPr>
            </w:pPr>
            <w:r>
              <w:rPr>
                <w:rFonts w:ascii="Tahoma" w:hAnsi="Tahoma" w:cs="Tahoma"/>
                <w:sz w:val="20"/>
              </w:rPr>
              <w:t xml:space="preserve">Outages with &gt; 12 hours supply interruption </w:t>
            </w:r>
          </w:p>
        </w:tc>
        <w:tc>
          <w:tcPr>
            <w:tcW w:w="4269" w:type="pct"/>
            <w:gridSpan w:val="4"/>
            <w:tcBorders>
              <w:top w:val="single" w:sz="4" w:space="0" w:color="00B0F0"/>
              <w:bottom w:val="single" w:sz="4" w:space="0" w:color="00B0F0"/>
            </w:tcBorders>
            <w:vAlign w:val="center"/>
          </w:tcPr>
          <w:p w14:paraId="1C0BE039" w14:textId="02426050" w:rsidR="00E2401E" w:rsidRPr="00751816" w:rsidRDefault="00E2401E" w:rsidP="00A91A5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Each planned outage is assumed 6 hours in duration. As such, there are no outages &gt; 12 hours supply interruption reported. </w:t>
            </w:r>
          </w:p>
        </w:tc>
      </w:tr>
    </w:tbl>
    <w:p w14:paraId="0A820C14" w14:textId="77777777" w:rsidR="00B013FC" w:rsidRDefault="00B013FC" w:rsidP="00FF66FF">
      <w:pPr>
        <w:spacing w:before="120"/>
        <w:rPr>
          <w:rFonts w:ascii="Tahoma" w:hAnsi="Tahoma" w:cs="Tahoma"/>
          <w:color w:val="00B0F0"/>
        </w:rPr>
      </w:pPr>
    </w:p>
    <w:p w14:paraId="16B9D61A" w14:textId="77777777" w:rsidR="00B013FC" w:rsidRDefault="00B013FC" w:rsidP="00FF66FF">
      <w:pPr>
        <w:spacing w:before="120"/>
        <w:rPr>
          <w:rFonts w:ascii="Tahoma" w:hAnsi="Tahoma" w:cs="Tahoma"/>
          <w:color w:val="00B0F0"/>
        </w:rPr>
      </w:pPr>
    </w:p>
    <w:p w14:paraId="56E4A428" w14:textId="37A381DD" w:rsidR="00D65342" w:rsidRDefault="00D65342" w:rsidP="00FF66FF">
      <w:pPr>
        <w:spacing w:before="120"/>
        <w:rPr>
          <w:rFonts w:ascii="Tahoma" w:hAnsi="Tahoma" w:cs="Tahoma"/>
          <w:color w:val="00B0F0"/>
        </w:rPr>
      </w:pPr>
      <w:r w:rsidRPr="00C97516">
        <w:rPr>
          <w:rFonts w:ascii="Tahoma" w:hAnsi="Tahoma" w:cs="Tahoma"/>
          <w:color w:val="00B0F0"/>
        </w:rPr>
        <w:lastRenderedPageBreak/>
        <w:t xml:space="preserve">S11.1.2 – Unplanned </w:t>
      </w:r>
    </w:p>
    <w:tbl>
      <w:tblPr>
        <w:tblStyle w:val="UETableStyle"/>
        <w:tblpPr w:leftFromText="180" w:rightFromText="180" w:vertAnchor="text" w:tblpX="-15" w:tblpY="1"/>
        <w:tblOverlap w:val="never"/>
        <w:tblW w:w="4885" w:type="pct"/>
        <w:tblInd w:w="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4"/>
        <w:gridCol w:w="4732"/>
        <w:gridCol w:w="2288"/>
        <w:gridCol w:w="2719"/>
        <w:gridCol w:w="1904"/>
      </w:tblGrid>
      <w:tr w:rsidR="00505466" w:rsidRPr="00751816" w14:paraId="70A08A93" w14:textId="77777777" w:rsidTr="00FF66FF">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43FD60D4" w14:textId="3D59DAD9" w:rsidR="00505466" w:rsidRPr="00751816" w:rsidRDefault="00505466" w:rsidP="001664CF">
            <w:pPr>
              <w:rPr>
                <w:rFonts w:ascii="Tahoma" w:hAnsi="Tahoma" w:cs="Tahoma"/>
                <w:b/>
                <w:color w:val="FFFFFF"/>
                <w:sz w:val="20"/>
              </w:rPr>
            </w:pPr>
            <w:r w:rsidRPr="00751816">
              <w:rPr>
                <w:rFonts w:ascii="Tahoma" w:hAnsi="Tahoma" w:cs="Tahoma"/>
                <w:b/>
                <w:color w:val="FFFFFF"/>
                <w:sz w:val="20"/>
              </w:rPr>
              <w:t xml:space="preserve">Variable </w:t>
            </w:r>
          </w:p>
        </w:tc>
        <w:tc>
          <w:tcPr>
            <w:tcW w:w="1735" w:type="pct"/>
            <w:tcBorders>
              <w:bottom w:val="single" w:sz="4" w:space="0" w:color="00B0F0"/>
            </w:tcBorders>
            <w:shd w:val="clear" w:color="auto" w:fill="003C71"/>
          </w:tcPr>
          <w:p w14:paraId="6A787C3B" w14:textId="77777777" w:rsidR="00505466" w:rsidRPr="00751816" w:rsidRDefault="00505466" w:rsidP="00FF66FF">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9" w:type="pct"/>
            <w:tcBorders>
              <w:bottom w:val="single" w:sz="4" w:space="0" w:color="00B0F0"/>
            </w:tcBorders>
            <w:shd w:val="clear" w:color="auto" w:fill="003C71"/>
          </w:tcPr>
          <w:p w14:paraId="2B42CDC2" w14:textId="77777777" w:rsidR="00505466" w:rsidRPr="00751816" w:rsidRDefault="00505466" w:rsidP="00FF66FF">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7" w:type="pct"/>
            <w:tcBorders>
              <w:bottom w:val="single" w:sz="4" w:space="0" w:color="00B0F0"/>
            </w:tcBorders>
            <w:shd w:val="clear" w:color="auto" w:fill="003C71"/>
          </w:tcPr>
          <w:p w14:paraId="3CDC5BA6" w14:textId="77777777" w:rsidR="00505466" w:rsidRPr="00751816" w:rsidRDefault="00505466" w:rsidP="00FF66FF">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98" w:type="pct"/>
            <w:tcBorders>
              <w:bottom w:val="single" w:sz="4" w:space="0" w:color="00B0F0"/>
            </w:tcBorders>
            <w:shd w:val="clear" w:color="auto" w:fill="003C71"/>
          </w:tcPr>
          <w:p w14:paraId="6CB4D6C7" w14:textId="77777777" w:rsidR="00505466" w:rsidRPr="00751816" w:rsidRDefault="00505466" w:rsidP="00FF66FF">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980782" w:rsidRPr="00751816" w14:paraId="35971541" w14:textId="77777777" w:rsidTr="00FF66FF">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00A3E0"/>
            <w:vAlign w:val="center"/>
          </w:tcPr>
          <w:p w14:paraId="4326A0F1" w14:textId="5785FA0B" w:rsidR="00980782" w:rsidRDefault="00DD6B14" w:rsidP="00FF66FF">
            <w:pPr>
              <w:spacing w:before="120" w:after="120" w:line="240" w:lineRule="atLeast"/>
              <w:contextualSpacing/>
              <w:rPr>
                <w:rFonts w:ascii="Tahoma" w:hAnsi="Tahoma" w:cs="Tahoma"/>
                <w:sz w:val="20"/>
              </w:rPr>
            </w:pPr>
            <w:r>
              <w:rPr>
                <w:rFonts w:ascii="Tahoma" w:hAnsi="Tahoma" w:cs="Tahoma"/>
                <w:sz w:val="20"/>
              </w:rPr>
              <w:t>2019/20</w:t>
            </w:r>
          </w:p>
        </w:tc>
        <w:tc>
          <w:tcPr>
            <w:tcW w:w="1735" w:type="pct"/>
            <w:tcBorders>
              <w:top w:val="single" w:sz="4" w:space="0" w:color="00B0F0"/>
              <w:bottom w:val="single" w:sz="4" w:space="0" w:color="00B0F0"/>
            </w:tcBorders>
            <w:shd w:val="clear" w:color="auto" w:fill="00A3E0"/>
            <w:vAlign w:val="center"/>
          </w:tcPr>
          <w:p w14:paraId="3BF91A03" w14:textId="77777777" w:rsidR="00980782" w:rsidRPr="00751816" w:rsidRDefault="00980782" w:rsidP="00FF66F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39" w:type="pct"/>
            <w:tcBorders>
              <w:top w:val="single" w:sz="4" w:space="0" w:color="00B0F0"/>
              <w:bottom w:val="single" w:sz="4" w:space="0" w:color="00B0F0"/>
            </w:tcBorders>
            <w:shd w:val="clear" w:color="auto" w:fill="00A3E0"/>
            <w:vAlign w:val="center"/>
          </w:tcPr>
          <w:p w14:paraId="5E67C479" w14:textId="77777777" w:rsidR="00980782" w:rsidRPr="00751816" w:rsidRDefault="00980782" w:rsidP="00FF66F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997" w:type="pct"/>
            <w:tcBorders>
              <w:top w:val="single" w:sz="4" w:space="0" w:color="00B0F0"/>
              <w:bottom w:val="single" w:sz="4" w:space="0" w:color="00B0F0"/>
            </w:tcBorders>
            <w:shd w:val="clear" w:color="auto" w:fill="00A3E0"/>
            <w:vAlign w:val="center"/>
          </w:tcPr>
          <w:p w14:paraId="4DE93890" w14:textId="77777777" w:rsidR="00980782" w:rsidRPr="00751816" w:rsidRDefault="00980782" w:rsidP="00FF66F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shd w:val="clear" w:color="auto" w:fill="00A3E0"/>
            <w:vAlign w:val="center"/>
          </w:tcPr>
          <w:p w14:paraId="072BC7A7" w14:textId="77777777" w:rsidR="00980782" w:rsidRPr="00751816" w:rsidRDefault="00980782" w:rsidP="00FF66F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80782" w:rsidRPr="00751816" w14:paraId="240724AD" w14:textId="77777777" w:rsidTr="00343E89">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00173250" w14:textId="77777777" w:rsidR="00980782" w:rsidRDefault="00980782" w:rsidP="00FF66FF">
            <w:pPr>
              <w:spacing w:before="120" w:after="120" w:line="240" w:lineRule="atLeast"/>
              <w:contextualSpacing/>
              <w:rPr>
                <w:rFonts w:ascii="Tahoma" w:hAnsi="Tahoma" w:cs="Tahoma"/>
                <w:sz w:val="20"/>
              </w:rPr>
            </w:pPr>
            <w:r>
              <w:rPr>
                <w:rFonts w:ascii="Tahoma" w:hAnsi="Tahoma" w:cs="Tahoma"/>
                <w:sz w:val="20"/>
              </w:rPr>
              <w:t xml:space="preserve">Count of outage events </w:t>
            </w:r>
          </w:p>
        </w:tc>
        <w:tc>
          <w:tcPr>
            <w:tcW w:w="1735" w:type="pct"/>
            <w:tcBorders>
              <w:top w:val="single" w:sz="4" w:space="0" w:color="00B0F0"/>
              <w:bottom w:val="single" w:sz="4" w:space="0" w:color="00B0F0"/>
            </w:tcBorders>
            <w:vAlign w:val="center"/>
          </w:tcPr>
          <w:p w14:paraId="3FF60772"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Data is comprised of a combination of single service customer raised Gas Supply Investigation Work Orders, Syphon Maintenance Work Orders, and manually tracked Incidents affecting 5 or more customers.  </w:t>
            </w:r>
          </w:p>
          <w:p w14:paraId="5C887B87"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AF7BF15"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Work Orders were sourced from a SSAS tabular data model utilising data sourced from the current Maximo instance.</w:t>
            </w:r>
          </w:p>
          <w:p w14:paraId="0D6A8F0E"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BFEBA77"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All Supply Investigation and Syphon Maintenance Work Orders were captured where there was a Loss of Supply.  </w:t>
            </w:r>
          </w:p>
          <w:p w14:paraId="064451C8"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6022460"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Cancelled Jobs were excluded, and duplicates were removed.  Interruptions that occurred within the same locale and on the same day were grouped as </w:t>
            </w:r>
            <w:r w:rsidRPr="00A43671">
              <w:rPr>
                <w:rFonts w:ascii="Tahoma" w:hAnsi="Tahoma" w:cs="Tahoma"/>
                <w:sz w:val="20"/>
              </w:rPr>
              <w:t>events</w:t>
            </w:r>
            <w:r>
              <w:rPr>
                <w:rFonts w:ascii="Tahoma" w:hAnsi="Tahoma" w:cs="Tahoma"/>
                <w:sz w:val="20"/>
              </w:rPr>
              <w:t>.</w:t>
            </w:r>
          </w:p>
          <w:p w14:paraId="1B3A2BA1" w14:textId="77777777" w:rsidR="00D21488" w:rsidRDefault="00D21488" w:rsidP="00D21488">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4F1D66C" w14:textId="35E85655" w:rsidR="000360AE" w:rsidRPr="00751816" w:rsidRDefault="00D21488" w:rsidP="00A91A5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Data was combined with Regulatory Incident tracking.  Interruptions on the same day and location were considered part of the same event.</w:t>
            </w:r>
          </w:p>
        </w:tc>
        <w:tc>
          <w:tcPr>
            <w:tcW w:w="839" w:type="pct"/>
            <w:tcBorders>
              <w:top w:val="single" w:sz="4" w:space="0" w:color="00B0F0"/>
              <w:bottom w:val="single" w:sz="4" w:space="0" w:color="00B0F0"/>
            </w:tcBorders>
            <w:vAlign w:val="center"/>
          </w:tcPr>
          <w:p w14:paraId="1CBB98EC" w14:textId="4FC4A692" w:rsidR="00980782" w:rsidRPr="00751816" w:rsidRDefault="00514FCD" w:rsidP="00343E8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63E652E5" w14:textId="77777777" w:rsidR="00980782" w:rsidRPr="00751816" w:rsidRDefault="00980782" w:rsidP="00FF66F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1606F58F" w14:textId="77777777" w:rsidR="00980782" w:rsidRPr="00751816" w:rsidRDefault="00980782" w:rsidP="00FF66F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0360AE" w:rsidRPr="00751816" w14:paraId="1F496D44" w14:textId="77777777" w:rsidTr="00343E89">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22BD9CE3" w14:textId="11BB7C73" w:rsidR="000360AE" w:rsidRDefault="000360AE" w:rsidP="00FF66FF">
            <w:pPr>
              <w:spacing w:before="120" w:after="120" w:line="240" w:lineRule="atLeast"/>
              <w:contextualSpacing/>
              <w:rPr>
                <w:rFonts w:ascii="Tahoma" w:hAnsi="Tahoma" w:cs="Tahoma"/>
                <w:sz w:val="20"/>
              </w:rPr>
            </w:pPr>
            <w:r>
              <w:rPr>
                <w:rFonts w:ascii="Tahoma" w:hAnsi="Tahoma" w:cs="Tahoma"/>
                <w:sz w:val="20"/>
              </w:rPr>
              <w:t xml:space="preserve">Outages affecting 5+ customers </w:t>
            </w:r>
          </w:p>
        </w:tc>
        <w:tc>
          <w:tcPr>
            <w:tcW w:w="1735" w:type="pct"/>
            <w:tcBorders>
              <w:top w:val="single" w:sz="4" w:space="0" w:color="00B0F0"/>
              <w:bottom w:val="single" w:sz="4" w:space="0" w:color="00B0F0"/>
            </w:tcBorders>
            <w:vAlign w:val="center"/>
          </w:tcPr>
          <w:p w14:paraId="5F38825C" w14:textId="14F240CF" w:rsidR="000360AE" w:rsidRPr="00751816" w:rsidRDefault="000360AE" w:rsidP="00FF66FF">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This variable was calculated using the same data set used to calculate Count of Outage events.  Events with 5 or more customers were identified.</w:t>
            </w:r>
          </w:p>
        </w:tc>
        <w:tc>
          <w:tcPr>
            <w:tcW w:w="839" w:type="pct"/>
            <w:tcBorders>
              <w:top w:val="single" w:sz="4" w:space="0" w:color="00B0F0"/>
              <w:bottom w:val="single" w:sz="4" w:space="0" w:color="00B0F0"/>
            </w:tcBorders>
            <w:vAlign w:val="center"/>
          </w:tcPr>
          <w:p w14:paraId="15EDF1B8" w14:textId="464CE61B" w:rsidR="000360AE" w:rsidRPr="00751816" w:rsidRDefault="00514FCD" w:rsidP="00343E8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645EE1B4" w14:textId="77777777" w:rsidR="000360AE" w:rsidRPr="00751816" w:rsidRDefault="000360AE" w:rsidP="00FF66F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2705A9A2" w14:textId="77777777" w:rsidR="000360AE" w:rsidRPr="00751816" w:rsidRDefault="000360AE" w:rsidP="00FF66F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514FCD" w:rsidRPr="00751816" w14:paraId="4D261EAF" w14:textId="77777777" w:rsidTr="00343E89">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27905979" w14:textId="60A20059" w:rsidR="00514FCD" w:rsidRDefault="00514FCD" w:rsidP="00FF66FF">
            <w:pPr>
              <w:spacing w:before="120" w:after="120" w:line="240" w:lineRule="atLeast"/>
              <w:contextualSpacing/>
              <w:rPr>
                <w:rFonts w:ascii="Tahoma" w:hAnsi="Tahoma" w:cs="Tahoma"/>
                <w:sz w:val="20"/>
              </w:rPr>
            </w:pPr>
            <w:r>
              <w:rPr>
                <w:rFonts w:ascii="Tahoma" w:hAnsi="Tahoma" w:cs="Tahoma"/>
                <w:sz w:val="20"/>
              </w:rPr>
              <w:t xml:space="preserve">Outages with &gt; 12 hours supply interruption </w:t>
            </w:r>
          </w:p>
        </w:tc>
        <w:tc>
          <w:tcPr>
            <w:tcW w:w="1735" w:type="pct"/>
            <w:tcBorders>
              <w:top w:val="single" w:sz="4" w:space="0" w:color="00B0F0"/>
              <w:bottom w:val="single" w:sz="4" w:space="0" w:color="00B0F0"/>
            </w:tcBorders>
            <w:vAlign w:val="center"/>
          </w:tcPr>
          <w:p w14:paraId="67C530CD" w14:textId="42096664" w:rsidR="00514FCD" w:rsidRPr="00751816" w:rsidRDefault="000C1BD1" w:rsidP="00FF66FF">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This variable was calculated using the same data set used to calculate Count of Outage events.  Interruption duration is calculated from the Actual </w:t>
            </w:r>
            <w:r>
              <w:rPr>
                <w:rFonts w:ascii="Tahoma" w:hAnsi="Tahoma" w:cs="Tahoma"/>
                <w:sz w:val="20"/>
              </w:rPr>
              <w:lastRenderedPageBreak/>
              <w:t>Start of the Supply Investigation to the Actual Finish of the Primary or Follow-up Work Order.</w:t>
            </w:r>
          </w:p>
        </w:tc>
        <w:tc>
          <w:tcPr>
            <w:tcW w:w="839" w:type="pct"/>
            <w:tcBorders>
              <w:top w:val="single" w:sz="4" w:space="0" w:color="00B0F0"/>
              <w:bottom w:val="single" w:sz="4" w:space="0" w:color="00B0F0"/>
            </w:tcBorders>
            <w:vAlign w:val="center"/>
          </w:tcPr>
          <w:p w14:paraId="12EE0B02" w14:textId="27529E74" w:rsidR="00514FCD" w:rsidRPr="00751816" w:rsidRDefault="00514FCD" w:rsidP="00343E8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997" w:type="pct"/>
            <w:tcBorders>
              <w:top w:val="single" w:sz="4" w:space="0" w:color="00B0F0"/>
              <w:bottom w:val="single" w:sz="4" w:space="0" w:color="00B0F0"/>
            </w:tcBorders>
            <w:vAlign w:val="center"/>
          </w:tcPr>
          <w:p w14:paraId="5128F9BB" w14:textId="77777777" w:rsidR="00514FCD" w:rsidRPr="00751816" w:rsidRDefault="00514FCD" w:rsidP="00FF66F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2C016901" w14:textId="77777777" w:rsidR="00514FCD" w:rsidRPr="00751816" w:rsidRDefault="00514FCD" w:rsidP="00FF66F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3F5FFD4A" w14:textId="25501301" w:rsidR="00E71F95" w:rsidRDefault="00E71F95">
      <w:pPr>
        <w:rPr>
          <w:rFonts w:ascii="Tahoma" w:eastAsiaTheme="majorEastAsia" w:hAnsi="Tahoma" w:cs="Tahoma"/>
          <w:color w:val="003C71"/>
          <w:sz w:val="26"/>
          <w:szCs w:val="26"/>
        </w:rPr>
      </w:pPr>
    </w:p>
    <w:p w14:paraId="1C7A7C42" w14:textId="0AF6F6A0" w:rsidR="00D65342" w:rsidRDefault="00D65342" w:rsidP="00C97516">
      <w:pPr>
        <w:pStyle w:val="Heading2"/>
        <w:rPr>
          <w:rFonts w:ascii="Tahoma" w:hAnsi="Tahoma" w:cs="Tahoma"/>
          <w:color w:val="003C71"/>
        </w:rPr>
      </w:pPr>
      <w:bookmarkStart w:id="26" w:name="_Toc57314072"/>
      <w:r w:rsidRPr="00E04DB7">
        <w:rPr>
          <w:rFonts w:ascii="Tahoma" w:hAnsi="Tahoma" w:cs="Tahoma"/>
          <w:color w:val="003C71"/>
        </w:rPr>
        <w:t>S11.2 – Leaks – by Asset Type and Cause of Leak</w:t>
      </w:r>
      <w:bookmarkEnd w:id="26"/>
      <w:r w:rsidRPr="00C97516">
        <w:rPr>
          <w:rFonts w:ascii="Tahoma" w:hAnsi="Tahoma" w:cs="Tahoma"/>
          <w:color w:val="003C71"/>
        </w:rPr>
        <w:t xml:space="preserve"> </w:t>
      </w:r>
    </w:p>
    <w:p w14:paraId="21FDAEC5" w14:textId="69009C2D" w:rsidR="00D65342" w:rsidRDefault="00D65342">
      <w:pPr>
        <w:rPr>
          <w:rFonts w:ascii="Tahoma" w:hAnsi="Tahoma" w:cs="Tahoma"/>
          <w:color w:val="00B0F0"/>
        </w:rPr>
      </w:pPr>
      <w:r w:rsidRPr="00C97516">
        <w:rPr>
          <w:rFonts w:ascii="Tahoma" w:hAnsi="Tahoma" w:cs="Tahoma"/>
          <w:color w:val="00B0F0"/>
        </w:rPr>
        <w:t xml:space="preserve">S11.2.1 </w:t>
      </w:r>
      <w:r w:rsidR="000231D8">
        <w:rPr>
          <w:rFonts w:ascii="Tahoma" w:hAnsi="Tahoma" w:cs="Tahoma"/>
          <w:color w:val="00B0F0"/>
        </w:rPr>
        <w:t xml:space="preserve">/ S11.2.2 / S11.2.3 </w:t>
      </w:r>
      <w:r w:rsidRPr="00C97516">
        <w:rPr>
          <w:rFonts w:ascii="Tahoma" w:hAnsi="Tahoma" w:cs="Tahoma"/>
          <w:color w:val="00B0F0"/>
        </w:rPr>
        <w:t xml:space="preserve">– Low Pressure </w:t>
      </w:r>
      <w:r w:rsidR="000231D8">
        <w:rPr>
          <w:rFonts w:ascii="Tahoma" w:hAnsi="Tahoma" w:cs="Tahoma"/>
          <w:color w:val="00B0F0"/>
        </w:rPr>
        <w:t xml:space="preserve">/ </w:t>
      </w:r>
      <w:r w:rsidR="000231D8" w:rsidRPr="00C97516">
        <w:rPr>
          <w:rFonts w:ascii="Tahoma" w:hAnsi="Tahoma" w:cs="Tahoma"/>
          <w:color w:val="00B0F0"/>
        </w:rPr>
        <w:t>Medium Pressure</w:t>
      </w:r>
      <w:r w:rsidR="000231D8">
        <w:rPr>
          <w:rFonts w:ascii="Tahoma" w:hAnsi="Tahoma" w:cs="Tahoma"/>
          <w:color w:val="00B0F0"/>
        </w:rPr>
        <w:t xml:space="preserve"> / </w:t>
      </w:r>
      <w:r w:rsidR="000231D8" w:rsidRPr="00C97516">
        <w:rPr>
          <w:rFonts w:ascii="Tahoma" w:hAnsi="Tahoma" w:cs="Tahoma"/>
          <w:color w:val="00B0F0"/>
        </w:rPr>
        <w:t>High Pressure</w:t>
      </w:r>
    </w:p>
    <w:tbl>
      <w:tblPr>
        <w:tblStyle w:val="UETableStyle"/>
        <w:tblW w:w="4885"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4"/>
        <w:gridCol w:w="4732"/>
        <w:gridCol w:w="2288"/>
        <w:gridCol w:w="2719"/>
        <w:gridCol w:w="1904"/>
      </w:tblGrid>
      <w:tr w:rsidR="00774BB8" w:rsidRPr="00751816" w14:paraId="553D2301" w14:textId="77777777" w:rsidTr="002F06C9">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5E15E1C5" w14:textId="0F4C0AF5" w:rsidR="00774BB8" w:rsidRPr="00751816" w:rsidRDefault="00774BB8" w:rsidP="001664CF">
            <w:pPr>
              <w:rPr>
                <w:rFonts w:ascii="Tahoma" w:hAnsi="Tahoma" w:cs="Tahoma"/>
                <w:b/>
                <w:color w:val="FFFFFF"/>
                <w:sz w:val="20"/>
              </w:rPr>
            </w:pPr>
            <w:r w:rsidRPr="00751816">
              <w:rPr>
                <w:rFonts w:ascii="Tahoma" w:hAnsi="Tahoma" w:cs="Tahoma"/>
                <w:b/>
                <w:color w:val="FFFFFF"/>
                <w:sz w:val="20"/>
              </w:rPr>
              <w:t xml:space="preserve">Variable </w:t>
            </w:r>
          </w:p>
        </w:tc>
        <w:tc>
          <w:tcPr>
            <w:tcW w:w="1735" w:type="pct"/>
            <w:tcBorders>
              <w:bottom w:val="single" w:sz="4" w:space="0" w:color="00B0F0"/>
            </w:tcBorders>
            <w:shd w:val="clear" w:color="auto" w:fill="003C71"/>
          </w:tcPr>
          <w:p w14:paraId="088320C1" w14:textId="77777777" w:rsidR="00774BB8" w:rsidRPr="00751816" w:rsidRDefault="00774BB8"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9" w:type="pct"/>
            <w:tcBorders>
              <w:bottom w:val="single" w:sz="4" w:space="0" w:color="00B0F0"/>
            </w:tcBorders>
            <w:shd w:val="clear" w:color="auto" w:fill="003C71"/>
          </w:tcPr>
          <w:p w14:paraId="298C4BF4" w14:textId="77777777" w:rsidR="00774BB8" w:rsidRPr="00751816" w:rsidRDefault="00774BB8"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7" w:type="pct"/>
            <w:tcBorders>
              <w:bottom w:val="single" w:sz="4" w:space="0" w:color="00B0F0"/>
            </w:tcBorders>
            <w:shd w:val="clear" w:color="auto" w:fill="003C71"/>
          </w:tcPr>
          <w:p w14:paraId="064AA031" w14:textId="77777777" w:rsidR="00774BB8" w:rsidRPr="00751816" w:rsidRDefault="00774BB8"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98" w:type="pct"/>
            <w:tcBorders>
              <w:bottom w:val="single" w:sz="4" w:space="0" w:color="00B0F0"/>
            </w:tcBorders>
            <w:shd w:val="clear" w:color="auto" w:fill="003C71"/>
          </w:tcPr>
          <w:p w14:paraId="77F03564" w14:textId="77777777" w:rsidR="00774BB8" w:rsidRPr="00751816" w:rsidRDefault="00774BB8"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7F5F39" w:rsidRPr="00751816" w14:paraId="50010ED0" w14:textId="77777777" w:rsidTr="009A031F">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00A3E0"/>
            <w:vAlign w:val="center"/>
          </w:tcPr>
          <w:p w14:paraId="1BBEE43C" w14:textId="40616CA6" w:rsidR="007F5F39" w:rsidRDefault="00DD6B14" w:rsidP="007F5F39">
            <w:pPr>
              <w:spacing w:before="120" w:after="120" w:line="240" w:lineRule="atLeast"/>
              <w:contextualSpacing/>
              <w:rPr>
                <w:rFonts w:ascii="Tahoma" w:hAnsi="Tahoma" w:cs="Tahoma"/>
                <w:sz w:val="20"/>
              </w:rPr>
            </w:pPr>
            <w:r>
              <w:rPr>
                <w:rFonts w:ascii="Tahoma" w:hAnsi="Tahoma" w:cs="Tahoma"/>
                <w:sz w:val="20"/>
              </w:rPr>
              <w:t>2019/20</w:t>
            </w:r>
          </w:p>
        </w:tc>
        <w:tc>
          <w:tcPr>
            <w:tcW w:w="1735" w:type="pct"/>
            <w:tcBorders>
              <w:top w:val="single" w:sz="4" w:space="0" w:color="00B0F0"/>
              <w:bottom w:val="single" w:sz="4" w:space="0" w:color="00B0F0"/>
            </w:tcBorders>
            <w:shd w:val="clear" w:color="auto" w:fill="00A3E0"/>
            <w:vAlign w:val="center"/>
          </w:tcPr>
          <w:p w14:paraId="05468726" w14:textId="77777777" w:rsidR="007F5F39" w:rsidRPr="00751816" w:rsidRDefault="007F5F39" w:rsidP="007F5F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39" w:type="pct"/>
            <w:tcBorders>
              <w:top w:val="single" w:sz="4" w:space="0" w:color="00B0F0"/>
              <w:bottom w:val="single" w:sz="4" w:space="0" w:color="00B0F0"/>
            </w:tcBorders>
            <w:shd w:val="clear" w:color="auto" w:fill="00A3E0"/>
            <w:vAlign w:val="center"/>
          </w:tcPr>
          <w:p w14:paraId="7DBB7CDD" w14:textId="77777777" w:rsidR="007F5F39" w:rsidRPr="00751816" w:rsidRDefault="007F5F39" w:rsidP="007F5F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997" w:type="pct"/>
            <w:tcBorders>
              <w:top w:val="single" w:sz="4" w:space="0" w:color="00B0F0"/>
              <w:bottom w:val="single" w:sz="4" w:space="0" w:color="00B0F0"/>
            </w:tcBorders>
            <w:shd w:val="clear" w:color="auto" w:fill="00A3E0"/>
            <w:vAlign w:val="center"/>
          </w:tcPr>
          <w:p w14:paraId="1CB2361B" w14:textId="77777777" w:rsidR="007F5F39" w:rsidRPr="00751816" w:rsidRDefault="007F5F39" w:rsidP="007F5F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shd w:val="clear" w:color="auto" w:fill="00A3E0"/>
            <w:vAlign w:val="center"/>
          </w:tcPr>
          <w:p w14:paraId="7BD25B2F" w14:textId="77777777" w:rsidR="007F5F39" w:rsidRPr="00751816" w:rsidRDefault="007F5F39" w:rsidP="007F5F3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0C1BD1" w:rsidRPr="00751816" w14:paraId="533462CB" w14:textId="77777777" w:rsidTr="00A91A54">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1778C4C2" w14:textId="6F3135DA" w:rsidR="000C1BD1" w:rsidRDefault="000C1BD1" w:rsidP="000C1BD1">
            <w:pPr>
              <w:spacing w:before="120" w:after="120" w:line="240" w:lineRule="atLeast"/>
              <w:contextualSpacing/>
              <w:rPr>
                <w:rFonts w:ascii="Tahoma" w:hAnsi="Tahoma" w:cs="Tahoma"/>
                <w:sz w:val="20"/>
              </w:rPr>
            </w:pPr>
            <w:r>
              <w:rPr>
                <w:rFonts w:ascii="Tahoma" w:hAnsi="Tahoma" w:cs="Tahoma"/>
                <w:sz w:val="20"/>
              </w:rPr>
              <w:t>Number per KM</w:t>
            </w:r>
          </w:p>
        </w:tc>
        <w:tc>
          <w:tcPr>
            <w:tcW w:w="1735" w:type="pct"/>
            <w:tcBorders>
              <w:top w:val="single" w:sz="4" w:space="0" w:color="00B0F0"/>
              <w:bottom w:val="single" w:sz="4" w:space="0" w:color="00B0F0"/>
            </w:tcBorders>
            <w:vAlign w:val="center"/>
          </w:tcPr>
          <w:p w14:paraId="510EF7CA" w14:textId="77777777" w:rsidR="000C1BD1"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Data is sourced from a SSAS tabular data model utilising data sourced from the current Maximo instance.</w:t>
            </w:r>
          </w:p>
          <w:p w14:paraId="4644D294" w14:textId="77777777" w:rsidR="000C1BD1"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94F5B92" w14:textId="77777777" w:rsidR="000C1BD1"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All Internally Reported, Public Reported, and Survey Reported Work Orders resulting in a Leak Repair were considered.  </w:t>
            </w:r>
          </w:p>
          <w:p w14:paraId="5478C7C7" w14:textId="77777777" w:rsidR="000C1BD1"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8951208" w14:textId="77777777" w:rsidR="000C1BD1"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Data is limited to the Leak Asset Classes of Main and Service.  Failure Classes for Service Leaks are limited to Service (SRV), and exclude Upstand (UPSD), and Service Tee (SRTE).  Data is limited to Main and Service leaks as these map directly to the Material Types provided in the template.  </w:t>
            </w:r>
          </w:p>
          <w:p w14:paraId="49E19698" w14:textId="77777777" w:rsidR="000C1BD1"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E5B2F51" w14:textId="77777777" w:rsidR="000C1BD1"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Meter Leaks are excluded, as they do not directly map to the provided Material Types.  It is considered that including Meter Leaks may cause an incorrect, or otherwise skewed measure of material fault rates.</w:t>
            </w:r>
          </w:p>
          <w:p w14:paraId="3B33180F" w14:textId="77777777" w:rsidR="000C1BD1"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22EC500" w14:textId="6FA1593C" w:rsidR="000C1BD1"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Material Type is a manually populated field.  The relevant options are </w:t>
            </w:r>
            <w:r w:rsidR="00FE073A">
              <w:rPr>
                <w:rFonts w:ascii="Tahoma" w:hAnsi="Tahoma" w:cs="Tahoma"/>
                <w:sz w:val="20"/>
              </w:rPr>
              <w:t>Cast Iron (</w:t>
            </w:r>
            <w:r>
              <w:rPr>
                <w:rFonts w:ascii="Tahoma" w:hAnsi="Tahoma" w:cs="Tahoma"/>
                <w:sz w:val="20"/>
              </w:rPr>
              <w:t>CI</w:t>
            </w:r>
            <w:r w:rsidR="00FE073A">
              <w:rPr>
                <w:rFonts w:ascii="Tahoma" w:hAnsi="Tahoma" w:cs="Tahoma"/>
                <w:sz w:val="20"/>
              </w:rPr>
              <w:t>)</w:t>
            </w:r>
            <w:r>
              <w:rPr>
                <w:rFonts w:ascii="Tahoma" w:hAnsi="Tahoma" w:cs="Tahoma"/>
                <w:sz w:val="20"/>
              </w:rPr>
              <w:t xml:space="preserve">, </w:t>
            </w:r>
            <w:r w:rsidR="00FE073A" w:rsidRPr="00FE073A">
              <w:rPr>
                <w:rFonts w:ascii="Tahoma" w:hAnsi="Tahoma" w:cs="Tahoma"/>
                <w:sz w:val="20"/>
              </w:rPr>
              <w:t xml:space="preserve">Uncoated Steel </w:t>
            </w:r>
            <w:r w:rsidR="00FE073A" w:rsidRPr="00FE073A">
              <w:rPr>
                <w:rFonts w:ascii="Tahoma" w:hAnsi="Tahoma" w:cs="Tahoma"/>
                <w:sz w:val="20"/>
              </w:rPr>
              <w:lastRenderedPageBreak/>
              <w:t>Pipe</w:t>
            </w:r>
            <w:r w:rsidR="00FE073A">
              <w:rPr>
                <w:rFonts w:ascii="Tahoma" w:hAnsi="Tahoma" w:cs="Tahoma"/>
                <w:sz w:val="20"/>
              </w:rPr>
              <w:t xml:space="preserve"> (</w:t>
            </w:r>
            <w:r>
              <w:rPr>
                <w:rFonts w:ascii="Tahoma" w:hAnsi="Tahoma" w:cs="Tahoma"/>
                <w:sz w:val="20"/>
              </w:rPr>
              <w:t>USP</w:t>
            </w:r>
            <w:r w:rsidR="00FE073A">
              <w:rPr>
                <w:rFonts w:ascii="Tahoma" w:hAnsi="Tahoma" w:cs="Tahoma"/>
                <w:sz w:val="20"/>
              </w:rPr>
              <w:t>)</w:t>
            </w:r>
            <w:r>
              <w:rPr>
                <w:rFonts w:ascii="Tahoma" w:hAnsi="Tahoma" w:cs="Tahoma"/>
                <w:sz w:val="20"/>
              </w:rPr>
              <w:t xml:space="preserve">, </w:t>
            </w:r>
            <w:r w:rsidR="00FE073A" w:rsidRPr="00FE073A">
              <w:rPr>
                <w:rFonts w:ascii="Tahoma" w:hAnsi="Tahoma" w:cs="Tahoma"/>
                <w:sz w:val="20"/>
              </w:rPr>
              <w:t>Coated Steel Pipe</w:t>
            </w:r>
            <w:r w:rsidR="00FE073A">
              <w:rPr>
                <w:rFonts w:ascii="Tahoma" w:hAnsi="Tahoma" w:cs="Tahoma"/>
                <w:sz w:val="20"/>
              </w:rPr>
              <w:t xml:space="preserve"> (</w:t>
            </w:r>
            <w:r>
              <w:rPr>
                <w:rFonts w:ascii="Tahoma" w:hAnsi="Tahoma" w:cs="Tahoma"/>
                <w:sz w:val="20"/>
              </w:rPr>
              <w:t>CSP</w:t>
            </w:r>
            <w:r w:rsidR="00FE073A">
              <w:rPr>
                <w:rFonts w:ascii="Tahoma" w:hAnsi="Tahoma" w:cs="Tahoma"/>
                <w:sz w:val="20"/>
              </w:rPr>
              <w:t>)</w:t>
            </w:r>
            <w:r>
              <w:rPr>
                <w:rFonts w:ascii="Tahoma" w:hAnsi="Tahoma" w:cs="Tahoma"/>
                <w:sz w:val="20"/>
              </w:rPr>
              <w:t xml:space="preserve">, </w:t>
            </w:r>
            <w:r w:rsidR="006D6D82">
              <w:rPr>
                <w:rFonts w:ascii="Tahoma" w:hAnsi="Tahoma" w:cs="Tahoma"/>
                <w:sz w:val="20"/>
              </w:rPr>
              <w:t>Polyethylene yellow pipe (</w:t>
            </w:r>
            <w:r>
              <w:rPr>
                <w:rFonts w:ascii="Tahoma" w:hAnsi="Tahoma" w:cs="Tahoma"/>
                <w:sz w:val="20"/>
              </w:rPr>
              <w:t>PE_YELLOW</w:t>
            </w:r>
            <w:r w:rsidR="006D6D82">
              <w:rPr>
                <w:rFonts w:ascii="Tahoma" w:hAnsi="Tahoma" w:cs="Tahoma"/>
                <w:sz w:val="20"/>
              </w:rPr>
              <w:t>)</w:t>
            </w:r>
            <w:r>
              <w:rPr>
                <w:rFonts w:ascii="Tahoma" w:hAnsi="Tahoma" w:cs="Tahoma"/>
                <w:sz w:val="20"/>
              </w:rPr>
              <w:t xml:space="preserve">, and </w:t>
            </w:r>
            <w:r w:rsidR="006D6D82">
              <w:rPr>
                <w:rFonts w:ascii="Tahoma" w:hAnsi="Tahoma" w:cs="Tahoma"/>
                <w:sz w:val="20"/>
              </w:rPr>
              <w:t>Polyethylene black pipe with yellow stripes (</w:t>
            </w:r>
            <w:r>
              <w:rPr>
                <w:rFonts w:ascii="Tahoma" w:hAnsi="Tahoma" w:cs="Tahoma"/>
                <w:sz w:val="20"/>
              </w:rPr>
              <w:t>PE_TIGER</w:t>
            </w:r>
            <w:r w:rsidR="006D6D82">
              <w:rPr>
                <w:rFonts w:ascii="Tahoma" w:hAnsi="Tahoma" w:cs="Tahoma"/>
                <w:sz w:val="20"/>
              </w:rPr>
              <w:t>)</w:t>
            </w:r>
            <w:r w:rsidR="00945739">
              <w:rPr>
                <w:rFonts w:ascii="Tahoma" w:hAnsi="Tahoma" w:cs="Tahoma"/>
                <w:sz w:val="20"/>
              </w:rPr>
              <w:t>.</w:t>
            </w:r>
          </w:p>
          <w:p w14:paraId="47486AC4" w14:textId="77777777" w:rsidR="000C1BD1"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034ABE8" w14:textId="77777777" w:rsidR="000C1BD1"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Pressure is derived by the following:</w:t>
            </w:r>
          </w:p>
          <w:p w14:paraId="3FB3C0CB" w14:textId="0E851663" w:rsidR="000C1BD1" w:rsidRPr="00D50040" w:rsidRDefault="000C1BD1" w:rsidP="000C1BD1">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14912">
              <w:rPr>
                <w:rFonts w:ascii="Tahoma" w:hAnsi="Tahoma" w:cs="Tahoma"/>
                <w:sz w:val="20"/>
              </w:rPr>
              <w:t xml:space="preserve">Where the leak location is </w:t>
            </w:r>
            <w:r w:rsidR="00FE073A">
              <w:rPr>
                <w:rFonts w:ascii="Tahoma" w:hAnsi="Tahoma" w:cs="Tahoma"/>
                <w:sz w:val="20"/>
              </w:rPr>
              <w:t>Gas Supply Point (</w:t>
            </w:r>
            <w:r w:rsidRPr="00914912">
              <w:rPr>
                <w:rFonts w:ascii="Tahoma" w:hAnsi="Tahoma" w:cs="Tahoma"/>
                <w:sz w:val="20"/>
              </w:rPr>
              <w:t>GSP</w:t>
            </w:r>
            <w:r w:rsidR="00FE073A">
              <w:rPr>
                <w:rFonts w:ascii="Tahoma" w:hAnsi="Tahoma" w:cs="Tahoma"/>
                <w:sz w:val="20"/>
              </w:rPr>
              <w:t>)</w:t>
            </w:r>
            <w:r w:rsidRPr="00914912">
              <w:rPr>
                <w:rFonts w:ascii="Tahoma" w:hAnsi="Tahoma" w:cs="Tahoma"/>
                <w:sz w:val="20"/>
              </w:rPr>
              <w:t xml:space="preserve"> the nominal pressure from GIS is </w:t>
            </w:r>
            <w:r w:rsidRPr="00D50040">
              <w:rPr>
                <w:rFonts w:ascii="Tahoma" w:hAnsi="Tahoma" w:cs="Tahoma"/>
                <w:sz w:val="20"/>
              </w:rPr>
              <w:t>used</w:t>
            </w:r>
          </w:p>
          <w:p w14:paraId="6DF7F998" w14:textId="77777777" w:rsidR="000C1BD1" w:rsidRDefault="000C1BD1" w:rsidP="000C1BD1">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Where the leak location is a Street the GIS pressure is used if there is a single pressure noted for the Street</w:t>
            </w:r>
          </w:p>
          <w:p w14:paraId="5D2F31DB" w14:textId="77777777" w:rsidR="000C1BD1" w:rsidRPr="00914912" w:rsidRDefault="000C1BD1" w:rsidP="000C1BD1">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For remaining work orders the pressure manually specified on the work order is used</w:t>
            </w:r>
          </w:p>
          <w:p w14:paraId="76987F4A" w14:textId="77777777" w:rsidR="000C1BD1"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35826D4" w14:textId="77777777" w:rsidR="000C1BD1"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data is cleansed using the following logic:</w:t>
            </w:r>
          </w:p>
          <w:p w14:paraId="77D6710C" w14:textId="77777777" w:rsidR="000C1BD1" w:rsidRDefault="000C1BD1" w:rsidP="000C1BD1">
            <w:pPr>
              <w:pStyle w:val="ListParagraph"/>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When the specified Material/Pressure combination exists within GIS for the street location, it is used</w:t>
            </w:r>
          </w:p>
          <w:p w14:paraId="78BBD7FC" w14:textId="77777777" w:rsidR="000C1BD1" w:rsidRDefault="000C1BD1" w:rsidP="000C1BD1">
            <w:pPr>
              <w:pStyle w:val="ListParagraph"/>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When the specified Material could reflect multiple different materials (for example, PE_YELLOW could refer to HDPE250, HDPE575, or MDPE) the most prevalent similar coloured material for the street location is selected</w:t>
            </w:r>
          </w:p>
          <w:p w14:paraId="5959DDD9" w14:textId="77777777" w:rsidR="000C1BD1" w:rsidRDefault="000C1BD1" w:rsidP="000C1BD1">
            <w:pPr>
              <w:pStyle w:val="ListParagraph"/>
              <w:numPr>
                <w:ilvl w:val="0"/>
                <w:numId w:val="2"/>
              </w:num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When the specified Material does not exist within GIS for the street location, the most prevalent Material/Pressure combination for the street is used.</w:t>
            </w:r>
          </w:p>
          <w:p w14:paraId="1CCE1ACF" w14:textId="77777777" w:rsidR="000C1BD1" w:rsidRDefault="000C1BD1" w:rsidP="000C1BD1">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9E73CCF" w14:textId="77777777" w:rsidR="000C1BD1" w:rsidRPr="0032263C"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u w:val="single"/>
              </w:rPr>
            </w:pPr>
            <w:r w:rsidRPr="0032263C">
              <w:rPr>
                <w:rFonts w:ascii="Tahoma" w:hAnsi="Tahoma" w:cs="Tahoma"/>
                <w:sz w:val="20"/>
                <w:u w:val="single"/>
              </w:rPr>
              <w:t>Low Pressure</w:t>
            </w:r>
            <w:r>
              <w:rPr>
                <w:rFonts w:ascii="Tahoma" w:hAnsi="Tahoma" w:cs="Tahoma"/>
                <w:sz w:val="20"/>
                <w:u w:val="single"/>
              </w:rPr>
              <w:t>/Medium Pressure:</w:t>
            </w:r>
          </w:p>
          <w:p w14:paraId="2714A139" w14:textId="77777777" w:rsidR="000C1BD1" w:rsidRPr="0032263C" w:rsidRDefault="000C1BD1" w:rsidP="000C1BD1">
            <w:pPr>
              <w:pStyle w:val="ListParagraph"/>
              <w:numPr>
                <w:ilvl w:val="0"/>
                <w:numId w:val="21"/>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2263C">
              <w:rPr>
                <w:rFonts w:ascii="Tahoma" w:hAnsi="Tahoma" w:cs="Tahoma"/>
                <w:sz w:val="20"/>
              </w:rPr>
              <w:lastRenderedPageBreak/>
              <w:t xml:space="preserve">The network does not contain any PVC or Polyamide so these two categories have been populated with a ‘Null’ response.   </w:t>
            </w:r>
          </w:p>
          <w:p w14:paraId="5D79E13F" w14:textId="77777777" w:rsidR="000C1BD1" w:rsidRPr="00364EE3" w:rsidRDefault="000C1BD1" w:rsidP="000C1BD1">
            <w:pPr>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7C30A0D" w14:textId="77777777" w:rsidR="000C1BD1" w:rsidRPr="0032263C"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u w:val="single"/>
              </w:rPr>
            </w:pPr>
            <w:r w:rsidRPr="0032263C">
              <w:rPr>
                <w:rFonts w:ascii="Tahoma" w:hAnsi="Tahoma" w:cs="Tahoma"/>
                <w:sz w:val="20"/>
                <w:u w:val="single"/>
              </w:rPr>
              <w:t>High Pressure:</w:t>
            </w:r>
          </w:p>
          <w:p w14:paraId="0065583D" w14:textId="77777777" w:rsidR="000C1BD1" w:rsidRPr="0032263C" w:rsidRDefault="000C1BD1" w:rsidP="000C1BD1">
            <w:pPr>
              <w:pStyle w:val="ListParagraph"/>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2263C">
              <w:rPr>
                <w:rFonts w:ascii="Tahoma" w:hAnsi="Tahoma" w:cs="Tahoma"/>
                <w:sz w:val="20"/>
              </w:rPr>
              <w:t xml:space="preserve">The High Pressure Network </w:t>
            </w:r>
            <w:r>
              <w:rPr>
                <w:rFonts w:ascii="Tahoma" w:hAnsi="Tahoma" w:cs="Tahoma"/>
                <w:sz w:val="20"/>
              </w:rPr>
              <w:t xml:space="preserve">does not contain </w:t>
            </w:r>
            <w:r w:rsidRPr="00900DDC">
              <w:rPr>
                <w:rFonts w:ascii="Tahoma" w:hAnsi="Tahoma" w:cs="Tahoma"/>
                <w:sz w:val="20"/>
              </w:rPr>
              <w:t>any PVC</w:t>
            </w:r>
            <w:r>
              <w:rPr>
                <w:rFonts w:ascii="Tahoma" w:hAnsi="Tahoma" w:cs="Tahoma"/>
                <w:sz w:val="20"/>
              </w:rPr>
              <w:t xml:space="preserve">, </w:t>
            </w:r>
            <w:r w:rsidRPr="00900DDC">
              <w:rPr>
                <w:rFonts w:ascii="Tahoma" w:hAnsi="Tahoma" w:cs="Tahoma"/>
                <w:sz w:val="20"/>
              </w:rPr>
              <w:t>Polyamide</w:t>
            </w:r>
            <w:r>
              <w:rPr>
                <w:rFonts w:ascii="Tahoma" w:hAnsi="Tahoma" w:cs="Tahoma"/>
                <w:sz w:val="20"/>
              </w:rPr>
              <w:t>,</w:t>
            </w:r>
            <w:r w:rsidRPr="0032263C">
              <w:rPr>
                <w:rFonts w:ascii="Tahoma" w:hAnsi="Tahoma" w:cs="Tahoma"/>
                <w:sz w:val="20"/>
              </w:rPr>
              <w:t xml:space="preserve"> Cast Iron</w:t>
            </w:r>
            <w:r>
              <w:rPr>
                <w:rFonts w:ascii="Tahoma" w:hAnsi="Tahoma" w:cs="Tahoma"/>
                <w:sz w:val="20"/>
              </w:rPr>
              <w:t xml:space="preserve"> or </w:t>
            </w:r>
            <w:r w:rsidRPr="0032263C">
              <w:rPr>
                <w:rFonts w:ascii="Tahoma" w:hAnsi="Tahoma" w:cs="Tahoma"/>
                <w:sz w:val="20"/>
              </w:rPr>
              <w:t xml:space="preserve">Unprotected Steel, thus these categories have been populated with a “Null’ response. </w:t>
            </w:r>
          </w:p>
          <w:p w14:paraId="0F20FCCE" w14:textId="5B8F7D3C" w:rsidR="000C1BD1" w:rsidRPr="00751816"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39" w:type="pct"/>
            <w:tcBorders>
              <w:top w:val="single" w:sz="4" w:space="0" w:color="00B0F0"/>
              <w:bottom w:val="single" w:sz="4" w:space="0" w:color="00B0F0"/>
            </w:tcBorders>
            <w:vAlign w:val="center"/>
          </w:tcPr>
          <w:p w14:paraId="7F8F1265" w14:textId="22674EF9" w:rsidR="000C1BD1" w:rsidRPr="00751816" w:rsidRDefault="000C1BD1" w:rsidP="000C1BD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Estimate</w:t>
            </w:r>
          </w:p>
        </w:tc>
        <w:tc>
          <w:tcPr>
            <w:tcW w:w="997" w:type="pct"/>
            <w:tcBorders>
              <w:top w:val="single" w:sz="4" w:space="0" w:color="00B0F0"/>
              <w:bottom w:val="single" w:sz="4" w:space="0" w:color="00B0F0"/>
            </w:tcBorders>
          </w:tcPr>
          <w:p w14:paraId="2EC1A94C" w14:textId="422670AA" w:rsidR="000C1BD1" w:rsidRPr="00751816" w:rsidRDefault="000C1BD1" w:rsidP="000C1BD1">
            <w:pPr>
              <w:spacing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Material Type and Pressure were derived based on the mentioned assumptions.</w:t>
            </w:r>
          </w:p>
        </w:tc>
        <w:tc>
          <w:tcPr>
            <w:tcW w:w="698" w:type="pct"/>
            <w:tcBorders>
              <w:top w:val="single" w:sz="4" w:space="0" w:color="00B0F0"/>
              <w:bottom w:val="single" w:sz="4" w:space="0" w:color="00B0F0"/>
            </w:tcBorders>
            <w:vAlign w:val="center"/>
          </w:tcPr>
          <w:p w14:paraId="5688A525" w14:textId="77777777" w:rsidR="000C1BD1" w:rsidRPr="00751816" w:rsidRDefault="000C1BD1" w:rsidP="000C1BD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796B45ED" w14:textId="77777777" w:rsidR="000C1BD1" w:rsidRPr="005B3C9A" w:rsidRDefault="000C1BD1" w:rsidP="005B3C9A">
      <w:pPr>
        <w:rPr>
          <w:rFonts w:ascii="Tahoma" w:eastAsiaTheme="majorEastAsia" w:hAnsi="Tahoma" w:cs="Tahoma"/>
          <w:color w:val="003C71"/>
          <w:sz w:val="26"/>
          <w:szCs w:val="26"/>
        </w:rPr>
      </w:pPr>
    </w:p>
    <w:p w14:paraId="42735B7C" w14:textId="6233D47A" w:rsidR="00D65342" w:rsidRDefault="00D65342" w:rsidP="00FF66FF">
      <w:pPr>
        <w:pStyle w:val="Heading2"/>
        <w:spacing w:before="120"/>
        <w:rPr>
          <w:rFonts w:ascii="Tahoma" w:hAnsi="Tahoma" w:cs="Tahoma"/>
          <w:color w:val="003C71"/>
        </w:rPr>
      </w:pPr>
      <w:bookmarkStart w:id="27" w:name="_Toc57314073"/>
      <w:r w:rsidRPr="00C97516">
        <w:rPr>
          <w:rFonts w:ascii="Tahoma" w:hAnsi="Tahoma" w:cs="Tahoma"/>
          <w:color w:val="003C71"/>
        </w:rPr>
        <w:t>S11.3 – Unaccounted for Gas – Transmission and Distribution</w:t>
      </w:r>
      <w:bookmarkEnd w:id="27"/>
    </w:p>
    <w:tbl>
      <w:tblPr>
        <w:tblStyle w:val="UETableStyle"/>
        <w:tblW w:w="4881"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3"/>
        <w:gridCol w:w="4728"/>
        <w:gridCol w:w="2286"/>
        <w:gridCol w:w="2717"/>
        <w:gridCol w:w="1902"/>
      </w:tblGrid>
      <w:tr w:rsidR="000849E6" w:rsidRPr="00751816" w14:paraId="0E84EDA2" w14:textId="77777777" w:rsidTr="00C3723A">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069C5C4A" w14:textId="734D1F95" w:rsidR="000849E6" w:rsidRPr="00751816" w:rsidRDefault="000849E6" w:rsidP="001664CF">
            <w:pPr>
              <w:rPr>
                <w:rFonts w:ascii="Tahoma" w:hAnsi="Tahoma" w:cs="Tahoma"/>
                <w:b/>
                <w:color w:val="FFFFFF"/>
                <w:sz w:val="20"/>
              </w:rPr>
            </w:pPr>
            <w:r w:rsidRPr="00751816">
              <w:rPr>
                <w:rFonts w:ascii="Tahoma" w:hAnsi="Tahoma" w:cs="Tahoma"/>
                <w:b/>
                <w:color w:val="FFFFFF"/>
                <w:sz w:val="20"/>
              </w:rPr>
              <w:t xml:space="preserve">Variable </w:t>
            </w:r>
          </w:p>
        </w:tc>
        <w:tc>
          <w:tcPr>
            <w:tcW w:w="1735" w:type="pct"/>
            <w:tcBorders>
              <w:bottom w:val="single" w:sz="4" w:space="0" w:color="00B0F0"/>
            </w:tcBorders>
            <w:shd w:val="clear" w:color="auto" w:fill="003C71"/>
          </w:tcPr>
          <w:p w14:paraId="378D4831" w14:textId="77777777" w:rsidR="000849E6" w:rsidRPr="00751816" w:rsidRDefault="000849E6"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9" w:type="pct"/>
            <w:tcBorders>
              <w:bottom w:val="single" w:sz="4" w:space="0" w:color="00B0F0"/>
            </w:tcBorders>
            <w:shd w:val="clear" w:color="auto" w:fill="003C71"/>
          </w:tcPr>
          <w:p w14:paraId="42175A50" w14:textId="77777777" w:rsidR="000849E6" w:rsidRPr="00751816" w:rsidRDefault="000849E6"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7" w:type="pct"/>
            <w:tcBorders>
              <w:bottom w:val="single" w:sz="4" w:space="0" w:color="00B0F0"/>
            </w:tcBorders>
            <w:shd w:val="clear" w:color="auto" w:fill="003C71"/>
          </w:tcPr>
          <w:p w14:paraId="14F09917" w14:textId="77777777" w:rsidR="000849E6" w:rsidRPr="00751816" w:rsidRDefault="000849E6"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98" w:type="pct"/>
            <w:tcBorders>
              <w:bottom w:val="single" w:sz="4" w:space="0" w:color="00B0F0"/>
            </w:tcBorders>
            <w:shd w:val="clear" w:color="auto" w:fill="003C71"/>
          </w:tcPr>
          <w:p w14:paraId="6D2DBBA7" w14:textId="77777777" w:rsidR="000849E6" w:rsidRPr="00751816" w:rsidRDefault="000849E6"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FE1202" w:rsidRPr="00751816" w14:paraId="52C62297" w14:textId="77777777" w:rsidTr="009A031F">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00A3E0"/>
            <w:vAlign w:val="center"/>
          </w:tcPr>
          <w:p w14:paraId="5DA5A686" w14:textId="7491E38F" w:rsidR="00FE1202" w:rsidRDefault="00DD6B14" w:rsidP="00FE1202">
            <w:pPr>
              <w:spacing w:before="120" w:after="120" w:line="240" w:lineRule="atLeast"/>
              <w:contextualSpacing/>
              <w:rPr>
                <w:rFonts w:ascii="Tahoma" w:hAnsi="Tahoma" w:cs="Tahoma"/>
                <w:sz w:val="20"/>
              </w:rPr>
            </w:pPr>
            <w:r>
              <w:rPr>
                <w:rFonts w:ascii="Tahoma" w:hAnsi="Tahoma" w:cs="Tahoma"/>
                <w:sz w:val="20"/>
              </w:rPr>
              <w:t>2019/20</w:t>
            </w:r>
            <w:r w:rsidR="00FE1202">
              <w:rPr>
                <w:rFonts w:ascii="Tahoma" w:hAnsi="Tahoma" w:cs="Tahoma"/>
                <w:sz w:val="20"/>
              </w:rPr>
              <w:t xml:space="preserve"> </w:t>
            </w:r>
          </w:p>
        </w:tc>
        <w:tc>
          <w:tcPr>
            <w:tcW w:w="1735" w:type="pct"/>
            <w:tcBorders>
              <w:top w:val="single" w:sz="4" w:space="0" w:color="00B0F0"/>
              <w:bottom w:val="single" w:sz="4" w:space="0" w:color="00B0F0"/>
            </w:tcBorders>
            <w:shd w:val="clear" w:color="auto" w:fill="00A3E0"/>
            <w:vAlign w:val="center"/>
          </w:tcPr>
          <w:p w14:paraId="36F249C8" w14:textId="53869C48" w:rsidR="00FE1202" w:rsidRPr="00751816" w:rsidRDefault="00FE1202" w:rsidP="00FE12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39" w:type="pct"/>
            <w:tcBorders>
              <w:top w:val="single" w:sz="4" w:space="0" w:color="00B0F0"/>
              <w:bottom w:val="single" w:sz="4" w:space="0" w:color="00B0F0"/>
            </w:tcBorders>
            <w:shd w:val="clear" w:color="auto" w:fill="00A3E0"/>
            <w:vAlign w:val="center"/>
          </w:tcPr>
          <w:p w14:paraId="0805551A" w14:textId="77777777" w:rsidR="00FE1202" w:rsidRPr="00751816" w:rsidRDefault="00FE1202" w:rsidP="00FE12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997" w:type="pct"/>
            <w:tcBorders>
              <w:top w:val="single" w:sz="4" w:space="0" w:color="00B0F0"/>
              <w:bottom w:val="single" w:sz="4" w:space="0" w:color="00B0F0"/>
            </w:tcBorders>
            <w:shd w:val="clear" w:color="auto" w:fill="00A3E0"/>
            <w:vAlign w:val="center"/>
          </w:tcPr>
          <w:p w14:paraId="4F9E78F2" w14:textId="77777777" w:rsidR="00FE1202" w:rsidRPr="00751816" w:rsidRDefault="00FE1202" w:rsidP="00FE12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shd w:val="clear" w:color="auto" w:fill="00A3E0"/>
            <w:vAlign w:val="center"/>
          </w:tcPr>
          <w:p w14:paraId="0D92C617" w14:textId="77777777" w:rsidR="00FE1202" w:rsidRPr="00751816" w:rsidRDefault="00FE1202" w:rsidP="00FE12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FE1202" w:rsidRPr="00751816" w14:paraId="6A3E53EA" w14:textId="77777777" w:rsidTr="00641102">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71E8E679" w14:textId="7C974EAF" w:rsidR="00FE1202" w:rsidRDefault="00FE1202" w:rsidP="00FE1202">
            <w:pPr>
              <w:spacing w:before="120" w:after="120" w:line="240" w:lineRule="atLeast"/>
              <w:contextualSpacing/>
              <w:rPr>
                <w:rFonts w:ascii="Tahoma" w:hAnsi="Tahoma" w:cs="Tahoma"/>
                <w:sz w:val="20"/>
              </w:rPr>
            </w:pPr>
            <w:r>
              <w:rPr>
                <w:rFonts w:ascii="Tahoma" w:hAnsi="Tahoma" w:cs="Tahoma"/>
                <w:sz w:val="20"/>
              </w:rPr>
              <w:t>Total</w:t>
            </w:r>
          </w:p>
        </w:tc>
        <w:tc>
          <w:tcPr>
            <w:tcW w:w="1735" w:type="pct"/>
            <w:tcBorders>
              <w:top w:val="single" w:sz="4" w:space="0" w:color="00B0F0"/>
              <w:bottom w:val="single" w:sz="4" w:space="0" w:color="00B0F0"/>
            </w:tcBorders>
            <w:vAlign w:val="center"/>
          </w:tcPr>
          <w:p w14:paraId="4CF25458" w14:textId="51F99072" w:rsidR="000C1BD1" w:rsidRPr="000C1BD1" w:rsidRDefault="000C1BD1" w:rsidP="000C1BD1">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C1BD1">
              <w:rPr>
                <w:rFonts w:ascii="Tahoma" w:hAnsi="Tahoma" w:cs="Tahoma"/>
                <w:sz w:val="20"/>
              </w:rPr>
              <w:t xml:space="preserve">UAFG data for 2019/20 was calculated by AEMO under clause 8.6.15 of the Retail Market Procedures (South Australia). </w:t>
            </w:r>
          </w:p>
          <w:p w14:paraId="6E273AD4" w14:textId="77777777" w:rsidR="000C1BD1" w:rsidRPr="000C1BD1" w:rsidRDefault="000C1BD1" w:rsidP="000C1BD1">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EDE9ABC" w14:textId="3A48EDEE" w:rsidR="0012447F" w:rsidRPr="000C1BD1" w:rsidRDefault="000C1BD1" w:rsidP="00364EE3">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C1BD1">
              <w:rPr>
                <w:rFonts w:ascii="Tahoma" w:hAnsi="Tahoma" w:cs="Tahoma"/>
                <w:sz w:val="20"/>
              </w:rPr>
              <w:t>Data was based on the AEMO preliminary August 2020 data. Note the UAFG is estimated because it is still subject to review and amendment for up to 425 days.</w:t>
            </w:r>
          </w:p>
        </w:tc>
        <w:tc>
          <w:tcPr>
            <w:tcW w:w="839" w:type="pct"/>
            <w:tcBorders>
              <w:top w:val="single" w:sz="4" w:space="0" w:color="00B0F0"/>
              <w:bottom w:val="single" w:sz="4" w:space="0" w:color="00B0F0"/>
            </w:tcBorders>
            <w:vAlign w:val="center"/>
          </w:tcPr>
          <w:p w14:paraId="0CE2CBA2" w14:textId="6CA2156A" w:rsidR="00FE1202" w:rsidRPr="000C1BD1" w:rsidRDefault="00AA22D9" w:rsidP="00343E8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C1BD1">
              <w:rPr>
                <w:rFonts w:ascii="Tahoma" w:hAnsi="Tahoma" w:cs="Tahoma"/>
                <w:sz w:val="20"/>
              </w:rPr>
              <w:t>Estimate</w:t>
            </w:r>
          </w:p>
        </w:tc>
        <w:tc>
          <w:tcPr>
            <w:tcW w:w="997" w:type="pct"/>
            <w:tcBorders>
              <w:top w:val="single" w:sz="4" w:space="0" w:color="00B0F0"/>
              <w:bottom w:val="single" w:sz="4" w:space="0" w:color="00B0F0"/>
            </w:tcBorders>
          </w:tcPr>
          <w:p w14:paraId="73AAB534" w14:textId="6D905F01" w:rsidR="00FE1202" w:rsidRPr="000C1BD1" w:rsidRDefault="000C1BD1" w:rsidP="0064110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C1BD1">
              <w:rPr>
                <w:rFonts w:ascii="Tahoma" w:hAnsi="Tahoma" w:cs="Tahoma"/>
                <w:sz w:val="20"/>
              </w:rPr>
              <w:t>2019/20 was based on the AEMO preliminary August 2020 data. Note the UAFG is estimated because it is subject to review and amendment for up to 425 days.</w:t>
            </w:r>
          </w:p>
        </w:tc>
        <w:tc>
          <w:tcPr>
            <w:tcW w:w="698" w:type="pct"/>
            <w:tcBorders>
              <w:top w:val="single" w:sz="4" w:space="0" w:color="00B0F0"/>
              <w:bottom w:val="single" w:sz="4" w:space="0" w:color="00B0F0"/>
            </w:tcBorders>
            <w:vAlign w:val="center"/>
          </w:tcPr>
          <w:p w14:paraId="76F6844C" w14:textId="1728D40F" w:rsidR="00FE1202" w:rsidRPr="000C1BD1" w:rsidRDefault="00FE1202" w:rsidP="00AA22D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15F3B3F7" w14:textId="564B74E1" w:rsidR="007D7D46" w:rsidRDefault="007D7D46"/>
    <w:p w14:paraId="0F874785" w14:textId="77777777" w:rsidR="00A43671" w:rsidRDefault="00A43671">
      <w:pPr>
        <w:rPr>
          <w:rFonts w:ascii="Tahoma" w:eastAsiaTheme="majorEastAsia" w:hAnsi="Tahoma" w:cs="Tahoma"/>
          <w:b/>
          <w:color w:val="003C71"/>
          <w:sz w:val="32"/>
          <w:szCs w:val="32"/>
        </w:rPr>
      </w:pPr>
      <w:r>
        <w:rPr>
          <w:rFonts w:ascii="Tahoma" w:hAnsi="Tahoma" w:cs="Tahoma"/>
          <w:b/>
          <w:color w:val="003C71"/>
        </w:rPr>
        <w:br w:type="page"/>
      </w:r>
    </w:p>
    <w:p w14:paraId="5E89751E" w14:textId="14E77BDB" w:rsidR="00D65342" w:rsidRDefault="00D65342" w:rsidP="00C059E5">
      <w:pPr>
        <w:pStyle w:val="Heading1"/>
        <w:rPr>
          <w:rFonts w:ascii="Tahoma" w:hAnsi="Tahoma" w:cs="Tahoma"/>
          <w:b/>
          <w:color w:val="003C71"/>
        </w:rPr>
      </w:pPr>
      <w:bookmarkStart w:id="28" w:name="_Toc57314074"/>
      <w:r w:rsidRPr="0095305C">
        <w:rPr>
          <w:rFonts w:ascii="Tahoma" w:hAnsi="Tahoma" w:cs="Tahoma"/>
          <w:b/>
          <w:color w:val="003C71"/>
        </w:rPr>
        <w:lastRenderedPageBreak/>
        <w:t>S14. Network Integrity</w:t>
      </w:r>
      <w:bookmarkEnd w:id="28"/>
      <w:r w:rsidRPr="0095305C">
        <w:rPr>
          <w:rFonts w:ascii="Tahoma" w:hAnsi="Tahoma" w:cs="Tahoma"/>
          <w:b/>
          <w:color w:val="003C71"/>
        </w:rPr>
        <w:t xml:space="preserve"> </w:t>
      </w:r>
    </w:p>
    <w:p w14:paraId="5A5EEE44" w14:textId="77777777" w:rsidR="00D65342" w:rsidRDefault="00D65342" w:rsidP="00C97516">
      <w:pPr>
        <w:pStyle w:val="Heading2"/>
        <w:rPr>
          <w:rFonts w:ascii="Tahoma" w:hAnsi="Tahoma" w:cs="Tahoma"/>
          <w:color w:val="003C71"/>
        </w:rPr>
      </w:pPr>
      <w:bookmarkStart w:id="29" w:name="_Toc57314075"/>
      <w:r w:rsidRPr="00C97516">
        <w:rPr>
          <w:rFonts w:ascii="Tahoma" w:hAnsi="Tahoma" w:cs="Tahoma"/>
          <w:color w:val="003C71"/>
        </w:rPr>
        <w:t>S14.1 – Loss of Containment</w:t>
      </w:r>
      <w:bookmarkEnd w:id="29"/>
      <w:r w:rsidRPr="00C97516">
        <w:rPr>
          <w:rFonts w:ascii="Tahoma" w:hAnsi="Tahoma" w:cs="Tahoma"/>
          <w:color w:val="003C71"/>
        </w:rPr>
        <w:t xml:space="preserve"> </w:t>
      </w:r>
    </w:p>
    <w:p w14:paraId="546CBD7C" w14:textId="44FEC19D" w:rsidR="001D2BF0" w:rsidRDefault="001D2BF0" w:rsidP="001D2BF0">
      <w:pPr>
        <w:rPr>
          <w:rFonts w:ascii="Tahoma" w:hAnsi="Tahoma" w:cs="Tahoma"/>
          <w:color w:val="00B0F0"/>
        </w:rPr>
      </w:pPr>
      <w:r>
        <w:rPr>
          <w:rFonts w:ascii="Tahoma" w:hAnsi="Tahoma" w:cs="Tahoma"/>
          <w:color w:val="00B0F0"/>
        </w:rPr>
        <w:t>S14</w:t>
      </w:r>
      <w:r w:rsidRPr="00C97516">
        <w:rPr>
          <w:rFonts w:ascii="Tahoma" w:hAnsi="Tahoma" w:cs="Tahoma"/>
          <w:color w:val="00B0F0"/>
        </w:rPr>
        <w:t>.1.</w:t>
      </w:r>
      <w:r>
        <w:rPr>
          <w:rFonts w:ascii="Tahoma" w:hAnsi="Tahoma" w:cs="Tahoma"/>
          <w:color w:val="00B0F0"/>
        </w:rPr>
        <w:t xml:space="preserve">1 </w:t>
      </w:r>
      <w:r w:rsidRPr="00C97516">
        <w:rPr>
          <w:rFonts w:ascii="Tahoma" w:hAnsi="Tahoma" w:cs="Tahoma"/>
          <w:color w:val="00B0F0"/>
        </w:rPr>
        <w:t>–</w:t>
      </w:r>
      <w:r>
        <w:rPr>
          <w:rFonts w:ascii="Tahoma" w:hAnsi="Tahoma" w:cs="Tahoma"/>
          <w:color w:val="00B0F0"/>
        </w:rPr>
        <w:t xml:space="preserve"> Mains</w:t>
      </w:r>
      <w:r w:rsidR="00A1147A">
        <w:rPr>
          <w:rFonts w:ascii="Tahoma" w:hAnsi="Tahoma" w:cs="Tahoma"/>
          <w:color w:val="00B0F0"/>
        </w:rPr>
        <w:t>/ S14</w:t>
      </w:r>
      <w:r w:rsidR="00A1147A" w:rsidRPr="00C97516">
        <w:rPr>
          <w:rFonts w:ascii="Tahoma" w:hAnsi="Tahoma" w:cs="Tahoma"/>
          <w:color w:val="00B0F0"/>
        </w:rPr>
        <w:t>.1.</w:t>
      </w:r>
      <w:r w:rsidR="00A1147A">
        <w:rPr>
          <w:rFonts w:ascii="Tahoma" w:hAnsi="Tahoma" w:cs="Tahoma"/>
          <w:color w:val="00B0F0"/>
        </w:rPr>
        <w:t xml:space="preserve">2 </w:t>
      </w:r>
      <w:r w:rsidR="00A1147A" w:rsidRPr="00C97516">
        <w:rPr>
          <w:rFonts w:ascii="Tahoma" w:hAnsi="Tahoma" w:cs="Tahoma"/>
          <w:color w:val="00B0F0"/>
        </w:rPr>
        <w:t>–</w:t>
      </w:r>
      <w:r w:rsidR="00A1147A">
        <w:rPr>
          <w:rFonts w:ascii="Tahoma" w:hAnsi="Tahoma" w:cs="Tahoma"/>
          <w:color w:val="00B0F0"/>
        </w:rPr>
        <w:t xml:space="preserve"> Services / S14</w:t>
      </w:r>
      <w:r w:rsidR="00A1147A" w:rsidRPr="00C97516">
        <w:rPr>
          <w:rFonts w:ascii="Tahoma" w:hAnsi="Tahoma" w:cs="Tahoma"/>
          <w:color w:val="00B0F0"/>
        </w:rPr>
        <w:t>.1.</w:t>
      </w:r>
      <w:r w:rsidR="00A1147A">
        <w:rPr>
          <w:rFonts w:ascii="Tahoma" w:hAnsi="Tahoma" w:cs="Tahoma"/>
          <w:color w:val="00B0F0"/>
        </w:rPr>
        <w:t xml:space="preserve">3 </w:t>
      </w:r>
      <w:r w:rsidR="00A1147A" w:rsidRPr="00C97516">
        <w:rPr>
          <w:rFonts w:ascii="Tahoma" w:hAnsi="Tahoma" w:cs="Tahoma"/>
          <w:color w:val="00B0F0"/>
        </w:rPr>
        <w:t>–</w:t>
      </w:r>
      <w:r w:rsidR="00A1147A">
        <w:rPr>
          <w:rFonts w:ascii="Tahoma" w:hAnsi="Tahoma" w:cs="Tahoma"/>
          <w:color w:val="00B0F0"/>
        </w:rPr>
        <w:t xml:space="preserve"> Meters</w:t>
      </w:r>
    </w:p>
    <w:tbl>
      <w:tblPr>
        <w:tblStyle w:val="UETableStyle"/>
        <w:tblW w:w="4885"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4"/>
        <w:gridCol w:w="4732"/>
        <w:gridCol w:w="2288"/>
        <w:gridCol w:w="2719"/>
        <w:gridCol w:w="1904"/>
      </w:tblGrid>
      <w:tr w:rsidR="001D2BF0" w:rsidRPr="00751816" w14:paraId="4EA10024" w14:textId="77777777" w:rsidTr="0041333F">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7766A54F" w14:textId="70C19B60" w:rsidR="001D2BF0" w:rsidRPr="00751816" w:rsidRDefault="001D2BF0" w:rsidP="001664CF">
            <w:pPr>
              <w:rPr>
                <w:rFonts w:ascii="Tahoma" w:hAnsi="Tahoma" w:cs="Tahoma"/>
                <w:b/>
                <w:color w:val="FFFFFF"/>
                <w:sz w:val="20"/>
              </w:rPr>
            </w:pPr>
            <w:r w:rsidRPr="00751816">
              <w:rPr>
                <w:rFonts w:ascii="Tahoma" w:hAnsi="Tahoma" w:cs="Tahoma"/>
                <w:b/>
                <w:color w:val="FFFFFF"/>
                <w:sz w:val="20"/>
              </w:rPr>
              <w:t xml:space="preserve">Variable </w:t>
            </w:r>
          </w:p>
        </w:tc>
        <w:tc>
          <w:tcPr>
            <w:tcW w:w="1735" w:type="pct"/>
            <w:tcBorders>
              <w:bottom w:val="single" w:sz="4" w:space="0" w:color="00B0F0"/>
            </w:tcBorders>
            <w:shd w:val="clear" w:color="auto" w:fill="003C71"/>
          </w:tcPr>
          <w:p w14:paraId="37E0C0B6" w14:textId="77777777" w:rsidR="001D2BF0" w:rsidRPr="00751816" w:rsidRDefault="001D2BF0"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9" w:type="pct"/>
            <w:tcBorders>
              <w:bottom w:val="single" w:sz="4" w:space="0" w:color="00B0F0"/>
            </w:tcBorders>
            <w:shd w:val="clear" w:color="auto" w:fill="003C71"/>
          </w:tcPr>
          <w:p w14:paraId="444DC715" w14:textId="77777777" w:rsidR="001D2BF0" w:rsidRPr="00751816" w:rsidRDefault="001D2BF0"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7" w:type="pct"/>
            <w:tcBorders>
              <w:bottom w:val="single" w:sz="4" w:space="0" w:color="00B0F0"/>
            </w:tcBorders>
            <w:shd w:val="clear" w:color="auto" w:fill="003C71"/>
          </w:tcPr>
          <w:p w14:paraId="76DB369C" w14:textId="77777777" w:rsidR="001D2BF0" w:rsidRPr="00751816" w:rsidRDefault="001D2BF0"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98" w:type="pct"/>
            <w:tcBorders>
              <w:bottom w:val="single" w:sz="4" w:space="0" w:color="00B0F0"/>
            </w:tcBorders>
            <w:shd w:val="clear" w:color="auto" w:fill="003C71"/>
          </w:tcPr>
          <w:p w14:paraId="52CAF189" w14:textId="77777777" w:rsidR="001D2BF0" w:rsidRPr="00751816" w:rsidRDefault="001D2BF0"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E04DB7" w:rsidRPr="00751816" w14:paraId="4FB0CF8A" w14:textId="77777777" w:rsidTr="0041333F">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00B0F0"/>
              <w:bottom w:val="single" w:sz="4" w:space="0" w:color="00B0F0"/>
            </w:tcBorders>
            <w:shd w:val="clear" w:color="auto" w:fill="00B0F0"/>
            <w:vAlign w:val="center"/>
          </w:tcPr>
          <w:p w14:paraId="45A11509" w14:textId="1BD3DB30" w:rsidR="00E04DB7" w:rsidRPr="00751816" w:rsidRDefault="00DD6B14" w:rsidP="00364EE3">
            <w:pPr>
              <w:spacing w:before="0" w:after="0"/>
              <w:contextualSpacing/>
              <w:rPr>
                <w:rFonts w:ascii="Tahoma" w:hAnsi="Tahoma" w:cs="Tahoma"/>
                <w:sz w:val="20"/>
              </w:rPr>
            </w:pPr>
            <w:r>
              <w:rPr>
                <w:rFonts w:ascii="Tahoma" w:hAnsi="Tahoma" w:cs="Tahoma"/>
                <w:sz w:val="20"/>
              </w:rPr>
              <w:t>2019/20</w:t>
            </w:r>
          </w:p>
        </w:tc>
      </w:tr>
      <w:tr w:rsidR="002E18E0" w:rsidRPr="00751816" w14:paraId="6503AF33" w14:textId="77777777" w:rsidTr="0041333F">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37EA6794" w14:textId="1BD2B212" w:rsidR="002E18E0" w:rsidRDefault="002E18E0" w:rsidP="0099024B">
            <w:pPr>
              <w:spacing w:before="120" w:after="120" w:line="240" w:lineRule="atLeast"/>
              <w:contextualSpacing/>
              <w:rPr>
                <w:rFonts w:ascii="Tahoma" w:hAnsi="Tahoma" w:cs="Tahoma"/>
                <w:sz w:val="20"/>
              </w:rPr>
            </w:pPr>
            <w:r>
              <w:rPr>
                <w:rFonts w:ascii="Tahoma" w:hAnsi="Tahoma" w:cs="Tahoma"/>
                <w:sz w:val="20"/>
              </w:rPr>
              <w:t>Number of leaks – publicly reported (#)</w:t>
            </w:r>
          </w:p>
        </w:tc>
        <w:tc>
          <w:tcPr>
            <w:tcW w:w="1735" w:type="pct"/>
            <w:tcBorders>
              <w:top w:val="single" w:sz="4" w:space="0" w:color="00B0F0"/>
              <w:bottom w:val="single" w:sz="4" w:space="0" w:color="00B0F0"/>
            </w:tcBorders>
            <w:vAlign w:val="center"/>
          </w:tcPr>
          <w:p w14:paraId="6FEE028F" w14:textId="179E543D" w:rsidR="000C1BD1"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2B1EA0">
              <w:rPr>
                <w:rFonts w:ascii="Tahoma" w:hAnsi="Tahoma" w:cs="Tahoma"/>
                <w:sz w:val="20"/>
              </w:rPr>
              <w:t>Data sourced from a SSAS tabular data model utilising data sourced from the current Maximo instance.</w:t>
            </w:r>
            <w:r>
              <w:rPr>
                <w:rFonts w:ascii="Tahoma" w:hAnsi="Tahoma" w:cs="Tahoma"/>
                <w:sz w:val="20"/>
              </w:rPr>
              <w:t xml:space="preserve">  </w:t>
            </w:r>
            <w:r w:rsidRPr="002B1EA0">
              <w:rPr>
                <w:rFonts w:ascii="Tahoma" w:hAnsi="Tahoma" w:cs="Tahoma"/>
                <w:sz w:val="20"/>
              </w:rPr>
              <w:t>Work Order Classification of Leak Investigation, and Status Complete</w:t>
            </w:r>
            <w:r w:rsidRPr="00102793">
              <w:rPr>
                <w:rFonts w:ascii="Tahoma" w:hAnsi="Tahoma" w:cs="Tahoma"/>
                <w:sz w:val="20"/>
              </w:rPr>
              <w:t>. Cancelled Jobs and No Leak Found were excluded.</w:t>
            </w:r>
          </w:p>
          <w:p w14:paraId="36947AC6" w14:textId="301253FF" w:rsidR="00CC6BAF" w:rsidRPr="00DD4B56"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Please note </w:t>
            </w:r>
            <w:r w:rsidRPr="00CC6BAF">
              <w:rPr>
                <w:rFonts w:ascii="Tahoma" w:hAnsi="Tahoma" w:cs="Tahoma"/>
                <w:sz w:val="20"/>
              </w:rPr>
              <w:t>we have only reported publicly reported leaks where a leak was identified by a member of the public and a gas escape was confirmed by personnel attending site.</w:t>
            </w:r>
          </w:p>
        </w:tc>
        <w:tc>
          <w:tcPr>
            <w:tcW w:w="839" w:type="pct"/>
            <w:tcBorders>
              <w:top w:val="single" w:sz="4" w:space="0" w:color="00B0F0"/>
              <w:bottom w:val="single" w:sz="4" w:space="0" w:color="00B0F0"/>
            </w:tcBorders>
            <w:vAlign w:val="center"/>
          </w:tcPr>
          <w:p w14:paraId="7936C7E1" w14:textId="08DDF0EC" w:rsidR="002E18E0" w:rsidRDefault="002E18E0" w:rsidP="00343E8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459F0DA8" w14:textId="77777777" w:rsidR="002E18E0" w:rsidRDefault="002E18E0">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01DBB6E2" w14:textId="77777777" w:rsidR="002E18E0" w:rsidRPr="00751816" w:rsidRDefault="002E18E0" w:rsidP="0099024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2E18E0" w:rsidRPr="00751816" w14:paraId="73C3EB3A" w14:textId="77777777" w:rsidTr="0041333F">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170ABD7B" w14:textId="1F07130A" w:rsidR="002E18E0" w:rsidRDefault="002E18E0" w:rsidP="00992B80">
            <w:pPr>
              <w:spacing w:before="120" w:after="120" w:line="240" w:lineRule="atLeast"/>
              <w:contextualSpacing/>
              <w:rPr>
                <w:rFonts w:ascii="Tahoma" w:hAnsi="Tahoma" w:cs="Tahoma"/>
                <w:sz w:val="20"/>
              </w:rPr>
            </w:pPr>
            <w:r>
              <w:rPr>
                <w:rFonts w:ascii="Tahoma" w:hAnsi="Tahoma" w:cs="Tahoma"/>
                <w:sz w:val="20"/>
              </w:rPr>
              <w:t>Number of leaks – found through survey (#)</w:t>
            </w:r>
          </w:p>
        </w:tc>
        <w:tc>
          <w:tcPr>
            <w:tcW w:w="1735" w:type="pct"/>
            <w:tcBorders>
              <w:top w:val="single" w:sz="4" w:space="0" w:color="00B0F0"/>
              <w:bottom w:val="single" w:sz="4" w:space="0" w:color="00B0F0"/>
            </w:tcBorders>
            <w:vAlign w:val="center"/>
          </w:tcPr>
          <w:p w14:paraId="27D05D1A" w14:textId="77777777" w:rsidR="000C1BD1"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Data is sourced from a SSAS tabular data model utilising data sourced from the current Maximo instance.  </w:t>
            </w:r>
          </w:p>
          <w:p w14:paraId="7F9074F3" w14:textId="77777777" w:rsidR="000C1BD1"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213CBFD" w14:textId="4044937D" w:rsidR="002E18E0" w:rsidRDefault="000C1BD1" w:rsidP="00364EE3">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All Survey Reported Leak Work Orders are captured, excluding No Leak Found and Third Party Damage.  Failure Classes of Main, Service, and Meter were used.</w:t>
            </w:r>
          </w:p>
        </w:tc>
        <w:tc>
          <w:tcPr>
            <w:tcW w:w="839" w:type="pct"/>
            <w:tcBorders>
              <w:top w:val="single" w:sz="4" w:space="0" w:color="00B0F0"/>
              <w:bottom w:val="single" w:sz="4" w:space="0" w:color="00B0F0"/>
            </w:tcBorders>
            <w:vAlign w:val="center"/>
          </w:tcPr>
          <w:p w14:paraId="1C855425" w14:textId="56149C65" w:rsidR="002E18E0" w:rsidRDefault="002E18E0" w:rsidP="00343E8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Actual </w:t>
            </w:r>
          </w:p>
        </w:tc>
        <w:tc>
          <w:tcPr>
            <w:tcW w:w="997" w:type="pct"/>
            <w:tcBorders>
              <w:top w:val="single" w:sz="4" w:space="0" w:color="00B0F0"/>
              <w:bottom w:val="single" w:sz="4" w:space="0" w:color="00B0F0"/>
            </w:tcBorders>
            <w:vAlign w:val="center"/>
          </w:tcPr>
          <w:p w14:paraId="41F9E1DD" w14:textId="77777777" w:rsidR="002E18E0" w:rsidRPr="00751816" w:rsidRDefault="002E18E0" w:rsidP="00992B80">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2A5AADA2" w14:textId="77777777" w:rsidR="002E18E0" w:rsidRPr="00751816" w:rsidRDefault="002E18E0" w:rsidP="00992B80">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2E18E0" w:rsidRPr="00751816" w14:paraId="226E1E1B" w14:textId="77777777" w:rsidTr="0041333F">
        <w:trPr>
          <w:trHeight w:val="928"/>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42E6C941" w14:textId="4A91500A" w:rsidR="002E18E0" w:rsidRDefault="002E18E0" w:rsidP="00992B80">
            <w:pPr>
              <w:spacing w:before="120" w:after="120" w:line="240" w:lineRule="atLeast"/>
              <w:contextualSpacing/>
              <w:rPr>
                <w:rFonts w:ascii="Tahoma" w:hAnsi="Tahoma" w:cs="Tahoma"/>
                <w:sz w:val="20"/>
              </w:rPr>
            </w:pPr>
            <w:r>
              <w:rPr>
                <w:rFonts w:ascii="Tahoma" w:hAnsi="Tahoma" w:cs="Tahoma"/>
                <w:sz w:val="20"/>
              </w:rPr>
              <w:t>Repaired leaks (#)</w:t>
            </w:r>
          </w:p>
        </w:tc>
        <w:tc>
          <w:tcPr>
            <w:tcW w:w="1735" w:type="pct"/>
            <w:tcBorders>
              <w:top w:val="single" w:sz="4" w:space="0" w:color="00B0F0"/>
              <w:bottom w:val="single" w:sz="4" w:space="0" w:color="00B0F0"/>
            </w:tcBorders>
            <w:vAlign w:val="center"/>
          </w:tcPr>
          <w:p w14:paraId="2AC38A52" w14:textId="62CFCE59" w:rsidR="002E18E0" w:rsidRDefault="00432257" w:rsidP="00DD6B14">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Total repaired leaks = repaired public reported leaks + repaired leaks found through survey.</w:t>
            </w:r>
          </w:p>
        </w:tc>
        <w:tc>
          <w:tcPr>
            <w:tcW w:w="839" w:type="pct"/>
            <w:tcBorders>
              <w:top w:val="single" w:sz="4" w:space="0" w:color="00B0F0"/>
              <w:bottom w:val="single" w:sz="4" w:space="0" w:color="00B0F0"/>
            </w:tcBorders>
            <w:vAlign w:val="center"/>
          </w:tcPr>
          <w:p w14:paraId="2A9E3F1C" w14:textId="20C84527" w:rsidR="002E18E0" w:rsidRDefault="002E18E0" w:rsidP="00343E8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Actual </w:t>
            </w:r>
          </w:p>
        </w:tc>
        <w:tc>
          <w:tcPr>
            <w:tcW w:w="997" w:type="pct"/>
            <w:tcBorders>
              <w:top w:val="single" w:sz="4" w:space="0" w:color="00B0F0"/>
              <w:bottom w:val="single" w:sz="4" w:space="0" w:color="00B0F0"/>
            </w:tcBorders>
            <w:vAlign w:val="center"/>
          </w:tcPr>
          <w:p w14:paraId="13E7EE6A" w14:textId="77777777" w:rsidR="002E18E0" w:rsidRPr="00751816" w:rsidRDefault="002E18E0" w:rsidP="00992B80">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43B218CC" w14:textId="77777777" w:rsidR="002E18E0" w:rsidRPr="00751816" w:rsidRDefault="002E18E0" w:rsidP="00992B80">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992B80" w:rsidRPr="00751816" w14:paraId="3DC897A3" w14:textId="77777777" w:rsidTr="0041333F">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067ABB3C" w14:textId="7BB8B8E7" w:rsidR="00992B80" w:rsidRDefault="00992B80" w:rsidP="00992B80">
            <w:pPr>
              <w:spacing w:before="120" w:after="120" w:line="240" w:lineRule="atLeast"/>
              <w:contextualSpacing/>
              <w:rPr>
                <w:rFonts w:ascii="Tahoma" w:hAnsi="Tahoma" w:cs="Tahoma"/>
                <w:sz w:val="20"/>
              </w:rPr>
            </w:pPr>
            <w:r>
              <w:rPr>
                <w:rFonts w:ascii="Tahoma" w:hAnsi="Tahoma" w:cs="Tahoma"/>
                <w:sz w:val="20"/>
              </w:rPr>
              <w:t>Length of network subject to survey (km)</w:t>
            </w:r>
          </w:p>
        </w:tc>
        <w:tc>
          <w:tcPr>
            <w:tcW w:w="1735" w:type="pct"/>
            <w:tcBorders>
              <w:top w:val="single" w:sz="4" w:space="0" w:color="00B0F0"/>
              <w:bottom w:val="single" w:sz="4" w:space="0" w:color="00B0F0"/>
            </w:tcBorders>
            <w:vAlign w:val="center"/>
          </w:tcPr>
          <w:p w14:paraId="00F9C0B9" w14:textId="77777777" w:rsidR="000C1BD1"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566B7">
              <w:rPr>
                <w:rFonts w:ascii="Tahoma" w:hAnsi="Tahoma" w:cs="Tahoma"/>
                <w:sz w:val="20"/>
              </w:rPr>
              <w:t xml:space="preserve">Leak Survey Areas for have an attribute of the total number of km travelled as part of the Survey. </w:t>
            </w:r>
            <w:r>
              <w:rPr>
                <w:rFonts w:ascii="Tahoma" w:hAnsi="Tahoma" w:cs="Tahoma"/>
                <w:sz w:val="20"/>
              </w:rPr>
              <w:t xml:space="preserve"> </w:t>
            </w:r>
            <w:r w:rsidRPr="001566B7">
              <w:rPr>
                <w:rFonts w:ascii="Tahoma" w:hAnsi="Tahoma" w:cs="Tahoma"/>
                <w:sz w:val="20"/>
              </w:rPr>
              <w:t>These km are totalled</w:t>
            </w:r>
            <w:r>
              <w:rPr>
                <w:rFonts w:ascii="Tahoma" w:hAnsi="Tahoma" w:cs="Tahoma"/>
                <w:sz w:val="20"/>
              </w:rPr>
              <w:t xml:space="preserve"> for all completed Leak Survey Work Orders</w:t>
            </w:r>
            <w:r w:rsidRPr="001566B7">
              <w:rPr>
                <w:rFonts w:ascii="Tahoma" w:hAnsi="Tahoma" w:cs="Tahoma"/>
                <w:sz w:val="20"/>
              </w:rPr>
              <w:t>.</w:t>
            </w:r>
          </w:p>
          <w:p w14:paraId="0863183B" w14:textId="77777777" w:rsidR="000C1BD1" w:rsidRPr="001566B7" w:rsidRDefault="000C1BD1" w:rsidP="000C1BD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D6DADD6" w14:textId="44123F97" w:rsidR="00322789" w:rsidRPr="001566B7" w:rsidRDefault="000C1BD1" w:rsidP="00364EE3">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566B7">
              <w:rPr>
                <w:rFonts w:ascii="Tahoma" w:hAnsi="Tahoma" w:cs="Tahoma"/>
                <w:sz w:val="20"/>
              </w:rPr>
              <w:t>Leak Survey Work Orders were sourced from a SSAS tabular data model utilising data sourced from the current Maximo instance</w:t>
            </w:r>
            <w:r>
              <w:rPr>
                <w:rFonts w:ascii="Tahoma" w:hAnsi="Tahoma" w:cs="Tahoma"/>
                <w:sz w:val="20"/>
              </w:rPr>
              <w:t>. Leak Survey Work Orders were identified as Work Order Classification of LEAKSURV and Work Order Status of COMP</w:t>
            </w:r>
          </w:p>
        </w:tc>
        <w:tc>
          <w:tcPr>
            <w:tcW w:w="839" w:type="pct"/>
            <w:tcBorders>
              <w:top w:val="single" w:sz="4" w:space="0" w:color="00B0F0"/>
              <w:bottom w:val="single" w:sz="4" w:space="0" w:color="00B0F0"/>
            </w:tcBorders>
            <w:vAlign w:val="center"/>
          </w:tcPr>
          <w:p w14:paraId="63B2B7B1" w14:textId="26487897" w:rsidR="00992B80" w:rsidRPr="00751816" w:rsidRDefault="00992B80" w:rsidP="00343E8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997" w:type="pct"/>
            <w:tcBorders>
              <w:top w:val="single" w:sz="4" w:space="0" w:color="00B0F0"/>
              <w:bottom w:val="single" w:sz="4" w:space="0" w:color="00B0F0"/>
            </w:tcBorders>
            <w:vAlign w:val="center"/>
          </w:tcPr>
          <w:p w14:paraId="5A3DF00B" w14:textId="77777777" w:rsidR="00992B80" w:rsidRPr="00751816" w:rsidRDefault="00992B80" w:rsidP="00992B80">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152EC1AC" w14:textId="77777777" w:rsidR="00992B80" w:rsidRPr="00751816" w:rsidRDefault="00992B80" w:rsidP="00992B80">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526A9F" w:rsidRPr="00751816" w14:paraId="40ED4F0F" w14:textId="77777777" w:rsidTr="0041333F">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36AF933E" w14:textId="283E672E" w:rsidR="00526A9F" w:rsidRDefault="00526A9F" w:rsidP="00992B80">
            <w:pPr>
              <w:spacing w:before="120" w:after="120" w:line="240" w:lineRule="atLeast"/>
              <w:contextualSpacing/>
              <w:rPr>
                <w:rFonts w:ascii="Tahoma" w:hAnsi="Tahoma" w:cs="Tahoma"/>
                <w:sz w:val="20"/>
              </w:rPr>
            </w:pPr>
            <w:r>
              <w:rPr>
                <w:rFonts w:ascii="Tahoma" w:hAnsi="Tahoma" w:cs="Tahoma"/>
                <w:sz w:val="20"/>
              </w:rPr>
              <w:t xml:space="preserve">Number of services surveyed/Number of meters surveyed </w:t>
            </w:r>
          </w:p>
        </w:tc>
        <w:tc>
          <w:tcPr>
            <w:tcW w:w="4269" w:type="pct"/>
            <w:gridSpan w:val="4"/>
            <w:tcBorders>
              <w:top w:val="single" w:sz="4" w:space="0" w:color="00B0F0"/>
              <w:bottom w:val="single" w:sz="4" w:space="0" w:color="00B0F0"/>
            </w:tcBorders>
            <w:vAlign w:val="center"/>
          </w:tcPr>
          <w:p w14:paraId="2CDEFCC0" w14:textId="77777777" w:rsidR="00526A9F" w:rsidRDefault="00526A9F" w:rsidP="00992B80">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566B7">
              <w:rPr>
                <w:rFonts w:ascii="Tahoma" w:hAnsi="Tahoma" w:cs="Tahoma"/>
                <w:sz w:val="20"/>
              </w:rPr>
              <w:t>As we only survey mains, there is no data in the spreadsheet for the number of services/meters surveyed</w:t>
            </w:r>
            <w:r>
              <w:rPr>
                <w:rFonts w:ascii="Tahoma" w:hAnsi="Tahoma" w:cs="Tahoma"/>
                <w:sz w:val="20"/>
              </w:rPr>
              <w:t>.</w:t>
            </w:r>
          </w:p>
          <w:p w14:paraId="03A62C6E" w14:textId="77777777" w:rsidR="00526A9F" w:rsidRDefault="00526A9F" w:rsidP="00992B80">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420FF42" w14:textId="47437107" w:rsidR="00526A9F" w:rsidRPr="00751816" w:rsidRDefault="00526A9F" w:rsidP="00992B80">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Thus we provide a ‘Null’ response in the reporting template. </w:t>
            </w:r>
          </w:p>
        </w:tc>
      </w:tr>
    </w:tbl>
    <w:p w14:paraId="5BCBF287" w14:textId="77777777" w:rsidR="000173E0" w:rsidRPr="00C4077D" w:rsidRDefault="000173E0" w:rsidP="00C4077D">
      <w:pPr>
        <w:rPr>
          <w:rFonts w:ascii="Tahoma" w:hAnsi="Tahoma" w:cs="Tahoma"/>
          <w:sz w:val="20"/>
        </w:rPr>
      </w:pPr>
    </w:p>
    <w:p w14:paraId="06E795E7" w14:textId="3185243C" w:rsidR="00D65342" w:rsidRDefault="00D65342" w:rsidP="00FF66FF">
      <w:pPr>
        <w:pStyle w:val="Heading2"/>
        <w:spacing w:before="120"/>
        <w:rPr>
          <w:rFonts w:ascii="Tahoma" w:hAnsi="Tahoma" w:cs="Tahoma"/>
          <w:color w:val="003C71"/>
        </w:rPr>
      </w:pPr>
      <w:bookmarkStart w:id="30" w:name="_Toc57314076"/>
      <w:r w:rsidRPr="00C97516">
        <w:rPr>
          <w:rFonts w:ascii="Tahoma" w:hAnsi="Tahoma" w:cs="Tahoma"/>
          <w:color w:val="003C71"/>
        </w:rPr>
        <w:t>S14.2 – Instances of Damage</w:t>
      </w:r>
      <w:bookmarkEnd w:id="30"/>
      <w:r w:rsidRPr="00C97516">
        <w:rPr>
          <w:rFonts w:ascii="Tahoma" w:hAnsi="Tahoma" w:cs="Tahoma"/>
          <w:color w:val="003C71"/>
        </w:rPr>
        <w:t xml:space="preserve"> </w:t>
      </w:r>
    </w:p>
    <w:tbl>
      <w:tblPr>
        <w:tblStyle w:val="UETableStyle"/>
        <w:tblW w:w="4885"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4"/>
        <w:gridCol w:w="4732"/>
        <w:gridCol w:w="2288"/>
        <w:gridCol w:w="2719"/>
        <w:gridCol w:w="1904"/>
      </w:tblGrid>
      <w:tr w:rsidR="001D2BF0" w:rsidRPr="00751816" w14:paraId="78F5C069" w14:textId="77777777" w:rsidTr="00D26C56">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27445F4D" w14:textId="4E72A2A4" w:rsidR="001D2BF0" w:rsidRPr="00751816" w:rsidRDefault="001D2BF0" w:rsidP="001664CF">
            <w:pPr>
              <w:rPr>
                <w:rFonts w:ascii="Tahoma" w:hAnsi="Tahoma" w:cs="Tahoma"/>
                <w:b/>
                <w:color w:val="FFFFFF"/>
                <w:sz w:val="20"/>
              </w:rPr>
            </w:pPr>
            <w:r w:rsidRPr="00751816">
              <w:rPr>
                <w:rFonts w:ascii="Tahoma" w:hAnsi="Tahoma" w:cs="Tahoma"/>
                <w:b/>
                <w:color w:val="FFFFFF"/>
                <w:sz w:val="20"/>
              </w:rPr>
              <w:t xml:space="preserve">Variable </w:t>
            </w:r>
          </w:p>
        </w:tc>
        <w:tc>
          <w:tcPr>
            <w:tcW w:w="1735" w:type="pct"/>
            <w:tcBorders>
              <w:bottom w:val="single" w:sz="4" w:space="0" w:color="00B0F0"/>
            </w:tcBorders>
            <w:shd w:val="clear" w:color="auto" w:fill="003C71"/>
          </w:tcPr>
          <w:p w14:paraId="0508D549" w14:textId="77777777" w:rsidR="001D2BF0" w:rsidRPr="00751816" w:rsidRDefault="001D2BF0"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9" w:type="pct"/>
            <w:tcBorders>
              <w:bottom w:val="single" w:sz="4" w:space="0" w:color="00B0F0"/>
            </w:tcBorders>
            <w:shd w:val="clear" w:color="auto" w:fill="003C71"/>
          </w:tcPr>
          <w:p w14:paraId="3EEB0080" w14:textId="77777777" w:rsidR="001D2BF0" w:rsidRPr="00751816" w:rsidRDefault="001D2BF0"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7" w:type="pct"/>
            <w:tcBorders>
              <w:bottom w:val="single" w:sz="4" w:space="0" w:color="00B0F0"/>
            </w:tcBorders>
            <w:shd w:val="clear" w:color="auto" w:fill="003C71"/>
          </w:tcPr>
          <w:p w14:paraId="587F0411" w14:textId="77777777" w:rsidR="001D2BF0" w:rsidRPr="00751816" w:rsidRDefault="001D2BF0"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98" w:type="pct"/>
            <w:tcBorders>
              <w:bottom w:val="single" w:sz="4" w:space="0" w:color="00B0F0"/>
            </w:tcBorders>
            <w:shd w:val="clear" w:color="auto" w:fill="003C71"/>
          </w:tcPr>
          <w:p w14:paraId="1BCBEAA7" w14:textId="77777777" w:rsidR="001D2BF0" w:rsidRPr="00751816" w:rsidRDefault="001D2BF0" w:rsidP="00C3723A">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FC5199" w:rsidRPr="00751816" w14:paraId="6DE7E9D8" w14:textId="77777777" w:rsidTr="009A031F">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00A3E0"/>
            <w:vAlign w:val="center"/>
          </w:tcPr>
          <w:p w14:paraId="143864B4" w14:textId="5472AA4A" w:rsidR="00FC5199" w:rsidRDefault="00DD6B14" w:rsidP="00FC5199">
            <w:pPr>
              <w:spacing w:before="120" w:after="120" w:line="240" w:lineRule="atLeast"/>
              <w:contextualSpacing/>
              <w:rPr>
                <w:rFonts w:ascii="Tahoma" w:hAnsi="Tahoma" w:cs="Tahoma"/>
                <w:sz w:val="20"/>
              </w:rPr>
            </w:pPr>
            <w:r>
              <w:rPr>
                <w:rFonts w:ascii="Tahoma" w:hAnsi="Tahoma" w:cs="Tahoma"/>
                <w:sz w:val="20"/>
              </w:rPr>
              <w:t>2019/20</w:t>
            </w:r>
          </w:p>
        </w:tc>
        <w:tc>
          <w:tcPr>
            <w:tcW w:w="1735" w:type="pct"/>
            <w:tcBorders>
              <w:top w:val="single" w:sz="4" w:space="0" w:color="00B0F0"/>
              <w:bottom w:val="single" w:sz="4" w:space="0" w:color="00B0F0"/>
            </w:tcBorders>
            <w:shd w:val="clear" w:color="auto" w:fill="00A3E0"/>
            <w:vAlign w:val="center"/>
          </w:tcPr>
          <w:p w14:paraId="527C1732" w14:textId="6C9FC137" w:rsidR="00FC5199" w:rsidRPr="00751816" w:rsidRDefault="00FC5199" w:rsidP="00FC519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39" w:type="pct"/>
            <w:tcBorders>
              <w:top w:val="single" w:sz="4" w:space="0" w:color="00B0F0"/>
              <w:bottom w:val="single" w:sz="4" w:space="0" w:color="00B0F0"/>
            </w:tcBorders>
            <w:shd w:val="clear" w:color="auto" w:fill="00A3E0"/>
            <w:vAlign w:val="center"/>
          </w:tcPr>
          <w:p w14:paraId="7D92AFC7" w14:textId="77777777" w:rsidR="00FC5199" w:rsidRPr="00751816" w:rsidRDefault="00FC5199" w:rsidP="00FC519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997" w:type="pct"/>
            <w:tcBorders>
              <w:top w:val="single" w:sz="4" w:space="0" w:color="00B0F0"/>
              <w:bottom w:val="single" w:sz="4" w:space="0" w:color="00B0F0"/>
            </w:tcBorders>
            <w:shd w:val="clear" w:color="auto" w:fill="00A3E0"/>
            <w:vAlign w:val="center"/>
          </w:tcPr>
          <w:p w14:paraId="7F6E6498" w14:textId="77777777" w:rsidR="00FC5199" w:rsidRPr="00751816" w:rsidRDefault="00FC5199" w:rsidP="00FC519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shd w:val="clear" w:color="auto" w:fill="00A3E0"/>
            <w:vAlign w:val="center"/>
          </w:tcPr>
          <w:p w14:paraId="49160C6F" w14:textId="77777777" w:rsidR="00FC5199" w:rsidRPr="00751816" w:rsidRDefault="00FC5199" w:rsidP="00FC519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045762" w:rsidRPr="00751816" w14:paraId="4E291808" w14:textId="77777777" w:rsidTr="00343E89">
        <w:trPr>
          <w:trHeight w:val="99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70645469" w14:textId="77777777" w:rsidR="00045762" w:rsidRDefault="00045762" w:rsidP="00FC5199">
            <w:pPr>
              <w:spacing w:before="120" w:after="120" w:line="240" w:lineRule="atLeast"/>
              <w:contextualSpacing/>
              <w:rPr>
                <w:rFonts w:ascii="Tahoma" w:hAnsi="Tahoma" w:cs="Tahoma"/>
                <w:sz w:val="20"/>
              </w:rPr>
            </w:pPr>
            <w:r>
              <w:rPr>
                <w:rFonts w:ascii="Tahoma" w:hAnsi="Tahoma" w:cs="Tahoma"/>
                <w:sz w:val="20"/>
              </w:rPr>
              <w:t xml:space="preserve">Mains (#) </w:t>
            </w:r>
          </w:p>
          <w:p w14:paraId="06E381BF" w14:textId="1ED655A8" w:rsidR="00672E64" w:rsidRDefault="00045762" w:rsidP="001664CF">
            <w:pPr>
              <w:spacing w:before="120" w:after="120" w:line="240" w:lineRule="atLeast"/>
              <w:contextualSpacing/>
              <w:rPr>
                <w:rFonts w:ascii="Tahoma" w:hAnsi="Tahoma" w:cs="Tahoma"/>
                <w:sz w:val="20"/>
              </w:rPr>
            </w:pPr>
            <w:r>
              <w:rPr>
                <w:rFonts w:ascii="Tahoma" w:hAnsi="Tahoma" w:cs="Tahoma"/>
                <w:sz w:val="20"/>
              </w:rPr>
              <w:t>Services (#)</w:t>
            </w:r>
          </w:p>
        </w:tc>
        <w:tc>
          <w:tcPr>
            <w:tcW w:w="1735" w:type="pct"/>
            <w:tcBorders>
              <w:top w:val="single" w:sz="4" w:space="0" w:color="00B0F0"/>
              <w:bottom w:val="single" w:sz="4" w:space="0" w:color="00B0F0"/>
            </w:tcBorders>
            <w:vAlign w:val="center"/>
          </w:tcPr>
          <w:p w14:paraId="60F52AC4" w14:textId="01808E42" w:rsidR="009208F2" w:rsidRPr="000C1BD1" w:rsidRDefault="000C1BD1" w:rsidP="00364EE3">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C1BD1">
              <w:rPr>
                <w:rFonts w:ascii="Tahoma" w:hAnsi="Tahoma" w:cs="Tahoma"/>
                <w:sz w:val="20"/>
              </w:rPr>
              <w:t>Work Orders were sourced from a SSAS tabular data model utilising data sourced from the current Maximo instance.  Leak Job Status as Complete, Leak Job Cause as External Influence – 3rd Party Damage, and Leak Job Asset Class of Main or Service.</w:t>
            </w:r>
          </w:p>
        </w:tc>
        <w:tc>
          <w:tcPr>
            <w:tcW w:w="839" w:type="pct"/>
            <w:tcBorders>
              <w:top w:val="single" w:sz="4" w:space="0" w:color="00B0F0"/>
              <w:bottom w:val="single" w:sz="4" w:space="0" w:color="00B0F0"/>
            </w:tcBorders>
            <w:vAlign w:val="center"/>
          </w:tcPr>
          <w:p w14:paraId="38768BC0" w14:textId="5373EAA2" w:rsidR="00045762" w:rsidRPr="000C1BD1" w:rsidRDefault="00EA7CDA" w:rsidP="00343E8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C1BD1">
              <w:rPr>
                <w:rFonts w:ascii="Tahoma" w:hAnsi="Tahoma" w:cs="Tahoma"/>
                <w:sz w:val="20"/>
              </w:rPr>
              <w:t>Actual</w:t>
            </w:r>
          </w:p>
        </w:tc>
        <w:tc>
          <w:tcPr>
            <w:tcW w:w="997" w:type="pct"/>
            <w:tcBorders>
              <w:top w:val="single" w:sz="4" w:space="0" w:color="00B0F0"/>
              <w:bottom w:val="single" w:sz="4" w:space="0" w:color="00B0F0"/>
            </w:tcBorders>
            <w:vAlign w:val="center"/>
          </w:tcPr>
          <w:p w14:paraId="36DC29D4" w14:textId="77777777" w:rsidR="00045762" w:rsidRPr="000C1BD1" w:rsidRDefault="00045762" w:rsidP="00FC519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373D8521" w14:textId="77777777" w:rsidR="00045762" w:rsidRPr="000C1BD1" w:rsidRDefault="00045762" w:rsidP="00FC519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585771" w:rsidRPr="00751816" w14:paraId="27B5CB58" w14:textId="77777777" w:rsidTr="00343E89">
        <w:trPr>
          <w:trHeight w:val="1290"/>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4D803AD0" w14:textId="77777777" w:rsidR="00585771" w:rsidRDefault="00585771" w:rsidP="00195B4A">
            <w:pPr>
              <w:spacing w:before="120" w:after="120" w:line="240" w:lineRule="atLeast"/>
              <w:contextualSpacing/>
              <w:rPr>
                <w:rFonts w:ascii="Tahoma" w:hAnsi="Tahoma" w:cs="Tahoma"/>
                <w:sz w:val="20"/>
              </w:rPr>
            </w:pPr>
            <w:r>
              <w:rPr>
                <w:rFonts w:ascii="Tahoma" w:hAnsi="Tahoma" w:cs="Tahoma"/>
                <w:sz w:val="20"/>
              </w:rPr>
              <w:t>Meters (#)</w:t>
            </w:r>
          </w:p>
        </w:tc>
        <w:tc>
          <w:tcPr>
            <w:tcW w:w="1735" w:type="pct"/>
            <w:tcBorders>
              <w:top w:val="single" w:sz="4" w:space="0" w:color="00B0F0"/>
            </w:tcBorders>
            <w:vAlign w:val="center"/>
          </w:tcPr>
          <w:p w14:paraId="34ECDAA4" w14:textId="0841FFAD" w:rsidR="00585771" w:rsidRPr="000C1BD1" w:rsidRDefault="000C1BD1" w:rsidP="00364EE3">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C1BD1">
              <w:rPr>
                <w:rFonts w:ascii="Tahoma" w:hAnsi="Tahoma" w:cs="Tahoma"/>
                <w:sz w:val="20"/>
              </w:rPr>
              <w:t>Data is sourced from a SSAS tabular data model utilising data sourced from the current Maximo instance. All completed Leak Repair Work Orders with Failure Class of Meter, and Cause of Third Party Damage.</w:t>
            </w:r>
          </w:p>
        </w:tc>
        <w:tc>
          <w:tcPr>
            <w:tcW w:w="839" w:type="pct"/>
            <w:tcBorders>
              <w:top w:val="single" w:sz="4" w:space="0" w:color="00B0F0"/>
            </w:tcBorders>
            <w:vAlign w:val="center"/>
          </w:tcPr>
          <w:p w14:paraId="7D8C85CA" w14:textId="77777777" w:rsidR="00585771" w:rsidRPr="000C1BD1" w:rsidRDefault="00585771" w:rsidP="00343E8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C1BD1">
              <w:rPr>
                <w:rFonts w:ascii="Tahoma" w:hAnsi="Tahoma" w:cs="Tahoma"/>
                <w:sz w:val="20"/>
              </w:rPr>
              <w:t xml:space="preserve">Actual </w:t>
            </w:r>
          </w:p>
        </w:tc>
        <w:tc>
          <w:tcPr>
            <w:tcW w:w="997" w:type="pct"/>
            <w:tcBorders>
              <w:top w:val="single" w:sz="4" w:space="0" w:color="00B0F0"/>
            </w:tcBorders>
            <w:vAlign w:val="center"/>
          </w:tcPr>
          <w:p w14:paraId="12F589C7" w14:textId="77777777" w:rsidR="00585771" w:rsidRPr="000C1BD1" w:rsidRDefault="00585771" w:rsidP="00195B4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tcBorders>
            <w:vAlign w:val="center"/>
          </w:tcPr>
          <w:p w14:paraId="70B34047" w14:textId="77777777" w:rsidR="00585771" w:rsidRPr="000C1BD1" w:rsidRDefault="00585771" w:rsidP="00195B4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42FB51A1" w14:textId="5B6B9D4C" w:rsidR="001E7814" w:rsidRPr="00F50579" w:rsidRDefault="001E7814"/>
    <w:p w14:paraId="7D6E614E" w14:textId="5F25AA18" w:rsidR="00D65342" w:rsidRDefault="009A02E9" w:rsidP="00C059E5">
      <w:pPr>
        <w:pStyle w:val="Heading1"/>
        <w:rPr>
          <w:rFonts w:ascii="Tahoma" w:hAnsi="Tahoma" w:cs="Tahoma"/>
          <w:b/>
          <w:color w:val="003C71"/>
        </w:rPr>
      </w:pPr>
      <w:bookmarkStart w:id="31" w:name="_Toc57314077"/>
      <w:r w:rsidRPr="0095305C">
        <w:rPr>
          <w:rFonts w:ascii="Tahoma" w:hAnsi="Tahoma" w:cs="Tahoma"/>
          <w:b/>
          <w:color w:val="003C71"/>
        </w:rPr>
        <w:lastRenderedPageBreak/>
        <w:t>F1. Income</w:t>
      </w:r>
      <w:bookmarkEnd w:id="31"/>
      <w:r w:rsidRPr="0095305C">
        <w:rPr>
          <w:rFonts w:ascii="Tahoma" w:hAnsi="Tahoma" w:cs="Tahoma"/>
          <w:b/>
          <w:color w:val="003C71"/>
        </w:rPr>
        <w:t xml:space="preserve"> </w:t>
      </w:r>
    </w:p>
    <w:p w14:paraId="0E97FBDA" w14:textId="523E489C" w:rsidR="009144DE" w:rsidRDefault="009A02E9" w:rsidP="00C97516">
      <w:pPr>
        <w:pStyle w:val="Heading2"/>
        <w:rPr>
          <w:rFonts w:ascii="Tahoma" w:hAnsi="Tahoma" w:cs="Tahoma"/>
          <w:color w:val="003C71"/>
        </w:rPr>
      </w:pPr>
      <w:bookmarkStart w:id="32" w:name="_Toc57314078"/>
      <w:r w:rsidRPr="00C97516">
        <w:rPr>
          <w:rFonts w:ascii="Tahoma" w:hAnsi="Tahoma" w:cs="Tahoma"/>
          <w:color w:val="003C71"/>
        </w:rPr>
        <w:t>F1.1 – Audited Statutory Accounts</w:t>
      </w:r>
      <w:bookmarkEnd w:id="32"/>
      <w:r w:rsidRPr="00C97516">
        <w:rPr>
          <w:rFonts w:ascii="Tahoma" w:hAnsi="Tahoma" w:cs="Tahoma"/>
          <w:color w:val="003C71"/>
        </w:rPr>
        <w:t xml:space="preserve"> </w:t>
      </w:r>
      <w:r w:rsidR="0038423C">
        <w:rPr>
          <w:rFonts w:ascii="Tahoma" w:hAnsi="Tahoma" w:cs="Tahoma"/>
          <w:color w:val="003C71"/>
        </w:rPr>
        <w:t xml:space="preserve"> </w:t>
      </w:r>
    </w:p>
    <w:p w14:paraId="77A5A040" w14:textId="45427BEF" w:rsidR="009A02E9" w:rsidRDefault="009A02E9">
      <w:pPr>
        <w:rPr>
          <w:rFonts w:ascii="Tahoma" w:hAnsi="Tahoma" w:cs="Tahoma"/>
          <w:color w:val="00B0F0"/>
        </w:rPr>
      </w:pPr>
      <w:r w:rsidRPr="00C97516">
        <w:rPr>
          <w:rFonts w:ascii="Tahoma" w:hAnsi="Tahoma" w:cs="Tahoma"/>
          <w:color w:val="00B0F0"/>
        </w:rPr>
        <w:t xml:space="preserve">F1.1.1 – Revenue </w:t>
      </w:r>
    </w:p>
    <w:tbl>
      <w:tblPr>
        <w:tblStyle w:val="UETableStyle"/>
        <w:tblW w:w="5000"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0"/>
        <w:gridCol w:w="4723"/>
        <w:gridCol w:w="2284"/>
        <w:gridCol w:w="3054"/>
        <w:gridCol w:w="1907"/>
      </w:tblGrid>
      <w:tr w:rsidR="00663904" w:rsidRPr="00751816" w14:paraId="350E572C" w14:textId="77777777" w:rsidTr="00C53252">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13" w:type="pct"/>
            <w:tcBorders>
              <w:bottom w:val="single" w:sz="4" w:space="0" w:color="00B0F0"/>
            </w:tcBorders>
            <w:shd w:val="clear" w:color="auto" w:fill="003C71"/>
            <w:hideMark/>
          </w:tcPr>
          <w:p w14:paraId="16FF2E6C" w14:textId="1FA0CCF9" w:rsidR="00663904" w:rsidRPr="00751816" w:rsidRDefault="00663904" w:rsidP="001664CF">
            <w:pPr>
              <w:rPr>
                <w:rFonts w:ascii="Tahoma" w:hAnsi="Tahoma" w:cs="Tahoma"/>
                <w:b/>
                <w:color w:val="FFFFFF"/>
                <w:sz w:val="20"/>
              </w:rPr>
            </w:pPr>
            <w:bookmarkStart w:id="33" w:name="_Hlk51057294"/>
            <w:r w:rsidRPr="00751816">
              <w:rPr>
                <w:rFonts w:ascii="Tahoma" w:hAnsi="Tahoma" w:cs="Tahoma"/>
                <w:b/>
                <w:color w:val="FFFFFF"/>
                <w:sz w:val="20"/>
              </w:rPr>
              <w:t xml:space="preserve">Variable </w:t>
            </w:r>
          </w:p>
        </w:tc>
        <w:tc>
          <w:tcPr>
            <w:tcW w:w="1692" w:type="pct"/>
            <w:tcBorders>
              <w:bottom w:val="single" w:sz="4" w:space="0" w:color="00B0F0"/>
            </w:tcBorders>
            <w:shd w:val="clear" w:color="auto" w:fill="003C71"/>
          </w:tcPr>
          <w:p w14:paraId="56A4B315"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18" w:type="pct"/>
            <w:tcBorders>
              <w:bottom w:val="single" w:sz="4" w:space="0" w:color="00B0F0"/>
            </w:tcBorders>
            <w:shd w:val="clear" w:color="auto" w:fill="003C71"/>
          </w:tcPr>
          <w:p w14:paraId="07772245"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094" w:type="pct"/>
            <w:tcBorders>
              <w:bottom w:val="single" w:sz="4" w:space="0" w:color="00B0F0"/>
            </w:tcBorders>
            <w:shd w:val="clear" w:color="auto" w:fill="003C71"/>
          </w:tcPr>
          <w:p w14:paraId="006A6B4A"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81" w:type="pct"/>
            <w:tcBorders>
              <w:bottom w:val="single" w:sz="4" w:space="0" w:color="00B0F0"/>
            </w:tcBorders>
            <w:shd w:val="clear" w:color="auto" w:fill="003C71"/>
          </w:tcPr>
          <w:p w14:paraId="0DA2AE88"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C53252" w:rsidRPr="00751816" w14:paraId="1C057C6F"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00A3E0"/>
            <w:vAlign w:val="center"/>
          </w:tcPr>
          <w:p w14:paraId="02330812" w14:textId="4DFBCA53" w:rsidR="00C53252" w:rsidRDefault="00DD6B14" w:rsidP="001C016D">
            <w:pPr>
              <w:spacing w:before="120" w:after="120" w:line="240" w:lineRule="atLeast"/>
              <w:contextualSpacing/>
              <w:rPr>
                <w:rFonts w:ascii="Tahoma" w:hAnsi="Tahoma" w:cs="Tahoma"/>
                <w:sz w:val="20"/>
              </w:rPr>
            </w:pPr>
            <w:r>
              <w:rPr>
                <w:rFonts w:ascii="Tahoma" w:hAnsi="Tahoma" w:cs="Tahoma"/>
                <w:sz w:val="20"/>
              </w:rPr>
              <w:t>2019/20</w:t>
            </w:r>
          </w:p>
        </w:tc>
        <w:tc>
          <w:tcPr>
            <w:tcW w:w="4287" w:type="pct"/>
            <w:gridSpan w:val="4"/>
            <w:tcBorders>
              <w:top w:val="single" w:sz="4" w:space="0" w:color="00B0F0"/>
              <w:bottom w:val="single" w:sz="4" w:space="0" w:color="00B0F0"/>
            </w:tcBorders>
            <w:shd w:val="clear" w:color="auto" w:fill="00A3E0"/>
            <w:vAlign w:val="center"/>
          </w:tcPr>
          <w:p w14:paraId="229203EA" w14:textId="77D6CEAE" w:rsidR="00155163" w:rsidRDefault="00C5325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r w:rsidRPr="001C12DA">
              <w:rPr>
                <w:rFonts w:ascii="Tahoma" w:hAnsi="Tahoma" w:cs="Tahoma"/>
                <w:i/>
                <w:sz w:val="20"/>
              </w:rPr>
              <w:t>AGN Limited</w:t>
            </w:r>
            <w:r w:rsidR="009F3BE5">
              <w:rPr>
                <w:rFonts w:ascii="Tahoma" w:hAnsi="Tahoma" w:cs="Tahoma"/>
                <w:i/>
                <w:sz w:val="20"/>
              </w:rPr>
              <w:t xml:space="preserve">, which owns regulated and unregulated gas pipelines in multiple jurisdictions, </w:t>
            </w:r>
            <w:r w:rsidRPr="001C12DA">
              <w:rPr>
                <w:rFonts w:ascii="Tahoma" w:hAnsi="Tahoma" w:cs="Tahoma"/>
                <w:i/>
                <w:sz w:val="20"/>
              </w:rPr>
              <w:t>does not prepare audited statutory accounts for AGN (SA) which forms part of the consolidated group</w:t>
            </w:r>
            <w:r w:rsidR="009F3BE5">
              <w:rPr>
                <w:rFonts w:ascii="Tahoma" w:hAnsi="Tahoma" w:cs="Tahoma"/>
                <w:i/>
                <w:sz w:val="20"/>
              </w:rPr>
              <w:t xml:space="preserve"> of companies</w:t>
            </w:r>
            <w:r w:rsidRPr="001C12DA">
              <w:rPr>
                <w:rFonts w:ascii="Tahoma" w:hAnsi="Tahoma" w:cs="Tahoma"/>
                <w:i/>
                <w:sz w:val="20"/>
              </w:rPr>
              <w:t xml:space="preserve">.  </w:t>
            </w:r>
            <w:r w:rsidR="00155163">
              <w:rPr>
                <w:rFonts w:ascii="Tahoma" w:hAnsi="Tahoma" w:cs="Tahoma"/>
                <w:i/>
                <w:sz w:val="20"/>
              </w:rPr>
              <w:t xml:space="preserve">However, as required by the AER for this Annual RIN, a trial balance for AGN (SA) has been prepared for 2019/20 which forms the basis of the financial information reported in this table F1.1.  The methodology used to prepare the trial balance for AGN (SA) </w:t>
            </w:r>
            <w:r w:rsidR="0058342C">
              <w:rPr>
                <w:rFonts w:ascii="Tahoma" w:hAnsi="Tahoma" w:cs="Tahoma"/>
                <w:i/>
                <w:sz w:val="20"/>
              </w:rPr>
              <w:t xml:space="preserve">and the audit of this information </w:t>
            </w:r>
            <w:r w:rsidR="00155163">
              <w:rPr>
                <w:rFonts w:ascii="Tahoma" w:hAnsi="Tahoma" w:cs="Tahoma"/>
                <w:i/>
                <w:sz w:val="20"/>
              </w:rPr>
              <w:t xml:space="preserve">is set out in </w:t>
            </w:r>
            <w:r w:rsidR="00155163" w:rsidRPr="001D5226">
              <w:rPr>
                <w:rFonts w:ascii="Tahoma" w:hAnsi="Tahoma" w:cs="Tahoma"/>
                <w:i/>
                <w:sz w:val="20"/>
              </w:rPr>
              <w:t>Appendix G</w:t>
            </w:r>
            <w:r w:rsidR="00155163">
              <w:rPr>
                <w:rFonts w:ascii="Tahoma" w:hAnsi="Tahoma" w:cs="Tahoma"/>
                <w:i/>
                <w:sz w:val="20"/>
              </w:rPr>
              <w:t xml:space="preserve"> of this basis of preparation.</w:t>
            </w:r>
          </w:p>
          <w:p w14:paraId="391E8AEA" w14:textId="77777777" w:rsidR="00155163" w:rsidRDefault="0015516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p>
          <w:p w14:paraId="010577E9" w14:textId="0DA60B07" w:rsidR="00C53252" w:rsidRDefault="0015516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r>
              <w:rPr>
                <w:rFonts w:ascii="Tahoma" w:hAnsi="Tahoma" w:cs="Tahoma"/>
                <w:i/>
                <w:sz w:val="20"/>
              </w:rPr>
              <w:t xml:space="preserve">The </w:t>
            </w:r>
            <w:r w:rsidR="00C53252">
              <w:rPr>
                <w:rFonts w:ascii="Tahoma" w:hAnsi="Tahoma" w:cs="Tahoma"/>
                <w:i/>
                <w:sz w:val="20"/>
              </w:rPr>
              <w:t>adjustments shown in table F</w:t>
            </w:r>
            <w:r w:rsidR="00F66CE7">
              <w:rPr>
                <w:rFonts w:ascii="Tahoma" w:hAnsi="Tahoma" w:cs="Tahoma"/>
                <w:i/>
                <w:sz w:val="20"/>
              </w:rPr>
              <w:t>1</w:t>
            </w:r>
            <w:r w:rsidR="00C53252">
              <w:rPr>
                <w:rFonts w:ascii="Tahoma" w:hAnsi="Tahoma" w:cs="Tahoma"/>
                <w:i/>
                <w:sz w:val="20"/>
              </w:rPr>
              <w:t xml:space="preserve">.2 represent the differences between the </w:t>
            </w:r>
            <w:r w:rsidR="0058342C">
              <w:rPr>
                <w:rFonts w:ascii="Tahoma" w:hAnsi="Tahoma" w:cs="Tahoma"/>
                <w:i/>
                <w:sz w:val="20"/>
              </w:rPr>
              <w:t xml:space="preserve">AGN (SA) </w:t>
            </w:r>
            <w:r>
              <w:rPr>
                <w:rFonts w:ascii="Tahoma" w:hAnsi="Tahoma" w:cs="Tahoma"/>
                <w:i/>
                <w:sz w:val="20"/>
              </w:rPr>
              <w:t xml:space="preserve">trial balance </w:t>
            </w:r>
            <w:r w:rsidR="00C53252">
              <w:rPr>
                <w:rFonts w:ascii="Tahoma" w:hAnsi="Tahoma" w:cs="Tahoma"/>
                <w:i/>
                <w:sz w:val="20"/>
              </w:rPr>
              <w:t xml:space="preserve">and the relevant amounts for </w:t>
            </w:r>
            <w:r>
              <w:rPr>
                <w:rFonts w:ascii="Tahoma" w:hAnsi="Tahoma" w:cs="Tahoma"/>
                <w:i/>
                <w:sz w:val="20"/>
              </w:rPr>
              <w:t xml:space="preserve">the </w:t>
            </w:r>
            <w:r w:rsidR="00C53252">
              <w:rPr>
                <w:rFonts w:ascii="Tahoma" w:hAnsi="Tahoma" w:cs="Tahoma"/>
                <w:i/>
                <w:sz w:val="20"/>
              </w:rPr>
              <w:t xml:space="preserve">AGN (SA) </w:t>
            </w:r>
            <w:r>
              <w:rPr>
                <w:rFonts w:ascii="Tahoma" w:hAnsi="Tahoma" w:cs="Tahoma"/>
                <w:i/>
                <w:sz w:val="20"/>
              </w:rPr>
              <w:t>distribution business</w:t>
            </w:r>
            <w:r w:rsidR="000F0D81">
              <w:rPr>
                <w:rFonts w:ascii="Tahoma" w:hAnsi="Tahoma" w:cs="Tahoma"/>
                <w:i/>
                <w:sz w:val="20"/>
              </w:rPr>
              <w:t xml:space="preserve"> </w:t>
            </w:r>
            <w:r w:rsidR="00C53252">
              <w:rPr>
                <w:rFonts w:ascii="Tahoma" w:hAnsi="Tahoma" w:cs="Tahoma"/>
                <w:i/>
                <w:sz w:val="20"/>
              </w:rPr>
              <w:t xml:space="preserve">which are reported in table F1.3 below. </w:t>
            </w:r>
            <w:r w:rsidR="00946100">
              <w:rPr>
                <w:rFonts w:ascii="Tahoma" w:hAnsi="Tahoma" w:cs="Tahoma"/>
                <w:i/>
                <w:sz w:val="20"/>
              </w:rPr>
              <w:t xml:space="preserve"> A full reconciliation of the adjustments are provided in Appendix F. </w:t>
            </w:r>
            <w:r w:rsidR="001D5226">
              <w:rPr>
                <w:rFonts w:ascii="Tahoma" w:hAnsi="Tahoma" w:cs="Tahoma"/>
                <w:i/>
                <w:sz w:val="20"/>
              </w:rPr>
              <w:t>T</w:t>
            </w:r>
            <w:r w:rsidR="00946100">
              <w:rPr>
                <w:rFonts w:ascii="Tahoma" w:hAnsi="Tahoma" w:cs="Tahoma"/>
                <w:i/>
                <w:sz w:val="20"/>
              </w:rPr>
              <w:t xml:space="preserve">he adjustments include a combination of removing </w:t>
            </w:r>
            <w:r w:rsidR="000F0D81">
              <w:rPr>
                <w:rFonts w:ascii="Tahoma" w:hAnsi="Tahoma" w:cs="Tahoma"/>
                <w:i/>
                <w:sz w:val="20"/>
              </w:rPr>
              <w:t xml:space="preserve">unregulated </w:t>
            </w:r>
            <w:r w:rsidR="00946100">
              <w:rPr>
                <w:rFonts w:ascii="Tahoma" w:hAnsi="Tahoma" w:cs="Tahoma"/>
                <w:i/>
                <w:sz w:val="20"/>
              </w:rPr>
              <w:t>SA income statement/expenditure items</w:t>
            </w:r>
            <w:r w:rsidR="000F0D81">
              <w:rPr>
                <w:rFonts w:ascii="Tahoma" w:hAnsi="Tahoma" w:cs="Tahoma"/>
                <w:i/>
                <w:sz w:val="20"/>
              </w:rPr>
              <w:t>, allocating AGN Limited balances to AGN (SA)</w:t>
            </w:r>
            <w:r w:rsidR="00946100">
              <w:rPr>
                <w:rFonts w:ascii="Tahoma" w:hAnsi="Tahoma" w:cs="Tahoma"/>
                <w:i/>
                <w:sz w:val="20"/>
              </w:rPr>
              <w:t xml:space="preserve"> </w:t>
            </w:r>
            <w:r w:rsidR="0013576C">
              <w:rPr>
                <w:rFonts w:ascii="Tahoma" w:hAnsi="Tahoma" w:cs="Tahoma"/>
                <w:i/>
                <w:sz w:val="20"/>
              </w:rPr>
              <w:t>where appropriate</w:t>
            </w:r>
            <w:r w:rsidR="009F3BE5">
              <w:rPr>
                <w:rFonts w:ascii="Tahoma" w:hAnsi="Tahoma" w:cs="Tahoma"/>
                <w:i/>
                <w:sz w:val="20"/>
              </w:rPr>
              <w:t>,</w:t>
            </w:r>
            <w:r w:rsidR="0013576C">
              <w:rPr>
                <w:rFonts w:ascii="Tahoma" w:hAnsi="Tahoma" w:cs="Tahoma"/>
                <w:i/>
                <w:sz w:val="20"/>
              </w:rPr>
              <w:t xml:space="preserve"> </w:t>
            </w:r>
            <w:r w:rsidR="009F3BE5">
              <w:rPr>
                <w:rFonts w:ascii="Tahoma" w:hAnsi="Tahoma" w:cs="Tahoma"/>
                <w:i/>
                <w:sz w:val="20"/>
              </w:rPr>
              <w:t xml:space="preserve">removing non-SA expenditure items from the trial balance </w:t>
            </w:r>
            <w:r w:rsidR="00946100">
              <w:rPr>
                <w:rFonts w:ascii="Tahoma" w:hAnsi="Tahoma" w:cs="Tahoma"/>
                <w:i/>
                <w:sz w:val="20"/>
              </w:rPr>
              <w:t xml:space="preserve">and </w:t>
            </w:r>
            <w:r w:rsidR="009F3BE5">
              <w:rPr>
                <w:rFonts w:ascii="Tahoma" w:hAnsi="Tahoma" w:cs="Tahoma"/>
                <w:i/>
                <w:sz w:val="20"/>
              </w:rPr>
              <w:t xml:space="preserve">to reflect </w:t>
            </w:r>
            <w:r w:rsidR="00946100">
              <w:rPr>
                <w:rFonts w:ascii="Tahoma" w:hAnsi="Tahoma" w:cs="Tahoma"/>
                <w:i/>
                <w:sz w:val="20"/>
              </w:rPr>
              <w:t>SA AA regulatory adjustments.</w:t>
            </w:r>
          </w:p>
          <w:p w14:paraId="2BC0AE65" w14:textId="77777777" w:rsidR="001F71E9" w:rsidRDefault="001F71E9"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p>
          <w:p w14:paraId="26C01A0C" w14:textId="1C1DED89" w:rsidR="001F71E9" w:rsidRDefault="001F71E9" w:rsidP="001F71E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r>
              <w:rPr>
                <w:rFonts w:ascii="Tahoma" w:hAnsi="Tahoma" w:cs="Tahoma"/>
                <w:i/>
                <w:sz w:val="20"/>
              </w:rPr>
              <w:t xml:space="preserve">AGN Limited </w:t>
            </w:r>
            <w:r w:rsidR="0013576C">
              <w:rPr>
                <w:rFonts w:ascii="Tahoma" w:hAnsi="Tahoma" w:cs="Tahoma"/>
                <w:i/>
                <w:sz w:val="20"/>
              </w:rPr>
              <w:t xml:space="preserve">operates </w:t>
            </w:r>
            <w:r>
              <w:rPr>
                <w:rFonts w:ascii="Tahoma" w:hAnsi="Tahoma" w:cs="Tahoma"/>
                <w:i/>
                <w:sz w:val="20"/>
              </w:rPr>
              <w:t xml:space="preserve">on a calendar-year reporting cycle with </w:t>
            </w:r>
            <w:r w:rsidR="0013576C">
              <w:rPr>
                <w:rFonts w:ascii="Tahoma" w:hAnsi="Tahoma" w:cs="Tahoma"/>
                <w:i/>
                <w:sz w:val="20"/>
              </w:rPr>
              <w:t xml:space="preserve">audited statutory accounts </w:t>
            </w:r>
            <w:r>
              <w:rPr>
                <w:rFonts w:ascii="Tahoma" w:hAnsi="Tahoma" w:cs="Tahoma"/>
                <w:i/>
                <w:sz w:val="20"/>
              </w:rPr>
              <w:t>prepared for the consolidated group each 12 month period ending 31 December.</w:t>
            </w:r>
          </w:p>
          <w:p w14:paraId="32B41235" w14:textId="77777777" w:rsidR="001F71E9" w:rsidRDefault="001F71E9" w:rsidP="001F71E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p>
          <w:p w14:paraId="5CAAB598" w14:textId="4EFF9ACF" w:rsidR="001F71E9" w:rsidRPr="00751816" w:rsidRDefault="001F71E9" w:rsidP="00473F9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i/>
                <w:sz w:val="20"/>
              </w:rPr>
              <w:t xml:space="preserve">Amounts being reported in this table for </w:t>
            </w:r>
            <w:r w:rsidR="0013576C">
              <w:rPr>
                <w:rFonts w:ascii="Tahoma" w:hAnsi="Tahoma" w:cs="Tahoma"/>
                <w:i/>
                <w:sz w:val="20"/>
              </w:rPr>
              <w:t>2019</w:t>
            </w:r>
            <w:r w:rsidR="00623A20">
              <w:rPr>
                <w:rFonts w:ascii="Tahoma" w:hAnsi="Tahoma" w:cs="Tahoma"/>
                <w:i/>
                <w:sz w:val="20"/>
              </w:rPr>
              <w:t>/</w:t>
            </w:r>
            <w:r w:rsidR="0013576C">
              <w:rPr>
                <w:rFonts w:ascii="Tahoma" w:hAnsi="Tahoma" w:cs="Tahoma"/>
                <w:i/>
                <w:sz w:val="20"/>
              </w:rPr>
              <w:t>20</w:t>
            </w:r>
            <w:r>
              <w:rPr>
                <w:rFonts w:ascii="Tahoma" w:hAnsi="Tahoma" w:cs="Tahoma"/>
                <w:i/>
                <w:sz w:val="20"/>
              </w:rPr>
              <w:t xml:space="preserve">, have been derived by compiling appropriate half-year figures for AGN </w:t>
            </w:r>
            <w:r w:rsidR="0013576C">
              <w:rPr>
                <w:rFonts w:ascii="Tahoma" w:hAnsi="Tahoma" w:cs="Tahoma"/>
                <w:i/>
                <w:sz w:val="20"/>
              </w:rPr>
              <w:t>(SA) and AGN Limited</w:t>
            </w:r>
            <w:r>
              <w:rPr>
                <w:rFonts w:ascii="Tahoma" w:hAnsi="Tahoma" w:cs="Tahoma"/>
                <w:i/>
                <w:sz w:val="20"/>
              </w:rPr>
              <w:t xml:space="preserve">, to produce amounts for </w:t>
            </w:r>
            <w:r w:rsidR="0013576C">
              <w:rPr>
                <w:rFonts w:ascii="Tahoma" w:hAnsi="Tahoma" w:cs="Tahoma"/>
                <w:i/>
                <w:sz w:val="20"/>
              </w:rPr>
              <w:t xml:space="preserve">the </w:t>
            </w:r>
            <w:r>
              <w:rPr>
                <w:rFonts w:ascii="Tahoma" w:hAnsi="Tahoma" w:cs="Tahoma"/>
                <w:i/>
                <w:sz w:val="20"/>
              </w:rPr>
              <w:t>12 month regulatory year ending on 30 June</w:t>
            </w:r>
            <w:r w:rsidR="0013576C">
              <w:rPr>
                <w:rFonts w:ascii="Tahoma" w:hAnsi="Tahoma" w:cs="Tahoma"/>
                <w:i/>
                <w:sz w:val="20"/>
              </w:rPr>
              <w:t xml:space="preserve"> 2020</w:t>
            </w:r>
            <w:r>
              <w:rPr>
                <w:rFonts w:ascii="Tahoma" w:hAnsi="Tahoma" w:cs="Tahoma"/>
                <w:i/>
                <w:sz w:val="20"/>
              </w:rPr>
              <w:t>.</w:t>
            </w:r>
          </w:p>
        </w:tc>
      </w:tr>
      <w:tr w:rsidR="00663904" w:rsidRPr="00751816" w14:paraId="6A59023A"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19837D9A"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 xml:space="preserve">Distribution revenue  </w:t>
            </w:r>
          </w:p>
        </w:tc>
        <w:tc>
          <w:tcPr>
            <w:tcW w:w="1692" w:type="pct"/>
            <w:tcBorders>
              <w:top w:val="single" w:sz="4" w:space="0" w:color="00B0F0"/>
              <w:bottom w:val="single" w:sz="4" w:space="0" w:color="00B0F0"/>
            </w:tcBorders>
            <w:vAlign w:val="center"/>
          </w:tcPr>
          <w:p w14:paraId="39EF4E4A" w14:textId="15EC72C2" w:rsidR="005060CC" w:rsidRDefault="002F0633" w:rsidP="00364EE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Distribution revenue reported in th</w:t>
            </w:r>
            <w:r w:rsidR="00175878">
              <w:rPr>
                <w:rFonts w:ascii="Tahoma" w:hAnsi="Tahoma" w:cs="Tahoma"/>
                <w:sz w:val="20"/>
              </w:rPr>
              <w:t>is</w:t>
            </w:r>
            <w:r>
              <w:rPr>
                <w:rFonts w:ascii="Tahoma" w:hAnsi="Tahoma" w:cs="Tahoma"/>
                <w:sz w:val="20"/>
              </w:rPr>
              <w:t xml:space="preserve"> table has been derived from the </w:t>
            </w:r>
            <w:r w:rsidR="00D750B2">
              <w:rPr>
                <w:rFonts w:ascii="Tahoma" w:hAnsi="Tahoma" w:cs="Tahoma"/>
                <w:sz w:val="20"/>
              </w:rPr>
              <w:t>trial balance for AGN (SA)</w:t>
            </w:r>
            <w:r w:rsidR="0058342C">
              <w:rPr>
                <w:rFonts w:ascii="Tahoma" w:hAnsi="Tahoma" w:cs="Tahoma"/>
                <w:sz w:val="20"/>
              </w:rPr>
              <w:t xml:space="preserve"> which has been audited as set out in Appendix G</w:t>
            </w:r>
            <w:r w:rsidR="00D750B2">
              <w:rPr>
                <w:rFonts w:ascii="Tahoma" w:hAnsi="Tahoma" w:cs="Tahoma"/>
                <w:sz w:val="20"/>
              </w:rPr>
              <w:t>.  This figure represents the Haulage</w:t>
            </w:r>
            <w:r w:rsidR="00245618">
              <w:rPr>
                <w:rFonts w:ascii="Tahoma" w:hAnsi="Tahoma" w:cs="Tahoma"/>
                <w:sz w:val="20"/>
              </w:rPr>
              <w:t>/Tariff</w:t>
            </w:r>
            <w:r w:rsidR="00D750B2">
              <w:rPr>
                <w:rFonts w:ascii="Tahoma" w:hAnsi="Tahoma" w:cs="Tahoma"/>
                <w:sz w:val="20"/>
              </w:rPr>
              <w:t xml:space="preserve"> </w:t>
            </w:r>
            <w:r w:rsidR="00245618">
              <w:rPr>
                <w:rFonts w:ascii="Tahoma" w:hAnsi="Tahoma" w:cs="Tahoma"/>
                <w:sz w:val="20"/>
              </w:rPr>
              <w:t>r</w:t>
            </w:r>
            <w:r w:rsidR="00D750B2">
              <w:rPr>
                <w:rFonts w:ascii="Tahoma" w:hAnsi="Tahoma" w:cs="Tahoma"/>
                <w:sz w:val="20"/>
              </w:rPr>
              <w:t>evenue, Ancillary Reference Services and Non-Reference Services</w:t>
            </w:r>
            <w:r w:rsidR="005060CC">
              <w:rPr>
                <w:rFonts w:ascii="Tahoma" w:hAnsi="Tahoma" w:cs="Tahoma"/>
                <w:sz w:val="20"/>
              </w:rPr>
              <w:t xml:space="preserve"> </w:t>
            </w:r>
            <w:r w:rsidR="00D750B2">
              <w:rPr>
                <w:rFonts w:ascii="Tahoma" w:hAnsi="Tahoma" w:cs="Tahoma"/>
                <w:sz w:val="20"/>
              </w:rPr>
              <w:t>revenue</w:t>
            </w:r>
            <w:r w:rsidR="005934B7">
              <w:rPr>
                <w:rFonts w:ascii="Tahoma" w:hAnsi="Tahoma" w:cs="Tahoma"/>
                <w:sz w:val="20"/>
              </w:rPr>
              <w:t>,</w:t>
            </w:r>
            <w:r w:rsidR="00D750B2">
              <w:rPr>
                <w:rFonts w:ascii="Tahoma" w:hAnsi="Tahoma" w:cs="Tahoma"/>
                <w:sz w:val="20"/>
              </w:rPr>
              <w:t xml:space="preserve"> as recorded in the relevant </w:t>
            </w:r>
            <w:r w:rsidR="005060CC">
              <w:rPr>
                <w:rFonts w:ascii="Tahoma" w:hAnsi="Tahoma" w:cs="Tahoma"/>
                <w:sz w:val="20"/>
              </w:rPr>
              <w:t xml:space="preserve">SAP </w:t>
            </w:r>
            <w:r>
              <w:rPr>
                <w:rFonts w:ascii="Tahoma" w:hAnsi="Tahoma" w:cs="Tahoma"/>
                <w:sz w:val="20"/>
              </w:rPr>
              <w:t>general ledger</w:t>
            </w:r>
            <w:r w:rsidR="00D750B2">
              <w:rPr>
                <w:rFonts w:ascii="Tahoma" w:hAnsi="Tahoma" w:cs="Tahoma"/>
                <w:sz w:val="20"/>
              </w:rPr>
              <w:t xml:space="preserve"> accounts and corresponding state code</w:t>
            </w:r>
            <w:r w:rsidR="005934B7">
              <w:rPr>
                <w:rFonts w:ascii="Tahoma" w:hAnsi="Tahoma" w:cs="Tahoma"/>
                <w:sz w:val="20"/>
              </w:rPr>
              <w:t>s</w:t>
            </w:r>
            <w:r w:rsidR="00D750B2">
              <w:rPr>
                <w:rFonts w:ascii="Tahoma" w:hAnsi="Tahoma" w:cs="Tahoma"/>
                <w:sz w:val="20"/>
              </w:rPr>
              <w:t xml:space="preserve"> for AGN (SA)</w:t>
            </w:r>
            <w:r w:rsidR="00623A20">
              <w:rPr>
                <w:rFonts w:ascii="Tahoma" w:hAnsi="Tahoma" w:cs="Tahoma"/>
                <w:sz w:val="20"/>
              </w:rPr>
              <w:t xml:space="preserve"> for the year ended 30 June 2020</w:t>
            </w:r>
            <w:r w:rsidR="00D750B2">
              <w:rPr>
                <w:rFonts w:ascii="Tahoma" w:hAnsi="Tahoma" w:cs="Tahoma"/>
                <w:sz w:val="20"/>
              </w:rPr>
              <w:t>.</w:t>
            </w:r>
            <w:r w:rsidR="003133B8">
              <w:rPr>
                <w:rFonts w:ascii="Tahoma" w:hAnsi="Tahoma" w:cs="Tahoma"/>
                <w:sz w:val="20"/>
              </w:rPr>
              <w:t xml:space="preserve">  </w:t>
            </w:r>
          </w:p>
          <w:p w14:paraId="554D2009" w14:textId="77777777" w:rsidR="005060CC" w:rsidRDefault="005060CC" w:rsidP="00364EE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E79D965" w14:textId="734A7A38" w:rsidR="003D3784" w:rsidRDefault="003D3784" w:rsidP="00364EE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 xml:space="preserve">Revenue is recorded </w:t>
            </w:r>
            <w:r w:rsidR="007A6016">
              <w:rPr>
                <w:rFonts w:ascii="Tahoma" w:hAnsi="Tahoma" w:cs="Tahoma"/>
                <w:sz w:val="20"/>
              </w:rPr>
              <w:t xml:space="preserve">against certain categories </w:t>
            </w:r>
            <w:r>
              <w:rPr>
                <w:rFonts w:ascii="Tahoma" w:hAnsi="Tahoma" w:cs="Tahoma"/>
                <w:sz w:val="20"/>
              </w:rPr>
              <w:t>in AGN Limited’s SAP general ledger, which meets its needs for internal and statutory reporting.</w:t>
            </w:r>
            <w:r w:rsidR="007A6016">
              <w:rPr>
                <w:rFonts w:ascii="Tahoma" w:hAnsi="Tahoma" w:cs="Tahoma"/>
                <w:sz w:val="20"/>
              </w:rPr>
              <w:t xml:space="preserve">  This does not always align directly with categories of revenue shown in the RIN templates, which is explained further below.</w:t>
            </w:r>
          </w:p>
          <w:p w14:paraId="4D433EC1" w14:textId="77777777" w:rsidR="003D3784" w:rsidRDefault="003D3784" w:rsidP="00364EE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DCC4CB4" w14:textId="66E3FFD0" w:rsidR="000B5DC3" w:rsidRPr="00D87CC6" w:rsidRDefault="003D3784" w:rsidP="00364EE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87CC6">
              <w:rPr>
                <w:rFonts w:ascii="Tahoma" w:hAnsi="Tahoma" w:cs="Tahoma"/>
                <w:sz w:val="20"/>
              </w:rPr>
              <w:t xml:space="preserve">AGN Limited has contracted with APA for the delivery of non-haulage services </w:t>
            </w:r>
            <w:r w:rsidR="00D87CC6" w:rsidRPr="00D87CC6">
              <w:rPr>
                <w:rFonts w:ascii="Tahoma" w:hAnsi="Tahoma" w:cs="Tahoma"/>
                <w:sz w:val="20"/>
              </w:rPr>
              <w:t xml:space="preserve">(i.e. Ancillary Reference Services and Non-Reference Services) </w:t>
            </w:r>
            <w:r w:rsidRPr="00D87CC6">
              <w:rPr>
                <w:rFonts w:ascii="Tahoma" w:hAnsi="Tahoma" w:cs="Tahoma"/>
                <w:sz w:val="20"/>
              </w:rPr>
              <w:t>to its customers, under the OMA.  These n</w:t>
            </w:r>
            <w:r w:rsidR="003133B8" w:rsidRPr="00D87CC6">
              <w:rPr>
                <w:rFonts w:ascii="Tahoma" w:hAnsi="Tahoma" w:cs="Tahoma"/>
                <w:sz w:val="20"/>
              </w:rPr>
              <w:t>on-haulage revenue transactions are recorded with service codes in APA’s billing system</w:t>
            </w:r>
            <w:r w:rsidR="00D87CC6" w:rsidRPr="00D87CC6">
              <w:rPr>
                <w:rFonts w:ascii="Tahoma" w:hAnsi="Tahoma" w:cs="Tahoma"/>
                <w:sz w:val="20"/>
              </w:rPr>
              <w:t xml:space="preserve">.  Detailed reporting from APA’s billing system is provided to AGN Limited </w:t>
            </w:r>
            <w:r w:rsidR="003133B8" w:rsidRPr="00D87CC6">
              <w:rPr>
                <w:rFonts w:ascii="Tahoma" w:hAnsi="Tahoma" w:cs="Tahoma"/>
                <w:sz w:val="20"/>
              </w:rPr>
              <w:t>which</w:t>
            </w:r>
            <w:r w:rsidR="00D87CC6" w:rsidRPr="00D87CC6">
              <w:rPr>
                <w:rFonts w:ascii="Tahoma" w:hAnsi="Tahoma" w:cs="Tahoma"/>
                <w:sz w:val="20"/>
              </w:rPr>
              <w:t xml:space="preserve"> breaks down th</w:t>
            </w:r>
            <w:r w:rsidR="00F5657D">
              <w:rPr>
                <w:rFonts w:ascii="Tahoma" w:hAnsi="Tahoma" w:cs="Tahoma"/>
                <w:sz w:val="20"/>
              </w:rPr>
              <w:t>is</w:t>
            </w:r>
            <w:r w:rsidR="00D87CC6" w:rsidRPr="00D87CC6">
              <w:rPr>
                <w:rFonts w:ascii="Tahoma" w:hAnsi="Tahoma" w:cs="Tahoma"/>
                <w:sz w:val="20"/>
              </w:rPr>
              <w:t xml:space="preserve"> revenue</w:t>
            </w:r>
            <w:r w:rsidR="00D87CC6">
              <w:rPr>
                <w:rFonts w:ascii="Tahoma" w:hAnsi="Tahoma" w:cs="Tahoma"/>
                <w:sz w:val="20"/>
              </w:rPr>
              <w:t>,</w:t>
            </w:r>
            <w:r w:rsidR="00D87CC6" w:rsidRPr="00D87CC6">
              <w:rPr>
                <w:rFonts w:ascii="Tahoma" w:hAnsi="Tahoma" w:cs="Tahoma"/>
                <w:sz w:val="20"/>
              </w:rPr>
              <w:t xml:space="preserve"> </w:t>
            </w:r>
            <w:r w:rsidR="00D87CC6">
              <w:rPr>
                <w:rFonts w:ascii="Tahoma" w:hAnsi="Tahoma" w:cs="Tahoma"/>
                <w:sz w:val="20"/>
              </w:rPr>
              <w:t xml:space="preserve">thereby </w:t>
            </w:r>
            <w:r w:rsidR="005060CC" w:rsidRPr="00D87CC6">
              <w:rPr>
                <w:rFonts w:ascii="Tahoma" w:hAnsi="Tahoma" w:cs="Tahoma"/>
                <w:sz w:val="20"/>
              </w:rPr>
              <w:t>facilitat</w:t>
            </w:r>
            <w:r w:rsidR="00D87CC6">
              <w:rPr>
                <w:rFonts w:ascii="Tahoma" w:hAnsi="Tahoma" w:cs="Tahoma"/>
                <w:sz w:val="20"/>
              </w:rPr>
              <w:t>ing its</w:t>
            </w:r>
            <w:r w:rsidR="005060CC" w:rsidRPr="00D87CC6">
              <w:rPr>
                <w:rFonts w:ascii="Tahoma" w:hAnsi="Tahoma" w:cs="Tahoma"/>
                <w:sz w:val="20"/>
              </w:rPr>
              <w:t xml:space="preserve"> </w:t>
            </w:r>
            <w:r w:rsidR="00D87CC6" w:rsidRPr="00D87CC6">
              <w:rPr>
                <w:rFonts w:ascii="Tahoma" w:hAnsi="Tahoma" w:cs="Tahoma"/>
                <w:sz w:val="20"/>
              </w:rPr>
              <w:t xml:space="preserve">mapping and alignment into the </w:t>
            </w:r>
            <w:r w:rsidRPr="00D87CC6">
              <w:rPr>
                <w:rFonts w:ascii="Tahoma" w:hAnsi="Tahoma" w:cs="Tahoma"/>
                <w:sz w:val="20"/>
              </w:rPr>
              <w:t>RIN categories shown in this template.</w:t>
            </w:r>
          </w:p>
          <w:p w14:paraId="042A3A70" w14:textId="77777777" w:rsidR="000B5DC3" w:rsidRPr="00D87CC6" w:rsidRDefault="000B5DC3" w:rsidP="00364EE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476372A" w14:textId="23D3CC9C" w:rsidR="00BF0F7B" w:rsidRPr="00751816" w:rsidRDefault="00F5657D" w:rsidP="0058342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F5657D">
              <w:rPr>
                <w:rFonts w:ascii="Tahoma" w:hAnsi="Tahoma" w:cs="Tahoma"/>
                <w:sz w:val="20"/>
              </w:rPr>
              <w:t xml:space="preserve">Reports from APA breaking down other categories of distribution revenue </w:t>
            </w:r>
            <w:r w:rsidR="007A6016" w:rsidRPr="00F5657D">
              <w:rPr>
                <w:rFonts w:ascii="Tahoma" w:hAnsi="Tahoma" w:cs="Tahoma"/>
                <w:sz w:val="20"/>
              </w:rPr>
              <w:t>are reconciled with AGN Limited’s SAP general ledger and the balances recorded in general ledger accounts and state codes which are included in the AGN (SA) trial balance.</w:t>
            </w:r>
          </w:p>
        </w:tc>
        <w:tc>
          <w:tcPr>
            <w:tcW w:w="818" w:type="pct"/>
            <w:tcBorders>
              <w:top w:val="single" w:sz="4" w:space="0" w:color="00B0F0"/>
              <w:bottom w:val="single" w:sz="4" w:space="0" w:color="00B0F0"/>
            </w:tcBorders>
            <w:vAlign w:val="center"/>
          </w:tcPr>
          <w:p w14:paraId="262F2545"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094" w:type="pct"/>
            <w:tcBorders>
              <w:top w:val="single" w:sz="4" w:space="0" w:color="00B0F0"/>
              <w:bottom w:val="single" w:sz="4" w:space="0" w:color="00B0F0"/>
            </w:tcBorders>
            <w:vAlign w:val="center"/>
          </w:tcPr>
          <w:p w14:paraId="79B587D4"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4428BFF5"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76B6C632"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73B75E4F"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 xml:space="preserve">Capital contribution </w:t>
            </w:r>
          </w:p>
        </w:tc>
        <w:tc>
          <w:tcPr>
            <w:tcW w:w="1692" w:type="pct"/>
            <w:tcBorders>
              <w:top w:val="single" w:sz="4" w:space="0" w:color="00B0F0"/>
              <w:bottom w:val="single" w:sz="4" w:space="0" w:color="00B0F0"/>
            </w:tcBorders>
            <w:vAlign w:val="center"/>
          </w:tcPr>
          <w:p w14:paraId="5CA9E479" w14:textId="53FAF34C" w:rsidR="009D5573" w:rsidRPr="00751816" w:rsidRDefault="00D750B2" w:rsidP="0058342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58690F">
              <w:rPr>
                <w:rFonts w:ascii="Tahoma" w:hAnsi="Tahoma" w:cs="Tahoma"/>
                <w:sz w:val="20"/>
              </w:rPr>
              <w:t>Capital contributions revenue reported in this table has been derived from the trial balance for AGN (SA)</w:t>
            </w:r>
            <w:r w:rsidR="0058342C">
              <w:rPr>
                <w:rFonts w:ascii="Tahoma" w:hAnsi="Tahoma" w:cs="Tahoma"/>
                <w:sz w:val="20"/>
              </w:rPr>
              <w:t xml:space="preserve"> which has been audited as set out in Appendix G</w:t>
            </w:r>
            <w:r w:rsidRPr="0058690F">
              <w:rPr>
                <w:rFonts w:ascii="Tahoma" w:hAnsi="Tahoma" w:cs="Tahoma"/>
                <w:sz w:val="20"/>
              </w:rPr>
              <w:t>. This figure represents the Capital contributions received from customers that request work to be undertaken</w:t>
            </w:r>
            <w:r w:rsidR="00D144C2" w:rsidRPr="0058690F">
              <w:rPr>
                <w:rFonts w:ascii="Tahoma" w:hAnsi="Tahoma" w:cs="Tahoma"/>
                <w:sz w:val="20"/>
              </w:rPr>
              <w:t xml:space="preserve"> and has been delivered during the year ended 30 June 2020</w:t>
            </w:r>
            <w:r w:rsidR="00F525C6" w:rsidRPr="0058690F">
              <w:rPr>
                <w:rFonts w:ascii="Tahoma" w:hAnsi="Tahoma" w:cs="Tahoma"/>
                <w:sz w:val="20"/>
              </w:rPr>
              <w:t xml:space="preserve"> (i.e. </w:t>
            </w:r>
            <w:r w:rsidR="0058690F" w:rsidRPr="0058690F">
              <w:rPr>
                <w:rFonts w:ascii="Tahoma" w:hAnsi="Tahoma" w:cs="Tahoma"/>
                <w:sz w:val="20"/>
              </w:rPr>
              <w:t>the amount reported</w:t>
            </w:r>
            <w:r w:rsidR="00F525C6" w:rsidRPr="0058690F">
              <w:rPr>
                <w:rFonts w:ascii="Tahoma" w:hAnsi="Tahoma" w:cs="Tahoma"/>
                <w:sz w:val="20"/>
              </w:rPr>
              <w:t xml:space="preserve"> includes movements in deferred revenue </w:t>
            </w:r>
            <w:r w:rsidR="0058690F" w:rsidRPr="0058690F">
              <w:rPr>
                <w:rFonts w:ascii="Tahoma" w:hAnsi="Tahoma" w:cs="Tahoma"/>
                <w:sz w:val="20"/>
              </w:rPr>
              <w:t>from</w:t>
            </w:r>
            <w:r w:rsidR="00F525C6" w:rsidRPr="0058690F">
              <w:rPr>
                <w:rFonts w:ascii="Tahoma" w:hAnsi="Tahoma" w:cs="Tahoma"/>
                <w:sz w:val="20"/>
              </w:rPr>
              <w:t xml:space="preserve"> </w:t>
            </w:r>
            <w:r w:rsidR="00F525C6" w:rsidRPr="0058690F">
              <w:rPr>
                <w:rFonts w:ascii="Tahoma" w:hAnsi="Tahoma" w:cs="Tahoma"/>
                <w:sz w:val="20"/>
              </w:rPr>
              <w:lastRenderedPageBreak/>
              <w:t>capital contributions</w:t>
            </w:r>
            <w:r w:rsidR="0058690F">
              <w:rPr>
                <w:rFonts w:ascii="Tahoma" w:hAnsi="Tahoma" w:cs="Tahoma"/>
                <w:sz w:val="20"/>
              </w:rPr>
              <w:t xml:space="preserve"> received in advance of work being undertaken</w:t>
            </w:r>
            <w:r w:rsidR="00F525C6" w:rsidRPr="0058690F">
              <w:rPr>
                <w:rFonts w:ascii="Tahoma" w:hAnsi="Tahoma" w:cs="Tahoma"/>
                <w:sz w:val="20"/>
              </w:rPr>
              <w:t>)</w:t>
            </w:r>
            <w:r w:rsidRPr="0058690F">
              <w:rPr>
                <w:rFonts w:ascii="Tahoma" w:hAnsi="Tahoma" w:cs="Tahoma"/>
                <w:sz w:val="20"/>
              </w:rPr>
              <w:t xml:space="preserve">. </w:t>
            </w:r>
          </w:p>
        </w:tc>
        <w:tc>
          <w:tcPr>
            <w:tcW w:w="818" w:type="pct"/>
            <w:tcBorders>
              <w:top w:val="single" w:sz="4" w:space="0" w:color="00B0F0"/>
              <w:bottom w:val="single" w:sz="4" w:space="0" w:color="00B0F0"/>
            </w:tcBorders>
            <w:vAlign w:val="center"/>
          </w:tcPr>
          <w:p w14:paraId="7CAEE5D2"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094" w:type="pct"/>
            <w:tcBorders>
              <w:top w:val="single" w:sz="4" w:space="0" w:color="00B0F0"/>
              <w:bottom w:val="single" w:sz="4" w:space="0" w:color="00B0F0"/>
            </w:tcBorders>
            <w:vAlign w:val="center"/>
          </w:tcPr>
          <w:p w14:paraId="5CB3B0C2"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7490EBE6"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53791C3D"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5CDE5EE1"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 xml:space="preserve">Profit from sales of fixed assets </w:t>
            </w:r>
          </w:p>
        </w:tc>
        <w:tc>
          <w:tcPr>
            <w:tcW w:w="1692" w:type="pct"/>
            <w:tcBorders>
              <w:top w:val="single" w:sz="4" w:space="0" w:color="00B0F0"/>
              <w:bottom w:val="single" w:sz="4" w:space="0" w:color="00B0F0"/>
            </w:tcBorders>
            <w:vAlign w:val="center"/>
          </w:tcPr>
          <w:p w14:paraId="59EABB2C" w14:textId="291D53B5" w:rsidR="009D5573" w:rsidRPr="00751816" w:rsidRDefault="006024FB" w:rsidP="00B013F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There was no profit from sale of fixed assets for AGN (SA) in 2019/20, therefore there is no amount to report for this category of revenue.</w:t>
            </w:r>
          </w:p>
        </w:tc>
        <w:tc>
          <w:tcPr>
            <w:tcW w:w="818" w:type="pct"/>
            <w:tcBorders>
              <w:top w:val="single" w:sz="4" w:space="0" w:color="00B0F0"/>
              <w:bottom w:val="single" w:sz="4" w:space="0" w:color="00B0F0"/>
            </w:tcBorders>
            <w:vAlign w:val="center"/>
          </w:tcPr>
          <w:p w14:paraId="1D1B743B"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094" w:type="pct"/>
            <w:tcBorders>
              <w:top w:val="single" w:sz="4" w:space="0" w:color="00B0F0"/>
              <w:bottom w:val="single" w:sz="4" w:space="0" w:color="00B0F0"/>
            </w:tcBorders>
            <w:vAlign w:val="center"/>
          </w:tcPr>
          <w:p w14:paraId="4146CED4"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54797B39"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2FAAC2D6"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683D2487"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 xml:space="preserve">Other revenue </w:t>
            </w:r>
          </w:p>
        </w:tc>
        <w:tc>
          <w:tcPr>
            <w:tcW w:w="1692" w:type="pct"/>
            <w:tcBorders>
              <w:top w:val="single" w:sz="4" w:space="0" w:color="00B0F0"/>
              <w:bottom w:val="single" w:sz="4" w:space="0" w:color="00B0F0"/>
            </w:tcBorders>
            <w:vAlign w:val="center"/>
          </w:tcPr>
          <w:p w14:paraId="2ADFF9A4" w14:textId="2007F171" w:rsidR="00242102" w:rsidRDefault="00523DF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Other revenue reported in this table has been derived from the trial balance for AGN (SA)</w:t>
            </w:r>
            <w:r w:rsidR="0058342C">
              <w:rPr>
                <w:rFonts w:ascii="Tahoma" w:hAnsi="Tahoma" w:cs="Tahoma"/>
                <w:sz w:val="20"/>
              </w:rPr>
              <w:t xml:space="preserve"> which has been audited as set out in Appendix G</w:t>
            </w:r>
            <w:r w:rsidR="00242102">
              <w:rPr>
                <w:rFonts w:ascii="Tahoma" w:hAnsi="Tahoma" w:cs="Tahoma"/>
                <w:sz w:val="20"/>
              </w:rPr>
              <w:t xml:space="preserve"> and the general ledger account codes used to record Other revenue</w:t>
            </w:r>
            <w:r>
              <w:rPr>
                <w:rFonts w:ascii="Tahoma" w:hAnsi="Tahoma" w:cs="Tahoma"/>
                <w:sz w:val="20"/>
              </w:rPr>
              <w:t xml:space="preserve">. </w:t>
            </w:r>
          </w:p>
          <w:p w14:paraId="1D83D35D" w14:textId="77777777" w:rsidR="00242102" w:rsidRDefault="0024210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60CBBD7" w14:textId="68BC5E8A" w:rsidR="00303ECE" w:rsidRDefault="00523DF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Other revenue includes recoveries from third party damages, recoveries for the cost of site watch</w:t>
            </w:r>
            <w:r w:rsidR="00F525C6">
              <w:rPr>
                <w:rFonts w:ascii="Tahoma" w:hAnsi="Tahoma" w:cs="Tahoma"/>
                <w:sz w:val="20"/>
              </w:rPr>
              <w:t>ing</w:t>
            </w:r>
            <w:r>
              <w:rPr>
                <w:rFonts w:ascii="Tahoma" w:hAnsi="Tahoma" w:cs="Tahoma"/>
                <w:sz w:val="20"/>
              </w:rPr>
              <w:t xml:space="preserve"> (i.e. observing work by others in proximity to AGN (SA) assets), sale of </w:t>
            </w:r>
            <w:r w:rsidR="001D5226">
              <w:rPr>
                <w:rFonts w:ascii="Tahoma" w:hAnsi="Tahoma" w:cs="Tahoma"/>
                <w:sz w:val="20"/>
              </w:rPr>
              <w:t xml:space="preserve">surplus </w:t>
            </w:r>
            <w:r>
              <w:rPr>
                <w:rFonts w:ascii="Tahoma" w:hAnsi="Tahoma" w:cs="Tahoma"/>
                <w:sz w:val="20"/>
              </w:rPr>
              <w:t xml:space="preserve">materials and other miscellaneous recoveries. </w:t>
            </w:r>
          </w:p>
          <w:p w14:paraId="674D2F28" w14:textId="2B3C4E60" w:rsidR="00242102" w:rsidRDefault="0024210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CAF3D1E" w14:textId="60C631FB" w:rsidR="009D5573" w:rsidRPr="00751816" w:rsidRDefault="00242102" w:rsidP="00B013F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I</w:t>
            </w:r>
            <w:r w:rsidR="00303ECE">
              <w:rPr>
                <w:rFonts w:ascii="Tahoma" w:hAnsi="Tahoma" w:cs="Tahoma"/>
                <w:sz w:val="20"/>
              </w:rPr>
              <w:t>nformation about this</w:t>
            </w:r>
            <w:r w:rsidR="003133B8">
              <w:rPr>
                <w:rFonts w:ascii="Tahoma" w:hAnsi="Tahoma" w:cs="Tahoma"/>
                <w:sz w:val="20"/>
              </w:rPr>
              <w:t xml:space="preserve"> </w:t>
            </w:r>
            <w:r w:rsidR="00303ECE">
              <w:rPr>
                <w:rFonts w:ascii="Tahoma" w:hAnsi="Tahoma" w:cs="Tahoma"/>
                <w:sz w:val="20"/>
              </w:rPr>
              <w:t>O</w:t>
            </w:r>
            <w:r w:rsidR="003133B8">
              <w:rPr>
                <w:rFonts w:ascii="Tahoma" w:hAnsi="Tahoma" w:cs="Tahoma"/>
                <w:sz w:val="20"/>
              </w:rPr>
              <w:t xml:space="preserve">ther revenue is provided </w:t>
            </w:r>
            <w:r w:rsidR="00303ECE">
              <w:rPr>
                <w:rFonts w:ascii="Tahoma" w:hAnsi="Tahoma" w:cs="Tahoma"/>
                <w:sz w:val="20"/>
              </w:rPr>
              <w:t xml:space="preserve">by APA </w:t>
            </w:r>
            <w:r w:rsidR="003133B8">
              <w:rPr>
                <w:rFonts w:ascii="Tahoma" w:hAnsi="Tahoma" w:cs="Tahoma"/>
                <w:sz w:val="20"/>
              </w:rPr>
              <w:t>as part of the Ring Fenced Accounts</w:t>
            </w:r>
            <w:r>
              <w:rPr>
                <w:rFonts w:ascii="Tahoma" w:hAnsi="Tahoma" w:cs="Tahoma"/>
                <w:sz w:val="20"/>
              </w:rPr>
              <w:t xml:space="preserve"> and is further supported by additional breakdown reports provided by APA</w:t>
            </w:r>
            <w:r w:rsidR="00303ECE">
              <w:rPr>
                <w:rFonts w:ascii="Tahoma" w:hAnsi="Tahoma" w:cs="Tahoma"/>
                <w:sz w:val="20"/>
              </w:rPr>
              <w:t xml:space="preserve">.  </w:t>
            </w:r>
          </w:p>
        </w:tc>
        <w:tc>
          <w:tcPr>
            <w:tcW w:w="818" w:type="pct"/>
            <w:tcBorders>
              <w:top w:val="single" w:sz="4" w:space="0" w:color="00B0F0"/>
              <w:bottom w:val="single" w:sz="4" w:space="0" w:color="00B0F0"/>
            </w:tcBorders>
            <w:vAlign w:val="center"/>
          </w:tcPr>
          <w:p w14:paraId="39C854DB"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094" w:type="pct"/>
            <w:tcBorders>
              <w:top w:val="single" w:sz="4" w:space="0" w:color="00B0F0"/>
              <w:bottom w:val="single" w:sz="4" w:space="0" w:color="00B0F0"/>
            </w:tcBorders>
            <w:vAlign w:val="center"/>
          </w:tcPr>
          <w:p w14:paraId="556C2ECC"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324C2EC3"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bookmarkEnd w:id="33"/>
    </w:tbl>
    <w:p w14:paraId="6774A3D5" w14:textId="77777777" w:rsidR="00C36FB5" w:rsidRDefault="00C36FB5">
      <w:pPr>
        <w:rPr>
          <w:rFonts w:ascii="Tahoma" w:hAnsi="Tahoma" w:cs="Tahoma"/>
          <w:color w:val="00B0F0"/>
        </w:rPr>
      </w:pPr>
    </w:p>
    <w:p w14:paraId="2801B116" w14:textId="48DD28D7" w:rsidR="009A02E9" w:rsidRDefault="009A02E9">
      <w:pPr>
        <w:rPr>
          <w:rFonts w:ascii="Tahoma" w:hAnsi="Tahoma" w:cs="Tahoma"/>
          <w:color w:val="00B0F0"/>
        </w:rPr>
      </w:pPr>
      <w:r w:rsidRPr="00C97516">
        <w:rPr>
          <w:rFonts w:ascii="Tahoma" w:hAnsi="Tahoma" w:cs="Tahoma"/>
          <w:color w:val="00B0F0"/>
        </w:rPr>
        <w:t xml:space="preserve">F1.1.2 – Expenditure </w:t>
      </w:r>
    </w:p>
    <w:tbl>
      <w:tblPr>
        <w:tblStyle w:val="UETableStyle"/>
        <w:tblW w:w="4881"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3"/>
        <w:gridCol w:w="4728"/>
        <w:gridCol w:w="2286"/>
        <w:gridCol w:w="2717"/>
        <w:gridCol w:w="1902"/>
      </w:tblGrid>
      <w:tr w:rsidR="00663904" w:rsidRPr="00751816" w14:paraId="0005777F" w14:textId="77777777" w:rsidTr="001C016D">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09D518B8" w14:textId="76E4361C" w:rsidR="00663904" w:rsidRPr="00751816" w:rsidRDefault="00663904" w:rsidP="001664CF">
            <w:pPr>
              <w:rPr>
                <w:rFonts w:ascii="Tahoma" w:hAnsi="Tahoma" w:cs="Tahoma"/>
                <w:b/>
                <w:color w:val="FFFFFF"/>
                <w:sz w:val="20"/>
              </w:rPr>
            </w:pPr>
            <w:r w:rsidRPr="00751816">
              <w:rPr>
                <w:rFonts w:ascii="Tahoma" w:hAnsi="Tahoma" w:cs="Tahoma"/>
                <w:b/>
                <w:color w:val="FFFFFF"/>
                <w:sz w:val="20"/>
              </w:rPr>
              <w:t xml:space="preserve">Variable </w:t>
            </w:r>
          </w:p>
        </w:tc>
        <w:tc>
          <w:tcPr>
            <w:tcW w:w="1735" w:type="pct"/>
            <w:tcBorders>
              <w:bottom w:val="single" w:sz="4" w:space="0" w:color="00B0F0"/>
            </w:tcBorders>
            <w:shd w:val="clear" w:color="auto" w:fill="003C71"/>
          </w:tcPr>
          <w:p w14:paraId="4F21F866"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9" w:type="pct"/>
            <w:tcBorders>
              <w:bottom w:val="single" w:sz="4" w:space="0" w:color="00B0F0"/>
            </w:tcBorders>
            <w:shd w:val="clear" w:color="auto" w:fill="003C71"/>
          </w:tcPr>
          <w:p w14:paraId="65434BAD"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7" w:type="pct"/>
            <w:tcBorders>
              <w:bottom w:val="single" w:sz="4" w:space="0" w:color="00B0F0"/>
            </w:tcBorders>
            <w:shd w:val="clear" w:color="auto" w:fill="003C71"/>
          </w:tcPr>
          <w:p w14:paraId="61BB17E4"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98" w:type="pct"/>
            <w:tcBorders>
              <w:bottom w:val="single" w:sz="4" w:space="0" w:color="00B0F0"/>
            </w:tcBorders>
            <w:shd w:val="clear" w:color="auto" w:fill="003C71"/>
          </w:tcPr>
          <w:p w14:paraId="6190832E"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663904" w:rsidRPr="00751816" w14:paraId="04BB96DF" w14:textId="77777777" w:rsidTr="001664CF">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00A3E0"/>
            <w:vAlign w:val="center"/>
          </w:tcPr>
          <w:p w14:paraId="6CC5F94F" w14:textId="712F0DDF" w:rsidR="00663904" w:rsidRDefault="00DD6B14" w:rsidP="001C016D">
            <w:pPr>
              <w:spacing w:before="120" w:after="120" w:line="240" w:lineRule="atLeast"/>
              <w:contextualSpacing/>
              <w:rPr>
                <w:rFonts w:ascii="Tahoma" w:hAnsi="Tahoma" w:cs="Tahoma"/>
                <w:sz w:val="20"/>
              </w:rPr>
            </w:pPr>
            <w:r>
              <w:rPr>
                <w:rFonts w:ascii="Tahoma" w:hAnsi="Tahoma" w:cs="Tahoma"/>
                <w:sz w:val="20"/>
              </w:rPr>
              <w:t>2019/20</w:t>
            </w:r>
          </w:p>
        </w:tc>
        <w:tc>
          <w:tcPr>
            <w:tcW w:w="1735" w:type="pct"/>
            <w:tcBorders>
              <w:top w:val="single" w:sz="4" w:space="0" w:color="00B0F0"/>
              <w:bottom w:val="single" w:sz="4" w:space="0" w:color="00B0F0"/>
            </w:tcBorders>
            <w:shd w:val="clear" w:color="auto" w:fill="00A3E0"/>
            <w:vAlign w:val="center"/>
          </w:tcPr>
          <w:p w14:paraId="01FA320F"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39" w:type="pct"/>
            <w:tcBorders>
              <w:top w:val="single" w:sz="4" w:space="0" w:color="00B0F0"/>
              <w:bottom w:val="single" w:sz="4" w:space="0" w:color="00B0F0"/>
            </w:tcBorders>
            <w:shd w:val="clear" w:color="auto" w:fill="00A3E0"/>
            <w:vAlign w:val="center"/>
          </w:tcPr>
          <w:p w14:paraId="765F0924"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997" w:type="pct"/>
            <w:tcBorders>
              <w:top w:val="single" w:sz="4" w:space="0" w:color="00B0F0"/>
              <w:bottom w:val="single" w:sz="4" w:space="0" w:color="00B0F0"/>
            </w:tcBorders>
            <w:shd w:val="clear" w:color="auto" w:fill="00A3E0"/>
            <w:vAlign w:val="center"/>
          </w:tcPr>
          <w:p w14:paraId="36EEA3EA"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shd w:val="clear" w:color="auto" w:fill="00A3E0"/>
            <w:vAlign w:val="center"/>
          </w:tcPr>
          <w:p w14:paraId="7C131FE5"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6B25A4F7" w14:textId="77777777" w:rsidTr="001C016D">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2B979419"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 xml:space="preserve">Operating expenditure    </w:t>
            </w:r>
          </w:p>
        </w:tc>
        <w:tc>
          <w:tcPr>
            <w:tcW w:w="1735" w:type="pct"/>
            <w:tcBorders>
              <w:top w:val="single" w:sz="4" w:space="0" w:color="00B0F0"/>
              <w:bottom w:val="single" w:sz="4" w:space="0" w:color="00B0F0"/>
            </w:tcBorders>
            <w:vAlign w:val="center"/>
          </w:tcPr>
          <w:p w14:paraId="3D47FCB8" w14:textId="4B9079CB" w:rsidR="007F2BFF" w:rsidRDefault="007A4E73" w:rsidP="003B58D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Operating expenditure reported in this table has been derived from the trial balance for AGN (SA)</w:t>
            </w:r>
            <w:r w:rsidR="00F137F5">
              <w:rPr>
                <w:rFonts w:ascii="Tahoma" w:hAnsi="Tahoma" w:cs="Tahoma"/>
                <w:sz w:val="20"/>
              </w:rPr>
              <w:t xml:space="preserve"> </w:t>
            </w:r>
            <w:r w:rsidR="00F137F5">
              <w:rPr>
                <w:rFonts w:ascii="Tahoma" w:hAnsi="Tahoma" w:cs="Tahoma"/>
                <w:sz w:val="20"/>
              </w:rPr>
              <w:lastRenderedPageBreak/>
              <w:t>which has been audited as set out in Appendix G</w:t>
            </w:r>
            <w:r>
              <w:rPr>
                <w:rFonts w:ascii="Tahoma" w:hAnsi="Tahoma" w:cs="Tahoma"/>
                <w:sz w:val="20"/>
              </w:rPr>
              <w:t xml:space="preserve">.  Appendix </w:t>
            </w:r>
            <w:r w:rsidR="002E20FF">
              <w:rPr>
                <w:rFonts w:ascii="Tahoma" w:hAnsi="Tahoma" w:cs="Tahoma"/>
                <w:sz w:val="20"/>
              </w:rPr>
              <w:t>G</w:t>
            </w:r>
            <w:r>
              <w:rPr>
                <w:rFonts w:ascii="Tahoma" w:hAnsi="Tahoma" w:cs="Tahoma"/>
                <w:sz w:val="20"/>
              </w:rPr>
              <w:t xml:space="preserve"> sets out the methodology used to produce the trial balance for AGN (SA)</w:t>
            </w:r>
            <w:r w:rsidR="007F2BFF">
              <w:rPr>
                <w:rFonts w:ascii="Tahoma" w:hAnsi="Tahoma" w:cs="Tahoma"/>
                <w:sz w:val="20"/>
              </w:rPr>
              <w:t>.</w:t>
            </w:r>
          </w:p>
          <w:p w14:paraId="57A9CF0B" w14:textId="77777777" w:rsidR="007F2BFF" w:rsidRDefault="007F2BFF" w:rsidP="003B58D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143FB20" w14:textId="66C620F7" w:rsidR="007A4E73" w:rsidRDefault="007F2BFF" w:rsidP="003B58D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process</w:t>
            </w:r>
            <w:r w:rsidR="007A4E73">
              <w:rPr>
                <w:rFonts w:ascii="Tahoma" w:hAnsi="Tahoma" w:cs="Tahoma"/>
                <w:sz w:val="20"/>
              </w:rPr>
              <w:t xml:space="preserve"> included </w:t>
            </w:r>
            <w:r w:rsidR="005F670E">
              <w:rPr>
                <w:rFonts w:ascii="Tahoma" w:hAnsi="Tahoma" w:cs="Tahoma"/>
                <w:sz w:val="20"/>
              </w:rPr>
              <w:t>selecting</w:t>
            </w:r>
            <w:r w:rsidR="007A4E73">
              <w:rPr>
                <w:rFonts w:ascii="Tahoma" w:hAnsi="Tahoma" w:cs="Tahoma"/>
                <w:sz w:val="20"/>
              </w:rPr>
              <w:t xml:space="preserve"> </w:t>
            </w:r>
            <w:r w:rsidR="005F670E">
              <w:rPr>
                <w:rFonts w:ascii="Tahoma" w:hAnsi="Tahoma" w:cs="Tahoma"/>
                <w:sz w:val="20"/>
              </w:rPr>
              <w:t>certain</w:t>
            </w:r>
            <w:r w:rsidR="007A4E73">
              <w:rPr>
                <w:rFonts w:ascii="Tahoma" w:hAnsi="Tahoma" w:cs="Tahoma"/>
                <w:sz w:val="20"/>
              </w:rPr>
              <w:t xml:space="preserve"> account balances from the </w:t>
            </w:r>
            <w:r w:rsidR="0049137C">
              <w:rPr>
                <w:rFonts w:ascii="Tahoma" w:hAnsi="Tahoma" w:cs="Tahoma"/>
                <w:sz w:val="20"/>
              </w:rPr>
              <w:t xml:space="preserve">consolidated AGN Limited </w:t>
            </w:r>
            <w:r w:rsidR="007A4E73">
              <w:rPr>
                <w:rFonts w:ascii="Tahoma" w:hAnsi="Tahoma" w:cs="Tahoma"/>
                <w:sz w:val="20"/>
              </w:rPr>
              <w:t>SAP general ledger</w:t>
            </w:r>
            <w:r w:rsidR="0049137C">
              <w:rPr>
                <w:rFonts w:ascii="Tahoma" w:hAnsi="Tahoma" w:cs="Tahoma"/>
                <w:sz w:val="20"/>
              </w:rPr>
              <w:t>,</w:t>
            </w:r>
            <w:r w:rsidR="007A4E73">
              <w:rPr>
                <w:rFonts w:ascii="Tahoma" w:hAnsi="Tahoma" w:cs="Tahoma"/>
                <w:sz w:val="20"/>
              </w:rPr>
              <w:t xml:space="preserve"> where </w:t>
            </w:r>
            <w:r>
              <w:rPr>
                <w:rFonts w:ascii="Tahoma" w:hAnsi="Tahoma" w:cs="Tahoma"/>
                <w:sz w:val="20"/>
              </w:rPr>
              <w:t xml:space="preserve">given general ledger </w:t>
            </w:r>
            <w:r w:rsidR="007A4E73">
              <w:rPr>
                <w:rFonts w:ascii="Tahoma" w:hAnsi="Tahoma" w:cs="Tahoma"/>
                <w:sz w:val="20"/>
              </w:rPr>
              <w:t xml:space="preserve">accounts </w:t>
            </w:r>
            <w:r w:rsidR="005F670E">
              <w:rPr>
                <w:rFonts w:ascii="Tahoma" w:hAnsi="Tahoma" w:cs="Tahoma"/>
                <w:sz w:val="20"/>
              </w:rPr>
              <w:t xml:space="preserve">and </w:t>
            </w:r>
            <w:r>
              <w:rPr>
                <w:rFonts w:ascii="Tahoma" w:hAnsi="Tahoma" w:cs="Tahoma"/>
                <w:sz w:val="20"/>
              </w:rPr>
              <w:t xml:space="preserve">specified </w:t>
            </w:r>
            <w:r w:rsidR="007A4E73">
              <w:rPr>
                <w:rFonts w:ascii="Tahoma" w:hAnsi="Tahoma" w:cs="Tahoma"/>
                <w:sz w:val="20"/>
              </w:rPr>
              <w:t xml:space="preserve">state codes, </w:t>
            </w:r>
            <w:r>
              <w:rPr>
                <w:rFonts w:ascii="Tahoma" w:hAnsi="Tahoma" w:cs="Tahoma"/>
                <w:sz w:val="20"/>
              </w:rPr>
              <w:t xml:space="preserve">have been used to form </w:t>
            </w:r>
            <w:r w:rsidR="007A4E73">
              <w:rPr>
                <w:rFonts w:ascii="Tahoma" w:hAnsi="Tahoma" w:cs="Tahoma"/>
                <w:sz w:val="20"/>
              </w:rPr>
              <w:t xml:space="preserve">the base </w:t>
            </w:r>
            <w:r w:rsidR="00F137F5">
              <w:rPr>
                <w:rFonts w:ascii="Tahoma" w:hAnsi="Tahoma" w:cs="Tahoma"/>
                <w:sz w:val="20"/>
              </w:rPr>
              <w:t xml:space="preserve">trial balance </w:t>
            </w:r>
            <w:r w:rsidR="007A4E73">
              <w:rPr>
                <w:rFonts w:ascii="Tahoma" w:hAnsi="Tahoma" w:cs="Tahoma"/>
                <w:sz w:val="20"/>
              </w:rPr>
              <w:t xml:space="preserve">amounts for AGN (SA).  </w:t>
            </w:r>
          </w:p>
          <w:p w14:paraId="08495440" w14:textId="77777777" w:rsidR="007A4E73" w:rsidRDefault="007A4E73" w:rsidP="003B58D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1194790" w14:textId="4DF716C2" w:rsidR="009D5573" w:rsidRPr="00751816" w:rsidRDefault="007A4E73" w:rsidP="00B013F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amounts reported for Operating expenditure represent total network opex which is out-sourced to APA under the OMA and AGN Limited’s internal opex, minus any categories of opex that are required to be separately reported in this RIN table.</w:t>
            </w:r>
          </w:p>
        </w:tc>
        <w:tc>
          <w:tcPr>
            <w:tcW w:w="839" w:type="pct"/>
            <w:tcBorders>
              <w:top w:val="single" w:sz="4" w:space="0" w:color="00B0F0"/>
              <w:bottom w:val="single" w:sz="4" w:space="0" w:color="00B0F0"/>
            </w:tcBorders>
            <w:vAlign w:val="center"/>
          </w:tcPr>
          <w:p w14:paraId="71DB6043"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997" w:type="pct"/>
            <w:tcBorders>
              <w:top w:val="single" w:sz="4" w:space="0" w:color="00B0F0"/>
              <w:bottom w:val="single" w:sz="4" w:space="0" w:color="00B0F0"/>
            </w:tcBorders>
            <w:vAlign w:val="center"/>
          </w:tcPr>
          <w:p w14:paraId="0808DB69"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56D6025E"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79449ED7" w14:textId="77777777" w:rsidTr="001C016D">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1E368940"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 xml:space="preserve">Depreciation  </w:t>
            </w:r>
          </w:p>
        </w:tc>
        <w:tc>
          <w:tcPr>
            <w:tcW w:w="1735" w:type="pct"/>
            <w:tcBorders>
              <w:top w:val="single" w:sz="4" w:space="0" w:color="00B0F0"/>
              <w:bottom w:val="single" w:sz="4" w:space="0" w:color="00B0F0"/>
            </w:tcBorders>
            <w:vAlign w:val="center"/>
          </w:tcPr>
          <w:p w14:paraId="56651ED8" w14:textId="3C6786EC" w:rsidR="007F2BFF" w:rsidRDefault="006C3A7C" w:rsidP="003B58D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amount of depreciation reported in this table has been derived from the trial balance for AGN (SA)</w:t>
            </w:r>
            <w:r w:rsidR="00F137F5">
              <w:rPr>
                <w:rFonts w:ascii="Tahoma" w:hAnsi="Tahoma" w:cs="Tahoma"/>
                <w:sz w:val="20"/>
              </w:rPr>
              <w:t xml:space="preserve"> which has been audited as set out in Appendix G</w:t>
            </w:r>
            <w:r>
              <w:rPr>
                <w:rFonts w:ascii="Tahoma" w:hAnsi="Tahoma" w:cs="Tahoma"/>
                <w:sz w:val="20"/>
              </w:rPr>
              <w:t xml:space="preserve">.  </w:t>
            </w:r>
          </w:p>
          <w:p w14:paraId="358A95EF" w14:textId="77777777" w:rsidR="007F2BFF" w:rsidRDefault="007F2BFF" w:rsidP="003B58D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C03E2B7" w14:textId="77777777" w:rsidR="007F2BFF" w:rsidRDefault="007F2BFF" w:rsidP="007F2BF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statutory depreciation related to AGN (SA) has been determined in accordance with the relevant accounting standards.</w:t>
            </w:r>
          </w:p>
          <w:p w14:paraId="2E068B41" w14:textId="77777777" w:rsidR="007F2BFF" w:rsidRDefault="007F2BFF" w:rsidP="003B58D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D3C16EC" w14:textId="112B8B9D" w:rsidR="009D5573" w:rsidRPr="00751816" w:rsidRDefault="006C3A7C" w:rsidP="00F137F5">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AGN Limited maintains a separate general ledger in SAP which is used to record Capex for AGN (SA) and which is also integrated with a Fixed Assets Register (FAR) specifically for the AGN (SA) assets.</w:t>
            </w:r>
            <w:r w:rsidR="007F2BFF">
              <w:rPr>
                <w:rFonts w:ascii="Tahoma" w:hAnsi="Tahoma" w:cs="Tahoma"/>
                <w:sz w:val="20"/>
              </w:rPr>
              <w:t xml:space="preserve">  Depreciation for these assets is posted to a specific general ledger account code, which enables it to be identified and included in the AGN (SA) trial balance.</w:t>
            </w:r>
            <w:r>
              <w:rPr>
                <w:rFonts w:ascii="Tahoma" w:hAnsi="Tahoma" w:cs="Tahoma"/>
                <w:sz w:val="20"/>
              </w:rPr>
              <w:t xml:space="preserve"> </w:t>
            </w:r>
          </w:p>
        </w:tc>
        <w:tc>
          <w:tcPr>
            <w:tcW w:w="839" w:type="pct"/>
            <w:tcBorders>
              <w:top w:val="single" w:sz="4" w:space="0" w:color="00B0F0"/>
              <w:bottom w:val="single" w:sz="4" w:space="0" w:color="00B0F0"/>
            </w:tcBorders>
            <w:vAlign w:val="center"/>
          </w:tcPr>
          <w:p w14:paraId="754817D3"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69C6ED6A"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0F8EEDC7"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1B24E4A9" w14:textId="77777777" w:rsidTr="001C016D">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588E9D1C"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lastRenderedPageBreak/>
              <w:t xml:space="preserve">Net finance expenses  </w:t>
            </w:r>
          </w:p>
        </w:tc>
        <w:tc>
          <w:tcPr>
            <w:tcW w:w="1735" w:type="pct"/>
            <w:tcBorders>
              <w:top w:val="single" w:sz="4" w:space="0" w:color="00B0F0"/>
              <w:bottom w:val="single" w:sz="4" w:space="0" w:color="00B0F0"/>
            </w:tcBorders>
            <w:vAlign w:val="center"/>
          </w:tcPr>
          <w:p w14:paraId="4F1EAE05" w14:textId="0DEAFDA2" w:rsidR="00D475C2" w:rsidRDefault="00051E8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amount of Net finance expenses reported in this table has been derived from the trial balance for AGN (SA)</w:t>
            </w:r>
            <w:r w:rsidR="00F137F5">
              <w:rPr>
                <w:rFonts w:ascii="Tahoma" w:hAnsi="Tahoma" w:cs="Tahoma"/>
                <w:sz w:val="20"/>
              </w:rPr>
              <w:t xml:space="preserve"> which has been audited as set out in Appendix G</w:t>
            </w:r>
            <w:r>
              <w:rPr>
                <w:rFonts w:ascii="Tahoma" w:hAnsi="Tahoma" w:cs="Tahoma"/>
                <w:sz w:val="20"/>
              </w:rPr>
              <w:t xml:space="preserve">. </w:t>
            </w:r>
          </w:p>
          <w:p w14:paraId="2B78C606" w14:textId="77777777" w:rsidR="00D475C2" w:rsidRDefault="00D475C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B7DD9DB" w14:textId="7C4354A1" w:rsidR="004E3F6D" w:rsidRDefault="00D32C5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F</w:t>
            </w:r>
            <w:r w:rsidR="00051E84">
              <w:rPr>
                <w:rFonts w:ascii="Tahoma" w:hAnsi="Tahoma" w:cs="Tahoma"/>
                <w:sz w:val="20"/>
              </w:rPr>
              <w:t xml:space="preserve">inancing within AGN Limited is </w:t>
            </w:r>
            <w:r>
              <w:rPr>
                <w:rFonts w:ascii="Tahoma" w:hAnsi="Tahoma" w:cs="Tahoma"/>
                <w:sz w:val="20"/>
              </w:rPr>
              <w:t xml:space="preserve">provided and </w:t>
            </w:r>
            <w:r w:rsidR="00051E84">
              <w:rPr>
                <w:rFonts w:ascii="Tahoma" w:hAnsi="Tahoma" w:cs="Tahoma"/>
                <w:sz w:val="20"/>
              </w:rPr>
              <w:t xml:space="preserve">managed </w:t>
            </w:r>
            <w:r w:rsidR="00FB03CC">
              <w:rPr>
                <w:rFonts w:ascii="Tahoma" w:hAnsi="Tahoma" w:cs="Tahoma"/>
                <w:sz w:val="20"/>
              </w:rPr>
              <w:t xml:space="preserve">centrally by a group </w:t>
            </w:r>
            <w:r w:rsidR="001D5226">
              <w:rPr>
                <w:rFonts w:ascii="Tahoma" w:hAnsi="Tahoma" w:cs="Tahoma"/>
                <w:sz w:val="20"/>
              </w:rPr>
              <w:t>T</w:t>
            </w:r>
            <w:r w:rsidR="00FB03CC">
              <w:rPr>
                <w:rFonts w:ascii="Tahoma" w:hAnsi="Tahoma" w:cs="Tahoma"/>
                <w:sz w:val="20"/>
              </w:rPr>
              <w:t>reasury function.</w:t>
            </w:r>
            <w:r w:rsidR="00051E84">
              <w:rPr>
                <w:rFonts w:ascii="Tahoma" w:hAnsi="Tahoma" w:cs="Tahoma"/>
                <w:sz w:val="20"/>
              </w:rPr>
              <w:t xml:space="preserve"> </w:t>
            </w:r>
            <w:r w:rsidR="00D475C2">
              <w:rPr>
                <w:rFonts w:ascii="Tahoma" w:hAnsi="Tahoma" w:cs="Tahoma"/>
                <w:sz w:val="20"/>
              </w:rPr>
              <w:t>T</w:t>
            </w:r>
            <w:r>
              <w:rPr>
                <w:rFonts w:ascii="Tahoma" w:hAnsi="Tahoma" w:cs="Tahoma"/>
                <w:sz w:val="20"/>
              </w:rPr>
              <w:t>herefore</w:t>
            </w:r>
            <w:r w:rsidR="00D475C2">
              <w:rPr>
                <w:rFonts w:ascii="Tahoma" w:hAnsi="Tahoma" w:cs="Tahoma"/>
                <w:sz w:val="20"/>
              </w:rPr>
              <w:t>,</w:t>
            </w:r>
            <w:r>
              <w:rPr>
                <w:rFonts w:ascii="Tahoma" w:hAnsi="Tahoma" w:cs="Tahoma"/>
                <w:sz w:val="20"/>
              </w:rPr>
              <w:t xml:space="preserve"> in</w:t>
            </w:r>
            <w:r w:rsidR="00051E84">
              <w:rPr>
                <w:rFonts w:ascii="Tahoma" w:hAnsi="Tahoma" w:cs="Tahoma"/>
                <w:sz w:val="20"/>
              </w:rPr>
              <w:t xml:space="preserve"> developing a trial balance for AGN (SA), an amount of AGN Limited</w:t>
            </w:r>
            <w:r>
              <w:rPr>
                <w:rFonts w:ascii="Tahoma" w:hAnsi="Tahoma" w:cs="Tahoma"/>
                <w:sz w:val="20"/>
              </w:rPr>
              <w:t>’s</w:t>
            </w:r>
            <w:r w:rsidR="00051E84">
              <w:rPr>
                <w:rFonts w:ascii="Tahoma" w:hAnsi="Tahoma" w:cs="Tahoma"/>
                <w:sz w:val="20"/>
              </w:rPr>
              <w:t xml:space="preserve"> </w:t>
            </w:r>
            <w:r w:rsidR="00D475C2">
              <w:rPr>
                <w:rFonts w:ascii="Tahoma" w:hAnsi="Tahoma" w:cs="Tahoma"/>
                <w:sz w:val="20"/>
              </w:rPr>
              <w:t xml:space="preserve">total </w:t>
            </w:r>
            <w:r w:rsidR="00051E84">
              <w:rPr>
                <w:rFonts w:ascii="Tahoma" w:hAnsi="Tahoma" w:cs="Tahoma"/>
                <w:sz w:val="20"/>
              </w:rPr>
              <w:t xml:space="preserve">statutory net finance expenses has been allocated to AGN (SA).  This </w:t>
            </w:r>
            <w:r>
              <w:rPr>
                <w:rFonts w:ascii="Tahoma" w:hAnsi="Tahoma" w:cs="Tahoma"/>
                <w:sz w:val="20"/>
              </w:rPr>
              <w:t xml:space="preserve">allocation </w:t>
            </w:r>
            <w:r w:rsidR="00051E84">
              <w:rPr>
                <w:rFonts w:ascii="Tahoma" w:hAnsi="Tahoma" w:cs="Tahoma"/>
                <w:sz w:val="20"/>
              </w:rPr>
              <w:t>has been done on the basis of AGN (SA)’s assets as a percentage of AGN Limited’s total assets</w:t>
            </w:r>
            <w:r w:rsidR="00FB03CC">
              <w:rPr>
                <w:rFonts w:ascii="Tahoma" w:hAnsi="Tahoma" w:cs="Tahoma"/>
                <w:sz w:val="20"/>
              </w:rPr>
              <w:t xml:space="preserve">.  This </w:t>
            </w:r>
            <w:r w:rsidR="00051E84">
              <w:rPr>
                <w:rFonts w:ascii="Tahoma" w:hAnsi="Tahoma" w:cs="Tahoma"/>
                <w:sz w:val="20"/>
              </w:rPr>
              <w:t>includes</w:t>
            </w:r>
            <w:r>
              <w:rPr>
                <w:rFonts w:ascii="Tahoma" w:hAnsi="Tahoma" w:cs="Tahoma"/>
                <w:sz w:val="20"/>
              </w:rPr>
              <w:t xml:space="preserve"> an allocation to</w:t>
            </w:r>
            <w:r w:rsidR="00051E84">
              <w:rPr>
                <w:rFonts w:ascii="Tahoma" w:hAnsi="Tahoma" w:cs="Tahoma"/>
                <w:sz w:val="20"/>
              </w:rPr>
              <w:t xml:space="preserve"> the unregulated assets in AGN (SA). </w:t>
            </w:r>
          </w:p>
          <w:p w14:paraId="137388F9" w14:textId="77777777" w:rsidR="004E3F6D" w:rsidRDefault="004E3F6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5D47CD7" w14:textId="7D93F8B0" w:rsidR="00051E84" w:rsidRDefault="001D522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“total assets” basis of allocating Net finance expenses has been chosen as the most appropriate method</w:t>
            </w:r>
            <w:r w:rsidR="008E5611">
              <w:rPr>
                <w:rFonts w:ascii="Tahoma" w:hAnsi="Tahoma" w:cs="Tahoma"/>
                <w:sz w:val="20"/>
              </w:rPr>
              <w:t xml:space="preserve"> for the AGN (SA) trial balance</w:t>
            </w:r>
            <w:r w:rsidR="004E3F6D">
              <w:rPr>
                <w:rFonts w:ascii="Tahoma" w:hAnsi="Tahoma" w:cs="Tahoma"/>
                <w:sz w:val="20"/>
              </w:rPr>
              <w:t>, given it is considered to have the closest relationship to the amount of debt finance used by the business, which is the key driver of Net finance expenses.</w:t>
            </w:r>
          </w:p>
          <w:p w14:paraId="667E4E18" w14:textId="4AEB3AF2" w:rsidR="002E20FF" w:rsidRDefault="002E20F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D412E41" w14:textId="79999F13" w:rsidR="002E20FF" w:rsidRDefault="002E20F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Prior to calculating the relevant allocation of Net finance expenses to AGN (SA), the amount as shown in AGN Limited’s audited statutory accounts, is adjusted to remove any finance related costs that are separately reported in the RIN table (e.g. Debt Raising Costs, Rent payments for leased business premises and Motor Vehicle Lease payments) (refer to the Regulatory Accounting Principles and Policies document and the supplementary information provided </w:t>
            </w:r>
            <w:r w:rsidR="00FD3BFF">
              <w:rPr>
                <w:rFonts w:ascii="Tahoma" w:hAnsi="Tahoma" w:cs="Tahoma"/>
                <w:sz w:val="20"/>
              </w:rPr>
              <w:t xml:space="preserve">in Appendix H of </w:t>
            </w:r>
            <w:r>
              <w:rPr>
                <w:rFonts w:ascii="Tahoma" w:hAnsi="Tahoma" w:cs="Tahoma"/>
                <w:sz w:val="20"/>
              </w:rPr>
              <w:t xml:space="preserve">this </w:t>
            </w:r>
            <w:r w:rsidR="00FD3BFF">
              <w:rPr>
                <w:rFonts w:ascii="Tahoma" w:hAnsi="Tahoma" w:cs="Tahoma"/>
                <w:sz w:val="20"/>
              </w:rPr>
              <w:t>Basis of Preparation document</w:t>
            </w:r>
            <w:r>
              <w:rPr>
                <w:rFonts w:ascii="Tahoma" w:hAnsi="Tahoma" w:cs="Tahoma"/>
                <w:sz w:val="20"/>
              </w:rPr>
              <w:t xml:space="preserve"> for the implications of AGN Limited </w:t>
            </w:r>
            <w:r>
              <w:rPr>
                <w:rFonts w:ascii="Tahoma" w:hAnsi="Tahoma" w:cs="Tahoma"/>
                <w:sz w:val="20"/>
              </w:rPr>
              <w:lastRenderedPageBreak/>
              <w:t xml:space="preserve">adopting accounting standard AASB 16 </w:t>
            </w:r>
            <w:r w:rsidRPr="002E20FF">
              <w:rPr>
                <w:rFonts w:ascii="Tahoma" w:hAnsi="Tahoma" w:cs="Tahoma"/>
                <w:i/>
                <w:sz w:val="20"/>
              </w:rPr>
              <w:t>Leases</w:t>
            </w:r>
            <w:r>
              <w:rPr>
                <w:rFonts w:ascii="Tahoma" w:hAnsi="Tahoma" w:cs="Tahoma"/>
                <w:sz w:val="20"/>
              </w:rPr>
              <w:t xml:space="preserve"> from 1 January </w:t>
            </w:r>
            <w:r w:rsidR="00B42001">
              <w:rPr>
                <w:rFonts w:ascii="Tahoma" w:hAnsi="Tahoma" w:cs="Tahoma"/>
                <w:sz w:val="20"/>
              </w:rPr>
              <w:t>2019</w:t>
            </w:r>
            <w:r>
              <w:rPr>
                <w:rFonts w:ascii="Tahoma" w:hAnsi="Tahoma" w:cs="Tahoma"/>
                <w:sz w:val="20"/>
              </w:rPr>
              <w:t>).</w:t>
            </w:r>
          </w:p>
          <w:p w14:paraId="459495C4" w14:textId="2ADA4EAB" w:rsidR="009C25C7" w:rsidRDefault="009C25C7"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22E1083" w14:textId="42A72790" w:rsidR="009D5573" w:rsidRPr="00751816" w:rsidRDefault="009C25C7" w:rsidP="00FD3BF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Given </w:t>
            </w:r>
            <w:r w:rsidR="00B75F93">
              <w:rPr>
                <w:rFonts w:ascii="Tahoma" w:hAnsi="Tahoma" w:cs="Tahoma"/>
                <w:sz w:val="20"/>
              </w:rPr>
              <w:t>the</w:t>
            </w:r>
            <w:r>
              <w:rPr>
                <w:rFonts w:ascii="Tahoma" w:hAnsi="Tahoma" w:cs="Tahoma"/>
                <w:sz w:val="20"/>
              </w:rPr>
              <w:t xml:space="preserve"> allocation of Net finance expenses</w:t>
            </w:r>
            <w:r w:rsidR="00B75F93">
              <w:rPr>
                <w:rFonts w:ascii="Tahoma" w:hAnsi="Tahoma" w:cs="Tahoma"/>
                <w:sz w:val="20"/>
              </w:rPr>
              <w:t xml:space="preserve"> to AGN (SA)</w:t>
            </w:r>
            <w:r>
              <w:rPr>
                <w:rFonts w:ascii="Tahoma" w:hAnsi="Tahoma" w:cs="Tahoma"/>
                <w:sz w:val="20"/>
              </w:rPr>
              <w:t xml:space="preserve"> has been done using a</w:t>
            </w:r>
            <w:r w:rsidR="008E5611">
              <w:rPr>
                <w:rFonts w:ascii="Tahoma" w:hAnsi="Tahoma" w:cs="Tahoma"/>
                <w:sz w:val="20"/>
              </w:rPr>
              <w:t>n appropriate</w:t>
            </w:r>
            <w:r>
              <w:rPr>
                <w:rFonts w:ascii="Tahoma" w:hAnsi="Tahoma" w:cs="Tahoma"/>
                <w:sz w:val="20"/>
              </w:rPr>
              <w:t xml:space="preserve"> cost allocator </w:t>
            </w:r>
            <w:r w:rsidR="008E5611">
              <w:rPr>
                <w:rFonts w:ascii="Tahoma" w:hAnsi="Tahoma" w:cs="Tahoma"/>
                <w:sz w:val="20"/>
              </w:rPr>
              <w:t xml:space="preserve">and </w:t>
            </w:r>
            <w:r>
              <w:rPr>
                <w:rFonts w:ascii="Tahoma" w:hAnsi="Tahoma" w:cs="Tahoma"/>
                <w:sz w:val="20"/>
              </w:rPr>
              <w:t>is consistent with the allocation of</w:t>
            </w:r>
            <w:r w:rsidR="008E5611">
              <w:rPr>
                <w:rFonts w:ascii="Tahoma" w:hAnsi="Tahoma" w:cs="Tahoma"/>
                <w:sz w:val="20"/>
              </w:rPr>
              <w:t xml:space="preserve"> other relevant costs (e.g.</w:t>
            </w:r>
            <w:r>
              <w:rPr>
                <w:rFonts w:ascii="Tahoma" w:hAnsi="Tahoma" w:cs="Tahoma"/>
                <w:sz w:val="20"/>
              </w:rPr>
              <w:t xml:space="preserve"> Debt </w:t>
            </w:r>
            <w:r w:rsidR="00B75F93">
              <w:rPr>
                <w:rFonts w:ascii="Tahoma" w:hAnsi="Tahoma" w:cs="Tahoma"/>
                <w:sz w:val="20"/>
              </w:rPr>
              <w:t>R</w:t>
            </w:r>
            <w:r>
              <w:rPr>
                <w:rFonts w:ascii="Tahoma" w:hAnsi="Tahoma" w:cs="Tahoma"/>
                <w:sz w:val="20"/>
              </w:rPr>
              <w:t xml:space="preserve">aising </w:t>
            </w:r>
            <w:r w:rsidR="00B75F93">
              <w:rPr>
                <w:rFonts w:ascii="Tahoma" w:hAnsi="Tahoma" w:cs="Tahoma"/>
                <w:sz w:val="20"/>
              </w:rPr>
              <w:t>C</w:t>
            </w:r>
            <w:r>
              <w:rPr>
                <w:rFonts w:ascii="Tahoma" w:hAnsi="Tahoma" w:cs="Tahoma"/>
                <w:sz w:val="20"/>
              </w:rPr>
              <w:t>osts</w:t>
            </w:r>
            <w:r w:rsidR="008E5611">
              <w:rPr>
                <w:rFonts w:ascii="Tahoma" w:hAnsi="Tahoma" w:cs="Tahoma"/>
                <w:sz w:val="20"/>
              </w:rPr>
              <w:t>)</w:t>
            </w:r>
            <w:r>
              <w:rPr>
                <w:rFonts w:ascii="Tahoma" w:hAnsi="Tahoma" w:cs="Tahoma"/>
                <w:sz w:val="20"/>
              </w:rPr>
              <w:t>, as set out in the Cost Allocation Methodology document (and supplementary information provided</w:t>
            </w:r>
            <w:r w:rsidR="00FD3BFF">
              <w:rPr>
                <w:rFonts w:ascii="Tahoma" w:hAnsi="Tahoma" w:cs="Tahoma"/>
                <w:sz w:val="20"/>
              </w:rPr>
              <w:t xml:space="preserve"> in</w:t>
            </w:r>
            <w:r>
              <w:rPr>
                <w:rFonts w:ascii="Tahoma" w:hAnsi="Tahoma" w:cs="Tahoma"/>
                <w:sz w:val="20"/>
              </w:rPr>
              <w:t xml:space="preserve"> </w:t>
            </w:r>
            <w:r w:rsidR="00FD3BFF">
              <w:rPr>
                <w:rFonts w:ascii="Tahoma" w:hAnsi="Tahoma" w:cs="Tahoma"/>
                <w:sz w:val="20"/>
              </w:rPr>
              <w:t>Appendix H of</w:t>
            </w:r>
            <w:r>
              <w:rPr>
                <w:rFonts w:ascii="Tahoma" w:hAnsi="Tahoma" w:cs="Tahoma"/>
                <w:sz w:val="20"/>
              </w:rPr>
              <w:t xml:space="preserve"> this </w:t>
            </w:r>
            <w:r w:rsidR="00FD3BFF">
              <w:rPr>
                <w:rFonts w:ascii="Tahoma" w:hAnsi="Tahoma" w:cs="Tahoma"/>
                <w:sz w:val="20"/>
              </w:rPr>
              <w:t>Basis of Preparation document</w:t>
            </w:r>
            <w:r>
              <w:rPr>
                <w:rFonts w:ascii="Tahoma" w:hAnsi="Tahoma" w:cs="Tahoma"/>
                <w:sz w:val="20"/>
              </w:rPr>
              <w:t xml:space="preserve">), AGN Limited considers this amount to be actual information.  </w:t>
            </w:r>
          </w:p>
        </w:tc>
        <w:tc>
          <w:tcPr>
            <w:tcW w:w="839" w:type="pct"/>
            <w:tcBorders>
              <w:top w:val="single" w:sz="4" w:space="0" w:color="00B0F0"/>
              <w:bottom w:val="single" w:sz="4" w:space="0" w:color="00B0F0"/>
            </w:tcBorders>
            <w:vAlign w:val="center"/>
          </w:tcPr>
          <w:p w14:paraId="6C3C6D85"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997" w:type="pct"/>
            <w:tcBorders>
              <w:top w:val="single" w:sz="4" w:space="0" w:color="00B0F0"/>
              <w:bottom w:val="single" w:sz="4" w:space="0" w:color="00B0F0"/>
            </w:tcBorders>
            <w:vAlign w:val="center"/>
          </w:tcPr>
          <w:p w14:paraId="654271F0"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4119F04F"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5A0A1DF5" w14:textId="77777777" w:rsidTr="001C016D">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7164F8B0"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Loss from sales of fixed assets</w:t>
            </w:r>
          </w:p>
        </w:tc>
        <w:tc>
          <w:tcPr>
            <w:tcW w:w="1735" w:type="pct"/>
            <w:tcBorders>
              <w:top w:val="single" w:sz="4" w:space="0" w:color="00B0F0"/>
              <w:bottom w:val="single" w:sz="4" w:space="0" w:color="00B0F0"/>
            </w:tcBorders>
            <w:vAlign w:val="center"/>
          </w:tcPr>
          <w:p w14:paraId="49A57B36" w14:textId="5B25697B" w:rsidR="009D5573" w:rsidRPr="00751816" w:rsidRDefault="000E094F" w:rsidP="00B013F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There was no </w:t>
            </w:r>
            <w:r w:rsidR="00FB03CC">
              <w:rPr>
                <w:rFonts w:ascii="Tahoma" w:hAnsi="Tahoma" w:cs="Tahoma"/>
                <w:sz w:val="20"/>
              </w:rPr>
              <w:t>loss</w:t>
            </w:r>
            <w:r>
              <w:rPr>
                <w:rFonts w:ascii="Tahoma" w:hAnsi="Tahoma" w:cs="Tahoma"/>
                <w:sz w:val="20"/>
              </w:rPr>
              <w:t xml:space="preserve"> from sale</w:t>
            </w:r>
            <w:r w:rsidR="00C21AA4">
              <w:rPr>
                <w:rFonts w:ascii="Tahoma" w:hAnsi="Tahoma" w:cs="Tahoma"/>
                <w:sz w:val="20"/>
              </w:rPr>
              <w:t>s</w:t>
            </w:r>
            <w:r>
              <w:rPr>
                <w:rFonts w:ascii="Tahoma" w:hAnsi="Tahoma" w:cs="Tahoma"/>
                <w:sz w:val="20"/>
              </w:rPr>
              <w:t xml:space="preserve"> of fixed assets for AGN (SA) in 2019/20, therefore there is no amount to report for this category of expenditure.</w:t>
            </w:r>
          </w:p>
        </w:tc>
        <w:tc>
          <w:tcPr>
            <w:tcW w:w="839" w:type="pct"/>
            <w:tcBorders>
              <w:top w:val="single" w:sz="4" w:space="0" w:color="00B0F0"/>
              <w:bottom w:val="single" w:sz="4" w:space="0" w:color="00B0F0"/>
            </w:tcBorders>
            <w:vAlign w:val="center"/>
          </w:tcPr>
          <w:p w14:paraId="6C74A972"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52956AA8"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49298CC4"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114458C7" w14:textId="77777777" w:rsidTr="001C016D">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512C2947"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 xml:space="preserve">Impairment losses </w:t>
            </w:r>
          </w:p>
        </w:tc>
        <w:tc>
          <w:tcPr>
            <w:tcW w:w="1735" w:type="pct"/>
            <w:tcBorders>
              <w:top w:val="single" w:sz="4" w:space="0" w:color="00B0F0"/>
              <w:bottom w:val="single" w:sz="4" w:space="0" w:color="00B0F0"/>
            </w:tcBorders>
            <w:vAlign w:val="center"/>
          </w:tcPr>
          <w:p w14:paraId="26386A80" w14:textId="4E24CC45" w:rsidR="009D5573" w:rsidRPr="00751816" w:rsidRDefault="000E094F" w:rsidP="00B013F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There was no impairment losses for AGN (SA) in 2019/20, therefore there is no amount to report for this category of expenditure.</w:t>
            </w:r>
          </w:p>
        </w:tc>
        <w:tc>
          <w:tcPr>
            <w:tcW w:w="839" w:type="pct"/>
            <w:tcBorders>
              <w:top w:val="single" w:sz="4" w:space="0" w:color="00B0F0"/>
              <w:bottom w:val="single" w:sz="4" w:space="0" w:color="00B0F0"/>
            </w:tcBorders>
            <w:vAlign w:val="center"/>
          </w:tcPr>
          <w:p w14:paraId="5D5A84F1"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74AB0696"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60289E0E"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2AB4B659" w14:textId="77777777" w:rsidTr="001C016D">
        <w:trPr>
          <w:trHeight w:val="5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D9D9D9" w:themeFill="background1" w:themeFillShade="D9"/>
            <w:vAlign w:val="center"/>
          </w:tcPr>
          <w:p w14:paraId="263F2C2B"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 xml:space="preserve">Other expenses </w:t>
            </w:r>
          </w:p>
        </w:tc>
        <w:tc>
          <w:tcPr>
            <w:tcW w:w="1735" w:type="pct"/>
            <w:tcBorders>
              <w:top w:val="single" w:sz="4" w:space="0" w:color="00B0F0"/>
              <w:bottom w:val="single" w:sz="4" w:space="0" w:color="00B0F0"/>
            </w:tcBorders>
            <w:vAlign w:val="center"/>
          </w:tcPr>
          <w:p w14:paraId="608E46B6" w14:textId="7E80DB19" w:rsidR="009D5573" w:rsidRPr="00751816" w:rsidRDefault="00795048" w:rsidP="00F137F5">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There is </w:t>
            </w:r>
            <w:r w:rsidR="009D5573">
              <w:rPr>
                <w:rFonts w:ascii="Tahoma" w:hAnsi="Tahoma" w:cs="Tahoma"/>
                <w:sz w:val="20"/>
              </w:rPr>
              <w:t>no other expenditure to be reported in this category of Other expenses</w:t>
            </w:r>
            <w:r>
              <w:rPr>
                <w:rFonts w:ascii="Tahoma" w:hAnsi="Tahoma" w:cs="Tahoma"/>
                <w:sz w:val="20"/>
              </w:rPr>
              <w:t xml:space="preserve"> for AGN (SA)</w:t>
            </w:r>
            <w:r w:rsidR="009D5573">
              <w:rPr>
                <w:rFonts w:ascii="Tahoma" w:hAnsi="Tahoma" w:cs="Tahoma"/>
                <w:sz w:val="20"/>
              </w:rPr>
              <w:t xml:space="preserve">.  All of the expenditure in </w:t>
            </w:r>
            <w:r>
              <w:rPr>
                <w:rFonts w:ascii="Tahoma" w:hAnsi="Tahoma" w:cs="Tahoma"/>
                <w:sz w:val="20"/>
              </w:rPr>
              <w:t xml:space="preserve">the trial balance for AGN (SA) </w:t>
            </w:r>
            <w:r w:rsidR="009D5573">
              <w:rPr>
                <w:rFonts w:ascii="Tahoma" w:hAnsi="Tahoma" w:cs="Tahoma"/>
                <w:sz w:val="20"/>
              </w:rPr>
              <w:t>is shown in the other categories of this RIN table above.</w:t>
            </w:r>
          </w:p>
        </w:tc>
        <w:tc>
          <w:tcPr>
            <w:tcW w:w="839" w:type="pct"/>
            <w:tcBorders>
              <w:top w:val="single" w:sz="4" w:space="0" w:color="00B0F0"/>
              <w:bottom w:val="single" w:sz="4" w:space="0" w:color="00B0F0"/>
            </w:tcBorders>
            <w:vAlign w:val="center"/>
          </w:tcPr>
          <w:p w14:paraId="4D3B8CD5"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997" w:type="pct"/>
            <w:tcBorders>
              <w:top w:val="single" w:sz="4" w:space="0" w:color="00B0F0"/>
              <w:bottom w:val="single" w:sz="4" w:space="0" w:color="00B0F0"/>
            </w:tcBorders>
            <w:vAlign w:val="center"/>
          </w:tcPr>
          <w:p w14:paraId="0096A39F"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98" w:type="pct"/>
            <w:tcBorders>
              <w:top w:val="single" w:sz="4" w:space="0" w:color="00B0F0"/>
              <w:bottom w:val="single" w:sz="4" w:space="0" w:color="00B0F0"/>
            </w:tcBorders>
            <w:vAlign w:val="center"/>
          </w:tcPr>
          <w:p w14:paraId="2E0FAEE1"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5B98CB54" w14:textId="77777777" w:rsidR="000E6150" w:rsidRPr="00C97516" w:rsidRDefault="000E6150">
      <w:pPr>
        <w:rPr>
          <w:rFonts w:ascii="Tahoma" w:hAnsi="Tahoma" w:cs="Tahoma"/>
          <w:color w:val="00B0F0"/>
        </w:rPr>
      </w:pPr>
    </w:p>
    <w:p w14:paraId="66DB9E35" w14:textId="77777777" w:rsidR="00641102" w:rsidRDefault="00641102">
      <w:pPr>
        <w:rPr>
          <w:rFonts w:ascii="Tahoma" w:hAnsi="Tahoma" w:cs="Tahoma"/>
          <w:color w:val="00B0F0"/>
        </w:rPr>
      </w:pPr>
      <w:r>
        <w:rPr>
          <w:rFonts w:ascii="Tahoma" w:hAnsi="Tahoma" w:cs="Tahoma"/>
          <w:color w:val="00B0F0"/>
        </w:rPr>
        <w:br w:type="page"/>
      </w:r>
    </w:p>
    <w:p w14:paraId="63F359F4" w14:textId="799511DF" w:rsidR="009A02E9" w:rsidRDefault="009A02E9">
      <w:pPr>
        <w:rPr>
          <w:rFonts w:ascii="Tahoma" w:hAnsi="Tahoma" w:cs="Tahoma"/>
          <w:color w:val="00B0F0"/>
        </w:rPr>
      </w:pPr>
      <w:r w:rsidRPr="00C97516">
        <w:rPr>
          <w:rFonts w:ascii="Tahoma" w:hAnsi="Tahoma" w:cs="Tahoma"/>
          <w:color w:val="00B0F0"/>
        </w:rPr>
        <w:lastRenderedPageBreak/>
        <w:t xml:space="preserve">F1.1.3 – Profit </w:t>
      </w:r>
    </w:p>
    <w:tbl>
      <w:tblPr>
        <w:tblStyle w:val="UETableStyle"/>
        <w:tblW w:w="4954"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4"/>
        <w:gridCol w:w="4733"/>
        <w:gridCol w:w="2287"/>
        <w:gridCol w:w="2913"/>
        <w:gridCol w:w="1903"/>
      </w:tblGrid>
      <w:tr w:rsidR="00663904" w:rsidRPr="00751816" w14:paraId="4A6E772E" w14:textId="77777777" w:rsidTr="00C53252">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21" w:type="pct"/>
            <w:tcBorders>
              <w:bottom w:val="single" w:sz="4" w:space="0" w:color="00B0F0"/>
            </w:tcBorders>
            <w:shd w:val="clear" w:color="auto" w:fill="003C71"/>
            <w:hideMark/>
          </w:tcPr>
          <w:p w14:paraId="58C26731" w14:textId="1A408251" w:rsidR="00663904" w:rsidRPr="00751816" w:rsidRDefault="00663904" w:rsidP="001664CF">
            <w:pPr>
              <w:rPr>
                <w:rFonts w:ascii="Tahoma" w:hAnsi="Tahoma" w:cs="Tahoma"/>
                <w:b/>
                <w:color w:val="FFFFFF"/>
                <w:sz w:val="20"/>
              </w:rPr>
            </w:pPr>
            <w:r w:rsidRPr="00751816">
              <w:rPr>
                <w:rFonts w:ascii="Tahoma" w:hAnsi="Tahoma" w:cs="Tahoma"/>
                <w:b/>
                <w:color w:val="FFFFFF"/>
                <w:sz w:val="20"/>
              </w:rPr>
              <w:t xml:space="preserve">Variable </w:t>
            </w:r>
          </w:p>
        </w:tc>
        <w:tc>
          <w:tcPr>
            <w:tcW w:w="1711" w:type="pct"/>
            <w:tcBorders>
              <w:bottom w:val="single" w:sz="4" w:space="0" w:color="00B0F0"/>
            </w:tcBorders>
            <w:shd w:val="clear" w:color="auto" w:fill="003C71"/>
          </w:tcPr>
          <w:p w14:paraId="34FDB6F1"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27" w:type="pct"/>
            <w:tcBorders>
              <w:bottom w:val="single" w:sz="4" w:space="0" w:color="00B0F0"/>
            </w:tcBorders>
            <w:shd w:val="clear" w:color="auto" w:fill="003C71"/>
          </w:tcPr>
          <w:p w14:paraId="046003DC"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053" w:type="pct"/>
            <w:tcBorders>
              <w:bottom w:val="single" w:sz="4" w:space="0" w:color="00B0F0"/>
            </w:tcBorders>
            <w:shd w:val="clear" w:color="auto" w:fill="003C71"/>
          </w:tcPr>
          <w:p w14:paraId="7280CD42"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88" w:type="pct"/>
            <w:tcBorders>
              <w:bottom w:val="single" w:sz="4" w:space="0" w:color="00B0F0"/>
            </w:tcBorders>
            <w:shd w:val="clear" w:color="auto" w:fill="003C71"/>
          </w:tcPr>
          <w:p w14:paraId="524F61F9"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663904" w:rsidRPr="00751816" w14:paraId="4C36DF5C" w14:textId="77777777" w:rsidTr="001664CF">
        <w:trPr>
          <w:trHeight w:val="283"/>
        </w:trPr>
        <w:tc>
          <w:tcPr>
            <w:cnfStyle w:val="001000000000" w:firstRow="0" w:lastRow="0" w:firstColumn="1" w:lastColumn="0" w:oddVBand="0" w:evenVBand="0" w:oddHBand="0" w:evenHBand="0" w:firstRowFirstColumn="0" w:firstRowLastColumn="0" w:lastRowFirstColumn="0" w:lastRowLastColumn="0"/>
            <w:tcW w:w="721" w:type="pct"/>
            <w:tcBorders>
              <w:top w:val="single" w:sz="4" w:space="0" w:color="00B0F0"/>
              <w:bottom w:val="single" w:sz="4" w:space="0" w:color="00B0F0"/>
            </w:tcBorders>
            <w:shd w:val="clear" w:color="auto" w:fill="00A3E0"/>
            <w:vAlign w:val="center"/>
          </w:tcPr>
          <w:p w14:paraId="0ADF04DE" w14:textId="60B46B3D" w:rsidR="00663904" w:rsidRDefault="00DD6B14" w:rsidP="001C016D">
            <w:pPr>
              <w:spacing w:before="120" w:after="120" w:line="240" w:lineRule="atLeast"/>
              <w:contextualSpacing/>
              <w:rPr>
                <w:rFonts w:ascii="Tahoma" w:hAnsi="Tahoma" w:cs="Tahoma"/>
                <w:sz w:val="20"/>
              </w:rPr>
            </w:pPr>
            <w:r>
              <w:rPr>
                <w:rFonts w:ascii="Tahoma" w:hAnsi="Tahoma" w:cs="Tahoma"/>
                <w:sz w:val="20"/>
              </w:rPr>
              <w:t>2019/20</w:t>
            </w:r>
          </w:p>
        </w:tc>
        <w:tc>
          <w:tcPr>
            <w:tcW w:w="1711" w:type="pct"/>
            <w:tcBorders>
              <w:top w:val="single" w:sz="4" w:space="0" w:color="00B0F0"/>
              <w:bottom w:val="single" w:sz="4" w:space="0" w:color="00B0F0"/>
            </w:tcBorders>
            <w:shd w:val="clear" w:color="auto" w:fill="00A3E0"/>
            <w:vAlign w:val="center"/>
          </w:tcPr>
          <w:p w14:paraId="28CA745E"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27" w:type="pct"/>
            <w:tcBorders>
              <w:top w:val="single" w:sz="4" w:space="0" w:color="00B0F0"/>
              <w:bottom w:val="single" w:sz="4" w:space="0" w:color="00B0F0"/>
            </w:tcBorders>
            <w:shd w:val="clear" w:color="auto" w:fill="00A3E0"/>
            <w:vAlign w:val="center"/>
          </w:tcPr>
          <w:p w14:paraId="79DF0B11"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1053" w:type="pct"/>
            <w:tcBorders>
              <w:top w:val="single" w:sz="4" w:space="0" w:color="00B0F0"/>
              <w:bottom w:val="single" w:sz="4" w:space="0" w:color="00B0F0"/>
            </w:tcBorders>
            <w:shd w:val="clear" w:color="auto" w:fill="00A3E0"/>
            <w:vAlign w:val="center"/>
          </w:tcPr>
          <w:p w14:paraId="7CB891F8"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8" w:type="pct"/>
            <w:tcBorders>
              <w:top w:val="single" w:sz="4" w:space="0" w:color="00B0F0"/>
              <w:bottom w:val="single" w:sz="4" w:space="0" w:color="00B0F0"/>
            </w:tcBorders>
            <w:shd w:val="clear" w:color="auto" w:fill="00A3E0"/>
            <w:vAlign w:val="center"/>
          </w:tcPr>
          <w:p w14:paraId="4FC4CE9B"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1959A3" w:rsidRPr="00751816" w14:paraId="70CCFFEA" w14:textId="77777777" w:rsidTr="007508AB">
        <w:trPr>
          <w:trHeight w:val="583"/>
        </w:trPr>
        <w:tc>
          <w:tcPr>
            <w:cnfStyle w:val="001000000000" w:firstRow="0" w:lastRow="0" w:firstColumn="1" w:lastColumn="0" w:oddVBand="0" w:evenVBand="0" w:oddHBand="0" w:evenHBand="0" w:firstRowFirstColumn="0" w:firstRowLastColumn="0" w:lastRowFirstColumn="0" w:lastRowLastColumn="0"/>
            <w:tcW w:w="721" w:type="pct"/>
            <w:tcBorders>
              <w:top w:val="single" w:sz="4" w:space="0" w:color="00B0F0"/>
              <w:bottom w:val="single" w:sz="4" w:space="0" w:color="00B0F0"/>
            </w:tcBorders>
            <w:shd w:val="clear" w:color="auto" w:fill="D9D9D9" w:themeFill="background1" w:themeFillShade="D9"/>
            <w:vAlign w:val="center"/>
          </w:tcPr>
          <w:p w14:paraId="70239819" w14:textId="77777777" w:rsidR="001959A3" w:rsidRDefault="001959A3" w:rsidP="001959A3">
            <w:pPr>
              <w:spacing w:before="120" w:after="120" w:line="240" w:lineRule="atLeast"/>
              <w:contextualSpacing/>
              <w:rPr>
                <w:rFonts w:ascii="Tahoma" w:hAnsi="Tahoma" w:cs="Tahoma"/>
                <w:sz w:val="20"/>
              </w:rPr>
            </w:pPr>
            <w:r>
              <w:rPr>
                <w:rFonts w:ascii="Tahoma" w:hAnsi="Tahoma" w:cs="Tahoma"/>
                <w:sz w:val="20"/>
              </w:rPr>
              <w:t xml:space="preserve">Income tax expenses / benefits   </w:t>
            </w:r>
          </w:p>
        </w:tc>
        <w:tc>
          <w:tcPr>
            <w:tcW w:w="1711" w:type="pct"/>
            <w:tcBorders>
              <w:top w:val="single" w:sz="4" w:space="0" w:color="00B0F0"/>
              <w:bottom w:val="single" w:sz="4" w:space="0" w:color="00B0F0"/>
            </w:tcBorders>
          </w:tcPr>
          <w:p w14:paraId="39848B23" w14:textId="7CB8135C" w:rsidR="009C25C7" w:rsidRDefault="001959A3" w:rsidP="007508A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amount of income tax expense reported in this table has been derived from the trial balance for AGN (SA).  </w:t>
            </w:r>
            <w:r w:rsidR="00F137F5">
              <w:rPr>
                <w:rFonts w:ascii="Tahoma" w:hAnsi="Tahoma" w:cs="Tahoma"/>
                <w:sz w:val="20"/>
              </w:rPr>
              <w:t>As noted here, this is estimated financial information and therefore was reviewed by AGN Limited’s external auditors.</w:t>
            </w:r>
          </w:p>
          <w:p w14:paraId="3CA9A63A" w14:textId="77777777" w:rsidR="009C25C7" w:rsidRDefault="009C25C7" w:rsidP="007508A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08EE275" w14:textId="6C77D11A" w:rsidR="001959A3" w:rsidRPr="00751816" w:rsidRDefault="001959A3" w:rsidP="007508A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Limited and its subsidiaries are </w:t>
            </w:r>
            <w:r w:rsidR="00173298">
              <w:rPr>
                <w:rFonts w:ascii="Tahoma" w:hAnsi="Tahoma" w:cs="Tahoma"/>
                <w:sz w:val="20"/>
              </w:rPr>
              <w:t xml:space="preserve">treated as </w:t>
            </w:r>
            <w:r>
              <w:rPr>
                <w:rFonts w:ascii="Tahoma" w:hAnsi="Tahoma" w:cs="Tahoma"/>
                <w:sz w:val="20"/>
              </w:rPr>
              <w:t xml:space="preserve">a group for corporate </w:t>
            </w:r>
            <w:r w:rsidR="009C25C7">
              <w:rPr>
                <w:rFonts w:ascii="Tahoma" w:hAnsi="Tahoma" w:cs="Tahoma"/>
                <w:sz w:val="20"/>
              </w:rPr>
              <w:t xml:space="preserve">income </w:t>
            </w:r>
            <w:r>
              <w:rPr>
                <w:rFonts w:ascii="Tahoma" w:hAnsi="Tahoma" w:cs="Tahoma"/>
                <w:sz w:val="20"/>
              </w:rPr>
              <w:t xml:space="preserve">tax purposes and as already explained, has operated on a calendar-year </w:t>
            </w:r>
            <w:r w:rsidR="00173298">
              <w:rPr>
                <w:rFonts w:ascii="Tahoma" w:hAnsi="Tahoma" w:cs="Tahoma"/>
                <w:sz w:val="20"/>
              </w:rPr>
              <w:t>cycle</w:t>
            </w:r>
            <w:r>
              <w:rPr>
                <w:rFonts w:ascii="Tahoma" w:hAnsi="Tahoma" w:cs="Tahoma"/>
                <w:sz w:val="20"/>
              </w:rPr>
              <w:t xml:space="preserve"> for tax purposes since acquisition by the current owners on 29 August 2014.  As a result, in developing a trial balance for AGN (SA), a simplified approach was taken in relation to calculating income tax</w:t>
            </w:r>
            <w:r w:rsidR="00173298">
              <w:rPr>
                <w:rFonts w:ascii="Tahoma" w:hAnsi="Tahoma" w:cs="Tahoma"/>
                <w:sz w:val="20"/>
              </w:rPr>
              <w:t xml:space="preserve"> expenses</w:t>
            </w:r>
            <w:r>
              <w:rPr>
                <w:rFonts w:ascii="Tahoma" w:hAnsi="Tahoma" w:cs="Tahoma"/>
                <w:sz w:val="20"/>
              </w:rPr>
              <w:t>.  The income tax expense for AGN (SA) has been calculated by multiplying the profit before tax, as determined in the AGN (SA) trial balance</w:t>
            </w:r>
            <w:r w:rsidR="00B13A7D">
              <w:rPr>
                <w:rFonts w:ascii="Tahoma" w:hAnsi="Tahoma" w:cs="Tahoma"/>
                <w:sz w:val="20"/>
              </w:rPr>
              <w:t xml:space="preserve"> (and reported in this table)</w:t>
            </w:r>
            <w:r>
              <w:rPr>
                <w:rFonts w:ascii="Tahoma" w:hAnsi="Tahoma" w:cs="Tahoma"/>
                <w:sz w:val="20"/>
              </w:rPr>
              <w:t>, by the corporate income tax rate of 30%.</w:t>
            </w:r>
          </w:p>
        </w:tc>
        <w:tc>
          <w:tcPr>
            <w:tcW w:w="827" w:type="pct"/>
            <w:tcBorders>
              <w:top w:val="single" w:sz="4" w:space="0" w:color="00B0F0"/>
              <w:bottom w:val="single" w:sz="4" w:space="0" w:color="00B0F0"/>
            </w:tcBorders>
            <w:vAlign w:val="center"/>
          </w:tcPr>
          <w:p w14:paraId="24926139" w14:textId="2C91199E" w:rsidR="001959A3" w:rsidRPr="00751816" w:rsidRDefault="001959A3" w:rsidP="001959A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Estimate</w:t>
            </w:r>
          </w:p>
        </w:tc>
        <w:tc>
          <w:tcPr>
            <w:tcW w:w="1053" w:type="pct"/>
            <w:tcBorders>
              <w:top w:val="single" w:sz="4" w:space="0" w:color="00B0F0"/>
              <w:bottom w:val="single" w:sz="4" w:space="0" w:color="00B0F0"/>
            </w:tcBorders>
            <w:vAlign w:val="center"/>
          </w:tcPr>
          <w:p w14:paraId="1EA87C75" w14:textId="292DE52C" w:rsidR="001959A3" w:rsidRPr="00751816" w:rsidRDefault="001959A3" w:rsidP="002A0E65">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E049E1">
              <w:rPr>
                <w:rFonts w:ascii="Tahoma" w:hAnsi="Tahoma" w:cs="Tahoma"/>
                <w:sz w:val="20"/>
              </w:rPr>
              <w:t xml:space="preserve">Given the actual income tax expenses for AGN Limited is determined for the consolidated group and not specifically for the SA distribution business, the approach has been to calculate income tax expenses for the purpose of </w:t>
            </w:r>
            <w:r>
              <w:rPr>
                <w:rFonts w:ascii="Tahoma" w:hAnsi="Tahoma" w:cs="Tahoma"/>
                <w:sz w:val="20"/>
              </w:rPr>
              <w:t>the AGN (SA) trial balance</w:t>
            </w:r>
            <w:r w:rsidRPr="00E049E1">
              <w:rPr>
                <w:rFonts w:ascii="Tahoma" w:hAnsi="Tahoma" w:cs="Tahoma"/>
                <w:sz w:val="20"/>
              </w:rPr>
              <w:t xml:space="preserve">, by applying the standard corporate tax rate of 30% to the Profit (before tax) figure as reported in this table.  For this reason, AGN Limited considers the Income tax expense amount being reported in this table, to be estimated information.  As </w:t>
            </w:r>
            <w:r>
              <w:rPr>
                <w:rFonts w:ascii="Tahoma" w:hAnsi="Tahoma" w:cs="Tahoma"/>
                <w:sz w:val="20"/>
              </w:rPr>
              <w:t xml:space="preserve">such, </w:t>
            </w:r>
            <w:r w:rsidR="00173298">
              <w:rPr>
                <w:rFonts w:ascii="Tahoma" w:hAnsi="Tahoma" w:cs="Tahoma"/>
                <w:sz w:val="20"/>
              </w:rPr>
              <w:t xml:space="preserve">this </w:t>
            </w:r>
            <w:r>
              <w:rPr>
                <w:rFonts w:ascii="Tahoma" w:hAnsi="Tahoma" w:cs="Tahoma"/>
                <w:sz w:val="20"/>
              </w:rPr>
              <w:t>information has been reviewed by AGN Limited’s external auditor in accordance with the requirements of Appendix C of the Annual RIN.</w:t>
            </w:r>
          </w:p>
        </w:tc>
        <w:tc>
          <w:tcPr>
            <w:tcW w:w="688" w:type="pct"/>
            <w:tcBorders>
              <w:top w:val="single" w:sz="4" w:space="0" w:color="00B0F0"/>
              <w:bottom w:val="single" w:sz="4" w:space="0" w:color="00B0F0"/>
            </w:tcBorders>
            <w:vAlign w:val="center"/>
          </w:tcPr>
          <w:p w14:paraId="40BB698C" w14:textId="77777777" w:rsidR="001959A3" w:rsidRPr="00751816" w:rsidRDefault="001959A3" w:rsidP="001959A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2135B46E" w14:textId="77777777" w:rsidR="003531DD" w:rsidRPr="00C97516" w:rsidRDefault="003531DD">
      <w:pPr>
        <w:rPr>
          <w:rFonts w:ascii="Tahoma" w:hAnsi="Tahoma" w:cs="Tahoma"/>
          <w:color w:val="00B0F0"/>
        </w:rPr>
      </w:pPr>
    </w:p>
    <w:p w14:paraId="41C188DC" w14:textId="77777777" w:rsidR="00E049E1" w:rsidRDefault="00E049E1">
      <w:pPr>
        <w:rPr>
          <w:rFonts w:ascii="Tahoma" w:eastAsiaTheme="majorEastAsia" w:hAnsi="Tahoma" w:cs="Tahoma"/>
          <w:color w:val="003C71"/>
          <w:sz w:val="26"/>
          <w:szCs w:val="26"/>
        </w:rPr>
      </w:pPr>
      <w:r>
        <w:rPr>
          <w:rFonts w:ascii="Tahoma" w:hAnsi="Tahoma" w:cs="Tahoma"/>
          <w:color w:val="003C71"/>
        </w:rPr>
        <w:br w:type="page"/>
      </w:r>
    </w:p>
    <w:p w14:paraId="09CED1FE" w14:textId="649BA2CD" w:rsidR="009A02E9" w:rsidRDefault="00AB33C5" w:rsidP="00C97516">
      <w:pPr>
        <w:pStyle w:val="Heading2"/>
        <w:rPr>
          <w:rFonts w:ascii="Tahoma" w:hAnsi="Tahoma" w:cs="Tahoma"/>
          <w:color w:val="003C71"/>
        </w:rPr>
      </w:pPr>
      <w:bookmarkStart w:id="34" w:name="_Toc57314079"/>
      <w:r w:rsidRPr="00C97516">
        <w:rPr>
          <w:rFonts w:ascii="Tahoma" w:hAnsi="Tahoma" w:cs="Tahoma"/>
          <w:color w:val="003C71"/>
        </w:rPr>
        <w:lastRenderedPageBreak/>
        <w:t>F1.</w:t>
      </w:r>
      <w:r w:rsidR="009A02E9" w:rsidRPr="00C97516">
        <w:rPr>
          <w:rFonts w:ascii="Tahoma" w:hAnsi="Tahoma" w:cs="Tahoma"/>
          <w:color w:val="003C71"/>
        </w:rPr>
        <w:t>2 – Adjustments</w:t>
      </w:r>
      <w:bookmarkEnd w:id="34"/>
      <w:r w:rsidR="009A02E9" w:rsidRPr="00C97516">
        <w:rPr>
          <w:rFonts w:ascii="Tahoma" w:hAnsi="Tahoma" w:cs="Tahoma"/>
          <w:color w:val="003C71"/>
        </w:rPr>
        <w:t xml:space="preserve"> </w:t>
      </w:r>
    </w:p>
    <w:p w14:paraId="5E5AA369" w14:textId="77777777" w:rsidR="009A02E9" w:rsidRDefault="009A02E9" w:rsidP="009A02E9">
      <w:pPr>
        <w:rPr>
          <w:rFonts w:ascii="Tahoma" w:hAnsi="Tahoma" w:cs="Tahoma"/>
          <w:color w:val="00B0F0"/>
        </w:rPr>
      </w:pPr>
      <w:r w:rsidRPr="00C97516">
        <w:rPr>
          <w:rFonts w:ascii="Tahoma" w:hAnsi="Tahoma" w:cs="Tahoma"/>
          <w:color w:val="00B0F0"/>
        </w:rPr>
        <w:t xml:space="preserve">F1.2.1 – Revenue </w:t>
      </w:r>
    </w:p>
    <w:tbl>
      <w:tblPr>
        <w:tblStyle w:val="UETableStyle"/>
        <w:tblW w:w="5000"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1"/>
        <w:gridCol w:w="4726"/>
        <w:gridCol w:w="2286"/>
        <w:gridCol w:w="3054"/>
        <w:gridCol w:w="1901"/>
      </w:tblGrid>
      <w:tr w:rsidR="00663904" w:rsidRPr="00751816" w14:paraId="500CE7CF" w14:textId="77777777" w:rsidTr="00C53252">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13" w:type="pct"/>
            <w:tcBorders>
              <w:bottom w:val="single" w:sz="4" w:space="0" w:color="00B0F0"/>
            </w:tcBorders>
            <w:shd w:val="clear" w:color="auto" w:fill="003C71"/>
            <w:hideMark/>
          </w:tcPr>
          <w:p w14:paraId="03EB3C8F" w14:textId="2BFCBF38" w:rsidR="00663904" w:rsidRPr="00751816" w:rsidRDefault="00663904" w:rsidP="001664CF">
            <w:pPr>
              <w:rPr>
                <w:rFonts w:ascii="Tahoma" w:hAnsi="Tahoma" w:cs="Tahoma"/>
                <w:b/>
                <w:color w:val="FFFFFF"/>
                <w:sz w:val="20"/>
              </w:rPr>
            </w:pPr>
            <w:r w:rsidRPr="00751816">
              <w:rPr>
                <w:rFonts w:ascii="Tahoma" w:hAnsi="Tahoma" w:cs="Tahoma"/>
                <w:b/>
                <w:color w:val="FFFFFF"/>
                <w:sz w:val="20"/>
              </w:rPr>
              <w:t xml:space="preserve">Variable </w:t>
            </w:r>
          </w:p>
        </w:tc>
        <w:tc>
          <w:tcPr>
            <w:tcW w:w="1693" w:type="pct"/>
            <w:tcBorders>
              <w:bottom w:val="single" w:sz="4" w:space="0" w:color="00B0F0"/>
            </w:tcBorders>
            <w:shd w:val="clear" w:color="auto" w:fill="003C71"/>
          </w:tcPr>
          <w:p w14:paraId="727EEB06"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19" w:type="pct"/>
            <w:tcBorders>
              <w:bottom w:val="single" w:sz="4" w:space="0" w:color="00B0F0"/>
            </w:tcBorders>
            <w:shd w:val="clear" w:color="auto" w:fill="003C71"/>
          </w:tcPr>
          <w:p w14:paraId="0A0B4469"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094" w:type="pct"/>
            <w:tcBorders>
              <w:bottom w:val="single" w:sz="4" w:space="0" w:color="00B0F0"/>
            </w:tcBorders>
            <w:shd w:val="clear" w:color="auto" w:fill="003C71"/>
          </w:tcPr>
          <w:p w14:paraId="6D4C341A"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81" w:type="pct"/>
            <w:tcBorders>
              <w:bottom w:val="single" w:sz="4" w:space="0" w:color="00B0F0"/>
            </w:tcBorders>
            <w:shd w:val="clear" w:color="auto" w:fill="003C71"/>
          </w:tcPr>
          <w:p w14:paraId="1F77BFFC"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663904" w:rsidRPr="00751816" w14:paraId="72414F40" w14:textId="77777777" w:rsidTr="001664CF">
        <w:trPr>
          <w:trHeight w:val="2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00A3E0"/>
            <w:vAlign w:val="center"/>
          </w:tcPr>
          <w:p w14:paraId="1A25D20F" w14:textId="55907F9E" w:rsidR="00663904" w:rsidRDefault="00DD6B14" w:rsidP="001C016D">
            <w:pPr>
              <w:spacing w:before="120" w:after="120" w:line="240" w:lineRule="atLeast"/>
              <w:contextualSpacing/>
              <w:rPr>
                <w:rFonts w:ascii="Tahoma" w:hAnsi="Tahoma" w:cs="Tahoma"/>
                <w:sz w:val="20"/>
              </w:rPr>
            </w:pPr>
            <w:r>
              <w:rPr>
                <w:rFonts w:ascii="Tahoma" w:hAnsi="Tahoma" w:cs="Tahoma"/>
                <w:sz w:val="20"/>
              </w:rPr>
              <w:t>2019/20</w:t>
            </w:r>
          </w:p>
        </w:tc>
        <w:tc>
          <w:tcPr>
            <w:tcW w:w="1693" w:type="pct"/>
            <w:tcBorders>
              <w:top w:val="single" w:sz="4" w:space="0" w:color="00B0F0"/>
              <w:bottom w:val="single" w:sz="4" w:space="0" w:color="00B0F0"/>
            </w:tcBorders>
            <w:shd w:val="clear" w:color="auto" w:fill="00A3E0"/>
            <w:vAlign w:val="center"/>
          </w:tcPr>
          <w:p w14:paraId="37F84578"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19" w:type="pct"/>
            <w:tcBorders>
              <w:top w:val="single" w:sz="4" w:space="0" w:color="00B0F0"/>
              <w:bottom w:val="single" w:sz="4" w:space="0" w:color="00B0F0"/>
            </w:tcBorders>
            <w:shd w:val="clear" w:color="auto" w:fill="00A3E0"/>
            <w:vAlign w:val="center"/>
          </w:tcPr>
          <w:p w14:paraId="4A8DD307"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1094" w:type="pct"/>
            <w:tcBorders>
              <w:top w:val="single" w:sz="4" w:space="0" w:color="00B0F0"/>
              <w:bottom w:val="single" w:sz="4" w:space="0" w:color="00B0F0"/>
            </w:tcBorders>
            <w:shd w:val="clear" w:color="auto" w:fill="00A3E0"/>
            <w:vAlign w:val="center"/>
          </w:tcPr>
          <w:p w14:paraId="3DE5837E"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shd w:val="clear" w:color="auto" w:fill="00A3E0"/>
            <w:vAlign w:val="center"/>
          </w:tcPr>
          <w:p w14:paraId="28F24B59"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24871EDA"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4E8A33C0"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 xml:space="preserve">Distribution revenue  </w:t>
            </w:r>
          </w:p>
        </w:tc>
        <w:tc>
          <w:tcPr>
            <w:tcW w:w="1693" w:type="pct"/>
            <w:tcBorders>
              <w:top w:val="single" w:sz="4" w:space="0" w:color="00B0F0"/>
              <w:bottom w:val="single" w:sz="4" w:space="0" w:color="00B0F0"/>
            </w:tcBorders>
            <w:vAlign w:val="center"/>
          </w:tcPr>
          <w:p w14:paraId="26F01D00" w14:textId="293F463B" w:rsidR="00663904"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56A91">
              <w:rPr>
                <w:rFonts w:ascii="Tahoma" w:hAnsi="Tahoma" w:cs="Tahoma"/>
                <w:sz w:val="20"/>
              </w:rPr>
              <w:t>Adjustments shown in table F</w:t>
            </w:r>
            <w:r>
              <w:rPr>
                <w:rFonts w:ascii="Tahoma" w:hAnsi="Tahoma" w:cs="Tahoma"/>
                <w:sz w:val="20"/>
              </w:rPr>
              <w:t>1</w:t>
            </w:r>
            <w:r w:rsidRPr="00D56A91">
              <w:rPr>
                <w:rFonts w:ascii="Tahoma" w:hAnsi="Tahoma" w:cs="Tahoma"/>
                <w:sz w:val="20"/>
              </w:rPr>
              <w:t xml:space="preserve">.2 represent the differences between the </w:t>
            </w:r>
            <w:r w:rsidR="002D411A">
              <w:rPr>
                <w:rFonts w:ascii="Tahoma" w:hAnsi="Tahoma" w:cs="Tahoma"/>
                <w:sz w:val="20"/>
              </w:rPr>
              <w:t>AGN (SA) trial balance amounts</w:t>
            </w:r>
            <w:r w:rsidRPr="00D56A91">
              <w:rPr>
                <w:rFonts w:ascii="Tahoma" w:hAnsi="Tahoma" w:cs="Tahoma"/>
                <w:sz w:val="20"/>
              </w:rPr>
              <w:t xml:space="preserve"> and the relevant amounts for </w:t>
            </w:r>
            <w:r w:rsidR="002D411A">
              <w:rPr>
                <w:rFonts w:ascii="Tahoma" w:hAnsi="Tahoma" w:cs="Tahoma"/>
                <w:sz w:val="20"/>
              </w:rPr>
              <w:t xml:space="preserve">the </w:t>
            </w:r>
            <w:r w:rsidRPr="00D56A91">
              <w:rPr>
                <w:rFonts w:ascii="Tahoma" w:hAnsi="Tahoma" w:cs="Tahoma"/>
                <w:sz w:val="20"/>
              </w:rPr>
              <w:t xml:space="preserve">AGN (SA) </w:t>
            </w:r>
            <w:r w:rsidR="002D411A">
              <w:rPr>
                <w:rFonts w:ascii="Tahoma" w:hAnsi="Tahoma" w:cs="Tahoma"/>
                <w:sz w:val="20"/>
              </w:rPr>
              <w:t>Distribution business</w:t>
            </w:r>
            <w:r w:rsidR="008F649A">
              <w:rPr>
                <w:rFonts w:ascii="Tahoma" w:hAnsi="Tahoma" w:cs="Tahoma"/>
                <w:sz w:val="20"/>
              </w:rPr>
              <w:t>,</w:t>
            </w:r>
            <w:r w:rsidR="002D411A">
              <w:rPr>
                <w:rFonts w:ascii="Tahoma" w:hAnsi="Tahoma" w:cs="Tahoma"/>
                <w:sz w:val="20"/>
              </w:rPr>
              <w:t xml:space="preserve"> </w:t>
            </w:r>
            <w:r w:rsidRPr="00D56A91">
              <w:rPr>
                <w:rFonts w:ascii="Tahoma" w:hAnsi="Tahoma" w:cs="Tahoma"/>
                <w:sz w:val="20"/>
              </w:rPr>
              <w:t>which are reported in table F1.3 below.</w:t>
            </w:r>
          </w:p>
          <w:p w14:paraId="3FFA720D" w14:textId="05F62E66" w:rsidR="005F5B85" w:rsidRDefault="005F5B8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4955114" w14:textId="0CF2F0D3" w:rsidR="00663904" w:rsidRPr="00751816" w:rsidRDefault="005F5B85" w:rsidP="006924D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Refer to the reconciliation schedule provided in </w:t>
            </w:r>
            <w:r w:rsidRPr="00DE1656">
              <w:rPr>
                <w:rFonts w:ascii="Tahoma" w:hAnsi="Tahoma" w:cs="Tahoma"/>
                <w:sz w:val="20"/>
              </w:rPr>
              <w:t xml:space="preserve">Appendix </w:t>
            </w:r>
            <w:r w:rsidR="00DE1656" w:rsidRPr="00DE1656">
              <w:rPr>
                <w:rFonts w:ascii="Tahoma" w:hAnsi="Tahoma" w:cs="Tahoma"/>
                <w:sz w:val="20"/>
              </w:rPr>
              <w:t>F</w:t>
            </w:r>
            <w:r>
              <w:rPr>
                <w:rFonts w:ascii="Tahoma" w:hAnsi="Tahoma" w:cs="Tahoma"/>
                <w:sz w:val="20"/>
              </w:rPr>
              <w:t xml:space="preserve"> for an explanation of the adjustments made to determine the amounts reported in table F1.3 below for</w:t>
            </w:r>
            <w:r w:rsidR="00E049E1">
              <w:rPr>
                <w:rFonts w:ascii="Tahoma" w:hAnsi="Tahoma" w:cs="Tahoma"/>
                <w:sz w:val="20"/>
              </w:rPr>
              <w:t xml:space="preserve"> the SA Distribution Business. </w:t>
            </w:r>
          </w:p>
        </w:tc>
        <w:tc>
          <w:tcPr>
            <w:tcW w:w="819" w:type="pct"/>
            <w:tcBorders>
              <w:top w:val="single" w:sz="4" w:space="0" w:color="00B0F0"/>
              <w:bottom w:val="single" w:sz="4" w:space="0" w:color="00B0F0"/>
            </w:tcBorders>
            <w:vAlign w:val="center"/>
          </w:tcPr>
          <w:p w14:paraId="4F54626D" w14:textId="482DC88C" w:rsidR="00663904" w:rsidRPr="00751816" w:rsidRDefault="00942CFE"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094" w:type="pct"/>
            <w:tcBorders>
              <w:top w:val="single" w:sz="4" w:space="0" w:color="00B0F0"/>
              <w:bottom w:val="single" w:sz="4" w:space="0" w:color="00B0F0"/>
            </w:tcBorders>
            <w:vAlign w:val="center"/>
          </w:tcPr>
          <w:p w14:paraId="7350DA98" w14:textId="2F3B5167" w:rsidR="00663904" w:rsidRPr="00591232"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7FDEE1BD"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0A71AD59"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6EB7492A"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 xml:space="preserve">Capital contribution </w:t>
            </w:r>
          </w:p>
        </w:tc>
        <w:tc>
          <w:tcPr>
            <w:tcW w:w="1693" w:type="pct"/>
            <w:tcBorders>
              <w:top w:val="single" w:sz="4" w:space="0" w:color="00B0F0"/>
              <w:bottom w:val="single" w:sz="4" w:space="0" w:color="00B0F0"/>
            </w:tcBorders>
            <w:vAlign w:val="center"/>
          </w:tcPr>
          <w:p w14:paraId="087EC467" w14:textId="1E0190F5" w:rsidR="00663904"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56A91">
              <w:rPr>
                <w:rFonts w:ascii="Tahoma" w:hAnsi="Tahoma" w:cs="Tahoma"/>
                <w:sz w:val="20"/>
              </w:rPr>
              <w:t>Adjustments shown in table F</w:t>
            </w:r>
            <w:r>
              <w:rPr>
                <w:rFonts w:ascii="Tahoma" w:hAnsi="Tahoma" w:cs="Tahoma"/>
                <w:sz w:val="20"/>
              </w:rPr>
              <w:t>1</w:t>
            </w:r>
            <w:r w:rsidRPr="00D56A91">
              <w:rPr>
                <w:rFonts w:ascii="Tahoma" w:hAnsi="Tahoma" w:cs="Tahoma"/>
                <w:sz w:val="20"/>
              </w:rPr>
              <w:t xml:space="preserve">.2 represent the differences between the </w:t>
            </w:r>
            <w:r w:rsidR="006924DE">
              <w:rPr>
                <w:rFonts w:ascii="Tahoma" w:hAnsi="Tahoma" w:cs="Tahoma"/>
                <w:sz w:val="20"/>
              </w:rPr>
              <w:t>AGN (SA) trial balance amounts</w:t>
            </w:r>
            <w:r w:rsidRPr="00D56A91">
              <w:rPr>
                <w:rFonts w:ascii="Tahoma" w:hAnsi="Tahoma" w:cs="Tahoma"/>
                <w:sz w:val="20"/>
              </w:rPr>
              <w:t xml:space="preserve"> and the relevant amounts for </w:t>
            </w:r>
            <w:r w:rsidR="006924DE">
              <w:rPr>
                <w:rFonts w:ascii="Tahoma" w:hAnsi="Tahoma" w:cs="Tahoma"/>
                <w:sz w:val="20"/>
              </w:rPr>
              <w:t xml:space="preserve">the </w:t>
            </w:r>
            <w:r w:rsidRPr="00D56A91">
              <w:rPr>
                <w:rFonts w:ascii="Tahoma" w:hAnsi="Tahoma" w:cs="Tahoma"/>
                <w:sz w:val="20"/>
              </w:rPr>
              <w:t xml:space="preserve">AGN (SA) </w:t>
            </w:r>
            <w:r w:rsidR="006924DE">
              <w:rPr>
                <w:rFonts w:ascii="Tahoma" w:hAnsi="Tahoma" w:cs="Tahoma"/>
                <w:sz w:val="20"/>
              </w:rPr>
              <w:t>Distribution business</w:t>
            </w:r>
            <w:r w:rsidR="008F649A">
              <w:rPr>
                <w:rFonts w:ascii="Tahoma" w:hAnsi="Tahoma" w:cs="Tahoma"/>
                <w:sz w:val="20"/>
              </w:rPr>
              <w:t>,</w:t>
            </w:r>
            <w:r w:rsidR="006924DE">
              <w:rPr>
                <w:rFonts w:ascii="Tahoma" w:hAnsi="Tahoma" w:cs="Tahoma"/>
                <w:sz w:val="20"/>
              </w:rPr>
              <w:t xml:space="preserve"> </w:t>
            </w:r>
            <w:r w:rsidRPr="00D56A91">
              <w:rPr>
                <w:rFonts w:ascii="Tahoma" w:hAnsi="Tahoma" w:cs="Tahoma"/>
                <w:sz w:val="20"/>
              </w:rPr>
              <w:t>which are reported in table F1.3 below.</w:t>
            </w:r>
          </w:p>
          <w:p w14:paraId="5759490A" w14:textId="1753E046" w:rsidR="005F5B85" w:rsidRDefault="005F5B8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2414584" w14:textId="70E83FC4" w:rsidR="00663904" w:rsidRPr="00751816" w:rsidRDefault="005F5B85" w:rsidP="00984D4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Refer to the reconciliation schedule provided in </w:t>
            </w:r>
            <w:r w:rsidR="00DE1656" w:rsidRPr="00DE1656">
              <w:rPr>
                <w:rFonts w:ascii="Tahoma" w:hAnsi="Tahoma" w:cs="Tahoma"/>
                <w:sz w:val="20"/>
              </w:rPr>
              <w:t>Appendix F</w:t>
            </w:r>
            <w:r w:rsidR="00DE1656">
              <w:rPr>
                <w:rFonts w:ascii="Tahoma" w:hAnsi="Tahoma" w:cs="Tahoma"/>
                <w:sz w:val="20"/>
              </w:rPr>
              <w:t xml:space="preserve"> </w:t>
            </w:r>
            <w:r>
              <w:rPr>
                <w:rFonts w:ascii="Tahoma" w:hAnsi="Tahoma" w:cs="Tahoma"/>
                <w:sz w:val="20"/>
              </w:rPr>
              <w:t xml:space="preserve">for an explanation of the adjustments made to determine the amounts reported in table F1.3 below for the SA Distribution Business. </w:t>
            </w:r>
          </w:p>
        </w:tc>
        <w:tc>
          <w:tcPr>
            <w:tcW w:w="819" w:type="pct"/>
            <w:tcBorders>
              <w:top w:val="single" w:sz="4" w:space="0" w:color="00B0F0"/>
              <w:bottom w:val="single" w:sz="4" w:space="0" w:color="00B0F0"/>
            </w:tcBorders>
            <w:vAlign w:val="center"/>
          </w:tcPr>
          <w:p w14:paraId="1D147EDF" w14:textId="11AEB5F6" w:rsidR="00663904" w:rsidRPr="00751816" w:rsidRDefault="00942CFE"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094" w:type="pct"/>
            <w:tcBorders>
              <w:top w:val="single" w:sz="4" w:space="0" w:color="00B0F0"/>
              <w:bottom w:val="single" w:sz="4" w:space="0" w:color="00B0F0"/>
            </w:tcBorders>
            <w:vAlign w:val="center"/>
          </w:tcPr>
          <w:p w14:paraId="3653E10B" w14:textId="40B4B922" w:rsidR="00663904" w:rsidRPr="00591232"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4AED3E09"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4EC6F3C6"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4613ED26"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 xml:space="preserve">Profit from sales of fixed assets </w:t>
            </w:r>
          </w:p>
        </w:tc>
        <w:tc>
          <w:tcPr>
            <w:tcW w:w="1693" w:type="pct"/>
            <w:tcBorders>
              <w:top w:val="single" w:sz="4" w:space="0" w:color="00B0F0"/>
              <w:bottom w:val="single" w:sz="4" w:space="0" w:color="00B0F0"/>
            </w:tcBorders>
            <w:vAlign w:val="center"/>
          </w:tcPr>
          <w:p w14:paraId="3F4A8950" w14:textId="376CDA61" w:rsidR="00663904" w:rsidRPr="00751816" w:rsidRDefault="005F25EE" w:rsidP="00B013F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There was no profit from sale of fixed assets for AGN (SA) in 2019/20, therefore there is no amount to report for this category of revenue.</w:t>
            </w:r>
          </w:p>
        </w:tc>
        <w:tc>
          <w:tcPr>
            <w:tcW w:w="819" w:type="pct"/>
            <w:tcBorders>
              <w:top w:val="single" w:sz="4" w:space="0" w:color="00B0F0"/>
              <w:bottom w:val="single" w:sz="4" w:space="0" w:color="00B0F0"/>
            </w:tcBorders>
            <w:vAlign w:val="center"/>
          </w:tcPr>
          <w:p w14:paraId="29829DA0" w14:textId="702F1A27" w:rsidR="00663904" w:rsidRPr="00751816" w:rsidRDefault="00942CFE"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094" w:type="pct"/>
            <w:tcBorders>
              <w:top w:val="single" w:sz="4" w:space="0" w:color="00B0F0"/>
              <w:bottom w:val="single" w:sz="4" w:space="0" w:color="00B0F0"/>
            </w:tcBorders>
            <w:vAlign w:val="center"/>
          </w:tcPr>
          <w:p w14:paraId="12E5DB9E" w14:textId="797C865E" w:rsidR="00663904" w:rsidRPr="00591232"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172703BC"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033CEA9E"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4182E0C6"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 xml:space="preserve">Other revenue </w:t>
            </w:r>
          </w:p>
        </w:tc>
        <w:tc>
          <w:tcPr>
            <w:tcW w:w="1693" w:type="pct"/>
            <w:tcBorders>
              <w:top w:val="single" w:sz="4" w:space="0" w:color="00B0F0"/>
              <w:bottom w:val="single" w:sz="4" w:space="0" w:color="00B0F0"/>
            </w:tcBorders>
            <w:vAlign w:val="center"/>
          </w:tcPr>
          <w:p w14:paraId="54F5F0B5" w14:textId="6B386E42" w:rsidR="00663904"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56A91">
              <w:rPr>
                <w:rFonts w:ascii="Tahoma" w:hAnsi="Tahoma" w:cs="Tahoma"/>
                <w:sz w:val="20"/>
              </w:rPr>
              <w:t>Adjustments shown in table F</w:t>
            </w:r>
            <w:r>
              <w:rPr>
                <w:rFonts w:ascii="Tahoma" w:hAnsi="Tahoma" w:cs="Tahoma"/>
                <w:sz w:val="20"/>
              </w:rPr>
              <w:t>1</w:t>
            </w:r>
            <w:r w:rsidRPr="00D56A91">
              <w:rPr>
                <w:rFonts w:ascii="Tahoma" w:hAnsi="Tahoma" w:cs="Tahoma"/>
                <w:sz w:val="20"/>
              </w:rPr>
              <w:t xml:space="preserve">.2 represent the differences between the </w:t>
            </w:r>
            <w:r w:rsidR="006924DE">
              <w:rPr>
                <w:rFonts w:ascii="Tahoma" w:hAnsi="Tahoma" w:cs="Tahoma"/>
                <w:sz w:val="20"/>
              </w:rPr>
              <w:t>AGN (SA) trial balance amounts</w:t>
            </w:r>
            <w:r w:rsidRPr="00D56A91">
              <w:rPr>
                <w:rFonts w:ascii="Tahoma" w:hAnsi="Tahoma" w:cs="Tahoma"/>
                <w:sz w:val="20"/>
              </w:rPr>
              <w:t xml:space="preserve"> and the relevant amounts for </w:t>
            </w:r>
            <w:r w:rsidR="006924DE">
              <w:rPr>
                <w:rFonts w:ascii="Tahoma" w:hAnsi="Tahoma" w:cs="Tahoma"/>
                <w:sz w:val="20"/>
              </w:rPr>
              <w:t xml:space="preserve">the </w:t>
            </w:r>
            <w:r w:rsidRPr="00D56A91">
              <w:rPr>
                <w:rFonts w:ascii="Tahoma" w:hAnsi="Tahoma" w:cs="Tahoma"/>
                <w:sz w:val="20"/>
              </w:rPr>
              <w:t xml:space="preserve">AGN </w:t>
            </w:r>
            <w:r w:rsidRPr="00D56A91">
              <w:rPr>
                <w:rFonts w:ascii="Tahoma" w:hAnsi="Tahoma" w:cs="Tahoma"/>
                <w:sz w:val="20"/>
              </w:rPr>
              <w:lastRenderedPageBreak/>
              <w:t xml:space="preserve">(SA) </w:t>
            </w:r>
            <w:r w:rsidR="006924DE">
              <w:rPr>
                <w:rFonts w:ascii="Tahoma" w:hAnsi="Tahoma" w:cs="Tahoma"/>
                <w:sz w:val="20"/>
              </w:rPr>
              <w:t>Distribution business</w:t>
            </w:r>
            <w:r w:rsidR="008F649A">
              <w:rPr>
                <w:rFonts w:ascii="Tahoma" w:hAnsi="Tahoma" w:cs="Tahoma"/>
                <w:sz w:val="20"/>
              </w:rPr>
              <w:t>,</w:t>
            </w:r>
            <w:r w:rsidR="006924DE">
              <w:rPr>
                <w:rFonts w:ascii="Tahoma" w:hAnsi="Tahoma" w:cs="Tahoma"/>
                <w:sz w:val="20"/>
              </w:rPr>
              <w:t xml:space="preserve"> </w:t>
            </w:r>
            <w:r w:rsidRPr="00D56A91">
              <w:rPr>
                <w:rFonts w:ascii="Tahoma" w:hAnsi="Tahoma" w:cs="Tahoma"/>
                <w:sz w:val="20"/>
              </w:rPr>
              <w:t>which are reported in table F1.3 below.</w:t>
            </w:r>
          </w:p>
          <w:p w14:paraId="1C509993" w14:textId="5B206C5A" w:rsidR="005F5B85" w:rsidRDefault="005F5B8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A20355A" w14:textId="11AF8DE4" w:rsidR="00663904" w:rsidRPr="00751816" w:rsidRDefault="005F5B85" w:rsidP="006924D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Refer to the reconciliation schedule provided in </w:t>
            </w:r>
            <w:r w:rsidR="00DE1656" w:rsidRPr="00DE1656">
              <w:rPr>
                <w:rFonts w:ascii="Tahoma" w:hAnsi="Tahoma" w:cs="Tahoma"/>
                <w:sz w:val="20"/>
              </w:rPr>
              <w:t>Appendix F</w:t>
            </w:r>
            <w:r w:rsidR="00DE1656">
              <w:rPr>
                <w:rFonts w:ascii="Tahoma" w:hAnsi="Tahoma" w:cs="Tahoma"/>
                <w:sz w:val="20"/>
              </w:rPr>
              <w:t xml:space="preserve"> </w:t>
            </w:r>
            <w:r>
              <w:rPr>
                <w:rFonts w:ascii="Tahoma" w:hAnsi="Tahoma" w:cs="Tahoma"/>
                <w:sz w:val="20"/>
              </w:rPr>
              <w:t xml:space="preserve">for an explanation of the adjustments made to determine the amounts reported in table F1.3 below for the SA Distribution Business. </w:t>
            </w:r>
          </w:p>
        </w:tc>
        <w:tc>
          <w:tcPr>
            <w:tcW w:w="819" w:type="pct"/>
            <w:tcBorders>
              <w:top w:val="single" w:sz="4" w:space="0" w:color="00B0F0"/>
              <w:bottom w:val="single" w:sz="4" w:space="0" w:color="00B0F0"/>
            </w:tcBorders>
            <w:vAlign w:val="center"/>
          </w:tcPr>
          <w:p w14:paraId="40ABC996" w14:textId="393BC447" w:rsidR="00663904" w:rsidRPr="00751816" w:rsidRDefault="00942CFE"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094" w:type="pct"/>
            <w:tcBorders>
              <w:top w:val="single" w:sz="4" w:space="0" w:color="00B0F0"/>
              <w:bottom w:val="single" w:sz="4" w:space="0" w:color="00B0F0"/>
            </w:tcBorders>
            <w:vAlign w:val="center"/>
          </w:tcPr>
          <w:p w14:paraId="19615E21" w14:textId="389D7F64"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4764DB46"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1D10A969" w14:textId="77777777" w:rsidR="00864650" w:rsidRPr="00C97516" w:rsidRDefault="00864650" w:rsidP="009A02E9">
      <w:pPr>
        <w:rPr>
          <w:rFonts w:ascii="Tahoma" w:hAnsi="Tahoma" w:cs="Tahoma"/>
          <w:color w:val="00B0F0"/>
        </w:rPr>
      </w:pPr>
    </w:p>
    <w:p w14:paraId="563BDE71" w14:textId="2671E74B" w:rsidR="009A02E9" w:rsidRDefault="009A02E9" w:rsidP="009A02E9">
      <w:pPr>
        <w:rPr>
          <w:rFonts w:ascii="Tahoma" w:hAnsi="Tahoma" w:cs="Tahoma"/>
          <w:color w:val="00B0F0"/>
        </w:rPr>
      </w:pPr>
      <w:r w:rsidRPr="00C97516">
        <w:rPr>
          <w:rFonts w:ascii="Tahoma" w:hAnsi="Tahoma" w:cs="Tahoma"/>
          <w:color w:val="00B0F0"/>
        </w:rPr>
        <w:t xml:space="preserve">F1.2.2 – Expenditure </w:t>
      </w:r>
    </w:p>
    <w:tbl>
      <w:tblPr>
        <w:tblStyle w:val="UETableStyle"/>
        <w:tblW w:w="5000"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1"/>
        <w:gridCol w:w="4726"/>
        <w:gridCol w:w="2286"/>
        <w:gridCol w:w="3054"/>
        <w:gridCol w:w="1901"/>
      </w:tblGrid>
      <w:tr w:rsidR="00663904" w:rsidRPr="00751816" w14:paraId="746F3D89" w14:textId="77777777" w:rsidTr="00C53252">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13" w:type="pct"/>
            <w:tcBorders>
              <w:bottom w:val="single" w:sz="4" w:space="0" w:color="00B0F0"/>
            </w:tcBorders>
            <w:shd w:val="clear" w:color="auto" w:fill="003C71"/>
            <w:hideMark/>
          </w:tcPr>
          <w:p w14:paraId="27B9AB48" w14:textId="37D40F07" w:rsidR="00663904" w:rsidRPr="00751816" w:rsidRDefault="00663904" w:rsidP="001664CF">
            <w:pPr>
              <w:rPr>
                <w:rFonts w:ascii="Tahoma" w:hAnsi="Tahoma" w:cs="Tahoma"/>
                <w:b/>
                <w:color w:val="FFFFFF"/>
                <w:sz w:val="20"/>
              </w:rPr>
            </w:pPr>
            <w:r w:rsidRPr="00751816">
              <w:rPr>
                <w:rFonts w:ascii="Tahoma" w:hAnsi="Tahoma" w:cs="Tahoma"/>
                <w:b/>
                <w:color w:val="FFFFFF"/>
                <w:sz w:val="20"/>
              </w:rPr>
              <w:t xml:space="preserve">Variable </w:t>
            </w:r>
          </w:p>
        </w:tc>
        <w:tc>
          <w:tcPr>
            <w:tcW w:w="1693" w:type="pct"/>
            <w:tcBorders>
              <w:bottom w:val="single" w:sz="4" w:space="0" w:color="00B0F0"/>
            </w:tcBorders>
            <w:shd w:val="clear" w:color="auto" w:fill="003C71"/>
          </w:tcPr>
          <w:p w14:paraId="18ECB177"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19" w:type="pct"/>
            <w:tcBorders>
              <w:bottom w:val="single" w:sz="4" w:space="0" w:color="00B0F0"/>
            </w:tcBorders>
            <w:shd w:val="clear" w:color="auto" w:fill="003C71"/>
          </w:tcPr>
          <w:p w14:paraId="4B60E092"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094" w:type="pct"/>
            <w:tcBorders>
              <w:bottom w:val="single" w:sz="4" w:space="0" w:color="00B0F0"/>
            </w:tcBorders>
            <w:shd w:val="clear" w:color="auto" w:fill="003C71"/>
          </w:tcPr>
          <w:p w14:paraId="5E941FAC"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81" w:type="pct"/>
            <w:tcBorders>
              <w:bottom w:val="single" w:sz="4" w:space="0" w:color="00B0F0"/>
            </w:tcBorders>
            <w:shd w:val="clear" w:color="auto" w:fill="003C71"/>
          </w:tcPr>
          <w:p w14:paraId="738FF321"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663904" w:rsidRPr="00751816" w14:paraId="5D571143" w14:textId="77777777" w:rsidTr="001664CF">
        <w:trPr>
          <w:trHeight w:val="2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00A3E0"/>
            <w:vAlign w:val="center"/>
          </w:tcPr>
          <w:p w14:paraId="6A98970B" w14:textId="352B6489" w:rsidR="00663904" w:rsidRDefault="00DD6B14" w:rsidP="001C016D">
            <w:pPr>
              <w:spacing w:before="120" w:after="120" w:line="240" w:lineRule="atLeast"/>
              <w:contextualSpacing/>
              <w:rPr>
                <w:rFonts w:ascii="Tahoma" w:hAnsi="Tahoma" w:cs="Tahoma"/>
                <w:sz w:val="20"/>
              </w:rPr>
            </w:pPr>
            <w:r>
              <w:rPr>
                <w:rFonts w:ascii="Tahoma" w:hAnsi="Tahoma" w:cs="Tahoma"/>
                <w:sz w:val="20"/>
              </w:rPr>
              <w:t>2019/20</w:t>
            </w:r>
          </w:p>
        </w:tc>
        <w:tc>
          <w:tcPr>
            <w:tcW w:w="1693" w:type="pct"/>
            <w:tcBorders>
              <w:top w:val="single" w:sz="4" w:space="0" w:color="00B0F0"/>
              <w:bottom w:val="single" w:sz="4" w:space="0" w:color="00B0F0"/>
            </w:tcBorders>
            <w:shd w:val="clear" w:color="auto" w:fill="00A3E0"/>
            <w:vAlign w:val="center"/>
          </w:tcPr>
          <w:p w14:paraId="7AE77EF3"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19" w:type="pct"/>
            <w:tcBorders>
              <w:top w:val="single" w:sz="4" w:space="0" w:color="00B0F0"/>
              <w:bottom w:val="single" w:sz="4" w:space="0" w:color="00B0F0"/>
            </w:tcBorders>
            <w:shd w:val="clear" w:color="auto" w:fill="00A3E0"/>
            <w:vAlign w:val="center"/>
          </w:tcPr>
          <w:p w14:paraId="1DFE1715"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1094" w:type="pct"/>
            <w:tcBorders>
              <w:top w:val="single" w:sz="4" w:space="0" w:color="00B0F0"/>
              <w:bottom w:val="single" w:sz="4" w:space="0" w:color="00B0F0"/>
            </w:tcBorders>
            <w:shd w:val="clear" w:color="auto" w:fill="00A3E0"/>
            <w:vAlign w:val="center"/>
          </w:tcPr>
          <w:p w14:paraId="37C83C33"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shd w:val="clear" w:color="auto" w:fill="00A3E0"/>
            <w:vAlign w:val="center"/>
          </w:tcPr>
          <w:p w14:paraId="17BA3384"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4593E893"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703E2E06"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 xml:space="preserve">Operating expenditure   </w:t>
            </w:r>
          </w:p>
        </w:tc>
        <w:tc>
          <w:tcPr>
            <w:tcW w:w="1693" w:type="pct"/>
            <w:tcBorders>
              <w:top w:val="single" w:sz="4" w:space="0" w:color="00B0F0"/>
              <w:bottom w:val="single" w:sz="4" w:space="0" w:color="00B0F0"/>
            </w:tcBorders>
            <w:vAlign w:val="center"/>
          </w:tcPr>
          <w:p w14:paraId="1C789198" w14:textId="5EE0E221" w:rsidR="00663904"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56A91">
              <w:rPr>
                <w:rFonts w:ascii="Tahoma" w:hAnsi="Tahoma" w:cs="Tahoma"/>
                <w:sz w:val="20"/>
              </w:rPr>
              <w:t>Adjustments shown in table F</w:t>
            </w:r>
            <w:r>
              <w:rPr>
                <w:rFonts w:ascii="Tahoma" w:hAnsi="Tahoma" w:cs="Tahoma"/>
                <w:sz w:val="20"/>
              </w:rPr>
              <w:t>1</w:t>
            </w:r>
            <w:r w:rsidRPr="00D56A91">
              <w:rPr>
                <w:rFonts w:ascii="Tahoma" w:hAnsi="Tahoma" w:cs="Tahoma"/>
                <w:sz w:val="20"/>
              </w:rPr>
              <w:t xml:space="preserve">.2 represent the differences between the </w:t>
            </w:r>
            <w:r w:rsidR="00F81928">
              <w:rPr>
                <w:rFonts w:ascii="Tahoma" w:hAnsi="Tahoma" w:cs="Tahoma"/>
                <w:sz w:val="20"/>
              </w:rPr>
              <w:t>AGN (SA) trial balance amounts</w:t>
            </w:r>
            <w:r w:rsidRPr="00D56A91">
              <w:rPr>
                <w:rFonts w:ascii="Tahoma" w:hAnsi="Tahoma" w:cs="Tahoma"/>
                <w:sz w:val="20"/>
              </w:rPr>
              <w:t xml:space="preserve"> and the relevant amounts for </w:t>
            </w:r>
            <w:r w:rsidR="00F81928">
              <w:rPr>
                <w:rFonts w:ascii="Tahoma" w:hAnsi="Tahoma" w:cs="Tahoma"/>
                <w:sz w:val="20"/>
              </w:rPr>
              <w:t xml:space="preserve">the </w:t>
            </w:r>
            <w:r w:rsidRPr="00D56A91">
              <w:rPr>
                <w:rFonts w:ascii="Tahoma" w:hAnsi="Tahoma" w:cs="Tahoma"/>
                <w:sz w:val="20"/>
              </w:rPr>
              <w:t xml:space="preserve">AGN (SA) </w:t>
            </w:r>
            <w:r w:rsidR="00F81928">
              <w:rPr>
                <w:rFonts w:ascii="Tahoma" w:hAnsi="Tahoma" w:cs="Tahoma"/>
                <w:sz w:val="20"/>
              </w:rPr>
              <w:t>Distribution business</w:t>
            </w:r>
            <w:r w:rsidR="008F649A">
              <w:rPr>
                <w:rFonts w:ascii="Tahoma" w:hAnsi="Tahoma" w:cs="Tahoma"/>
                <w:sz w:val="20"/>
              </w:rPr>
              <w:t>,</w:t>
            </w:r>
            <w:r w:rsidR="00F81928">
              <w:rPr>
                <w:rFonts w:ascii="Tahoma" w:hAnsi="Tahoma" w:cs="Tahoma"/>
                <w:sz w:val="20"/>
              </w:rPr>
              <w:t xml:space="preserve"> </w:t>
            </w:r>
            <w:r w:rsidRPr="00D56A91">
              <w:rPr>
                <w:rFonts w:ascii="Tahoma" w:hAnsi="Tahoma" w:cs="Tahoma"/>
                <w:sz w:val="20"/>
              </w:rPr>
              <w:t>which are reported in table F1.3 below.</w:t>
            </w:r>
          </w:p>
          <w:p w14:paraId="55BCEAEE" w14:textId="4B8D9AE8" w:rsidR="005F5B85" w:rsidRDefault="005F5B8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8763FF8" w14:textId="7F9D15B6" w:rsidR="00663904" w:rsidRPr="00751816" w:rsidRDefault="005F5B85" w:rsidP="00F8192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Refer to the reconciliation schedule provided in </w:t>
            </w:r>
            <w:r w:rsidR="00946100" w:rsidRPr="00DE1656">
              <w:rPr>
                <w:rFonts w:ascii="Tahoma" w:hAnsi="Tahoma" w:cs="Tahoma"/>
                <w:sz w:val="20"/>
              </w:rPr>
              <w:t>Appendix F</w:t>
            </w:r>
            <w:r w:rsidR="00946100">
              <w:rPr>
                <w:rFonts w:ascii="Tahoma" w:hAnsi="Tahoma" w:cs="Tahoma"/>
                <w:sz w:val="20"/>
              </w:rPr>
              <w:t xml:space="preserve"> </w:t>
            </w:r>
            <w:r>
              <w:rPr>
                <w:rFonts w:ascii="Tahoma" w:hAnsi="Tahoma" w:cs="Tahoma"/>
                <w:sz w:val="20"/>
              </w:rPr>
              <w:t xml:space="preserve">for an explanation of the adjustments made to determine the amounts reported in table F1.3 below for the SA Distribution Business. </w:t>
            </w:r>
          </w:p>
        </w:tc>
        <w:tc>
          <w:tcPr>
            <w:tcW w:w="819" w:type="pct"/>
            <w:tcBorders>
              <w:top w:val="single" w:sz="4" w:space="0" w:color="00B0F0"/>
              <w:bottom w:val="single" w:sz="4" w:space="0" w:color="00B0F0"/>
            </w:tcBorders>
            <w:vAlign w:val="center"/>
          </w:tcPr>
          <w:p w14:paraId="6661AB3A" w14:textId="77777777" w:rsidR="00683142" w:rsidRDefault="0068314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B80FF6F" w14:textId="2083E876" w:rsidR="00683142" w:rsidRPr="00751816" w:rsidRDefault="00683142" w:rsidP="00F8192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Actual </w:t>
            </w:r>
          </w:p>
        </w:tc>
        <w:tc>
          <w:tcPr>
            <w:tcW w:w="1094" w:type="pct"/>
            <w:tcBorders>
              <w:top w:val="single" w:sz="4" w:space="0" w:color="00B0F0"/>
              <w:bottom w:val="single" w:sz="4" w:space="0" w:color="00B0F0"/>
            </w:tcBorders>
            <w:vAlign w:val="center"/>
          </w:tcPr>
          <w:p w14:paraId="2ED42635" w14:textId="7D8C7248" w:rsidR="00663904" w:rsidRPr="00591232"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1BCA93C7"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277EDAA3"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564E1A7B"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 xml:space="preserve">Depreciation  </w:t>
            </w:r>
          </w:p>
        </w:tc>
        <w:tc>
          <w:tcPr>
            <w:tcW w:w="1693" w:type="pct"/>
            <w:tcBorders>
              <w:top w:val="single" w:sz="4" w:space="0" w:color="00B0F0"/>
              <w:bottom w:val="single" w:sz="4" w:space="0" w:color="00B0F0"/>
            </w:tcBorders>
            <w:vAlign w:val="center"/>
          </w:tcPr>
          <w:p w14:paraId="0D5ABAAD" w14:textId="130B6316" w:rsidR="00663904"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56A91">
              <w:rPr>
                <w:rFonts w:ascii="Tahoma" w:hAnsi="Tahoma" w:cs="Tahoma"/>
                <w:sz w:val="20"/>
              </w:rPr>
              <w:t>Adjustments shown in table F</w:t>
            </w:r>
            <w:r>
              <w:rPr>
                <w:rFonts w:ascii="Tahoma" w:hAnsi="Tahoma" w:cs="Tahoma"/>
                <w:sz w:val="20"/>
              </w:rPr>
              <w:t>1</w:t>
            </w:r>
            <w:r w:rsidRPr="00D56A91">
              <w:rPr>
                <w:rFonts w:ascii="Tahoma" w:hAnsi="Tahoma" w:cs="Tahoma"/>
                <w:sz w:val="20"/>
              </w:rPr>
              <w:t xml:space="preserve">.2 represent the differences between the </w:t>
            </w:r>
            <w:r w:rsidR="00F81928">
              <w:rPr>
                <w:rFonts w:ascii="Tahoma" w:hAnsi="Tahoma" w:cs="Tahoma"/>
                <w:sz w:val="20"/>
              </w:rPr>
              <w:t>AGN (SA) trial balance amounts</w:t>
            </w:r>
            <w:r w:rsidRPr="00D56A91">
              <w:rPr>
                <w:rFonts w:ascii="Tahoma" w:hAnsi="Tahoma" w:cs="Tahoma"/>
                <w:sz w:val="20"/>
              </w:rPr>
              <w:t xml:space="preserve"> and the relevant amounts for </w:t>
            </w:r>
            <w:r w:rsidR="00F81928">
              <w:rPr>
                <w:rFonts w:ascii="Tahoma" w:hAnsi="Tahoma" w:cs="Tahoma"/>
                <w:sz w:val="20"/>
              </w:rPr>
              <w:t xml:space="preserve">the </w:t>
            </w:r>
            <w:r w:rsidRPr="00D56A91">
              <w:rPr>
                <w:rFonts w:ascii="Tahoma" w:hAnsi="Tahoma" w:cs="Tahoma"/>
                <w:sz w:val="20"/>
              </w:rPr>
              <w:t xml:space="preserve">AGN (SA) </w:t>
            </w:r>
            <w:r w:rsidR="00F81928">
              <w:rPr>
                <w:rFonts w:ascii="Tahoma" w:hAnsi="Tahoma" w:cs="Tahoma"/>
                <w:sz w:val="20"/>
              </w:rPr>
              <w:t>Distribution business</w:t>
            </w:r>
            <w:r w:rsidR="008F649A">
              <w:rPr>
                <w:rFonts w:ascii="Tahoma" w:hAnsi="Tahoma" w:cs="Tahoma"/>
                <w:sz w:val="20"/>
              </w:rPr>
              <w:t>,</w:t>
            </w:r>
            <w:r w:rsidR="00F81928">
              <w:rPr>
                <w:rFonts w:ascii="Tahoma" w:hAnsi="Tahoma" w:cs="Tahoma"/>
                <w:sz w:val="20"/>
              </w:rPr>
              <w:t xml:space="preserve"> </w:t>
            </w:r>
            <w:r w:rsidRPr="00D56A91">
              <w:rPr>
                <w:rFonts w:ascii="Tahoma" w:hAnsi="Tahoma" w:cs="Tahoma"/>
                <w:sz w:val="20"/>
              </w:rPr>
              <w:t>which are reported in table F1.3 below.</w:t>
            </w:r>
          </w:p>
          <w:p w14:paraId="06CF490A" w14:textId="5931B58F" w:rsidR="005F5B85" w:rsidRDefault="005F5B8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CB83817" w14:textId="50617BD8" w:rsidR="00663904" w:rsidRPr="00751816" w:rsidRDefault="005F5B85" w:rsidP="00F8192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 xml:space="preserve">Refer to the reconciliation schedule provided in </w:t>
            </w:r>
            <w:r w:rsidR="00946100" w:rsidRPr="00DE1656">
              <w:rPr>
                <w:rFonts w:ascii="Tahoma" w:hAnsi="Tahoma" w:cs="Tahoma"/>
                <w:sz w:val="20"/>
              </w:rPr>
              <w:t>Appendix F</w:t>
            </w:r>
            <w:r w:rsidR="00946100">
              <w:rPr>
                <w:rFonts w:ascii="Tahoma" w:hAnsi="Tahoma" w:cs="Tahoma"/>
                <w:sz w:val="20"/>
              </w:rPr>
              <w:t xml:space="preserve"> </w:t>
            </w:r>
            <w:r>
              <w:rPr>
                <w:rFonts w:ascii="Tahoma" w:hAnsi="Tahoma" w:cs="Tahoma"/>
                <w:sz w:val="20"/>
              </w:rPr>
              <w:t>for an explanation of the adjustments made to determine the amounts reported in table F1.3 below for the SA Distribution Business</w:t>
            </w:r>
            <w:r w:rsidR="00E049E1">
              <w:rPr>
                <w:rFonts w:ascii="Tahoma" w:hAnsi="Tahoma" w:cs="Tahoma"/>
                <w:sz w:val="20"/>
              </w:rPr>
              <w:t xml:space="preserve">. </w:t>
            </w:r>
          </w:p>
        </w:tc>
        <w:tc>
          <w:tcPr>
            <w:tcW w:w="819" w:type="pct"/>
            <w:tcBorders>
              <w:top w:val="single" w:sz="4" w:space="0" w:color="00B0F0"/>
              <w:bottom w:val="single" w:sz="4" w:space="0" w:color="00B0F0"/>
            </w:tcBorders>
            <w:vAlign w:val="center"/>
          </w:tcPr>
          <w:p w14:paraId="724CC1DD" w14:textId="746DA32F" w:rsidR="00663904" w:rsidRPr="00751816" w:rsidRDefault="005251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Estimate</w:t>
            </w:r>
          </w:p>
        </w:tc>
        <w:tc>
          <w:tcPr>
            <w:tcW w:w="1094" w:type="pct"/>
            <w:tcBorders>
              <w:top w:val="single" w:sz="4" w:space="0" w:color="00B0F0"/>
              <w:bottom w:val="single" w:sz="4" w:space="0" w:color="00B0F0"/>
            </w:tcBorders>
            <w:vAlign w:val="center"/>
          </w:tcPr>
          <w:p w14:paraId="6F902142" w14:textId="7BEF8809" w:rsidR="005251E2" w:rsidRDefault="005251E2" w:rsidP="005251E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regulatory depreciation amount reported below in table F1.3.2 has been sourced from the Roll Forward Model (RFM) submitted and reviewed by the AER as part of AGN’s Final Plan </w:t>
            </w:r>
            <w:r>
              <w:rPr>
                <w:rFonts w:ascii="Tahoma" w:hAnsi="Tahoma" w:cs="Tahoma"/>
                <w:sz w:val="20"/>
              </w:rPr>
              <w:lastRenderedPageBreak/>
              <w:t>for the 2021/22 – 2025/26 period.</w:t>
            </w:r>
          </w:p>
          <w:p w14:paraId="0758CF34" w14:textId="77777777" w:rsidR="005251E2" w:rsidRDefault="005251E2" w:rsidP="005251E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5B630B4" w14:textId="13286E92" w:rsidR="00663904" w:rsidRPr="00591232" w:rsidRDefault="005251E2" w:rsidP="005251E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As explained below in table F1.3.2, given regulatory depreciation information is not statutory accounting information it has been classified as an estimate for the purposes of Workbook 2.  Therefore, the adjustment amount between statutory and regulatory depreciation as reported in this table F1.2.2 is also classified as estimated information. </w:t>
            </w:r>
          </w:p>
        </w:tc>
        <w:tc>
          <w:tcPr>
            <w:tcW w:w="681" w:type="pct"/>
            <w:tcBorders>
              <w:top w:val="single" w:sz="4" w:space="0" w:color="00B0F0"/>
              <w:bottom w:val="single" w:sz="4" w:space="0" w:color="00B0F0"/>
            </w:tcBorders>
            <w:vAlign w:val="center"/>
          </w:tcPr>
          <w:p w14:paraId="39770EC8"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75D14DD4" w14:textId="77777777" w:rsidTr="00E049E1">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489659BC"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 xml:space="preserve">Net finance expenses  </w:t>
            </w:r>
          </w:p>
        </w:tc>
        <w:tc>
          <w:tcPr>
            <w:tcW w:w="1693" w:type="pct"/>
            <w:tcBorders>
              <w:top w:val="single" w:sz="4" w:space="0" w:color="00B0F0"/>
              <w:bottom w:val="single" w:sz="4" w:space="0" w:color="00B0F0"/>
            </w:tcBorders>
          </w:tcPr>
          <w:p w14:paraId="4AFD55D1" w14:textId="11D4D58D" w:rsidR="00663904" w:rsidRDefault="00663904" w:rsidP="00E049E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56A91">
              <w:rPr>
                <w:rFonts w:ascii="Tahoma" w:hAnsi="Tahoma" w:cs="Tahoma"/>
                <w:sz w:val="20"/>
              </w:rPr>
              <w:t>Adjustments shown in table F</w:t>
            </w:r>
            <w:r>
              <w:rPr>
                <w:rFonts w:ascii="Tahoma" w:hAnsi="Tahoma" w:cs="Tahoma"/>
                <w:sz w:val="20"/>
              </w:rPr>
              <w:t>1</w:t>
            </w:r>
            <w:r w:rsidRPr="00D56A91">
              <w:rPr>
                <w:rFonts w:ascii="Tahoma" w:hAnsi="Tahoma" w:cs="Tahoma"/>
                <w:sz w:val="20"/>
              </w:rPr>
              <w:t xml:space="preserve">.2 represent the differences between the </w:t>
            </w:r>
            <w:r w:rsidR="00F81928">
              <w:rPr>
                <w:rFonts w:ascii="Tahoma" w:hAnsi="Tahoma" w:cs="Tahoma"/>
                <w:sz w:val="20"/>
              </w:rPr>
              <w:t>AGN (SA) trial balance amounts</w:t>
            </w:r>
            <w:r w:rsidRPr="00D56A91">
              <w:rPr>
                <w:rFonts w:ascii="Tahoma" w:hAnsi="Tahoma" w:cs="Tahoma"/>
                <w:sz w:val="20"/>
              </w:rPr>
              <w:t xml:space="preserve"> and the relevant amounts for </w:t>
            </w:r>
            <w:r w:rsidR="00F81928">
              <w:rPr>
                <w:rFonts w:ascii="Tahoma" w:hAnsi="Tahoma" w:cs="Tahoma"/>
                <w:sz w:val="20"/>
              </w:rPr>
              <w:t xml:space="preserve">the </w:t>
            </w:r>
            <w:r w:rsidRPr="00D56A91">
              <w:rPr>
                <w:rFonts w:ascii="Tahoma" w:hAnsi="Tahoma" w:cs="Tahoma"/>
                <w:sz w:val="20"/>
              </w:rPr>
              <w:t xml:space="preserve">AGN (SA) </w:t>
            </w:r>
            <w:r w:rsidR="00F81928">
              <w:rPr>
                <w:rFonts w:ascii="Tahoma" w:hAnsi="Tahoma" w:cs="Tahoma"/>
                <w:sz w:val="20"/>
              </w:rPr>
              <w:t>Distribution business</w:t>
            </w:r>
            <w:r w:rsidR="008F649A">
              <w:rPr>
                <w:rFonts w:ascii="Tahoma" w:hAnsi="Tahoma" w:cs="Tahoma"/>
                <w:sz w:val="20"/>
              </w:rPr>
              <w:t>,</w:t>
            </w:r>
            <w:r w:rsidR="00F81928">
              <w:rPr>
                <w:rFonts w:ascii="Tahoma" w:hAnsi="Tahoma" w:cs="Tahoma"/>
                <w:sz w:val="20"/>
              </w:rPr>
              <w:t xml:space="preserve"> </w:t>
            </w:r>
            <w:r w:rsidRPr="00D56A91">
              <w:rPr>
                <w:rFonts w:ascii="Tahoma" w:hAnsi="Tahoma" w:cs="Tahoma"/>
                <w:sz w:val="20"/>
              </w:rPr>
              <w:t>which are reported in table F1.3 below.</w:t>
            </w:r>
          </w:p>
          <w:p w14:paraId="43224703" w14:textId="150B141C" w:rsidR="005F5B85" w:rsidRDefault="005F5B85" w:rsidP="00E049E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3D20891" w14:textId="18EEBB12" w:rsidR="00663904" w:rsidRPr="00751816" w:rsidRDefault="005F5B85" w:rsidP="00F8192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Refer to the reconciliation schedule provided in </w:t>
            </w:r>
            <w:r w:rsidR="00946100" w:rsidRPr="00DE1656">
              <w:rPr>
                <w:rFonts w:ascii="Tahoma" w:hAnsi="Tahoma" w:cs="Tahoma"/>
                <w:sz w:val="20"/>
              </w:rPr>
              <w:t>Appendix F</w:t>
            </w:r>
            <w:r w:rsidR="00946100">
              <w:rPr>
                <w:rFonts w:ascii="Tahoma" w:hAnsi="Tahoma" w:cs="Tahoma"/>
                <w:sz w:val="20"/>
              </w:rPr>
              <w:t xml:space="preserve"> </w:t>
            </w:r>
            <w:r>
              <w:rPr>
                <w:rFonts w:ascii="Tahoma" w:hAnsi="Tahoma" w:cs="Tahoma"/>
                <w:sz w:val="20"/>
              </w:rPr>
              <w:t>for an explanation of the adjustments made to determine the amounts reported in table F1.3 below for</w:t>
            </w:r>
            <w:r w:rsidR="00E049E1">
              <w:rPr>
                <w:rFonts w:ascii="Tahoma" w:hAnsi="Tahoma" w:cs="Tahoma"/>
                <w:sz w:val="20"/>
              </w:rPr>
              <w:t xml:space="preserve"> the SA Distribution Business. </w:t>
            </w:r>
          </w:p>
        </w:tc>
        <w:tc>
          <w:tcPr>
            <w:tcW w:w="819" w:type="pct"/>
            <w:tcBorders>
              <w:top w:val="single" w:sz="4" w:space="0" w:color="00B0F0"/>
              <w:bottom w:val="single" w:sz="4" w:space="0" w:color="00B0F0"/>
            </w:tcBorders>
            <w:vAlign w:val="center"/>
          </w:tcPr>
          <w:p w14:paraId="5B9F941E" w14:textId="625728AE" w:rsidR="006901FE" w:rsidRPr="00751816" w:rsidRDefault="006901FE" w:rsidP="00F8192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Actual </w:t>
            </w:r>
          </w:p>
        </w:tc>
        <w:tc>
          <w:tcPr>
            <w:tcW w:w="1094" w:type="pct"/>
            <w:tcBorders>
              <w:top w:val="single" w:sz="4" w:space="0" w:color="00B0F0"/>
              <w:bottom w:val="single" w:sz="4" w:space="0" w:color="00B0F0"/>
            </w:tcBorders>
            <w:vAlign w:val="center"/>
          </w:tcPr>
          <w:p w14:paraId="14021D0A" w14:textId="2D0DEAB4" w:rsidR="00663904" w:rsidRPr="00591232"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3020CFD1"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29259E3C"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79A3B419"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Loss from sales of fixed assets</w:t>
            </w:r>
          </w:p>
        </w:tc>
        <w:tc>
          <w:tcPr>
            <w:tcW w:w="1693" w:type="pct"/>
            <w:tcBorders>
              <w:top w:val="single" w:sz="4" w:space="0" w:color="00B0F0"/>
              <w:bottom w:val="single" w:sz="4" w:space="0" w:color="00B0F0"/>
            </w:tcBorders>
            <w:vAlign w:val="center"/>
          </w:tcPr>
          <w:p w14:paraId="177A67AE" w14:textId="42B5988E" w:rsidR="00663904" w:rsidRPr="00751816" w:rsidRDefault="005F25EE" w:rsidP="00BD71F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There was no loss from sale</w:t>
            </w:r>
            <w:r w:rsidR="00DC5038">
              <w:rPr>
                <w:rFonts w:ascii="Tahoma" w:hAnsi="Tahoma" w:cs="Tahoma"/>
                <w:sz w:val="20"/>
              </w:rPr>
              <w:t>s</w:t>
            </w:r>
            <w:r>
              <w:rPr>
                <w:rFonts w:ascii="Tahoma" w:hAnsi="Tahoma" w:cs="Tahoma"/>
                <w:sz w:val="20"/>
              </w:rPr>
              <w:t xml:space="preserve"> of fixed assets for AGN (SA) in 2019/20, therefore there is no amount to report for this category of expenditure.</w:t>
            </w:r>
          </w:p>
        </w:tc>
        <w:tc>
          <w:tcPr>
            <w:tcW w:w="819" w:type="pct"/>
            <w:tcBorders>
              <w:top w:val="single" w:sz="4" w:space="0" w:color="00B0F0"/>
              <w:bottom w:val="single" w:sz="4" w:space="0" w:color="00B0F0"/>
            </w:tcBorders>
            <w:vAlign w:val="center"/>
          </w:tcPr>
          <w:p w14:paraId="4DE84731" w14:textId="1D7C81B3" w:rsidR="00663904" w:rsidRPr="00751816" w:rsidRDefault="00942CFE"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094" w:type="pct"/>
            <w:tcBorders>
              <w:top w:val="single" w:sz="4" w:space="0" w:color="00B0F0"/>
              <w:bottom w:val="single" w:sz="4" w:space="0" w:color="00B0F0"/>
            </w:tcBorders>
            <w:vAlign w:val="center"/>
          </w:tcPr>
          <w:p w14:paraId="62FFF97E" w14:textId="2904AA87" w:rsidR="00663904" w:rsidRPr="00591232"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111336AF"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6960EEAD"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2334224A"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 xml:space="preserve">Impairment losses </w:t>
            </w:r>
          </w:p>
        </w:tc>
        <w:tc>
          <w:tcPr>
            <w:tcW w:w="1693" w:type="pct"/>
            <w:tcBorders>
              <w:top w:val="single" w:sz="4" w:space="0" w:color="00B0F0"/>
              <w:bottom w:val="single" w:sz="4" w:space="0" w:color="00B0F0"/>
            </w:tcBorders>
            <w:vAlign w:val="center"/>
          </w:tcPr>
          <w:p w14:paraId="7C924EC2" w14:textId="360C8889" w:rsidR="00663904" w:rsidRPr="00751816" w:rsidRDefault="005F25EE" w:rsidP="00B013F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There was no impairment losses for AGN (SA) in 2019/20, therefore there is no amount to report for this category of expenditure.</w:t>
            </w:r>
          </w:p>
        </w:tc>
        <w:tc>
          <w:tcPr>
            <w:tcW w:w="819" w:type="pct"/>
            <w:tcBorders>
              <w:top w:val="single" w:sz="4" w:space="0" w:color="00B0F0"/>
              <w:bottom w:val="single" w:sz="4" w:space="0" w:color="00B0F0"/>
            </w:tcBorders>
            <w:vAlign w:val="center"/>
          </w:tcPr>
          <w:p w14:paraId="13E46DC7" w14:textId="330EB816" w:rsidR="00663904" w:rsidRPr="00751816" w:rsidRDefault="00942CFE" w:rsidP="00942CFE">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094" w:type="pct"/>
            <w:tcBorders>
              <w:top w:val="single" w:sz="4" w:space="0" w:color="00B0F0"/>
              <w:bottom w:val="single" w:sz="4" w:space="0" w:color="00B0F0"/>
            </w:tcBorders>
            <w:vAlign w:val="center"/>
          </w:tcPr>
          <w:p w14:paraId="3D54242A" w14:textId="12B21D42" w:rsidR="00663904" w:rsidRPr="00591232"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5FFC33ED"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57E6B87E"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7BC1F114"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lastRenderedPageBreak/>
              <w:t xml:space="preserve">Other expenses </w:t>
            </w:r>
          </w:p>
        </w:tc>
        <w:tc>
          <w:tcPr>
            <w:tcW w:w="1693" w:type="pct"/>
            <w:tcBorders>
              <w:top w:val="single" w:sz="4" w:space="0" w:color="00B0F0"/>
              <w:bottom w:val="single" w:sz="4" w:space="0" w:color="00B0F0"/>
            </w:tcBorders>
            <w:vAlign w:val="center"/>
          </w:tcPr>
          <w:p w14:paraId="75471404" w14:textId="3AB9569F" w:rsidR="00663904" w:rsidRPr="00751816" w:rsidRDefault="00B9784E" w:rsidP="00DC503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As noted above, t</w:t>
            </w:r>
            <w:r w:rsidR="00E04CC9">
              <w:rPr>
                <w:rFonts w:ascii="Tahoma" w:hAnsi="Tahoma" w:cs="Tahoma"/>
                <w:sz w:val="20"/>
              </w:rPr>
              <w:t>here is no expenditure to be reported in this category of Other expenses for AGN (SA)</w:t>
            </w:r>
            <w:r>
              <w:rPr>
                <w:rFonts w:ascii="Tahoma" w:hAnsi="Tahoma" w:cs="Tahoma"/>
                <w:sz w:val="20"/>
              </w:rPr>
              <w:t xml:space="preserve"> in 2019/20.</w:t>
            </w:r>
            <w:r w:rsidR="00E04CC9">
              <w:rPr>
                <w:rFonts w:ascii="Tahoma" w:hAnsi="Tahoma" w:cs="Tahoma"/>
                <w:sz w:val="20"/>
              </w:rPr>
              <w:t xml:space="preserve"> </w:t>
            </w:r>
          </w:p>
        </w:tc>
        <w:tc>
          <w:tcPr>
            <w:tcW w:w="819" w:type="pct"/>
            <w:tcBorders>
              <w:top w:val="single" w:sz="4" w:space="0" w:color="00B0F0"/>
              <w:bottom w:val="single" w:sz="4" w:space="0" w:color="00B0F0"/>
            </w:tcBorders>
            <w:vAlign w:val="center"/>
          </w:tcPr>
          <w:p w14:paraId="42D7CF0B" w14:textId="3B5571AF" w:rsidR="00663904" w:rsidRPr="00751816" w:rsidRDefault="00942CFE"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094" w:type="pct"/>
            <w:tcBorders>
              <w:top w:val="single" w:sz="4" w:space="0" w:color="00B0F0"/>
              <w:bottom w:val="single" w:sz="4" w:space="0" w:color="00B0F0"/>
            </w:tcBorders>
            <w:vAlign w:val="center"/>
          </w:tcPr>
          <w:p w14:paraId="6C2EC0EB" w14:textId="57F724D5" w:rsidR="00663904" w:rsidRPr="00591232"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58ABF519"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409CF1D9" w14:textId="77777777" w:rsidR="00864650" w:rsidRPr="00C97516" w:rsidRDefault="00864650" w:rsidP="009A02E9">
      <w:pPr>
        <w:rPr>
          <w:rFonts w:ascii="Tahoma" w:hAnsi="Tahoma" w:cs="Tahoma"/>
          <w:color w:val="00B0F0"/>
        </w:rPr>
      </w:pPr>
    </w:p>
    <w:p w14:paraId="51D17316" w14:textId="74FC45B4" w:rsidR="009A02E9" w:rsidRDefault="009A02E9" w:rsidP="009A02E9">
      <w:pPr>
        <w:rPr>
          <w:rFonts w:ascii="Tahoma" w:hAnsi="Tahoma" w:cs="Tahoma"/>
          <w:color w:val="00B0F0"/>
        </w:rPr>
      </w:pPr>
      <w:r w:rsidRPr="00C97516">
        <w:rPr>
          <w:rFonts w:ascii="Tahoma" w:hAnsi="Tahoma" w:cs="Tahoma"/>
          <w:color w:val="00B0F0"/>
        </w:rPr>
        <w:t xml:space="preserve">F1.2.3 – Profit </w:t>
      </w:r>
    </w:p>
    <w:tbl>
      <w:tblPr>
        <w:tblStyle w:val="UETableStyle"/>
        <w:tblW w:w="5000"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1"/>
        <w:gridCol w:w="4729"/>
        <w:gridCol w:w="2286"/>
        <w:gridCol w:w="3051"/>
        <w:gridCol w:w="1901"/>
      </w:tblGrid>
      <w:tr w:rsidR="00663904" w:rsidRPr="00751816" w14:paraId="28BB90EC" w14:textId="77777777" w:rsidTr="00C53252">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13" w:type="pct"/>
            <w:tcBorders>
              <w:bottom w:val="single" w:sz="4" w:space="0" w:color="00B0F0"/>
            </w:tcBorders>
            <w:shd w:val="clear" w:color="auto" w:fill="003C71"/>
            <w:hideMark/>
          </w:tcPr>
          <w:p w14:paraId="2C447C47" w14:textId="5D5162D2" w:rsidR="00663904" w:rsidRPr="00751816" w:rsidRDefault="00663904" w:rsidP="001664CF">
            <w:pPr>
              <w:rPr>
                <w:rFonts w:ascii="Tahoma" w:hAnsi="Tahoma" w:cs="Tahoma"/>
                <w:b/>
                <w:color w:val="FFFFFF"/>
                <w:sz w:val="20"/>
              </w:rPr>
            </w:pPr>
            <w:r w:rsidRPr="00751816">
              <w:rPr>
                <w:rFonts w:ascii="Tahoma" w:hAnsi="Tahoma" w:cs="Tahoma"/>
                <w:b/>
                <w:color w:val="FFFFFF"/>
                <w:sz w:val="20"/>
              </w:rPr>
              <w:t xml:space="preserve">Variable </w:t>
            </w:r>
          </w:p>
        </w:tc>
        <w:tc>
          <w:tcPr>
            <w:tcW w:w="1694" w:type="pct"/>
            <w:tcBorders>
              <w:bottom w:val="single" w:sz="4" w:space="0" w:color="00B0F0"/>
            </w:tcBorders>
            <w:shd w:val="clear" w:color="auto" w:fill="003C71"/>
          </w:tcPr>
          <w:p w14:paraId="5A608BA7"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19" w:type="pct"/>
            <w:tcBorders>
              <w:bottom w:val="single" w:sz="4" w:space="0" w:color="00B0F0"/>
            </w:tcBorders>
            <w:shd w:val="clear" w:color="auto" w:fill="003C71"/>
          </w:tcPr>
          <w:p w14:paraId="44DA7A08"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093" w:type="pct"/>
            <w:tcBorders>
              <w:bottom w:val="single" w:sz="4" w:space="0" w:color="00B0F0"/>
            </w:tcBorders>
            <w:shd w:val="clear" w:color="auto" w:fill="003C71"/>
          </w:tcPr>
          <w:p w14:paraId="0C88621F"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81" w:type="pct"/>
            <w:tcBorders>
              <w:bottom w:val="single" w:sz="4" w:space="0" w:color="00B0F0"/>
            </w:tcBorders>
            <w:shd w:val="clear" w:color="auto" w:fill="003C71"/>
          </w:tcPr>
          <w:p w14:paraId="6728F13D" w14:textId="77777777" w:rsidR="00663904" w:rsidRPr="00751816" w:rsidRDefault="0066390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663904" w:rsidRPr="00751816" w14:paraId="397AE773" w14:textId="77777777" w:rsidTr="001664CF">
        <w:trPr>
          <w:trHeight w:val="2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00A3E0"/>
            <w:vAlign w:val="center"/>
          </w:tcPr>
          <w:p w14:paraId="3EB36675" w14:textId="0841A699" w:rsidR="00663904" w:rsidRDefault="00DD6B14" w:rsidP="001C016D">
            <w:pPr>
              <w:spacing w:before="120" w:after="120" w:line="240" w:lineRule="atLeast"/>
              <w:contextualSpacing/>
              <w:rPr>
                <w:rFonts w:ascii="Tahoma" w:hAnsi="Tahoma" w:cs="Tahoma"/>
                <w:sz w:val="20"/>
              </w:rPr>
            </w:pPr>
            <w:r>
              <w:rPr>
                <w:rFonts w:ascii="Tahoma" w:hAnsi="Tahoma" w:cs="Tahoma"/>
                <w:sz w:val="20"/>
              </w:rPr>
              <w:t>2019/20</w:t>
            </w:r>
          </w:p>
        </w:tc>
        <w:tc>
          <w:tcPr>
            <w:tcW w:w="1694" w:type="pct"/>
            <w:tcBorders>
              <w:top w:val="single" w:sz="4" w:space="0" w:color="00B0F0"/>
              <w:bottom w:val="single" w:sz="4" w:space="0" w:color="00B0F0"/>
            </w:tcBorders>
            <w:shd w:val="clear" w:color="auto" w:fill="00A3E0"/>
            <w:vAlign w:val="center"/>
          </w:tcPr>
          <w:p w14:paraId="036E5D3E"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19" w:type="pct"/>
            <w:tcBorders>
              <w:top w:val="single" w:sz="4" w:space="0" w:color="00B0F0"/>
              <w:bottom w:val="single" w:sz="4" w:space="0" w:color="00B0F0"/>
            </w:tcBorders>
            <w:shd w:val="clear" w:color="auto" w:fill="00A3E0"/>
            <w:vAlign w:val="center"/>
          </w:tcPr>
          <w:p w14:paraId="3BFBB29F"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1093" w:type="pct"/>
            <w:tcBorders>
              <w:top w:val="single" w:sz="4" w:space="0" w:color="00B0F0"/>
              <w:bottom w:val="single" w:sz="4" w:space="0" w:color="00B0F0"/>
            </w:tcBorders>
            <w:shd w:val="clear" w:color="auto" w:fill="00A3E0"/>
            <w:vAlign w:val="center"/>
          </w:tcPr>
          <w:p w14:paraId="42003FD9"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shd w:val="clear" w:color="auto" w:fill="00A3E0"/>
            <w:vAlign w:val="center"/>
          </w:tcPr>
          <w:p w14:paraId="1E9E499E"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63904" w:rsidRPr="00751816" w14:paraId="763E582A" w14:textId="77777777" w:rsidTr="001664CF">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3B0DF155" w14:textId="77777777" w:rsidR="00663904" w:rsidRDefault="00663904" w:rsidP="001C016D">
            <w:pPr>
              <w:spacing w:before="120" w:after="120" w:line="240" w:lineRule="atLeast"/>
              <w:contextualSpacing/>
              <w:rPr>
                <w:rFonts w:ascii="Tahoma" w:hAnsi="Tahoma" w:cs="Tahoma"/>
                <w:sz w:val="20"/>
              </w:rPr>
            </w:pPr>
            <w:r>
              <w:rPr>
                <w:rFonts w:ascii="Tahoma" w:hAnsi="Tahoma" w:cs="Tahoma"/>
                <w:sz w:val="20"/>
              </w:rPr>
              <w:t xml:space="preserve">Income tax expenses / benefits   </w:t>
            </w:r>
          </w:p>
        </w:tc>
        <w:tc>
          <w:tcPr>
            <w:tcW w:w="1694" w:type="pct"/>
            <w:tcBorders>
              <w:top w:val="single" w:sz="4" w:space="0" w:color="00B0F0"/>
              <w:bottom w:val="single" w:sz="4" w:space="0" w:color="00B0F0"/>
            </w:tcBorders>
          </w:tcPr>
          <w:p w14:paraId="20F01974" w14:textId="4F11F178" w:rsidR="00663904" w:rsidRDefault="00663904" w:rsidP="001664C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56A91">
              <w:rPr>
                <w:rFonts w:ascii="Tahoma" w:hAnsi="Tahoma" w:cs="Tahoma"/>
                <w:sz w:val="20"/>
              </w:rPr>
              <w:t>Adjustments shown in table F</w:t>
            </w:r>
            <w:r>
              <w:rPr>
                <w:rFonts w:ascii="Tahoma" w:hAnsi="Tahoma" w:cs="Tahoma"/>
                <w:sz w:val="20"/>
              </w:rPr>
              <w:t>1</w:t>
            </w:r>
            <w:r w:rsidRPr="00D56A91">
              <w:rPr>
                <w:rFonts w:ascii="Tahoma" w:hAnsi="Tahoma" w:cs="Tahoma"/>
                <w:sz w:val="20"/>
              </w:rPr>
              <w:t xml:space="preserve">.2 represent the differences between the </w:t>
            </w:r>
            <w:r w:rsidR="00BD71F8">
              <w:rPr>
                <w:rFonts w:ascii="Tahoma" w:hAnsi="Tahoma" w:cs="Tahoma"/>
                <w:sz w:val="20"/>
              </w:rPr>
              <w:t>AGN (SA) trial balance amounts</w:t>
            </w:r>
            <w:r w:rsidRPr="00D56A91">
              <w:rPr>
                <w:rFonts w:ascii="Tahoma" w:hAnsi="Tahoma" w:cs="Tahoma"/>
                <w:sz w:val="20"/>
              </w:rPr>
              <w:t xml:space="preserve"> and the relevant amounts for </w:t>
            </w:r>
            <w:r w:rsidR="00BD71F8">
              <w:rPr>
                <w:rFonts w:ascii="Tahoma" w:hAnsi="Tahoma" w:cs="Tahoma"/>
                <w:sz w:val="20"/>
              </w:rPr>
              <w:t xml:space="preserve">the </w:t>
            </w:r>
            <w:r w:rsidRPr="00D56A91">
              <w:rPr>
                <w:rFonts w:ascii="Tahoma" w:hAnsi="Tahoma" w:cs="Tahoma"/>
                <w:sz w:val="20"/>
              </w:rPr>
              <w:t xml:space="preserve">AGN (SA) </w:t>
            </w:r>
            <w:r w:rsidR="00BD71F8">
              <w:rPr>
                <w:rFonts w:ascii="Tahoma" w:hAnsi="Tahoma" w:cs="Tahoma"/>
                <w:sz w:val="20"/>
              </w:rPr>
              <w:t>Distribution business</w:t>
            </w:r>
            <w:r w:rsidR="004C234A">
              <w:rPr>
                <w:rFonts w:ascii="Tahoma" w:hAnsi="Tahoma" w:cs="Tahoma"/>
                <w:sz w:val="20"/>
              </w:rPr>
              <w:t>,</w:t>
            </w:r>
            <w:r w:rsidR="00BD71F8">
              <w:rPr>
                <w:rFonts w:ascii="Tahoma" w:hAnsi="Tahoma" w:cs="Tahoma"/>
                <w:sz w:val="20"/>
              </w:rPr>
              <w:t xml:space="preserve"> </w:t>
            </w:r>
            <w:r w:rsidRPr="00D56A91">
              <w:rPr>
                <w:rFonts w:ascii="Tahoma" w:hAnsi="Tahoma" w:cs="Tahoma"/>
                <w:sz w:val="20"/>
              </w:rPr>
              <w:t>which are reported in table F1.3 below.</w:t>
            </w:r>
          </w:p>
          <w:p w14:paraId="66AAB886" w14:textId="3E75D129" w:rsidR="005F5B85" w:rsidRDefault="005F5B85" w:rsidP="001664C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60D4D3C" w14:textId="422788DE" w:rsidR="00663904" w:rsidRPr="00751816" w:rsidRDefault="005F5B85" w:rsidP="00BD71F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Refer to the reconciliation schedule provided in </w:t>
            </w:r>
            <w:r w:rsidR="00946100" w:rsidRPr="00DE1656">
              <w:rPr>
                <w:rFonts w:ascii="Tahoma" w:hAnsi="Tahoma" w:cs="Tahoma"/>
                <w:sz w:val="20"/>
              </w:rPr>
              <w:t>Appendix F</w:t>
            </w:r>
            <w:r w:rsidR="00946100">
              <w:rPr>
                <w:rFonts w:ascii="Tahoma" w:hAnsi="Tahoma" w:cs="Tahoma"/>
                <w:sz w:val="20"/>
              </w:rPr>
              <w:t xml:space="preserve"> </w:t>
            </w:r>
            <w:r>
              <w:rPr>
                <w:rFonts w:ascii="Tahoma" w:hAnsi="Tahoma" w:cs="Tahoma"/>
                <w:sz w:val="20"/>
              </w:rPr>
              <w:t xml:space="preserve">for an explanation of the adjustments made to determine the amounts reported in table F1.3 below for the SA Distribution Business. </w:t>
            </w:r>
          </w:p>
        </w:tc>
        <w:tc>
          <w:tcPr>
            <w:tcW w:w="819" w:type="pct"/>
            <w:tcBorders>
              <w:top w:val="single" w:sz="4" w:space="0" w:color="00B0F0"/>
              <w:bottom w:val="single" w:sz="4" w:space="0" w:color="00B0F0"/>
            </w:tcBorders>
            <w:vAlign w:val="center"/>
          </w:tcPr>
          <w:p w14:paraId="3758C553"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Estimate</w:t>
            </w:r>
          </w:p>
        </w:tc>
        <w:tc>
          <w:tcPr>
            <w:tcW w:w="1093" w:type="pct"/>
            <w:tcBorders>
              <w:top w:val="single" w:sz="4" w:space="0" w:color="00B0F0"/>
              <w:bottom w:val="single" w:sz="4" w:space="0" w:color="00B0F0"/>
            </w:tcBorders>
            <w:vAlign w:val="center"/>
          </w:tcPr>
          <w:p w14:paraId="6396C26A" w14:textId="6C30BC45" w:rsidR="00942CFE" w:rsidRPr="00751816" w:rsidRDefault="00942CFE" w:rsidP="00DC503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As explained </w:t>
            </w:r>
            <w:r w:rsidR="00904FB6">
              <w:rPr>
                <w:rFonts w:ascii="Tahoma" w:hAnsi="Tahoma" w:cs="Tahoma"/>
                <w:sz w:val="20"/>
              </w:rPr>
              <w:t xml:space="preserve">above in table F1.1.3 and </w:t>
            </w:r>
            <w:r>
              <w:rPr>
                <w:rFonts w:ascii="Tahoma" w:hAnsi="Tahoma" w:cs="Tahoma"/>
                <w:sz w:val="20"/>
              </w:rPr>
              <w:t xml:space="preserve">below in table F1.3.3, the amounts of Income tax expense reported for </w:t>
            </w:r>
            <w:r w:rsidR="00DC5038">
              <w:rPr>
                <w:rFonts w:ascii="Tahoma" w:hAnsi="Tahoma" w:cs="Tahoma"/>
                <w:sz w:val="20"/>
              </w:rPr>
              <w:t>AGN (SA)</w:t>
            </w:r>
            <w:r>
              <w:rPr>
                <w:rFonts w:ascii="Tahoma" w:hAnsi="Tahoma" w:cs="Tahoma"/>
                <w:sz w:val="20"/>
              </w:rPr>
              <w:t xml:space="preserve"> </w:t>
            </w:r>
            <w:r w:rsidR="004C234A">
              <w:rPr>
                <w:rFonts w:ascii="Tahoma" w:hAnsi="Tahoma" w:cs="Tahoma"/>
                <w:sz w:val="20"/>
              </w:rPr>
              <w:t xml:space="preserve">is </w:t>
            </w:r>
            <w:r>
              <w:rPr>
                <w:rFonts w:ascii="Tahoma" w:hAnsi="Tahoma" w:cs="Tahoma"/>
                <w:sz w:val="20"/>
              </w:rPr>
              <w:t xml:space="preserve">considered by AGN Limited to be estimated information.  </w:t>
            </w:r>
            <w:r w:rsidR="00442F19">
              <w:rPr>
                <w:rFonts w:ascii="Tahoma" w:hAnsi="Tahoma" w:cs="Tahoma"/>
                <w:sz w:val="20"/>
              </w:rPr>
              <w:t>T</w:t>
            </w:r>
            <w:r>
              <w:rPr>
                <w:rFonts w:ascii="Tahoma" w:hAnsi="Tahoma" w:cs="Tahoma"/>
                <w:sz w:val="20"/>
              </w:rPr>
              <w:t>he amount of the adjustment reported in this table, being the difference between table F1.1</w:t>
            </w:r>
            <w:r w:rsidR="00904FB6">
              <w:rPr>
                <w:rFonts w:ascii="Tahoma" w:hAnsi="Tahoma" w:cs="Tahoma"/>
                <w:sz w:val="20"/>
              </w:rPr>
              <w:t>.3</w:t>
            </w:r>
            <w:r>
              <w:rPr>
                <w:rFonts w:ascii="Tahoma" w:hAnsi="Tahoma" w:cs="Tahoma"/>
                <w:sz w:val="20"/>
              </w:rPr>
              <w:t xml:space="preserve"> and F1.3</w:t>
            </w:r>
            <w:r w:rsidR="00904FB6">
              <w:rPr>
                <w:rFonts w:ascii="Tahoma" w:hAnsi="Tahoma" w:cs="Tahoma"/>
                <w:sz w:val="20"/>
              </w:rPr>
              <w:t>.3</w:t>
            </w:r>
            <w:r>
              <w:rPr>
                <w:rFonts w:ascii="Tahoma" w:hAnsi="Tahoma" w:cs="Tahoma"/>
                <w:sz w:val="20"/>
              </w:rPr>
              <w:t xml:space="preserve">, is therefore also estimated information.  </w:t>
            </w:r>
            <w:r w:rsidR="00AE4449">
              <w:rPr>
                <w:rFonts w:ascii="Tahoma" w:hAnsi="Tahoma" w:cs="Tahoma"/>
                <w:sz w:val="20"/>
              </w:rPr>
              <w:t xml:space="preserve">As such, </w:t>
            </w:r>
            <w:r w:rsidR="00904FB6">
              <w:rPr>
                <w:rFonts w:ascii="Tahoma" w:hAnsi="Tahoma" w:cs="Tahoma"/>
                <w:sz w:val="20"/>
              </w:rPr>
              <w:t xml:space="preserve">this </w:t>
            </w:r>
            <w:r w:rsidR="00AE4449">
              <w:rPr>
                <w:rFonts w:ascii="Tahoma" w:hAnsi="Tahoma" w:cs="Tahoma"/>
                <w:sz w:val="20"/>
              </w:rPr>
              <w:t xml:space="preserve">information has been reviewed by AGN Limited’s external auditor in accordance with the requirements of Appendix C of the </w:t>
            </w:r>
            <w:r w:rsidR="008214CA">
              <w:rPr>
                <w:rFonts w:ascii="Tahoma" w:hAnsi="Tahoma" w:cs="Tahoma"/>
                <w:sz w:val="20"/>
              </w:rPr>
              <w:t>Annual RIN</w:t>
            </w:r>
            <w:r w:rsidR="00AE4449">
              <w:rPr>
                <w:rFonts w:ascii="Tahoma" w:hAnsi="Tahoma" w:cs="Tahoma"/>
                <w:sz w:val="20"/>
              </w:rPr>
              <w:t>.</w:t>
            </w:r>
          </w:p>
        </w:tc>
        <w:tc>
          <w:tcPr>
            <w:tcW w:w="681" w:type="pct"/>
            <w:tcBorders>
              <w:top w:val="single" w:sz="4" w:space="0" w:color="00B0F0"/>
              <w:bottom w:val="single" w:sz="4" w:space="0" w:color="00B0F0"/>
            </w:tcBorders>
            <w:vAlign w:val="center"/>
          </w:tcPr>
          <w:p w14:paraId="29AD3E5E" w14:textId="77777777" w:rsidR="00663904" w:rsidRPr="00751816" w:rsidRDefault="00663904"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3E4AE0E2" w14:textId="77777777" w:rsidR="00864650" w:rsidRPr="00C97516" w:rsidRDefault="00864650" w:rsidP="009A02E9">
      <w:pPr>
        <w:rPr>
          <w:rFonts w:ascii="Tahoma" w:hAnsi="Tahoma" w:cs="Tahoma"/>
          <w:color w:val="00B0F0"/>
        </w:rPr>
      </w:pPr>
    </w:p>
    <w:p w14:paraId="7B3927AB" w14:textId="77777777" w:rsidR="00F24616" w:rsidRDefault="00F24616">
      <w:pPr>
        <w:rPr>
          <w:rFonts w:ascii="Tahoma" w:eastAsiaTheme="majorEastAsia" w:hAnsi="Tahoma" w:cs="Tahoma"/>
          <w:color w:val="003C71"/>
          <w:sz w:val="26"/>
          <w:szCs w:val="26"/>
        </w:rPr>
      </w:pPr>
      <w:r>
        <w:rPr>
          <w:rFonts w:ascii="Tahoma" w:hAnsi="Tahoma" w:cs="Tahoma"/>
          <w:color w:val="003C71"/>
        </w:rPr>
        <w:br w:type="page"/>
      </w:r>
    </w:p>
    <w:p w14:paraId="6B38EB41" w14:textId="0156D515" w:rsidR="009A02E9" w:rsidRPr="00C97516" w:rsidRDefault="00AB33C5" w:rsidP="00C97516">
      <w:pPr>
        <w:pStyle w:val="Heading2"/>
        <w:rPr>
          <w:rFonts w:ascii="Tahoma" w:hAnsi="Tahoma" w:cs="Tahoma"/>
          <w:color w:val="003C71"/>
        </w:rPr>
      </w:pPr>
      <w:bookmarkStart w:id="35" w:name="_Toc57314080"/>
      <w:r w:rsidRPr="00C97516">
        <w:rPr>
          <w:rFonts w:ascii="Tahoma" w:hAnsi="Tahoma" w:cs="Tahoma"/>
          <w:color w:val="003C71"/>
        </w:rPr>
        <w:lastRenderedPageBreak/>
        <w:t>F1.3 – Distribution Business</w:t>
      </w:r>
      <w:bookmarkEnd w:id="35"/>
      <w:r w:rsidRPr="00C97516">
        <w:rPr>
          <w:rFonts w:ascii="Tahoma" w:hAnsi="Tahoma" w:cs="Tahoma"/>
          <w:color w:val="003C71"/>
        </w:rPr>
        <w:t xml:space="preserve"> </w:t>
      </w:r>
    </w:p>
    <w:p w14:paraId="0BF7AA2C" w14:textId="7CC76DC5" w:rsidR="007472DB" w:rsidRDefault="007472DB" w:rsidP="007472DB">
      <w:pPr>
        <w:rPr>
          <w:rFonts w:ascii="Tahoma" w:hAnsi="Tahoma" w:cs="Tahoma"/>
          <w:color w:val="00B0F0"/>
        </w:rPr>
      </w:pPr>
      <w:r>
        <w:rPr>
          <w:rFonts w:ascii="Tahoma" w:hAnsi="Tahoma" w:cs="Tahoma"/>
          <w:color w:val="00B0F0"/>
        </w:rPr>
        <w:t>F1.3</w:t>
      </w:r>
      <w:r w:rsidRPr="00C97516">
        <w:rPr>
          <w:rFonts w:ascii="Tahoma" w:hAnsi="Tahoma" w:cs="Tahoma"/>
          <w:color w:val="00B0F0"/>
        </w:rPr>
        <w:t xml:space="preserve">.1 – Revenue </w:t>
      </w:r>
    </w:p>
    <w:tbl>
      <w:tblPr>
        <w:tblStyle w:val="UETableStyle"/>
        <w:tblW w:w="5000"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0"/>
        <w:gridCol w:w="4723"/>
        <w:gridCol w:w="2284"/>
        <w:gridCol w:w="3054"/>
        <w:gridCol w:w="1907"/>
      </w:tblGrid>
      <w:tr w:rsidR="007472DB" w:rsidRPr="00751816" w14:paraId="6CE2F673" w14:textId="77777777" w:rsidTr="00C53252">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13" w:type="pct"/>
            <w:tcBorders>
              <w:bottom w:val="single" w:sz="4" w:space="0" w:color="00B0F0"/>
            </w:tcBorders>
            <w:shd w:val="clear" w:color="auto" w:fill="003C71"/>
            <w:hideMark/>
          </w:tcPr>
          <w:p w14:paraId="620E1B7A" w14:textId="20FD217E" w:rsidR="007472DB" w:rsidRPr="00751816" w:rsidRDefault="007472DB" w:rsidP="00EA7CDA">
            <w:pPr>
              <w:rPr>
                <w:rFonts w:ascii="Tahoma" w:hAnsi="Tahoma" w:cs="Tahoma"/>
                <w:b/>
                <w:color w:val="FFFFFF"/>
                <w:sz w:val="20"/>
              </w:rPr>
            </w:pPr>
            <w:r w:rsidRPr="00751816">
              <w:rPr>
                <w:rFonts w:ascii="Tahoma" w:hAnsi="Tahoma" w:cs="Tahoma"/>
                <w:b/>
                <w:color w:val="FFFFFF"/>
                <w:sz w:val="20"/>
              </w:rPr>
              <w:t xml:space="preserve">Variable </w:t>
            </w:r>
          </w:p>
        </w:tc>
        <w:tc>
          <w:tcPr>
            <w:tcW w:w="1692" w:type="pct"/>
            <w:tcBorders>
              <w:bottom w:val="single" w:sz="4" w:space="0" w:color="00B0F0"/>
            </w:tcBorders>
            <w:shd w:val="clear" w:color="auto" w:fill="003C71"/>
          </w:tcPr>
          <w:p w14:paraId="52410829" w14:textId="77777777" w:rsidR="007472DB" w:rsidRPr="00751816" w:rsidRDefault="007472DB"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18" w:type="pct"/>
            <w:tcBorders>
              <w:bottom w:val="single" w:sz="4" w:space="0" w:color="00B0F0"/>
            </w:tcBorders>
            <w:shd w:val="clear" w:color="auto" w:fill="003C71"/>
          </w:tcPr>
          <w:p w14:paraId="23E2FBDE" w14:textId="77777777" w:rsidR="007472DB" w:rsidRPr="00751816" w:rsidRDefault="007472DB"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094" w:type="pct"/>
            <w:tcBorders>
              <w:bottom w:val="single" w:sz="4" w:space="0" w:color="00B0F0"/>
            </w:tcBorders>
            <w:shd w:val="clear" w:color="auto" w:fill="003C71"/>
          </w:tcPr>
          <w:p w14:paraId="55E5277F" w14:textId="77777777" w:rsidR="007472DB" w:rsidRPr="00751816" w:rsidRDefault="007472DB"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81" w:type="pct"/>
            <w:tcBorders>
              <w:bottom w:val="single" w:sz="4" w:space="0" w:color="00B0F0"/>
            </w:tcBorders>
            <w:shd w:val="clear" w:color="auto" w:fill="003C71"/>
          </w:tcPr>
          <w:p w14:paraId="532927A6" w14:textId="77777777" w:rsidR="007472DB" w:rsidRPr="00751816" w:rsidRDefault="007472DB"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C53252" w:rsidRPr="00751816" w14:paraId="46BCB3E8"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00A3E0"/>
            <w:vAlign w:val="center"/>
          </w:tcPr>
          <w:p w14:paraId="5A15903D" w14:textId="62430DD8" w:rsidR="00C53252" w:rsidRDefault="008418D3" w:rsidP="001C016D">
            <w:pPr>
              <w:spacing w:before="120" w:after="120" w:line="240" w:lineRule="atLeast"/>
              <w:contextualSpacing/>
              <w:rPr>
                <w:rFonts w:ascii="Tahoma" w:hAnsi="Tahoma" w:cs="Tahoma"/>
                <w:sz w:val="20"/>
              </w:rPr>
            </w:pPr>
            <w:r>
              <w:rPr>
                <w:rFonts w:ascii="Tahoma" w:hAnsi="Tahoma" w:cs="Tahoma"/>
                <w:sz w:val="20"/>
              </w:rPr>
              <w:t>2019/20</w:t>
            </w:r>
          </w:p>
        </w:tc>
        <w:tc>
          <w:tcPr>
            <w:tcW w:w="4287" w:type="pct"/>
            <w:gridSpan w:val="4"/>
            <w:tcBorders>
              <w:top w:val="single" w:sz="4" w:space="0" w:color="00B0F0"/>
              <w:bottom w:val="single" w:sz="4" w:space="0" w:color="00B0F0"/>
            </w:tcBorders>
            <w:shd w:val="clear" w:color="auto" w:fill="00A3E0"/>
            <w:vAlign w:val="center"/>
          </w:tcPr>
          <w:p w14:paraId="642F862F" w14:textId="2A7F84F0" w:rsidR="00C731A1" w:rsidRDefault="00C75FFA" w:rsidP="001664C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r w:rsidRPr="001C12DA">
              <w:rPr>
                <w:rFonts w:ascii="Tahoma" w:hAnsi="Tahoma" w:cs="Tahoma"/>
                <w:i/>
                <w:sz w:val="20"/>
              </w:rPr>
              <w:t>AGN Limited</w:t>
            </w:r>
            <w:r w:rsidR="009F3BE5">
              <w:rPr>
                <w:rFonts w:ascii="Tahoma" w:hAnsi="Tahoma" w:cs="Tahoma"/>
                <w:i/>
                <w:sz w:val="20"/>
              </w:rPr>
              <w:t>, which owns regulated and unregulated gas pipelines in multiple jurisdictions,</w:t>
            </w:r>
            <w:r w:rsidRPr="001C12DA">
              <w:rPr>
                <w:rFonts w:ascii="Tahoma" w:hAnsi="Tahoma" w:cs="Tahoma"/>
                <w:i/>
                <w:sz w:val="20"/>
              </w:rPr>
              <w:t xml:space="preserve"> does not prepare audited statutory accounts for AGN (SA) which forms part of the consolidated group</w:t>
            </w:r>
            <w:r w:rsidR="009F3BE5">
              <w:rPr>
                <w:rFonts w:ascii="Tahoma" w:hAnsi="Tahoma" w:cs="Tahoma"/>
                <w:i/>
                <w:sz w:val="20"/>
              </w:rPr>
              <w:t xml:space="preserve"> of companies</w:t>
            </w:r>
            <w:r w:rsidRPr="001C12DA">
              <w:rPr>
                <w:rFonts w:ascii="Tahoma" w:hAnsi="Tahoma" w:cs="Tahoma"/>
                <w:i/>
                <w:sz w:val="20"/>
              </w:rPr>
              <w:t xml:space="preserve">.  </w:t>
            </w:r>
            <w:r w:rsidR="00C731A1">
              <w:rPr>
                <w:rFonts w:ascii="Tahoma" w:hAnsi="Tahoma" w:cs="Tahoma"/>
                <w:i/>
                <w:sz w:val="20"/>
              </w:rPr>
              <w:t>However, as required by the AER for this Annual RIN, a trial balance for AGN (SA) has been prepared for 2019/20 which forms the basis of the financial information reported in this table F1.3.  The methodology used to prepare the trial balance for AGN (SA)</w:t>
            </w:r>
            <w:r w:rsidR="00A75464">
              <w:rPr>
                <w:rFonts w:ascii="Tahoma" w:hAnsi="Tahoma" w:cs="Tahoma"/>
                <w:i/>
                <w:sz w:val="20"/>
              </w:rPr>
              <w:t xml:space="preserve"> and the actual financial information contained therein which has been audited</w:t>
            </w:r>
            <w:r w:rsidR="00C731A1">
              <w:rPr>
                <w:rFonts w:ascii="Tahoma" w:hAnsi="Tahoma" w:cs="Tahoma"/>
                <w:i/>
                <w:sz w:val="20"/>
              </w:rPr>
              <w:t xml:space="preserve"> is set out in </w:t>
            </w:r>
            <w:r w:rsidR="00C731A1" w:rsidRPr="001D5226">
              <w:rPr>
                <w:rFonts w:ascii="Tahoma" w:hAnsi="Tahoma" w:cs="Tahoma"/>
                <w:i/>
                <w:sz w:val="20"/>
              </w:rPr>
              <w:t>Appendix G</w:t>
            </w:r>
            <w:r w:rsidR="00C731A1">
              <w:rPr>
                <w:rFonts w:ascii="Tahoma" w:hAnsi="Tahoma" w:cs="Tahoma"/>
                <w:i/>
                <w:sz w:val="20"/>
              </w:rPr>
              <w:t xml:space="preserve"> of this basis of preparation.</w:t>
            </w:r>
          </w:p>
          <w:p w14:paraId="701C1ED2" w14:textId="54B378E1" w:rsidR="00904FB6" w:rsidRDefault="00904FB6" w:rsidP="001664C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p>
          <w:p w14:paraId="4769F3D9" w14:textId="448CB9C9" w:rsidR="00C75FFA" w:rsidRPr="00751816" w:rsidRDefault="00904FB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i/>
                <w:sz w:val="20"/>
              </w:rPr>
              <w:t xml:space="preserve">Amounts reported for the AGN (SA) Distribution Business have been adjusted, as set out in Appendix F.  </w:t>
            </w:r>
            <w:r w:rsidR="00014215">
              <w:rPr>
                <w:rFonts w:ascii="Tahoma" w:hAnsi="Tahoma" w:cs="Tahoma"/>
                <w:i/>
                <w:sz w:val="20"/>
              </w:rPr>
              <w:t>T</w:t>
            </w:r>
            <w:r>
              <w:rPr>
                <w:rFonts w:ascii="Tahoma" w:hAnsi="Tahoma" w:cs="Tahoma"/>
                <w:i/>
                <w:sz w:val="20"/>
              </w:rPr>
              <w:t>hese adjustments include a combination of removing unregulated SA income statement/expenditure items, allocating AGN Limited balances to AGN (SA) where appropriate, removing non-SA expenditure items from the trial balance and to reflect SA AA regulatory adjustments.</w:t>
            </w:r>
          </w:p>
        </w:tc>
      </w:tr>
      <w:tr w:rsidR="007472DB" w:rsidRPr="00751816" w14:paraId="332A672C"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504EB095" w14:textId="77777777" w:rsidR="007472DB" w:rsidRDefault="007472DB" w:rsidP="001C016D">
            <w:pPr>
              <w:spacing w:before="120" w:after="120" w:line="240" w:lineRule="atLeast"/>
              <w:contextualSpacing/>
              <w:rPr>
                <w:rFonts w:ascii="Tahoma" w:hAnsi="Tahoma" w:cs="Tahoma"/>
                <w:sz w:val="20"/>
              </w:rPr>
            </w:pPr>
            <w:r>
              <w:rPr>
                <w:rFonts w:ascii="Tahoma" w:hAnsi="Tahoma" w:cs="Tahoma"/>
                <w:sz w:val="20"/>
              </w:rPr>
              <w:t xml:space="preserve">Distribution revenue  </w:t>
            </w:r>
          </w:p>
        </w:tc>
        <w:tc>
          <w:tcPr>
            <w:tcW w:w="1692" w:type="pct"/>
            <w:tcBorders>
              <w:top w:val="single" w:sz="4" w:space="0" w:color="00B0F0"/>
              <w:bottom w:val="single" w:sz="4" w:space="0" w:color="00B0F0"/>
            </w:tcBorders>
            <w:vAlign w:val="center"/>
          </w:tcPr>
          <w:p w14:paraId="75D93425" w14:textId="1C78A53B" w:rsidR="006E5779" w:rsidRPr="00751816" w:rsidRDefault="006E5779" w:rsidP="00C75FF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Distribution revenue figures reported in this table have been linked to the total revenue reported in table F3.5 – Total Revenue.  Therefore these amounts include revenue for Haulage Services, Ancillary Reference Services and Non-Reference Services. Refer to the sections of this Basis of Preparation document related to tab F3.  </w:t>
            </w:r>
          </w:p>
        </w:tc>
        <w:tc>
          <w:tcPr>
            <w:tcW w:w="818" w:type="pct"/>
            <w:tcBorders>
              <w:top w:val="single" w:sz="4" w:space="0" w:color="00B0F0"/>
              <w:bottom w:val="single" w:sz="4" w:space="0" w:color="00B0F0"/>
            </w:tcBorders>
            <w:vAlign w:val="center"/>
          </w:tcPr>
          <w:p w14:paraId="28B25E7D" w14:textId="114829A3" w:rsidR="007472DB" w:rsidRPr="00751816" w:rsidRDefault="006E5779" w:rsidP="006E577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094" w:type="pct"/>
            <w:tcBorders>
              <w:top w:val="single" w:sz="4" w:space="0" w:color="00B0F0"/>
              <w:bottom w:val="single" w:sz="4" w:space="0" w:color="00B0F0"/>
            </w:tcBorders>
            <w:vAlign w:val="center"/>
          </w:tcPr>
          <w:p w14:paraId="5DDF9C61" w14:textId="3B6796F7" w:rsidR="007472DB" w:rsidRPr="00751816" w:rsidRDefault="007472DB"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667F0D34" w14:textId="77777777" w:rsidR="007472DB" w:rsidRPr="00751816" w:rsidRDefault="007472DB"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7472DB" w:rsidRPr="00751816" w14:paraId="64C8032B"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7CC4D04F" w14:textId="77777777" w:rsidR="007472DB" w:rsidRDefault="007472DB" w:rsidP="001C016D">
            <w:pPr>
              <w:spacing w:before="120" w:after="120" w:line="240" w:lineRule="atLeast"/>
              <w:contextualSpacing/>
              <w:rPr>
                <w:rFonts w:ascii="Tahoma" w:hAnsi="Tahoma" w:cs="Tahoma"/>
                <w:sz w:val="20"/>
              </w:rPr>
            </w:pPr>
            <w:r>
              <w:rPr>
                <w:rFonts w:ascii="Tahoma" w:hAnsi="Tahoma" w:cs="Tahoma"/>
                <w:sz w:val="20"/>
              </w:rPr>
              <w:t xml:space="preserve">Capital contribution </w:t>
            </w:r>
          </w:p>
        </w:tc>
        <w:tc>
          <w:tcPr>
            <w:tcW w:w="1692" w:type="pct"/>
            <w:tcBorders>
              <w:top w:val="single" w:sz="4" w:space="0" w:color="00B0F0"/>
              <w:bottom w:val="single" w:sz="4" w:space="0" w:color="00B0F0"/>
            </w:tcBorders>
            <w:vAlign w:val="center"/>
          </w:tcPr>
          <w:p w14:paraId="257851EC" w14:textId="0F6403B7" w:rsidR="006E5779" w:rsidRPr="00751816" w:rsidRDefault="006E5779" w:rsidP="00E64F8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In accordance with the Regulatory Accounting Principles and Policies document, the amount of Capital contributions received from customers is </w:t>
            </w:r>
            <w:r w:rsidR="00C75FFA">
              <w:rPr>
                <w:rFonts w:ascii="Tahoma" w:hAnsi="Tahoma" w:cs="Tahoma"/>
                <w:sz w:val="20"/>
              </w:rPr>
              <w:t xml:space="preserve">not treated as operating income but rather </w:t>
            </w:r>
            <w:r>
              <w:rPr>
                <w:rFonts w:ascii="Tahoma" w:hAnsi="Tahoma" w:cs="Tahoma"/>
                <w:sz w:val="20"/>
              </w:rPr>
              <w:t xml:space="preserve">deducted from the related Capex incurred by AGN </w:t>
            </w:r>
            <w:r w:rsidR="00E64F8A">
              <w:rPr>
                <w:rFonts w:ascii="Tahoma" w:hAnsi="Tahoma" w:cs="Tahoma"/>
                <w:sz w:val="20"/>
              </w:rPr>
              <w:t>(SA)</w:t>
            </w:r>
            <w:r>
              <w:rPr>
                <w:rFonts w:ascii="Tahoma" w:hAnsi="Tahoma" w:cs="Tahoma"/>
                <w:sz w:val="20"/>
              </w:rPr>
              <w:t>, such that the net cost is reflected in the RAB.  Hence there is no Capital contributions</w:t>
            </w:r>
            <w:r w:rsidR="00C75FFA">
              <w:rPr>
                <w:rFonts w:ascii="Tahoma" w:hAnsi="Tahoma" w:cs="Tahoma"/>
                <w:sz w:val="20"/>
              </w:rPr>
              <w:t xml:space="preserve"> revenue</w:t>
            </w:r>
            <w:r>
              <w:rPr>
                <w:rFonts w:ascii="Tahoma" w:hAnsi="Tahoma" w:cs="Tahoma"/>
                <w:sz w:val="20"/>
              </w:rPr>
              <w:t xml:space="preserve"> to report in this table.</w:t>
            </w:r>
          </w:p>
        </w:tc>
        <w:tc>
          <w:tcPr>
            <w:tcW w:w="818" w:type="pct"/>
            <w:tcBorders>
              <w:top w:val="single" w:sz="4" w:space="0" w:color="00B0F0"/>
              <w:bottom w:val="single" w:sz="4" w:space="0" w:color="00B0F0"/>
            </w:tcBorders>
            <w:vAlign w:val="center"/>
          </w:tcPr>
          <w:p w14:paraId="13EBA1E1" w14:textId="101762B1" w:rsidR="007472DB" w:rsidRPr="00751816" w:rsidRDefault="006E5779"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094" w:type="pct"/>
            <w:tcBorders>
              <w:top w:val="single" w:sz="4" w:space="0" w:color="00B0F0"/>
              <w:bottom w:val="single" w:sz="4" w:space="0" w:color="00B0F0"/>
            </w:tcBorders>
            <w:vAlign w:val="center"/>
          </w:tcPr>
          <w:p w14:paraId="51ADF1BB" w14:textId="7BADFD1D" w:rsidR="007472DB" w:rsidRPr="00751816" w:rsidRDefault="007472DB"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191F673B" w14:textId="77777777" w:rsidR="007472DB" w:rsidRPr="00751816" w:rsidRDefault="007472DB"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7472DB" w:rsidRPr="00751816" w14:paraId="028D376B"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682E866C" w14:textId="77777777" w:rsidR="007472DB" w:rsidRDefault="007472DB" w:rsidP="001C016D">
            <w:pPr>
              <w:spacing w:before="120" w:after="120" w:line="240" w:lineRule="atLeast"/>
              <w:contextualSpacing/>
              <w:rPr>
                <w:rFonts w:ascii="Tahoma" w:hAnsi="Tahoma" w:cs="Tahoma"/>
                <w:sz w:val="20"/>
              </w:rPr>
            </w:pPr>
            <w:r>
              <w:rPr>
                <w:rFonts w:ascii="Tahoma" w:hAnsi="Tahoma" w:cs="Tahoma"/>
                <w:sz w:val="20"/>
              </w:rPr>
              <w:t xml:space="preserve">Profit from sales of fixed assets </w:t>
            </w:r>
          </w:p>
        </w:tc>
        <w:tc>
          <w:tcPr>
            <w:tcW w:w="1692" w:type="pct"/>
            <w:tcBorders>
              <w:top w:val="single" w:sz="4" w:space="0" w:color="00B0F0"/>
              <w:bottom w:val="single" w:sz="4" w:space="0" w:color="00B0F0"/>
            </w:tcBorders>
            <w:vAlign w:val="center"/>
          </w:tcPr>
          <w:p w14:paraId="5BE7DC76" w14:textId="16077A27" w:rsidR="006E5779" w:rsidRPr="00751816" w:rsidRDefault="00C731A1" w:rsidP="00B013F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There was no profit from sale</w:t>
            </w:r>
            <w:r w:rsidR="00F72C9C">
              <w:rPr>
                <w:rFonts w:ascii="Tahoma" w:hAnsi="Tahoma" w:cs="Tahoma"/>
                <w:sz w:val="20"/>
              </w:rPr>
              <w:t>s</w:t>
            </w:r>
            <w:r>
              <w:rPr>
                <w:rFonts w:ascii="Tahoma" w:hAnsi="Tahoma" w:cs="Tahoma"/>
                <w:sz w:val="20"/>
              </w:rPr>
              <w:t xml:space="preserve"> of fixed assets for AGN (SA) in 2019/20, therefore there is no amount to report for this category of revenue.</w:t>
            </w:r>
          </w:p>
        </w:tc>
        <w:tc>
          <w:tcPr>
            <w:tcW w:w="818" w:type="pct"/>
            <w:tcBorders>
              <w:top w:val="single" w:sz="4" w:space="0" w:color="00B0F0"/>
              <w:bottom w:val="single" w:sz="4" w:space="0" w:color="00B0F0"/>
            </w:tcBorders>
            <w:vAlign w:val="center"/>
          </w:tcPr>
          <w:p w14:paraId="6901850A" w14:textId="1112E538" w:rsidR="007472DB" w:rsidRPr="00751816" w:rsidRDefault="00343E89"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094" w:type="pct"/>
            <w:tcBorders>
              <w:top w:val="single" w:sz="4" w:space="0" w:color="00B0F0"/>
              <w:bottom w:val="single" w:sz="4" w:space="0" w:color="00B0F0"/>
            </w:tcBorders>
            <w:vAlign w:val="center"/>
          </w:tcPr>
          <w:p w14:paraId="7A59B93B" w14:textId="58118CA3" w:rsidR="007472DB" w:rsidRPr="00751816" w:rsidRDefault="007472DB"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5F23FC26" w14:textId="77777777" w:rsidR="007472DB" w:rsidRPr="00751816" w:rsidRDefault="007472DB"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7472DB" w:rsidRPr="00751816" w14:paraId="25DE4F66"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7E93AFC7" w14:textId="77777777" w:rsidR="007472DB" w:rsidRDefault="007472DB" w:rsidP="001C016D">
            <w:pPr>
              <w:spacing w:before="120" w:after="120" w:line="240" w:lineRule="atLeast"/>
              <w:contextualSpacing/>
              <w:rPr>
                <w:rFonts w:ascii="Tahoma" w:hAnsi="Tahoma" w:cs="Tahoma"/>
                <w:sz w:val="20"/>
              </w:rPr>
            </w:pPr>
            <w:r>
              <w:rPr>
                <w:rFonts w:ascii="Tahoma" w:hAnsi="Tahoma" w:cs="Tahoma"/>
                <w:sz w:val="20"/>
              </w:rPr>
              <w:lastRenderedPageBreak/>
              <w:t xml:space="preserve">Other revenue </w:t>
            </w:r>
          </w:p>
        </w:tc>
        <w:tc>
          <w:tcPr>
            <w:tcW w:w="1692" w:type="pct"/>
            <w:tcBorders>
              <w:top w:val="single" w:sz="4" w:space="0" w:color="00B0F0"/>
              <w:bottom w:val="single" w:sz="4" w:space="0" w:color="00B0F0"/>
            </w:tcBorders>
            <w:vAlign w:val="center"/>
          </w:tcPr>
          <w:p w14:paraId="02CB5012" w14:textId="35FBD830" w:rsidR="007472DB" w:rsidRPr="00751816" w:rsidRDefault="00C43FE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There is no Other revenue to report for the AGN (SA) Distribution Business because </w:t>
            </w:r>
            <w:r w:rsidR="00F72C9C">
              <w:rPr>
                <w:rFonts w:ascii="Tahoma" w:hAnsi="Tahoma" w:cs="Tahoma"/>
                <w:sz w:val="20"/>
              </w:rPr>
              <w:t xml:space="preserve">all Other revenue reported in the trial balance represents </w:t>
            </w:r>
            <w:r>
              <w:rPr>
                <w:rFonts w:ascii="Tahoma" w:hAnsi="Tahoma" w:cs="Tahoma"/>
                <w:sz w:val="20"/>
              </w:rPr>
              <w:t xml:space="preserve">revenue from unregulated activities.  </w:t>
            </w:r>
          </w:p>
        </w:tc>
        <w:tc>
          <w:tcPr>
            <w:tcW w:w="818" w:type="pct"/>
            <w:tcBorders>
              <w:top w:val="single" w:sz="4" w:space="0" w:color="00B0F0"/>
              <w:bottom w:val="single" w:sz="4" w:space="0" w:color="00B0F0"/>
            </w:tcBorders>
            <w:vAlign w:val="center"/>
          </w:tcPr>
          <w:p w14:paraId="4CCB86CC" w14:textId="344D3650" w:rsidR="007472DB" w:rsidRPr="00751816" w:rsidRDefault="006E5779"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094" w:type="pct"/>
            <w:tcBorders>
              <w:top w:val="single" w:sz="4" w:space="0" w:color="00B0F0"/>
              <w:bottom w:val="single" w:sz="4" w:space="0" w:color="00B0F0"/>
            </w:tcBorders>
            <w:vAlign w:val="center"/>
          </w:tcPr>
          <w:p w14:paraId="36FF2C29" w14:textId="394BD650" w:rsidR="007472DB" w:rsidRPr="00751816" w:rsidRDefault="007472DB"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764DE886" w14:textId="77777777" w:rsidR="007472DB" w:rsidRPr="00751816" w:rsidRDefault="007472DB"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5C98B320" w14:textId="77777777" w:rsidR="007472DB" w:rsidRDefault="007472DB" w:rsidP="007472DB">
      <w:pPr>
        <w:rPr>
          <w:rFonts w:ascii="Tahoma" w:hAnsi="Tahoma" w:cs="Tahoma"/>
          <w:color w:val="00B0F0"/>
        </w:rPr>
      </w:pPr>
    </w:p>
    <w:p w14:paraId="213AE16C" w14:textId="77777777" w:rsidR="007472DB" w:rsidRDefault="007472DB" w:rsidP="007472DB">
      <w:pPr>
        <w:rPr>
          <w:rFonts w:ascii="Tahoma" w:hAnsi="Tahoma" w:cs="Tahoma"/>
          <w:color w:val="00B0F0"/>
        </w:rPr>
      </w:pPr>
      <w:r w:rsidRPr="00C97516">
        <w:rPr>
          <w:rFonts w:ascii="Tahoma" w:hAnsi="Tahoma" w:cs="Tahoma"/>
          <w:color w:val="00B0F0"/>
        </w:rPr>
        <w:t>F1.</w:t>
      </w:r>
      <w:r>
        <w:rPr>
          <w:rFonts w:ascii="Tahoma" w:hAnsi="Tahoma" w:cs="Tahoma"/>
          <w:color w:val="00B0F0"/>
        </w:rPr>
        <w:t>3</w:t>
      </w:r>
      <w:r w:rsidRPr="00C97516">
        <w:rPr>
          <w:rFonts w:ascii="Tahoma" w:hAnsi="Tahoma" w:cs="Tahoma"/>
          <w:color w:val="00B0F0"/>
        </w:rPr>
        <w:t xml:space="preserve">.2 – Expenditure </w:t>
      </w:r>
    </w:p>
    <w:tbl>
      <w:tblPr>
        <w:tblStyle w:val="UETableStyle"/>
        <w:tblW w:w="5000"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70"/>
        <w:gridCol w:w="4679"/>
        <w:gridCol w:w="2261"/>
        <w:gridCol w:w="3166"/>
        <w:gridCol w:w="1882"/>
      </w:tblGrid>
      <w:tr w:rsidR="007472DB" w:rsidRPr="00751816" w14:paraId="4F8D2AB9" w14:textId="77777777" w:rsidTr="00C53252">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06" w:type="pct"/>
            <w:tcBorders>
              <w:bottom w:val="single" w:sz="4" w:space="0" w:color="00B0F0"/>
            </w:tcBorders>
            <w:shd w:val="clear" w:color="auto" w:fill="003C71"/>
            <w:hideMark/>
          </w:tcPr>
          <w:p w14:paraId="2F91F7DF" w14:textId="3069C5BC" w:rsidR="007472DB" w:rsidRPr="00751816" w:rsidRDefault="007472DB" w:rsidP="001664CF">
            <w:pPr>
              <w:rPr>
                <w:rFonts w:ascii="Tahoma" w:hAnsi="Tahoma" w:cs="Tahoma"/>
                <w:b/>
                <w:color w:val="FFFFFF"/>
                <w:sz w:val="20"/>
              </w:rPr>
            </w:pPr>
            <w:r w:rsidRPr="00751816">
              <w:rPr>
                <w:rFonts w:ascii="Tahoma" w:hAnsi="Tahoma" w:cs="Tahoma"/>
                <w:b/>
                <w:color w:val="FFFFFF"/>
                <w:sz w:val="20"/>
              </w:rPr>
              <w:t xml:space="preserve">Variable </w:t>
            </w:r>
          </w:p>
        </w:tc>
        <w:tc>
          <w:tcPr>
            <w:tcW w:w="1676" w:type="pct"/>
            <w:tcBorders>
              <w:bottom w:val="single" w:sz="4" w:space="0" w:color="00B0F0"/>
            </w:tcBorders>
            <w:shd w:val="clear" w:color="auto" w:fill="003C71"/>
          </w:tcPr>
          <w:p w14:paraId="0DDEFF41" w14:textId="77777777" w:rsidR="007472DB" w:rsidRPr="00751816" w:rsidRDefault="007472DB"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10" w:type="pct"/>
            <w:tcBorders>
              <w:bottom w:val="single" w:sz="4" w:space="0" w:color="00B0F0"/>
            </w:tcBorders>
            <w:shd w:val="clear" w:color="auto" w:fill="003C71"/>
          </w:tcPr>
          <w:p w14:paraId="3EF320E7" w14:textId="77777777" w:rsidR="007472DB" w:rsidRPr="00751816" w:rsidRDefault="007472DB"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134" w:type="pct"/>
            <w:tcBorders>
              <w:bottom w:val="single" w:sz="4" w:space="0" w:color="00B0F0"/>
            </w:tcBorders>
            <w:shd w:val="clear" w:color="auto" w:fill="003C71"/>
          </w:tcPr>
          <w:p w14:paraId="104211EA" w14:textId="77777777" w:rsidR="007472DB" w:rsidRPr="00751816" w:rsidRDefault="007472DB"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74" w:type="pct"/>
            <w:tcBorders>
              <w:bottom w:val="single" w:sz="4" w:space="0" w:color="00B0F0"/>
            </w:tcBorders>
            <w:shd w:val="clear" w:color="auto" w:fill="003C71"/>
          </w:tcPr>
          <w:p w14:paraId="51B6093C" w14:textId="77777777" w:rsidR="007472DB" w:rsidRPr="00751816" w:rsidRDefault="007472DB"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7472DB" w:rsidRPr="00751816" w14:paraId="468A29B3" w14:textId="77777777" w:rsidTr="001664CF">
        <w:trPr>
          <w:trHeight w:val="283"/>
        </w:trPr>
        <w:tc>
          <w:tcPr>
            <w:cnfStyle w:val="001000000000" w:firstRow="0" w:lastRow="0" w:firstColumn="1" w:lastColumn="0" w:oddVBand="0" w:evenVBand="0" w:oddHBand="0" w:evenHBand="0" w:firstRowFirstColumn="0" w:firstRowLastColumn="0" w:lastRowFirstColumn="0" w:lastRowLastColumn="0"/>
            <w:tcW w:w="706" w:type="pct"/>
            <w:tcBorders>
              <w:top w:val="single" w:sz="4" w:space="0" w:color="00B0F0"/>
              <w:bottom w:val="single" w:sz="4" w:space="0" w:color="00B0F0"/>
            </w:tcBorders>
            <w:shd w:val="clear" w:color="auto" w:fill="00A3E0"/>
            <w:vAlign w:val="center"/>
          </w:tcPr>
          <w:p w14:paraId="75ACD292" w14:textId="182926E4" w:rsidR="007472DB" w:rsidRDefault="008418D3" w:rsidP="001C016D">
            <w:pPr>
              <w:spacing w:before="120" w:after="120" w:line="240" w:lineRule="atLeast"/>
              <w:contextualSpacing/>
              <w:rPr>
                <w:rFonts w:ascii="Tahoma" w:hAnsi="Tahoma" w:cs="Tahoma"/>
                <w:sz w:val="20"/>
              </w:rPr>
            </w:pPr>
            <w:r>
              <w:rPr>
                <w:rFonts w:ascii="Tahoma" w:hAnsi="Tahoma" w:cs="Tahoma"/>
                <w:sz w:val="20"/>
              </w:rPr>
              <w:t>2019/20</w:t>
            </w:r>
          </w:p>
        </w:tc>
        <w:tc>
          <w:tcPr>
            <w:tcW w:w="1676" w:type="pct"/>
            <w:tcBorders>
              <w:top w:val="single" w:sz="4" w:space="0" w:color="00B0F0"/>
              <w:bottom w:val="single" w:sz="4" w:space="0" w:color="00B0F0"/>
            </w:tcBorders>
            <w:shd w:val="clear" w:color="auto" w:fill="00A3E0"/>
            <w:vAlign w:val="center"/>
          </w:tcPr>
          <w:p w14:paraId="0217234E" w14:textId="77777777" w:rsidR="007472DB" w:rsidRPr="00751816" w:rsidRDefault="007472DB"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10" w:type="pct"/>
            <w:tcBorders>
              <w:top w:val="single" w:sz="4" w:space="0" w:color="00B0F0"/>
              <w:bottom w:val="single" w:sz="4" w:space="0" w:color="00B0F0"/>
            </w:tcBorders>
            <w:shd w:val="clear" w:color="auto" w:fill="00A3E0"/>
            <w:vAlign w:val="center"/>
          </w:tcPr>
          <w:p w14:paraId="4CB208FA" w14:textId="77777777" w:rsidR="007472DB" w:rsidRPr="00751816" w:rsidRDefault="007472DB"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1134" w:type="pct"/>
            <w:tcBorders>
              <w:top w:val="single" w:sz="4" w:space="0" w:color="00B0F0"/>
              <w:bottom w:val="single" w:sz="4" w:space="0" w:color="00B0F0"/>
            </w:tcBorders>
            <w:shd w:val="clear" w:color="auto" w:fill="00A3E0"/>
            <w:vAlign w:val="center"/>
          </w:tcPr>
          <w:p w14:paraId="650F4E04" w14:textId="77777777" w:rsidR="007472DB" w:rsidRPr="00751816" w:rsidRDefault="007472DB"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74" w:type="pct"/>
            <w:tcBorders>
              <w:top w:val="single" w:sz="4" w:space="0" w:color="00B0F0"/>
              <w:bottom w:val="single" w:sz="4" w:space="0" w:color="00B0F0"/>
            </w:tcBorders>
            <w:shd w:val="clear" w:color="auto" w:fill="00A3E0"/>
            <w:vAlign w:val="center"/>
          </w:tcPr>
          <w:p w14:paraId="1730CF37" w14:textId="77777777" w:rsidR="007472DB" w:rsidRPr="00751816" w:rsidRDefault="007472DB"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016D6F" w:rsidRPr="00751816" w14:paraId="2165327C" w14:textId="77777777" w:rsidTr="00016D6F">
        <w:trPr>
          <w:trHeight w:val="583"/>
        </w:trPr>
        <w:tc>
          <w:tcPr>
            <w:cnfStyle w:val="001000000000" w:firstRow="0" w:lastRow="0" w:firstColumn="1" w:lastColumn="0" w:oddVBand="0" w:evenVBand="0" w:oddHBand="0" w:evenHBand="0" w:firstRowFirstColumn="0" w:firstRowLastColumn="0" w:lastRowFirstColumn="0" w:lastRowLastColumn="0"/>
            <w:tcW w:w="706" w:type="pct"/>
            <w:tcBorders>
              <w:top w:val="single" w:sz="4" w:space="0" w:color="00B0F0"/>
              <w:bottom w:val="single" w:sz="4" w:space="0" w:color="00B0F0"/>
            </w:tcBorders>
            <w:shd w:val="clear" w:color="auto" w:fill="D9D9D9" w:themeFill="background1" w:themeFillShade="D9"/>
            <w:vAlign w:val="center"/>
          </w:tcPr>
          <w:p w14:paraId="3D6EA520" w14:textId="77777777" w:rsidR="00016D6F" w:rsidRDefault="00016D6F" w:rsidP="00016D6F">
            <w:pPr>
              <w:spacing w:before="120" w:after="120" w:line="240" w:lineRule="atLeast"/>
              <w:contextualSpacing/>
              <w:rPr>
                <w:rFonts w:ascii="Tahoma" w:hAnsi="Tahoma" w:cs="Tahoma"/>
                <w:sz w:val="20"/>
              </w:rPr>
            </w:pPr>
            <w:r>
              <w:rPr>
                <w:rFonts w:ascii="Tahoma" w:hAnsi="Tahoma" w:cs="Tahoma"/>
                <w:sz w:val="20"/>
              </w:rPr>
              <w:t xml:space="preserve">Operating expenditure    </w:t>
            </w:r>
          </w:p>
        </w:tc>
        <w:tc>
          <w:tcPr>
            <w:tcW w:w="1676" w:type="pct"/>
            <w:tcBorders>
              <w:top w:val="single" w:sz="4" w:space="0" w:color="00B0F0"/>
              <w:bottom w:val="single" w:sz="4" w:space="0" w:color="00B0F0"/>
            </w:tcBorders>
            <w:vAlign w:val="center"/>
          </w:tcPr>
          <w:p w14:paraId="58C18215" w14:textId="633D52EF" w:rsidR="00016D6F" w:rsidRPr="00751816" w:rsidRDefault="00016D6F" w:rsidP="00B013F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amount reported in this table for Operating expenditure </w:t>
            </w:r>
            <w:r w:rsidR="00473F9A">
              <w:rPr>
                <w:rFonts w:ascii="Tahoma" w:hAnsi="Tahoma" w:cs="Tahoma"/>
                <w:sz w:val="20"/>
              </w:rPr>
              <w:t xml:space="preserve">has </w:t>
            </w:r>
            <w:r>
              <w:rPr>
                <w:rFonts w:ascii="Tahoma" w:hAnsi="Tahoma" w:cs="Tahoma"/>
                <w:sz w:val="20"/>
              </w:rPr>
              <w:t>been linked to the Opex amount reported in table F4.1.3 of the RIN template, with an adjustment to separately report Jurisdictional charges as required in this table</w:t>
            </w:r>
            <w:r w:rsidR="00473F9A">
              <w:rPr>
                <w:rFonts w:ascii="Tahoma" w:hAnsi="Tahoma" w:cs="Tahoma"/>
                <w:sz w:val="20"/>
              </w:rPr>
              <w:t xml:space="preserve"> (noting there is no Loss from sales of fixed assets in 2019/20, which otherwise would also have been separately reported)</w:t>
            </w:r>
            <w:r>
              <w:rPr>
                <w:rFonts w:ascii="Tahoma" w:hAnsi="Tahoma" w:cs="Tahoma"/>
                <w:sz w:val="20"/>
              </w:rPr>
              <w:t xml:space="preserve">.  That is, the sum of amounts reported in this table (F1.3.2) for Operating expenditure and Jurisdictional charges, agrees with the total expenditure reported in table F4.1.3 for </w:t>
            </w:r>
            <w:r w:rsidR="00C731A1">
              <w:rPr>
                <w:rFonts w:ascii="Tahoma" w:hAnsi="Tahoma" w:cs="Tahoma"/>
                <w:sz w:val="20"/>
              </w:rPr>
              <w:t>2019/20</w:t>
            </w:r>
            <w:r>
              <w:rPr>
                <w:rFonts w:ascii="Tahoma" w:hAnsi="Tahoma" w:cs="Tahoma"/>
                <w:sz w:val="20"/>
              </w:rPr>
              <w:t>.</w:t>
            </w:r>
          </w:p>
        </w:tc>
        <w:tc>
          <w:tcPr>
            <w:tcW w:w="810" w:type="pct"/>
            <w:tcBorders>
              <w:top w:val="single" w:sz="4" w:space="0" w:color="00B0F0"/>
              <w:bottom w:val="single" w:sz="4" w:space="0" w:color="00B0F0"/>
            </w:tcBorders>
            <w:vAlign w:val="center"/>
          </w:tcPr>
          <w:p w14:paraId="12A84815" w14:textId="01BFAA02" w:rsidR="00016D6F" w:rsidRPr="00751816" w:rsidRDefault="00016D6F" w:rsidP="00BC3D7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Actual </w:t>
            </w:r>
          </w:p>
        </w:tc>
        <w:tc>
          <w:tcPr>
            <w:tcW w:w="1134" w:type="pct"/>
            <w:tcBorders>
              <w:top w:val="single" w:sz="4" w:space="0" w:color="00B0F0"/>
              <w:bottom w:val="single" w:sz="4" w:space="0" w:color="00B0F0"/>
            </w:tcBorders>
          </w:tcPr>
          <w:p w14:paraId="5CE2090C" w14:textId="0578C790" w:rsidR="00016D6F" w:rsidRPr="00751816" w:rsidRDefault="00016D6F" w:rsidP="00016D6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74" w:type="pct"/>
            <w:tcBorders>
              <w:top w:val="single" w:sz="4" w:space="0" w:color="00B0F0"/>
              <w:bottom w:val="single" w:sz="4" w:space="0" w:color="00B0F0"/>
            </w:tcBorders>
          </w:tcPr>
          <w:p w14:paraId="6681ECC5" w14:textId="77777777" w:rsidR="00016D6F" w:rsidRPr="00751816" w:rsidRDefault="00016D6F" w:rsidP="00F040E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E5779" w:rsidRPr="00751816" w14:paraId="46F66520" w14:textId="77777777" w:rsidTr="00C53252">
        <w:trPr>
          <w:trHeight w:val="583"/>
        </w:trPr>
        <w:tc>
          <w:tcPr>
            <w:cnfStyle w:val="001000000000" w:firstRow="0" w:lastRow="0" w:firstColumn="1" w:lastColumn="0" w:oddVBand="0" w:evenVBand="0" w:oddHBand="0" w:evenHBand="0" w:firstRowFirstColumn="0" w:firstRowLastColumn="0" w:lastRowFirstColumn="0" w:lastRowLastColumn="0"/>
            <w:tcW w:w="706" w:type="pct"/>
            <w:tcBorders>
              <w:top w:val="single" w:sz="4" w:space="0" w:color="00B0F0"/>
              <w:bottom w:val="single" w:sz="4" w:space="0" w:color="00B0F0"/>
            </w:tcBorders>
            <w:shd w:val="clear" w:color="auto" w:fill="D9D9D9" w:themeFill="background1" w:themeFillShade="D9"/>
            <w:vAlign w:val="center"/>
          </w:tcPr>
          <w:p w14:paraId="424E8E9F" w14:textId="77777777" w:rsidR="006E5779" w:rsidRDefault="006E5779" w:rsidP="006E5779">
            <w:pPr>
              <w:spacing w:before="120" w:after="120" w:line="240" w:lineRule="atLeast"/>
              <w:contextualSpacing/>
              <w:rPr>
                <w:rFonts w:ascii="Tahoma" w:hAnsi="Tahoma" w:cs="Tahoma"/>
                <w:sz w:val="20"/>
              </w:rPr>
            </w:pPr>
            <w:r>
              <w:rPr>
                <w:rFonts w:ascii="Tahoma" w:hAnsi="Tahoma" w:cs="Tahoma"/>
                <w:sz w:val="20"/>
              </w:rPr>
              <w:t xml:space="preserve">Depreciation  </w:t>
            </w:r>
          </w:p>
        </w:tc>
        <w:tc>
          <w:tcPr>
            <w:tcW w:w="1676" w:type="pct"/>
            <w:tcBorders>
              <w:top w:val="single" w:sz="4" w:space="0" w:color="00B0F0"/>
              <w:bottom w:val="single" w:sz="4" w:space="0" w:color="00B0F0"/>
            </w:tcBorders>
            <w:vAlign w:val="center"/>
          </w:tcPr>
          <w:p w14:paraId="5AC23FDA" w14:textId="2BF6AFF1" w:rsidR="006E5779" w:rsidRPr="00751816" w:rsidRDefault="006E5779" w:rsidP="00EC55F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amount reported in this table for Depreciation reflects the regulatory allowance for nominal straight-line depreciation as per the AER’s determination for the SA AA. This information is recorded</w:t>
            </w:r>
            <w:r w:rsidR="008A702D">
              <w:rPr>
                <w:rFonts w:ascii="Tahoma" w:hAnsi="Tahoma" w:cs="Tahoma"/>
                <w:sz w:val="20"/>
              </w:rPr>
              <w:t xml:space="preserve"> in</w:t>
            </w:r>
            <w:r>
              <w:rPr>
                <w:rFonts w:ascii="Tahoma" w:hAnsi="Tahoma" w:cs="Tahoma"/>
                <w:sz w:val="20"/>
              </w:rPr>
              <w:t xml:space="preserve">, amongst other sources, the </w:t>
            </w:r>
            <w:r w:rsidR="00151C7D">
              <w:rPr>
                <w:rFonts w:ascii="Tahoma" w:hAnsi="Tahoma" w:cs="Tahoma"/>
                <w:sz w:val="20"/>
              </w:rPr>
              <w:t>RFM</w:t>
            </w:r>
            <w:r>
              <w:rPr>
                <w:rFonts w:ascii="Tahoma" w:hAnsi="Tahoma" w:cs="Tahoma"/>
                <w:sz w:val="20"/>
              </w:rPr>
              <w:t xml:space="preserve"> for AGN (SA) for the current AA period.  The regulatory allowance for nominal straight-line depreciation is reflective of regulatory asset lives and the policies outlined in AGN Limited’s </w:t>
            </w:r>
            <w:r>
              <w:rPr>
                <w:rFonts w:ascii="Tahoma" w:hAnsi="Tahoma" w:cs="Tahoma"/>
                <w:sz w:val="20"/>
              </w:rPr>
              <w:lastRenderedPageBreak/>
              <w:t>Regulatory Accounting Principles and Policies document.  Therefore</w:t>
            </w:r>
            <w:r w:rsidR="008A702D">
              <w:rPr>
                <w:rFonts w:ascii="Tahoma" w:hAnsi="Tahoma" w:cs="Tahoma"/>
                <w:sz w:val="20"/>
              </w:rPr>
              <w:t>,</w:t>
            </w:r>
            <w:r>
              <w:rPr>
                <w:rFonts w:ascii="Tahoma" w:hAnsi="Tahoma" w:cs="Tahoma"/>
                <w:sz w:val="20"/>
              </w:rPr>
              <w:t xml:space="preserve"> this </w:t>
            </w:r>
            <w:r w:rsidR="008A702D">
              <w:rPr>
                <w:rFonts w:ascii="Tahoma" w:hAnsi="Tahoma" w:cs="Tahoma"/>
                <w:sz w:val="20"/>
              </w:rPr>
              <w:t xml:space="preserve">is considered </w:t>
            </w:r>
            <w:r>
              <w:rPr>
                <w:rFonts w:ascii="Tahoma" w:hAnsi="Tahoma" w:cs="Tahoma"/>
                <w:sz w:val="20"/>
              </w:rPr>
              <w:t xml:space="preserve">the appropriate basis of reporting Depreciation expenditure, as compared with the amounts reported in the </w:t>
            </w:r>
            <w:r w:rsidR="00EC55FC">
              <w:rPr>
                <w:rFonts w:ascii="Tahoma" w:hAnsi="Tahoma" w:cs="Tahoma"/>
                <w:sz w:val="20"/>
              </w:rPr>
              <w:t>a</w:t>
            </w:r>
            <w:r>
              <w:rPr>
                <w:rFonts w:ascii="Tahoma" w:hAnsi="Tahoma" w:cs="Tahoma"/>
                <w:sz w:val="20"/>
              </w:rPr>
              <w:t xml:space="preserve">udited </w:t>
            </w:r>
            <w:r w:rsidR="00EC55FC">
              <w:rPr>
                <w:rFonts w:ascii="Tahoma" w:hAnsi="Tahoma" w:cs="Tahoma"/>
                <w:sz w:val="20"/>
              </w:rPr>
              <w:t>s</w:t>
            </w:r>
            <w:r>
              <w:rPr>
                <w:rFonts w:ascii="Tahoma" w:hAnsi="Tahoma" w:cs="Tahoma"/>
                <w:sz w:val="20"/>
              </w:rPr>
              <w:t xml:space="preserve">tatutory </w:t>
            </w:r>
            <w:r w:rsidR="00EC55FC">
              <w:rPr>
                <w:rFonts w:ascii="Tahoma" w:hAnsi="Tahoma" w:cs="Tahoma"/>
                <w:sz w:val="20"/>
              </w:rPr>
              <w:t>a</w:t>
            </w:r>
            <w:r>
              <w:rPr>
                <w:rFonts w:ascii="Tahoma" w:hAnsi="Tahoma" w:cs="Tahoma"/>
                <w:sz w:val="20"/>
              </w:rPr>
              <w:t>ccounts.</w:t>
            </w:r>
          </w:p>
        </w:tc>
        <w:tc>
          <w:tcPr>
            <w:tcW w:w="810" w:type="pct"/>
            <w:tcBorders>
              <w:top w:val="single" w:sz="4" w:space="0" w:color="00B0F0"/>
              <w:bottom w:val="single" w:sz="4" w:space="0" w:color="00B0F0"/>
            </w:tcBorders>
            <w:vAlign w:val="center"/>
          </w:tcPr>
          <w:p w14:paraId="69188315" w14:textId="67DA5F60" w:rsidR="006E5779" w:rsidRPr="00751816" w:rsidRDefault="00151C7D" w:rsidP="006E577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Estimate</w:t>
            </w:r>
          </w:p>
        </w:tc>
        <w:tc>
          <w:tcPr>
            <w:tcW w:w="1134" w:type="pct"/>
            <w:tcBorders>
              <w:top w:val="single" w:sz="4" w:space="0" w:color="00B0F0"/>
              <w:bottom w:val="single" w:sz="4" w:space="0" w:color="00B0F0"/>
            </w:tcBorders>
            <w:vAlign w:val="center"/>
          </w:tcPr>
          <w:p w14:paraId="49C0EB16" w14:textId="2574D9BC" w:rsidR="006E5779" w:rsidRDefault="00151C7D" w:rsidP="006E577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regulatory depreciation amount</w:t>
            </w:r>
            <w:r w:rsidR="00883F91">
              <w:rPr>
                <w:rFonts w:ascii="Tahoma" w:hAnsi="Tahoma" w:cs="Tahoma"/>
                <w:sz w:val="20"/>
              </w:rPr>
              <w:t xml:space="preserve"> reported in this table</w:t>
            </w:r>
            <w:r>
              <w:rPr>
                <w:rFonts w:ascii="Tahoma" w:hAnsi="Tahoma" w:cs="Tahoma"/>
                <w:sz w:val="20"/>
              </w:rPr>
              <w:t xml:space="preserve"> has been sourced from the RFM submitted and reviewed by the AER as part of AGN’s Final Plan for the 2021/22 – 2025/26 period.</w:t>
            </w:r>
          </w:p>
          <w:p w14:paraId="071E8859" w14:textId="77777777" w:rsidR="00151C7D" w:rsidRDefault="00151C7D" w:rsidP="006E577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C69A441" w14:textId="57747476" w:rsidR="00151C7D" w:rsidRPr="00751816" w:rsidRDefault="00151C7D" w:rsidP="00883F9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Consistent with </w:t>
            </w:r>
            <w:r w:rsidR="00883F91">
              <w:rPr>
                <w:rFonts w:ascii="Tahoma" w:hAnsi="Tahoma" w:cs="Tahoma"/>
                <w:sz w:val="20"/>
              </w:rPr>
              <w:t xml:space="preserve">the use of data from the RFM in Table F10.1 – </w:t>
            </w:r>
            <w:r w:rsidR="00883F91">
              <w:rPr>
                <w:rFonts w:ascii="Tahoma" w:hAnsi="Tahoma" w:cs="Tahoma"/>
                <w:sz w:val="20"/>
              </w:rPr>
              <w:lastRenderedPageBreak/>
              <w:t xml:space="preserve">Capital Base Values, given </w:t>
            </w:r>
            <w:r>
              <w:rPr>
                <w:rFonts w:ascii="Tahoma" w:hAnsi="Tahoma" w:cs="Tahoma"/>
                <w:sz w:val="20"/>
              </w:rPr>
              <w:t>th</w:t>
            </w:r>
            <w:r w:rsidR="00883F91">
              <w:rPr>
                <w:rFonts w:ascii="Tahoma" w:hAnsi="Tahoma" w:cs="Tahoma"/>
                <w:sz w:val="20"/>
              </w:rPr>
              <w:t xml:space="preserve">e regulatory depreciation </w:t>
            </w:r>
            <w:r>
              <w:rPr>
                <w:rFonts w:ascii="Tahoma" w:hAnsi="Tahoma" w:cs="Tahoma"/>
                <w:sz w:val="20"/>
              </w:rPr>
              <w:t xml:space="preserve">information is not statutory </w:t>
            </w:r>
            <w:r w:rsidR="00883F91">
              <w:rPr>
                <w:rFonts w:ascii="Tahoma" w:hAnsi="Tahoma" w:cs="Tahoma"/>
                <w:sz w:val="20"/>
              </w:rPr>
              <w:t>accounting information it has been classified as an estimate for the purposes of Workbook 2.</w:t>
            </w:r>
          </w:p>
        </w:tc>
        <w:tc>
          <w:tcPr>
            <w:tcW w:w="674" w:type="pct"/>
            <w:tcBorders>
              <w:top w:val="single" w:sz="4" w:space="0" w:color="00B0F0"/>
              <w:bottom w:val="single" w:sz="4" w:space="0" w:color="00B0F0"/>
            </w:tcBorders>
            <w:vAlign w:val="center"/>
          </w:tcPr>
          <w:p w14:paraId="2BCF3379" w14:textId="77777777" w:rsidR="006E5779" w:rsidRPr="00751816" w:rsidRDefault="006E5779" w:rsidP="006E577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E5779" w:rsidRPr="00751816" w14:paraId="075AA135" w14:textId="77777777" w:rsidTr="00E049E1">
        <w:trPr>
          <w:trHeight w:val="583"/>
        </w:trPr>
        <w:tc>
          <w:tcPr>
            <w:cnfStyle w:val="001000000000" w:firstRow="0" w:lastRow="0" w:firstColumn="1" w:lastColumn="0" w:oddVBand="0" w:evenVBand="0" w:oddHBand="0" w:evenHBand="0" w:firstRowFirstColumn="0" w:firstRowLastColumn="0" w:lastRowFirstColumn="0" w:lastRowLastColumn="0"/>
            <w:tcW w:w="706" w:type="pct"/>
            <w:tcBorders>
              <w:top w:val="single" w:sz="4" w:space="0" w:color="00B0F0"/>
              <w:bottom w:val="single" w:sz="4" w:space="0" w:color="00B0F0"/>
            </w:tcBorders>
            <w:shd w:val="clear" w:color="auto" w:fill="D9D9D9" w:themeFill="background1" w:themeFillShade="D9"/>
            <w:vAlign w:val="center"/>
          </w:tcPr>
          <w:p w14:paraId="759250FE" w14:textId="77777777" w:rsidR="006E5779" w:rsidRDefault="006E5779" w:rsidP="006E5779">
            <w:pPr>
              <w:spacing w:before="120" w:after="120" w:line="240" w:lineRule="atLeast"/>
              <w:contextualSpacing/>
              <w:rPr>
                <w:rFonts w:ascii="Tahoma" w:hAnsi="Tahoma" w:cs="Tahoma"/>
                <w:sz w:val="20"/>
              </w:rPr>
            </w:pPr>
            <w:r>
              <w:rPr>
                <w:rFonts w:ascii="Tahoma" w:hAnsi="Tahoma" w:cs="Tahoma"/>
                <w:sz w:val="20"/>
              </w:rPr>
              <w:t xml:space="preserve">Net finance expenses  </w:t>
            </w:r>
          </w:p>
        </w:tc>
        <w:tc>
          <w:tcPr>
            <w:tcW w:w="1676" w:type="pct"/>
            <w:tcBorders>
              <w:top w:val="single" w:sz="4" w:space="0" w:color="00B0F0"/>
              <w:bottom w:val="single" w:sz="4" w:space="0" w:color="00B0F0"/>
            </w:tcBorders>
          </w:tcPr>
          <w:p w14:paraId="473FAEF8" w14:textId="72358F38" w:rsidR="00473F9A" w:rsidRDefault="00473F9A" w:rsidP="00E049E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amount reported in this table for Net finance expenses, represents an allocation </w:t>
            </w:r>
            <w:r w:rsidR="0076744D">
              <w:rPr>
                <w:rFonts w:ascii="Tahoma" w:hAnsi="Tahoma" w:cs="Tahoma"/>
                <w:sz w:val="20"/>
              </w:rPr>
              <w:t xml:space="preserve">to AGN (SA) </w:t>
            </w:r>
            <w:r>
              <w:rPr>
                <w:rFonts w:ascii="Tahoma" w:hAnsi="Tahoma" w:cs="Tahoma"/>
                <w:sz w:val="20"/>
              </w:rPr>
              <w:t>of the AGN Limited consolidated group</w:t>
            </w:r>
            <w:r w:rsidR="0076744D">
              <w:rPr>
                <w:rFonts w:ascii="Tahoma" w:hAnsi="Tahoma" w:cs="Tahoma"/>
                <w:sz w:val="20"/>
              </w:rPr>
              <w:t xml:space="preserve"> Net finance expenses, as reported in its audited statutory accounts, with an adjustment for the Debt raising costs and interest costs associated with financial leases on business premises and leases on motor vehicles, which are separately reported in this table (included in Operating expenditure) and in table F4.1.3 (Opex).</w:t>
            </w:r>
          </w:p>
          <w:p w14:paraId="0BC45800" w14:textId="26FEE600" w:rsidR="0076744D" w:rsidRDefault="0076744D" w:rsidP="00E049E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BCA47D9" w14:textId="7C10EBAB" w:rsidR="0076744D" w:rsidRDefault="0076744D" w:rsidP="00E049E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473F9A">
              <w:rPr>
                <w:rFonts w:ascii="Tahoma" w:hAnsi="Tahoma" w:cs="Tahoma"/>
                <w:sz w:val="20"/>
              </w:rPr>
              <w:t>Finance lease costs for business premises occupied by AGN Limited are reported as Rent expenses for regulatory accounting purposes, as set out in the Regulatory Accounting Principles and Policies document.</w:t>
            </w:r>
            <w:r>
              <w:rPr>
                <w:rFonts w:ascii="Tahoma" w:hAnsi="Tahoma" w:cs="Tahoma"/>
                <w:sz w:val="20"/>
              </w:rPr>
              <w:t xml:space="preserve">  Motor vehicle lease costs are reported as Motor vehicle expenses for regulatory accounting purposes, as set out in the supplementary information (related to the Regulatory Accounting Principles and Policies document) provided </w:t>
            </w:r>
            <w:r w:rsidR="00FD3BFF">
              <w:rPr>
                <w:rFonts w:ascii="Tahoma" w:hAnsi="Tahoma" w:cs="Tahoma"/>
                <w:sz w:val="20"/>
              </w:rPr>
              <w:t xml:space="preserve">in Appendix H of </w:t>
            </w:r>
            <w:r>
              <w:rPr>
                <w:rFonts w:ascii="Tahoma" w:hAnsi="Tahoma" w:cs="Tahoma"/>
                <w:sz w:val="20"/>
              </w:rPr>
              <w:t xml:space="preserve">this </w:t>
            </w:r>
            <w:r w:rsidR="00FD3BFF">
              <w:rPr>
                <w:rFonts w:ascii="Tahoma" w:hAnsi="Tahoma" w:cs="Tahoma"/>
                <w:sz w:val="20"/>
              </w:rPr>
              <w:t>Basis of Preparation document</w:t>
            </w:r>
            <w:r>
              <w:rPr>
                <w:rFonts w:ascii="Tahoma" w:hAnsi="Tahoma" w:cs="Tahoma"/>
                <w:sz w:val="20"/>
              </w:rPr>
              <w:t>.</w:t>
            </w:r>
          </w:p>
          <w:p w14:paraId="12D0BAE2" w14:textId="77777777" w:rsidR="00473F9A" w:rsidRDefault="00473F9A" w:rsidP="00E049E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93A0E59" w14:textId="14008AD8" w:rsidR="006E5779" w:rsidRPr="00751816" w:rsidRDefault="007B3215" w:rsidP="00FD3BF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473F9A">
              <w:rPr>
                <w:rFonts w:ascii="Tahoma" w:hAnsi="Tahoma" w:cs="Tahoma"/>
                <w:sz w:val="20"/>
              </w:rPr>
              <w:t xml:space="preserve">As already mentioned in </w:t>
            </w:r>
            <w:r w:rsidRPr="00A24FB5">
              <w:rPr>
                <w:rFonts w:ascii="Tahoma" w:hAnsi="Tahoma" w:cs="Tahoma"/>
                <w:sz w:val="20"/>
              </w:rPr>
              <w:t xml:space="preserve">table </w:t>
            </w:r>
            <w:r w:rsidR="00A24FB5" w:rsidRPr="001D5226">
              <w:rPr>
                <w:rFonts w:ascii="Tahoma" w:hAnsi="Tahoma" w:cs="Tahoma"/>
                <w:sz w:val="20"/>
              </w:rPr>
              <w:t>F1.1.2</w:t>
            </w:r>
            <w:r w:rsidRPr="00473F9A">
              <w:rPr>
                <w:rFonts w:ascii="Tahoma" w:hAnsi="Tahoma" w:cs="Tahoma"/>
                <w:sz w:val="20"/>
              </w:rPr>
              <w:t xml:space="preserve">, AGN Limited manages its debt finance facilities for the group as a whole, not for each individual AA. </w:t>
            </w:r>
            <w:r w:rsidR="008A702D" w:rsidRPr="00473F9A">
              <w:rPr>
                <w:rFonts w:ascii="Tahoma" w:hAnsi="Tahoma" w:cs="Tahoma"/>
                <w:sz w:val="20"/>
              </w:rPr>
              <w:t xml:space="preserve"> An allocation of </w:t>
            </w:r>
            <w:r w:rsidR="0099131F" w:rsidRPr="00473F9A">
              <w:rPr>
                <w:rFonts w:ascii="Tahoma" w:hAnsi="Tahoma" w:cs="Tahoma"/>
                <w:sz w:val="20"/>
              </w:rPr>
              <w:t>the</w:t>
            </w:r>
            <w:r w:rsidR="00FA69DF" w:rsidRPr="00473F9A">
              <w:rPr>
                <w:rFonts w:ascii="Tahoma" w:hAnsi="Tahoma" w:cs="Tahoma"/>
                <w:sz w:val="20"/>
              </w:rPr>
              <w:t xml:space="preserve"> Net finance expenses </w:t>
            </w:r>
            <w:r w:rsidR="00F062B8" w:rsidRPr="00473F9A">
              <w:rPr>
                <w:rFonts w:ascii="Tahoma" w:hAnsi="Tahoma" w:cs="Tahoma"/>
                <w:sz w:val="20"/>
              </w:rPr>
              <w:t xml:space="preserve">for AGN Limited </w:t>
            </w:r>
            <w:r w:rsidR="008A702D" w:rsidRPr="00473F9A">
              <w:rPr>
                <w:rFonts w:ascii="Tahoma" w:hAnsi="Tahoma" w:cs="Tahoma"/>
                <w:sz w:val="20"/>
              </w:rPr>
              <w:t xml:space="preserve">has </w:t>
            </w:r>
            <w:r w:rsidR="008A702D" w:rsidRPr="00473F9A">
              <w:rPr>
                <w:rFonts w:ascii="Tahoma" w:hAnsi="Tahoma" w:cs="Tahoma"/>
                <w:sz w:val="20"/>
              </w:rPr>
              <w:lastRenderedPageBreak/>
              <w:t>been made to the SA Distribution Business based on the SA RAB as a proportion of AGN Limited’s total asset</w:t>
            </w:r>
            <w:r w:rsidR="00116999" w:rsidRPr="00473F9A">
              <w:rPr>
                <w:rFonts w:ascii="Tahoma" w:hAnsi="Tahoma" w:cs="Tahoma"/>
                <w:sz w:val="20"/>
              </w:rPr>
              <w:t xml:space="preserve"> base</w:t>
            </w:r>
            <w:r w:rsidR="008A702D" w:rsidRPr="00473F9A">
              <w:rPr>
                <w:rFonts w:ascii="Tahoma" w:hAnsi="Tahoma" w:cs="Tahoma"/>
                <w:sz w:val="20"/>
              </w:rPr>
              <w:t>, including a separate allocation for unregulated assets.  This is consistent with the Regulatory Accounting Principles and Policies document</w:t>
            </w:r>
            <w:r w:rsidR="00E048F3" w:rsidRPr="00473F9A">
              <w:rPr>
                <w:rFonts w:ascii="Tahoma" w:hAnsi="Tahoma" w:cs="Tahoma"/>
                <w:sz w:val="20"/>
              </w:rPr>
              <w:t xml:space="preserve"> and Cost Allocation Methodology</w:t>
            </w:r>
            <w:r w:rsidR="008A702D" w:rsidRPr="00473F9A">
              <w:rPr>
                <w:rFonts w:ascii="Tahoma" w:hAnsi="Tahoma" w:cs="Tahoma"/>
                <w:sz w:val="20"/>
              </w:rPr>
              <w:t>.</w:t>
            </w:r>
            <w:r w:rsidR="00484C84">
              <w:rPr>
                <w:rFonts w:ascii="Tahoma" w:hAnsi="Tahoma" w:cs="Tahoma"/>
                <w:sz w:val="20"/>
              </w:rPr>
              <w:t xml:space="preserve">  It is also consistent with the recently submitted Annual RIN information for prior years, which was provided to the AER on 30 September 2020.</w:t>
            </w:r>
          </w:p>
        </w:tc>
        <w:tc>
          <w:tcPr>
            <w:tcW w:w="810" w:type="pct"/>
            <w:tcBorders>
              <w:top w:val="single" w:sz="4" w:space="0" w:color="00B0F0"/>
              <w:bottom w:val="single" w:sz="4" w:space="0" w:color="00B0F0"/>
            </w:tcBorders>
            <w:vAlign w:val="center"/>
          </w:tcPr>
          <w:p w14:paraId="1345195E" w14:textId="4CAA43E7" w:rsidR="00016D6F" w:rsidRPr="00751816" w:rsidRDefault="00016D6F" w:rsidP="00BC3D7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 xml:space="preserve">Actual </w:t>
            </w:r>
          </w:p>
        </w:tc>
        <w:tc>
          <w:tcPr>
            <w:tcW w:w="1134" w:type="pct"/>
            <w:tcBorders>
              <w:top w:val="single" w:sz="4" w:space="0" w:color="00B0F0"/>
              <w:bottom w:val="single" w:sz="4" w:space="0" w:color="00B0F0"/>
            </w:tcBorders>
            <w:vAlign w:val="center"/>
          </w:tcPr>
          <w:p w14:paraId="5CEAE4FE" w14:textId="6AB19C06" w:rsidR="006E5779" w:rsidRPr="00E049E1" w:rsidRDefault="006E5779" w:rsidP="006E577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color w:val="FF0000"/>
                <w:sz w:val="20"/>
              </w:rPr>
            </w:pPr>
          </w:p>
        </w:tc>
        <w:tc>
          <w:tcPr>
            <w:tcW w:w="674" w:type="pct"/>
            <w:tcBorders>
              <w:top w:val="single" w:sz="4" w:space="0" w:color="00B0F0"/>
              <w:bottom w:val="single" w:sz="4" w:space="0" w:color="00B0F0"/>
            </w:tcBorders>
            <w:vAlign w:val="center"/>
          </w:tcPr>
          <w:p w14:paraId="3A5FC6CE" w14:textId="77777777" w:rsidR="006E5779" w:rsidRPr="00751816" w:rsidRDefault="006E5779" w:rsidP="006E577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E5779" w:rsidRPr="00751816" w14:paraId="661013DD" w14:textId="77777777" w:rsidTr="00E049E1">
        <w:trPr>
          <w:trHeight w:val="583"/>
        </w:trPr>
        <w:tc>
          <w:tcPr>
            <w:cnfStyle w:val="001000000000" w:firstRow="0" w:lastRow="0" w:firstColumn="1" w:lastColumn="0" w:oddVBand="0" w:evenVBand="0" w:oddHBand="0" w:evenHBand="0" w:firstRowFirstColumn="0" w:firstRowLastColumn="0" w:lastRowFirstColumn="0" w:lastRowLastColumn="0"/>
            <w:tcW w:w="706" w:type="pct"/>
            <w:tcBorders>
              <w:top w:val="single" w:sz="4" w:space="0" w:color="00B0F0"/>
              <w:bottom w:val="single" w:sz="4" w:space="0" w:color="00B0F0"/>
            </w:tcBorders>
            <w:shd w:val="clear" w:color="auto" w:fill="D9D9D9" w:themeFill="background1" w:themeFillShade="D9"/>
            <w:vAlign w:val="center"/>
          </w:tcPr>
          <w:p w14:paraId="3AE735F6" w14:textId="77777777" w:rsidR="006E5779" w:rsidRDefault="006E5779" w:rsidP="006E5779">
            <w:pPr>
              <w:spacing w:before="120" w:after="120" w:line="240" w:lineRule="atLeast"/>
              <w:contextualSpacing/>
              <w:rPr>
                <w:rFonts w:ascii="Tahoma" w:hAnsi="Tahoma" w:cs="Tahoma"/>
                <w:sz w:val="20"/>
              </w:rPr>
            </w:pPr>
            <w:r>
              <w:rPr>
                <w:rFonts w:ascii="Tahoma" w:hAnsi="Tahoma" w:cs="Tahoma"/>
                <w:sz w:val="20"/>
              </w:rPr>
              <w:t>Loss from sales of fixed assets</w:t>
            </w:r>
          </w:p>
        </w:tc>
        <w:tc>
          <w:tcPr>
            <w:tcW w:w="1676" w:type="pct"/>
            <w:tcBorders>
              <w:top w:val="single" w:sz="4" w:space="0" w:color="00B0F0"/>
              <w:bottom w:val="single" w:sz="4" w:space="0" w:color="00B0F0"/>
            </w:tcBorders>
            <w:vAlign w:val="center"/>
          </w:tcPr>
          <w:p w14:paraId="530DF1B0" w14:textId="63CC5B9F" w:rsidR="006E5779" w:rsidRPr="00751816" w:rsidRDefault="008D79BC" w:rsidP="00B013F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There was no loss from sale</w:t>
            </w:r>
            <w:r w:rsidR="00A24FB5">
              <w:rPr>
                <w:rFonts w:ascii="Tahoma" w:hAnsi="Tahoma" w:cs="Tahoma"/>
                <w:sz w:val="20"/>
              </w:rPr>
              <w:t>s</w:t>
            </w:r>
            <w:r>
              <w:rPr>
                <w:rFonts w:ascii="Tahoma" w:hAnsi="Tahoma" w:cs="Tahoma"/>
                <w:sz w:val="20"/>
              </w:rPr>
              <w:t xml:space="preserve"> of fixed assets for AGN (SA) in 2019/20, therefore there is no amount to report for this category of expenditure.</w:t>
            </w:r>
          </w:p>
        </w:tc>
        <w:tc>
          <w:tcPr>
            <w:tcW w:w="810" w:type="pct"/>
            <w:tcBorders>
              <w:top w:val="single" w:sz="4" w:space="0" w:color="00B0F0"/>
              <w:bottom w:val="single" w:sz="4" w:space="0" w:color="00B0F0"/>
            </w:tcBorders>
            <w:vAlign w:val="center"/>
          </w:tcPr>
          <w:p w14:paraId="58FDC62D" w14:textId="24106238" w:rsidR="006E5779" w:rsidRPr="00751816" w:rsidRDefault="006E5779" w:rsidP="00E049E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34" w:type="pct"/>
            <w:tcBorders>
              <w:top w:val="single" w:sz="4" w:space="0" w:color="00B0F0"/>
              <w:bottom w:val="single" w:sz="4" w:space="0" w:color="00B0F0"/>
            </w:tcBorders>
            <w:vAlign w:val="center"/>
          </w:tcPr>
          <w:p w14:paraId="1AA89301" w14:textId="24254C1E" w:rsidR="006E5779" w:rsidRPr="00751816" w:rsidRDefault="006E5779" w:rsidP="006E577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74" w:type="pct"/>
            <w:tcBorders>
              <w:top w:val="single" w:sz="4" w:space="0" w:color="00B0F0"/>
              <w:bottom w:val="single" w:sz="4" w:space="0" w:color="00B0F0"/>
            </w:tcBorders>
            <w:vAlign w:val="center"/>
          </w:tcPr>
          <w:p w14:paraId="501C3AFE" w14:textId="77777777" w:rsidR="006E5779" w:rsidRPr="00751816" w:rsidRDefault="006E5779" w:rsidP="006E577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6E5779" w:rsidRPr="00751816" w14:paraId="0E4391EF" w14:textId="77777777" w:rsidTr="00E049E1">
        <w:trPr>
          <w:trHeight w:val="583"/>
        </w:trPr>
        <w:tc>
          <w:tcPr>
            <w:cnfStyle w:val="001000000000" w:firstRow="0" w:lastRow="0" w:firstColumn="1" w:lastColumn="0" w:oddVBand="0" w:evenVBand="0" w:oddHBand="0" w:evenHBand="0" w:firstRowFirstColumn="0" w:firstRowLastColumn="0" w:lastRowFirstColumn="0" w:lastRowLastColumn="0"/>
            <w:tcW w:w="706" w:type="pct"/>
            <w:tcBorders>
              <w:top w:val="single" w:sz="4" w:space="0" w:color="00B0F0"/>
              <w:bottom w:val="single" w:sz="4" w:space="0" w:color="00B0F0"/>
            </w:tcBorders>
            <w:shd w:val="clear" w:color="auto" w:fill="D9D9D9" w:themeFill="background1" w:themeFillShade="D9"/>
            <w:vAlign w:val="center"/>
          </w:tcPr>
          <w:p w14:paraId="11D6ED37" w14:textId="77777777" w:rsidR="006E5779" w:rsidRDefault="006E5779" w:rsidP="006E5779">
            <w:pPr>
              <w:spacing w:before="120" w:after="120" w:line="240" w:lineRule="atLeast"/>
              <w:contextualSpacing/>
              <w:rPr>
                <w:rFonts w:ascii="Tahoma" w:hAnsi="Tahoma" w:cs="Tahoma"/>
                <w:sz w:val="20"/>
              </w:rPr>
            </w:pPr>
            <w:r>
              <w:rPr>
                <w:rFonts w:ascii="Tahoma" w:hAnsi="Tahoma" w:cs="Tahoma"/>
                <w:sz w:val="20"/>
              </w:rPr>
              <w:t xml:space="preserve">Impairment losses </w:t>
            </w:r>
          </w:p>
        </w:tc>
        <w:tc>
          <w:tcPr>
            <w:tcW w:w="1676" w:type="pct"/>
            <w:tcBorders>
              <w:top w:val="single" w:sz="4" w:space="0" w:color="00B0F0"/>
              <w:bottom w:val="single" w:sz="4" w:space="0" w:color="00B0F0"/>
            </w:tcBorders>
            <w:vAlign w:val="center"/>
          </w:tcPr>
          <w:p w14:paraId="7D5707FB" w14:textId="4251AA6E" w:rsidR="00B9784E" w:rsidRPr="00751816" w:rsidRDefault="006E5779" w:rsidP="00B013F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AGN Limited has no Impairment losses expenditure to report for the SA AA in</w:t>
            </w:r>
            <w:r w:rsidR="00BC3D74">
              <w:rPr>
                <w:rFonts w:ascii="Tahoma" w:hAnsi="Tahoma" w:cs="Tahoma"/>
                <w:sz w:val="20"/>
              </w:rPr>
              <w:t xml:space="preserve"> 2019/20</w:t>
            </w:r>
            <w:r>
              <w:rPr>
                <w:rFonts w:ascii="Tahoma" w:hAnsi="Tahoma" w:cs="Tahoma"/>
                <w:sz w:val="20"/>
              </w:rPr>
              <w:t>.</w:t>
            </w:r>
          </w:p>
        </w:tc>
        <w:tc>
          <w:tcPr>
            <w:tcW w:w="810" w:type="pct"/>
            <w:tcBorders>
              <w:top w:val="single" w:sz="4" w:space="0" w:color="00B0F0"/>
              <w:bottom w:val="single" w:sz="4" w:space="0" w:color="00B0F0"/>
            </w:tcBorders>
            <w:vAlign w:val="center"/>
          </w:tcPr>
          <w:p w14:paraId="0EDA2072" w14:textId="45E5F2DD" w:rsidR="006E5779" w:rsidRPr="00751816" w:rsidRDefault="006E5779" w:rsidP="00E049E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34" w:type="pct"/>
            <w:tcBorders>
              <w:top w:val="single" w:sz="4" w:space="0" w:color="00B0F0"/>
              <w:bottom w:val="single" w:sz="4" w:space="0" w:color="00B0F0"/>
            </w:tcBorders>
            <w:vAlign w:val="center"/>
          </w:tcPr>
          <w:p w14:paraId="611B7D6B" w14:textId="391A9E7B" w:rsidR="006E5779" w:rsidRPr="00751816" w:rsidRDefault="006E5779" w:rsidP="006E577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74" w:type="pct"/>
            <w:tcBorders>
              <w:top w:val="single" w:sz="4" w:space="0" w:color="00B0F0"/>
              <w:bottom w:val="single" w:sz="4" w:space="0" w:color="00B0F0"/>
            </w:tcBorders>
            <w:vAlign w:val="center"/>
          </w:tcPr>
          <w:p w14:paraId="76A76110" w14:textId="77777777" w:rsidR="006E5779" w:rsidRPr="00751816" w:rsidRDefault="006E5779" w:rsidP="006E577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F040E7" w:rsidRPr="00751816" w14:paraId="0A67216F" w14:textId="77777777" w:rsidTr="00E049E1">
        <w:trPr>
          <w:trHeight w:val="583"/>
        </w:trPr>
        <w:tc>
          <w:tcPr>
            <w:cnfStyle w:val="001000000000" w:firstRow="0" w:lastRow="0" w:firstColumn="1" w:lastColumn="0" w:oddVBand="0" w:evenVBand="0" w:oddHBand="0" w:evenHBand="0" w:firstRowFirstColumn="0" w:firstRowLastColumn="0" w:lastRowFirstColumn="0" w:lastRowLastColumn="0"/>
            <w:tcW w:w="706" w:type="pct"/>
            <w:tcBorders>
              <w:top w:val="single" w:sz="4" w:space="0" w:color="00B0F0"/>
              <w:bottom w:val="single" w:sz="4" w:space="0" w:color="00B0F0"/>
            </w:tcBorders>
            <w:shd w:val="clear" w:color="auto" w:fill="D9D9D9" w:themeFill="background1" w:themeFillShade="D9"/>
            <w:vAlign w:val="center"/>
          </w:tcPr>
          <w:p w14:paraId="1D7C4084" w14:textId="77777777" w:rsidR="00F040E7" w:rsidRDefault="00F040E7" w:rsidP="00F040E7">
            <w:pPr>
              <w:spacing w:before="120" w:after="120" w:line="240" w:lineRule="atLeast"/>
              <w:contextualSpacing/>
              <w:rPr>
                <w:rFonts w:ascii="Tahoma" w:hAnsi="Tahoma" w:cs="Tahoma"/>
                <w:sz w:val="20"/>
              </w:rPr>
            </w:pPr>
            <w:r>
              <w:rPr>
                <w:rFonts w:ascii="Tahoma" w:hAnsi="Tahoma" w:cs="Tahoma"/>
                <w:sz w:val="20"/>
              </w:rPr>
              <w:t xml:space="preserve">Other expenses </w:t>
            </w:r>
          </w:p>
        </w:tc>
        <w:tc>
          <w:tcPr>
            <w:tcW w:w="1676" w:type="pct"/>
            <w:tcBorders>
              <w:top w:val="single" w:sz="4" w:space="0" w:color="00B0F0"/>
              <w:bottom w:val="single" w:sz="4" w:space="0" w:color="00B0F0"/>
            </w:tcBorders>
            <w:vAlign w:val="center"/>
          </w:tcPr>
          <w:p w14:paraId="42C3D49B" w14:textId="74B10A5E" w:rsidR="00F040E7" w:rsidRPr="00751816" w:rsidRDefault="00F040E7" w:rsidP="00BC3D7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AGN Limited has no Other expenses to report for the SA AA in</w:t>
            </w:r>
            <w:r w:rsidR="00BC3D74">
              <w:rPr>
                <w:rFonts w:ascii="Tahoma" w:hAnsi="Tahoma" w:cs="Tahoma"/>
                <w:sz w:val="20"/>
              </w:rPr>
              <w:t xml:space="preserve"> 2019/20</w:t>
            </w:r>
            <w:r>
              <w:rPr>
                <w:rFonts w:ascii="Tahoma" w:hAnsi="Tahoma" w:cs="Tahoma"/>
                <w:sz w:val="20"/>
              </w:rPr>
              <w:t xml:space="preserve">.  All expenditure related to the SA AA for </w:t>
            </w:r>
            <w:r w:rsidR="00BC3D74">
              <w:rPr>
                <w:rFonts w:ascii="Tahoma" w:hAnsi="Tahoma" w:cs="Tahoma"/>
                <w:sz w:val="20"/>
              </w:rPr>
              <w:t xml:space="preserve">2019/20 </w:t>
            </w:r>
            <w:r>
              <w:rPr>
                <w:rFonts w:ascii="Tahoma" w:hAnsi="Tahoma" w:cs="Tahoma"/>
                <w:sz w:val="20"/>
              </w:rPr>
              <w:t>has been reported in other categories of expenditure in this RIN table.</w:t>
            </w:r>
          </w:p>
        </w:tc>
        <w:tc>
          <w:tcPr>
            <w:tcW w:w="810" w:type="pct"/>
            <w:tcBorders>
              <w:top w:val="single" w:sz="4" w:space="0" w:color="00B0F0"/>
              <w:bottom w:val="single" w:sz="4" w:space="0" w:color="00B0F0"/>
            </w:tcBorders>
            <w:vAlign w:val="center"/>
          </w:tcPr>
          <w:p w14:paraId="6DC0112D" w14:textId="62C88A34" w:rsidR="00F040E7" w:rsidRPr="00751816" w:rsidRDefault="00F040E7" w:rsidP="00E049E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34" w:type="pct"/>
            <w:tcBorders>
              <w:top w:val="single" w:sz="4" w:space="0" w:color="00B0F0"/>
              <w:bottom w:val="single" w:sz="4" w:space="0" w:color="00B0F0"/>
            </w:tcBorders>
            <w:vAlign w:val="center"/>
          </w:tcPr>
          <w:p w14:paraId="7C5FE780" w14:textId="753F27E8" w:rsidR="00F040E7" w:rsidRPr="00751816" w:rsidRDefault="00F040E7" w:rsidP="00F040E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74" w:type="pct"/>
            <w:tcBorders>
              <w:top w:val="single" w:sz="4" w:space="0" w:color="00B0F0"/>
              <w:bottom w:val="single" w:sz="4" w:space="0" w:color="00B0F0"/>
            </w:tcBorders>
            <w:vAlign w:val="center"/>
          </w:tcPr>
          <w:p w14:paraId="064118F5" w14:textId="77777777" w:rsidR="00F040E7" w:rsidRPr="00751816" w:rsidRDefault="00F040E7" w:rsidP="00F040E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317A5C2B" w14:textId="77777777" w:rsidR="007472DB" w:rsidRPr="00C97516" w:rsidRDefault="007472DB" w:rsidP="007472DB">
      <w:pPr>
        <w:rPr>
          <w:rFonts w:ascii="Tahoma" w:hAnsi="Tahoma" w:cs="Tahoma"/>
          <w:color w:val="00B0F0"/>
        </w:rPr>
      </w:pPr>
    </w:p>
    <w:p w14:paraId="3E2EA3FB" w14:textId="77777777" w:rsidR="007472DB" w:rsidRDefault="007472DB" w:rsidP="007472DB">
      <w:pPr>
        <w:rPr>
          <w:rFonts w:ascii="Tahoma" w:hAnsi="Tahoma" w:cs="Tahoma"/>
          <w:color w:val="00B0F0"/>
        </w:rPr>
      </w:pPr>
      <w:r>
        <w:rPr>
          <w:rFonts w:ascii="Tahoma" w:hAnsi="Tahoma" w:cs="Tahoma"/>
          <w:color w:val="00B0F0"/>
        </w:rPr>
        <w:t>F1.3</w:t>
      </w:r>
      <w:r w:rsidRPr="00C97516">
        <w:rPr>
          <w:rFonts w:ascii="Tahoma" w:hAnsi="Tahoma" w:cs="Tahoma"/>
          <w:color w:val="00B0F0"/>
        </w:rPr>
        <w:t xml:space="preserve">.3 – Profit </w:t>
      </w:r>
    </w:p>
    <w:tbl>
      <w:tblPr>
        <w:tblStyle w:val="UETableStyle"/>
        <w:tblW w:w="5000"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91"/>
        <w:gridCol w:w="4729"/>
        <w:gridCol w:w="2286"/>
        <w:gridCol w:w="3051"/>
        <w:gridCol w:w="1901"/>
      </w:tblGrid>
      <w:tr w:rsidR="007472DB" w:rsidRPr="00751816" w14:paraId="31BD6DF8" w14:textId="77777777" w:rsidTr="00C53252">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713" w:type="pct"/>
            <w:tcBorders>
              <w:bottom w:val="single" w:sz="4" w:space="0" w:color="00B0F0"/>
            </w:tcBorders>
            <w:shd w:val="clear" w:color="auto" w:fill="003C71"/>
            <w:hideMark/>
          </w:tcPr>
          <w:p w14:paraId="1E559D2B" w14:textId="77777777" w:rsidR="007472DB" w:rsidRPr="00751816" w:rsidRDefault="007472DB" w:rsidP="001C016D">
            <w:pPr>
              <w:rPr>
                <w:rFonts w:ascii="Tahoma" w:hAnsi="Tahoma" w:cs="Tahoma"/>
                <w:b/>
                <w:color w:val="FFFFFF"/>
                <w:sz w:val="20"/>
              </w:rPr>
            </w:pPr>
            <w:r w:rsidRPr="00751816">
              <w:rPr>
                <w:rFonts w:ascii="Tahoma" w:hAnsi="Tahoma" w:cs="Tahoma"/>
                <w:b/>
                <w:color w:val="FFFFFF"/>
                <w:sz w:val="20"/>
              </w:rPr>
              <w:t xml:space="preserve">Variable </w:t>
            </w:r>
          </w:p>
          <w:p w14:paraId="557B2AF3" w14:textId="77777777" w:rsidR="007472DB" w:rsidRPr="00751816" w:rsidRDefault="007472DB" w:rsidP="001C016D">
            <w:pPr>
              <w:rPr>
                <w:rFonts w:ascii="Tahoma" w:hAnsi="Tahoma" w:cs="Tahoma"/>
                <w:b/>
                <w:color w:val="FFFFFF"/>
                <w:sz w:val="20"/>
              </w:rPr>
            </w:pPr>
          </w:p>
        </w:tc>
        <w:tc>
          <w:tcPr>
            <w:tcW w:w="1694" w:type="pct"/>
            <w:tcBorders>
              <w:bottom w:val="single" w:sz="4" w:space="0" w:color="00B0F0"/>
            </w:tcBorders>
            <w:shd w:val="clear" w:color="auto" w:fill="003C71"/>
          </w:tcPr>
          <w:p w14:paraId="712B8C2F" w14:textId="77777777" w:rsidR="007472DB" w:rsidRPr="00751816" w:rsidRDefault="007472DB"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19" w:type="pct"/>
            <w:tcBorders>
              <w:bottom w:val="single" w:sz="4" w:space="0" w:color="00B0F0"/>
            </w:tcBorders>
            <w:shd w:val="clear" w:color="auto" w:fill="003C71"/>
          </w:tcPr>
          <w:p w14:paraId="2EADD419" w14:textId="77777777" w:rsidR="007472DB" w:rsidRPr="00751816" w:rsidRDefault="007472DB"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093" w:type="pct"/>
            <w:tcBorders>
              <w:bottom w:val="single" w:sz="4" w:space="0" w:color="00B0F0"/>
            </w:tcBorders>
            <w:shd w:val="clear" w:color="auto" w:fill="003C71"/>
          </w:tcPr>
          <w:p w14:paraId="5DAE81A5" w14:textId="77777777" w:rsidR="007472DB" w:rsidRPr="00751816" w:rsidRDefault="007472DB"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81" w:type="pct"/>
            <w:tcBorders>
              <w:bottom w:val="single" w:sz="4" w:space="0" w:color="00B0F0"/>
            </w:tcBorders>
            <w:shd w:val="clear" w:color="auto" w:fill="003C71"/>
          </w:tcPr>
          <w:p w14:paraId="0AB08A7C" w14:textId="77777777" w:rsidR="007472DB" w:rsidRPr="00751816" w:rsidRDefault="007472DB"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7472DB" w:rsidRPr="00751816" w14:paraId="2B3AB64F" w14:textId="77777777" w:rsidTr="001664CF">
        <w:trPr>
          <w:trHeight w:val="2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00A3E0"/>
            <w:vAlign w:val="center"/>
          </w:tcPr>
          <w:p w14:paraId="4B30A267" w14:textId="46E79EE0" w:rsidR="007472DB" w:rsidRDefault="008418D3" w:rsidP="001C016D">
            <w:pPr>
              <w:spacing w:before="120" w:after="120" w:line="240" w:lineRule="atLeast"/>
              <w:contextualSpacing/>
              <w:rPr>
                <w:rFonts w:ascii="Tahoma" w:hAnsi="Tahoma" w:cs="Tahoma"/>
                <w:sz w:val="20"/>
              </w:rPr>
            </w:pPr>
            <w:r>
              <w:rPr>
                <w:rFonts w:ascii="Tahoma" w:hAnsi="Tahoma" w:cs="Tahoma"/>
                <w:sz w:val="20"/>
              </w:rPr>
              <w:t>2019/20</w:t>
            </w:r>
          </w:p>
        </w:tc>
        <w:tc>
          <w:tcPr>
            <w:tcW w:w="1694" w:type="pct"/>
            <w:tcBorders>
              <w:top w:val="single" w:sz="4" w:space="0" w:color="00B0F0"/>
              <w:bottom w:val="single" w:sz="4" w:space="0" w:color="00B0F0"/>
            </w:tcBorders>
            <w:shd w:val="clear" w:color="auto" w:fill="00A3E0"/>
            <w:vAlign w:val="center"/>
          </w:tcPr>
          <w:p w14:paraId="23D3250F" w14:textId="77777777" w:rsidR="007472DB" w:rsidRPr="00751816" w:rsidRDefault="007472DB"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19" w:type="pct"/>
            <w:tcBorders>
              <w:top w:val="single" w:sz="4" w:space="0" w:color="00B0F0"/>
              <w:bottom w:val="single" w:sz="4" w:space="0" w:color="00B0F0"/>
            </w:tcBorders>
            <w:shd w:val="clear" w:color="auto" w:fill="00A3E0"/>
            <w:vAlign w:val="center"/>
          </w:tcPr>
          <w:p w14:paraId="7641698B" w14:textId="77777777" w:rsidR="007472DB" w:rsidRPr="00751816" w:rsidRDefault="007472DB"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1093" w:type="pct"/>
            <w:tcBorders>
              <w:top w:val="single" w:sz="4" w:space="0" w:color="00B0F0"/>
              <w:bottom w:val="single" w:sz="4" w:space="0" w:color="00B0F0"/>
            </w:tcBorders>
            <w:shd w:val="clear" w:color="auto" w:fill="00A3E0"/>
            <w:vAlign w:val="center"/>
          </w:tcPr>
          <w:p w14:paraId="467AE312" w14:textId="77777777" w:rsidR="007472DB" w:rsidRPr="00751816" w:rsidRDefault="007472DB"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shd w:val="clear" w:color="auto" w:fill="00A3E0"/>
            <w:vAlign w:val="center"/>
          </w:tcPr>
          <w:p w14:paraId="736600D4" w14:textId="77777777" w:rsidR="007472DB" w:rsidRPr="00751816" w:rsidRDefault="007472DB"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7472DB" w:rsidRPr="00751816" w14:paraId="0DC46C0E" w14:textId="77777777" w:rsidTr="00E049E1">
        <w:trPr>
          <w:trHeight w:val="5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0670C0C1" w14:textId="77777777" w:rsidR="007472DB" w:rsidRDefault="007472DB" w:rsidP="001C016D">
            <w:pPr>
              <w:spacing w:before="120" w:after="120" w:line="240" w:lineRule="atLeast"/>
              <w:contextualSpacing/>
              <w:rPr>
                <w:rFonts w:ascii="Tahoma" w:hAnsi="Tahoma" w:cs="Tahoma"/>
                <w:sz w:val="20"/>
              </w:rPr>
            </w:pPr>
            <w:r>
              <w:rPr>
                <w:rFonts w:ascii="Tahoma" w:hAnsi="Tahoma" w:cs="Tahoma"/>
                <w:sz w:val="20"/>
              </w:rPr>
              <w:t xml:space="preserve">Income tax expenses / benefits   </w:t>
            </w:r>
          </w:p>
        </w:tc>
        <w:tc>
          <w:tcPr>
            <w:tcW w:w="1694" w:type="pct"/>
            <w:tcBorders>
              <w:top w:val="single" w:sz="4" w:space="0" w:color="00B0F0"/>
              <w:bottom w:val="single" w:sz="4" w:space="0" w:color="00B0F0"/>
            </w:tcBorders>
          </w:tcPr>
          <w:p w14:paraId="2E9F6D9A" w14:textId="3EC6D26A" w:rsidR="006E5779" w:rsidRPr="00751816" w:rsidRDefault="006E5779" w:rsidP="00BC3D7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amounts reported for Income tax expenses in this table represent 30% of the Profit before tax as shown in this table and is based on the Australian corporate tax rate.</w:t>
            </w:r>
          </w:p>
        </w:tc>
        <w:tc>
          <w:tcPr>
            <w:tcW w:w="819" w:type="pct"/>
            <w:tcBorders>
              <w:top w:val="single" w:sz="4" w:space="0" w:color="00B0F0"/>
              <w:bottom w:val="single" w:sz="4" w:space="0" w:color="00B0F0"/>
            </w:tcBorders>
            <w:vAlign w:val="center"/>
          </w:tcPr>
          <w:p w14:paraId="353C7D58" w14:textId="77777777" w:rsidR="007472DB" w:rsidRPr="00751816" w:rsidRDefault="007472DB"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Estimate</w:t>
            </w:r>
          </w:p>
        </w:tc>
        <w:tc>
          <w:tcPr>
            <w:tcW w:w="1093" w:type="pct"/>
            <w:tcBorders>
              <w:top w:val="single" w:sz="4" w:space="0" w:color="00B0F0"/>
              <w:bottom w:val="single" w:sz="4" w:space="0" w:color="00B0F0"/>
            </w:tcBorders>
            <w:vAlign w:val="center"/>
          </w:tcPr>
          <w:p w14:paraId="6CA16EFC" w14:textId="77D40A4E" w:rsidR="006E5779" w:rsidRPr="00751816" w:rsidRDefault="006E5779" w:rsidP="00BC3D7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E049E1">
              <w:rPr>
                <w:rFonts w:ascii="Tahoma" w:hAnsi="Tahoma" w:cs="Tahoma"/>
                <w:sz w:val="20"/>
              </w:rPr>
              <w:t xml:space="preserve">Given the actual income tax expenses for AGN Limited is determined for the consolidated group and not specifically for the </w:t>
            </w:r>
            <w:r w:rsidRPr="00E049E1">
              <w:rPr>
                <w:rFonts w:ascii="Tahoma" w:hAnsi="Tahoma" w:cs="Tahoma"/>
                <w:sz w:val="20"/>
              </w:rPr>
              <w:lastRenderedPageBreak/>
              <w:t xml:space="preserve">SA distribution business, the approach has been to calculate income tax expenses for the purpose of this </w:t>
            </w:r>
            <w:r w:rsidR="008214CA" w:rsidRPr="00E049E1">
              <w:rPr>
                <w:rFonts w:ascii="Tahoma" w:hAnsi="Tahoma" w:cs="Tahoma"/>
                <w:sz w:val="20"/>
              </w:rPr>
              <w:t>Annual RIN</w:t>
            </w:r>
            <w:r w:rsidRPr="00E049E1">
              <w:rPr>
                <w:rFonts w:ascii="Tahoma" w:hAnsi="Tahoma" w:cs="Tahoma"/>
                <w:sz w:val="20"/>
              </w:rPr>
              <w:t>, by applying the standard corporate tax rate of 30% to the Profit (before tax) figures as reported in this table.  For this reason, AGN Limited considers the Income tax expense amount being reported in this table, to be estimated information.</w:t>
            </w:r>
            <w:r w:rsidR="00683142" w:rsidRPr="00E049E1">
              <w:rPr>
                <w:rFonts w:ascii="Tahoma" w:hAnsi="Tahoma" w:cs="Tahoma"/>
                <w:sz w:val="20"/>
              </w:rPr>
              <w:t xml:space="preserve">  As </w:t>
            </w:r>
            <w:r w:rsidR="00683142">
              <w:rPr>
                <w:rFonts w:ascii="Tahoma" w:hAnsi="Tahoma" w:cs="Tahoma"/>
                <w:sz w:val="20"/>
              </w:rPr>
              <w:t xml:space="preserve">such, information being reported for </w:t>
            </w:r>
            <w:r w:rsidR="00BC3D74">
              <w:rPr>
                <w:rFonts w:ascii="Tahoma" w:hAnsi="Tahoma" w:cs="Tahoma"/>
                <w:sz w:val="20"/>
              </w:rPr>
              <w:t xml:space="preserve">2019/20 </w:t>
            </w:r>
            <w:r w:rsidR="00683142">
              <w:rPr>
                <w:rFonts w:ascii="Tahoma" w:hAnsi="Tahoma" w:cs="Tahoma"/>
                <w:sz w:val="20"/>
              </w:rPr>
              <w:t xml:space="preserve">has been reviewed by AGN Limited’s external auditor in accordance with the requirements of Appendix C of the </w:t>
            </w:r>
            <w:r w:rsidR="008214CA">
              <w:rPr>
                <w:rFonts w:ascii="Tahoma" w:hAnsi="Tahoma" w:cs="Tahoma"/>
                <w:sz w:val="20"/>
              </w:rPr>
              <w:t>Annual RIN</w:t>
            </w:r>
            <w:r w:rsidR="00683142">
              <w:rPr>
                <w:rFonts w:ascii="Tahoma" w:hAnsi="Tahoma" w:cs="Tahoma"/>
                <w:sz w:val="20"/>
              </w:rPr>
              <w:t>.</w:t>
            </w:r>
          </w:p>
        </w:tc>
        <w:tc>
          <w:tcPr>
            <w:tcW w:w="681" w:type="pct"/>
            <w:tcBorders>
              <w:top w:val="single" w:sz="4" w:space="0" w:color="00B0F0"/>
              <w:bottom w:val="single" w:sz="4" w:space="0" w:color="00B0F0"/>
            </w:tcBorders>
            <w:vAlign w:val="center"/>
          </w:tcPr>
          <w:p w14:paraId="082BA778" w14:textId="77777777" w:rsidR="007472DB" w:rsidRPr="00751816" w:rsidRDefault="007472DB"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3B451F2F" w14:textId="77777777" w:rsidR="00E049E1" w:rsidRPr="00C4077D" w:rsidRDefault="00E049E1" w:rsidP="00C4077D">
      <w:pPr>
        <w:rPr>
          <w:rFonts w:ascii="Tahoma" w:hAnsi="Tahoma" w:cs="Tahoma"/>
          <w:sz w:val="20"/>
        </w:rPr>
      </w:pPr>
    </w:p>
    <w:p w14:paraId="185E62B1" w14:textId="77777777" w:rsidR="00E049E1" w:rsidRPr="00C4077D" w:rsidRDefault="00E049E1">
      <w:pPr>
        <w:rPr>
          <w:rFonts w:ascii="Tahoma" w:hAnsi="Tahoma" w:cs="Tahoma"/>
          <w:sz w:val="20"/>
        </w:rPr>
      </w:pPr>
      <w:r w:rsidRPr="00C4077D">
        <w:rPr>
          <w:rFonts w:ascii="Tahoma" w:hAnsi="Tahoma" w:cs="Tahoma"/>
          <w:sz w:val="20"/>
        </w:rPr>
        <w:br w:type="page"/>
      </w:r>
    </w:p>
    <w:p w14:paraId="714C2632" w14:textId="65CA2E48" w:rsidR="00AB33C5" w:rsidRDefault="00AB33C5" w:rsidP="00C059E5">
      <w:pPr>
        <w:pStyle w:val="Heading1"/>
        <w:rPr>
          <w:rFonts w:ascii="Tahoma" w:hAnsi="Tahoma" w:cs="Tahoma"/>
          <w:b/>
          <w:color w:val="003C71"/>
        </w:rPr>
      </w:pPr>
      <w:bookmarkStart w:id="36" w:name="_Toc57314081"/>
      <w:r w:rsidRPr="0095305C">
        <w:rPr>
          <w:rFonts w:ascii="Tahoma" w:hAnsi="Tahoma" w:cs="Tahoma"/>
          <w:b/>
          <w:color w:val="003C71"/>
        </w:rPr>
        <w:lastRenderedPageBreak/>
        <w:t>F2. Capex</w:t>
      </w:r>
      <w:bookmarkEnd w:id="36"/>
      <w:r w:rsidRPr="0095305C">
        <w:rPr>
          <w:rFonts w:ascii="Tahoma" w:hAnsi="Tahoma" w:cs="Tahoma"/>
          <w:b/>
          <w:color w:val="003C71"/>
        </w:rPr>
        <w:t xml:space="preserve"> </w:t>
      </w:r>
    </w:p>
    <w:p w14:paraId="1470DD5F" w14:textId="1AB33012" w:rsidR="00AB33C5" w:rsidRDefault="00FD1292" w:rsidP="0071215F">
      <w:pPr>
        <w:pStyle w:val="Heading2"/>
        <w:rPr>
          <w:rFonts w:ascii="Tahoma" w:hAnsi="Tahoma" w:cs="Tahoma"/>
          <w:color w:val="003C71"/>
        </w:rPr>
      </w:pPr>
      <w:bookmarkStart w:id="37" w:name="_Toc57314082"/>
      <w:r>
        <w:rPr>
          <w:rFonts w:ascii="Tahoma" w:hAnsi="Tahoma" w:cs="Tahoma"/>
          <w:color w:val="003C71"/>
        </w:rPr>
        <w:t>F</w:t>
      </w:r>
      <w:r w:rsidR="00AB33C5" w:rsidRPr="00384235">
        <w:rPr>
          <w:rFonts w:ascii="Tahoma" w:hAnsi="Tahoma" w:cs="Tahoma"/>
          <w:color w:val="003C71"/>
        </w:rPr>
        <w:t>2.4 – Capex by Asset Class</w:t>
      </w:r>
      <w:bookmarkEnd w:id="37"/>
      <w:r w:rsidR="00AB33C5" w:rsidRPr="00384235">
        <w:rPr>
          <w:rFonts w:ascii="Tahoma" w:hAnsi="Tahoma" w:cs="Tahoma"/>
          <w:color w:val="003C71"/>
        </w:rPr>
        <w:t xml:space="preserve"> </w:t>
      </w:r>
    </w:p>
    <w:p w14:paraId="36D74C99" w14:textId="77777777" w:rsidR="00AB33C5" w:rsidRDefault="00AB33C5" w:rsidP="00AB33C5">
      <w:pPr>
        <w:rPr>
          <w:rFonts w:ascii="Tahoma" w:hAnsi="Tahoma" w:cs="Tahoma"/>
          <w:color w:val="00B0F0"/>
        </w:rPr>
      </w:pPr>
      <w:r w:rsidRPr="0097603C">
        <w:rPr>
          <w:rFonts w:ascii="Tahoma" w:hAnsi="Tahoma" w:cs="Tahoma"/>
          <w:color w:val="00B0F0"/>
        </w:rPr>
        <w:t xml:space="preserve">F2.4.2 – Actual – As Incurred </w:t>
      </w:r>
    </w:p>
    <w:tbl>
      <w:tblPr>
        <w:tblStyle w:val="UETableStyle"/>
        <w:tblW w:w="5000" w:type="pct"/>
        <w:tblInd w:w="-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27"/>
        <w:gridCol w:w="4570"/>
        <w:gridCol w:w="2208"/>
        <w:gridCol w:w="3383"/>
        <w:gridCol w:w="1862"/>
        <w:gridCol w:w="8"/>
      </w:tblGrid>
      <w:tr w:rsidR="008817E2" w:rsidRPr="00751816" w14:paraId="3A418A8B" w14:textId="77777777" w:rsidTr="00C53252">
        <w:trPr>
          <w:gridAfter w:val="1"/>
          <w:cnfStyle w:val="100000000000" w:firstRow="1" w:lastRow="0" w:firstColumn="0" w:lastColumn="0" w:oddVBand="0" w:evenVBand="0" w:oddHBand="0" w:evenHBand="0" w:firstRowFirstColumn="0" w:firstRowLastColumn="0" w:lastRowFirstColumn="0" w:lastRowLastColumn="0"/>
          <w:wAfter w:w="3" w:type="pct"/>
          <w:trHeight w:val="258"/>
          <w:tblHeader/>
        </w:trPr>
        <w:tc>
          <w:tcPr>
            <w:cnfStyle w:val="001000000000" w:firstRow="0" w:lastRow="0" w:firstColumn="1" w:lastColumn="0" w:oddVBand="0" w:evenVBand="0" w:oddHBand="0" w:evenHBand="0" w:firstRowFirstColumn="0" w:firstRowLastColumn="0" w:lastRowFirstColumn="0" w:lastRowLastColumn="0"/>
            <w:tcW w:w="690" w:type="pct"/>
            <w:tcBorders>
              <w:bottom w:val="single" w:sz="4" w:space="0" w:color="00B0F0"/>
            </w:tcBorders>
            <w:shd w:val="clear" w:color="auto" w:fill="003C71"/>
            <w:hideMark/>
          </w:tcPr>
          <w:p w14:paraId="1CCB910A" w14:textId="64D38D3E" w:rsidR="008817E2" w:rsidRPr="00751816" w:rsidRDefault="008817E2" w:rsidP="001664CF">
            <w:pPr>
              <w:rPr>
                <w:rFonts w:ascii="Tahoma" w:hAnsi="Tahoma" w:cs="Tahoma"/>
                <w:b/>
                <w:color w:val="FFFFFF"/>
                <w:sz w:val="20"/>
              </w:rPr>
            </w:pPr>
            <w:r w:rsidRPr="00751816">
              <w:rPr>
                <w:rFonts w:ascii="Tahoma" w:hAnsi="Tahoma" w:cs="Tahoma"/>
                <w:b/>
                <w:color w:val="FFFFFF"/>
                <w:sz w:val="20"/>
              </w:rPr>
              <w:t xml:space="preserve">Variable </w:t>
            </w:r>
          </w:p>
        </w:tc>
        <w:tc>
          <w:tcPr>
            <w:tcW w:w="1637" w:type="pct"/>
            <w:tcBorders>
              <w:bottom w:val="single" w:sz="4" w:space="0" w:color="00B0F0"/>
            </w:tcBorders>
            <w:shd w:val="clear" w:color="auto" w:fill="003C71"/>
          </w:tcPr>
          <w:p w14:paraId="4887F2FE"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791" w:type="pct"/>
            <w:tcBorders>
              <w:bottom w:val="single" w:sz="4" w:space="0" w:color="00B0F0"/>
            </w:tcBorders>
            <w:shd w:val="clear" w:color="auto" w:fill="003C71"/>
          </w:tcPr>
          <w:p w14:paraId="2281C341"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212" w:type="pct"/>
            <w:tcBorders>
              <w:bottom w:val="single" w:sz="4" w:space="0" w:color="00B0F0"/>
            </w:tcBorders>
            <w:shd w:val="clear" w:color="auto" w:fill="003C71"/>
          </w:tcPr>
          <w:p w14:paraId="672C6B4E"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67" w:type="pct"/>
            <w:tcBorders>
              <w:bottom w:val="single" w:sz="4" w:space="0" w:color="00B0F0"/>
            </w:tcBorders>
            <w:shd w:val="clear" w:color="auto" w:fill="003C71"/>
          </w:tcPr>
          <w:p w14:paraId="2E1D6F3F"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C53252" w:rsidRPr="00DD052C" w14:paraId="75F72BEA" w14:textId="77777777" w:rsidTr="001664CF">
        <w:trPr>
          <w:trHeight w:val="283"/>
        </w:trPr>
        <w:tc>
          <w:tcPr>
            <w:cnfStyle w:val="001000000000" w:firstRow="0" w:lastRow="0" w:firstColumn="1" w:lastColumn="0" w:oddVBand="0" w:evenVBand="0" w:oddHBand="0" w:evenHBand="0" w:firstRowFirstColumn="0" w:firstRowLastColumn="0" w:lastRowFirstColumn="0" w:lastRowLastColumn="0"/>
            <w:tcW w:w="690" w:type="pct"/>
            <w:tcBorders>
              <w:top w:val="single" w:sz="4" w:space="0" w:color="00B0F0"/>
              <w:bottom w:val="single" w:sz="4" w:space="0" w:color="00B0F0"/>
            </w:tcBorders>
            <w:shd w:val="clear" w:color="auto" w:fill="00A3E0"/>
            <w:vAlign w:val="center"/>
          </w:tcPr>
          <w:p w14:paraId="6FD02BA2" w14:textId="1C9C4CFF" w:rsidR="00C53252" w:rsidRPr="00DD052C" w:rsidRDefault="008418D3" w:rsidP="001C016D">
            <w:pPr>
              <w:spacing w:before="120" w:after="120" w:line="240" w:lineRule="atLeast"/>
              <w:contextualSpacing/>
              <w:rPr>
                <w:rFonts w:ascii="Tahoma" w:hAnsi="Tahoma" w:cs="Tahoma"/>
                <w:sz w:val="20"/>
              </w:rPr>
            </w:pPr>
            <w:r>
              <w:rPr>
                <w:rFonts w:ascii="Tahoma" w:hAnsi="Tahoma" w:cs="Tahoma"/>
                <w:sz w:val="20"/>
              </w:rPr>
              <w:t>2019/20</w:t>
            </w:r>
          </w:p>
        </w:tc>
        <w:tc>
          <w:tcPr>
            <w:tcW w:w="4310" w:type="pct"/>
            <w:gridSpan w:val="5"/>
            <w:tcBorders>
              <w:top w:val="single" w:sz="4" w:space="0" w:color="00B0F0"/>
              <w:bottom w:val="single" w:sz="4" w:space="0" w:color="00B0F0"/>
            </w:tcBorders>
            <w:shd w:val="clear" w:color="auto" w:fill="00A3E0"/>
            <w:vAlign w:val="center"/>
          </w:tcPr>
          <w:p w14:paraId="2670679F" w14:textId="77777777" w:rsidR="00034067" w:rsidRPr="00017B16" w:rsidRDefault="00C53252" w:rsidP="0003406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r>
              <w:rPr>
                <w:rFonts w:ascii="Tahoma" w:hAnsi="Tahoma" w:cs="Tahoma"/>
                <w:i/>
                <w:sz w:val="20"/>
              </w:rPr>
              <w:t xml:space="preserve">Refer </w:t>
            </w:r>
            <w:r w:rsidRPr="00B3321B">
              <w:rPr>
                <w:rFonts w:ascii="Tahoma" w:hAnsi="Tahoma" w:cs="Tahoma"/>
                <w:i/>
                <w:sz w:val="20"/>
              </w:rPr>
              <w:t>to Appendices A and C</w:t>
            </w:r>
            <w:r w:rsidRPr="006C5573">
              <w:rPr>
                <w:rFonts w:ascii="Tahoma" w:hAnsi="Tahoma" w:cs="Tahoma"/>
                <w:i/>
                <w:sz w:val="20"/>
              </w:rPr>
              <w:t xml:space="preserve"> for a description of the systems and processes that support AGN Limited’s cost capture and reporting of Capex</w:t>
            </w:r>
            <w:r>
              <w:rPr>
                <w:rFonts w:ascii="Tahoma" w:hAnsi="Tahoma" w:cs="Tahoma"/>
                <w:i/>
                <w:sz w:val="20"/>
              </w:rPr>
              <w:t xml:space="preserve"> including</w:t>
            </w:r>
            <w:r w:rsidRPr="006C5573">
              <w:rPr>
                <w:rFonts w:ascii="Tahoma" w:hAnsi="Tahoma" w:cs="Tahoma"/>
                <w:i/>
                <w:sz w:val="20"/>
              </w:rPr>
              <w:t xml:space="preserve"> Overheads expenditure as presented below.</w:t>
            </w:r>
            <w:r w:rsidR="00034067">
              <w:rPr>
                <w:rFonts w:ascii="Tahoma" w:hAnsi="Tahoma" w:cs="Tahoma"/>
                <w:i/>
                <w:sz w:val="20"/>
              </w:rPr>
              <w:t xml:space="preserve"> </w:t>
            </w:r>
            <w:r w:rsidR="00034067" w:rsidRPr="00017B16">
              <w:rPr>
                <w:rFonts w:ascii="Tahoma" w:hAnsi="Tahoma" w:cs="Tahoma"/>
                <w:i/>
                <w:sz w:val="20"/>
              </w:rPr>
              <w:t xml:space="preserve">These systems and processes provide the necessary level of detail required for AGN Limited to report against the categories and sub-categories of Capex and Overheads shown in the RIN templates.  </w:t>
            </w:r>
          </w:p>
          <w:p w14:paraId="41440113" w14:textId="77777777" w:rsidR="00034067" w:rsidRPr="00017B16" w:rsidRDefault="00034067" w:rsidP="0003406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p>
          <w:p w14:paraId="0DAB0BFA" w14:textId="604A7E48" w:rsidR="00C53252" w:rsidRPr="00DD052C" w:rsidRDefault="00034067" w:rsidP="00A947E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17B16">
              <w:rPr>
                <w:rFonts w:ascii="Tahoma" w:hAnsi="Tahoma" w:cs="Tahoma"/>
                <w:i/>
                <w:sz w:val="20"/>
              </w:rPr>
              <w:t>However as required by the RIN notice, total Capex amounts have been derived from the trial balance for AGN (SA)</w:t>
            </w:r>
            <w:r w:rsidR="00A947E9">
              <w:rPr>
                <w:rFonts w:ascii="Tahoma" w:hAnsi="Tahoma" w:cs="Tahoma"/>
                <w:sz w:val="20"/>
              </w:rPr>
              <w:t xml:space="preserve"> </w:t>
            </w:r>
            <w:r w:rsidR="00A947E9" w:rsidRPr="00A947E9">
              <w:rPr>
                <w:rFonts w:ascii="Tahoma" w:hAnsi="Tahoma" w:cs="Tahoma"/>
                <w:i/>
                <w:sz w:val="20"/>
              </w:rPr>
              <w:t>which has been audited as set out in Appendix G</w:t>
            </w:r>
            <w:r w:rsidRPr="00017B16">
              <w:rPr>
                <w:rFonts w:ascii="Tahoma" w:hAnsi="Tahoma" w:cs="Tahoma"/>
                <w:i/>
                <w:sz w:val="20"/>
              </w:rPr>
              <w:t xml:space="preserve">.  The amounts of Capex </w:t>
            </w:r>
            <w:r w:rsidR="00C22D2E" w:rsidRPr="00017B16">
              <w:rPr>
                <w:rFonts w:ascii="Tahoma" w:hAnsi="Tahoma" w:cs="Tahoma"/>
                <w:i/>
                <w:sz w:val="20"/>
              </w:rPr>
              <w:t xml:space="preserve">and Capital Contributions </w:t>
            </w:r>
            <w:r w:rsidRPr="00017B16">
              <w:rPr>
                <w:rFonts w:ascii="Tahoma" w:hAnsi="Tahoma" w:cs="Tahoma"/>
                <w:i/>
                <w:sz w:val="20"/>
              </w:rPr>
              <w:t>reported in this table F2. – Capex have been fully reconciled to the related general ledger accounts that form the AGN (SA) trial balance, along with the supporting fixed assets register for the AGN (SA) assets.  These reconciliations have been provided to AGN Limited’s external auditors as part of the assurance process.  Refer to Appendix G for further information about the trial balance for AGN (SA).</w:t>
            </w:r>
            <w:r>
              <w:rPr>
                <w:rFonts w:ascii="Tahoma" w:hAnsi="Tahoma" w:cs="Tahoma"/>
                <w:i/>
                <w:sz w:val="20"/>
              </w:rPr>
              <w:t xml:space="preserve"> </w:t>
            </w:r>
          </w:p>
        </w:tc>
      </w:tr>
      <w:tr w:rsidR="008817E2" w:rsidRPr="00751816" w14:paraId="20289E7B" w14:textId="77777777" w:rsidTr="00C53252">
        <w:trPr>
          <w:gridAfter w:val="1"/>
          <w:wAfter w:w="3" w:type="pct"/>
          <w:trHeight w:val="436"/>
        </w:trPr>
        <w:tc>
          <w:tcPr>
            <w:cnfStyle w:val="001000000000" w:firstRow="0" w:lastRow="0" w:firstColumn="1" w:lastColumn="0" w:oddVBand="0" w:evenVBand="0" w:oddHBand="0" w:evenHBand="0" w:firstRowFirstColumn="0" w:firstRowLastColumn="0" w:lastRowFirstColumn="0" w:lastRowLastColumn="0"/>
            <w:tcW w:w="690" w:type="pct"/>
            <w:tcBorders>
              <w:top w:val="single" w:sz="4" w:space="0" w:color="00B0F0"/>
              <w:bottom w:val="single" w:sz="4" w:space="0" w:color="00B0F0"/>
            </w:tcBorders>
            <w:shd w:val="clear" w:color="auto" w:fill="D9D9D9" w:themeFill="background1" w:themeFillShade="D9"/>
            <w:vAlign w:val="center"/>
          </w:tcPr>
          <w:p w14:paraId="265CB5C2" w14:textId="77777777" w:rsidR="008817E2" w:rsidRPr="00751816" w:rsidRDefault="008817E2" w:rsidP="001C016D">
            <w:pPr>
              <w:spacing w:before="120" w:after="120" w:line="240" w:lineRule="atLeast"/>
              <w:contextualSpacing/>
              <w:rPr>
                <w:rFonts w:ascii="Tahoma" w:hAnsi="Tahoma" w:cs="Tahoma"/>
                <w:sz w:val="20"/>
              </w:rPr>
            </w:pPr>
            <w:r w:rsidRPr="00384235">
              <w:rPr>
                <w:rFonts w:ascii="Tahoma" w:hAnsi="Tahoma" w:cs="Tahoma"/>
                <w:sz w:val="20"/>
              </w:rPr>
              <w:t xml:space="preserve">Mains </w:t>
            </w:r>
          </w:p>
        </w:tc>
        <w:tc>
          <w:tcPr>
            <w:tcW w:w="1637" w:type="pct"/>
            <w:tcBorders>
              <w:top w:val="single" w:sz="4" w:space="0" w:color="00B0F0"/>
              <w:bottom w:val="single" w:sz="4" w:space="0" w:color="00B0F0"/>
            </w:tcBorders>
            <w:vAlign w:val="center"/>
          </w:tcPr>
          <w:p w14:paraId="4DB58FCB" w14:textId="6BF195F2" w:rsidR="008817E2"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Expenditure on Mains relates to a</w:t>
            </w:r>
            <w:r w:rsidRPr="00B82582">
              <w:rPr>
                <w:rFonts w:ascii="Tahoma" w:hAnsi="Tahoma" w:cs="Tahoma"/>
                <w:sz w:val="20"/>
              </w:rPr>
              <w:t xml:space="preserve"> low pressure, medium pressure, or high pressure pipe in </w:t>
            </w:r>
            <w:r>
              <w:rPr>
                <w:rFonts w:ascii="Tahoma" w:hAnsi="Tahoma" w:cs="Tahoma"/>
                <w:sz w:val="20"/>
              </w:rPr>
              <w:t xml:space="preserve">the AGN (SA) </w:t>
            </w:r>
            <w:r w:rsidRPr="00B82582">
              <w:rPr>
                <w:rFonts w:ascii="Tahoma" w:hAnsi="Tahoma" w:cs="Tahoma"/>
                <w:sz w:val="20"/>
              </w:rPr>
              <w:t>gas distribution network, other than a service pipe.</w:t>
            </w:r>
          </w:p>
          <w:p w14:paraId="2E12578E" w14:textId="4F8C0E13" w:rsidR="008F10D6" w:rsidRDefault="008F10D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438D22C" w14:textId="08F0647A" w:rsidR="008F10D6" w:rsidRDefault="008F10D6" w:rsidP="008F10D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F46330">
              <w:rPr>
                <w:rFonts w:ascii="Tahoma" w:hAnsi="Tahoma" w:cs="Tahoma"/>
                <w:sz w:val="20"/>
              </w:rPr>
              <w:t>Capex</w:t>
            </w:r>
            <w:r>
              <w:rPr>
                <w:rFonts w:ascii="Tahoma" w:hAnsi="Tahoma" w:cs="Tahoma"/>
                <w:sz w:val="20"/>
              </w:rPr>
              <w:t xml:space="preserve">, as also reported in table E.1.1.1 Reference Services </w:t>
            </w:r>
            <w:r w:rsidR="00356F3B">
              <w:rPr>
                <w:rFonts w:ascii="Tahoma" w:hAnsi="Tahoma" w:cs="Tahoma"/>
                <w:sz w:val="20"/>
              </w:rPr>
              <w:t xml:space="preserve">representing </w:t>
            </w:r>
            <w:r>
              <w:rPr>
                <w:rFonts w:ascii="Tahoma" w:hAnsi="Tahoma" w:cs="Tahoma"/>
                <w:sz w:val="20"/>
              </w:rPr>
              <w:t xml:space="preserve">Capex by </w:t>
            </w:r>
            <w:r w:rsidR="00356F3B">
              <w:rPr>
                <w:rFonts w:ascii="Tahoma" w:hAnsi="Tahoma" w:cs="Tahoma"/>
                <w:sz w:val="20"/>
              </w:rPr>
              <w:t>“</w:t>
            </w:r>
            <w:r>
              <w:rPr>
                <w:rFonts w:ascii="Tahoma" w:hAnsi="Tahoma" w:cs="Tahoma"/>
                <w:sz w:val="20"/>
              </w:rPr>
              <w:t>Purpose</w:t>
            </w:r>
            <w:r w:rsidR="00356F3B">
              <w:rPr>
                <w:rFonts w:ascii="Tahoma" w:hAnsi="Tahoma" w:cs="Tahoma"/>
                <w:sz w:val="20"/>
              </w:rPr>
              <w:t>”</w:t>
            </w:r>
            <w:r>
              <w:rPr>
                <w:rFonts w:ascii="Tahoma" w:hAnsi="Tahoma" w:cs="Tahoma"/>
                <w:sz w:val="20"/>
              </w:rPr>
              <w:t>,</w:t>
            </w:r>
            <w:r w:rsidRPr="00F46330">
              <w:rPr>
                <w:rFonts w:ascii="Tahoma" w:hAnsi="Tahoma" w:cs="Tahoma"/>
                <w:sz w:val="20"/>
              </w:rPr>
              <w:t xml:space="preserve"> </w:t>
            </w:r>
            <w:r>
              <w:rPr>
                <w:rFonts w:ascii="Tahoma" w:hAnsi="Tahoma" w:cs="Tahoma"/>
                <w:sz w:val="20"/>
              </w:rPr>
              <w:t>includes projects related to:</w:t>
            </w:r>
          </w:p>
          <w:p w14:paraId="72C0E0D1" w14:textId="77777777" w:rsidR="008F10D6" w:rsidRPr="009630AA" w:rsidRDefault="008F10D6" w:rsidP="009630AA">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ahoma" w:hAnsi="Tahoma" w:cs="Tahoma"/>
                <w:sz w:val="20"/>
                <w:lang w:eastAsia="en-US"/>
              </w:rPr>
            </w:pPr>
            <w:r w:rsidRPr="009630AA">
              <w:rPr>
                <w:rFonts w:ascii="Tahoma" w:hAnsi="Tahoma" w:cs="Tahoma"/>
                <w:sz w:val="20"/>
              </w:rPr>
              <w:t>Mains Replacement</w:t>
            </w:r>
          </w:p>
          <w:p w14:paraId="6C7DAADC" w14:textId="77777777" w:rsidR="008F10D6" w:rsidRDefault="008F10D6" w:rsidP="008F10D6">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ahoma" w:hAnsi="Tahoma" w:cs="Tahoma"/>
                <w:sz w:val="20"/>
                <w:lang w:eastAsia="en-US"/>
              </w:rPr>
            </w:pPr>
            <w:r w:rsidRPr="00F46330">
              <w:rPr>
                <w:rFonts w:ascii="Tahoma" w:hAnsi="Tahoma" w:cs="Tahoma"/>
                <w:sz w:val="20"/>
                <w:lang w:eastAsia="en-US"/>
              </w:rPr>
              <w:t>Mains Augmentation</w:t>
            </w:r>
            <w:r>
              <w:rPr>
                <w:rFonts w:ascii="Tahoma" w:hAnsi="Tahoma" w:cs="Tahoma"/>
                <w:sz w:val="20"/>
                <w:lang w:eastAsia="en-US"/>
              </w:rPr>
              <w:t>;</w:t>
            </w:r>
          </w:p>
          <w:p w14:paraId="2C10B149" w14:textId="77777777" w:rsidR="008F10D6" w:rsidRDefault="008F10D6" w:rsidP="008F10D6">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ahoma" w:hAnsi="Tahoma" w:cs="Tahoma"/>
                <w:sz w:val="20"/>
                <w:lang w:eastAsia="en-US"/>
              </w:rPr>
            </w:pPr>
            <w:r>
              <w:rPr>
                <w:rFonts w:ascii="Tahoma" w:hAnsi="Tahoma" w:cs="Tahoma"/>
                <w:sz w:val="20"/>
                <w:lang w:eastAsia="en-US"/>
              </w:rPr>
              <w:t>Mains related to any new connections for all connection types (inclusive of any growth infill projects); and</w:t>
            </w:r>
          </w:p>
          <w:p w14:paraId="4B04C05A" w14:textId="176DFEA3" w:rsidR="008F10D6" w:rsidRDefault="008F10D6" w:rsidP="008F10D6">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ahoma" w:hAnsi="Tahoma" w:cs="Tahoma"/>
                <w:sz w:val="20"/>
                <w:lang w:eastAsia="en-US"/>
              </w:rPr>
            </w:pPr>
            <w:r>
              <w:rPr>
                <w:rFonts w:ascii="Tahoma" w:hAnsi="Tahoma" w:cs="Tahoma"/>
                <w:sz w:val="20"/>
                <w:lang w:eastAsia="en-US"/>
              </w:rPr>
              <w:t>Projects in Other Capex, for example Mains Alteration, Corrosion and any other related major projects</w:t>
            </w:r>
          </w:p>
          <w:p w14:paraId="09FB59D3" w14:textId="14F0D4FC" w:rsidR="008F10D6" w:rsidRDefault="008F10D6" w:rsidP="00590C47">
            <w:pP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B40A480" w14:textId="57CB5896" w:rsidR="008817E2" w:rsidRPr="00C53252" w:rsidRDefault="008817E2" w:rsidP="00356F3B">
            <w:p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Capex</w:t>
            </w:r>
            <w:r w:rsidRPr="003C3636">
              <w:rPr>
                <w:rFonts w:ascii="Tahoma" w:hAnsi="Tahoma" w:cs="Tahoma"/>
                <w:sz w:val="20"/>
              </w:rPr>
              <w:t xml:space="preserve"> reported for </w:t>
            </w:r>
            <w:r>
              <w:rPr>
                <w:rFonts w:ascii="Tahoma" w:hAnsi="Tahoma" w:cs="Tahoma"/>
                <w:sz w:val="20"/>
              </w:rPr>
              <w:t>Mains</w:t>
            </w:r>
            <w:r w:rsidRPr="003C3636">
              <w:rPr>
                <w:rFonts w:ascii="Tahoma" w:hAnsi="Tahoma" w:cs="Tahoma"/>
                <w:sz w:val="20"/>
              </w:rPr>
              <w:t xml:space="preserve"> has been identified with reference to the expenditure captured in APA’s Oracle finance system against</w:t>
            </w:r>
            <w:r>
              <w:rPr>
                <w:rFonts w:ascii="Tahoma" w:hAnsi="Tahoma" w:cs="Tahoma"/>
                <w:sz w:val="20"/>
              </w:rPr>
              <w:t xml:space="preserve"> activities that include mains and corrosion protection in the activity description.  Major projects that are known to be related to mains and major projects in growth infill areas have also been included.</w:t>
            </w:r>
          </w:p>
        </w:tc>
        <w:tc>
          <w:tcPr>
            <w:tcW w:w="791" w:type="pct"/>
            <w:tcBorders>
              <w:top w:val="single" w:sz="4" w:space="0" w:color="00B0F0"/>
              <w:bottom w:val="single" w:sz="4" w:space="0" w:color="00B0F0"/>
            </w:tcBorders>
            <w:vAlign w:val="center"/>
          </w:tcPr>
          <w:p w14:paraId="09F3A137"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212" w:type="pct"/>
            <w:tcBorders>
              <w:top w:val="single" w:sz="4" w:space="0" w:color="00B0F0"/>
              <w:bottom w:val="single" w:sz="4" w:space="0" w:color="00B0F0"/>
            </w:tcBorders>
            <w:vAlign w:val="center"/>
          </w:tcPr>
          <w:p w14:paraId="627C5EDF"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7" w:type="pct"/>
            <w:tcBorders>
              <w:top w:val="single" w:sz="4" w:space="0" w:color="00B0F0"/>
              <w:bottom w:val="single" w:sz="4" w:space="0" w:color="00B0F0"/>
            </w:tcBorders>
            <w:vAlign w:val="center"/>
          </w:tcPr>
          <w:p w14:paraId="58506B13"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8817E2" w:rsidRPr="00751816" w14:paraId="6B2375D5" w14:textId="77777777" w:rsidTr="00C53252">
        <w:trPr>
          <w:gridAfter w:val="1"/>
          <w:wAfter w:w="3" w:type="pct"/>
          <w:trHeight w:val="436"/>
        </w:trPr>
        <w:tc>
          <w:tcPr>
            <w:cnfStyle w:val="001000000000" w:firstRow="0" w:lastRow="0" w:firstColumn="1" w:lastColumn="0" w:oddVBand="0" w:evenVBand="0" w:oddHBand="0" w:evenHBand="0" w:firstRowFirstColumn="0" w:firstRowLastColumn="0" w:lastRowFirstColumn="0" w:lastRowLastColumn="0"/>
            <w:tcW w:w="690" w:type="pct"/>
            <w:tcBorders>
              <w:top w:val="single" w:sz="4" w:space="0" w:color="00B0F0"/>
              <w:bottom w:val="single" w:sz="4" w:space="0" w:color="00B0F0"/>
            </w:tcBorders>
            <w:shd w:val="clear" w:color="auto" w:fill="D9D9D9" w:themeFill="background1" w:themeFillShade="D9"/>
            <w:vAlign w:val="center"/>
          </w:tcPr>
          <w:p w14:paraId="5154A1B6" w14:textId="77777777" w:rsidR="008817E2" w:rsidRPr="00751816" w:rsidRDefault="008817E2" w:rsidP="001C016D">
            <w:pPr>
              <w:spacing w:before="120" w:after="120" w:line="240" w:lineRule="atLeast"/>
              <w:contextualSpacing/>
              <w:rPr>
                <w:rFonts w:ascii="Tahoma" w:hAnsi="Tahoma" w:cs="Tahoma"/>
                <w:sz w:val="20"/>
              </w:rPr>
            </w:pPr>
            <w:r w:rsidRPr="00384235">
              <w:rPr>
                <w:rFonts w:ascii="Tahoma" w:hAnsi="Tahoma" w:cs="Tahoma"/>
                <w:sz w:val="20"/>
              </w:rPr>
              <w:t>Inlets</w:t>
            </w:r>
          </w:p>
        </w:tc>
        <w:tc>
          <w:tcPr>
            <w:tcW w:w="1637" w:type="pct"/>
            <w:tcBorders>
              <w:top w:val="single" w:sz="4" w:space="0" w:color="00B0F0"/>
              <w:bottom w:val="single" w:sz="4" w:space="0" w:color="00B0F0"/>
            </w:tcBorders>
            <w:vAlign w:val="center"/>
          </w:tcPr>
          <w:p w14:paraId="36CC9278" w14:textId="0B6D3C4A" w:rsidR="008817E2" w:rsidRDefault="008817E2" w:rsidP="00E049E1">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AF55E9">
              <w:rPr>
                <w:rFonts w:ascii="Tahoma" w:hAnsi="Tahoma" w:cs="Tahoma"/>
                <w:sz w:val="20"/>
              </w:rPr>
              <w:t>Inlets are the service pipes that run from the mains which is typically in the street and a customer</w:t>
            </w:r>
            <w:r>
              <w:rPr>
                <w:rFonts w:ascii="Tahoma" w:hAnsi="Tahoma" w:cs="Tahoma"/>
                <w:sz w:val="20"/>
              </w:rPr>
              <w:t>’</w:t>
            </w:r>
            <w:r w:rsidRPr="00AF55E9">
              <w:rPr>
                <w:rFonts w:ascii="Tahoma" w:hAnsi="Tahoma" w:cs="Tahoma"/>
                <w:sz w:val="20"/>
              </w:rPr>
              <w:t>s meter on their property.</w:t>
            </w:r>
          </w:p>
          <w:p w14:paraId="78AE9502" w14:textId="06D6356D" w:rsidR="008F10D6" w:rsidRDefault="008F10D6" w:rsidP="00E049E1">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2CC5BAE" w14:textId="771B3999" w:rsidR="008F10D6" w:rsidRDefault="008F10D6" w:rsidP="00E049E1">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Capex reported includes I</w:t>
            </w:r>
            <w:r w:rsidRPr="004B596C">
              <w:rPr>
                <w:rFonts w:ascii="Tahoma" w:hAnsi="Tahoma" w:cs="Tahoma"/>
                <w:sz w:val="20"/>
              </w:rPr>
              <w:t xml:space="preserve">nlets </w:t>
            </w:r>
            <w:r>
              <w:rPr>
                <w:rFonts w:ascii="Tahoma" w:hAnsi="Tahoma" w:cs="Tahoma"/>
                <w:sz w:val="20"/>
              </w:rPr>
              <w:t>related to any new connections for all connection types.</w:t>
            </w:r>
          </w:p>
          <w:p w14:paraId="3088421D" w14:textId="77777777" w:rsidR="00590C47" w:rsidRDefault="00590C47" w:rsidP="00E049E1">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0FD43B6" w14:textId="0668BC16" w:rsidR="008817E2" w:rsidRDefault="008817E2" w:rsidP="00E049E1">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Capex</w:t>
            </w:r>
            <w:r w:rsidRPr="003C3636">
              <w:rPr>
                <w:rFonts w:ascii="Tahoma" w:hAnsi="Tahoma" w:cs="Tahoma"/>
                <w:sz w:val="20"/>
              </w:rPr>
              <w:t xml:space="preserve"> reported for </w:t>
            </w:r>
            <w:r>
              <w:rPr>
                <w:rFonts w:ascii="Tahoma" w:hAnsi="Tahoma" w:cs="Tahoma"/>
                <w:sz w:val="20"/>
              </w:rPr>
              <w:t>Inlets</w:t>
            </w:r>
            <w:r w:rsidRPr="003C3636">
              <w:rPr>
                <w:rFonts w:ascii="Tahoma" w:hAnsi="Tahoma" w:cs="Tahoma"/>
                <w:sz w:val="20"/>
              </w:rPr>
              <w:t xml:space="preserve"> has been identified with reference to the expenditure captured in APA’s Oracle finance system against </w:t>
            </w:r>
            <w:r>
              <w:rPr>
                <w:rFonts w:ascii="Tahoma" w:hAnsi="Tahoma" w:cs="Tahoma"/>
                <w:sz w:val="20"/>
              </w:rPr>
              <w:t xml:space="preserve">activities that include new service and </w:t>
            </w:r>
            <w:r w:rsidR="00CE1E86" w:rsidRPr="004453F6">
              <w:rPr>
                <w:rFonts w:ascii="Tahoma" w:hAnsi="Tahoma" w:cs="Tahoma"/>
                <w:sz w:val="20"/>
              </w:rPr>
              <w:t>service</w:t>
            </w:r>
            <w:r w:rsidR="00CE1E86">
              <w:rPr>
                <w:rFonts w:ascii="Tahoma" w:hAnsi="Tahoma" w:cs="Tahoma"/>
                <w:sz w:val="20"/>
              </w:rPr>
              <w:t xml:space="preserve"> </w:t>
            </w:r>
            <w:r>
              <w:rPr>
                <w:rFonts w:ascii="Tahoma" w:hAnsi="Tahoma" w:cs="Tahoma"/>
                <w:sz w:val="20"/>
              </w:rPr>
              <w:t xml:space="preserve">renewal for domestic and commercial </w:t>
            </w:r>
            <w:r w:rsidR="00AF4960">
              <w:rPr>
                <w:rFonts w:ascii="Tahoma" w:hAnsi="Tahoma" w:cs="Tahoma"/>
                <w:sz w:val="20"/>
              </w:rPr>
              <w:t xml:space="preserve">(small and large) </w:t>
            </w:r>
            <w:r>
              <w:rPr>
                <w:rFonts w:ascii="Tahoma" w:hAnsi="Tahoma" w:cs="Tahoma"/>
                <w:sz w:val="20"/>
              </w:rPr>
              <w:t>customers in the description.</w:t>
            </w:r>
            <w:r w:rsidR="00AF4960">
              <w:rPr>
                <w:rFonts w:ascii="Tahoma" w:hAnsi="Tahoma" w:cs="Tahoma"/>
                <w:sz w:val="20"/>
              </w:rPr>
              <w:t xml:space="preserve"> Capex for large commercial customers is offset by Capital Contributions as reported in Table 2.5.1 below.</w:t>
            </w:r>
          </w:p>
          <w:p w14:paraId="06EC7A53" w14:textId="77777777" w:rsidR="003368C8" w:rsidRDefault="003368C8" w:rsidP="00E049E1">
            <w:pPr>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5359A71" w14:textId="48813294" w:rsidR="003368C8" w:rsidRDefault="003368C8" w:rsidP="003368C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368C8">
              <w:rPr>
                <w:rFonts w:ascii="Tahoma" w:hAnsi="Tahoma" w:cs="Tahoma"/>
                <w:sz w:val="20"/>
              </w:rPr>
              <w:t>Refer to Appendix E for a description of the adjustments made due to regulatory accounting policies.  Specifically see adjustment type:</w:t>
            </w:r>
          </w:p>
          <w:p w14:paraId="21B13E10" w14:textId="54229037" w:rsidR="003368C8" w:rsidRPr="003368C8" w:rsidRDefault="005E5628" w:rsidP="00AC75FA">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5E5628">
              <w:rPr>
                <w:rFonts w:ascii="Tahoma" w:hAnsi="Tahoma" w:cs="Tahoma"/>
                <w:sz w:val="20"/>
              </w:rPr>
              <w:t>“Marketing Rebates” for expenditure consistently treated as Opex for regulatory purposes and Capex for statutory accounting purposes, from 1 January 2016.</w:t>
            </w:r>
          </w:p>
        </w:tc>
        <w:tc>
          <w:tcPr>
            <w:tcW w:w="791" w:type="pct"/>
            <w:tcBorders>
              <w:top w:val="single" w:sz="4" w:space="0" w:color="00B0F0"/>
              <w:bottom w:val="single" w:sz="4" w:space="0" w:color="00B0F0"/>
            </w:tcBorders>
            <w:vAlign w:val="center"/>
          </w:tcPr>
          <w:p w14:paraId="27A6A463"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212" w:type="pct"/>
            <w:tcBorders>
              <w:top w:val="single" w:sz="4" w:space="0" w:color="00B0F0"/>
              <w:bottom w:val="single" w:sz="4" w:space="0" w:color="00B0F0"/>
            </w:tcBorders>
            <w:vAlign w:val="center"/>
          </w:tcPr>
          <w:p w14:paraId="3EFD22C3"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7" w:type="pct"/>
            <w:tcBorders>
              <w:top w:val="single" w:sz="4" w:space="0" w:color="00B0F0"/>
              <w:bottom w:val="single" w:sz="4" w:space="0" w:color="00B0F0"/>
            </w:tcBorders>
            <w:vAlign w:val="center"/>
          </w:tcPr>
          <w:p w14:paraId="102B608B"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8817E2" w:rsidRPr="00751816" w14:paraId="607CD21B" w14:textId="77777777" w:rsidTr="00C53252">
        <w:trPr>
          <w:gridAfter w:val="1"/>
          <w:wAfter w:w="3" w:type="pct"/>
          <w:trHeight w:val="436"/>
        </w:trPr>
        <w:tc>
          <w:tcPr>
            <w:cnfStyle w:val="001000000000" w:firstRow="0" w:lastRow="0" w:firstColumn="1" w:lastColumn="0" w:oddVBand="0" w:evenVBand="0" w:oddHBand="0" w:evenHBand="0" w:firstRowFirstColumn="0" w:firstRowLastColumn="0" w:lastRowFirstColumn="0" w:lastRowLastColumn="0"/>
            <w:tcW w:w="690" w:type="pct"/>
            <w:tcBorders>
              <w:top w:val="single" w:sz="4" w:space="0" w:color="00B0F0"/>
              <w:bottom w:val="single" w:sz="4" w:space="0" w:color="00B0F0"/>
            </w:tcBorders>
            <w:shd w:val="clear" w:color="auto" w:fill="D9D9D9" w:themeFill="background1" w:themeFillShade="D9"/>
            <w:vAlign w:val="center"/>
          </w:tcPr>
          <w:p w14:paraId="4A6C5534" w14:textId="77777777" w:rsidR="008817E2" w:rsidRPr="00751816" w:rsidRDefault="008817E2" w:rsidP="001C016D">
            <w:pPr>
              <w:spacing w:before="120" w:after="120" w:line="240" w:lineRule="atLeast"/>
              <w:contextualSpacing/>
              <w:rPr>
                <w:rFonts w:ascii="Tahoma" w:hAnsi="Tahoma" w:cs="Tahoma"/>
                <w:sz w:val="20"/>
              </w:rPr>
            </w:pPr>
            <w:r w:rsidRPr="00384235">
              <w:rPr>
                <w:rFonts w:ascii="Tahoma" w:hAnsi="Tahoma" w:cs="Tahoma"/>
                <w:sz w:val="20"/>
              </w:rPr>
              <w:lastRenderedPageBreak/>
              <w:t>Meters</w:t>
            </w:r>
          </w:p>
        </w:tc>
        <w:tc>
          <w:tcPr>
            <w:tcW w:w="1637" w:type="pct"/>
            <w:tcBorders>
              <w:top w:val="single" w:sz="4" w:space="0" w:color="00B0F0"/>
              <w:bottom w:val="single" w:sz="4" w:space="0" w:color="00B0F0"/>
            </w:tcBorders>
            <w:vAlign w:val="center"/>
          </w:tcPr>
          <w:p w14:paraId="390D8A3A" w14:textId="77777777" w:rsidR="008817E2" w:rsidRDefault="008817E2" w:rsidP="00E049E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eastAsia="Times New Roman" w:hAnsi="Tahoma" w:cs="Tahoma"/>
                <w:bCs/>
                <w:iCs/>
                <w:sz w:val="20"/>
              </w:rPr>
              <w:t>A meter is a</w:t>
            </w:r>
            <w:r w:rsidRPr="00A55D98">
              <w:rPr>
                <w:rFonts w:ascii="Tahoma" w:hAnsi="Tahoma" w:cs="Tahoma"/>
                <w:sz w:val="20"/>
              </w:rPr>
              <w:t>n instrument that measures the quantity of gas passing through it and includes associated equipment attached to the instrument to filter, control or regulate the flow of gas.</w:t>
            </w:r>
          </w:p>
          <w:p w14:paraId="577CA0D8" w14:textId="77777777" w:rsidR="008817E2" w:rsidRPr="00357AFC" w:rsidRDefault="008817E2" w:rsidP="00E049E1">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3336D23" w14:textId="1A85A066" w:rsidR="008817E2" w:rsidRDefault="008817E2" w:rsidP="00E049E1">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57AFC">
              <w:rPr>
                <w:rFonts w:ascii="Tahoma" w:hAnsi="Tahoma" w:cs="Tahoma"/>
                <w:sz w:val="20"/>
              </w:rPr>
              <w:t>Expenditure reported</w:t>
            </w:r>
            <w:r>
              <w:rPr>
                <w:rFonts w:ascii="Tahoma" w:hAnsi="Tahoma" w:cs="Tahoma"/>
                <w:sz w:val="20"/>
              </w:rPr>
              <w:t xml:space="preserve"> in this category includes the cost of new and refurbished meters installed into the AGN (SA) network for operation.</w:t>
            </w:r>
          </w:p>
          <w:p w14:paraId="13671740" w14:textId="2E5AFFB6" w:rsidR="008F10D6" w:rsidRDefault="008F10D6" w:rsidP="00E049E1">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410B444" w14:textId="26FE162F" w:rsidR="008F10D6" w:rsidRDefault="008F10D6" w:rsidP="00E049E1">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Capex reported includes Meters </w:t>
            </w:r>
            <w:r w:rsidRPr="004B596C">
              <w:rPr>
                <w:rFonts w:ascii="Tahoma" w:hAnsi="Tahoma" w:cs="Tahoma"/>
                <w:sz w:val="20"/>
              </w:rPr>
              <w:t xml:space="preserve">related </w:t>
            </w:r>
            <w:r>
              <w:rPr>
                <w:rFonts w:ascii="Tahoma" w:hAnsi="Tahoma" w:cs="Tahoma"/>
                <w:sz w:val="20"/>
              </w:rPr>
              <w:t>to meter replacement and any new connections for all connection types (inclusive of any growth infill projects).</w:t>
            </w:r>
          </w:p>
          <w:p w14:paraId="1371E01A" w14:textId="77777777" w:rsidR="008E707B" w:rsidRDefault="008E707B" w:rsidP="00E049E1">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1D110C7" w14:textId="5FB3880A" w:rsidR="008817E2" w:rsidRPr="00EB7D9E" w:rsidRDefault="008817E2" w:rsidP="00E049E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Capex</w:t>
            </w:r>
            <w:r w:rsidRPr="00B17688">
              <w:rPr>
                <w:rFonts w:ascii="Tahoma" w:hAnsi="Tahoma" w:cs="Tahoma"/>
                <w:sz w:val="20"/>
              </w:rPr>
              <w:t xml:space="preserve"> reported for Meter projects has been identified with reference to the expenditure captured in APA’s Oracle finance system against </w:t>
            </w:r>
            <w:r>
              <w:rPr>
                <w:rFonts w:ascii="Tahoma" w:hAnsi="Tahoma" w:cs="Tahoma"/>
                <w:sz w:val="20"/>
              </w:rPr>
              <w:t>activities with meter in the description.</w:t>
            </w:r>
          </w:p>
        </w:tc>
        <w:tc>
          <w:tcPr>
            <w:tcW w:w="791" w:type="pct"/>
            <w:tcBorders>
              <w:top w:val="single" w:sz="4" w:space="0" w:color="00B0F0"/>
              <w:bottom w:val="single" w:sz="4" w:space="0" w:color="00B0F0"/>
            </w:tcBorders>
            <w:vAlign w:val="center"/>
          </w:tcPr>
          <w:p w14:paraId="1C7D6236"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212" w:type="pct"/>
            <w:tcBorders>
              <w:top w:val="single" w:sz="4" w:space="0" w:color="00B0F0"/>
              <w:bottom w:val="single" w:sz="4" w:space="0" w:color="00B0F0"/>
            </w:tcBorders>
            <w:vAlign w:val="center"/>
          </w:tcPr>
          <w:p w14:paraId="112D62C6"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7" w:type="pct"/>
            <w:tcBorders>
              <w:top w:val="single" w:sz="4" w:space="0" w:color="00B0F0"/>
              <w:bottom w:val="single" w:sz="4" w:space="0" w:color="00B0F0"/>
            </w:tcBorders>
            <w:vAlign w:val="center"/>
          </w:tcPr>
          <w:p w14:paraId="1532FF67"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8817E2" w:rsidRPr="00751816" w14:paraId="22616F30" w14:textId="77777777" w:rsidTr="00C53252">
        <w:trPr>
          <w:gridAfter w:val="1"/>
          <w:wAfter w:w="3" w:type="pct"/>
          <w:trHeight w:val="436"/>
        </w:trPr>
        <w:tc>
          <w:tcPr>
            <w:cnfStyle w:val="001000000000" w:firstRow="0" w:lastRow="0" w:firstColumn="1" w:lastColumn="0" w:oddVBand="0" w:evenVBand="0" w:oddHBand="0" w:evenHBand="0" w:firstRowFirstColumn="0" w:firstRowLastColumn="0" w:lastRowFirstColumn="0" w:lastRowLastColumn="0"/>
            <w:tcW w:w="690" w:type="pct"/>
            <w:tcBorders>
              <w:top w:val="single" w:sz="4" w:space="0" w:color="00B0F0"/>
              <w:bottom w:val="single" w:sz="4" w:space="0" w:color="00B0F0"/>
            </w:tcBorders>
            <w:shd w:val="clear" w:color="auto" w:fill="D9D9D9" w:themeFill="background1" w:themeFillShade="D9"/>
            <w:vAlign w:val="center"/>
          </w:tcPr>
          <w:p w14:paraId="2F953EC9" w14:textId="77777777" w:rsidR="008817E2" w:rsidRPr="00751816" w:rsidRDefault="008817E2" w:rsidP="001C016D">
            <w:pPr>
              <w:spacing w:before="120" w:after="120" w:line="240" w:lineRule="atLeast"/>
              <w:contextualSpacing/>
              <w:rPr>
                <w:rFonts w:ascii="Tahoma" w:hAnsi="Tahoma" w:cs="Tahoma"/>
                <w:sz w:val="20"/>
              </w:rPr>
            </w:pPr>
            <w:r w:rsidRPr="00384235">
              <w:rPr>
                <w:rFonts w:ascii="Tahoma" w:hAnsi="Tahoma" w:cs="Tahoma"/>
                <w:sz w:val="20"/>
              </w:rPr>
              <w:t>Telemetry</w:t>
            </w:r>
          </w:p>
        </w:tc>
        <w:tc>
          <w:tcPr>
            <w:tcW w:w="1637" w:type="pct"/>
            <w:tcBorders>
              <w:top w:val="single" w:sz="4" w:space="0" w:color="00B0F0"/>
              <w:bottom w:val="single" w:sz="4" w:space="0" w:color="00B0F0"/>
            </w:tcBorders>
            <w:vAlign w:val="center"/>
          </w:tcPr>
          <w:p w14:paraId="0B966ADB" w14:textId="77777777" w:rsidR="008817E2" w:rsidRDefault="008817E2" w:rsidP="00E049E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rPr>
            </w:pPr>
            <w:r>
              <w:rPr>
                <w:rFonts w:ascii="Tahoma" w:eastAsia="Times New Roman" w:hAnsi="Tahoma" w:cs="Tahoma"/>
                <w:sz w:val="20"/>
              </w:rPr>
              <w:t>Telemetry projects includes c</w:t>
            </w:r>
            <w:r w:rsidRPr="00A21FC3">
              <w:rPr>
                <w:rFonts w:ascii="Tahoma" w:eastAsia="Times New Roman" w:hAnsi="Tahoma" w:cs="Tahoma"/>
                <w:sz w:val="20"/>
              </w:rPr>
              <w:t xml:space="preserve">apital expenditure incurred in the replacement of SCADA </w:t>
            </w:r>
            <w:r>
              <w:rPr>
                <w:rFonts w:ascii="Tahoma" w:eastAsia="Times New Roman" w:hAnsi="Tahoma" w:cs="Tahoma"/>
                <w:sz w:val="20"/>
              </w:rPr>
              <w:t>(</w:t>
            </w:r>
            <w:r w:rsidRPr="00F17EE5">
              <w:rPr>
                <w:rFonts w:ascii="Tahoma" w:hAnsi="Tahoma" w:cs="Tahoma"/>
                <w:sz w:val="20"/>
              </w:rPr>
              <w:t>Supervisory control and data acquisition</w:t>
            </w:r>
            <w:r>
              <w:rPr>
                <w:rFonts w:ascii="Tahoma" w:hAnsi="Tahoma" w:cs="Tahoma"/>
                <w:sz w:val="20"/>
              </w:rPr>
              <w:t xml:space="preserve">) </w:t>
            </w:r>
            <w:r>
              <w:rPr>
                <w:rFonts w:ascii="Tahoma" w:eastAsia="Times New Roman" w:hAnsi="Tahoma" w:cs="Tahoma"/>
                <w:sz w:val="20"/>
              </w:rPr>
              <w:t xml:space="preserve">equipment </w:t>
            </w:r>
            <w:r w:rsidRPr="00A21FC3">
              <w:rPr>
                <w:rFonts w:ascii="Tahoma" w:eastAsia="Times New Roman" w:hAnsi="Tahoma" w:cs="Tahoma"/>
                <w:sz w:val="20"/>
              </w:rPr>
              <w:t xml:space="preserve">operating in the network due to the condition of the assets. </w:t>
            </w:r>
          </w:p>
          <w:p w14:paraId="248E1220" w14:textId="77777777" w:rsidR="008817E2" w:rsidRDefault="008817E2" w:rsidP="00E049E1">
            <w:pPr>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1F5EFC3" w14:textId="0E40A356" w:rsidR="008817E2" w:rsidRPr="00EB7D9E" w:rsidRDefault="008817E2" w:rsidP="00E049E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F6230">
              <w:rPr>
                <w:rFonts w:ascii="Tahoma" w:hAnsi="Tahoma" w:cs="Tahoma"/>
                <w:sz w:val="20"/>
              </w:rPr>
              <w:t xml:space="preserve">Expenditure reported for Telemetry Capex projects has been identified with reference to the expenditure captured in APA’s Oracle finance system </w:t>
            </w:r>
            <w:r>
              <w:rPr>
                <w:rFonts w:ascii="Tahoma" w:hAnsi="Tahoma" w:cs="Tahoma"/>
                <w:sz w:val="20"/>
              </w:rPr>
              <w:t xml:space="preserve">with Telemetry included in the </w:t>
            </w:r>
            <w:r w:rsidRPr="001F6230">
              <w:rPr>
                <w:rFonts w:ascii="Tahoma" w:hAnsi="Tahoma" w:cs="Tahoma"/>
                <w:sz w:val="20"/>
              </w:rPr>
              <w:t>activity name</w:t>
            </w:r>
            <w:r w:rsidR="00EB7D9E">
              <w:rPr>
                <w:rFonts w:ascii="Tahoma" w:hAnsi="Tahoma" w:cs="Tahoma"/>
                <w:sz w:val="20"/>
              </w:rPr>
              <w:t>.</w:t>
            </w:r>
          </w:p>
        </w:tc>
        <w:tc>
          <w:tcPr>
            <w:tcW w:w="791" w:type="pct"/>
            <w:tcBorders>
              <w:top w:val="single" w:sz="4" w:space="0" w:color="00B0F0"/>
              <w:bottom w:val="single" w:sz="4" w:space="0" w:color="00B0F0"/>
            </w:tcBorders>
            <w:vAlign w:val="center"/>
          </w:tcPr>
          <w:p w14:paraId="22FBC4DD"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212" w:type="pct"/>
            <w:tcBorders>
              <w:top w:val="single" w:sz="4" w:space="0" w:color="00B0F0"/>
              <w:bottom w:val="single" w:sz="4" w:space="0" w:color="00B0F0"/>
            </w:tcBorders>
            <w:vAlign w:val="center"/>
          </w:tcPr>
          <w:p w14:paraId="2FBC0E87"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7" w:type="pct"/>
            <w:tcBorders>
              <w:top w:val="single" w:sz="4" w:space="0" w:color="00B0F0"/>
              <w:bottom w:val="single" w:sz="4" w:space="0" w:color="00B0F0"/>
            </w:tcBorders>
            <w:vAlign w:val="center"/>
          </w:tcPr>
          <w:p w14:paraId="5C862C61"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8817E2" w:rsidRPr="00751816" w14:paraId="6892B869" w14:textId="77777777" w:rsidTr="00C53252">
        <w:trPr>
          <w:gridAfter w:val="1"/>
          <w:wAfter w:w="3" w:type="pct"/>
          <w:trHeight w:val="436"/>
        </w:trPr>
        <w:tc>
          <w:tcPr>
            <w:cnfStyle w:val="001000000000" w:firstRow="0" w:lastRow="0" w:firstColumn="1" w:lastColumn="0" w:oddVBand="0" w:evenVBand="0" w:oddHBand="0" w:evenHBand="0" w:firstRowFirstColumn="0" w:firstRowLastColumn="0" w:lastRowFirstColumn="0" w:lastRowLastColumn="0"/>
            <w:tcW w:w="690" w:type="pct"/>
            <w:tcBorders>
              <w:top w:val="single" w:sz="4" w:space="0" w:color="00B0F0"/>
              <w:bottom w:val="single" w:sz="4" w:space="0" w:color="00B0F0"/>
            </w:tcBorders>
            <w:shd w:val="clear" w:color="auto" w:fill="D9D9D9" w:themeFill="background1" w:themeFillShade="D9"/>
            <w:vAlign w:val="center"/>
          </w:tcPr>
          <w:p w14:paraId="0EF35823" w14:textId="77777777" w:rsidR="008817E2" w:rsidRPr="00751816" w:rsidRDefault="008817E2" w:rsidP="001C016D">
            <w:pPr>
              <w:spacing w:before="120" w:after="120" w:line="240" w:lineRule="atLeast"/>
              <w:contextualSpacing/>
              <w:rPr>
                <w:rFonts w:ascii="Tahoma" w:hAnsi="Tahoma" w:cs="Tahoma"/>
                <w:sz w:val="20"/>
              </w:rPr>
            </w:pPr>
            <w:r w:rsidRPr="00384235">
              <w:rPr>
                <w:rFonts w:ascii="Tahoma" w:hAnsi="Tahoma" w:cs="Tahoma"/>
                <w:sz w:val="20"/>
              </w:rPr>
              <w:t xml:space="preserve">IT systems </w:t>
            </w:r>
          </w:p>
        </w:tc>
        <w:tc>
          <w:tcPr>
            <w:tcW w:w="1637" w:type="pct"/>
            <w:tcBorders>
              <w:top w:val="single" w:sz="4" w:space="0" w:color="00B0F0"/>
              <w:bottom w:val="single" w:sz="4" w:space="0" w:color="00B0F0"/>
            </w:tcBorders>
            <w:vAlign w:val="center"/>
          </w:tcPr>
          <w:p w14:paraId="2888E612" w14:textId="77777777" w:rsidR="008817E2" w:rsidRPr="00271350"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271350">
              <w:rPr>
                <w:rFonts w:ascii="Tahoma" w:hAnsi="Tahoma" w:cs="Tahoma"/>
                <w:sz w:val="20"/>
              </w:rPr>
              <w:t xml:space="preserve">IT </w:t>
            </w:r>
            <w:r>
              <w:rPr>
                <w:rFonts w:ascii="Tahoma" w:hAnsi="Tahoma" w:cs="Tahoma"/>
                <w:sz w:val="20"/>
              </w:rPr>
              <w:t xml:space="preserve">systems </w:t>
            </w:r>
            <w:r w:rsidRPr="00271350">
              <w:rPr>
                <w:rFonts w:ascii="Tahoma" w:hAnsi="Tahoma" w:cs="Tahoma"/>
                <w:sz w:val="20"/>
              </w:rPr>
              <w:t xml:space="preserve">expenditure includes capital expenditure associated with ICT assets (e.g. physical hardware and software and the </w:t>
            </w:r>
            <w:r w:rsidRPr="00271350">
              <w:rPr>
                <w:rFonts w:ascii="Tahoma" w:hAnsi="Tahoma" w:cs="Tahoma"/>
                <w:sz w:val="20"/>
              </w:rPr>
              <w:lastRenderedPageBreak/>
              <w:t xml:space="preserve">associated development and implementation costs that are capitalised in accordance with relevant accounting standards and policies). </w:t>
            </w:r>
          </w:p>
          <w:p w14:paraId="26EF1296" w14:textId="77777777" w:rsidR="008817E2" w:rsidRPr="00271350"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CA8DA5C" w14:textId="74F5809A" w:rsidR="008817E2" w:rsidRPr="00271350"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271350">
              <w:rPr>
                <w:rFonts w:ascii="Tahoma" w:hAnsi="Tahoma" w:cs="Tahoma"/>
                <w:sz w:val="20"/>
              </w:rPr>
              <w:t xml:space="preserve">Expenditure reported for IT </w:t>
            </w:r>
            <w:r>
              <w:rPr>
                <w:rFonts w:ascii="Tahoma" w:hAnsi="Tahoma" w:cs="Tahoma"/>
                <w:sz w:val="20"/>
              </w:rPr>
              <w:t xml:space="preserve">systems </w:t>
            </w:r>
            <w:r w:rsidRPr="00271350">
              <w:rPr>
                <w:rFonts w:ascii="Tahoma" w:hAnsi="Tahoma" w:cs="Tahoma"/>
                <w:sz w:val="20"/>
              </w:rPr>
              <w:t>capex projects has been identified with reference to specific project names in APA’s Oracle finance system that are known to be ICT projects</w:t>
            </w:r>
            <w:r>
              <w:rPr>
                <w:rFonts w:ascii="Tahoma" w:hAnsi="Tahoma" w:cs="Tahoma"/>
                <w:sz w:val="20"/>
              </w:rPr>
              <w:t xml:space="preserve">  (e.g. relevant ICT activity descriptions are included in the project names)</w:t>
            </w:r>
            <w:r w:rsidRPr="00271350">
              <w:rPr>
                <w:rFonts w:ascii="Tahoma" w:hAnsi="Tahoma" w:cs="Tahoma"/>
                <w:sz w:val="20"/>
              </w:rPr>
              <w:t xml:space="preserve">.  </w:t>
            </w:r>
            <w:r w:rsidR="009630AA">
              <w:rPr>
                <w:rFonts w:ascii="Tahoma" w:hAnsi="Tahoma" w:cs="Tahoma"/>
                <w:sz w:val="20"/>
              </w:rPr>
              <w:t xml:space="preserve">AGN Limited also incurs internal ICT capital expenditure (Head Office Additions) </w:t>
            </w:r>
            <w:r w:rsidR="00356F3B">
              <w:rPr>
                <w:rFonts w:ascii="Tahoma" w:hAnsi="Tahoma" w:cs="Tahoma"/>
                <w:sz w:val="20"/>
              </w:rPr>
              <w:t xml:space="preserve">for AGN (SA) </w:t>
            </w:r>
            <w:r w:rsidR="009630AA">
              <w:rPr>
                <w:rFonts w:ascii="Tahoma" w:hAnsi="Tahoma" w:cs="Tahoma"/>
                <w:sz w:val="20"/>
              </w:rPr>
              <w:t>which is added to the expenditure information provided by APA.</w:t>
            </w:r>
            <w:r w:rsidR="00356F3B">
              <w:rPr>
                <w:rFonts w:ascii="Tahoma" w:hAnsi="Tahoma" w:cs="Tahoma"/>
                <w:sz w:val="20"/>
              </w:rPr>
              <w:t xml:space="preserve"> AGN Limited’s internal IT systems expenditure is recorded in specific general ledger account codes which makes it identifiable for reporting in this table. Further, once IT projects are completed, the total expenditure is also recorded in AGN Limited’s Fixed Assets Register.</w:t>
            </w:r>
          </w:p>
          <w:p w14:paraId="34CDDB68" w14:textId="77777777" w:rsidR="008817E2" w:rsidRPr="00271350"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5796E8A" w14:textId="3E552ADF" w:rsidR="008817E2" w:rsidRPr="001814DD"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814DD">
              <w:rPr>
                <w:rFonts w:ascii="Tahoma" w:hAnsi="Tahoma" w:cs="Tahoma"/>
                <w:sz w:val="20"/>
              </w:rPr>
              <w:t xml:space="preserve">Refer to </w:t>
            </w:r>
            <w:r w:rsidRPr="008E707B">
              <w:rPr>
                <w:rFonts w:ascii="Tahoma" w:hAnsi="Tahoma" w:cs="Tahoma"/>
                <w:sz w:val="20"/>
              </w:rPr>
              <w:t>Appendix E</w:t>
            </w:r>
            <w:r w:rsidRPr="001814DD">
              <w:rPr>
                <w:rFonts w:ascii="Tahoma" w:hAnsi="Tahoma" w:cs="Tahoma"/>
                <w:sz w:val="20"/>
              </w:rPr>
              <w:t xml:space="preserve"> for a description of the adjustments made due to regulatory accounting policies.  Specifically see adjustment types:</w:t>
            </w:r>
          </w:p>
          <w:p w14:paraId="0FD311DD" w14:textId="0083E468" w:rsidR="008817E2" w:rsidRPr="0078407D" w:rsidRDefault="008817E2" w:rsidP="00E049E1">
            <w:pPr>
              <w:numPr>
                <w:ilvl w:val="0"/>
                <w:numId w:val="13"/>
              </w:num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sidRPr="001814DD">
              <w:rPr>
                <w:rFonts w:ascii="Tahoma" w:hAnsi="Tahoma" w:cs="Tahoma"/>
                <w:sz w:val="20"/>
              </w:rPr>
              <w:t>“Head Office Additions and Other Adjustments” for Other Capex directly incurred by AGN Limited.</w:t>
            </w:r>
          </w:p>
        </w:tc>
        <w:tc>
          <w:tcPr>
            <w:tcW w:w="791" w:type="pct"/>
            <w:tcBorders>
              <w:top w:val="single" w:sz="4" w:space="0" w:color="00B0F0"/>
              <w:bottom w:val="single" w:sz="4" w:space="0" w:color="00B0F0"/>
            </w:tcBorders>
            <w:vAlign w:val="center"/>
          </w:tcPr>
          <w:p w14:paraId="2F611491"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212" w:type="pct"/>
            <w:tcBorders>
              <w:top w:val="single" w:sz="4" w:space="0" w:color="00B0F0"/>
              <w:bottom w:val="single" w:sz="4" w:space="0" w:color="00B0F0"/>
            </w:tcBorders>
            <w:vAlign w:val="center"/>
          </w:tcPr>
          <w:p w14:paraId="3A5ECAE1"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7" w:type="pct"/>
            <w:tcBorders>
              <w:top w:val="single" w:sz="4" w:space="0" w:color="00B0F0"/>
              <w:bottom w:val="single" w:sz="4" w:space="0" w:color="00B0F0"/>
            </w:tcBorders>
            <w:vAlign w:val="center"/>
          </w:tcPr>
          <w:p w14:paraId="6199E929"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8817E2" w:rsidRPr="00751816" w14:paraId="06D64C1E" w14:textId="77777777" w:rsidTr="00C53252">
        <w:trPr>
          <w:gridAfter w:val="1"/>
          <w:wAfter w:w="3" w:type="pct"/>
          <w:trHeight w:val="436"/>
        </w:trPr>
        <w:tc>
          <w:tcPr>
            <w:cnfStyle w:val="001000000000" w:firstRow="0" w:lastRow="0" w:firstColumn="1" w:lastColumn="0" w:oddVBand="0" w:evenVBand="0" w:oddHBand="0" w:evenHBand="0" w:firstRowFirstColumn="0" w:firstRowLastColumn="0" w:lastRowFirstColumn="0" w:lastRowLastColumn="0"/>
            <w:tcW w:w="690" w:type="pct"/>
            <w:tcBorders>
              <w:top w:val="single" w:sz="4" w:space="0" w:color="00B0F0"/>
              <w:bottom w:val="single" w:sz="4" w:space="0" w:color="00B0F0"/>
            </w:tcBorders>
            <w:shd w:val="clear" w:color="auto" w:fill="D9D9D9" w:themeFill="background1" w:themeFillShade="D9"/>
            <w:vAlign w:val="center"/>
          </w:tcPr>
          <w:p w14:paraId="5FB99146" w14:textId="77777777" w:rsidR="008817E2" w:rsidRPr="00751816" w:rsidRDefault="008817E2" w:rsidP="001C016D">
            <w:pPr>
              <w:spacing w:before="120" w:after="120" w:line="240" w:lineRule="atLeast"/>
              <w:contextualSpacing/>
              <w:rPr>
                <w:rFonts w:ascii="Tahoma" w:hAnsi="Tahoma" w:cs="Tahoma"/>
                <w:sz w:val="20"/>
              </w:rPr>
            </w:pPr>
            <w:r w:rsidRPr="00384235">
              <w:rPr>
                <w:rFonts w:ascii="Tahoma" w:hAnsi="Tahoma" w:cs="Tahoma"/>
                <w:sz w:val="20"/>
              </w:rPr>
              <w:t xml:space="preserve">Other distribution equipment </w:t>
            </w:r>
          </w:p>
        </w:tc>
        <w:tc>
          <w:tcPr>
            <w:tcW w:w="1637" w:type="pct"/>
            <w:tcBorders>
              <w:top w:val="single" w:sz="4" w:space="0" w:color="00B0F0"/>
              <w:bottom w:val="single" w:sz="4" w:space="0" w:color="00B0F0"/>
            </w:tcBorders>
            <w:vAlign w:val="center"/>
          </w:tcPr>
          <w:p w14:paraId="6D07114E" w14:textId="77777777" w:rsidR="008817E2" w:rsidRPr="001979E7"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979E7">
              <w:rPr>
                <w:rFonts w:ascii="Tahoma" w:hAnsi="Tahoma" w:cs="Tahoma"/>
                <w:sz w:val="20"/>
              </w:rPr>
              <w:t xml:space="preserve">Expenditure reported for Other </w:t>
            </w:r>
            <w:r>
              <w:rPr>
                <w:rFonts w:ascii="Tahoma" w:hAnsi="Tahoma" w:cs="Tahoma"/>
                <w:sz w:val="20"/>
              </w:rPr>
              <w:t xml:space="preserve">distribution equipment </w:t>
            </w:r>
            <w:r w:rsidRPr="001979E7">
              <w:rPr>
                <w:rFonts w:ascii="Tahoma" w:hAnsi="Tahoma" w:cs="Tahoma"/>
                <w:sz w:val="20"/>
              </w:rPr>
              <w:t>capex has been identified with reference to specific project names in APA’s Oracle finance system that are known to be other</w:t>
            </w:r>
            <w:r>
              <w:rPr>
                <w:rFonts w:ascii="Tahoma" w:hAnsi="Tahoma" w:cs="Tahoma"/>
                <w:sz w:val="20"/>
              </w:rPr>
              <w:t xml:space="preserve"> distribution equipment</w:t>
            </w:r>
            <w:r w:rsidRPr="001979E7">
              <w:rPr>
                <w:rFonts w:ascii="Tahoma" w:hAnsi="Tahoma" w:cs="Tahoma"/>
                <w:sz w:val="20"/>
              </w:rPr>
              <w:t xml:space="preserve"> projects that are not otherwise relevant to the other RIN template tables. </w:t>
            </w:r>
          </w:p>
          <w:p w14:paraId="432FC63C" w14:textId="77777777" w:rsidR="008817E2" w:rsidRPr="001979E7"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0F0FDBA" w14:textId="79245940" w:rsidR="008817E2" w:rsidRPr="0078407D" w:rsidRDefault="008F10D6" w:rsidP="00B013FC">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Pr>
                <w:rFonts w:ascii="Tahoma" w:hAnsi="Tahoma" w:cs="Tahoma"/>
                <w:sz w:val="20"/>
              </w:rPr>
              <w:t>Tasks and activity codes include Regulators</w:t>
            </w:r>
            <w:r w:rsidR="00EC465C">
              <w:rPr>
                <w:rFonts w:ascii="Tahoma" w:hAnsi="Tahoma" w:cs="Tahoma"/>
                <w:sz w:val="20"/>
              </w:rPr>
              <w:t xml:space="preserve"> and </w:t>
            </w:r>
            <w:r>
              <w:rPr>
                <w:rFonts w:ascii="Tahoma" w:hAnsi="Tahoma" w:cs="Tahoma"/>
                <w:sz w:val="20"/>
              </w:rPr>
              <w:t>Other Network Stopple Equipment.  This Capex forms part of the Other Capex reported in table E.1.1.1.</w:t>
            </w:r>
          </w:p>
        </w:tc>
        <w:tc>
          <w:tcPr>
            <w:tcW w:w="791" w:type="pct"/>
            <w:tcBorders>
              <w:top w:val="single" w:sz="4" w:space="0" w:color="00B0F0"/>
              <w:bottom w:val="single" w:sz="4" w:space="0" w:color="00B0F0"/>
            </w:tcBorders>
            <w:vAlign w:val="center"/>
          </w:tcPr>
          <w:p w14:paraId="1842C494"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212" w:type="pct"/>
            <w:tcBorders>
              <w:top w:val="single" w:sz="4" w:space="0" w:color="00B0F0"/>
              <w:bottom w:val="single" w:sz="4" w:space="0" w:color="00B0F0"/>
            </w:tcBorders>
            <w:vAlign w:val="center"/>
          </w:tcPr>
          <w:p w14:paraId="547C2CD8"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7" w:type="pct"/>
            <w:tcBorders>
              <w:top w:val="single" w:sz="4" w:space="0" w:color="00B0F0"/>
              <w:bottom w:val="single" w:sz="4" w:space="0" w:color="00B0F0"/>
            </w:tcBorders>
            <w:vAlign w:val="center"/>
          </w:tcPr>
          <w:p w14:paraId="3AD13475"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8817E2" w:rsidRPr="00751816" w14:paraId="14B1D348" w14:textId="77777777" w:rsidTr="00C53252">
        <w:trPr>
          <w:gridAfter w:val="1"/>
          <w:wAfter w:w="3" w:type="pct"/>
          <w:trHeight w:val="436"/>
        </w:trPr>
        <w:tc>
          <w:tcPr>
            <w:cnfStyle w:val="001000000000" w:firstRow="0" w:lastRow="0" w:firstColumn="1" w:lastColumn="0" w:oddVBand="0" w:evenVBand="0" w:oddHBand="0" w:evenHBand="0" w:firstRowFirstColumn="0" w:firstRowLastColumn="0" w:lastRowFirstColumn="0" w:lastRowLastColumn="0"/>
            <w:tcW w:w="690" w:type="pct"/>
            <w:tcBorders>
              <w:top w:val="single" w:sz="4" w:space="0" w:color="00B0F0"/>
              <w:bottom w:val="single" w:sz="4" w:space="0" w:color="00B0F0"/>
            </w:tcBorders>
            <w:shd w:val="clear" w:color="auto" w:fill="D9D9D9" w:themeFill="background1" w:themeFillShade="D9"/>
            <w:vAlign w:val="center"/>
          </w:tcPr>
          <w:p w14:paraId="6632C5AE" w14:textId="6168F72F" w:rsidR="008817E2" w:rsidRPr="00384235" w:rsidRDefault="008817E2" w:rsidP="001C016D">
            <w:pPr>
              <w:spacing w:before="120" w:after="120" w:line="240" w:lineRule="atLeast"/>
              <w:contextualSpacing/>
              <w:rPr>
                <w:rFonts w:ascii="Tahoma" w:hAnsi="Tahoma" w:cs="Tahoma"/>
                <w:sz w:val="20"/>
              </w:rPr>
            </w:pPr>
            <w:r>
              <w:rPr>
                <w:rFonts w:ascii="Tahoma" w:hAnsi="Tahoma" w:cs="Tahoma"/>
                <w:sz w:val="20"/>
              </w:rPr>
              <w:t xml:space="preserve">Other </w:t>
            </w:r>
            <w:r w:rsidR="00A16A06">
              <w:rPr>
                <w:rFonts w:ascii="Tahoma" w:hAnsi="Tahoma" w:cs="Tahoma"/>
                <w:sz w:val="20"/>
              </w:rPr>
              <w:t>non-distribution equipment</w:t>
            </w:r>
          </w:p>
        </w:tc>
        <w:tc>
          <w:tcPr>
            <w:tcW w:w="1637" w:type="pct"/>
            <w:tcBorders>
              <w:top w:val="single" w:sz="4" w:space="0" w:color="00B0F0"/>
              <w:bottom w:val="single" w:sz="4" w:space="0" w:color="00B0F0"/>
            </w:tcBorders>
            <w:vAlign w:val="center"/>
          </w:tcPr>
          <w:p w14:paraId="3CCA5BA5" w14:textId="77777777" w:rsidR="006078CD" w:rsidRDefault="003368C8"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1979E7">
              <w:rPr>
                <w:rFonts w:ascii="Tahoma" w:hAnsi="Tahoma" w:cs="Tahoma"/>
                <w:sz w:val="20"/>
              </w:rPr>
              <w:t xml:space="preserve">Expenditure reported for Other </w:t>
            </w:r>
            <w:r>
              <w:rPr>
                <w:rFonts w:ascii="Tahoma" w:hAnsi="Tahoma" w:cs="Tahoma"/>
                <w:sz w:val="20"/>
              </w:rPr>
              <w:t xml:space="preserve">non-distribution </w:t>
            </w:r>
            <w:r w:rsidRPr="001979E7">
              <w:rPr>
                <w:rFonts w:ascii="Tahoma" w:hAnsi="Tahoma" w:cs="Tahoma"/>
                <w:sz w:val="20"/>
              </w:rPr>
              <w:t xml:space="preserve">capex projects has been identified with reference to specific project names in APA’s Oracle finance system that are known to be miscellaneous other </w:t>
            </w:r>
            <w:r>
              <w:rPr>
                <w:rFonts w:ascii="Tahoma" w:hAnsi="Tahoma" w:cs="Tahoma"/>
                <w:sz w:val="20"/>
              </w:rPr>
              <w:t xml:space="preserve">non-distribution equipment </w:t>
            </w:r>
            <w:r w:rsidRPr="001979E7">
              <w:rPr>
                <w:rFonts w:ascii="Tahoma" w:hAnsi="Tahoma" w:cs="Tahoma"/>
                <w:sz w:val="20"/>
              </w:rPr>
              <w:t>projects</w:t>
            </w:r>
            <w:r>
              <w:rPr>
                <w:rFonts w:ascii="Tahoma" w:hAnsi="Tahoma" w:cs="Tahoma"/>
                <w:sz w:val="20"/>
              </w:rPr>
              <w:t xml:space="preserve"> that are not otherwise related</w:t>
            </w:r>
            <w:r w:rsidRPr="001979E7">
              <w:rPr>
                <w:rFonts w:ascii="Tahoma" w:hAnsi="Tahoma" w:cs="Tahoma"/>
                <w:sz w:val="20"/>
              </w:rPr>
              <w:t xml:space="preserve"> to the other RIN template </w:t>
            </w:r>
            <w:r>
              <w:rPr>
                <w:rFonts w:ascii="Tahoma" w:hAnsi="Tahoma" w:cs="Tahoma"/>
                <w:sz w:val="20"/>
              </w:rPr>
              <w:t>categories</w:t>
            </w:r>
            <w:r w:rsidR="00356F3B">
              <w:rPr>
                <w:rFonts w:ascii="Tahoma" w:hAnsi="Tahoma" w:cs="Tahoma"/>
                <w:sz w:val="20"/>
              </w:rPr>
              <w:t xml:space="preserve"> in this table</w:t>
            </w:r>
            <w:r w:rsidRPr="001979E7">
              <w:rPr>
                <w:rFonts w:ascii="Tahoma" w:hAnsi="Tahoma" w:cs="Tahoma"/>
                <w:sz w:val="20"/>
              </w:rPr>
              <w:t>.</w:t>
            </w:r>
            <w:r>
              <w:rPr>
                <w:rFonts w:ascii="Tahoma" w:hAnsi="Tahoma" w:cs="Tahoma"/>
                <w:sz w:val="20"/>
              </w:rPr>
              <w:t xml:space="preserve"> </w:t>
            </w:r>
            <w:r w:rsidR="009630AA">
              <w:rPr>
                <w:rFonts w:ascii="Tahoma" w:hAnsi="Tahoma" w:cs="Tahoma"/>
                <w:sz w:val="20"/>
              </w:rPr>
              <w:t xml:space="preserve">AGN Limited also incurs internal Other capital expenditure (Head Office Additions) which is added to the expenditure information provided by APA. </w:t>
            </w:r>
            <w:r w:rsidRPr="00FB59F4">
              <w:rPr>
                <w:rFonts w:ascii="Tahoma" w:hAnsi="Tahoma" w:cs="Tahoma"/>
                <w:sz w:val="20"/>
              </w:rPr>
              <w:t xml:space="preserve">This </w:t>
            </w:r>
            <w:r>
              <w:rPr>
                <w:rFonts w:ascii="Tahoma" w:hAnsi="Tahoma" w:cs="Tahoma"/>
                <w:sz w:val="20"/>
              </w:rPr>
              <w:t xml:space="preserve">Capex </w:t>
            </w:r>
            <w:r w:rsidRPr="00FB59F4">
              <w:rPr>
                <w:rFonts w:ascii="Tahoma" w:hAnsi="Tahoma" w:cs="Tahoma"/>
                <w:sz w:val="20"/>
              </w:rPr>
              <w:t xml:space="preserve">also </w:t>
            </w:r>
            <w:r>
              <w:rPr>
                <w:rFonts w:ascii="Tahoma" w:hAnsi="Tahoma" w:cs="Tahoma"/>
                <w:sz w:val="20"/>
              </w:rPr>
              <w:t xml:space="preserve">forms part of </w:t>
            </w:r>
            <w:r w:rsidRPr="00FB59F4">
              <w:rPr>
                <w:rFonts w:ascii="Tahoma" w:hAnsi="Tahoma" w:cs="Tahoma"/>
                <w:sz w:val="20"/>
              </w:rPr>
              <w:t xml:space="preserve">Other Capex </w:t>
            </w:r>
            <w:r>
              <w:rPr>
                <w:rFonts w:ascii="Tahoma" w:hAnsi="Tahoma" w:cs="Tahoma"/>
                <w:sz w:val="20"/>
              </w:rPr>
              <w:t xml:space="preserve">reported </w:t>
            </w:r>
            <w:r w:rsidRPr="00FB59F4">
              <w:rPr>
                <w:rFonts w:ascii="Tahoma" w:hAnsi="Tahoma" w:cs="Tahoma"/>
                <w:sz w:val="20"/>
              </w:rPr>
              <w:t xml:space="preserve">in </w:t>
            </w:r>
            <w:r>
              <w:rPr>
                <w:rFonts w:ascii="Tahoma" w:hAnsi="Tahoma" w:cs="Tahoma"/>
                <w:sz w:val="20"/>
              </w:rPr>
              <w:t xml:space="preserve">table </w:t>
            </w:r>
            <w:r w:rsidRPr="00FB59F4">
              <w:rPr>
                <w:rFonts w:ascii="Tahoma" w:hAnsi="Tahoma" w:cs="Tahoma"/>
                <w:sz w:val="20"/>
              </w:rPr>
              <w:t>E1.1.1.</w:t>
            </w:r>
            <w:r w:rsidR="006078CD">
              <w:rPr>
                <w:rFonts w:ascii="Tahoma" w:hAnsi="Tahoma" w:cs="Tahoma"/>
                <w:sz w:val="20"/>
              </w:rPr>
              <w:t xml:space="preserve">  </w:t>
            </w:r>
          </w:p>
          <w:p w14:paraId="5C5DB189" w14:textId="77777777" w:rsidR="006078CD" w:rsidRDefault="006078C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58AEAA9" w14:textId="53942365" w:rsidR="003368C8" w:rsidRPr="001979E7" w:rsidRDefault="006078C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As explained above for IT systems Capex, AGN Limited’s internal Other non-distribution equipment Capex for AGN (SA) is recorded in specific general ledger account codes and in the Fixed Assets Register, which makes it identifiable for reporting in this table</w:t>
            </w:r>
          </w:p>
          <w:p w14:paraId="60F01DDA" w14:textId="77777777" w:rsidR="008817E2" w:rsidRPr="001979E7"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6B61FF0" w14:textId="6DB0C4BC" w:rsidR="008817E2" w:rsidRPr="003368C8"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368C8">
              <w:rPr>
                <w:rFonts w:ascii="Tahoma" w:hAnsi="Tahoma" w:cs="Tahoma"/>
                <w:sz w:val="20"/>
              </w:rPr>
              <w:t>Refer to Appendix E for a description of the adjustments made due to regulatory accounting policies.  Specifically see adjustment type:</w:t>
            </w:r>
          </w:p>
          <w:p w14:paraId="0C9612E3" w14:textId="12CF009A" w:rsidR="008817E2" w:rsidRPr="0078407D" w:rsidRDefault="008817E2" w:rsidP="00E049E1">
            <w:pPr>
              <w:numPr>
                <w:ilvl w:val="0"/>
                <w:numId w:val="13"/>
              </w:num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sidRPr="003368C8">
              <w:rPr>
                <w:rFonts w:ascii="Tahoma" w:hAnsi="Tahoma" w:cs="Tahoma"/>
                <w:sz w:val="20"/>
              </w:rPr>
              <w:t>“Head Office Additions and Other Adjustments” for Other Capex directly incurred by AGN Limited</w:t>
            </w:r>
            <w:r w:rsidR="00E049E1" w:rsidRPr="003368C8">
              <w:rPr>
                <w:rFonts w:ascii="Tahoma" w:hAnsi="Tahoma" w:cs="Tahoma"/>
                <w:sz w:val="20"/>
              </w:rPr>
              <w:t>.</w:t>
            </w:r>
          </w:p>
        </w:tc>
        <w:tc>
          <w:tcPr>
            <w:tcW w:w="791" w:type="pct"/>
            <w:tcBorders>
              <w:top w:val="single" w:sz="4" w:space="0" w:color="00B0F0"/>
              <w:bottom w:val="single" w:sz="4" w:space="0" w:color="00B0F0"/>
            </w:tcBorders>
            <w:vAlign w:val="center"/>
          </w:tcPr>
          <w:p w14:paraId="745F4A1B"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212" w:type="pct"/>
            <w:tcBorders>
              <w:top w:val="single" w:sz="4" w:space="0" w:color="00B0F0"/>
              <w:bottom w:val="single" w:sz="4" w:space="0" w:color="00B0F0"/>
            </w:tcBorders>
            <w:vAlign w:val="center"/>
          </w:tcPr>
          <w:p w14:paraId="06AADE21"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7" w:type="pct"/>
            <w:tcBorders>
              <w:top w:val="single" w:sz="4" w:space="0" w:color="00B0F0"/>
              <w:bottom w:val="single" w:sz="4" w:space="0" w:color="00B0F0"/>
            </w:tcBorders>
            <w:vAlign w:val="center"/>
          </w:tcPr>
          <w:p w14:paraId="64185640"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5324B1E3" w14:textId="77777777" w:rsidR="00B013FC" w:rsidRDefault="00B013FC" w:rsidP="00AB33C5">
      <w:pPr>
        <w:rPr>
          <w:rFonts w:ascii="Tahoma" w:hAnsi="Tahoma" w:cs="Tahoma"/>
          <w:color w:val="00B0F0"/>
        </w:rPr>
      </w:pPr>
    </w:p>
    <w:p w14:paraId="5F4F0354" w14:textId="24693BD2" w:rsidR="00975C10" w:rsidRDefault="00975C10" w:rsidP="00AB33C5">
      <w:pPr>
        <w:rPr>
          <w:rFonts w:ascii="Tahoma" w:hAnsi="Tahoma" w:cs="Tahoma"/>
          <w:color w:val="00B0F0"/>
        </w:rPr>
      </w:pPr>
      <w:r w:rsidRPr="0097603C">
        <w:rPr>
          <w:rFonts w:ascii="Tahoma" w:hAnsi="Tahoma" w:cs="Tahoma"/>
          <w:color w:val="00B0F0"/>
        </w:rPr>
        <w:lastRenderedPageBreak/>
        <w:t>F2.4.3 – Movement in Provisions Allocated to As-Incurred Capex</w:t>
      </w:r>
    </w:p>
    <w:tbl>
      <w:tblPr>
        <w:tblStyle w:val="UETableStyle"/>
        <w:tblW w:w="5000" w:type="pct"/>
        <w:tblInd w:w="-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26"/>
        <w:gridCol w:w="4573"/>
        <w:gridCol w:w="2208"/>
        <w:gridCol w:w="3386"/>
        <w:gridCol w:w="1865"/>
      </w:tblGrid>
      <w:tr w:rsidR="008817E2" w:rsidRPr="00751816" w14:paraId="5C152751" w14:textId="77777777" w:rsidTr="00EB7D9E">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690" w:type="pct"/>
            <w:tcBorders>
              <w:bottom w:val="single" w:sz="4" w:space="0" w:color="00B0F0"/>
            </w:tcBorders>
            <w:shd w:val="clear" w:color="auto" w:fill="003C71"/>
            <w:hideMark/>
          </w:tcPr>
          <w:p w14:paraId="37F25664" w14:textId="635A366D" w:rsidR="008817E2" w:rsidRPr="00751816" w:rsidRDefault="008817E2" w:rsidP="001664CF">
            <w:pPr>
              <w:rPr>
                <w:rFonts w:ascii="Tahoma" w:hAnsi="Tahoma" w:cs="Tahoma"/>
                <w:b/>
                <w:color w:val="FFFFFF"/>
                <w:sz w:val="20"/>
              </w:rPr>
            </w:pPr>
            <w:r w:rsidRPr="00751816">
              <w:rPr>
                <w:rFonts w:ascii="Tahoma" w:hAnsi="Tahoma" w:cs="Tahoma"/>
                <w:b/>
                <w:color w:val="FFFFFF"/>
                <w:sz w:val="20"/>
              </w:rPr>
              <w:t xml:space="preserve">Variable </w:t>
            </w:r>
          </w:p>
        </w:tc>
        <w:tc>
          <w:tcPr>
            <w:tcW w:w="1638" w:type="pct"/>
            <w:tcBorders>
              <w:bottom w:val="single" w:sz="4" w:space="0" w:color="00B0F0"/>
            </w:tcBorders>
            <w:shd w:val="clear" w:color="auto" w:fill="003C71"/>
          </w:tcPr>
          <w:p w14:paraId="66E9167D"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791" w:type="pct"/>
            <w:tcBorders>
              <w:bottom w:val="single" w:sz="4" w:space="0" w:color="00B0F0"/>
            </w:tcBorders>
            <w:shd w:val="clear" w:color="auto" w:fill="003C71"/>
          </w:tcPr>
          <w:p w14:paraId="1710A349"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213" w:type="pct"/>
            <w:tcBorders>
              <w:bottom w:val="single" w:sz="4" w:space="0" w:color="00B0F0"/>
            </w:tcBorders>
            <w:shd w:val="clear" w:color="auto" w:fill="003C71"/>
          </w:tcPr>
          <w:p w14:paraId="7454F43E"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68" w:type="pct"/>
            <w:tcBorders>
              <w:bottom w:val="single" w:sz="4" w:space="0" w:color="00B0F0"/>
            </w:tcBorders>
            <w:shd w:val="clear" w:color="auto" w:fill="003C71"/>
          </w:tcPr>
          <w:p w14:paraId="7A2AEEB9"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8817E2" w:rsidRPr="00751816" w14:paraId="099C2BBA" w14:textId="77777777" w:rsidTr="001664CF">
        <w:trPr>
          <w:trHeight w:val="283"/>
        </w:trPr>
        <w:tc>
          <w:tcPr>
            <w:cnfStyle w:val="001000000000" w:firstRow="0" w:lastRow="0" w:firstColumn="1" w:lastColumn="0" w:oddVBand="0" w:evenVBand="0" w:oddHBand="0" w:evenHBand="0" w:firstRowFirstColumn="0" w:firstRowLastColumn="0" w:lastRowFirstColumn="0" w:lastRowLastColumn="0"/>
            <w:tcW w:w="690" w:type="pct"/>
            <w:tcBorders>
              <w:top w:val="single" w:sz="4" w:space="0" w:color="00B0F0"/>
              <w:bottom w:val="single" w:sz="4" w:space="0" w:color="00B0F0"/>
            </w:tcBorders>
            <w:shd w:val="clear" w:color="auto" w:fill="00A3E0"/>
            <w:vAlign w:val="center"/>
          </w:tcPr>
          <w:p w14:paraId="32922EDC" w14:textId="6E6EEA75" w:rsidR="008817E2" w:rsidRPr="00384235" w:rsidRDefault="008418D3" w:rsidP="001C016D">
            <w:pPr>
              <w:spacing w:before="120" w:after="120" w:line="240" w:lineRule="atLeast"/>
              <w:contextualSpacing/>
              <w:rPr>
                <w:rFonts w:ascii="Tahoma" w:hAnsi="Tahoma" w:cs="Tahoma"/>
                <w:sz w:val="20"/>
              </w:rPr>
            </w:pPr>
            <w:r>
              <w:rPr>
                <w:rFonts w:ascii="Tahoma" w:hAnsi="Tahoma" w:cs="Tahoma"/>
                <w:sz w:val="20"/>
              </w:rPr>
              <w:t>2019/20</w:t>
            </w:r>
          </w:p>
        </w:tc>
        <w:tc>
          <w:tcPr>
            <w:tcW w:w="1638" w:type="pct"/>
            <w:tcBorders>
              <w:top w:val="single" w:sz="4" w:space="0" w:color="00B0F0"/>
              <w:bottom w:val="single" w:sz="4" w:space="0" w:color="00B0F0"/>
            </w:tcBorders>
            <w:shd w:val="clear" w:color="auto" w:fill="00A3E0"/>
            <w:vAlign w:val="center"/>
          </w:tcPr>
          <w:p w14:paraId="2D1C7EFF" w14:textId="77777777" w:rsidR="008817E2" w:rsidRPr="001F22A4"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91" w:type="pct"/>
            <w:tcBorders>
              <w:top w:val="single" w:sz="4" w:space="0" w:color="00B0F0"/>
              <w:bottom w:val="single" w:sz="4" w:space="0" w:color="00B0F0"/>
            </w:tcBorders>
            <w:shd w:val="clear" w:color="auto" w:fill="00A3E0"/>
            <w:vAlign w:val="center"/>
          </w:tcPr>
          <w:p w14:paraId="3940C4A5" w14:textId="77777777" w:rsidR="008817E2" w:rsidRPr="001F22A4"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1213" w:type="pct"/>
            <w:tcBorders>
              <w:top w:val="single" w:sz="4" w:space="0" w:color="00B0F0"/>
              <w:bottom w:val="single" w:sz="4" w:space="0" w:color="00B0F0"/>
            </w:tcBorders>
            <w:shd w:val="clear" w:color="auto" w:fill="00A3E0"/>
            <w:vAlign w:val="center"/>
          </w:tcPr>
          <w:p w14:paraId="04C4B6C7"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68" w:type="pct"/>
            <w:tcBorders>
              <w:top w:val="single" w:sz="4" w:space="0" w:color="00B0F0"/>
              <w:bottom w:val="single" w:sz="4" w:space="0" w:color="00B0F0"/>
            </w:tcBorders>
            <w:shd w:val="clear" w:color="auto" w:fill="00A3E0"/>
            <w:vAlign w:val="center"/>
          </w:tcPr>
          <w:p w14:paraId="09A492B0"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591232" w:rsidRPr="00751816" w14:paraId="75D4FED7" w14:textId="77777777" w:rsidTr="00591232">
        <w:trPr>
          <w:trHeight w:val="436"/>
        </w:trPr>
        <w:tc>
          <w:tcPr>
            <w:cnfStyle w:val="001000000000" w:firstRow="0" w:lastRow="0" w:firstColumn="1" w:lastColumn="0" w:oddVBand="0" w:evenVBand="0" w:oddHBand="0" w:evenHBand="0" w:firstRowFirstColumn="0" w:firstRowLastColumn="0" w:lastRowFirstColumn="0" w:lastRowLastColumn="0"/>
            <w:tcW w:w="690" w:type="pct"/>
            <w:tcBorders>
              <w:top w:val="single" w:sz="4" w:space="0" w:color="00B0F0"/>
              <w:bottom w:val="single" w:sz="4" w:space="0" w:color="00B0F0"/>
            </w:tcBorders>
            <w:shd w:val="clear" w:color="auto" w:fill="D9D9D9" w:themeFill="background1" w:themeFillShade="D9"/>
            <w:vAlign w:val="center"/>
          </w:tcPr>
          <w:p w14:paraId="4746447A" w14:textId="77777777" w:rsidR="00591232" w:rsidRPr="00751816" w:rsidRDefault="00591232" w:rsidP="001C016D">
            <w:pPr>
              <w:spacing w:before="120" w:after="120" w:line="240" w:lineRule="atLeast"/>
              <w:contextualSpacing/>
              <w:rPr>
                <w:rFonts w:ascii="Tahoma" w:hAnsi="Tahoma" w:cs="Tahoma"/>
                <w:sz w:val="20"/>
              </w:rPr>
            </w:pPr>
            <w:r w:rsidRPr="00384235">
              <w:rPr>
                <w:rFonts w:ascii="Tahoma" w:hAnsi="Tahoma" w:cs="Tahoma"/>
                <w:sz w:val="20"/>
              </w:rPr>
              <w:t xml:space="preserve">Mains </w:t>
            </w:r>
          </w:p>
        </w:tc>
        <w:tc>
          <w:tcPr>
            <w:tcW w:w="4310" w:type="pct"/>
            <w:gridSpan w:val="4"/>
            <w:tcBorders>
              <w:top w:val="single" w:sz="4" w:space="0" w:color="00B0F0"/>
              <w:bottom w:val="single" w:sz="4" w:space="0" w:color="00B0F0"/>
            </w:tcBorders>
            <w:vAlign w:val="center"/>
          </w:tcPr>
          <w:p w14:paraId="17E2513B" w14:textId="6863B388" w:rsidR="00591232" w:rsidRPr="0078407D" w:rsidRDefault="0059123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Pr>
                <w:rFonts w:ascii="Tahoma" w:hAnsi="Tahoma" w:cs="Tahoma"/>
                <w:sz w:val="20"/>
              </w:rPr>
              <w:t>AGN Limited has no movement in provisions allocated to As-Incurred Capex</w:t>
            </w:r>
            <w:r w:rsidR="00C84325">
              <w:rPr>
                <w:rFonts w:ascii="Tahoma" w:hAnsi="Tahoma" w:cs="Tahoma"/>
                <w:sz w:val="20"/>
              </w:rPr>
              <w:t xml:space="preserve"> for AGN (SA)</w:t>
            </w:r>
            <w:r w:rsidR="00EC465C">
              <w:rPr>
                <w:rFonts w:ascii="Tahoma" w:hAnsi="Tahoma" w:cs="Tahoma"/>
                <w:sz w:val="20"/>
              </w:rPr>
              <w:t xml:space="preserve"> in 2019/20</w:t>
            </w:r>
            <w:r>
              <w:rPr>
                <w:rFonts w:ascii="Tahoma" w:hAnsi="Tahoma" w:cs="Tahoma"/>
                <w:sz w:val="20"/>
              </w:rPr>
              <w:t>.</w:t>
            </w:r>
          </w:p>
          <w:p w14:paraId="0AD23423" w14:textId="7F44B2EB" w:rsidR="00591232" w:rsidRPr="00751816" w:rsidRDefault="0059123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3D0A19F" w14:textId="344626D6" w:rsidR="00591232" w:rsidRPr="00751816" w:rsidRDefault="00591232" w:rsidP="00E049E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Thus we provide a ‘Null’ response in the RIN template</w:t>
            </w:r>
            <w:r w:rsidR="00E049E1">
              <w:rPr>
                <w:rFonts w:ascii="Tahoma" w:hAnsi="Tahoma" w:cs="Tahoma"/>
                <w:sz w:val="20"/>
              </w:rPr>
              <w:t>.</w:t>
            </w:r>
          </w:p>
        </w:tc>
      </w:tr>
    </w:tbl>
    <w:p w14:paraId="6C373308" w14:textId="21EBE175" w:rsidR="00EA65BE" w:rsidRDefault="00EA65BE" w:rsidP="00AB33C5">
      <w:pPr>
        <w:rPr>
          <w:rFonts w:ascii="Tahoma" w:hAnsi="Tahoma" w:cs="Tahoma"/>
          <w:color w:val="00B0F0"/>
        </w:rPr>
      </w:pPr>
    </w:p>
    <w:p w14:paraId="7DE0EB7D" w14:textId="77777777" w:rsidR="00AB33C5" w:rsidRDefault="00AB33C5" w:rsidP="0071215F">
      <w:pPr>
        <w:pStyle w:val="Heading2"/>
        <w:rPr>
          <w:rFonts w:ascii="Tahoma" w:hAnsi="Tahoma" w:cs="Tahoma"/>
          <w:color w:val="003C71"/>
        </w:rPr>
      </w:pPr>
      <w:bookmarkStart w:id="38" w:name="_Toc57314083"/>
      <w:r w:rsidRPr="0071215F">
        <w:rPr>
          <w:rFonts w:ascii="Tahoma" w:hAnsi="Tahoma" w:cs="Tahoma"/>
          <w:color w:val="003C71"/>
        </w:rPr>
        <w:t>F2.5 - Capital Contributions by Asset Class</w:t>
      </w:r>
      <w:bookmarkEnd w:id="38"/>
      <w:r w:rsidRPr="0071215F">
        <w:rPr>
          <w:rFonts w:ascii="Tahoma" w:hAnsi="Tahoma" w:cs="Tahoma"/>
          <w:color w:val="003C71"/>
        </w:rPr>
        <w:t xml:space="preserve"> </w:t>
      </w:r>
    </w:p>
    <w:p w14:paraId="38B70E53" w14:textId="77777777" w:rsidR="00AB33C5" w:rsidRDefault="00AB33C5" w:rsidP="00AB33C5">
      <w:pPr>
        <w:rPr>
          <w:rFonts w:ascii="Tahoma" w:hAnsi="Tahoma" w:cs="Tahoma"/>
          <w:color w:val="00B0F0"/>
        </w:rPr>
      </w:pPr>
      <w:r w:rsidRPr="0097603C">
        <w:rPr>
          <w:rFonts w:ascii="Tahoma" w:hAnsi="Tahoma" w:cs="Tahoma"/>
          <w:color w:val="00B0F0"/>
        </w:rPr>
        <w:t xml:space="preserve">F2.5.1 – Actual – As Incurred </w:t>
      </w:r>
    </w:p>
    <w:tbl>
      <w:tblPr>
        <w:tblStyle w:val="UETableStyle"/>
        <w:tblW w:w="4993" w:type="pct"/>
        <w:tblInd w:w="-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46"/>
        <w:gridCol w:w="4613"/>
        <w:gridCol w:w="2227"/>
        <w:gridCol w:w="3273"/>
        <w:gridCol w:w="1879"/>
      </w:tblGrid>
      <w:tr w:rsidR="008817E2" w:rsidRPr="00751816" w14:paraId="620EF14E" w14:textId="77777777" w:rsidTr="00853288">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698" w:type="pct"/>
            <w:tcBorders>
              <w:bottom w:val="single" w:sz="4" w:space="0" w:color="00B0F0"/>
            </w:tcBorders>
            <w:shd w:val="clear" w:color="auto" w:fill="003C71"/>
            <w:hideMark/>
          </w:tcPr>
          <w:p w14:paraId="504C4392" w14:textId="16E6DC20" w:rsidR="008817E2" w:rsidRPr="00751816" w:rsidRDefault="008817E2" w:rsidP="001664CF">
            <w:pPr>
              <w:rPr>
                <w:rFonts w:ascii="Tahoma" w:hAnsi="Tahoma" w:cs="Tahoma"/>
                <w:b/>
                <w:color w:val="FFFFFF"/>
                <w:sz w:val="20"/>
              </w:rPr>
            </w:pPr>
            <w:r w:rsidRPr="00751816">
              <w:rPr>
                <w:rFonts w:ascii="Tahoma" w:hAnsi="Tahoma" w:cs="Tahoma"/>
                <w:b/>
                <w:color w:val="FFFFFF"/>
                <w:sz w:val="20"/>
              </w:rPr>
              <w:t xml:space="preserve">Variable </w:t>
            </w:r>
          </w:p>
        </w:tc>
        <w:tc>
          <w:tcPr>
            <w:tcW w:w="1655" w:type="pct"/>
            <w:tcBorders>
              <w:bottom w:val="single" w:sz="4" w:space="0" w:color="00B0F0"/>
            </w:tcBorders>
            <w:shd w:val="clear" w:color="auto" w:fill="003C71"/>
          </w:tcPr>
          <w:p w14:paraId="18C9145A"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799" w:type="pct"/>
            <w:tcBorders>
              <w:bottom w:val="single" w:sz="4" w:space="0" w:color="00B0F0"/>
            </w:tcBorders>
            <w:shd w:val="clear" w:color="auto" w:fill="003C71"/>
          </w:tcPr>
          <w:p w14:paraId="751E9224"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174" w:type="pct"/>
            <w:tcBorders>
              <w:bottom w:val="single" w:sz="4" w:space="0" w:color="00B0F0"/>
            </w:tcBorders>
            <w:shd w:val="clear" w:color="auto" w:fill="003C71"/>
          </w:tcPr>
          <w:p w14:paraId="30D959ED"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74" w:type="pct"/>
            <w:tcBorders>
              <w:bottom w:val="single" w:sz="4" w:space="0" w:color="00B0F0"/>
            </w:tcBorders>
            <w:shd w:val="clear" w:color="auto" w:fill="003C71"/>
          </w:tcPr>
          <w:p w14:paraId="1D5BB3D7"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FE0157" w:rsidRPr="00751816" w14:paraId="4EA073D2"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283"/>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00B0F0"/>
              <w:bottom w:val="single" w:sz="4" w:space="0" w:color="00B0F0"/>
            </w:tcBorders>
            <w:shd w:val="clear" w:color="auto" w:fill="00A3E0"/>
            <w:vAlign w:val="center"/>
          </w:tcPr>
          <w:p w14:paraId="1A969191" w14:textId="2BF0ABF2" w:rsidR="00FE0157" w:rsidRPr="00560DAB" w:rsidRDefault="008418D3" w:rsidP="001664CF">
            <w:pPr>
              <w:spacing w:before="120" w:after="120" w:line="240" w:lineRule="atLeast"/>
              <w:contextualSpacing/>
              <w:rPr>
                <w:rFonts w:ascii="Tahoma" w:hAnsi="Tahoma" w:cs="Tahoma"/>
                <w:sz w:val="20"/>
              </w:rPr>
            </w:pPr>
            <w:r>
              <w:rPr>
                <w:rFonts w:ascii="Tahoma" w:hAnsi="Tahoma" w:cs="Tahoma"/>
                <w:sz w:val="20"/>
              </w:rPr>
              <w:t>2019/20</w:t>
            </w:r>
          </w:p>
        </w:tc>
        <w:tc>
          <w:tcPr>
            <w:tcW w:w="4302" w:type="pct"/>
            <w:gridSpan w:val="4"/>
            <w:tcBorders>
              <w:top w:val="single" w:sz="4" w:space="0" w:color="00B0F0"/>
              <w:left w:val="nil"/>
              <w:bottom w:val="single" w:sz="4" w:space="0" w:color="00B0F0"/>
              <w:right w:val="nil"/>
            </w:tcBorders>
            <w:shd w:val="clear" w:color="auto" w:fill="00A3E0"/>
          </w:tcPr>
          <w:p w14:paraId="420B82A9" w14:textId="77777777" w:rsidR="00FE0157" w:rsidRPr="00E60E92"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color w:val="FF0000"/>
                <w:sz w:val="20"/>
              </w:rPr>
            </w:pPr>
          </w:p>
        </w:tc>
      </w:tr>
      <w:tr w:rsidR="00FE0157" w:rsidRPr="00751816" w14:paraId="58FC2C5C"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36"/>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00B0F0"/>
              <w:bottom w:val="single" w:sz="4" w:space="0" w:color="00B0F0"/>
            </w:tcBorders>
            <w:vAlign w:val="center"/>
          </w:tcPr>
          <w:p w14:paraId="7C8824BD" w14:textId="77777777" w:rsidR="00FE0157" w:rsidRPr="00751816" w:rsidRDefault="00FE0157" w:rsidP="001664CF">
            <w:pPr>
              <w:spacing w:before="120" w:after="120" w:line="240" w:lineRule="atLeast"/>
              <w:contextualSpacing/>
              <w:rPr>
                <w:rFonts w:ascii="Tahoma" w:hAnsi="Tahoma" w:cs="Tahoma"/>
                <w:sz w:val="20"/>
              </w:rPr>
            </w:pPr>
            <w:r w:rsidRPr="00384235">
              <w:rPr>
                <w:rFonts w:ascii="Tahoma" w:hAnsi="Tahoma" w:cs="Tahoma"/>
                <w:sz w:val="20"/>
              </w:rPr>
              <w:t xml:space="preserve">Mains </w:t>
            </w:r>
          </w:p>
        </w:tc>
        <w:tc>
          <w:tcPr>
            <w:tcW w:w="1655" w:type="pct"/>
            <w:tcBorders>
              <w:top w:val="single" w:sz="4" w:space="0" w:color="00B0F0"/>
              <w:left w:val="nil"/>
              <w:bottom w:val="single" w:sz="4" w:space="0" w:color="00B0F0"/>
              <w:right w:val="nil"/>
            </w:tcBorders>
          </w:tcPr>
          <w:p w14:paraId="0DF6649E" w14:textId="77777777" w:rsidR="00FE0157"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487EA8">
              <w:rPr>
                <w:rFonts w:ascii="Tahoma" w:hAnsi="Tahoma" w:cs="Tahoma"/>
                <w:sz w:val="20"/>
              </w:rPr>
              <w:t>The amount of Capital contributions reported for New Homes (domestic customers) has been derived from invoiced revenue. This revenue mostly funds the economic shortfall for Mains.</w:t>
            </w:r>
          </w:p>
          <w:p w14:paraId="407EC1E9" w14:textId="77777777" w:rsidR="00FE0157"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9E1F08B" w14:textId="50B0E97E" w:rsidR="00FE0157" w:rsidRPr="00487EA8"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487EA8">
              <w:rPr>
                <w:rFonts w:ascii="Tahoma" w:hAnsi="Tahoma" w:cs="Tahoma"/>
                <w:sz w:val="20"/>
              </w:rPr>
              <w:t>The amount of Capital Contributions reported for Industrial &amp; Commercial Contract customers, is derived from the amounts of related capex incurred, as reported by APA in the Capex Data Model (with an adjustment to remove the allocated NMF</w:t>
            </w:r>
            <w:r w:rsidR="002F19A2">
              <w:rPr>
                <w:rFonts w:ascii="Tahoma" w:hAnsi="Tahoma" w:cs="Tahoma"/>
                <w:sz w:val="20"/>
              </w:rPr>
              <w:t xml:space="preserve"> with the activity New Mains – I&amp;C &gt;10TJ</w:t>
            </w:r>
            <w:r w:rsidRPr="00487EA8">
              <w:rPr>
                <w:rFonts w:ascii="Tahoma" w:hAnsi="Tahoma" w:cs="Tahoma"/>
                <w:sz w:val="20"/>
              </w:rPr>
              <w:t xml:space="preserve">).  </w:t>
            </w:r>
          </w:p>
          <w:p w14:paraId="4BD5E9B9" w14:textId="77777777" w:rsidR="00FE0157" w:rsidRPr="00487EA8"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8744741" w14:textId="77777777" w:rsidR="00FE0157"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487EA8">
              <w:rPr>
                <w:rFonts w:ascii="Tahoma" w:hAnsi="Tahoma" w:cs="Tahoma"/>
                <w:sz w:val="20"/>
              </w:rPr>
              <w:t>The Capex Activities in APA’s Oracle finance system related to this category of Capex and Capital Contributions are</w:t>
            </w:r>
            <w:r>
              <w:rPr>
                <w:rFonts w:ascii="Tahoma" w:hAnsi="Tahoma" w:cs="Tahoma"/>
                <w:sz w:val="20"/>
              </w:rPr>
              <w:t xml:space="preserve"> activities that include mains for large commercial customers in the </w:t>
            </w:r>
            <w:r>
              <w:rPr>
                <w:rFonts w:ascii="Tahoma" w:hAnsi="Tahoma" w:cs="Tahoma"/>
                <w:sz w:val="20"/>
              </w:rPr>
              <w:lastRenderedPageBreak/>
              <w:t>description and chargeable mains alteration projects.</w:t>
            </w:r>
          </w:p>
          <w:p w14:paraId="4FDE7BC7" w14:textId="77777777" w:rsidR="00FE0157" w:rsidRPr="00487EA8"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BA34D00" w14:textId="78BF31CA" w:rsidR="00FE0157" w:rsidRPr="00487EA8" w:rsidRDefault="002F19A2" w:rsidP="00D9590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amounts of</w:t>
            </w:r>
            <w:r w:rsidRPr="00E63763">
              <w:rPr>
                <w:rFonts w:ascii="Tahoma" w:hAnsi="Tahoma" w:cs="Tahoma"/>
                <w:sz w:val="20"/>
              </w:rPr>
              <w:t xml:space="preserve"> </w:t>
            </w:r>
            <w:r w:rsidR="00FE0157" w:rsidRPr="00E63763">
              <w:rPr>
                <w:rFonts w:ascii="Tahoma" w:hAnsi="Tahoma" w:cs="Tahoma"/>
                <w:sz w:val="20"/>
              </w:rPr>
              <w:t xml:space="preserve">Capital </w:t>
            </w:r>
            <w:r>
              <w:rPr>
                <w:rFonts w:ascii="Tahoma" w:hAnsi="Tahoma" w:cs="Tahoma"/>
                <w:sz w:val="20"/>
              </w:rPr>
              <w:t>C</w:t>
            </w:r>
            <w:r w:rsidRPr="00E63763">
              <w:rPr>
                <w:rFonts w:ascii="Tahoma" w:hAnsi="Tahoma" w:cs="Tahoma"/>
                <w:sz w:val="20"/>
              </w:rPr>
              <w:t xml:space="preserve">ontributions </w:t>
            </w:r>
            <w:r>
              <w:rPr>
                <w:rFonts w:ascii="Tahoma" w:hAnsi="Tahoma" w:cs="Tahoma"/>
                <w:sz w:val="20"/>
              </w:rPr>
              <w:t>reported for mains alteration works is derived from the amounts of related capex incurred, as reported by APA in the Capex Data Model (with an adjustment to remove the allocated NMF</w:t>
            </w:r>
            <w:r w:rsidR="00D9590F">
              <w:rPr>
                <w:rFonts w:ascii="Tahoma" w:hAnsi="Tahoma" w:cs="Tahoma"/>
                <w:sz w:val="20"/>
              </w:rPr>
              <w:t>)</w:t>
            </w:r>
            <w:r>
              <w:rPr>
                <w:rFonts w:ascii="Tahoma" w:hAnsi="Tahoma" w:cs="Tahoma"/>
                <w:sz w:val="20"/>
              </w:rPr>
              <w:t xml:space="preserve"> with the activity Mains Alterations – Chargeable.</w:t>
            </w:r>
            <w:r w:rsidRPr="00E63763" w:rsidDel="002F19A2">
              <w:rPr>
                <w:rFonts w:ascii="Tahoma" w:hAnsi="Tahoma" w:cs="Tahoma"/>
                <w:sz w:val="20"/>
              </w:rPr>
              <w:t xml:space="preserve"> </w:t>
            </w:r>
          </w:p>
        </w:tc>
        <w:tc>
          <w:tcPr>
            <w:tcW w:w="799" w:type="pct"/>
            <w:tcBorders>
              <w:top w:val="single" w:sz="4" w:space="0" w:color="00B0F0"/>
              <w:left w:val="nil"/>
              <w:bottom w:val="single" w:sz="4" w:space="0" w:color="00B0F0"/>
              <w:right w:val="nil"/>
            </w:tcBorders>
            <w:vAlign w:val="center"/>
          </w:tcPr>
          <w:p w14:paraId="12CDAC67" w14:textId="77777777" w:rsidR="00FE0157" w:rsidRPr="00751816" w:rsidRDefault="00FE0157" w:rsidP="00E049E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74" w:type="pct"/>
            <w:tcBorders>
              <w:top w:val="single" w:sz="4" w:space="0" w:color="00B0F0"/>
              <w:left w:val="nil"/>
              <w:bottom w:val="single" w:sz="4" w:space="0" w:color="00B0F0"/>
              <w:right w:val="nil"/>
            </w:tcBorders>
          </w:tcPr>
          <w:p w14:paraId="3CF3F70B" w14:textId="3EE9C453" w:rsidR="00FE0157" w:rsidRPr="00751816"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74" w:type="pct"/>
            <w:tcBorders>
              <w:top w:val="single" w:sz="4" w:space="0" w:color="00B0F0"/>
              <w:left w:val="nil"/>
              <w:bottom w:val="single" w:sz="4" w:space="0" w:color="00B0F0"/>
              <w:right w:val="nil"/>
            </w:tcBorders>
          </w:tcPr>
          <w:p w14:paraId="291D82DD" w14:textId="77777777" w:rsidR="0076419B" w:rsidRPr="00487EA8" w:rsidRDefault="0076419B" w:rsidP="0076419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487EA8">
              <w:rPr>
                <w:rFonts w:ascii="Tahoma" w:hAnsi="Tahoma" w:cs="Tahoma"/>
                <w:sz w:val="20"/>
              </w:rPr>
              <w:t xml:space="preserve">Capital contributions for works undertaken at </w:t>
            </w:r>
            <w:r>
              <w:rPr>
                <w:rFonts w:ascii="Tahoma" w:hAnsi="Tahoma" w:cs="Tahoma"/>
                <w:sz w:val="20"/>
              </w:rPr>
              <w:t xml:space="preserve">Industrial &amp; Commercial Contract </w:t>
            </w:r>
            <w:r w:rsidRPr="00487EA8">
              <w:rPr>
                <w:rFonts w:ascii="Tahoma" w:hAnsi="Tahoma" w:cs="Tahoma"/>
                <w:sz w:val="20"/>
              </w:rPr>
              <w:t>customers’ request are typically received up-front or in milestone payments that do not necessarily match the timing of related expenditure incurred by AGN Limited.</w:t>
            </w:r>
          </w:p>
          <w:p w14:paraId="6C322289" w14:textId="77777777" w:rsidR="0076419B" w:rsidRPr="00487EA8" w:rsidRDefault="0076419B" w:rsidP="0076419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A63E232" w14:textId="77777777" w:rsidR="0076419B" w:rsidRPr="00487EA8" w:rsidRDefault="0076419B" w:rsidP="0076419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487EA8">
              <w:rPr>
                <w:rFonts w:ascii="Tahoma" w:hAnsi="Tahoma" w:cs="Tahoma"/>
                <w:sz w:val="20"/>
              </w:rPr>
              <w:lastRenderedPageBreak/>
              <w:t xml:space="preserve">Accordingly, in order to match Capital contributions received with related Capex incurred, the amounts reported for Capital contributions related to </w:t>
            </w:r>
            <w:r>
              <w:rPr>
                <w:rFonts w:ascii="Tahoma" w:hAnsi="Tahoma" w:cs="Tahoma"/>
                <w:sz w:val="20"/>
              </w:rPr>
              <w:t>Mains</w:t>
            </w:r>
            <w:r w:rsidRPr="00487EA8">
              <w:rPr>
                <w:rFonts w:ascii="Tahoma" w:hAnsi="Tahoma" w:cs="Tahoma"/>
                <w:sz w:val="20"/>
              </w:rPr>
              <w:t xml:space="preserve"> has been derived from the amounts of  Capex incurred on these projects.</w:t>
            </w:r>
          </w:p>
          <w:p w14:paraId="44E97EE4" w14:textId="77777777" w:rsidR="0076419B" w:rsidRPr="00487EA8" w:rsidRDefault="0076419B" w:rsidP="0076419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6594014" w14:textId="4CB5CBCA" w:rsidR="00FE0157" w:rsidRPr="00751816" w:rsidRDefault="0076419B" w:rsidP="0076419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487EA8">
              <w:rPr>
                <w:rFonts w:ascii="Tahoma" w:hAnsi="Tahoma" w:cs="Tahoma"/>
                <w:sz w:val="20"/>
              </w:rPr>
              <w:t>Rather than deriving these amounts from payments received, this approach is considered by AGN Limited to be a better representation of the Capital contributions relating to the activity undertaken in each year.</w:t>
            </w:r>
          </w:p>
        </w:tc>
      </w:tr>
      <w:tr w:rsidR="00FE0157" w:rsidRPr="00751816" w14:paraId="4EAC5687"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36"/>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00B0F0"/>
              <w:bottom w:val="single" w:sz="4" w:space="0" w:color="00B0F0"/>
            </w:tcBorders>
            <w:vAlign w:val="center"/>
          </w:tcPr>
          <w:p w14:paraId="5D3EB13E" w14:textId="77777777" w:rsidR="00FE0157" w:rsidRPr="00751816" w:rsidRDefault="00FE0157" w:rsidP="001664CF">
            <w:pPr>
              <w:spacing w:before="120" w:after="120" w:line="240" w:lineRule="atLeast"/>
              <w:contextualSpacing/>
              <w:rPr>
                <w:rFonts w:ascii="Tahoma" w:hAnsi="Tahoma" w:cs="Tahoma"/>
                <w:sz w:val="20"/>
              </w:rPr>
            </w:pPr>
            <w:r w:rsidRPr="00384235">
              <w:rPr>
                <w:rFonts w:ascii="Tahoma" w:hAnsi="Tahoma" w:cs="Tahoma"/>
                <w:sz w:val="20"/>
              </w:rPr>
              <w:lastRenderedPageBreak/>
              <w:t>Inlets</w:t>
            </w:r>
          </w:p>
        </w:tc>
        <w:tc>
          <w:tcPr>
            <w:tcW w:w="1655" w:type="pct"/>
            <w:tcBorders>
              <w:top w:val="single" w:sz="4" w:space="0" w:color="00B0F0"/>
              <w:left w:val="nil"/>
              <w:bottom w:val="single" w:sz="4" w:space="0" w:color="00B0F0"/>
              <w:right w:val="nil"/>
            </w:tcBorders>
          </w:tcPr>
          <w:p w14:paraId="4B94553D" w14:textId="48E7783C" w:rsidR="00FE0157" w:rsidRPr="00EB7D9E" w:rsidRDefault="002F19A2" w:rsidP="00E049E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sidRPr="00487EA8">
              <w:rPr>
                <w:rFonts w:ascii="Tahoma" w:hAnsi="Tahoma" w:cs="Tahoma"/>
                <w:sz w:val="20"/>
              </w:rPr>
              <w:t>The amount of Capital Contributions reported for Industrial &amp; Commercial Contract customers</w:t>
            </w:r>
            <w:r w:rsidR="0076419B">
              <w:rPr>
                <w:rFonts w:ascii="Tahoma" w:hAnsi="Tahoma" w:cs="Tahoma"/>
                <w:sz w:val="20"/>
              </w:rPr>
              <w:t xml:space="preserve"> (for the Inlets category of Capex)</w:t>
            </w:r>
            <w:r w:rsidRPr="00487EA8">
              <w:rPr>
                <w:rFonts w:ascii="Tahoma" w:hAnsi="Tahoma" w:cs="Tahoma"/>
                <w:sz w:val="20"/>
              </w:rPr>
              <w:t xml:space="preserve">, is derived from the </w:t>
            </w:r>
            <w:r w:rsidRPr="00487EA8">
              <w:rPr>
                <w:rFonts w:ascii="Tahoma" w:hAnsi="Tahoma" w:cs="Tahoma"/>
                <w:sz w:val="20"/>
              </w:rPr>
              <w:lastRenderedPageBreak/>
              <w:t>amounts of related capex incurred, as reported by APA in the Capex Data Model (with an adjustment to remove the allocated NMF</w:t>
            </w:r>
            <w:r w:rsidR="00AF792D">
              <w:rPr>
                <w:rFonts w:ascii="Tahoma" w:hAnsi="Tahoma" w:cs="Tahoma"/>
                <w:sz w:val="20"/>
              </w:rPr>
              <w:t>)</w:t>
            </w:r>
            <w:r>
              <w:rPr>
                <w:rFonts w:ascii="Tahoma" w:hAnsi="Tahoma" w:cs="Tahoma"/>
                <w:sz w:val="20"/>
              </w:rPr>
              <w:t xml:space="preserve"> with the activity New Service - I&amp;C &gt;10TJ</w:t>
            </w:r>
            <w:r w:rsidR="00F96DC0">
              <w:rPr>
                <w:rFonts w:ascii="Tahoma" w:hAnsi="Tahoma" w:cs="Tahoma"/>
                <w:sz w:val="20"/>
              </w:rPr>
              <w:t>.</w:t>
            </w:r>
            <w:r w:rsidRPr="00487EA8">
              <w:rPr>
                <w:rFonts w:ascii="Tahoma" w:hAnsi="Tahoma" w:cs="Tahoma"/>
                <w:sz w:val="20"/>
              </w:rPr>
              <w:t xml:space="preserve">  </w:t>
            </w:r>
          </w:p>
        </w:tc>
        <w:tc>
          <w:tcPr>
            <w:tcW w:w="799" w:type="pct"/>
            <w:tcBorders>
              <w:top w:val="single" w:sz="4" w:space="0" w:color="00B0F0"/>
              <w:left w:val="nil"/>
              <w:bottom w:val="single" w:sz="4" w:space="0" w:color="00B0F0"/>
              <w:right w:val="nil"/>
            </w:tcBorders>
            <w:vAlign w:val="center"/>
          </w:tcPr>
          <w:p w14:paraId="1496E093" w14:textId="77777777" w:rsidR="00FE0157" w:rsidRPr="00751816" w:rsidRDefault="00FE0157" w:rsidP="00E049E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74" w:type="pct"/>
            <w:tcBorders>
              <w:top w:val="single" w:sz="4" w:space="0" w:color="00B0F0"/>
              <w:left w:val="nil"/>
              <w:bottom w:val="single" w:sz="4" w:space="0" w:color="00B0F0"/>
              <w:right w:val="nil"/>
            </w:tcBorders>
          </w:tcPr>
          <w:p w14:paraId="17BCB8D3" w14:textId="530FB081" w:rsidR="00FE0157" w:rsidRPr="00751816"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74" w:type="pct"/>
            <w:tcBorders>
              <w:top w:val="single" w:sz="4" w:space="0" w:color="00B0F0"/>
              <w:left w:val="nil"/>
              <w:bottom w:val="single" w:sz="4" w:space="0" w:color="00B0F0"/>
              <w:right w:val="nil"/>
            </w:tcBorders>
          </w:tcPr>
          <w:p w14:paraId="1BF339AE" w14:textId="77777777" w:rsidR="0076419B" w:rsidRPr="00487EA8" w:rsidRDefault="0076419B" w:rsidP="0076419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487EA8">
              <w:rPr>
                <w:rFonts w:ascii="Tahoma" w:hAnsi="Tahoma" w:cs="Tahoma"/>
                <w:sz w:val="20"/>
              </w:rPr>
              <w:t xml:space="preserve">Capital contributions for works undertaken </w:t>
            </w:r>
            <w:r w:rsidRPr="00487EA8">
              <w:rPr>
                <w:rFonts w:ascii="Tahoma" w:hAnsi="Tahoma" w:cs="Tahoma"/>
                <w:sz w:val="20"/>
              </w:rPr>
              <w:lastRenderedPageBreak/>
              <w:t>at customers’ request are typically received up-front or in milestone payments that do not necessarily match the timing of related expenditure incurred by AGN Limited.</w:t>
            </w:r>
          </w:p>
          <w:p w14:paraId="5CF88281" w14:textId="77777777" w:rsidR="0076419B" w:rsidRPr="00487EA8" w:rsidRDefault="0076419B" w:rsidP="0076419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4B374D7" w14:textId="77777777" w:rsidR="0076419B" w:rsidRPr="00487EA8" w:rsidRDefault="0076419B" w:rsidP="0076419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487EA8">
              <w:rPr>
                <w:rFonts w:ascii="Tahoma" w:hAnsi="Tahoma" w:cs="Tahoma"/>
                <w:sz w:val="20"/>
              </w:rPr>
              <w:t xml:space="preserve">Accordingly, in order to match Capital contributions received with related Capex incurred, the amounts reported for Capital contributions related to </w:t>
            </w:r>
            <w:r>
              <w:rPr>
                <w:rFonts w:ascii="Tahoma" w:hAnsi="Tahoma" w:cs="Tahoma"/>
                <w:sz w:val="20"/>
              </w:rPr>
              <w:t>Inlets</w:t>
            </w:r>
            <w:r w:rsidRPr="00487EA8">
              <w:rPr>
                <w:rFonts w:ascii="Tahoma" w:hAnsi="Tahoma" w:cs="Tahoma"/>
                <w:sz w:val="20"/>
              </w:rPr>
              <w:t xml:space="preserve"> has been derived from the amounts of  Capex incurred on these projects.</w:t>
            </w:r>
          </w:p>
          <w:p w14:paraId="33963E1D" w14:textId="77777777" w:rsidR="0076419B" w:rsidRPr="00487EA8" w:rsidRDefault="0076419B" w:rsidP="0076419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E0B32E5" w14:textId="25D9A87E" w:rsidR="00FE0157" w:rsidRPr="00751816" w:rsidRDefault="0076419B" w:rsidP="0076419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487EA8">
              <w:rPr>
                <w:rFonts w:ascii="Tahoma" w:hAnsi="Tahoma" w:cs="Tahoma"/>
                <w:sz w:val="20"/>
              </w:rPr>
              <w:t xml:space="preserve">Rather than deriving these amounts from payments received, this approach is </w:t>
            </w:r>
            <w:r w:rsidRPr="00487EA8">
              <w:rPr>
                <w:rFonts w:ascii="Tahoma" w:hAnsi="Tahoma" w:cs="Tahoma"/>
                <w:sz w:val="20"/>
              </w:rPr>
              <w:lastRenderedPageBreak/>
              <w:t>considered by AGN Limited to be a better representation of the Capital contributions relating to the activity undertaken in each year.</w:t>
            </w:r>
          </w:p>
        </w:tc>
      </w:tr>
      <w:tr w:rsidR="00FE0157" w:rsidRPr="00751816" w14:paraId="5F4B40B4"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36"/>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00B0F0"/>
              <w:bottom w:val="single" w:sz="4" w:space="0" w:color="00B0F0"/>
            </w:tcBorders>
            <w:vAlign w:val="center"/>
          </w:tcPr>
          <w:p w14:paraId="448062FE" w14:textId="77777777" w:rsidR="00FE0157" w:rsidRPr="00751816" w:rsidRDefault="00FE0157" w:rsidP="001664CF">
            <w:pPr>
              <w:spacing w:before="120" w:after="120" w:line="240" w:lineRule="atLeast"/>
              <w:contextualSpacing/>
              <w:rPr>
                <w:rFonts w:ascii="Tahoma" w:hAnsi="Tahoma" w:cs="Tahoma"/>
                <w:sz w:val="20"/>
              </w:rPr>
            </w:pPr>
            <w:r w:rsidRPr="00384235">
              <w:rPr>
                <w:rFonts w:ascii="Tahoma" w:hAnsi="Tahoma" w:cs="Tahoma"/>
                <w:sz w:val="20"/>
              </w:rPr>
              <w:lastRenderedPageBreak/>
              <w:t>Meters</w:t>
            </w:r>
          </w:p>
        </w:tc>
        <w:tc>
          <w:tcPr>
            <w:tcW w:w="1655" w:type="pct"/>
            <w:tcBorders>
              <w:top w:val="single" w:sz="4" w:space="0" w:color="00B0F0"/>
              <w:left w:val="nil"/>
              <w:bottom w:val="single" w:sz="4" w:space="0" w:color="00B0F0"/>
              <w:right w:val="nil"/>
            </w:tcBorders>
          </w:tcPr>
          <w:p w14:paraId="0DDA49EF" w14:textId="1B0E5F6D" w:rsidR="002F19A2"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487EA8">
              <w:rPr>
                <w:rFonts w:ascii="Tahoma" w:hAnsi="Tahoma" w:cs="Tahoma"/>
                <w:sz w:val="20"/>
              </w:rPr>
              <w:t>The amount of Capital Contributions reported for Industrial &amp; Commercial Contract customers</w:t>
            </w:r>
            <w:r w:rsidR="0076419B">
              <w:rPr>
                <w:rFonts w:ascii="Tahoma" w:hAnsi="Tahoma" w:cs="Tahoma"/>
                <w:sz w:val="20"/>
              </w:rPr>
              <w:t xml:space="preserve"> (for the Meters category of Capex)</w:t>
            </w:r>
            <w:r w:rsidRPr="00487EA8">
              <w:rPr>
                <w:rFonts w:ascii="Tahoma" w:hAnsi="Tahoma" w:cs="Tahoma"/>
                <w:sz w:val="20"/>
              </w:rPr>
              <w:t>, is derived from the amounts of related capex incurred, as reported by APA in the Capex Data Model (with an adjustment to remove the allocated NMF</w:t>
            </w:r>
            <w:r w:rsidR="00D9590F">
              <w:rPr>
                <w:rFonts w:ascii="Tahoma" w:hAnsi="Tahoma" w:cs="Tahoma"/>
                <w:sz w:val="20"/>
              </w:rPr>
              <w:t>)</w:t>
            </w:r>
            <w:r w:rsidR="002F19A2">
              <w:rPr>
                <w:rFonts w:ascii="Tahoma" w:hAnsi="Tahoma" w:cs="Tahoma"/>
                <w:sz w:val="20"/>
              </w:rPr>
              <w:t xml:space="preserve"> with the following activities:</w:t>
            </w:r>
          </w:p>
          <w:p w14:paraId="1ACCC59D" w14:textId="7808B325" w:rsidR="00FE0157" w:rsidRPr="002F19A2" w:rsidRDefault="002F19A2" w:rsidP="002F19A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2F19A2">
              <w:rPr>
                <w:rFonts w:ascii="Tahoma" w:hAnsi="Tahoma" w:cs="Tahoma"/>
                <w:sz w:val="20"/>
              </w:rPr>
              <w:t>Meter – Fabrication &gt; 10TJ</w:t>
            </w:r>
          </w:p>
          <w:p w14:paraId="00CD804A" w14:textId="610E4DAA" w:rsidR="002F19A2" w:rsidRPr="002F19A2" w:rsidRDefault="002F19A2" w:rsidP="002F19A2">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2F19A2">
              <w:rPr>
                <w:rFonts w:ascii="Tahoma" w:hAnsi="Tahoma" w:cs="Tahoma"/>
                <w:sz w:val="20"/>
              </w:rPr>
              <w:t>Meter – Installation &gt; 10TJ</w:t>
            </w:r>
          </w:p>
          <w:p w14:paraId="258A2187" w14:textId="61C52646" w:rsidR="00FE0157" w:rsidRPr="001664CF" w:rsidRDefault="002F19A2" w:rsidP="00FE015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2F19A2">
              <w:rPr>
                <w:rFonts w:ascii="Tahoma" w:hAnsi="Tahoma" w:cs="Tahoma"/>
                <w:sz w:val="20"/>
              </w:rPr>
              <w:t>Meter – Growth – I&amp;C &gt; 10TJ</w:t>
            </w:r>
          </w:p>
        </w:tc>
        <w:tc>
          <w:tcPr>
            <w:tcW w:w="799" w:type="pct"/>
            <w:tcBorders>
              <w:top w:val="single" w:sz="4" w:space="0" w:color="00B0F0"/>
              <w:left w:val="nil"/>
              <w:bottom w:val="single" w:sz="4" w:space="0" w:color="00B0F0"/>
              <w:right w:val="nil"/>
            </w:tcBorders>
            <w:vAlign w:val="center"/>
          </w:tcPr>
          <w:p w14:paraId="3F34F26A" w14:textId="77777777" w:rsidR="00FE0157" w:rsidRPr="00751816" w:rsidRDefault="00FE0157" w:rsidP="00E049E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74" w:type="pct"/>
            <w:tcBorders>
              <w:top w:val="single" w:sz="4" w:space="0" w:color="00B0F0"/>
              <w:left w:val="nil"/>
              <w:bottom w:val="single" w:sz="4" w:space="0" w:color="00B0F0"/>
              <w:right w:val="nil"/>
            </w:tcBorders>
          </w:tcPr>
          <w:p w14:paraId="0ABF005E" w14:textId="357A41D5" w:rsidR="00FE0157" w:rsidRPr="00751816"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74" w:type="pct"/>
            <w:tcBorders>
              <w:top w:val="single" w:sz="4" w:space="0" w:color="00B0F0"/>
              <w:left w:val="nil"/>
              <w:bottom w:val="single" w:sz="4" w:space="0" w:color="00B0F0"/>
              <w:right w:val="nil"/>
            </w:tcBorders>
          </w:tcPr>
          <w:p w14:paraId="2E3C554B" w14:textId="77777777" w:rsidR="0076419B" w:rsidRPr="00E63763" w:rsidRDefault="0076419B" w:rsidP="0076419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E63763">
              <w:rPr>
                <w:rFonts w:ascii="Tahoma" w:hAnsi="Tahoma" w:cs="Tahoma"/>
                <w:sz w:val="20"/>
              </w:rPr>
              <w:t>Capital contributions for works undertaken at customers’ request are typically received up-front or in milestone payments that do not necessarily match the timing of related expenditure incurred by AGN Limited.</w:t>
            </w:r>
          </w:p>
          <w:p w14:paraId="5BA0F65C" w14:textId="77777777" w:rsidR="0076419B" w:rsidRPr="00E63763" w:rsidRDefault="0076419B" w:rsidP="0076419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91818A3" w14:textId="77777777" w:rsidR="0076419B" w:rsidRPr="00E63763" w:rsidRDefault="0076419B" w:rsidP="0076419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E63763">
              <w:rPr>
                <w:rFonts w:ascii="Tahoma" w:hAnsi="Tahoma" w:cs="Tahoma"/>
                <w:sz w:val="20"/>
              </w:rPr>
              <w:t xml:space="preserve">Accordingly, in order to match Capital contributions received with related Capex incurred, the amounts reported for Capital </w:t>
            </w:r>
            <w:r w:rsidRPr="00E63763">
              <w:rPr>
                <w:rFonts w:ascii="Tahoma" w:hAnsi="Tahoma" w:cs="Tahoma"/>
                <w:sz w:val="20"/>
              </w:rPr>
              <w:lastRenderedPageBreak/>
              <w:t xml:space="preserve">contributions related to </w:t>
            </w:r>
            <w:r>
              <w:rPr>
                <w:rFonts w:ascii="Tahoma" w:hAnsi="Tahoma" w:cs="Tahoma"/>
                <w:sz w:val="20"/>
              </w:rPr>
              <w:t>Meters</w:t>
            </w:r>
            <w:r w:rsidRPr="00E63763">
              <w:rPr>
                <w:rFonts w:ascii="Tahoma" w:hAnsi="Tahoma" w:cs="Tahoma"/>
                <w:sz w:val="20"/>
              </w:rPr>
              <w:t xml:space="preserve"> has been derived from the amounts of  Capex incurred on these projects.</w:t>
            </w:r>
          </w:p>
          <w:p w14:paraId="3C7610AA" w14:textId="77777777" w:rsidR="0076419B" w:rsidRPr="00E63763" w:rsidRDefault="0076419B" w:rsidP="0076419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C7DC068" w14:textId="186A0F5E" w:rsidR="00FE0157" w:rsidRPr="00751816" w:rsidRDefault="0076419B" w:rsidP="0076419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E63763">
              <w:rPr>
                <w:rFonts w:ascii="Tahoma" w:hAnsi="Tahoma" w:cs="Tahoma"/>
                <w:sz w:val="20"/>
              </w:rPr>
              <w:t>Rather than deriving these amounts from payments received, this approach is considered by AGN Limited to be a better representation of the Capital contributions relating to the activity undertaken in each year.</w:t>
            </w:r>
          </w:p>
        </w:tc>
      </w:tr>
      <w:tr w:rsidR="00FE0157" w:rsidRPr="00751816" w14:paraId="7F4328EA"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36"/>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00B0F0"/>
              <w:bottom w:val="single" w:sz="4" w:space="0" w:color="00B0F0"/>
            </w:tcBorders>
            <w:vAlign w:val="center"/>
          </w:tcPr>
          <w:p w14:paraId="64FE1AF2" w14:textId="77777777" w:rsidR="00FE0157" w:rsidRPr="00751816" w:rsidRDefault="00FE0157" w:rsidP="001664CF">
            <w:pPr>
              <w:spacing w:before="120" w:after="120" w:line="240" w:lineRule="atLeast"/>
              <w:contextualSpacing/>
              <w:rPr>
                <w:rFonts w:ascii="Tahoma" w:hAnsi="Tahoma" w:cs="Tahoma"/>
                <w:sz w:val="20"/>
              </w:rPr>
            </w:pPr>
            <w:r w:rsidRPr="00384235">
              <w:rPr>
                <w:rFonts w:ascii="Tahoma" w:hAnsi="Tahoma" w:cs="Tahoma"/>
                <w:sz w:val="20"/>
              </w:rPr>
              <w:lastRenderedPageBreak/>
              <w:t>Telemetry</w:t>
            </w:r>
          </w:p>
        </w:tc>
        <w:tc>
          <w:tcPr>
            <w:tcW w:w="4302" w:type="pct"/>
            <w:gridSpan w:val="4"/>
            <w:tcBorders>
              <w:top w:val="single" w:sz="4" w:space="0" w:color="00B0F0"/>
              <w:left w:val="nil"/>
              <w:bottom w:val="single" w:sz="4" w:space="0" w:color="00B0F0"/>
              <w:right w:val="nil"/>
            </w:tcBorders>
          </w:tcPr>
          <w:p w14:paraId="2A798C44" w14:textId="70CD88C9" w:rsidR="00FE0157"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There were no Capital contributions received by AGN Limited in relation to Telemetry Capex</w:t>
            </w:r>
            <w:r w:rsidR="00122817">
              <w:rPr>
                <w:rFonts w:ascii="Tahoma" w:hAnsi="Tahoma" w:cs="Tahoma"/>
                <w:sz w:val="20"/>
              </w:rPr>
              <w:t xml:space="preserve"> </w:t>
            </w:r>
            <w:r w:rsidR="00946416">
              <w:rPr>
                <w:rFonts w:ascii="Tahoma" w:hAnsi="Tahoma" w:cs="Tahoma"/>
                <w:sz w:val="20"/>
              </w:rPr>
              <w:t xml:space="preserve">for AGN (SA) </w:t>
            </w:r>
            <w:r w:rsidR="00122817">
              <w:rPr>
                <w:rFonts w:ascii="Tahoma" w:hAnsi="Tahoma" w:cs="Tahoma"/>
                <w:sz w:val="20"/>
              </w:rPr>
              <w:t>in 2019/20</w:t>
            </w:r>
            <w:r>
              <w:rPr>
                <w:rFonts w:ascii="Tahoma" w:hAnsi="Tahoma" w:cs="Tahoma"/>
                <w:sz w:val="20"/>
              </w:rPr>
              <w:t>.</w:t>
            </w:r>
          </w:p>
          <w:p w14:paraId="2F57DBD5" w14:textId="77777777" w:rsidR="00FE0157"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0F201FE" w14:textId="4603C02C" w:rsidR="00FE0157" w:rsidRPr="00751816"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Thus we provide a ‘Null’ response in the reporting template. </w:t>
            </w:r>
          </w:p>
        </w:tc>
      </w:tr>
      <w:tr w:rsidR="00FE0157" w:rsidRPr="00751816" w14:paraId="6638A116"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36"/>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00B0F0"/>
              <w:bottom w:val="single" w:sz="4" w:space="0" w:color="00B0F0"/>
            </w:tcBorders>
            <w:vAlign w:val="center"/>
          </w:tcPr>
          <w:p w14:paraId="4E858953" w14:textId="77777777" w:rsidR="00FE0157" w:rsidRPr="00751816" w:rsidRDefault="00FE0157" w:rsidP="001664CF">
            <w:pPr>
              <w:spacing w:before="120" w:after="120" w:line="240" w:lineRule="atLeast"/>
              <w:contextualSpacing/>
              <w:rPr>
                <w:rFonts w:ascii="Tahoma" w:hAnsi="Tahoma" w:cs="Tahoma"/>
                <w:sz w:val="20"/>
              </w:rPr>
            </w:pPr>
            <w:r w:rsidRPr="00384235">
              <w:rPr>
                <w:rFonts w:ascii="Tahoma" w:hAnsi="Tahoma" w:cs="Tahoma"/>
                <w:sz w:val="20"/>
              </w:rPr>
              <w:t xml:space="preserve">IT systems </w:t>
            </w:r>
          </w:p>
        </w:tc>
        <w:tc>
          <w:tcPr>
            <w:tcW w:w="4302" w:type="pct"/>
            <w:gridSpan w:val="4"/>
            <w:tcBorders>
              <w:top w:val="single" w:sz="4" w:space="0" w:color="00B0F0"/>
              <w:left w:val="nil"/>
              <w:bottom w:val="single" w:sz="4" w:space="0" w:color="00B0F0"/>
              <w:right w:val="nil"/>
            </w:tcBorders>
          </w:tcPr>
          <w:p w14:paraId="05163048" w14:textId="42E1AA5A" w:rsidR="00FE0157"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There were no Capital contributions received by AGN Limited in relation to IT systems Capex</w:t>
            </w:r>
            <w:r w:rsidR="00946416">
              <w:rPr>
                <w:rFonts w:ascii="Tahoma" w:hAnsi="Tahoma" w:cs="Tahoma"/>
                <w:sz w:val="20"/>
              </w:rPr>
              <w:t xml:space="preserve"> for AGN (SA)</w:t>
            </w:r>
            <w:r w:rsidR="00122817">
              <w:rPr>
                <w:rFonts w:ascii="Tahoma" w:hAnsi="Tahoma" w:cs="Tahoma"/>
                <w:sz w:val="20"/>
              </w:rPr>
              <w:t xml:space="preserve"> in 2019/20</w:t>
            </w:r>
            <w:r>
              <w:rPr>
                <w:rFonts w:ascii="Tahoma" w:hAnsi="Tahoma" w:cs="Tahoma"/>
                <w:sz w:val="20"/>
              </w:rPr>
              <w:t>.</w:t>
            </w:r>
          </w:p>
          <w:p w14:paraId="01B692DE" w14:textId="77777777" w:rsidR="00FE0157"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2C0B6FB" w14:textId="18F01F52" w:rsidR="00FE0157" w:rsidRPr="00751816"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Thus we provide a ‘Null’ response in the reporting template.</w:t>
            </w:r>
          </w:p>
        </w:tc>
      </w:tr>
      <w:tr w:rsidR="00FE0157" w:rsidRPr="00751816" w14:paraId="3C994EB3"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36"/>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00B0F0"/>
              <w:bottom w:val="single" w:sz="4" w:space="0" w:color="00B0F0"/>
            </w:tcBorders>
            <w:vAlign w:val="center"/>
          </w:tcPr>
          <w:p w14:paraId="2588A408" w14:textId="77777777" w:rsidR="00FE0157" w:rsidRPr="00751816" w:rsidRDefault="00FE0157" w:rsidP="001664CF">
            <w:pPr>
              <w:spacing w:before="120" w:after="120" w:line="240" w:lineRule="atLeast"/>
              <w:contextualSpacing/>
              <w:rPr>
                <w:rFonts w:ascii="Tahoma" w:hAnsi="Tahoma" w:cs="Tahoma"/>
                <w:sz w:val="20"/>
              </w:rPr>
            </w:pPr>
            <w:r w:rsidRPr="00384235">
              <w:rPr>
                <w:rFonts w:ascii="Tahoma" w:hAnsi="Tahoma" w:cs="Tahoma"/>
                <w:sz w:val="20"/>
              </w:rPr>
              <w:t xml:space="preserve">Other distribution equipment </w:t>
            </w:r>
          </w:p>
        </w:tc>
        <w:tc>
          <w:tcPr>
            <w:tcW w:w="4302" w:type="pct"/>
            <w:gridSpan w:val="4"/>
            <w:tcBorders>
              <w:top w:val="single" w:sz="4" w:space="0" w:color="00B0F0"/>
              <w:left w:val="nil"/>
              <w:bottom w:val="single" w:sz="4" w:space="0" w:color="00B0F0"/>
              <w:right w:val="nil"/>
            </w:tcBorders>
          </w:tcPr>
          <w:p w14:paraId="289D7A9F" w14:textId="379030F2" w:rsidR="00FE0157" w:rsidRPr="0078407D"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Pr>
                <w:rFonts w:ascii="Tahoma" w:hAnsi="Tahoma" w:cs="Tahoma"/>
                <w:sz w:val="20"/>
              </w:rPr>
              <w:t>There were no Capital contributions received by AGN Limited in relation Other distribution equipment Capex</w:t>
            </w:r>
            <w:r w:rsidR="00122817">
              <w:rPr>
                <w:rFonts w:ascii="Tahoma" w:hAnsi="Tahoma" w:cs="Tahoma"/>
                <w:sz w:val="20"/>
              </w:rPr>
              <w:t xml:space="preserve"> </w:t>
            </w:r>
            <w:r w:rsidR="00946416">
              <w:rPr>
                <w:rFonts w:ascii="Tahoma" w:hAnsi="Tahoma" w:cs="Tahoma"/>
                <w:sz w:val="20"/>
              </w:rPr>
              <w:t xml:space="preserve">for AGN (SA) </w:t>
            </w:r>
            <w:r w:rsidR="00122817">
              <w:rPr>
                <w:rFonts w:ascii="Tahoma" w:hAnsi="Tahoma" w:cs="Tahoma"/>
                <w:sz w:val="20"/>
              </w:rPr>
              <w:t>in 2019/20.</w:t>
            </w:r>
            <w:r w:rsidRPr="0078407D">
              <w:rPr>
                <w:rFonts w:ascii="Tahoma" w:hAnsi="Tahoma" w:cs="Tahoma"/>
                <w:b/>
                <w:sz w:val="20"/>
              </w:rPr>
              <w:t xml:space="preserve"> </w:t>
            </w:r>
          </w:p>
          <w:p w14:paraId="15854C80" w14:textId="4EEE3D44" w:rsidR="00FE0157"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592677F" w14:textId="35D48612" w:rsidR="00FE0157" w:rsidRPr="00751816"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Thus we provide a ‘Null’ response in the reporting template.</w:t>
            </w:r>
          </w:p>
        </w:tc>
      </w:tr>
      <w:tr w:rsidR="00FE0157" w:rsidRPr="00751816" w14:paraId="66B00D03" w14:textId="77777777" w:rsidTr="001664CF">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36"/>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00B0F0"/>
              <w:bottom w:val="single" w:sz="4" w:space="0" w:color="00B0F0"/>
            </w:tcBorders>
            <w:vAlign w:val="center"/>
          </w:tcPr>
          <w:p w14:paraId="606D0184" w14:textId="77777777" w:rsidR="00FE0157" w:rsidRPr="00751816" w:rsidRDefault="00FE0157" w:rsidP="001664CF">
            <w:pPr>
              <w:spacing w:before="120" w:after="120" w:line="240" w:lineRule="atLeast"/>
              <w:contextualSpacing/>
              <w:rPr>
                <w:rFonts w:ascii="Tahoma" w:hAnsi="Tahoma" w:cs="Tahoma"/>
                <w:sz w:val="20"/>
              </w:rPr>
            </w:pPr>
            <w:r w:rsidRPr="00384235">
              <w:rPr>
                <w:rFonts w:ascii="Tahoma" w:hAnsi="Tahoma" w:cs="Tahoma"/>
                <w:sz w:val="20"/>
              </w:rPr>
              <w:t xml:space="preserve">Other </w:t>
            </w:r>
          </w:p>
        </w:tc>
        <w:tc>
          <w:tcPr>
            <w:tcW w:w="4302" w:type="pct"/>
            <w:gridSpan w:val="4"/>
            <w:tcBorders>
              <w:top w:val="single" w:sz="4" w:space="0" w:color="00B0F0"/>
              <w:left w:val="nil"/>
              <w:bottom w:val="single" w:sz="4" w:space="0" w:color="00B0F0"/>
              <w:right w:val="nil"/>
            </w:tcBorders>
          </w:tcPr>
          <w:p w14:paraId="2B918658" w14:textId="7721A2A3" w:rsidR="00FE0157"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There were no Capital contributions received by AGN Limited in relation to Other Capex</w:t>
            </w:r>
            <w:r w:rsidR="00946416">
              <w:rPr>
                <w:rFonts w:ascii="Tahoma" w:hAnsi="Tahoma" w:cs="Tahoma"/>
                <w:sz w:val="20"/>
              </w:rPr>
              <w:t xml:space="preserve"> for AGN (SA)</w:t>
            </w:r>
            <w:r w:rsidR="00122817">
              <w:rPr>
                <w:rFonts w:ascii="Tahoma" w:hAnsi="Tahoma" w:cs="Tahoma"/>
                <w:sz w:val="20"/>
              </w:rPr>
              <w:t xml:space="preserve"> in 2019/20.</w:t>
            </w:r>
          </w:p>
          <w:p w14:paraId="6C13E0D0" w14:textId="24B1478D" w:rsidR="00FE0157"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A15F049" w14:textId="51A48B17" w:rsidR="00FE0157" w:rsidRPr="00751816" w:rsidRDefault="00FE0157" w:rsidP="00FE015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Thus we provide a ‘Null’ response in the reporting template.</w:t>
            </w:r>
          </w:p>
        </w:tc>
      </w:tr>
    </w:tbl>
    <w:p w14:paraId="3E89DDB4" w14:textId="77777777" w:rsidR="00B013FC" w:rsidRPr="0097603C" w:rsidRDefault="00B013FC" w:rsidP="00AB33C5">
      <w:pPr>
        <w:rPr>
          <w:rFonts w:ascii="Tahoma" w:hAnsi="Tahoma" w:cs="Tahoma"/>
          <w:color w:val="00B0F0"/>
        </w:rPr>
      </w:pPr>
    </w:p>
    <w:p w14:paraId="61AD5FFD" w14:textId="77777777" w:rsidR="00AB33C5" w:rsidRDefault="00AB33C5" w:rsidP="0071215F">
      <w:pPr>
        <w:pStyle w:val="Heading2"/>
        <w:rPr>
          <w:rFonts w:ascii="Tahoma" w:hAnsi="Tahoma" w:cs="Tahoma"/>
          <w:color w:val="003C71"/>
        </w:rPr>
      </w:pPr>
      <w:bookmarkStart w:id="39" w:name="_Toc57314084"/>
      <w:r w:rsidRPr="0071215F">
        <w:rPr>
          <w:rFonts w:ascii="Tahoma" w:hAnsi="Tahoma" w:cs="Tahoma"/>
          <w:color w:val="003C71"/>
        </w:rPr>
        <w:t>F2.6 – Disposals by Asset Class</w:t>
      </w:r>
      <w:bookmarkEnd w:id="39"/>
      <w:r w:rsidRPr="0071215F">
        <w:rPr>
          <w:rFonts w:ascii="Tahoma" w:hAnsi="Tahoma" w:cs="Tahoma"/>
          <w:color w:val="003C71"/>
        </w:rPr>
        <w:t xml:space="preserve"> </w:t>
      </w:r>
    </w:p>
    <w:p w14:paraId="534864F2" w14:textId="77777777" w:rsidR="00AB33C5" w:rsidRDefault="00AB33C5" w:rsidP="00AB33C5">
      <w:pPr>
        <w:rPr>
          <w:rFonts w:ascii="Tahoma" w:hAnsi="Tahoma" w:cs="Tahoma"/>
          <w:color w:val="00B0F0"/>
        </w:rPr>
      </w:pPr>
      <w:r w:rsidRPr="0097603C">
        <w:rPr>
          <w:rFonts w:ascii="Tahoma" w:hAnsi="Tahoma" w:cs="Tahoma"/>
          <w:color w:val="00B0F0"/>
        </w:rPr>
        <w:t xml:space="preserve">F2.6.2 – Actual </w:t>
      </w:r>
    </w:p>
    <w:tbl>
      <w:tblPr>
        <w:tblStyle w:val="UETableStyle"/>
        <w:tblW w:w="4996"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2790"/>
        <w:gridCol w:w="2790"/>
        <w:gridCol w:w="2789"/>
        <w:gridCol w:w="2789"/>
        <w:gridCol w:w="2789"/>
      </w:tblGrid>
      <w:tr w:rsidR="008817E2" w:rsidRPr="00751816" w14:paraId="6967F8DA" w14:textId="77777777" w:rsidTr="006771BA">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00B0F0"/>
            </w:tcBorders>
            <w:shd w:val="clear" w:color="auto" w:fill="003C71"/>
            <w:hideMark/>
          </w:tcPr>
          <w:p w14:paraId="0ECB0139" w14:textId="31977A03" w:rsidR="008817E2" w:rsidRPr="00751816" w:rsidRDefault="008817E2" w:rsidP="001664CF">
            <w:pPr>
              <w:rPr>
                <w:rFonts w:ascii="Tahoma" w:hAnsi="Tahoma" w:cs="Tahoma"/>
                <w:b/>
                <w:color w:val="FFFFFF"/>
                <w:sz w:val="20"/>
              </w:rPr>
            </w:pPr>
            <w:r w:rsidRPr="00751816">
              <w:rPr>
                <w:rFonts w:ascii="Tahoma" w:hAnsi="Tahoma" w:cs="Tahoma"/>
                <w:b/>
                <w:color w:val="FFFFFF"/>
                <w:sz w:val="20"/>
              </w:rPr>
              <w:t xml:space="preserve">Variable </w:t>
            </w:r>
          </w:p>
        </w:tc>
        <w:tc>
          <w:tcPr>
            <w:tcW w:w="0" w:type="pct"/>
            <w:tcBorders>
              <w:bottom w:val="single" w:sz="4" w:space="0" w:color="00B0F0"/>
            </w:tcBorders>
            <w:shd w:val="clear" w:color="auto" w:fill="003C71"/>
          </w:tcPr>
          <w:p w14:paraId="1CFA90C5"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0" w:type="pct"/>
            <w:tcBorders>
              <w:bottom w:val="single" w:sz="4" w:space="0" w:color="00B0F0"/>
            </w:tcBorders>
            <w:shd w:val="clear" w:color="auto" w:fill="003C71"/>
          </w:tcPr>
          <w:p w14:paraId="53909DB9"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0" w:type="pct"/>
            <w:tcBorders>
              <w:bottom w:val="single" w:sz="4" w:space="0" w:color="00B0F0"/>
            </w:tcBorders>
            <w:shd w:val="clear" w:color="auto" w:fill="003C71"/>
          </w:tcPr>
          <w:p w14:paraId="6DFF98F9"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0" w:type="pct"/>
            <w:tcBorders>
              <w:bottom w:val="single" w:sz="4" w:space="0" w:color="00B0F0"/>
            </w:tcBorders>
            <w:shd w:val="clear" w:color="auto" w:fill="003C71"/>
          </w:tcPr>
          <w:p w14:paraId="019C6F56"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8817E2" w:rsidRPr="00751816" w14:paraId="7263A15D" w14:textId="77777777" w:rsidTr="006771BA">
        <w:trPr>
          <w:trHeight w:val="283"/>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B0F0"/>
              <w:bottom w:val="single" w:sz="4" w:space="0" w:color="00B0F0"/>
            </w:tcBorders>
            <w:shd w:val="clear" w:color="auto" w:fill="00A3E0"/>
            <w:vAlign w:val="center"/>
          </w:tcPr>
          <w:p w14:paraId="54C2AF64" w14:textId="4B013D47" w:rsidR="008817E2" w:rsidRPr="00751816" w:rsidRDefault="008418D3" w:rsidP="001C016D">
            <w:pPr>
              <w:spacing w:before="120" w:after="120" w:line="240" w:lineRule="atLeast"/>
              <w:contextualSpacing/>
              <w:rPr>
                <w:rFonts w:ascii="Tahoma" w:hAnsi="Tahoma" w:cs="Tahoma"/>
                <w:sz w:val="20"/>
              </w:rPr>
            </w:pPr>
            <w:r>
              <w:rPr>
                <w:rFonts w:ascii="Tahoma" w:hAnsi="Tahoma" w:cs="Tahoma"/>
                <w:sz w:val="20"/>
              </w:rPr>
              <w:t>2019/20</w:t>
            </w:r>
          </w:p>
        </w:tc>
        <w:tc>
          <w:tcPr>
            <w:tcW w:w="0" w:type="pct"/>
            <w:gridSpan w:val="4"/>
            <w:tcBorders>
              <w:top w:val="single" w:sz="4" w:space="0" w:color="00B0F0"/>
              <w:bottom w:val="single" w:sz="4" w:space="0" w:color="00B0F0"/>
            </w:tcBorders>
            <w:shd w:val="clear" w:color="auto" w:fill="00A3E0"/>
            <w:vAlign w:val="center"/>
          </w:tcPr>
          <w:p w14:paraId="4BCF7FB8" w14:textId="77777777" w:rsidR="008817E2" w:rsidRPr="00560DAB"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C36FB5" w:rsidRPr="00751816" w14:paraId="65908C06" w14:textId="77777777" w:rsidTr="006771BA">
        <w:trPr>
          <w:trHeight w:val="436"/>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B0F0"/>
              <w:bottom w:val="single" w:sz="4" w:space="0" w:color="00B0F0"/>
            </w:tcBorders>
            <w:shd w:val="clear" w:color="auto" w:fill="BFBFBF" w:themeFill="background1" w:themeFillShade="BF"/>
            <w:vAlign w:val="center"/>
          </w:tcPr>
          <w:p w14:paraId="380656B5" w14:textId="1354F561" w:rsidR="00C36FB5" w:rsidRDefault="00C36FB5" w:rsidP="005B3C9A">
            <w:pPr>
              <w:spacing w:before="120" w:after="120" w:line="240" w:lineRule="atLeast"/>
              <w:contextualSpacing/>
              <w:rPr>
                <w:rFonts w:ascii="Tahoma" w:hAnsi="Tahoma" w:cs="Tahoma"/>
                <w:sz w:val="20"/>
              </w:rPr>
            </w:pPr>
            <w:r>
              <w:rPr>
                <w:rFonts w:ascii="Tahoma" w:hAnsi="Tahoma" w:cs="Tahoma"/>
                <w:sz w:val="20"/>
              </w:rPr>
              <w:t>Mains/Inlets/Meters/Telemetry/IT system/Other Distribution equipment</w:t>
            </w:r>
            <w:r w:rsidR="005B3C9A">
              <w:rPr>
                <w:rFonts w:ascii="Tahoma" w:hAnsi="Tahoma" w:cs="Tahoma"/>
                <w:sz w:val="20"/>
              </w:rPr>
              <w:t>/</w:t>
            </w:r>
            <w:r w:rsidR="006771BA">
              <w:rPr>
                <w:rFonts w:ascii="Tahoma" w:hAnsi="Tahoma" w:cs="Tahoma"/>
                <w:sz w:val="20"/>
              </w:rPr>
              <w:t>Other non-distribution equipment</w:t>
            </w:r>
          </w:p>
        </w:tc>
        <w:tc>
          <w:tcPr>
            <w:tcW w:w="0" w:type="pct"/>
            <w:gridSpan w:val="4"/>
            <w:tcBorders>
              <w:top w:val="single" w:sz="4" w:space="0" w:color="00B0F0"/>
              <w:bottom w:val="single" w:sz="4" w:space="0" w:color="00B0F0"/>
            </w:tcBorders>
            <w:vAlign w:val="center"/>
          </w:tcPr>
          <w:p w14:paraId="1A276F62" w14:textId="51616F01" w:rsidR="00C36FB5" w:rsidRPr="0078407D" w:rsidRDefault="00C36FB5" w:rsidP="00C36FB5">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Pr>
                <w:rFonts w:ascii="Tahoma" w:hAnsi="Tahoma" w:cs="Tahoma"/>
                <w:sz w:val="20"/>
              </w:rPr>
              <w:t>There were no disposals by AGN Limited</w:t>
            </w:r>
            <w:r w:rsidR="00946416">
              <w:rPr>
                <w:rFonts w:ascii="Tahoma" w:hAnsi="Tahoma" w:cs="Tahoma"/>
                <w:sz w:val="20"/>
              </w:rPr>
              <w:t xml:space="preserve"> for AGN (SA)</w:t>
            </w:r>
            <w:r>
              <w:rPr>
                <w:rFonts w:ascii="Tahoma" w:hAnsi="Tahoma" w:cs="Tahoma"/>
                <w:sz w:val="20"/>
              </w:rPr>
              <w:t xml:space="preserve"> in relation to these Asset Classes. </w:t>
            </w:r>
            <w:r w:rsidRPr="0078407D">
              <w:rPr>
                <w:rFonts w:ascii="Tahoma" w:hAnsi="Tahoma" w:cs="Tahoma"/>
                <w:b/>
                <w:sz w:val="20"/>
              </w:rPr>
              <w:t xml:space="preserve"> </w:t>
            </w:r>
          </w:p>
          <w:p w14:paraId="75E8BE8B" w14:textId="77777777" w:rsidR="00C36FB5" w:rsidRDefault="00C36FB5" w:rsidP="00C36FB5">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3614493" w14:textId="7CE2C052" w:rsidR="00C36FB5" w:rsidRDefault="00C36FB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Thus we provide a ‘Null’ response in the reporting template.</w:t>
            </w:r>
          </w:p>
        </w:tc>
      </w:tr>
    </w:tbl>
    <w:p w14:paraId="11162E02" w14:textId="0C066F9B" w:rsidR="00946416" w:rsidRDefault="00946416" w:rsidP="00946416">
      <w:pPr>
        <w:rPr>
          <w:rFonts w:ascii="Tahoma" w:hAnsi="Tahoma" w:cs="Tahoma"/>
          <w:color w:val="00B0F0"/>
        </w:rPr>
      </w:pPr>
    </w:p>
    <w:p w14:paraId="1B55714E" w14:textId="6F3218EA" w:rsidR="00AB33C5" w:rsidRDefault="00AB33C5" w:rsidP="0071215F">
      <w:pPr>
        <w:pStyle w:val="Heading2"/>
        <w:rPr>
          <w:rFonts w:ascii="Tahoma" w:hAnsi="Tahoma" w:cs="Tahoma"/>
          <w:color w:val="003C71"/>
        </w:rPr>
      </w:pPr>
      <w:bookmarkStart w:id="40" w:name="_Toc57314085"/>
      <w:r w:rsidRPr="0071215F">
        <w:rPr>
          <w:rFonts w:ascii="Tahoma" w:hAnsi="Tahoma" w:cs="Tahoma"/>
          <w:color w:val="003C71"/>
        </w:rPr>
        <w:t>F2.7 – Immediate Expensing Capex</w:t>
      </w:r>
      <w:bookmarkEnd w:id="40"/>
      <w:r w:rsidRPr="0071215F">
        <w:rPr>
          <w:rFonts w:ascii="Tahoma" w:hAnsi="Tahoma" w:cs="Tahoma"/>
          <w:color w:val="003C71"/>
        </w:rPr>
        <w:t xml:space="preserve"> </w:t>
      </w:r>
    </w:p>
    <w:p w14:paraId="37E88B90" w14:textId="77777777" w:rsidR="00AB33C5" w:rsidRDefault="00AB33C5" w:rsidP="00326697">
      <w:pPr>
        <w:rPr>
          <w:rFonts w:ascii="Tahoma" w:hAnsi="Tahoma" w:cs="Tahoma"/>
          <w:color w:val="00B0F0"/>
        </w:rPr>
      </w:pPr>
      <w:r w:rsidRPr="0097603C">
        <w:rPr>
          <w:rFonts w:ascii="Tahoma" w:hAnsi="Tahoma" w:cs="Tahoma"/>
          <w:color w:val="00B0F0"/>
        </w:rPr>
        <w:t>F2.7.1 - Actual – As Incurred</w:t>
      </w:r>
    </w:p>
    <w:tbl>
      <w:tblPr>
        <w:tblStyle w:val="UETableStyle"/>
        <w:tblW w:w="4995"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47"/>
        <w:gridCol w:w="4615"/>
        <w:gridCol w:w="2231"/>
        <w:gridCol w:w="3271"/>
        <w:gridCol w:w="1880"/>
      </w:tblGrid>
      <w:tr w:rsidR="008817E2" w:rsidRPr="00751816" w14:paraId="2219ADEE" w14:textId="77777777" w:rsidTr="00EB7D9E">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698" w:type="pct"/>
            <w:tcBorders>
              <w:bottom w:val="single" w:sz="4" w:space="0" w:color="00B0F0"/>
            </w:tcBorders>
            <w:shd w:val="clear" w:color="auto" w:fill="003C71"/>
            <w:hideMark/>
          </w:tcPr>
          <w:p w14:paraId="4FCD66D3" w14:textId="1B309C62" w:rsidR="008817E2" w:rsidRPr="00751816" w:rsidRDefault="008817E2" w:rsidP="001664CF">
            <w:pPr>
              <w:rPr>
                <w:rFonts w:ascii="Tahoma" w:hAnsi="Tahoma" w:cs="Tahoma"/>
                <w:b/>
                <w:color w:val="FFFFFF"/>
                <w:sz w:val="20"/>
              </w:rPr>
            </w:pPr>
            <w:r w:rsidRPr="00751816">
              <w:rPr>
                <w:rFonts w:ascii="Tahoma" w:hAnsi="Tahoma" w:cs="Tahoma"/>
                <w:b/>
                <w:color w:val="FFFFFF"/>
                <w:sz w:val="20"/>
              </w:rPr>
              <w:t xml:space="preserve">Variable </w:t>
            </w:r>
          </w:p>
        </w:tc>
        <w:tc>
          <w:tcPr>
            <w:tcW w:w="1655" w:type="pct"/>
            <w:tcBorders>
              <w:bottom w:val="single" w:sz="4" w:space="0" w:color="00B0F0"/>
            </w:tcBorders>
            <w:shd w:val="clear" w:color="auto" w:fill="003C71"/>
          </w:tcPr>
          <w:p w14:paraId="15EE8FEF"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00" w:type="pct"/>
            <w:tcBorders>
              <w:bottom w:val="single" w:sz="4" w:space="0" w:color="00B0F0"/>
            </w:tcBorders>
            <w:shd w:val="clear" w:color="auto" w:fill="003C71"/>
          </w:tcPr>
          <w:p w14:paraId="7C149126"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173" w:type="pct"/>
            <w:tcBorders>
              <w:bottom w:val="single" w:sz="4" w:space="0" w:color="00B0F0"/>
            </w:tcBorders>
            <w:shd w:val="clear" w:color="auto" w:fill="003C71"/>
          </w:tcPr>
          <w:p w14:paraId="3C114A07"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75" w:type="pct"/>
            <w:tcBorders>
              <w:bottom w:val="single" w:sz="4" w:space="0" w:color="00B0F0"/>
            </w:tcBorders>
            <w:shd w:val="clear" w:color="auto" w:fill="003C71"/>
          </w:tcPr>
          <w:p w14:paraId="7E51C5AE" w14:textId="77777777" w:rsidR="008817E2" w:rsidRPr="00751816" w:rsidRDefault="008817E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8817E2" w:rsidRPr="00751816" w14:paraId="475A79EB" w14:textId="77777777" w:rsidTr="001664CF">
        <w:trPr>
          <w:trHeight w:val="283"/>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00B0F0"/>
              <w:bottom w:val="single" w:sz="4" w:space="0" w:color="00B0F0"/>
            </w:tcBorders>
            <w:shd w:val="clear" w:color="auto" w:fill="00A3E0"/>
            <w:vAlign w:val="center"/>
          </w:tcPr>
          <w:p w14:paraId="4E3257E8" w14:textId="41DA6830" w:rsidR="008817E2" w:rsidRPr="00751816" w:rsidRDefault="008418D3" w:rsidP="001C016D">
            <w:pPr>
              <w:spacing w:before="120" w:after="120" w:line="240" w:lineRule="atLeast"/>
              <w:contextualSpacing/>
              <w:rPr>
                <w:rFonts w:ascii="Tahoma" w:hAnsi="Tahoma" w:cs="Tahoma"/>
                <w:sz w:val="20"/>
              </w:rPr>
            </w:pPr>
            <w:r>
              <w:rPr>
                <w:rFonts w:ascii="Tahoma" w:hAnsi="Tahoma" w:cs="Tahoma"/>
                <w:sz w:val="20"/>
              </w:rPr>
              <w:t>2019/20</w:t>
            </w:r>
          </w:p>
        </w:tc>
        <w:tc>
          <w:tcPr>
            <w:tcW w:w="1655" w:type="pct"/>
            <w:tcBorders>
              <w:top w:val="single" w:sz="4" w:space="0" w:color="00B0F0"/>
              <w:bottom w:val="single" w:sz="4" w:space="0" w:color="00B0F0"/>
            </w:tcBorders>
            <w:shd w:val="clear" w:color="auto" w:fill="00A3E0"/>
            <w:vAlign w:val="center"/>
          </w:tcPr>
          <w:p w14:paraId="7C632DF4" w14:textId="77777777" w:rsidR="008817E2" w:rsidRPr="001C5D12"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p>
        </w:tc>
        <w:tc>
          <w:tcPr>
            <w:tcW w:w="800" w:type="pct"/>
            <w:tcBorders>
              <w:top w:val="single" w:sz="4" w:space="0" w:color="00B0F0"/>
              <w:bottom w:val="single" w:sz="4" w:space="0" w:color="00B0F0"/>
            </w:tcBorders>
            <w:shd w:val="clear" w:color="auto" w:fill="00A3E0"/>
            <w:vAlign w:val="center"/>
          </w:tcPr>
          <w:p w14:paraId="03E6DF35"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1173" w:type="pct"/>
            <w:tcBorders>
              <w:top w:val="single" w:sz="4" w:space="0" w:color="00B0F0"/>
              <w:bottom w:val="single" w:sz="4" w:space="0" w:color="00B0F0"/>
            </w:tcBorders>
            <w:shd w:val="clear" w:color="auto" w:fill="00A3E0"/>
            <w:vAlign w:val="center"/>
          </w:tcPr>
          <w:p w14:paraId="4B0DA794" w14:textId="777777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75" w:type="pct"/>
            <w:tcBorders>
              <w:top w:val="single" w:sz="4" w:space="0" w:color="00B0F0"/>
              <w:bottom w:val="single" w:sz="4" w:space="0" w:color="00B0F0"/>
            </w:tcBorders>
            <w:shd w:val="clear" w:color="auto" w:fill="00A3E0"/>
            <w:vAlign w:val="center"/>
          </w:tcPr>
          <w:p w14:paraId="65E2C2DD" w14:textId="77777777" w:rsidR="008817E2" w:rsidRPr="00CC2124"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p>
        </w:tc>
      </w:tr>
      <w:tr w:rsidR="008817E2" w:rsidRPr="00751816" w14:paraId="7DAA3311" w14:textId="77777777" w:rsidTr="00EB7D9E">
        <w:trPr>
          <w:trHeight w:val="436"/>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00B0F0"/>
              <w:bottom w:val="single" w:sz="4" w:space="0" w:color="00B0F0"/>
            </w:tcBorders>
            <w:shd w:val="clear" w:color="auto" w:fill="D9D9D9" w:themeFill="background1" w:themeFillShade="D9"/>
            <w:vAlign w:val="center"/>
          </w:tcPr>
          <w:p w14:paraId="7503F9D8" w14:textId="77777777" w:rsidR="008817E2" w:rsidRPr="00751816" w:rsidRDefault="008817E2" w:rsidP="001C016D">
            <w:pPr>
              <w:spacing w:before="120" w:after="120" w:line="240" w:lineRule="atLeast"/>
              <w:contextualSpacing/>
              <w:rPr>
                <w:rFonts w:ascii="Tahoma" w:hAnsi="Tahoma" w:cs="Tahoma"/>
                <w:sz w:val="20"/>
              </w:rPr>
            </w:pPr>
          </w:p>
        </w:tc>
        <w:tc>
          <w:tcPr>
            <w:tcW w:w="1655" w:type="pct"/>
            <w:tcBorders>
              <w:top w:val="single" w:sz="4" w:space="0" w:color="00B0F0"/>
              <w:bottom w:val="single" w:sz="4" w:space="0" w:color="00B0F0"/>
            </w:tcBorders>
            <w:vAlign w:val="center"/>
          </w:tcPr>
          <w:p w14:paraId="3494CCA1" w14:textId="77777777" w:rsidR="008817E2"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information reported for Immediately Expensing Capex has been derived from the working papers that underpin preparation of AGN Limited’s Income Tax Returns.</w:t>
            </w:r>
          </w:p>
          <w:p w14:paraId="4B7B0B63" w14:textId="77777777" w:rsidR="008817E2"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A70B912" w14:textId="364C57CE" w:rsidR="008817E2"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A03CD1">
              <w:rPr>
                <w:rFonts w:ascii="Tahoma" w:hAnsi="Tahoma" w:cs="Tahoma"/>
                <w:sz w:val="20"/>
              </w:rPr>
              <w:t xml:space="preserve">The amounts reported in this table represent the same amounts of </w:t>
            </w:r>
            <w:r>
              <w:rPr>
                <w:rFonts w:ascii="Tahoma" w:hAnsi="Tahoma" w:cs="Tahoma"/>
                <w:sz w:val="20"/>
              </w:rPr>
              <w:t>I</w:t>
            </w:r>
            <w:r w:rsidRPr="00A03CD1">
              <w:rPr>
                <w:rFonts w:ascii="Tahoma" w:hAnsi="Tahoma" w:cs="Tahoma"/>
                <w:sz w:val="20"/>
              </w:rPr>
              <w:t xml:space="preserve">mmediately </w:t>
            </w:r>
            <w:r>
              <w:rPr>
                <w:rFonts w:ascii="Tahoma" w:hAnsi="Tahoma" w:cs="Tahoma"/>
                <w:sz w:val="20"/>
              </w:rPr>
              <w:t>E</w:t>
            </w:r>
            <w:r w:rsidRPr="00A03CD1">
              <w:rPr>
                <w:rFonts w:ascii="Tahoma" w:hAnsi="Tahoma" w:cs="Tahoma"/>
                <w:sz w:val="20"/>
              </w:rPr>
              <w:t xml:space="preserve">xpensing </w:t>
            </w:r>
            <w:r>
              <w:rPr>
                <w:rFonts w:ascii="Tahoma" w:hAnsi="Tahoma" w:cs="Tahoma"/>
                <w:sz w:val="20"/>
              </w:rPr>
              <w:t>C</w:t>
            </w:r>
            <w:r w:rsidRPr="00A03CD1">
              <w:rPr>
                <w:rFonts w:ascii="Tahoma" w:hAnsi="Tahoma" w:cs="Tahoma"/>
                <w:sz w:val="20"/>
              </w:rPr>
              <w:t xml:space="preserve">apex </w:t>
            </w:r>
            <w:r w:rsidRPr="00A03CD1">
              <w:rPr>
                <w:rFonts w:ascii="Tahoma" w:hAnsi="Tahoma" w:cs="Tahoma"/>
                <w:sz w:val="20"/>
              </w:rPr>
              <w:lastRenderedPageBreak/>
              <w:t xml:space="preserve">that </w:t>
            </w:r>
            <w:r w:rsidR="00F906C6">
              <w:rPr>
                <w:rFonts w:ascii="Tahoma" w:hAnsi="Tahoma" w:cs="Tahoma"/>
                <w:sz w:val="20"/>
              </w:rPr>
              <w:t xml:space="preserve">is (or will be) </w:t>
            </w:r>
            <w:r w:rsidRPr="00A03CD1">
              <w:rPr>
                <w:rFonts w:ascii="Tahoma" w:hAnsi="Tahoma" w:cs="Tahoma"/>
                <w:sz w:val="20"/>
              </w:rPr>
              <w:t>shown in AGN Limited’s income tax return</w:t>
            </w:r>
            <w:r w:rsidR="00F906C6">
              <w:rPr>
                <w:rFonts w:ascii="Tahoma" w:hAnsi="Tahoma" w:cs="Tahoma"/>
                <w:sz w:val="20"/>
              </w:rPr>
              <w:t xml:space="preserve"> (noting AGN Limited’s Income Tax Returns are prepared on a calendar year basis)</w:t>
            </w:r>
            <w:r w:rsidRPr="00A03CD1">
              <w:rPr>
                <w:rFonts w:ascii="Tahoma" w:hAnsi="Tahoma" w:cs="Tahoma"/>
                <w:sz w:val="20"/>
              </w:rPr>
              <w:t>.</w:t>
            </w:r>
          </w:p>
          <w:p w14:paraId="6178B4CA" w14:textId="77777777" w:rsidR="008817E2"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EBC8DA2" w14:textId="65278D25" w:rsidR="008817E2"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Immediately Expensing Capex comprises expenditure to repair parts of the network (i.e. mains and inlets) to remedy defects that arise from wear and tear, deterioration or damage. The expenditure reported includes direct costs and associated </w:t>
            </w:r>
            <w:r w:rsidR="00A11A19">
              <w:rPr>
                <w:rFonts w:ascii="Tahoma" w:hAnsi="Tahoma" w:cs="Tahoma"/>
                <w:sz w:val="20"/>
              </w:rPr>
              <w:t xml:space="preserve">network </w:t>
            </w:r>
            <w:r>
              <w:rPr>
                <w:rFonts w:ascii="Tahoma" w:hAnsi="Tahoma" w:cs="Tahoma"/>
                <w:sz w:val="20"/>
              </w:rPr>
              <w:t>overheads that are allocated based on the level of expenditure as set out in the CAM.</w:t>
            </w:r>
          </w:p>
          <w:p w14:paraId="52928167" w14:textId="77777777" w:rsidR="008817E2"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97B2881" w14:textId="7DA8D035" w:rsidR="008817E2"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Further, due to the RIN requesting the same amounts of Immediately Expensing Capex as shown in AGN Limited’s income tax return, the reported expenditure does not reflect the regulatory accounting adjustments that have been applied to other relevant Capex in this RIN template.  For example, the amount reported </w:t>
            </w:r>
            <w:r w:rsidR="00D41A59">
              <w:rPr>
                <w:rFonts w:ascii="Tahoma" w:hAnsi="Tahoma" w:cs="Tahoma"/>
                <w:sz w:val="20"/>
              </w:rPr>
              <w:t xml:space="preserve">is </w:t>
            </w:r>
            <w:r>
              <w:rPr>
                <w:rFonts w:ascii="Tahoma" w:hAnsi="Tahoma" w:cs="Tahoma"/>
                <w:sz w:val="20"/>
              </w:rPr>
              <w:t>inclusive of NMF and piecemeal mains replacement expenditure which for regulatory accounting purposes are treated as Opex and reported as such in other tables of the RIN template.</w:t>
            </w:r>
          </w:p>
          <w:p w14:paraId="64CDBFC4" w14:textId="77777777" w:rsidR="008817E2"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442B96A" w14:textId="33707F81" w:rsidR="008817E2"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Limited maintains a tax book asset register to record each asset by location (i.e. state) which enables AGN Limited to separately identify the amount of Immediately Expensing Capex for AGN (SA).  Further, the tax book asset register also records assets by category, which enables AGN Limited to identify the relevant amount of </w:t>
            </w:r>
            <w:r>
              <w:rPr>
                <w:rFonts w:ascii="Tahoma" w:hAnsi="Tahoma" w:cs="Tahoma"/>
                <w:sz w:val="20"/>
              </w:rPr>
              <w:lastRenderedPageBreak/>
              <w:t>Immediately Expensing Capex by Asset Class</w:t>
            </w:r>
            <w:r w:rsidR="00072A60">
              <w:rPr>
                <w:rFonts w:ascii="Tahoma" w:hAnsi="Tahoma" w:cs="Tahoma"/>
                <w:sz w:val="20"/>
              </w:rPr>
              <w:t xml:space="preserve"> for AGN (SA)</w:t>
            </w:r>
            <w:r>
              <w:rPr>
                <w:rFonts w:ascii="Tahoma" w:hAnsi="Tahoma" w:cs="Tahoma"/>
                <w:sz w:val="20"/>
              </w:rPr>
              <w:t>, as required for this table.</w:t>
            </w:r>
          </w:p>
          <w:p w14:paraId="4ECFF0F9" w14:textId="77777777" w:rsidR="008817E2"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A5C55A7" w14:textId="4D3F02DD" w:rsidR="008817E2"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Limited has prepared its audited statutory accounts and lodges its income tax returns on a calendar year basis since acquisition by the current owners on 29 August 2014. Therefore, AGN Limited has identified Immediately Expensing Capex for each relevant six month period (i.e. January to June and July to December), in order to compile the total amounts reported for </w:t>
            </w:r>
            <w:r w:rsidR="00FA52E5">
              <w:rPr>
                <w:rFonts w:ascii="Tahoma" w:hAnsi="Tahoma" w:cs="Tahoma"/>
                <w:sz w:val="20"/>
              </w:rPr>
              <w:t xml:space="preserve">the </w:t>
            </w:r>
            <w:r>
              <w:rPr>
                <w:rFonts w:ascii="Tahoma" w:hAnsi="Tahoma" w:cs="Tahoma"/>
                <w:sz w:val="20"/>
              </w:rPr>
              <w:t>regulatory year.</w:t>
            </w:r>
          </w:p>
          <w:p w14:paraId="30AEF284" w14:textId="77777777" w:rsidR="008817E2"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A0F292A" w14:textId="70E9FAF4" w:rsidR="008817E2" w:rsidRPr="0078407D" w:rsidRDefault="008817E2" w:rsidP="00A659B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Pr>
                <w:rFonts w:ascii="Tahoma" w:hAnsi="Tahoma" w:cs="Tahoma"/>
                <w:sz w:val="20"/>
              </w:rPr>
              <w:t xml:space="preserve">AGN Limited has not changed its tax policy with respect to Immediately Expensing Capex during </w:t>
            </w:r>
            <w:r w:rsidR="00FA52E5">
              <w:rPr>
                <w:rFonts w:ascii="Tahoma" w:hAnsi="Tahoma" w:cs="Tahoma"/>
                <w:sz w:val="20"/>
              </w:rPr>
              <w:t>2</w:t>
            </w:r>
            <w:r w:rsidR="00A659B3">
              <w:rPr>
                <w:rFonts w:ascii="Tahoma" w:hAnsi="Tahoma" w:cs="Tahoma"/>
                <w:sz w:val="20"/>
              </w:rPr>
              <w:t>019/20</w:t>
            </w:r>
            <w:r w:rsidR="00F906C6">
              <w:rPr>
                <w:rFonts w:ascii="Tahoma" w:hAnsi="Tahoma" w:cs="Tahoma"/>
                <w:sz w:val="20"/>
              </w:rPr>
              <w:t xml:space="preserve"> </w:t>
            </w:r>
            <w:r>
              <w:rPr>
                <w:rFonts w:ascii="Tahoma" w:hAnsi="Tahoma" w:cs="Tahoma"/>
                <w:sz w:val="20"/>
              </w:rPr>
              <w:t xml:space="preserve">and currently has no intention to change this policy.    </w:t>
            </w:r>
          </w:p>
        </w:tc>
        <w:tc>
          <w:tcPr>
            <w:tcW w:w="800" w:type="pct"/>
            <w:tcBorders>
              <w:top w:val="single" w:sz="4" w:space="0" w:color="00B0F0"/>
              <w:bottom w:val="single" w:sz="4" w:space="0" w:color="00B0F0"/>
            </w:tcBorders>
            <w:vAlign w:val="center"/>
          </w:tcPr>
          <w:p w14:paraId="203C06E8" w14:textId="1AB1B7DD" w:rsidR="008817E2" w:rsidRPr="00751816" w:rsidRDefault="00D41A59" w:rsidP="00FA52E5">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Estimate</w:t>
            </w:r>
            <w:r w:rsidRPr="00D41A59">
              <w:rPr>
                <w:rFonts w:ascii="Tahoma" w:hAnsi="Tahoma" w:cs="Tahoma"/>
                <w:sz w:val="20"/>
              </w:rPr>
              <w:t xml:space="preserve"> </w:t>
            </w:r>
          </w:p>
        </w:tc>
        <w:tc>
          <w:tcPr>
            <w:tcW w:w="1173" w:type="pct"/>
            <w:tcBorders>
              <w:top w:val="single" w:sz="4" w:space="0" w:color="00B0F0"/>
              <w:bottom w:val="single" w:sz="4" w:space="0" w:color="00B0F0"/>
            </w:tcBorders>
          </w:tcPr>
          <w:p w14:paraId="464759D7" w14:textId="13CA8E74" w:rsidR="00D41A59" w:rsidRDefault="00D41A59" w:rsidP="00F906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amount reported </w:t>
            </w:r>
            <w:r w:rsidR="00072A60">
              <w:rPr>
                <w:rFonts w:ascii="Tahoma" w:hAnsi="Tahoma" w:cs="Tahoma"/>
                <w:sz w:val="20"/>
              </w:rPr>
              <w:t xml:space="preserve">in this table </w:t>
            </w:r>
            <w:r>
              <w:rPr>
                <w:rFonts w:ascii="Tahoma" w:hAnsi="Tahoma" w:cs="Tahoma"/>
                <w:sz w:val="20"/>
              </w:rPr>
              <w:t>is estimate</w:t>
            </w:r>
            <w:r w:rsidR="00072A60">
              <w:rPr>
                <w:rFonts w:ascii="Tahoma" w:hAnsi="Tahoma" w:cs="Tahoma"/>
                <w:sz w:val="20"/>
              </w:rPr>
              <w:t>d</w:t>
            </w:r>
            <w:r>
              <w:rPr>
                <w:rFonts w:ascii="Tahoma" w:hAnsi="Tahoma" w:cs="Tahoma"/>
                <w:sz w:val="20"/>
              </w:rPr>
              <w:t xml:space="preserve"> </w:t>
            </w:r>
            <w:r w:rsidR="00072A60">
              <w:rPr>
                <w:rFonts w:ascii="Tahoma" w:hAnsi="Tahoma" w:cs="Tahoma"/>
                <w:sz w:val="20"/>
              </w:rPr>
              <w:t xml:space="preserve">information </w:t>
            </w:r>
            <w:r>
              <w:rPr>
                <w:rFonts w:ascii="Tahoma" w:hAnsi="Tahoma" w:cs="Tahoma"/>
                <w:sz w:val="20"/>
              </w:rPr>
              <w:t>because</w:t>
            </w:r>
            <w:r w:rsidR="00F906C6">
              <w:rPr>
                <w:rFonts w:ascii="Tahoma" w:hAnsi="Tahoma" w:cs="Tahoma"/>
                <w:sz w:val="20"/>
              </w:rPr>
              <w:t xml:space="preserve"> </w:t>
            </w:r>
            <w:r>
              <w:rPr>
                <w:rFonts w:ascii="Tahoma" w:hAnsi="Tahoma" w:cs="Tahoma"/>
                <w:sz w:val="20"/>
              </w:rPr>
              <w:t>the I</w:t>
            </w:r>
            <w:r w:rsidR="00F906C6">
              <w:rPr>
                <w:rFonts w:ascii="Tahoma" w:hAnsi="Tahoma" w:cs="Tahoma"/>
                <w:sz w:val="20"/>
              </w:rPr>
              <w:t xml:space="preserve">ncome </w:t>
            </w:r>
            <w:r>
              <w:rPr>
                <w:rFonts w:ascii="Tahoma" w:hAnsi="Tahoma" w:cs="Tahoma"/>
                <w:sz w:val="20"/>
              </w:rPr>
              <w:t>T</w:t>
            </w:r>
            <w:r w:rsidR="00F906C6">
              <w:rPr>
                <w:rFonts w:ascii="Tahoma" w:hAnsi="Tahoma" w:cs="Tahoma"/>
                <w:sz w:val="20"/>
              </w:rPr>
              <w:t xml:space="preserve">ax </w:t>
            </w:r>
            <w:r>
              <w:rPr>
                <w:rFonts w:ascii="Tahoma" w:hAnsi="Tahoma" w:cs="Tahoma"/>
                <w:sz w:val="20"/>
              </w:rPr>
              <w:t>R</w:t>
            </w:r>
            <w:r w:rsidR="00F906C6">
              <w:rPr>
                <w:rFonts w:ascii="Tahoma" w:hAnsi="Tahoma" w:cs="Tahoma"/>
                <w:sz w:val="20"/>
              </w:rPr>
              <w:t>eturn</w:t>
            </w:r>
            <w:r>
              <w:rPr>
                <w:rFonts w:ascii="Tahoma" w:hAnsi="Tahoma" w:cs="Tahoma"/>
                <w:sz w:val="20"/>
              </w:rPr>
              <w:t xml:space="preserve"> </w:t>
            </w:r>
            <w:r w:rsidR="00D84A12">
              <w:rPr>
                <w:rFonts w:ascii="Tahoma" w:hAnsi="Tahoma" w:cs="Tahoma"/>
                <w:sz w:val="20"/>
              </w:rPr>
              <w:t xml:space="preserve">(ITR) </w:t>
            </w:r>
            <w:r>
              <w:rPr>
                <w:rFonts w:ascii="Tahoma" w:hAnsi="Tahoma" w:cs="Tahoma"/>
                <w:sz w:val="20"/>
              </w:rPr>
              <w:t xml:space="preserve">for the year ended 31 December 2020 </w:t>
            </w:r>
            <w:r w:rsidR="00F906C6">
              <w:rPr>
                <w:rFonts w:ascii="Tahoma" w:hAnsi="Tahoma" w:cs="Tahoma"/>
                <w:sz w:val="20"/>
              </w:rPr>
              <w:t xml:space="preserve">(which includes the six months to 30 June 2020) </w:t>
            </w:r>
            <w:r>
              <w:rPr>
                <w:rFonts w:ascii="Tahoma" w:hAnsi="Tahoma" w:cs="Tahoma"/>
                <w:sz w:val="20"/>
              </w:rPr>
              <w:t>has not yet been prepared by AGN Limited.</w:t>
            </w:r>
          </w:p>
          <w:p w14:paraId="07D3FE62" w14:textId="77777777" w:rsidR="00F906C6" w:rsidRDefault="00F906C6" w:rsidP="00F906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9E1C60D" w14:textId="30E50A82" w:rsidR="00F906C6" w:rsidRPr="00751816" w:rsidRDefault="00F906C6" w:rsidP="00D84A1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However</w:t>
            </w:r>
            <w:r w:rsidR="00D84A12">
              <w:rPr>
                <w:rFonts w:ascii="Tahoma" w:hAnsi="Tahoma" w:cs="Tahoma"/>
                <w:sz w:val="20"/>
              </w:rPr>
              <w:t>,</w:t>
            </w:r>
            <w:r>
              <w:rPr>
                <w:rFonts w:ascii="Tahoma" w:hAnsi="Tahoma" w:cs="Tahoma"/>
                <w:sz w:val="20"/>
              </w:rPr>
              <w:t xml:space="preserve"> the amount reported in this table is based on working papers </w:t>
            </w:r>
            <w:r w:rsidR="00D84A12">
              <w:rPr>
                <w:rFonts w:ascii="Tahoma" w:hAnsi="Tahoma" w:cs="Tahoma"/>
                <w:sz w:val="20"/>
              </w:rPr>
              <w:t xml:space="preserve">prepared up to 30 June 2020 </w:t>
            </w:r>
            <w:r>
              <w:rPr>
                <w:rFonts w:ascii="Tahoma" w:hAnsi="Tahoma" w:cs="Tahoma"/>
                <w:sz w:val="20"/>
              </w:rPr>
              <w:t xml:space="preserve">which will underpin </w:t>
            </w:r>
            <w:r w:rsidR="00D84A12">
              <w:rPr>
                <w:rFonts w:ascii="Tahoma" w:hAnsi="Tahoma" w:cs="Tahoma"/>
                <w:sz w:val="20"/>
              </w:rPr>
              <w:t xml:space="preserve">preparation of </w:t>
            </w:r>
            <w:r>
              <w:rPr>
                <w:rFonts w:ascii="Tahoma" w:hAnsi="Tahoma" w:cs="Tahoma"/>
                <w:sz w:val="20"/>
              </w:rPr>
              <w:t>AGN Limited’s ITR for the year ended 31 December 2020.</w:t>
            </w:r>
          </w:p>
        </w:tc>
        <w:tc>
          <w:tcPr>
            <w:tcW w:w="675" w:type="pct"/>
            <w:tcBorders>
              <w:top w:val="single" w:sz="4" w:space="0" w:color="00B0F0"/>
              <w:bottom w:val="single" w:sz="4" w:space="0" w:color="00B0F0"/>
            </w:tcBorders>
            <w:vAlign w:val="center"/>
          </w:tcPr>
          <w:p w14:paraId="2577BD69" w14:textId="5F6FA477" w:rsidR="008817E2" w:rsidRPr="00751816" w:rsidRDefault="008817E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1288ED14" w14:textId="07496755" w:rsidR="00464415" w:rsidRDefault="00464415">
      <w:pPr>
        <w:rPr>
          <w:rFonts w:ascii="Tahoma" w:hAnsi="Tahoma" w:cs="Tahoma"/>
          <w:b/>
          <w:color w:val="003C71"/>
        </w:rPr>
      </w:pPr>
      <w:r>
        <w:rPr>
          <w:rFonts w:ascii="Tahoma" w:hAnsi="Tahoma" w:cs="Tahoma"/>
          <w:b/>
          <w:color w:val="003C71"/>
        </w:rPr>
        <w:lastRenderedPageBreak/>
        <w:br w:type="page"/>
      </w:r>
    </w:p>
    <w:p w14:paraId="6F3EDF10" w14:textId="455615A3" w:rsidR="008F0618" w:rsidRDefault="008F0618" w:rsidP="00C059E5">
      <w:pPr>
        <w:pStyle w:val="Heading1"/>
        <w:rPr>
          <w:rFonts w:ascii="Tahoma" w:hAnsi="Tahoma" w:cs="Tahoma"/>
          <w:b/>
          <w:color w:val="003C71"/>
        </w:rPr>
      </w:pPr>
      <w:bookmarkStart w:id="41" w:name="_Toc57314086"/>
      <w:r w:rsidRPr="0095305C">
        <w:rPr>
          <w:rFonts w:ascii="Tahoma" w:hAnsi="Tahoma" w:cs="Tahoma"/>
          <w:b/>
          <w:color w:val="003C71"/>
        </w:rPr>
        <w:lastRenderedPageBreak/>
        <w:t>F3. Revenue</w:t>
      </w:r>
      <w:bookmarkEnd w:id="41"/>
      <w:r w:rsidRPr="0095305C">
        <w:rPr>
          <w:rFonts w:ascii="Tahoma" w:hAnsi="Tahoma" w:cs="Tahoma"/>
          <w:b/>
          <w:color w:val="003C71"/>
        </w:rPr>
        <w:t xml:space="preserve"> </w:t>
      </w:r>
    </w:p>
    <w:p w14:paraId="5A005B27" w14:textId="77777777" w:rsidR="008F0618" w:rsidRDefault="008F0618" w:rsidP="0071215F">
      <w:pPr>
        <w:pStyle w:val="Heading2"/>
        <w:rPr>
          <w:rFonts w:ascii="Tahoma" w:hAnsi="Tahoma" w:cs="Tahoma"/>
          <w:color w:val="003C71"/>
        </w:rPr>
      </w:pPr>
      <w:bookmarkStart w:id="42" w:name="_Toc57314087"/>
      <w:r w:rsidRPr="0071215F">
        <w:rPr>
          <w:rFonts w:ascii="Tahoma" w:hAnsi="Tahoma" w:cs="Tahoma"/>
          <w:color w:val="003C71"/>
        </w:rPr>
        <w:t>F3.1 – Reference Services</w:t>
      </w:r>
      <w:bookmarkEnd w:id="42"/>
      <w:r w:rsidRPr="0071215F">
        <w:rPr>
          <w:rFonts w:ascii="Tahoma" w:hAnsi="Tahoma" w:cs="Tahoma"/>
          <w:color w:val="003C71"/>
        </w:rPr>
        <w:t xml:space="preserve"> </w:t>
      </w:r>
    </w:p>
    <w:p w14:paraId="5AB5C833" w14:textId="2F1082E2" w:rsidR="008F0618" w:rsidRDefault="008F0618" w:rsidP="00AB33C5">
      <w:pPr>
        <w:rPr>
          <w:rFonts w:ascii="Tahoma" w:hAnsi="Tahoma" w:cs="Tahoma"/>
          <w:color w:val="00B0F0"/>
        </w:rPr>
      </w:pPr>
      <w:r w:rsidRPr="008F6AEA">
        <w:rPr>
          <w:rFonts w:ascii="Tahoma" w:hAnsi="Tahoma" w:cs="Tahoma"/>
          <w:color w:val="00B0F0"/>
        </w:rPr>
        <w:t xml:space="preserve">F3.1.1 – Revenue – by Tariff </w:t>
      </w:r>
    </w:p>
    <w:tbl>
      <w:tblPr>
        <w:tblStyle w:val="UETableStyle"/>
        <w:tblW w:w="4942" w:type="pct"/>
        <w:tblInd w:w="-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46"/>
        <w:gridCol w:w="4613"/>
        <w:gridCol w:w="2229"/>
        <w:gridCol w:w="3129"/>
        <w:gridCol w:w="1879"/>
      </w:tblGrid>
      <w:tr w:rsidR="00FC64B1" w:rsidRPr="00751816" w14:paraId="54ACD689" w14:textId="77777777" w:rsidTr="00493FA7">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705" w:type="pct"/>
            <w:tcBorders>
              <w:bottom w:val="single" w:sz="4" w:space="0" w:color="00B0F0"/>
            </w:tcBorders>
            <w:shd w:val="clear" w:color="auto" w:fill="003C71"/>
            <w:hideMark/>
          </w:tcPr>
          <w:p w14:paraId="75119271" w14:textId="32EC2688" w:rsidR="00FC64B1" w:rsidRPr="00751816" w:rsidRDefault="00FC64B1" w:rsidP="001664CF">
            <w:pPr>
              <w:rPr>
                <w:rFonts w:ascii="Tahoma" w:hAnsi="Tahoma" w:cs="Tahoma"/>
                <w:b/>
                <w:color w:val="FFFFFF"/>
                <w:sz w:val="20"/>
              </w:rPr>
            </w:pPr>
            <w:bookmarkStart w:id="43" w:name="_Hlk50731650"/>
            <w:r w:rsidRPr="00751816">
              <w:rPr>
                <w:rFonts w:ascii="Tahoma" w:hAnsi="Tahoma" w:cs="Tahoma"/>
                <w:b/>
                <w:color w:val="FFFFFF"/>
                <w:sz w:val="20"/>
              </w:rPr>
              <w:t xml:space="preserve">Variable </w:t>
            </w:r>
          </w:p>
        </w:tc>
        <w:tc>
          <w:tcPr>
            <w:tcW w:w="1672" w:type="pct"/>
            <w:tcBorders>
              <w:bottom w:val="single" w:sz="4" w:space="0" w:color="00B0F0"/>
            </w:tcBorders>
            <w:shd w:val="clear" w:color="auto" w:fill="003C71"/>
          </w:tcPr>
          <w:p w14:paraId="3E2BFEA6" w14:textId="77777777" w:rsidR="00FC64B1" w:rsidRPr="00751816" w:rsidRDefault="00FC64B1"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08" w:type="pct"/>
            <w:tcBorders>
              <w:bottom w:val="single" w:sz="4" w:space="0" w:color="00B0F0"/>
            </w:tcBorders>
            <w:shd w:val="clear" w:color="auto" w:fill="003C71"/>
          </w:tcPr>
          <w:p w14:paraId="38D4FB0D" w14:textId="77777777" w:rsidR="00FC64B1" w:rsidRPr="00751816" w:rsidRDefault="00FC64B1"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134" w:type="pct"/>
            <w:tcBorders>
              <w:bottom w:val="single" w:sz="4" w:space="0" w:color="00B0F0"/>
            </w:tcBorders>
            <w:shd w:val="clear" w:color="auto" w:fill="003C71"/>
          </w:tcPr>
          <w:p w14:paraId="5DAFE5E8" w14:textId="77777777" w:rsidR="00FC64B1" w:rsidRPr="00751816" w:rsidRDefault="00FC64B1"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81" w:type="pct"/>
            <w:tcBorders>
              <w:bottom w:val="single" w:sz="4" w:space="0" w:color="00B0F0"/>
            </w:tcBorders>
            <w:shd w:val="clear" w:color="auto" w:fill="003C71"/>
          </w:tcPr>
          <w:p w14:paraId="4013DA5C" w14:textId="77777777" w:rsidR="00FC64B1" w:rsidRPr="00751816" w:rsidRDefault="00FC64B1"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FC64B1" w:rsidRPr="00751816" w14:paraId="3A2A0E6A" w14:textId="77777777" w:rsidTr="001664CF">
        <w:trPr>
          <w:trHeight w:val="283"/>
        </w:trPr>
        <w:tc>
          <w:tcPr>
            <w:cnfStyle w:val="001000000000" w:firstRow="0" w:lastRow="0" w:firstColumn="1" w:lastColumn="0" w:oddVBand="0" w:evenVBand="0" w:oddHBand="0" w:evenHBand="0" w:firstRowFirstColumn="0" w:firstRowLastColumn="0" w:lastRowFirstColumn="0" w:lastRowLastColumn="0"/>
            <w:tcW w:w="705" w:type="pct"/>
            <w:tcBorders>
              <w:top w:val="single" w:sz="4" w:space="0" w:color="00B0F0"/>
              <w:bottom w:val="single" w:sz="4" w:space="0" w:color="00B0F0"/>
            </w:tcBorders>
            <w:shd w:val="clear" w:color="auto" w:fill="00A3E0"/>
          </w:tcPr>
          <w:p w14:paraId="05AF1AD1" w14:textId="59053F8C" w:rsidR="00FC64B1" w:rsidRPr="00C0205D" w:rsidRDefault="008418D3" w:rsidP="001C016D">
            <w:pPr>
              <w:spacing w:before="120" w:after="120" w:line="240" w:lineRule="atLeast"/>
              <w:contextualSpacing/>
              <w:rPr>
                <w:rFonts w:ascii="Tahoma" w:hAnsi="Tahoma" w:cs="Tahoma"/>
                <w:sz w:val="20"/>
              </w:rPr>
            </w:pPr>
            <w:r>
              <w:rPr>
                <w:rFonts w:ascii="Tahoma" w:hAnsi="Tahoma" w:cs="Tahoma"/>
                <w:sz w:val="20"/>
              </w:rPr>
              <w:t>2019/20</w:t>
            </w:r>
          </w:p>
        </w:tc>
        <w:tc>
          <w:tcPr>
            <w:tcW w:w="1672" w:type="pct"/>
            <w:tcBorders>
              <w:top w:val="single" w:sz="4" w:space="0" w:color="00B0F0"/>
              <w:bottom w:val="single" w:sz="4" w:space="0" w:color="00B0F0"/>
            </w:tcBorders>
            <w:shd w:val="clear" w:color="auto" w:fill="00A3E0"/>
            <w:vAlign w:val="center"/>
          </w:tcPr>
          <w:p w14:paraId="29A47D9F" w14:textId="77777777" w:rsidR="00FC64B1" w:rsidRPr="004C0411" w:rsidRDefault="00FC64B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08" w:type="pct"/>
            <w:tcBorders>
              <w:top w:val="single" w:sz="4" w:space="0" w:color="00B0F0"/>
              <w:bottom w:val="single" w:sz="4" w:space="0" w:color="00B0F0"/>
            </w:tcBorders>
            <w:shd w:val="clear" w:color="auto" w:fill="00A3E0"/>
            <w:vAlign w:val="center"/>
          </w:tcPr>
          <w:p w14:paraId="2674115C" w14:textId="77777777" w:rsidR="00FC64B1" w:rsidRPr="00751816" w:rsidRDefault="00FC64B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1134" w:type="pct"/>
            <w:tcBorders>
              <w:top w:val="single" w:sz="4" w:space="0" w:color="00B0F0"/>
              <w:bottom w:val="single" w:sz="4" w:space="0" w:color="00B0F0"/>
            </w:tcBorders>
            <w:shd w:val="clear" w:color="auto" w:fill="00A3E0"/>
            <w:vAlign w:val="center"/>
          </w:tcPr>
          <w:p w14:paraId="4DCAACAB" w14:textId="77777777" w:rsidR="00FC64B1" w:rsidRPr="00751816" w:rsidRDefault="00FC64B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shd w:val="clear" w:color="auto" w:fill="00A3E0"/>
            <w:vAlign w:val="center"/>
          </w:tcPr>
          <w:p w14:paraId="734F0970" w14:textId="77777777" w:rsidR="00FC64B1" w:rsidRPr="00751816" w:rsidRDefault="00FC64B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FC64B1" w:rsidRPr="00751816" w14:paraId="57D78672" w14:textId="77777777" w:rsidTr="00BE09C7">
        <w:trPr>
          <w:trHeight w:val="436"/>
        </w:trPr>
        <w:tc>
          <w:tcPr>
            <w:cnfStyle w:val="001000000000" w:firstRow="0" w:lastRow="0" w:firstColumn="1" w:lastColumn="0" w:oddVBand="0" w:evenVBand="0" w:oddHBand="0" w:evenHBand="0" w:firstRowFirstColumn="0" w:firstRowLastColumn="0" w:lastRowFirstColumn="0" w:lastRowLastColumn="0"/>
            <w:tcW w:w="705" w:type="pct"/>
            <w:tcBorders>
              <w:top w:val="single" w:sz="4" w:space="0" w:color="00B0F0"/>
              <w:bottom w:val="single" w:sz="4" w:space="0" w:color="00B0F0"/>
            </w:tcBorders>
            <w:shd w:val="clear" w:color="auto" w:fill="D9D9D9" w:themeFill="background1" w:themeFillShade="D9"/>
            <w:vAlign w:val="center"/>
          </w:tcPr>
          <w:p w14:paraId="7A77D4BE" w14:textId="77777777" w:rsidR="00FC64B1" w:rsidRPr="00751816" w:rsidRDefault="00FC64B1" w:rsidP="001664CF">
            <w:pPr>
              <w:spacing w:before="120" w:after="120" w:line="240" w:lineRule="atLeast"/>
              <w:contextualSpacing/>
              <w:rPr>
                <w:rFonts w:ascii="Tahoma" w:hAnsi="Tahoma" w:cs="Tahoma"/>
                <w:sz w:val="20"/>
              </w:rPr>
            </w:pPr>
            <w:r w:rsidRPr="00C0205D">
              <w:rPr>
                <w:rFonts w:ascii="Tahoma" w:hAnsi="Tahoma" w:cs="Tahoma"/>
                <w:sz w:val="20"/>
              </w:rPr>
              <w:t xml:space="preserve">Tariff R </w:t>
            </w:r>
            <w:r>
              <w:rPr>
                <w:rFonts w:ascii="Tahoma" w:hAnsi="Tahoma" w:cs="Tahoma"/>
                <w:sz w:val="20"/>
              </w:rPr>
              <w:t xml:space="preserve">- </w:t>
            </w:r>
            <w:r w:rsidRPr="002908FE">
              <w:rPr>
                <w:rFonts w:ascii="Tahoma" w:hAnsi="Tahoma" w:cs="Tahoma"/>
                <w:sz w:val="20"/>
              </w:rPr>
              <w:t>excluding Tanunda</w:t>
            </w:r>
          </w:p>
        </w:tc>
        <w:tc>
          <w:tcPr>
            <w:tcW w:w="1672" w:type="pct"/>
            <w:tcBorders>
              <w:top w:val="single" w:sz="4" w:space="0" w:color="00B0F0"/>
              <w:bottom w:val="single" w:sz="4" w:space="0" w:color="00B0F0"/>
            </w:tcBorders>
            <w:vAlign w:val="center"/>
          </w:tcPr>
          <w:p w14:paraId="15F296B0" w14:textId="2ED05DED" w:rsidR="00F24616" w:rsidRPr="00F24616" w:rsidRDefault="00F24616" w:rsidP="00F2461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Revenue </w:t>
            </w:r>
            <w:r w:rsidRPr="00F24616">
              <w:rPr>
                <w:rFonts w:ascii="Tahoma" w:hAnsi="Tahoma" w:cs="Tahoma"/>
                <w:sz w:val="20"/>
              </w:rPr>
              <w:t xml:space="preserve">data </w:t>
            </w:r>
            <w:r w:rsidR="00DA53C2">
              <w:rPr>
                <w:rFonts w:ascii="Tahoma" w:hAnsi="Tahoma" w:cs="Tahoma"/>
                <w:sz w:val="20"/>
              </w:rPr>
              <w:t>are</w:t>
            </w:r>
            <w:r w:rsidRPr="00F24616">
              <w:rPr>
                <w:rFonts w:ascii="Tahoma" w:hAnsi="Tahoma" w:cs="Tahoma"/>
                <w:sz w:val="20"/>
              </w:rPr>
              <w:t xml:space="preserve"> sourced from the data files which are used to populate the Gas Tariff Models submitted to the AER each year as part of the annual tariff submissions for South Australia. Since the tariffs for 2021/22 have not yet been submitted, the files have been prepared for the purposes of the RIN and will also be used for the 2021/22 tariff submission.</w:t>
            </w:r>
          </w:p>
          <w:p w14:paraId="168B9503" w14:textId="77777777" w:rsidR="00F24616" w:rsidRPr="00F24616" w:rsidRDefault="00F24616" w:rsidP="00F2461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E93F7A6" w14:textId="77777777" w:rsidR="00F24616" w:rsidRPr="00F24616" w:rsidRDefault="00F24616" w:rsidP="00F2461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F24616">
              <w:rPr>
                <w:rFonts w:ascii="Tahoma" w:hAnsi="Tahoma" w:cs="Tahoma"/>
                <w:sz w:val="20"/>
              </w:rPr>
              <w:t>Tariff R and Tariff C are split into a tariff excluding Tanunda (South Australia excluding Tanunda) and then the Tanunda tariff. The first natural gas was delivered to the Tanunda township in 2015/16.</w:t>
            </w:r>
          </w:p>
          <w:p w14:paraId="5D906302" w14:textId="77777777" w:rsidR="00F24616" w:rsidRPr="00F24616" w:rsidRDefault="00F24616" w:rsidP="00F2461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B3EEEDB" w14:textId="05C02FDD" w:rsidR="00FC64B1" w:rsidRPr="0078407D" w:rsidRDefault="00F24616"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sidRPr="00F24616">
              <w:rPr>
                <w:rFonts w:ascii="Tahoma" w:hAnsi="Tahoma" w:cs="Tahoma"/>
                <w:sz w:val="20"/>
              </w:rPr>
              <w:t xml:space="preserve">2019/20 has been sourced from the same systems, and the underlying report is in the same form, as the reports produced for the purposes of annual tariff adjustments, and is therefore equivalent to the files used to populate the other years in </w:t>
            </w:r>
            <w:r>
              <w:rPr>
                <w:rFonts w:ascii="Tahoma" w:hAnsi="Tahoma" w:cs="Tahoma"/>
                <w:sz w:val="20"/>
              </w:rPr>
              <w:t xml:space="preserve">table F3.1.1 </w:t>
            </w:r>
            <w:r w:rsidRPr="00F24616">
              <w:rPr>
                <w:rFonts w:ascii="Tahoma" w:hAnsi="Tahoma" w:cs="Tahoma"/>
                <w:sz w:val="20"/>
              </w:rPr>
              <w:t>which were used for annual tariff adjustments.</w:t>
            </w:r>
          </w:p>
        </w:tc>
        <w:tc>
          <w:tcPr>
            <w:tcW w:w="808" w:type="pct"/>
            <w:tcBorders>
              <w:top w:val="single" w:sz="4" w:space="0" w:color="00B0F0"/>
              <w:bottom w:val="single" w:sz="4" w:space="0" w:color="00B0F0"/>
            </w:tcBorders>
            <w:vAlign w:val="center"/>
          </w:tcPr>
          <w:p w14:paraId="485E22D2" w14:textId="77777777" w:rsidR="00FC64B1" w:rsidRPr="00751816" w:rsidRDefault="00FC64B1" w:rsidP="00BE09C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34" w:type="pct"/>
            <w:tcBorders>
              <w:top w:val="single" w:sz="4" w:space="0" w:color="00B0F0"/>
              <w:bottom w:val="single" w:sz="4" w:space="0" w:color="00B0F0"/>
            </w:tcBorders>
            <w:vAlign w:val="center"/>
          </w:tcPr>
          <w:p w14:paraId="5E6AB545" w14:textId="46A3961A" w:rsidR="00FC64B1" w:rsidRPr="00751816" w:rsidRDefault="00FC64B1" w:rsidP="001C016D">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3EB8EFE2" w14:textId="781E8A11" w:rsidR="00FC64B1" w:rsidRPr="00751816" w:rsidRDefault="00FC64B1" w:rsidP="001C016D">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DA53C2" w:rsidRPr="00751816" w14:paraId="3828DB65" w14:textId="77777777" w:rsidTr="006148C3">
        <w:trPr>
          <w:trHeight w:val="436"/>
        </w:trPr>
        <w:tc>
          <w:tcPr>
            <w:cnfStyle w:val="001000000000" w:firstRow="0" w:lastRow="0" w:firstColumn="1" w:lastColumn="0" w:oddVBand="0" w:evenVBand="0" w:oddHBand="0" w:evenHBand="0" w:firstRowFirstColumn="0" w:firstRowLastColumn="0" w:lastRowFirstColumn="0" w:lastRowLastColumn="0"/>
            <w:tcW w:w="705" w:type="pct"/>
            <w:tcBorders>
              <w:top w:val="single" w:sz="4" w:space="0" w:color="00B0F0"/>
              <w:bottom w:val="single" w:sz="4" w:space="0" w:color="00B0F0"/>
            </w:tcBorders>
            <w:shd w:val="clear" w:color="auto" w:fill="D9D9D9" w:themeFill="background1" w:themeFillShade="D9"/>
            <w:vAlign w:val="center"/>
          </w:tcPr>
          <w:p w14:paraId="024D98FC" w14:textId="77777777" w:rsidR="00DA53C2" w:rsidRPr="00751816" w:rsidRDefault="00DA53C2" w:rsidP="00DA53C2">
            <w:pPr>
              <w:spacing w:before="120" w:after="120" w:line="240" w:lineRule="atLeast"/>
              <w:contextualSpacing/>
              <w:rPr>
                <w:rFonts w:ascii="Tahoma" w:hAnsi="Tahoma" w:cs="Tahoma"/>
                <w:sz w:val="20"/>
              </w:rPr>
            </w:pPr>
            <w:r w:rsidRPr="00C0205D">
              <w:rPr>
                <w:rFonts w:ascii="Tahoma" w:hAnsi="Tahoma" w:cs="Tahoma"/>
                <w:sz w:val="20"/>
              </w:rPr>
              <w:t xml:space="preserve">Tariff R </w:t>
            </w:r>
            <w:r>
              <w:rPr>
                <w:rFonts w:ascii="Tahoma" w:hAnsi="Tahoma" w:cs="Tahoma"/>
                <w:sz w:val="20"/>
              </w:rPr>
              <w:t xml:space="preserve">- </w:t>
            </w:r>
            <w:r w:rsidRPr="00C0205D">
              <w:rPr>
                <w:rFonts w:ascii="Tahoma" w:hAnsi="Tahoma" w:cs="Tahoma"/>
                <w:sz w:val="20"/>
              </w:rPr>
              <w:t>Tanunda</w:t>
            </w:r>
          </w:p>
        </w:tc>
        <w:tc>
          <w:tcPr>
            <w:tcW w:w="1672" w:type="pct"/>
            <w:tcBorders>
              <w:top w:val="single" w:sz="4" w:space="0" w:color="00B0F0"/>
              <w:bottom w:val="single" w:sz="4" w:space="0" w:color="00B0F0"/>
            </w:tcBorders>
          </w:tcPr>
          <w:p w14:paraId="5834D26A" w14:textId="77777777" w:rsidR="00DA53C2" w:rsidRPr="00F24616"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Revenue </w:t>
            </w:r>
            <w:r w:rsidRPr="00F24616">
              <w:rPr>
                <w:rFonts w:ascii="Tahoma" w:hAnsi="Tahoma" w:cs="Tahoma"/>
                <w:sz w:val="20"/>
              </w:rPr>
              <w:t xml:space="preserve">data </w:t>
            </w:r>
            <w:r>
              <w:rPr>
                <w:rFonts w:ascii="Tahoma" w:hAnsi="Tahoma" w:cs="Tahoma"/>
                <w:sz w:val="20"/>
              </w:rPr>
              <w:t>are</w:t>
            </w:r>
            <w:r w:rsidRPr="00F24616">
              <w:rPr>
                <w:rFonts w:ascii="Tahoma" w:hAnsi="Tahoma" w:cs="Tahoma"/>
                <w:sz w:val="20"/>
              </w:rPr>
              <w:t xml:space="preserve"> sourced from the data files which are used to populate the Gas Tariff Models submitted to the AER each year as part of the annual tariff submissions for South Australia. Since the tariffs for 2021/22 have not yet been </w:t>
            </w:r>
            <w:r w:rsidRPr="00F24616">
              <w:rPr>
                <w:rFonts w:ascii="Tahoma" w:hAnsi="Tahoma" w:cs="Tahoma"/>
                <w:sz w:val="20"/>
              </w:rPr>
              <w:lastRenderedPageBreak/>
              <w:t>submitted, the files have been prepared for the purposes of the RIN and will also be used for the 2021/22 tariff submission.</w:t>
            </w:r>
          </w:p>
          <w:p w14:paraId="7D790871" w14:textId="77777777" w:rsidR="00DA53C2" w:rsidRPr="00F24616"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745D262" w14:textId="77777777" w:rsidR="00DA53C2" w:rsidRPr="00F24616"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F24616">
              <w:rPr>
                <w:rFonts w:ascii="Tahoma" w:hAnsi="Tahoma" w:cs="Tahoma"/>
                <w:sz w:val="20"/>
              </w:rPr>
              <w:t>Tariff R and Tariff C are split into a tariff excluding Tanunda (South Australia excluding Tanunda) and then the Tanunda tariff. The first natural gas was delivered to the Tanunda township in 2015/16.</w:t>
            </w:r>
          </w:p>
          <w:p w14:paraId="3CA4D2D7" w14:textId="77777777" w:rsidR="00DA53C2" w:rsidRPr="00F24616"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13727FC" w14:textId="65498F0E" w:rsidR="00DA53C2" w:rsidRPr="0078407D"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sidRPr="00F24616">
              <w:rPr>
                <w:rFonts w:ascii="Tahoma" w:hAnsi="Tahoma" w:cs="Tahoma"/>
                <w:sz w:val="20"/>
              </w:rPr>
              <w:t xml:space="preserve">2019/20 has been sourced from the same systems, and the underlying report is in the same form, as the reports produced for the purposes of annual tariff adjustments, and is therefore equivalent to the files used to populate the other years in </w:t>
            </w:r>
            <w:r>
              <w:rPr>
                <w:rFonts w:ascii="Tahoma" w:hAnsi="Tahoma" w:cs="Tahoma"/>
                <w:sz w:val="20"/>
              </w:rPr>
              <w:t xml:space="preserve">table F3.1.1 </w:t>
            </w:r>
            <w:r w:rsidRPr="00F24616">
              <w:rPr>
                <w:rFonts w:ascii="Tahoma" w:hAnsi="Tahoma" w:cs="Tahoma"/>
                <w:sz w:val="20"/>
              </w:rPr>
              <w:t>which were used for annual tariff adjustments.</w:t>
            </w:r>
          </w:p>
        </w:tc>
        <w:tc>
          <w:tcPr>
            <w:tcW w:w="808" w:type="pct"/>
            <w:tcBorders>
              <w:top w:val="single" w:sz="4" w:space="0" w:color="00B0F0"/>
              <w:bottom w:val="single" w:sz="4" w:space="0" w:color="00B0F0"/>
            </w:tcBorders>
            <w:vAlign w:val="center"/>
          </w:tcPr>
          <w:p w14:paraId="5C05A41F" w14:textId="77777777" w:rsidR="00DA53C2" w:rsidRPr="00751816"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34" w:type="pct"/>
            <w:tcBorders>
              <w:top w:val="single" w:sz="4" w:space="0" w:color="00B0F0"/>
              <w:bottom w:val="single" w:sz="4" w:space="0" w:color="00B0F0"/>
            </w:tcBorders>
            <w:vAlign w:val="center"/>
          </w:tcPr>
          <w:p w14:paraId="5F760E3B" w14:textId="1F3F53B1" w:rsidR="00DA53C2" w:rsidRPr="00751816" w:rsidRDefault="00DA53C2" w:rsidP="00DA53C2">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4F0CC686" w14:textId="1259EF55" w:rsidR="00DA53C2" w:rsidRPr="00751816" w:rsidRDefault="00DA53C2" w:rsidP="00DA53C2">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DA53C2" w:rsidRPr="00751816" w14:paraId="39EAFF30" w14:textId="77777777" w:rsidTr="006148C3">
        <w:trPr>
          <w:trHeight w:val="436"/>
        </w:trPr>
        <w:tc>
          <w:tcPr>
            <w:cnfStyle w:val="001000000000" w:firstRow="0" w:lastRow="0" w:firstColumn="1" w:lastColumn="0" w:oddVBand="0" w:evenVBand="0" w:oddHBand="0" w:evenHBand="0" w:firstRowFirstColumn="0" w:firstRowLastColumn="0" w:lastRowFirstColumn="0" w:lastRowLastColumn="0"/>
            <w:tcW w:w="705" w:type="pct"/>
            <w:tcBorders>
              <w:top w:val="single" w:sz="4" w:space="0" w:color="00B0F0"/>
              <w:bottom w:val="single" w:sz="4" w:space="0" w:color="00B0F0"/>
            </w:tcBorders>
            <w:shd w:val="clear" w:color="auto" w:fill="D9D9D9" w:themeFill="background1" w:themeFillShade="D9"/>
            <w:vAlign w:val="center"/>
          </w:tcPr>
          <w:p w14:paraId="12758DEE" w14:textId="77777777" w:rsidR="00DA53C2" w:rsidRPr="00751816" w:rsidRDefault="00DA53C2" w:rsidP="00DA53C2">
            <w:pPr>
              <w:spacing w:before="120" w:after="120" w:line="240" w:lineRule="atLeast"/>
              <w:contextualSpacing/>
              <w:rPr>
                <w:rFonts w:ascii="Tahoma" w:hAnsi="Tahoma" w:cs="Tahoma"/>
                <w:sz w:val="20"/>
              </w:rPr>
            </w:pPr>
            <w:r>
              <w:rPr>
                <w:rFonts w:ascii="Tahoma" w:hAnsi="Tahoma" w:cs="Tahoma"/>
                <w:sz w:val="20"/>
              </w:rPr>
              <w:t xml:space="preserve">Tariff C - </w:t>
            </w:r>
            <w:r w:rsidRPr="002908FE">
              <w:rPr>
                <w:rFonts w:ascii="Tahoma" w:hAnsi="Tahoma" w:cs="Tahoma"/>
                <w:sz w:val="20"/>
              </w:rPr>
              <w:t>excluding Tanunda</w:t>
            </w:r>
          </w:p>
        </w:tc>
        <w:tc>
          <w:tcPr>
            <w:tcW w:w="1672" w:type="pct"/>
            <w:tcBorders>
              <w:top w:val="single" w:sz="4" w:space="0" w:color="00B0F0"/>
              <w:bottom w:val="single" w:sz="4" w:space="0" w:color="00B0F0"/>
            </w:tcBorders>
          </w:tcPr>
          <w:p w14:paraId="7E9766C0" w14:textId="77777777" w:rsidR="00DA53C2" w:rsidRPr="00F24616"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Revenue </w:t>
            </w:r>
            <w:r w:rsidRPr="00F24616">
              <w:rPr>
                <w:rFonts w:ascii="Tahoma" w:hAnsi="Tahoma" w:cs="Tahoma"/>
                <w:sz w:val="20"/>
              </w:rPr>
              <w:t xml:space="preserve">data </w:t>
            </w:r>
            <w:r>
              <w:rPr>
                <w:rFonts w:ascii="Tahoma" w:hAnsi="Tahoma" w:cs="Tahoma"/>
                <w:sz w:val="20"/>
              </w:rPr>
              <w:t>are</w:t>
            </w:r>
            <w:r w:rsidRPr="00F24616">
              <w:rPr>
                <w:rFonts w:ascii="Tahoma" w:hAnsi="Tahoma" w:cs="Tahoma"/>
                <w:sz w:val="20"/>
              </w:rPr>
              <w:t xml:space="preserve"> sourced from the data files which are used to populate the Gas Tariff Models submitted to the AER each year as part of the annual tariff submissions for South Australia. Since the tariffs for 2021/22 have not yet been submitted, the files have been prepared for the purposes of the RIN and will also be used for the 2021/22 tariff submission.</w:t>
            </w:r>
          </w:p>
          <w:p w14:paraId="114DC053" w14:textId="77777777" w:rsidR="00DA53C2" w:rsidRPr="00F24616"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ED7EB45" w14:textId="77777777" w:rsidR="00DA53C2" w:rsidRPr="00F24616"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F24616">
              <w:rPr>
                <w:rFonts w:ascii="Tahoma" w:hAnsi="Tahoma" w:cs="Tahoma"/>
                <w:sz w:val="20"/>
              </w:rPr>
              <w:t>Tariff R and Tariff C are split into a tariff excluding Tanunda (South Australia excluding Tanunda) and then the Tanunda tariff. The first natural gas was delivered to the Tanunda township in 2015/16.</w:t>
            </w:r>
          </w:p>
          <w:p w14:paraId="6C699BF7" w14:textId="77777777" w:rsidR="00DA53C2" w:rsidRPr="00F24616"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044B871" w14:textId="1C30B01E" w:rsidR="00DA53C2" w:rsidRPr="0078407D"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sidRPr="00F24616">
              <w:rPr>
                <w:rFonts w:ascii="Tahoma" w:hAnsi="Tahoma" w:cs="Tahoma"/>
                <w:sz w:val="20"/>
              </w:rPr>
              <w:t xml:space="preserve">2019/20 has been sourced from the same systems, and the underlying report is in the same form, as the reports produced for the purposes of </w:t>
            </w:r>
            <w:r w:rsidRPr="00F24616">
              <w:rPr>
                <w:rFonts w:ascii="Tahoma" w:hAnsi="Tahoma" w:cs="Tahoma"/>
                <w:sz w:val="20"/>
              </w:rPr>
              <w:lastRenderedPageBreak/>
              <w:t xml:space="preserve">annual tariff adjustments, and is therefore equivalent to the files used to populate the other years in </w:t>
            </w:r>
            <w:r>
              <w:rPr>
                <w:rFonts w:ascii="Tahoma" w:hAnsi="Tahoma" w:cs="Tahoma"/>
                <w:sz w:val="20"/>
              </w:rPr>
              <w:t xml:space="preserve">table F3.1.1 </w:t>
            </w:r>
            <w:r w:rsidRPr="00F24616">
              <w:rPr>
                <w:rFonts w:ascii="Tahoma" w:hAnsi="Tahoma" w:cs="Tahoma"/>
                <w:sz w:val="20"/>
              </w:rPr>
              <w:t>which were used for annual tariff adjustments.</w:t>
            </w:r>
          </w:p>
        </w:tc>
        <w:tc>
          <w:tcPr>
            <w:tcW w:w="808" w:type="pct"/>
            <w:tcBorders>
              <w:top w:val="single" w:sz="4" w:space="0" w:color="00B0F0"/>
              <w:bottom w:val="single" w:sz="4" w:space="0" w:color="00B0F0"/>
            </w:tcBorders>
            <w:vAlign w:val="center"/>
          </w:tcPr>
          <w:p w14:paraId="37648ED5" w14:textId="77777777" w:rsidR="00DA53C2" w:rsidRPr="00751816"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34" w:type="pct"/>
            <w:tcBorders>
              <w:top w:val="single" w:sz="4" w:space="0" w:color="00B0F0"/>
              <w:bottom w:val="single" w:sz="4" w:space="0" w:color="00B0F0"/>
            </w:tcBorders>
            <w:vAlign w:val="center"/>
          </w:tcPr>
          <w:p w14:paraId="27C85BAB" w14:textId="7605F094" w:rsidR="00DA53C2" w:rsidRPr="00751816" w:rsidRDefault="00DA53C2" w:rsidP="00DA53C2">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4C71843D" w14:textId="0315CA7E" w:rsidR="00DA53C2" w:rsidRPr="00751816" w:rsidRDefault="00DA53C2" w:rsidP="00DA53C2">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FC64B1" w:rsidRPr="00751816" w14:paraId="60CFB37F" w14:textId="77777777" w:rsidTr="00BE09C7">
        <w:trPr>
          <w:trHeight w:val="436"/>
        </w:trPr>
        <w:tc>
          <w:tcPr>
            <w:cnfStyle w:val="001000000000" w:firstRow="0" w:lastRow="0" w:firstColumn="1" w:lastColumn="0" w:oddVBand="0" w:evenVBand="0" w:oddHBand="0" w:evenHBand="0" w:firstRowFirstColumn="0" w:firstRowLastColumn="0" w:lastRowFirstColumn="0" w:lastRowLastColumn="0"/>
            <w:tcW w:w="705" w:type="pct"/>
            <w:tcBorders>
              <w:top w:val="single" w:sz="4" w:space="0" w:color="00B0F0"/>
              <w:bottom w:val="single" w:sz="4" w:space="0" w:color="00B0F0"/>
            </w:tcBorders>
            <w:shd w:val="clear" w:color="auto" w:fill="D9D9D9" w:themeFill="background1" w:themeFillShade="D9"/>
            <w:vAlign w:val="center"/>
          </w:tcPr>
          <w:p w14:paraId="074CA4EA" w14:textId="77777777" w:rsidR="00FC64B1" w:rsidRPr="00751816" w:rsidRDefault="00FC64B1" w:rsidP="001664CF">
            <w:pPr>
              <w:spacing w:before="120" w:after="120" w:line="240" w:lineRule="atLeast"/>
              <w:contextualSpacing/>
              <w:rPr>
                <w:rFonts w:ascii="Tahoma" w:hAnsi="Tahoma" w:cs="Tahoma"/>
                <w:sz w:val="20"/>
              </w:rPr>
            </w:pPr>
            <w:r>
              <w:rPr>
                <w:rFonts w:ascii="Tahoma" w:hAnsi="Tahoma" w:cs="Tahoma"/>
                <w:sz w:val="20"/>
              </w:rPr>
              <w:t xml:space="preserve">Tariff C - </w:t>
            </w:r>
            <w:r w:rsidRPr="002908FE">
              <w:rPr>
                <w:rFonts w:ascii="Tahoma" w:hAnsi="Tahoma" w:cs="Tahoma"/>
                <w:sz w:val="20"/>
              </w:rPr>
              <w:t>Tanunda</w:t>
            </w:r>
          </w:p>
        </w:tc>
        <w:tc>
          <w:tcPr>
            <w:tcW w:w="1672" w:type="pct"/>
            <w:tcBorders>
              <w:top w:val="single" w:sz="4" w:space="0" w:color="00B0F0"/>
              <w:bottom w:val="single" w:sz="4" w:space="0" w:color="00B0F0"/>
            </w:tcBorders>
            <w:vAlign w:val="center"/>
          </w:tcPr>
          <w:p w14:paraId="38729AE3" w14:textId="77777777" w:rsidR="00DA53C2" w:rsidRPr="00F24616"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Revenue </w:t>
            </w:r>
            <w:r w:rsidRPr="00F24616">
              <w:rPr>
                <w:rFonts w:ascii="Tahoma" w:hAnsi="Tahoma" w:cs="Tahoma"/>
                <w:sz w:val="20"/>
              </w:rPr>
              <w:t xml:space="preserve">data </w:t>
            </w:r>
            <w:r>
              <w:rPr>
                <w:rFonts w:ascii="Tahoma" w:hAnsi="Tahoma" w:cs="Tahoma"/>
                <w:sz w:val="20"/>
              </w:rPr>
              <w:t>are</w:t>
            </w:r>
            <w:r w:rsidRPr="00F24616">
              <w:rPr>
                <w:rFonts w:ascii="Tahoma" w:hAnsi="Tahoma" w:cs="Tahoma"/>
                <w:sz w:val="20"/>
              </w:rPr>
              <w:t xml:space="preserve"> sourced from the data files which are used to populate the Gas Tariff Models submitted to the AER each year as part of the annual tariff submissions for South Australia. Since the tariffs for 2021/22 have not yet been submitted, the files have been prepared for the purposes of the RIN and will also be used for the 2021/22 tariff submission.</w:t>
            </w:r>
          </w:p>
          <w:p w14:paraId="1FACDB9F" w14:textId="77777777" w:rsidR="00DA53C2" w:rsidRPr="00F24616"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5721E7B" w14:textId="77777777" w:rsidR="00DA53C2" w:rsidRPr="00F24616"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F24616">
              <w:rPr>
                <w:rFonts w:ascii="Tahoma" w:hAnsi="Tahoma" w:cs="Tahoma"/>
                <w:sz w:val="20"/>
              </w:rPr>
              <w:t>Tariff R and Tariff C are split into a tariff excluding Tanunda (South Australia excluding Tanunda) and then the Tanunda tariff. The first natural gas was delivered to the Tanunda township in 2015/16.</w:t>
            </w:r>
          </w:p>
          <w:p w14:paraId="4608259B" w14:textId="77777777" w:rsidR="00DA53C2" w:rsidRPr="00F24616"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9E9014D" w14:textId="2DC8E02A" w:rsidR="00FC64B1" w:rsidRPr="0078407D" w:rsidRDefault="00DA53C2"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sidRPr="00F24616">
              <w:rPr>
                <w:rFonts w:ascii="Tahoma" w:hAnsi="Tahoma" w:cs="Tahoma"/>
                <w:sz w:val="20"/>
              </w:rPr>
              <w:t xml:space="preserve">2019/20 has been sourced from the same systems, and the underlying report is in the same form, as the reports produced for the purposes of annual tariff adjustments, and is therefore equivalent to the files used to populate the other years in </w:t>
            </w:r>
            <w:r>
              <w:rPr>
                <w:rFonts w:ascii="Tahoma" w:hAnsi="Tahoma" w:cs="Tahoma"/>
                <w:sz w:val="20"/>
              </w:rPr>
              <w:t xml:space="preserve">table F3.1.1 </w:t>
            </w:r>
            <w:r w:rsidRPr="00F24616">
              <w:rPr>
                <w:rFonts w:ascii="Tahoma" w:hAnsi="Tahoma" w:cs="Tahoma"/>
                <w:sz w:val="20"/>
              </w:rPr>
              <w:t>which were used for annual tariff adjustments.</w:t>
            </w:r>
          </w:p>
        </w:tc>
        <w:tc>
          <w:tcPr>
            <w:tcW w:w="808" w:type="pct"/>
            <w:tcBorders>
              <w:top w:val="single" w:sz="4" w:space="0" w:color="00B0F0"/>
              <w:bottom w:val="single" w:sz="4" w:space="0" w:color="00B0F0"/>
            </w:tcBorders>
            <w:vAlign w:val="center"/>
          </w:tcPr>
          <w:p w14:paraId="0AE3BC52" w14:textId="77777777" w:rsidR="00FC64B1" w:rsidRPr="00751816" w:rsidRDefault="00FC64B1" w:rsidP="00BE09C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34" w:type="pct"/>
            <w:tcBorders>
              <w:top w:val="single" w:sz="4" w:space="0" w:color="00B0F0"/>
              <w:bottom w:val="single" w:sz="4" w:space="0" w:color="00B0F0"/>
            </w:tcBorders>
            <w:vAlign w:val="center"/>
          </w:tcPr>
          <w:p w14:paraId="5DBC44FE" w14:textId="4A5334DC" w:rsidR="00FC64B1" w:rsidRPr="00751816" w:rsidRDefault="00FC64B1" w:rsidP="001C016D">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1AAFAEC0" w14:textId="5CEB4F6F" w:rsidR="00FC64B1" w:rsidRPr="00751816" w:rsidRDefault="00FC64B1" w:rsidP="001C016D">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FC64B1" w:rsidRPr="00751816" w14:paraId="0FB566B8" w14:textId="77777777" w:rsidTr="00BE09C7">
        <w:trPr>
          <w:trHeight w:val="436"/>
        </w:trPr>
        <w:tc>
          <w:tcPr>
            <w:cnfStyle w:val="001000000000" w:firstRow="0" w:lastRow="0" w:firstColumn="1" w:lastColumn="0" w:oddVBand="0" w:evenVBand="0" w:oddHBand="0" w:evenHBand="0" w:firstRowFirstColumn="0" w:firstRowLastColumn="0" w:lastRowFirstColumn="0" w:lastRowLastColumn="0"/>
            <w:tcW w:w="705" w:type="pct"/>
            <w:tcBorders>
              <w:top w:val="single" w:sz="4" w:space="0" w:color="00B0F0"/>
              <w:bottom w:val="single" w:sz="4" w:space="0" w:color="00B0F0"/>
            </w:tcBorders>
            <w:shd w:val="clear" w:color="auto" w:fill="D9D9D9" w:themeFill="background1" w:themeFillShade="D9"/>
            <w:vAlign w:val="center"/>
          </w:tcPr>
          <w:p w14:paraId="1B25EE60" w14:textId="77777777" w:rsidR="00FC64B1" w:rsidRPr="00751816" w:rsidRDefault="00FC64B1" w:rsidP="001664CF">
            <w:pPr>
              <w:spacing w:before="120" w:after="120" w:line="240" w:lineRule="atLeast"/>
              <w:contextualSpacing/>
              <w:rPr>
                <w:rFonts w:ascii="Tahoma" w:hAnsi="Tahoma" w:cs="Tahoma"/>
                <w:sz w:val="20"/>
              </w:rPr>
            </w:pPr>
            <w:r>
              <w:rPr>
                <w:rFonts w:ascii="Tahoma" w:hAnsi="Tahoma" w:cs="Tahoma"/>
                <w:sz w:val="20"/>
              </w:rPr>
              <w:t xml:space="preserve">Tariff D </w:t>
            </w:r>
          </w:p>
        </w:tc>
        <w:tc>
          <w:tcPr>
            <w:tcW w:w="1672" w:type="pct"/>
            <w:tcBorders>
              <w:top w:val="single" w:sz="4" w:space="0" w:color="00B0F0"/>
              <w:bottom w:val="single" w:sz="4" w:space="0" w:color="00B0F0"/>
            </w:tcBorders>
            <w:vAlign w:val="center"/>
          </w:tcPr>
          <w:p w14:paraId="05D8F0C7" w14:textId="77777777" w:rsidR="00DA53C2" w:rsidRPr="00F24616"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Revenue </w:t>
            </w:r>
            <w:r w:rsidRPr="00F24616">
              <w:rPr>
                <w:rFonts w:ascii="Tahoma" w:hAnsi="Tahoma" w:cs="Tahoma"/>
                <w:sz w:val="20"/>
              </w:rPr>
              <w:t xml:space="preserve">data </w:t>
            </w:r>
            <w:r>
              <w:rPr>
                <w:rFonts w:ascii="Tahoma" w:hAnsi="Tahoma" w:cs="Tahoma"/>
                <w:sz w:val="20"/>
              </w:rPr>
              <w:t>are</w:t>
            </w:r>
            <w:r w:rsidRPr="00F24616">
              <w:rPr>
                <w:rFonts w:ascii="Tahoma" w:hAnsi="Tahoma" w:cs="Tahoma"/>
                <w:sz w:val="20"/>
              </w:rPr>
              <w:t xml:space="preserve"> sourced from the data files which are used to populate the Gas Tariff Models submitted to the AER each year as part of the annual tariff submissions for South Australia. Since the tariffs for 2021/22 have not yet been submitted, the files have been prepared for the </w:t>
            </w:r>
            <w:r w:rsidRPr="00F24616">
              <w:rPr>
                <w:rFonts w:ascii="Tahoma" w:hAnsi="Tahoma" w:cs="Tahoma"/>
                <w:sz w:val="20"/>
              </w:rPr>
              <w:lastRenderedPageBreak/>
              <w:t>purposes of the RIN and will also be used for the 2021/22 tariff submission.</w:t>
            </w:r>
          </w:p>
          <w:p w14:paraId="6E99B83D" w14:textId="77777777" w:rsidR="00DA53C2" w:rsidRPr="00F24616"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A3DF3F9" w14:textId="77777777" w:rsidR="00DA53C2" w:rsidRPr="00F24616"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F24616">
              <w:rPr>
                <w:rFonts w:ascii="Tahoma" w:hAnsi="Tahoma" w:cs="Tahoma"/>
                <w:sz w:val="20"/>
              </w:rPr>
              <w:t>Tariff R and Tariff C are split into a tariff excluding Tanunda (South Australia excluding Tanunda) and then the Tanunda tariff. The first natural gas was delivered to the Tanunda township in 2015/16.</w:t>
            </w:r>
          </w:p>
          <w:p w14:paraId="55C55C04" w14:textId="77777777" w:rsidR="00DA53C2" w:rsidRPr="00F24616" w:rsidRDefault="00DA53C2" w:rsidP="00DA53C2">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2D8E23E" w14:textId="02B81E20" w:rsidR="00FC64B1" w:rsidRPr="0078407D" w:rsidRDefault="00DA53C2"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sidRPr="00F24616">
              <w:rPr>
                <w:rFonts w:ascii="Tahoma" w:hAnsi="Tahoma" w:cs="Tahoma"/>
                <w:sz w:val="20"/>
              </w:rPr>
              <w:t xml:space="preserve">2019/20 has been sourced from the same systems, and the underlying report is in the same form, as the reports produced for the purposes of annual tariff adjustments, and is therefore equivalent to the files used to populate the other years in </w:t>
            </w:r>
            <w:r>
              <w:rPr>
                <w:rFonts w:ascii="Tahoma" w:hAnsi="Tahoma" w:cs="Tahoma"/>
                <w:sz w:val="20"/>
              </w:rPr>
              <w:t xml:space="preserve">table F3.1.1 </w:t>
            </w:r>
            <w:r w:rsidRPr="00F24616">
              <w:rPr>
                <w:rFonts w:ascii="Tahoma" w:hAnsi="Tahoma" w:cs="Tahoma"/>
                <w:sz w:val="20"/>
              </w:rPr>
              <w:t>which were used for annual tariff adjustments.</w:t>
            </w:r>
          </w:p>
        </w:tc>
        <w:tc>
          <w:tcPr>
            <w:tcW w:w="808" w:type="pct"/>
            <w:tcBorders>
              <w:top w:val="single" w:sz="4" w:space="0" w:color="00B0F0"/>
              <w:bottom w:val="single" w:sz="4" w:space="0" w:color="00B0F0"/>
            </w:tcBorders>
            <w:vAlign w:val="center"/>
          </w:tcPr>
          <w:p w14:paraId="256C30CD" w14:textId="77777777" w:rsidR="00FC64B1" w:rsidRPr="00751816" w:rsidRDefault="00FC64B1" w:rsidP="00BE09C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34" w:type="pct"/>
            <w:tcBorders>
              <w:top w:val="single" w:sz="4" w:space="0" w:color="00B0F0"/>
              <w:bottom w:val="single" w:sz="4" w:space="0" w:color="00B0F0"/>
            </w:tcBorders>
            <w:vAlign w:val="center"/>
          </w:tcPr>
          <w:p w14:paraId="4298FEDD" w14:textId="18EBC6E9" w:rsidR="00FC64B1" w:rsidRPr="00751816" w:rsidRDefault="00FC64B1" w:rsidP="001C016D">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02764EB0" w14:textId="5A34068A" w:rsidR="00FC64B1" w:rsidRPr="00751816" w:rsidRDefault="00FC64B1" w:rsidP="001C016D">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bookmarkEnd w:id="43"/>
    </w:tbl>
    <w:p w14:paraId="0C074801" w14:textId="77777777" w:rsidR="00DA53C2" w:rsidRPr="00C4077D" w:rsidRDefault="00DA53C2" w:rsidP="00C4077D">
      <w:pPr>
        <w:rPr>
          <w:rFonts w:ascii="Tahoma" w:hAnsi="Tahoma" w:cs="Tahoma"/>
          <w:sz w:val="20"/>
        </w:rPr>
      </w:pPr>
    </w:p>
    <w:p w14:paraId="0ACE2EFD" w14:textId="0027A590" w:rsidR="008F0618" w:rsidRDefault="008F0618" w:rsidP="0071215F">
      <w:pPr>
        <w:pStyle w:val="Heading2"/>
        <w:rPr>
          <w:rFonts w:ascii="Tahoma" w:hAnsi="Tahoma" w:cs="Tahoma"/>
          <w:color w:val="003C71"/>
        </w:rPr>
      </w:pPr>
      <w:bookmarkStart w:id="44" w:name="_Toc57314088"/>
      <w:r w:rsidRPr="0071215F">
        <w:rPr>
          <w:rFonts w:ascii="Tahoma" w:hAnsi="Tahoma" w:cs="Tahoma"/>
          <w:color w:val="003C71"/>
        </w:rPr>
        <w:t>F3.2 – Ancillary Reference Services</w:t>
      </w:r>
      <w:bookmarkEnd w:id="44"/>
    </w:p>
    <w:tbl>
      <w:tblPr>
        <w:tblStyle w:val="UETableStyle"/>
        <w:tblW w:w="4993" w:type="pct"/>
        <w:tblInd w:w="-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46"/>
        <w:gridCol w:w="4613"/>
        <w:gridCol w:w="2227"/>
        <w:gridCol w:w="3273"/>
        <w:gridCol w:w="1879"/>
      </w:tblGrid>
      <w:tr w:rsidR="00A412BF" w:rsidRPr="00751816" w14:paraId="48F407E0" w14:textId="77777777" w:rsidTr="00493FA7">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698" w:type="pct"/>
            <w:tcBorders>
              <w:bottom w:val="single" w:sz="4" w:space="0" w:color="00B0F0"/>
            </w:tcBorders>
            <w:shd w:val="clear" w:color="auto" w:fill="003C71"/>
            <w:hideMark/>
          </w:tcPr>
          <w:p w14:paraId="0F0615AC" w14:textId="38992E6D" w:rsidR="00A412BF" w:rsidRPr="00751816" w:rsidRDefault="00A412BF" w:rsidP="00443597">
            <w:pPr>
              <w:rPr>
                <w:rFonts w:ascii="Tahoma" w:hAnsi="Tahoma" w:cs="Tahoma"/>
                <w:b/>
                <w:color w:val="FFFFFF"/>
                <w:sz w:val="20"/>
              </w:rPr>
            </w:pPr>
            <w:r w:rsidRPr="00751816">
              <w:rPr>
                <w:rFonts w:ascii="Tahoma" w:hAnsi="Tahoma" w:cs="Tahoma"/>
                <w:b/>
                <w:color w:val="FFFFFF"/>
                <w:sz w:val="20"/>
              </w:rPr>
              <w:t xml:space="preserve">Variable </w:t>
            </w:r>
          </w:p>
        </w:tc>
        <w:tc>
          <w:tcPr>
            <w:tcW w:w="1655" w:type="pct"/>
            <w:tcBorders>
              <w:bottom w:val="single" w:sz="4" w:space="0" w:color="00B0F0"/>
            </w:tcBorders>
            <w:shd w:val="clear" w:color="auto" w:fill="003C71"/>
          </w:tcPr>
          <w:p w14:paraId="777A2CF1" w14:textId="77777777" w:rsidR="00A412BF" w:rsidRPr="00751816" w:rsidRDefault="00A412BF"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799" w:type="pct"/>
            <w:tcBorders>
              <w:bottom w:val="single" w:sz="4" w:space="0" w:color="00B0F0"/>
            </w:tcBorders>
            <w:shd w:val="clear" w:color="auto" w:fill="003C71"/>
          </w:tcPr>
          <w:p w14:paraId="251B0201" w14:textId="77777777" w:rsidR="00A412BF" w:rsidRPr="00751816" w:rsidRDefault="00A412BF"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174" w:type="pct"/>
            <w:tcBorders>
              <w:bottom w:val="single" w:sz="4" w:space="0" w:color="00B0F0"/>
            </w:tcBorders>
            <w:shd w:val="clear" w:color="auto" w:fill="003C71"/>
          </w:tcPr>
          <w:p w14:paraId="18289BEF" w14:textId="77777777" w:rsidR="00A412BF" w:rsidRPr="00751816" w:rsidRDefault="00A412BF"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74" w:type="pct"/>
            <w:tcBorders>
              <w:bottom w:val="single" w:sz="4" w:space="0" w:color="00B0F0"/>
            </w:tcBorders>
            <w:shd w:val="clear" w:color="auto" w:fill="003C71"/>
          </w:tcPr>
          <w:p w14:paraId="68F2E2CF" w14:textId="77777777" w:rsidR="00A412BF" w:rsidRPr="00751816" w:rsidRDefault="00A412BF"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493FA7" w:rsidRPr="00751816" w14:paraId="2A804EB6" w14:textId="77777777" w:rsidTr="00443597">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283"/>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00B0F0"/>
              <w:bottom w:val="single" w:sz="4" w:space="0" w:color="00B0F0"/>
            </w:tcBorders>
            <w:shd w:val="clear" w:color="auto" w:fill="00A3E0"/>
          </w:tcPr>
          <w:p w14:paraId="6CBE0472" w14:textId="6D99F661" w:rsidR="00493FA7" w:rsidRPr="004E3907" w:rsidRDefault="008418D3" w:rsidP="001C016D">
            <w:pPr>
              <w:spacing w:before="120" w:after="120" w:line="240" w:lineRule="atLeast"/>
              <w:contextualSpacing/>
              <w:rPr>
                <w:rFonts w:ascii="Tahoma" w:hAnsi="Tahoma" w:cs="Tahoma"/>
                <w:sz w:val="20"/>
              </w:rPr>
            </w:pPr>
            <w:r>
              <w:rPr>
                <w:rFonts w:ascii="Tahoma" w:hAnsi="Tahoma" w:cs="Tahoma"/>
                <w:sz w:val="20"/>
              </w:rPr>
              <w:t>2019/20</w:t>
            </w:r>
          </w:p>
        </w:tc>
        <w:tc>
          <w:tcPr>
            <w:tcW w:w="4302" w:type="pct"/>
            <w:gridSpan w:val="4"/>
            <w:tcBorders>
              <w:top w:val="single" w:sz="4" w:space="0" w:color="00B0F0"/>
              <w:left w:val="nil"/>
              <w:bottom w:val="single" w:sz="4" w:space="0" w:color="00B0F0"/>
              <w:right w:val="nil"/>
            </w:tcBorders>
            <w:shd w:val="clear" w:color="auto" w:fill="00A3E0"/>
          </w:tcPr>
          <w:p w14:paraId="194C986D" w14:textId="23C978C4" w:rsidR="00493FA7" w:rsidRPr="00751816" w:rsidRDefault="00493FA7"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A412BF" w:rsidRPr="00751816" w14:paraId="115F05D8" w14:textId="77777777" w:rsidTr="00443597">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36"/>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00B0F0"/>
              <w:bottom w:val="single" w:sz="4" w:space="0" w:color="00B0F0"/>
            </w:tcBorders>
            <w:vAlign w:val="center"/>
          </w:tcPr>
          <w:p w14:paraId="1758700A" w14:textId="77777777" w:rsidR="00A412BF" w:rsidRPr="00751816" w:rsidRDefault="00A412BF" w:rsidP="00443597">
            <w:pPr>
              <w:spacing w:before="120" w:after="120" w:line="240" w:lineRule="atLeast"/>
              <w:contextualSpacing/>
              <w:rPr>
                <w:rFonts w:ascii="Tahoma" w:hAnsi="Tahoma" w:cs="Tahoma"/>
                <w:sz w:val="20"/>
              </w:rPr>
            </w:pPr>
            <w:r w:rsidRPr="004E3907">
              <w:rPr>
                <w:rFonts w:ascii="Tahoma" w:hAnsi="Tahoma" w:cs="Tahoma"/>
                <w:sz w:val="20"/>
              </w:rPr>
              <w:t>Disconnection</w:t>
            </w:r>
          </w:p>
        </w:tc>
        <w:tc>
          <w:tcPr>
            <w:tcW w:w="1655" w:type="pct"/>
            <w:tcBorders>
              <w:top w:val="single" w:sz="4" w:space="0" w:color="00B0F0"/>
              <w:left w:val="nil"/>
              <w:bottom w:val="single" w:sz="4" w:space="0" w:color="00B0F0"/>
              <w:right w:val="nil"/>
            </w:tcBorders>
          </w:tcPr>
          <w:p w14:paraId="36CEF3E5" w14:textId="77777777" w:rsidR="00A412BF" w:rsidRPr="009F46D7"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F46D7">
              <w:rPr>
                <w:rFonts w:ascii="Tahoma" w:hAnsi="Tahoma" w:cs="Tahoma"/>
                <w:sz w:val="20"/>
              </w:rPr>
              <w:t>ARS revenue reported for Disconnections relates to undertaking the following services:</w:t>
            </w:r>
          </w:p>
          <w:p w14:paraId="3C6F5DE0" w14:textId="77777777" w:rsidR="00A412BF" w:rsidRPr="009F46D7" w:rsidRDefault="00A412BF" w:rsidP="00A412BF">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F46D7">
              <w:rPr>
                <w:rFonts w:ascii="Tahoma" w:hAnsi="Tahoma" w:cs="Tahoma"/>
                <w:sz w:val="20"/>
              </w:rPr>
              <w:t>Disconnections – attach locks or plugs to meter for debt</w:t>
            </w:r>
          </w:p>
          <w:p w14:paraId="6C7FB890" w14:textId="002D7043" w:rsidR="00A412BF" w:rsidRDefault="00A412BF" w:rsidP="001C016D">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0"/>
                <w:szCs w:val="22"/>
                <w:lang w:eastAsia="en-US"/>
              </w:rPr>
            </w:pPr>
            <w:r>
              <w:rPr>
                <w:rFonts w:ascii="Tahoma" w:eastAsiaTheme="minorHAnsi" w:hAnsi="Tahoma" w:cs="Tahoma"/>
                <w:sz w:val="20"/>
                <w:szCs w:val="22"/>
                <w:lang w:eastAsia="en-US"/>
              </w:rPr>
              <w:t xml:space="preserve">AGN Limited has contracted APA to provide the services categorised </w:t>
            </w:r>
            <w:r w:rsidR="00473F26">
              <w:rPr>
                <w:rFonts w:ascii="Tahoma" w:eastAsiaTheme="minorHAnsi" w:hAnsi="Tahoma" w:cs="Tahoma"/>
                <w:sz w:val="20"/>
                <w:szCs w:val="22"/>
                <w:lang w:eastAsia="en-US"/>
              </w:rPr>
              <w:t xml:space="preserve">as </w:t>
            </w:r>
            <w:r>
              <w:rPr>
                <w:rFonts w:ascii="Tahoma" w:eastAsiaTheme="minorHAnsi" w:hAnsi="Tahoma" w:cs="Tahoma"/>
                <w:sz w:val="20"/>
                <w:szCs w:val="22"/>
                <w:lang w:eastAsia="en-US"/>
              </w:rPr>
              <w:t xml:space="preserve">ARS.  The information to report ARS revenue against the categories shown in this RIN table has been sourced initially from data provided by APA via its billing system </w:t>
            </w:r>
            <w:r>
              <w:rPr>
                <w:rFonts w:ascii="Tahoma" w:eastAsiaTheme="minorHAnsi" w:hAnsi="Tahoma" w:cs="Tahoma"/>
                <w:sz w:val="20"/>
                <w:szCs w:val="22"/>
                <w:lang w:eastAsia="en-US"/>
              </w:rPr>
              <w:lastRenderedPageBreak/>
              <w:t>(</w:t>
            </w:r>
            <w:r w:rsidR="008D1E02">
              <w:rPr>
                <w:rFonts w:ascii="Tahoma" w:hAnsi="Tahoma" w:cs="Tahoma"/>
                <w:sz w:val="20"/>
              </w:rPr>
              <w:t>Customer Care and Billing</w:t>
            </w:r>
            <w:r>
              <w:rPr>
                <w:rFonts w:ascii="Tahoma" w:eastAsiaTheme="minorHAnsi" w:hAnsi="Tahoma" w:cs="Tahoma"/>
                <w:sz w:val="20"/>
                <w:szCs w:val="22"/>
                <w:lang w:eastAsia="en-US"/>
              </w:rPr>
              <w:t xml:space="preserve">) which is used to provide data to retailers and internally to produce the revenue reported in the RFAs each half year.  This data provided by APA lists revenue against service types that enables AGN Limited to identify revenue for ARS services, amongst other types of services (e.g. Non-reference services).   </w:t>
            </w:r>
          </w:p>
          <w:p w14:paraId="7AD86F35" w14:textId="108E27CA" w:rsidR="00A412BF" w:rsidRPr="000D239E" w:rsidRDefault="00A412BF" w:rsidP="001C016D">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D239E">
              <w:rPr>
                <w:rFonts w:ascii="Tahoma" w:hAnsi="Tahoma" w:cs="Tahoma"/>
                <w:sz w:val="20"/>
              </w:rPr>
              <w:t>APA reconciles</w:t>
            </w:r>
            <w:r>
              <w:rPr>
                <w:rFonts w:ascii="Tahoma" w:hAnsi="Tahoma" w:cs="Tahoma"/>
                <w:sz w:val="20"/>
              </w:rPr>
              <w:t xml:space="preserve"> the revenue figures provided to AGN Limited to its own General</w:t>
            </w:r>
            <w:r w:rsidR="00443597">
              <w:rPr>
                <w:rFonts w:ascii="Tahoma" w:hAnsi="Tahoma" w:cs="Tahoma"/>
                <w:sz w:val="20"/>
              </w:rPr>
              <w:t xml:space="preserve"> Ledger to ensure its accuracy.</w:t>
            </w:r>
          </w:p>
        </w:tc>
        <w:tc>
          <w:tcPr>
            <w:tcW w:w="799" w:type="pct"/>
            <w:tcBorders>
              <w:top w:val="single" w:sz="4" w:space="0" w:color="00B0F0"/>
              <w:left w:val="nil"/>
              <w:bottom w:val="single" w:sz="4" w:space="0" w:color="00B0F0"/>
              <w:right w:val="nil"/>
            </w:tcBorders>
            <w:vAlign w:val="center"/>
          </w:tcPr>
          <w:p w14:paraId="5C2F510B" w14:textId="77777777" w:rsidR="00A412BF" w:rsidRPr="00751816" w:rsidRDefault="00A412BF"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74" w:type="pct"/>
            <w:tcBorders>
              <w:top w:val="single" w:sz="4" w:space="0" w:color="00B0F0"/>
              <w:left w:val="nil"/>
              <w:bottom w:val="single" w:sz="4" w:space="0" w:color="00B0F0"/>
              <w:right w:val="nil"/>
            </w:tcBorders>
          </w:tcPr>
          <w:p w14:paraId="1E44F887" w14:textId="77777777" w:rsidR="00A412BF" w:rsidRPr="00751816"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74" w:type="pct"/>
            <w:tcBorders>
              <w:top w:val="single" w:sz="4" w:space="0" w:color="00B0F0"/>
              <w:left w:val="nil"/>
              <w:bottom w:val="single" w:sz="4" w:space="0" w:color="00B0F0"/>
              <w:right w:val="nil"/>
            </w:tcBorders>
          </w:tcPr>
          <w:p w14:paraId="56FF0B3D" w14:textId="77777777" w:rsidR="00A412BF" w:rsidRPr="00751816"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A412BF" w:rsidRPr="00751816" w14:paraId="38D15978" w14:textId="77777777" w:rsidTr="00443597">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36"/>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00B0F0"/>
              <w:bottom w:val="single" w:sz="4" w:space="0" w:color="00B0F0"/>
            </w:tcBorders>
            <w:vAlign w:val="center"/>
          </w:tcPr>
          <w:p w14:paraId="056FEB6A" w14:textId="77777777" w:rsidR="00A412BF" w:rsidRPr="00751816" w:rsidRDefault="00A412BF" w:rsidP="00443597">
            <w:pPr>
              <w:spacing w:before="120" w:after="120" w:line="240" w:lineRule="atLeast"/>
              <w:contextualSpacing/>
              <w:rPr>
                <w:rFonts w:ascii="Tahoma" w:hAnsi="Tahoma" w:cs="Tahoma"/>
                <w:sz w:val="20"/>
              </w:rPr>
            </w:pPr>
            <w:r w:rsidRPr="004E3907">
              <w:rPr>
                <w:rFonts w:ascii="Tahoma" w:hAnsi="Tahoma" w:cs="Tahoma"/>
                <w:sz w:val="20"/>
              </w:rPr>
              <w:t>Reconnection</w:t>
            </w:r>
          </w:p>
        </w:tc>
        <w:tc>
          <w:tcPr>
            <w:tcW w:w="1655" w:type="pct"/>
            <w:tcBorders>
              <w:top w:val="single" w:sz="4" w:space="0" w:color="00B0F0"/>
              <w:left w:val="nil"/>
              <w:bottom w:val="single" w:sz="4" w:space="0" w:color="00B0F0"/>
              <w:right w:val="nil"/>
            </w:tcBorders>
          </w:tcPr>
          <w:p w14:paraId="31A700F9" w14:textId="77777777" w:rsidR="00A412BF" w:rsidRPr="009F46D7"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F46D7">
              <w:rPr>
                <w:rFonts w:ascii="Tahoma" w:hAnsi="Tahoma" w:cs="Tahoma"/>
                <w:sz w:val="20"/>
              </w:rPr>
              <w:t>ARS revenue reported for Reconnections relates to undertaking the following services:</w:t>
            </w:r>
          </w:p>
          <w:p w14:paraId="6EDD2486" w14:textId="77777777" w:rsidR="00A412BF" w:rsidRPr="009F46D7" w:rsidRDefault="00A412BF" w:rsidP="00A412BF">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F46D7">
              <w:rPr>
                <w:rFonts w:ascii="Tahoma" w:hAnsi="Tahoma" w:cs="Tahoma"/>
                <w:sz w:val="20"/>
              </w:rPr>
              <w:t>Reconnections – meter turn on after debt (includes removal of locks or plugs)</w:t>
            </w:r>
          </w:p>
          <w:p w14:paraId="28D44878" w14:textId="77777777" w:rsidR="0052786D" w:rsidRPr="0052786D" w:rsidRDefault="0052786D" w:rsidP="005278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93B050B" w14:textId="1D4CDD58" w:rsidR="00A412BF" w:rsidRDefault="00A412BF" w:rsidP="001C016D">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0"/>
                <w:szCs w:val="22"/>
                <w:lang w:eastAsia="en-US"/>
              </w:rPr>
            </w:pPr>
            <w:r>
              <w:rPr>
                <w:rFonts w:ascii="Tahoma" w:eastAsiaTheme="minorHAnsi" w:hAnsi="Tahoma" w:cs="Tahoma"/>
                <w:sz w:val="20"/>
                <w:szCs w:val="22"/>
                <w:lang w:eastAsia="en-US"/>
              </w:rPr>
              <w:t xml:space="preserve">AGN Limited has contracted APA to provide the services categorised </w:t>
            </w:r>
            <w:r w:rsidR="00473F26">
              <w:rPr>
                <w:rFonts w:ascii="Tahoma" w:eastAsiaTheme="minorHAnsi" w:hAnsi="Tahoma" w:cs="Tahoma"/>
                <w:sz w:val="20"/>
                <w:szCs w:val="22"/>
                <w:lang w:eastAsia="en-US"/>
              </w:rPr>
              <w:t xml:space="preserve">as </w:t>
            </w:r>
            <w:r>
              <w:rPr>
                <w:rFonts w:ascii="Tahoma" w:eastAsiaTheme="minorHAnsi" w:hAnsi="Tahoma" w:cs="Tahoma"/>
                <w:sz w:val="20"/>
                <w:szCs w:val="22"/>
                <w:lang w:eastAsia="en-US"/>
              </w:rPr>
              <w:t>ARS.  The information to report ARS revenue against the categories shown in this RIN table has been sourced initially from data provided by APA via its billing system (</w:t>
            </w:r>
            <w:r w:rsidR="008D1E02">
              <w:rPr>
                <w:rFonts w:ascii="Tahoma" w:hAnsi="Tahoma" w:cs="Tahoma"/>
                <w:sz w:val="20"/>
              </w:rPr>
              <w:t>Customer Care and Billing</w:t>
            </w:r>
            <w:r>
              <w:rPr>
                <w:rFonts w:ascii="Tahoma" w:eastAsiaTheme="minorHAnsi" w:hAnsi="Tahoma" w:cs="Tahoma"/>
                <w:sz w:val="20"/>
                <w:szCs w:val="22"/>
                <w:lang w:eastAsia="en-US"/>
              </w:rPr>
              <w:t xml:space="preserve">) which is used to provide data to retailers and internally to produce the revenue reported in the RFAs each half year.  This data provided by APA lists revenue against service types that enables AGN Limited to identify revenue for ARS services, amongst other types of services (e.g. Non-reference services).   </w:t>
            </w:r>
          </w:p>
          <w:p w14:paraId="383D2F58" w14:textId="77777777" w:rsidR="00A412BF" w:rsidRPr="009F46D7" w:rsidRDefault="00A412BF" w:rsidP="001C016D">
            <w:pPr>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sidRPr="000D239E">
              <w:rPr>
                <w:rFonts w:ascii="Tahoma" w:hAnsi="Tahoma" w:cs="Tahoma"/>
                <w:sz w:val="20"/>
              </w:rPr>
              <w:lastRenderedPageBreak/>
              <w:t>APA reconciles</w:t>
            </w:r>
            <w:r>
              <w:rPr>
                <w:rFonts w:ascii="Tahoma" w:hAnsi="Tahoma" w:cs="Tahoma"/>
                <w:sz w:val="20"/>
              </w:rPr>
              <w:t xml:space="preserve"> the revenue figures provided to AGN Limited to its own General Ledger to ensure its accuracy. </w:t>
            </w:r>
          </w:p>
        </w:tc>
        <w:tc>
          <w:tcPr>
            <w:tcW w:w="799" w:type="pct"/>
            <w:tcBorders>
              <w:top w:val="single" w:sz="4" w:space="0" w:color="00B0F0"/>
              <w:left w:val="nil"/>
              <w:bottom w:val="single" w:sz="4" w:space="0" w:color="00B0F0"/>
              <w:right w:val="nil"/>
            </w:tcBorders>
            <w:vAlign w:val="center"/>
          </w:tcPr>
          <w:p w14:paraId="1E4E0D3A" w14:textId="77777777" w:rsidR="00A412BF" w:rsidRPr="00751816" w:rsidRDefault="00A412BF"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74" w:type="pct"/>
            <w:tcBorders>
              <w:top w:val="single" w:sz="4" w:space="0" w:color="00B0F0"/>
              <w:left w:val="nil"/>
              <w:bottom w:val="single" w:sz="4" w:space="0" w:color="00B0F0"/>
              <w:right w:val="nil"/>
            </w:tcBorders>
          </w:tcPr>
          <w:p w14:paraId="335E1DC6" w14:textId="77777777" w:rsidR="00A412BF" w:rsidRPr="00751816"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74" w:type="pct"/>
            <w:tcBorders>
              <w:top w:val="single" w:sz="4" w:space="0" w:color="00B0F0"/>
              <w:left w:val="nil"/>
              <w:bottom w:val="single" w:sz="4" w:space="0" w:color="00B0F0"/>
              <w:right w:val="nil"/>
            </w:tcBorders>
          </w:tcPr>
          <w:p w14:paraId="3CA8F525" w14:textId="77777777" w:rsidR="00A412BF" w:rsidRPr="00751816"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A412BF" w:rsidRPr="00751816" w14:paraId="21F06DBD" w14:textId="77777777" w:rsidTr="00443597">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36"/>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00B0F0"/>
              <w:bottom w:val="single" w:sz="4" w:space="0" w:color="00B0F0"/>
            </w:tcBorders>
            <w:vAlign w:val="center"/>
          </w:tcPr>
          <w:p w14:paraId="52621FF1" w14:textId="77777777" w:rsidR="00A412BF" w:rsidRPr="00751816" w:rsidRDefault="00A412BF" w:rsidP="00443597">
            <w:pPr>
              <w:spacing w:before="120" w:after="120" w:line="240" w:lineRule="atLeast"/>
              <w:contextualSpacing/>
              <w:rPr>
                <w:rFonts w:ascii="Tahoma" w:hAnsi="Tahoma" w:cs="Tahoma"/>
                <w:sz w:val="20"/>
              </w:rPr>
            </w:pPr>
            <w:r w:rsidRPr="004E3907">
              <w:rPr>
                <w:rFonts w:ascii="Tahoma" w:hAnsi="Tahoma" w:cs="Tahoma"/>
                <w:sz w:val="20"/>
              </w:rPr>
              <w:t>Special Meter Read</w:t>
            </w:r>
          </w:p>
        </w:tc>
        <w:tc>
          <w:tcPr>
            <w:tcW w:w="1655" w:type="pct"/>
            <w:tcBorders>
              <w:top w:val="single" w:sz="4" w:space="0" w:color="00B0F0"/>
              <w:left w:val="nil"/>
              <w:bottom w:val="single" w:sz="4" w:space="0" w:color="00B0F0"/>
              <w:right w:val="nil"/>
            </w:tcBorders>
          </w:tcPr>
          <w:p w14:paraId="1970481B" w14:textId="77777777" w:rsidR="00A412BF" w:rsidRPr="009F46D7"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F46D7">
              <w:rPr>
                <w:rFonts w:ascii="Tahoma" w:hAnsi="Tahoma" w:cs="Tahoma"/>
                <w:sz w:val="20"/>
              </w:rPr>
              <w:t>ARS revenue reported for Special Meter Read relates to undertaking the following services:</w:t>
            </w:r>
          </w:p>
          <w:p w14:paraId="038AE856" w14:textId="77777777" w:rsidR="00A412BF" w:rsidRPr="009F46D7" w:rsidRDefault="00A412BF" w:rsidP="00A412BF">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F46D7">
              <w:rPr>
                <w:rFonts w:ascii="Tahoma" w:hAnsi="Tahoma" w:cs="Tahoma"/>
                <w:sz w:val="20"/>
              </w:rPr>
              <w:t>Special final read</w:t>
            </w:r>
          </w:p>
          <w:p w14:paraId="02FFEB63" w14:textId="77777777" w:rsidR="00A412BF" w:rsidRPr="009F46D7" w:rsidRDefault="00A412BF" w:rsidP="00A412BF">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F46D7">
              <w:rPr>
                <w:rFonts w:ascii="Tahoma" w:hAnsi="Tahoma" w:cs="Tahoma"/>
                <w:sz w:val="20"/>
              </w:rPr>
              <w:t>Special monthly transfer</w:t>
            </w:r>
          </w:p>
          <w:p w14:paraId="2EF5D4A9" w14:textId="77777777" w:rsidR="00A412BF" w:rsidRPr="009F46D7" w:rsidRDefault="00A412BF" w:rsidP="00A412BF">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F46D7">
              <w:rPr>
                <w:rFonts w:ascii="Tahoma" w:hAnsi="Tahoma" w:cs="Tahoma"/>
                <w:sz w:val="20"/>
              </w:rPr>
              <w:t>Special reference read</w:t>
            </w:r>
          </w:p>
          <w:p w14:paraId="27EC2ADE" w14:textId="77777777" w:rsidR="00A412BF" w:rsidRPr="009F46D7" w:rsidRDefault="00A412BF" w:rsidP="00A412BF">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F46D7">
              <w:rPr>
                <w:rFonts w:ascii="Tahoma" w:hAnsi="Tahoma" w:cs="Tahoma"/>
                <w:sz w:val="20"/>
              </w:rPr>
              <w:t>Special transfer read</w:t>
            </w:r>
          </w:p>
          <w:p w14:paraId="2A355E77" w14:textId="77777777" w:rsidR="00A412BF"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C75D093" w14:textId="2C9E44EF" w:rsidR="00A412BF" w:rsidRDefault="00A412BF" w:rsidP="001C016D">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0"/>
                <w:szCs w:val="22"/>
                <w:lang w:eastAsia="en-US"/>
              </w:rPr>
            </w:pPr>
            <w:r>
              <w:rPr>
                <w:rFonts w:ascii="Tahoma" w:eastAsiaTheme="minorHAnsi" w:hAnsi="Tahoma" w:cs="Tahoma"/>
                <w:sz w:val="20"/>
                <w:szCs w:val="22"/>
                <w:lang w:eastAsia="en-US"/>
              </w:rPr>
              <w:t xml:space="preserve">AGN Limited has contracted APA to provide the services categorised </w:t>
            </w:r>
            <w:r w:rsidR="00473F26">
              <w:rPr>
                <w:rFonts w:ascii="Tahoma" w:eastAsiaTheme="minorHAnsi" w:hAnsi="Tahoma" w:cs="Tahoma"/>
                <w:sz w:val="20"/>
                <w:szCs w:val="22"/>
                <w:lang w:eastAsia="en-US"/>
              </w:rPr>
              <w:t xml:space="preserve">as </w:t>
            </w:r>
            <w:r>
              <w:rPr>
                <w:rFonts w:ascii="Tahoma" w:eastAsiaTheme="minorHAnsi" w:hAnsi="Tahoma" w:cs="Tahoma"/>
                <w:sz w:val="20"/>
                <w:szCs w:val="22"/>
                <w:lang w:eastAsia="en-US"/>
              </w:rPr>
              <w:t>ARS.  The information to report ARS revenue against the categories shown in this RIN table has been sourced initially from data provided by APA via its billing system (</w:t>
            </w:r>
            <w:r w:rsidR="008D1E02">
              <w:rPr>
                <w:rFonts w:ascii="Tahoma" w:hAnsi="Tahoma" w:cs="Tahoma"/>
                <w:sz w:val="20"/>
              </w:rPr>
              <w:t>Customer Care and Billing</w:t>
            </w:r>
            <w:r>
              <w:rPr>
                <w:rFonts w:ascii="Tahoma" w:eastAsiaTheme="minorHAnsi" w:hAnsi="Tahoma" w:cs="Tahoma"/>
                <w:sz w:val="20"/>
                <w:szCs w:val="22"/>
                <w:lang w:eastAsia="en-US"/>
              </w:rPr>
              <w:t xml:space="preserve">) which is used to provide data to retailers and internally to produce the revenue reported in the RFAs each half year.  This data provided by APA lists revenue against service types that enables AGN Limited to identify revenue for ARS services, amongst other types of services (e.g. Non-reference services).   </w:t>
            </w:r>
          </w:p>
          <w:p w14:paraId="66945091" w14:textId="496856E4" w:rsidR="00A412BF" w:rsidRPr="0078407D" w:rsidRDefault="00A412BF"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sidRPr="000D239E">
              <w:rPr>
                <w:rFonts w:ascii="Tahoma" w:hAnsi="Tahoma" w:cs="Tahoma"/>
                <w:sz w:val="20"/>
              </w:rPr>
              <w:t>APA reconciles</w:t>
            </w:r>
            <w:r>
              <w:rPr>
                <w:rFonts w:ascii="Tahoma" w:hAnsi="Tahoma" w:cs="Tahoma"/>
                <w:sz w:val="20"/>
              </w:rPr>
              <w:t xml:space="preserve"> the revenue figures provided to AGN Limited to its own General Ledger to ensure its accuracy. </w:t>
            </w:r>
          </w:p>
        </w:tc>
        <w:tc>
          <w:tcPr>
            <w:tcW w:w="799" w:type="pct"/>
            <w:tcBorders>
              <w:top w:val="single" w:sz="4" w:space="0" w:color="00B0F0"/>
              <w:left w:val="nil"/>
              <w:bottom w:val="single" w:sz="4" w:space="0" w:color="00B0F0"/>
              <w:right w:val="nil"/>
            </w:tcBorders>
            <w:vAlign w:val="center"/>
          </w:tcPr>
          <w:p w14:paraId="62E3A8C9" w14:textId="77777777" w:rsidR="00A412BF" w:rsidRPr="00751816" w:rsidRDefault="00A412BF"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174" w:type="pct"/>
            <w:tcBorders>
              <w:top w:val="single" w:sz="4" w:space="0" w:color="00B0F0"/>
              <w:left w:val="nil"/>
              <w:bottom w:val="single" w:sz="4" w:space="0" w:color="00B0F0"/>
              <w:right w:val="nil"/>
            </w:tcBorders>
          </w:tcPr>
          <w:p w14:paraId="52CF0641" w14:textId="77777777" w:rsidR="00A412BF" w:rsidRPr="00751816"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74" w:type="pct"/>
            <w:tcBorders>
              <w:top w:val="single" w:sz="4" w:space="0" w:color="00B0F0"/>
              <w:left w:val="nil"/>
              <w:bottom w:val="single" w:sz="4" w:space="0" w:color="00B0F0"/>
              <w:right w:val="nil"/>
            </w:tcBorders>
          </w:tcPr>
          <w:p w14:paraId="6B2FC048" w14:textId="77777777" w:rsidR="00A412BF" w:rsidRPr="00751816"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A412BF" w:rsidRPr="00751816" w14:paraId="296A6875" w14:textId="77777777" w:rsidTr="00443597">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36"/>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00B0F0"/>
              <w:bottom w:val="single" w:sz="4" w:space="0" w:color="00B0F0"/>
            </w:tcBorders>
            <w:vAlign w:val="center"/>
          </w:tcPr>
          <w:p w14:paraId="1FAEAE93" w14:textId="77777777" w:rsidR="00A412BF" w:rsidRPr="004E3907" w:rsidRDefault="00A412BF" w:rsidP="00443597">
            <w:pPr>
              <w:spacing w:before="120" w:after="120" w:line="240" w:lineRule="atLeast"/>
              <w:contextualSpacing/>
              <w:rPr>
                <w:rFonts w:ascii="Tahoma" w:hAnsi="Tahoma" w:cs="Tahoma"/>
                <w:sz w:val="20"/>
              </w:rPr>
            </w:pPr>
            <w:r w:rsidRPr="004E3907">
              <w:rPr>
                <w:rFonts w:ascii="Tahoma" w:hAnsi="Tahoma" w:cs="Tahoma"/>
                <w:sz w:val="20"/>
              </w:rPr>
              <w:t>Meter Removal</w:t>
            </w:r>
          </w:p>
        </w:tc>
        <w:tc>
          <w:tcPr>
            <w:tcW w:w="1655" w:type="pct"/>
            <w:tcBorders>
              <w:top w:val="single" w:sz="4" w:space="0" w:color="00B0F0"/>
              <w:left w:val="nil"/>
              <w:bottom w:val="single" w:sz="4" w:space="0" w:color="00B0F0"/>
              <w:right w:val="nil"/>
            </w:tcBorders>
          </w:tcPr>
          <w:p w14:paraId="0B6BF8C0" w14:textId="29A74FD1" w:rsidR="00A412BF" w:rsidRPr="009F46D7"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F46D7">
              <w:rPr>
                <w:rFonts w:ascii="Tahoma" w:hAnsi="Tahoma" w:cs="Tahoma"/>
                <w:sz w:val="20"/>
              </w:rPr>
              <w:t xml:space="preserve">ARS revenue reported for Meter Removal </w:t>
            </w:r>
            <w:r>
              <w:rPr>
                <w:rFonts w:ascii="Tahoma" w:hAnsi="Tahoma" w:cs="Tahoma"/>
                <w:sz w:val="20"/>
              </w:rPr>
              <w:t xml:space="preserve">which became an ARS in 2016/17 </w:t>
            </w:r>
            <w:r w:rsidR="00473F26">
              <w:rPr>
                <w:rFonts w:ascii="Tahoma" w:hAnsi="Tahoma" w:cs="Tahoma"/>
                <w:sz w:val="20"/>
              </w:rPr>
              <w:t xml:space="preserve">in accordance with AGN Limited’s AA proposal </w:t>
            </w:r>
            <w:r w:rsidRPr="009F46D7">
              <w:rPr>
                <w:rFonts w:ascii="Tahoma" w:hAnsi="Tahoma" w:cs="Tahoma"/>
                <w:sz w:val="20"/>
              </w:rPr>
              <w:t>relates to undertaking the following services:</w:t>
            </w:r>
          </w:p>
          <w:p w14:paraId="48328BD5" w14:textId="77777777" w:rsidR="00A412BF" w:rsidRPr="00071B79" w:rsidRDefault="00A412BF" w:rsidP="00A412B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71B79">
              <w:rPr>
                <w:rFonts w:ascii="Tahoma" w:hAnsi="Tahoma" w:cs="Tahoma"/>
                <w:sz w:val="20"/>
              </w:rPr>
              <w:lastRenderedPageBreak/>
              <w:t>Meter removal – remove gas meter for non-payment of arrears</w:t>
            </w:r>
          </w:p>
          <w:p w14:paraId="562B390D" w14:textId="77777777" w:rsidR="00A412BF"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p>
          <w:p w14:paraId="53389D49" w14:textId="26485B14" w:rsidR="00A412BF" w:rsidRDefault="00A412BF" w:rsidP="001C016D">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0"/>
                <w:szCs w:val="22"/>
                <w:lang w:eastAsia="en-US"/>
              </w:rPr>
            </w:pPr>
            <w:r>
              <w:rPr>
                <w:rFonts w:ascii="Tahoma" w:eastAsiaTheme="minorHAnsi" w:hAnsi="Tahoma" w:cs="Tahoma"/>
                <w:sz w:val="20"/>
                <w:szCs w:val="22"/>
                <w:lang w:eastAsia="en-US"/>
              </w:rPr>
              <w:t xml:space="preserve">AGN Limited has contracted APA to provide the services categorised </w:t>
            </w:r>
            <w:r w:rsidR="00473F26">
              <w:rPr>
                <w:rFonts w:ascii="Tahoma" w:eastAsiaTheme="minorHAnsi" w:hAnsi="Tahoma" w:cs="Tahoma"/>
                <w:sz w:val="20"/>
                <w:szCs w:val="22"/>
                <w:lang w:eastAsia="en-US"/>
              </w:rPr>
              <w:t xml:space="preserve">as </w:t>
            </w:r>
            <w:r>
              <w:rPr>
                <w:rFonts w:ascii="Tahoma" w:eastAsiaTheme="minorHAnsi" w:hAnsi="Tahoma" w:cs="Tahoma"/>
                <w:sz w:val="20"/>
                <w:szCs w:val="22"/>
                <w:lang w:eastAsia="en-US"/>
              </w:rPr>
              <w:t>ARS.  The information to report ARS revenue against the categories shown in this RIN table has been sourced initially from data provided by APA via its billing system (</w:t>
            </w:r>
            <w:r w:rsidR="008D1E02">
              <w:rPr>
                <w:rFonts w:ascii="Tahoma" w:hAnsi="Tahoma" w:cs="Tahoma"/>
                <w:sz w:val="20"/>
              </w:rPr>
              <w:t>Customer Care and Billing</w:t>
            </w:r>
            <w:r>
              <w:rPr>
                <w:rFonts w:ascii="Tahoma" w:eastAsiaTheme="minorHAnsi" w:hAnsi="Tahoma" w:cs="Tahoma"/>
                <w:sz w:val="20"/>
                <w:szCs w:val="22"/>
                <w:lang w:eastAsia="en-US"/>
              </w:rPr>
              <w:t xml:space="preserve">) which is used to provide data to retailers and internally to produce the revenue reported in the RFAs each half year.  This data provided by APA lists revenue against service types that enables AGN Limited to identify revenue for ARS services, amongst other types of services (e.g. Non-reference services).   </w:t>
            </w:r>
          </w:p>
          <w:p w14:paraId="410EA27B" w14:textId="325453DF" w:rsidR="00A412BF" w:rsidRPr="0078407D" w:rsidRDefault="00A412BF"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sidRPr="000D239E">
              <w:rPr>
                <w:rFonts w:ascii="Tahoma" w:hAnsi="Tahoma" w:cs="Tahoma"/>
                <w:sz w:val="20"/>
              </w:rPr>
              <w:t>APA reconciles</w:t>
            </w:r>
            <w:r>
              <w:rPr>
                <w:rFonts w:ascii="Tahoma" w:hAnsi="Tahoma" w:cs="Tahoma"/>
                <w:sz w:val="20"/>
              </w:rPr>
              <w:t xml:space="preserve"> the revenue figures provided to AGN Limited to its own General Ledger to ensure its accuracy. </w:t>
            </w:r>
          </w:p>
        </w:tc>
        <w:tc>
          <w:tcPr>
            <w:tcW w:w="799" w:type="pct"/>
            <w:tcBorders>
              <w:top w:val="single" w:sz="4" w:space="0" w:color="00B0F0"/>
              <w:left w:val="nil"/>
              <w:bottom w:val="single" w:sz="4" w:space="0" w:color="00B0F0"/>
              <w:right w:val="nil"/>
            </w:tcBorders>
            <w:vAlign w:val="center"/>
          </w:tcPr>
          <w:p w14:paraId="697C2E6F" w14:textId="77777777" w:rsidR="00A412BF" w:rsidRPr="00751816" w:rsidRDefault="00A412BF"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74" w:type="pct"/>
            <w:tcBorders>
              <w:top w:val="single" w:sz="4" w:space="0" w:color="00B0F0"/>
              <w:left w:val="nil"/>
              <w:bottom w:val="single" w:sz="4" w:space="0" w:color="00B0F0"/>
              <w:right w:val="nil"/>
            </w:tcBorders>
          </w:tcPr>
          <w:p w14:paraId="5C0E4BCA" w14:textId="77777777" w:rsidR="00A412BF" w:rsidRPr="00751816"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74" w:type="pct"/>
            <w:tcBorders>
              <w:top w:val="single" w:sz="4" w:space="0" w:color="00B0F0"/>
              <w:left w:val="nil"/>
              <w:bottom w:val="single" w:sz="4" w:space="0" w:color="00B0F0"/>
              <w:right w:val="nil"/>
            </w:tcBorders>
          </w:tcPr>
          <w:p w14:paraId="2B7E5AB4" w14:textId="77777777" w:rsidR="00A412BF" w:rsidRPr="00751816"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A04C8B" w:rsidRPr="00751816" w14:paraId="2D4B8F93" w14:textId="77777777" w:rsidTr="00443597">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36"/>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00B0F0"/>
              <w:bottom w:val="single" w:sz="4" w:space="0" w:color="00B0F0"/>
            </w:tcBorders>
            <w:vAlign w:val="center"/>
          </w:tcPr>
          <w:p w14:paraId="72362BC4" w14:textId="77777777" w:rsidR="00A04C8B" w:rsidRPr="004E3907" w:rsidRDefault="00A04C8B" w:rsidP="00443597">
            <w:pPr>
              <w:spacing w:before="120" w:after="120" w:line="240" w:lineRule="atLeast"/>
              <w:contextualSpacing/>
              <w:rPr>
                <w:rFonts w:ascii="Tahoma" w:hAnsi="Tahoma" w:cs="Tahoma"/>
                <w:sz w:val="20"/>
              </w:rPr>
            </w:pPr>
            <w:r w:rsidRPr="004E3907">
              <w:rPr>
                <w:rFonts w:ascii="Tahoma" w:hAnsi="Tahoma" w:cs="Tahoma"/>
                <w:sz w:val="20"/>
              </w:rPr>
              <w:t>Meter Reinstallation</w:t>
            </w:r>
          </w:p>
        </w:tc>
        <w:tc>
          <w:tcPr>
            <w:tcW w:w="1655" w:type="pct"/>
            <w:tcBorders>
              <w:top w:val="single" w:sz="4" w:space="0" w:color="00B0F0"/>
              <w:left w:val="nil"/>
              <w:bottom w:val="single" w:sz="4" w:space="0" w:color="00B0F0"/>
              <w:right w:val="nil"/>
            </w:tcBorders>
          </w:tcPr>
          <w:p w14:paraId="2339E12F" w14:textId="4435252C" w:rsidR="00A04C8B" w:rsidRPr="009F46D7" w:rsidRDefault="00A04C8B" w:rsidP="00A04C8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F46D7">
              <w:rPr>
                <w:rFonts w:ascii="Tahoma" w:hAnsi="Tahoma" w:cs="Tahoma"/>
                <w:sz w:val="20"/>
              </w:rPr>
              <w:t xml:space="preserve">ARS revenue reported for Meter Reinstallation </w:t>
            </w:r>
            <w:r>
              <w:rPr>
                <w:rFonts w:ascii="Tahoma" w:hAnsi="Tahoma" w:cs="Tahoma"/>
                <w:sz w:val="20"/>
              </w:rPr>
              <w:t xml:space="preserve">which became an ARS in 2016/17 </w:t>
            </w:r>
            <w:r w:rsidR="00473F26">
              <w:rPr>
                <w:rFonts w:ascii="Tahoma" w:hAnsi="Tahoma" w:cs="Tahoma"/>
                <w:sz w:val="20"/>
              </w:rPr>
              <w:t xml:space="preserve">in accordance with AGN Limited’s AA proposal </w:t>
            </w:r>
            <w:r w:rsidRPr="009F46D7">
              <w:rPr>
                <w:rFonts w:ascii="Tahoma" w:hAnsi="Tahoma" w:cs="Tahoma"/>
                <w:sz w:val="20"/>
              </w:rPr>
              <w:t>relates to undertaking the following services:</w:t>
            </w:r>
          </w:p>
          <w:p w14:paraId="7E809FF6" w14:textId="77777777" w:rsidR="00A04C8B" w:rsidRPr="009F46D7" w:rsidRDefault="00A04C8B" w:rsidP="00A04C8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F46D7">
              <w:rPr>
                <w:rFonts w:ascii="Tahoma" w:hAnsi="Tahoma" w:cs="Tahoma"/>
                <w:sz w:val="20"/>
              </w:rPr>
              <w:t>Meter reinstallation – energise gas supply to a site that has been disconnected</w:t>
            </w:r>
          </w:p>
          <w:p w14:paraId="2785A30B" w14:textId="77777777" w:rsidR="00A04C8B" w:rsidRPr="009F46D7" w:rsidRDefault="00A04C8B" w:rsidP="00A04C8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F46D7">
              <w:rPr>
                <w:rFonts w:ascii="Tahoma" w:hAnsi="Tahoma" w:cs="Tahoma"/>
                <w:sz w:val="20"/>
              </w:rPr>
              <w:t>Refix gas meter following non-payment of arrears</w:t>
            </w:r>
          </w:p>
          <w:p w14:paraId="4CCCAE71" w14:textId="77777777" w:rsidR="00A04C8B" w:rsidRDefault="00A04C8B" w:rsidP="00A04C8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p>
          <w:p w14:paraId="634D0FE6" w14:textId="4BDAEF48" w:rsidR="00A04C8B" w:rsidRDefault="00A04C8B" w:rsidP="00A04C8B">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0"/>
                <w:szCs w:val="22"/>
                <w:lang w:eastAsia="en-US"/>
              </w:rPr>
            </w:pPr>
            <w:r>
              <w:rPr>
                <w:rFonts w:ascii="Tahoma" w:eastAsiaTheme="minorHAnsi" w:hAnsi="Tahoma" w:cs="Tahoma"/>
                <w:sz w:val="20"/>
                <w:szCs w:val="22"/>
                <w:lang w:eastAsia="en-US"/>
              </w:rPr>
              <w:t xml:space="preserve">AGN Limited has contracted APA to provide the services categorised </w:t>
            </w:r>
            <w:r w:rsidR="00473F26">
              <w:rPr>
                <w:rFonts w:ascii="Tahoma" w:eastAsiaTheme="minorHAnsi" w:hAnsi="Tahoma" w:cs="Tahoma"/>
                <w:sz w:val="20"/>
                <w:szCs w:val="22"/>
                <w:lang w:eastAsia="en-US"/>
              </w:rPr>
              <w:t xml:space="preserve">as </w:t>
            </w:r>
            <w:r>
              <w:rPr>
                <w:rFonts w:ascii="Tahoma" w:eastAsiaTheme="minorHAnsi" w:hAnsi="Tahoma" w:cs="Tahoma"/>
                <w:sz w:val="20"/>
                <w:szCs w:val="22"/>
                <w:lang w:eastAsia="en-US"/>
              </w:rPr>
              <w:t xml:space="preserve">ARS.  The information to report ARS revenue against the categories shown </w:t>
            </w:r>
            <w:r>
              <w:rPr>
                <w:rFonts w:ascii="Tahoma" w:eastAsiaTheme="minorHAnsi" w:hAnsi="Tahoma" w:cs="Tahoma"/>
                <w:sz w:val="20"/>
                <w:szCs w:val="22"/>
                <w:lang w:eastAsia="en-US"/>
              </w:rPr>
              <w:lastRenderedPageBreak/>
              <w:t>in this RIN table has been sourced initially from data provided by APA via its billing system (</w:t>
            </w:r>
            <w:r w:rsidR="008D1E02">
              <w:rPr>
                <w:rFonts w:ascii="Tahoma" w:hAnsi="Tahoma" w:cs="Tahoma"/>
                <w:sz w:val="20"/>
              </w:rPr>
              <w:t>Customer Care and Billing</w:t>
            </w:r>
            <w:r>
              <w:rPr>
                <w:rFonts w:ascii="Tahoma" w:eastAsiaTheme="minorHAnsi" w:hAnsi="Tahoma" w:cs="Tahoma"/>
                <w:sz w:val="20"/>
                <w:szCs w:val="22"/>
                <w:lang w:eastAsia="en-US"/>
              </w:rPr>
              <w:t xml:space="preserve">) which is used to provide data to retailers and internally to produce the revenue reported in the RFAs each half year.  This data provided by APA lists revenue against service types that enables AGN Limited to identify revenue for ARS services, amongst other types of services (e.g. Non-reference services).   </w:t>
            </w:r>
          </w:p>
          <w:p w14:paraId="0E02E713" w14:textId="68224D34" w:rsidR="00A04C8B" w:rsidRPr="0078407D" w:rsidRDefault="00A04C8B"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sidRPr="000D239E">
              <w:rPr>
                <w:rFonts w:ascii="Tahoma" w:hAnsi="Tahoma" w:cs="Tahoma"/>
                <w:sz w:val="20"/>
              </w:rPr>
              <w:t>APA reconciles</w:t>
            </w:r>
            <w:r>
              <w:rPr>
                <w:rFonts w:ascii="Tahoma" w:hAnsi="Tahoma" w:cs="Tahoma"/>
                <w:sz w:val="20"/>
              </w:rPr>
              <w:t xml:space="preserve"> the revenue figures provided to AGN Limited to its own General Ledger to ensure its accuracy. </w:t>
            </w:r>
          </w:p>
        </w:tc>
        <w:tc>
          <w:tcPr>
            <w:tcW w:w="799" w:type="pct"/>
            <w:tcBorders>
              <w:top w:val="single" w:sz="4" w:space="0" w:color="00B0F0"/>
              <w:left w:val="nil"/>
              <w:bottom w:val="single" w:sz="4" w:space="0" w:color="00B0F0"/>
              <w:right w:val="nil"/>
            </w:tcBorders>
            <w:vAlign w:val="center"/>
          </w:tcPr>
          <w:p w14:paraId="20677415" w14:textId="77777777" w:rsidR="00A04C8B" w:rsidRPr="00751816" w:rsidRDefault="00A04C8B"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74" w:type="pct"/>
            <w:tcBorders>
              <w:top w:val="single" w:sz="4" w:space="0" w:color="00B0F0"/>
              <w:left w:val="nil"/>
              <w:bottom w:val="single" w:sz="4" w:space="0" w:color="00B0F0"/>
              <w:right w:val="nil"/>
            </w:tcBorders>
          </w:tcPr>
          <w:p w14:paraId="3BDD1B9A" w14:textId="77777777" w:rsidR="00A04C8B" w:rsidRPr="00751816" w:rsidRDefault="00A04C8B" w:rsidP="00A04C8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74" w:type="pct"/>
            <w:tcBorders>
              <w:top w:val="single" w:sz="4" w:space="0" w:color="00B0F0"/>
              <w:left w:val="nil"/>
              <w:bottom w:val="single" w:sz="4" w:space="0" w:color="00B0F0"/>
              <w:right w:val="nil"/>
            </w:tcBorders>
          </w:tcPr>
          <w:p w14:paraId="2C78B1D9" w14:textId="77777777" w:rsidR="00A04C8B" w:rsidRPr="00751816" w:rsidRDefault="00A04C8B" w:rsidP="00A04C8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A04C8B" w:rsidRPr="00751816" w14:paraId="00B5DD04" w14:textId="77777777" w:rsidTr="00443597">
        <w:tblPrEx>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PrEx>
        <w:trPr>
          <w:trHeight w:val="436"/>
        </w:trPr>
        <w:tc>
          <w:tcPr>
            <w:cnfStyle w:val="001000000000" w:firstRow="0" w:lastRow="0" w:firstColumn="1" w:lastColumn="0" w:oddVBand="0" w:evenVBand="0" w:oddHBand="0" w:evenHBand="0" w:firstRowFirstColumn="0" w:firstRowLastColumn="0" w:lastRowFirstColumn="0" w:lastRowLastColumn="0"/>
            <w:tcW w:w="698" w:type="pct"/>
            <w:tcBorders>
              <w:top w:val="single" w:sz="4" w:space="0" w:color="00B0F0"/>
              <w:bottom w:val="single" w:sz="4" w:space="0" w:color="00B0F0"/>
            </w:tcBorders>
            <w:vAlign w:val="center"/>
          </w:tcPr>
          <w:p w14:paraId="46CFC7A7" w14:textId="77777777" w:rsidR="00A04C8B" w:rsidRPr="004E3907" w:rsidRDefault="00A04C8B" w:rsidP="00443597">
            <w:pPr>
              <w:spacing w:before="120" w:after="120" w:line="240" w:lineRule="atLeast"/>
              <w:contextualSpacing/>
              <w:rPr>
                <w:rFonts w:ascii="Tahoma" w:hAnsi="Tahoma" w:cs="Tahoma"/>
                <w:sz w:val="20"/>
              </w:rPr>
            </w:pPr>
            <w:r w:rsidRPr="004E3907">
              <w:rPr>
                <w:rFonts w:ascii="Tahoma" w:hAnsi="Tahoma" w:cs="Tahoma"/>
                <w:sz w:val="20"/>
              </w:rPr>
              <w:t>Meter Gas and Installation test</w:t>
            </w:r>
          </w:p>
        </w:tc>
        <w:tc>
          <w:tcPr>
            <w:tcW w:w="1655" w:type="pct"/>
            <w:tcBorders>
              <w:top w:val="single" w:sz="4" w:space="0" w:color="00B0F0"/>
              <w:left w:val="nil"/>
              <w:bottom w:val="single" w:sz="4" w:space="0" w:color="00B0F0"/>
              <w:right w:val="nil"/>
            </w:tcBorders>
          </w:tcPr>
          <w:p w14:paraId="2C2B35EC" w14:textId="44AFC237" w:rsidR="00A04C8B" w:rsidRPr="009F46D7" w:rsidRDefault="00A04C8B" w:rsidP="00A04C8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F46D7">
              <w:rPr>
                <w:rFonts w:ascii="Tahoma" w:hAnsi="Tahoma" w:cs="Tahoma"/>
                <w:sz w:val="20"/>
              </w:rPr>
              <w:t xml:space="preserve">ARS revenue reported for Meter Gas and Installation test </w:t>
            </w:r>
            <w:r>
              <w:rPr>
                <w:rFonts w:ascii="Tahoma" w:hAnsi="Tahoma" w:cs="Tahoma"/>
                <w:sz w:val="20"/>
              </w:rPr>
              <w:t xml:space="preserve">which became an ARS in 2016/17 </w:t>
            </w:r>
            <w:r w:rsidR="00473F26">
              <w:rPr>
                <w:rFonts w:ascii="Tahoma" w:hAnsi="Tahoma" w:cs="Tahoma"/>
                <w:sz w:val="20"/>
              </w:rPr>
              <w:t xml:space="preserve">in accordance with AGN Limited’s AA proposal </w:t>
            </w:r>
            <w:r w:rsidRPr="009F46D7">
              <w:rPr>
                <w:rFonts w:ascii="Tahoma" w:hAnsi="Tahoma" w:cs="Tahoma"/>
                <w:sz w:val="20"/>
              </w:rPr>
              <w:t>relates to undertaking the following services:</w:t>
            </w:r>
          </w:p>
          <w:p w14:paraId="10C079ED" w14:textId="77777777" w:rsidR="00A04C8B" w:rsidRPr="009F46D7" w:rsidRDefault="00A04C8B" w:rsidP="00A04C8B">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F46D7">
              <w:rPr>
                <w:rFonts w:ascii="Tahoma" w:hAnsi="Tahoma" w:cs="Tahoma"/>
                <w:sz w:val="20"/>
              </w:rPr>
              <w:t>Meter retake and test</w:t>
            </w:r>
          </w:p>
          <w:p w14:paraId="43122EBF" w14:textId="77777777" w:rsidR="00A04C8B" w:rsidRPr="009F46D7" w:rsidRDefault="00A04C8B" w:rsidP="00A04C8B">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F46D7">
              <w:rPr>
                <w:rFonts w:ascii="Tahoma" w:hAnsi="Tahoma" w:cs="Tahoma"/>
                <w:sz w:val="20"/>
              </w:rPr>
              <w:t>High account investigation</w:t>
            </w:r>
          </w:p>
          <w:p w14:paraId="2B983153" w14:textId="77777777" w:rsidR="00A04C8B" w:rsidRDefault="00A04C8B" w:rsidP="00A04C8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p>
          <w:p w14:paraId="6AEBB15C" w14:textId="72F3D441" w:rsidR="008300C6" w:rsidRDefault="00A04C8B" w:rsidP="008300C6">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0"/>
                <w:szCs w:val="22"/>
                <w:lang w:eastAsia="en-US"/>
              </w:rPr>
            </w:pPr>
            <w:r>
              <w:rPr>
                <w:rFonts w:ascii="Tahoma" w:eastAsiaTheme="minorHAnsi" w:hAnsi="Tahoma" w:cs="Tahoma"/>
                <w:sz w:val="20"/>
                <w:szCs w:val="22"/>
                <w:lang w:eastAsia="en-US"/>
              </w:rPr>
              <w:t>AGN Limited has contracted APA to provide the services categorised a</w:t>
            </w:r>
            <w:r w:rsidR="00473F26">
              <w:rPr>
                <w:rFonts w:ascii="Tahoma" w:eastAsiaTheme="minorHAnsi" w:hAnsi="Tahoma" w:cs="Tahoma"/>
                <w:sz w:val="20"/>
                <w:szCs w:val="22"/>
                <w:lang w:eastAsia="en-US"/>
              </w:rPr>
              <w:t>s</w:t>
            </w:r>
            <w:r>
              <w:rPr>
                <w:rFonts w:ascii="Tahoma" w:eastAsiaTheme="minorHAnsi" w:hAnsi="Tahoma" w:cs="Tahoma"/>
                <w:sz w:val="20"/>
                <w:szCs w:val="22"/>
                <w:lang w:eastAsia="en-US"/>
              </w:rPr>
              <w:t xml:space="preserve"> ARS.  The information to report ARS revenue against the categories shown in this RIN table has been sourced initially from data provided by APA via its billing system (</w:t>
            </w:r>
            <w:r w:rsidR="008D1E02">
              <w:rPr>
                <w:rFonts w:ascii="Tahoma" w:hAnsi="Tahoma" w:cs="Tahoma"/>
                <w:sz w:val="20"/>
              </w:rPr>
              <w:t>Customer Care and Billing</w:t>
            </w:r>
            <w:r>
              <w:rPr>
                <w:rFonts w:ascii="Tahoma" w:eastAsiaTheme="minorHAnsi" w:hAnsi="Tahoma" w:cs="Tahoma"/>
                <w:sz w:val="20"/>
                <w:szCs w:val="22"/>
                <w:lang w:eastAsia="en-US"/>
              </w:rPr>
              <w:t xml:space="preserve">) which is used to provide data to retailers and internally to produce the revenue reported in the RFAs each half year.  This data provided by APA lists revenue against service types that enables AGN Limited to identify </w:t>
            </w:r>
            <w:r>
              <w:rPr>
                <w:rFonts w:ascii="Tahoma" w:eastAsiaTheme="minorHAnsi" w:hAnsi="Tahoma" w:cs="Tahoma"/>
                <w:sz w:val="20"/>
                <w:szCs w:val="22"/>
                <w:lang w:eastAsia="en-US"/>
              </w:rPr>
              <w:lastRenderedPageBreak/>
              <w:t xml:space="preserve">revenue for ARS services, amongst other types of services (e.g. Non-reference services).   </w:t>
            </w:r>
          </w:p>
          <w:p w14:paraId="16323D6A" w14:textId="6F0006BD" w:rsidR="00A04C8B" w:rsidRPr="0078407D" w:rsidRDefault="00A04C8B" w:rsidP="008300C6">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sidRPr="000D239E">
              <w:rPr>
                <w:rFonts w:ascii="Tahoma" w:hAnsi="Tahoma" w:cs="Tahoma"/>
                <w:sz w:val="20"/>
              </w:rPr>
              <w:t>APA reconciles</w:t>
            </w:r>
            <w:r>
              <w:rPr>
                <w:rFonts w:ascii="Tahoma" w:hAnsi="Tahoma" w:cs="Tahoma"/>
                <w:sz w:val="20"/>
              </w:rPr>
              <w:t xml:space="preserve"> the revenue figures provided to AGN Limited to its own General Ledger to ensure its accuracy. </w:t>
            </w:r>
          </w:p>
        </w:tc>
        <w:tc>
          <w:tcPr>
            <w:tcW w:w="799" w:type="pct"/>
            <w:tcBorders>
              <w:top w:val="single" w:sz="4" w:space="0" w:color="00B0F0"/>
              <w:left w:val="nil"/>
              <w:bottom w:val="single" w:sz="4" w:space="0" w:color="00B0F0"/>
              <w:right w:val="nil"/>
            </w:tcBorders>
            <w:vAlign w:val="center"/>
          </w:tcPr>
          <w:p w14:paraId="206AC162" w14:textId="77777777" w:rsidR="00A04C8B" w:rsidRPr="00751816" w:rsidRDefault="00A04C8B"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74" w:type="pct"/>
            <w:tcBorders>
              <w:top w:val="single" w:sz="4" w:space="0" w:color="00B0F0"/>
              <w:left w:val="nil"/>
              <w:bottom w:val="single" w:sz="4" w:space="0" w:color="00B0F0"/>
              <w:right w:val="nil"/>
            </w:tcBorders>
          </w:tcPr>
          <w:p w14:paraId="3A899715" w14:textId="77777777" w:rsidR="00A04C8B" w:rsidRPr="00751816" w:rsidRDefault="00A04C8B" w:rsidP="00A04C8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74" w:type="pct"/>
            <w:tcBorders>
              <w:top w:val="single" w:sz="4" w:space="0" w:color="00B0F0"/>
              <w:left w:val="nil"/>
              <w:bottom w:val="single" w:sz="4" w:space="0" w:color="00B0F0"/>
              <w:right w:val="nil"/>
            </w:tcBorders>
          </w:tcPr>
          <w:p w14:paraId="4B75C93C" w14:textId="77777777" w:rsidR="00A04C8B" w:rsidRPr="00751816" w:rsidRDefault="00A04C8B" w:rsidP="00A04C8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3FE2711A" w14:textId="77777777" w:rsidR="00CB45F5" w:rsidRDefault="00CB45F5" w:rsidP="00CB45F5">
      <w:pPr>
        <w:rPr>
          <w:rFonts w:ascii="Tahoma" w:hAnsi="Tahoma" w:cs="Tahoma"/>
          <w:color w:val="003C71"/>
        </w:rPr>
      </w:pPr>
    </w:p>
    <w:p w14:paraId="22ED46F3" w14:textId="658F93D4" w:rsidR="008F0618" w:rsidRDefault="008F0618" w:rsidP="00CB45F5">
      <w:pPr>
        <w:rPr>
          <w:rFonts w:ascii="Tahoma" w:eastAsiaTheme="majorEastAsia" w:hAnsi="Tahoma" w:cs="Tahoma"/>
          <w:color w:val="003C71"/>
          <w:sz w:val="26"/>
          <w:szCs w:val="26"/>
        </w:rPr>
      </w:pPr>
      <w:r w:rsidRPr="00FC64B1">
        <w:rPr>
          <w:rFonts w:ascii="Tahoma" w:eastAsiaTheme="majorEastAsia" w:hAnsi="Tahoma" w:cs="Tahoma"/>
          <w:color w:val="003C71"/>
          <w:sz w:val="26"/>
          <w:szCs w:val="26"/>
        </w:rPr>
        <w:t xml:space="preserve">F3.3 – Rebateable Services  </w:t>
      </w:r>
    </w:p>
    <w:p w14:paraId="0A59D09D" w14:textId="1F5C8831" w:rsidR="000D4165" w:rsidRDefault="00130818" w:rsidP="000D4165">
      <w:pPr>
        <w:rPr>
          <w:rFonts w:ascii="Tahoma" w:eastAsia="Arial" w:hAnsi="Tahoma" w:cs="Tahoma"/>
          <w:sz w:val="20"/>
          <w:szCs w:val="20"/>
          <w:lang w:eastAsia="en-AU"/>
        </w:rPr>
      </w:pPr>
      <w:r w:rsidRPr="008300C6">
        <w:rPr>
          <w:rFonts w:ascii="Tahoma" w:eastAsia="Arial" w:hAnsi="Tahoma" w:cs="Tahoma"/>
          <w:sz w:val="20"/>
          <w:szCs w:val="20"/>
          <w:lang w:eastAsia="en-AU"/>
        </w:rPr>
        <w:t xml:space="preserve">AGN has not </w:t>
      </w:r>
      <w:r w:rsidR="00543668" w:rsidRPr="008300C6">
        <w:rPr>
          <w:rFonts w:ascii="Tahoma" w:eastAsia="Arial" w:hAnsi="Tahoma" w:cs="Tahoma"/>
          <w:sz w:val="20"/>
          <w:szCs w:val="20"/>
          <w:lang w:eastAsia="en-AU"/>
        </w:rPr>
        <w:t>provided</w:t>
      </w:r>
      <w:r w:rsidRPr="008300C6">
        <w:rPr>
          <w:rFonts w:ascii="Tahoma" w:eastAsia="Arial" w:hAnsi="Tahoma" w:cs="Tahoma"/>
          <w:sz w:val="20"/>
          <w:szCs w:val="20"/>
          <w:lang w:eastAsia="en-AU"/>
        </w:rPr>
        <w:t xml:space="preserve"> any Rebateable Services</w:t>
      </w:r>
      <w:r w:rsidR="00A82CFA">
        <w:rPr>
          <w:rFonts w:ascii="Tahoma" w:eastAsia="Arial" w:hAnsi="Tahoma" w:cs="Tahoma"/>
          <w:sz w:val="20"/>
          <w:szCs w:val="20"/>
          <w:lang w:eastAsia="en-AU"/>
        </w:rPr>
        <w:t xml:space="preserve"> in 2019/20</w:t>
      </w:r>
      <w:r w:rsidRPr="008300C6">
        <w:rPr>
          <w:rFonts w:ascii="Tahoma" w:eastAsia="Arial" w:hAnsi="Tahoma" w:cs="Tahoma"/>
          <w:sz w:val="20"/>
          <w:szCs w:val="20"/>
          <w:lang w:eastAsia="en-AU"/>
        </w:rPr>
        <w:t xml:space="preserve">. Thus we provide a ‘Null’ response in the reporting template. </w:t>
      </w:r>
    </w:p>
    <w:p w14:paraId="3BE172FA" w14:textId="77777777" w:rsidR="00C4077D" w:rsidRPr="008300C6" w:rsidRDefault="00C4077D" w:rsidP="000D4165">
      <w:pPr>
        <w:rPr>
          <w:rFonts w:ascii="Tahoma" w:eastAsia="Arial" w:hAnsi="Tahoma" w:cs="Tahoma"/>
          <w:sz w:val="20"/>
          <w:szCs w:val="20"/>
          <w:lang w:eastAsia="en-AU"/>
        </w:rPr>
      </w:pPr>
    </w:p>
    <w:p w14:paraId="03C7A41C" w14:textId="798E2298" w:rsidR="00F50525" w:rsidRDefault="00F50525" w:rsidP="0071215F">
      <w:pPr>
        <w:pStyle w:val="Heading2"/>
        <w:rPr>
          <w:rFonts w:ascii="Tahoma" w:hAnsi="Tahoma" w:cs="Tahoma"/>
          <w:color w:val="003C71"/>
        </w:rPr>
      </w:pPr>
      <w:bookmarkStart w:id="45" w:name="_Toc57314089"/>
      <w:r w:rsidRPr="0071215F">
        <w:rPr>
          <w:rFonts w:ascii="Tahoma" w:hAnsi="Tahoma" w:cs="Tahoma"/>
          <w:color w:val="003C71"/>
        </w:rPr>
        <w:t>F3.4 – Non-Reference Services</w:t>
      </w:r>
      <w:bookmarkEnd w:id="45"/>
    </w:p>
    <w:tbl>
      <w:tblPr>
        <w:tblStyle w:val="UETableStyle"/>
        <w:tblW w:w="4993" w:type="pct"/>
        <w:tblInd w:w="-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87"/>
        <w:gridCol w:w="4538"/>
        <w:gridCol w:w="2275"/>
        <w:gridCol w:w="3259"/>
        <w:gridCol w:w="1879"/>
      </w:tblGrid>
      <w:tr w:rsidR="00F26290" w:rsidRPr="00751816" w14:paraId="1EA0DD7E" w14:textId="77777777" w:rsidTr="00E21E26">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713" w:type="pct"/>
            <w:tcBorders>
              <w:bottom w:val="single" w:sz="4" w:space="0" w:color="00B0F0"/>
            </w:tcBorders>
            <w:shd w:val="clear" w:color="auto" w:fill="003C71"/>
            <w:hideMark/>
          </w:tcPr>
          <w:p w14:paraId="43CFF6EC" w14:textId="5552917C" w:rsidR="00A412BF" w:rsidRPr="00751816" w:rsidRDefault="00A412BF" w:rsidP="00443597">
            <w:pPr>
              <w:rPr>
                <w:rFonts w:ascii="Tahoma" w:hAnsi="Tahoma" w:cs="Tahoma"/>
                <w:b/>
                <w:color w:val="FFFFFF"/>
                <w:sz w:val="20"/>
              </w:rPr>
            </w:pPr>
            <w:bookmarkStart w:id="46" w:name="_Hlk51142210"/>
            <w:r w:rsidRPr="00751816">
              <w:rPr>
                <w:rFonts w:ascii="Tahoma" w:hAnsi="Tahoma" w:cs="Tahoma"/>
                <w:b/>
                <w:color w:val="FFFFFF"/>
                <w:sz w:val="20"/>
              </w:rPr>
              <w:t xml:space="preserve">Variable </w:t>
            </w:r>
          </w:p>
        </w:tc>
        <w:tc>
          <w:tcPr>
            <w:tcW w:w="1628" w:type="pct"/>
            <w:tcBorders>
              <w:bottom w:val="single" w:sz="4" w:space="0" w:color="00B0F0"/>
            </w:tcBorders>
            <w:shd w:val="clear" w:color="auto" w:fill="003C71"/>
          </w:tcPr>
          <w:p w14:paraId="1C408D69" w14:textId="77777777" w:rsidR="00A412BF" w:rsidRPr="00751816" w:rsidRDefault="00A412BF"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16" w:type="pct"/>
            <w:tcBorders>
              <w:bottom w:val="single" w:sz="4" w:space="0" w:color="00B0F0"/>
            </w:tcBorders>
            <w:shd w:val="clear" w:color="auto" w:fill="003C71"/>
          </w:tcPr>
          <w:p w14:paraId="737DA82B" w14:textId="77777777" w:rsidR="00A412BF" w:rsidRPr="00751816" w:rsidRDefault="00A412BF"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169" w:type="pct"/>
            <w:tcBorders>
              <w:bottom w:val="single" w:sz="4" w:space="0" w:color="00B0F0"/>
            </w:tcBorders>
            <w:shd w:val="clear" w:color="auto" w:fill="003C71"/>
          </w:tcPr>
          <w:p w14:paraId="36A96E36" w14:textId="77777777" w:rsidR="00A412BF" w:rsidRPr="00751816" w:rsidRDefault="00A412BF"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74" w:type="pct"/>
            <w:tcBorders>
              <w:bottom w:val="single" w:sz="4" w:space="0" w:color="00B0F0"/>
            </w:tcBorders>
            <w:shd w:val="clear" w:color="auto" w:fill="003C71"/>
          </w:tcPr>
          <w:p w14:paraId="1CF5D95F" w14:textId="77777777" w:rsidR="00A412BF" w:rsidRPr="00751816" w:rsidRDefault="00A412BF"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E21E26" w:rsidRPr="00751816" w14:paraId="4EF2D374" w14:textId="77777777" w:rsidTr="00443597">
        <w:trPr>
          <w:trHeight w:val="283"/>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00B0F0"/>
            <w:vAlign w:val="center"/>
          </w:tcPr>
          <w:p w14:paraId="62DEACD0" w14:textId="49F24E75" w:rsidR="00E21E26" w:rsidRPr="00751816" w:rsidRDefault="008418D3" w:rsidP="001C016D">
            <w:pPr>
              <w:spacing w:before="120" w:after="120" w:line="240" w:lineRule="atLeast"/>
              <w:contextualSpacing/>
              <w:rPr>
                <w:rFonts w:ascii="Tahoma" w:hAnsi="Tahoma" w:cs="Tahoma"/>
                <w:sz w:val="20"/>
              </w:rPr>
            </w:pPr>
            <w:r>
              <w:rPr>
                <w:rFonts w:ascii="Tahoma" w:hAnsi="Tahoma" w:cs="Tahoma"/>
                <w:sz w:val="20"/>
              </w:rPr>
              <w:t>2019/20</w:t>
            </w:r>
            <w:r w:rsidR="00E21E26">
              <w:rPr>
                <w:rFonts w:ascii="Tahoma" w:hAnsi="Tahoma" w:cs="Tahoma"/>
                <w:sz w:val="20"/>
              </w:rPr>
              <w:t xml:space="preserve"> </w:t>
            </w:r>
          </w:p>
        </w:tc>
        <w:tc>
          <w:tcPr>
            <w:tcW w:w="1628" w:type="pct"/>
            <w:tcBorders>
              <w:top w:val="single" w:sz="4" w:space="0" w:color="00B0F0"/>
              <w:bottom w:val="single" w:sz="4" w:space="0" w:color="00B0F0"/>
            </w:tcBorders>
            <w:shd w:val="clear" w:color="auto" w:fill="00B0F0"/>
            <w:vAlign w:val="center"/>
          </w:tcPr>
          <w:p w14:paraId="1398939D" w14:textId="77777777" w:rsidR="00E21E26" w:rsidDel="00E21E26" w:rsidRDefault="00E21E2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16" w:type="pct"/>
            <w:tcBorders>
              <w:top w:val="single" w:sz="4" w:space="0" w:color="00B0F0"/>
              <w:bottom w:val="single" w:sz="4" w:space="0" w:color="00B0F0"/>
            </w:tcBorders>
            <w:shd w:val="clear" w:color="auto" w:fill="00B0F0"/>
            <w:vAlign w:val="center"/>
          </w:tcPr>
          <w:p w14:paraId="5F639EA9" w14:textId="77777777" w:rsidR="00E21E26" w:rsidRPr="00451812" w:rsidRDefault="00E21E2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highlight w:val="yellow"/>
              </w:rPr>
            </w:pPr>
          </w:p>
        </w:tc>
        <w:tc>
          <w:tcPr>
            <w:tcW w:w="1169" w:type="pct"/>
            <w:tcBorders>
              <w:top w:val="single" w:sz="4" w:space="0" w:color="00B0F0"/>
              <w:bottom w:val="single" w:sz="4" w:space="0" w:color="00B0F0"/>
            </w:tcBorders>
            <w:shd w:val="clear" w:color="auto" w:fill="00B0F0"/>
            <w:vAlign w:val="center"/>
          </w:tcPr>
          <w:p w14:paraId="0BCAB52E" w14:textId="77777777" w:rsidR="00E21E26" w:rsidRPr="00751816" w:rsidRDefault="00E21E2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74" w:type="pct"/>
            <w:tcBorders>
              <w:top w:val="single" w:sz="4" w:space="0" w:color="00B0F0"/>
              <w:bottom w:val="single" w:sz="4" w:space="0" w:color="00B0F0"/>
            </w:tcBorders>
            <w:shd w:val="clear" w:color="auto" w:fill="00B0F0"/>
            <w:vAlign w:val="center"/>
          </w:tcPr>
          <w:p w14:paraId="7A955BE1" w14:textId="77777777" w:rsidR="00E21E26" w:rsidRPr="00751816" w:rsidRDefault="00E21E2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F26290" w:rsidRPr="00751816" w14:paraId="735DBA22" w14:textId="77777777" w:rsidTr="00E21E26">
        <w:trPr>
          <w:trHeight w:val="436"/>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00B0F0"/>
              <w:bottom w:val="single" w:sz="4" w:space="0" w:color="00B0F0"/>
            </w:tcBorders>
            <w:shd w:val="clear" w:color="auto" w:fill="D9D9D9" w:themeFill="background1" w:themeFillShade="D9"/>
            <w:vAlign w:val="center"/>
          </w:tcPr>
          <w:p w14:paraId="1C5DE54C" w14:textId="77777777" w:rsidR="00A412BF" w:rsidRPr="00751816" w:rsidRDefault="00A412BF" w:rsidP="001C016D">
            <w:pPr>
              <w:spacing w:before="120" w:after="120" w:line="240" w:lineRule="atLeast"/>
              <w:contextualSpacing/>
              <w:rPr>
                <w:rFonts w:ascii="Tahoma" w:hAnsi="Tahoma" w:cs="Tahoma"/>
                <w:sz w:val="20"/>
              </w:rPr>
            </w:pPr>
          </w:p>
        </w:tc>
        <w:tc>
          <w:tcPr>
            <w:tcW w:w="1628" w:type="pct"/>
            <w:tcBorders>
              <w:top w:val="single" w:sz="4" w:space="0" w:color="00B0F0"/>
              <w:bottom w:val="single" w:sz="4" w:space="0" w:color="00B0F0"/>
            </w:tcBorders>
            <w:vAlign w:val="center"/>
          </w:tcPr>
          <w:p w14:paraId="1E6A05EA" w14:textId="62B2F4D8" w:rsidR="00A412BF" w:rsidRDefault="00A412BF" w:rsidP="001C016D">
            <w:pPr>
              <w:spacing w:before="0" w:after="160" w:line="259" w:lineRule="auto"/>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0"/>
                <w:szCs w:val="22"/>
                <w:lang w:eastAsia="en-US"/>
              </w:rPr>
            </w:pPr>
            <w:r>
              <w:rPr>
                <w:rFonts w:ascii="Tahoma" w:hAnsi="Tahoma" w:cs="Tahoma"/>
                <w:sz w:val="20"/>
              </w:rPr>
              <w:t xml:space="preserve">From 2014/15 onward, the information </w:t>
            </w:r>
            <w:r>
              <w:rPr>
                <w:rFonts w:ascii="Tahoma" w:eastAsiaTheme="minorHAnsi" w:hAnsi="Tahoma" w:cs="Tahoma"/>
                <w:sz w:val="20"/>
                <w:szCs w:val="22"/>
                <w:lang w:eastAsia="en-US"/>
              </w:rPr>
              <w:t>to report Non-Reference Services revenue has been sourced initially from data provided by APA via its billing system (</w:t>
            </w:r>
            <w:r w:rsidR="008D1E02">
              <w:rPr>
                <w:rFonts w:ascii="Tahoma" w:hAnsi="Tahoma" w:cs="Tahoma"/>
                <w:sz w:val="20"/>
              </w:rPr>
              <w:t>Customer Care and Billing</w:t>
            </w:r>
            <w:r>
              <w:rPr>
                <w:rFonts w:ascii="Tahoma" w:eastAsiaTheme="minorHAnsi" w:hAnsi="Tahoma" w:cs="Tahoma"/>
                <w:sz w:val="20"/>
                <w:szCs w:val="22"/>
                <w:lang w:eastAsia="en-US"/>
              </w:rPr>
              <w:t xml:space="preserve">) which is used to provide data to retailers and internally to produce the revenue reported in the RFAs each half year.  This data provided by APA lists revenue against service types that enables AGN Limited to identify revenue for Non-Reference Services (and ARS).   </w:t>
            </w:r>
          </w:p>
          <w:p w14:paraId="647195C8" w14:textId="77777777" w:rsidR="00A412BF"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0D239E">
              <w:rPr>
                <w:rFonts w:ascii="Tahoma" w:hAnsi="Tahoma" w:cs="Tahoma"/>
                <w:sz w:val="20"/>
              </w:rPr>
              <w:lastRenderedPageBreak/>
              <w:t>APA reconciles</w:t>
            </w:r>
            <w:r>
              <w:rPr>
                <w:rFonts w:ascii="Tahoma" w:hAnsi="Tahoma" w:cs="Tahoma"/>
                <w:sz w:val="20"/>
              </w:rPr>
              <w:t xml:space="preserve"> the revenue figures provided to AGN Limited to its own General Ledger to ensure its accuracy. </w:t>
            </w:r>
          </w:p>
          <w:p w14:paraId="748C0733" w14:textId="77777777" w:rsidR="00A412BF"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3AFD1ECC" w14:textId="296F4E35" w:rsidR="00A412BF"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It is noted that a number of services</w:t>
            </w:r>
            <w:r w:rsidR="00F6311B">
              <w:rPr>
                <w:rFonts w:ascii="Tahoma" w:hAnsi="Tahoma" w:cs="Tahoma"/>
                <w:sz w:val="20"/>
              </w:rPr>
              <w:t xml:space="preserve"> previously</w:t>
            </w:r>
            <w:r>
              <w:rPr>
                <w:rFonts w:ascii="Tahoma" w:hAnsi="Tahoma" w:cs="Tahoma"/>
                <w:sz w:val="20"/>
              </w:rPr>
              <w:t xml:space="preserve"> </w:t>
            </w:r>
            <w:r w:rsidR="00F6311B">
              <w:rPr>
                <w:rFonts w:ascii="Tahoma" w:hAnsi="Tahoma" w:cs="Tahoma"/>
                <w:sz w:val="20"/>
              </w:rPr>
              <w:t xml:space="preserve">reported </w:t>
            </w:r>
            <w:r>
              <w:rPr>
                <w:rFonts w:ascii="Tahoma" w:hAnsi="Tahoma" w:cs="Tahoma"/>
                <w:sz w:val="20"/>
              </w:rPr>
              <w:t>as Non-Reference Services became ARS in 2016-17 (e.g. Meter Removal, Meter Reinstallation and Meter Gas and Installation Test).</w:t>
            </w:r>
          </w:p>
          <w:p w14:paraId="1B9347E9" w14:textId="77777777" w:rsidR="00A412BF"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A71DE51" w14:textId="6FB8B6C4" w:rsidR="00A412BF" w:rsidRPr="0078407D" w:rsidRDefault="00A412BF" w:rsidP="00A82CF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Pr>
                <w:rFonts w:ascii="Tahoma" w:hAnsi="Tahoma" w:cs="Tahoma"/>
                <w:sz w:val="20"/>
              </w:rPr>
              <w:t>The Non-Reference Services listed in the RIN table are those that are shown on AGN Limited’s tariff schedules and which have been provided to customers in</w:t>
            </w:r>
            <w:r w:rsidR="00A82CFA">
              <w:rPr>
                <w:rFonts w:ascii="Tahoma" w:hAnsi="Tahoma" w:cs="Tahoma"/>
                <w:sz w:val="20"/>
              </w:rPr>
              <w:t xml:space="preserve"> 2019/20</w:t>
            </w:r>
            <w:r>
              <w:rPr>
                <w:rFonts w:ascii="Tahoma" w:hAnsi="Tahoma" w:cs="Tahoma"/>
                <w:sz w:val="20"/>
              </w:rPr>
              <w:t>.</w:t>
            </w:r>
          </w:p>
        </w:tc>
        <w:tc>
          <w:tcPr>
            <w:tcW w:w="816" w:type="pct"/>
            <w:tcBorders>
              <w:top w:val="single" w:sz="4" w:space="0" w:color="00B0F0"/>
              <w:bottom w:val="single" w:sz="4" w:space="0" w:color="00B0F0"/>
            </w:tcBorders>
            <w:vAlign w:val="center"/>
          </w:tcPr>
          <w:p w14:paraId="03D6AB67" w14:textId="71AB111B" w:rsidR="00A412BF" w:rsidRPr="00751816" w:rsidRDefault="00E21E2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 xml:space="preserve">Actual </w:t>
            </w:r>
          </w:p>
        </w:tc>
        <w:tc>
          <w:tcPr>
            <w:tcW w:w="1169" w:type="pct"/>
            <w:tcBorders>
              <w:top w:val="single" w:sz="4" w:space="0" w:color="00B0F0"/>
              <w:bottom w:val="single" w:sz="4" w:space="0" w:color="00B0F0"/>
            </w:tcBorders>
            <w:vAlign w:val="center"/>
          </w:tcPr>
          <w:p w14:paraId="5D7A348E" w14:textId="77777777" w:rsidR="00A412BF" w:rsidRPr="00751816"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74" w:type="pct"/>
            <w:tcBorders>
              <w:top w:val="single" w:sz="4" w:space="0" w:color="00B0F0"/>
              <w:bottom w:val="single" w:sz="4" w:space="0" w:color="00B0F0"/>
            </w:tcBorders>
            <w:vAlign w:val="center"/>
          </w:tcPr>
          <w:p w14:paraId="343F16E2" w14:textId="77777777" w:rsidR="00A412BF" w:rsidRPr="00751816" w:rsidRDefault="00A412B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bookmarkEnd w:id="46"/>
    </w:tbl>
    <w:p w14:paraId="4282AC16" w14:textId="77777777" w:rsidR="000D4165" w:rsidRPr="000D4165" w:rsidRDefault="000D4165" w:rsidP="000D4165"/>
    <w:p w14:paraId="1CEF72C2" w14:textId="77777777" w:rsidR="00F50525" w:rsidRDefault="00F50525" w:rsidP="0071215F">
      <w:pPr>
        <w:pStyle w:val="Heading2"/>
        <w:rPr>
          <w:rFonts w:ascii="Tahoma" w:hAnsi="Tahoma" w:cs="Tahoma"/>
          <w:color w:val="003C71"/>
        </w:rPr>
      </w:pPr>
      <w:bookmarkStart w:id="47" w:name="_Toc57314090"/>
      <w:r w:rsidRPr="0071215F">
        <w:rPr>
          <w:rFonts w:ascii="Tahoma" w:hAnsi="Tahoma" w:cs="Tahoma"/>
          <w:color w:val="003C71"/>
        </w:rPr>
        <w:t>F3.5 – Total Revenue</w:t>
      </w:r>
      <w:bookmarkEnd w:id="47"/>
      <w:r w:rsidRPr="0071215F">
        <w:rPr>
          <w:rFonts w:ascii="Tahoma" w:hAnsi="Tahoma" w:cs="Tahoma"/>
          <w:color w:val="003C71"/>
        </w:rPr>
        <w:t xml:space="preserve"> </w:t>
      </w:r>
    </w:p>
    <w:p w14:paraId="114E3A73" w14:textId="0C703BCA" w:rsidR="00C35FBF" w:rsidRDefault="00C35FBF" w:rsidP="00C35FBF">
      <w:pPr>
        <w:rPr>
          <w:rFonts w:ascii="Tahoma" w:hAnsi="Tahoma" w:cs="Tahoma"/>
        </w:rPr>
      </w:pPr>
      <w:r>
        <w:rPr>
          <w:rFonts w:ascii="Tahoma" w:hAnsi="Tahoma" w:cs="Tahoma"/>
        </w:rPr>
        <w:t>F3.5 is formula driven table</w:t>
      </w:r>
      <w:r w:rsidRPr="0045660C">
        <w:rPr>
          <w:rFonts w:ascii="Tahoma" w:hAnsi="Tahoma" w:cs="Tahoma"/>
        </w:rPr>
        <w:t xml:space="preserve"> calculated based on the </w:t>
      </w:r>
      <w:r>
        <w:rPr>
          <w:rFonts w:ascii="Tahoma" w:hAnsi="Tahoma" w:cs="Tahoma"/>
        </w:rPr>
        <w:t>tables in F3.1</w:t>
      </w:r>
      <w:r w:rsidR="00994772">
        <w:rPr>
          <w:rFonts w:ascii="Tahoma" w:hAnsi="Tahoma" w:cs="Tahoma"/>
        </w:rPr>
        <w:t>.</w:t>
      </w:r>
      <w:r w:rsidR="00D11B7C">
        <w:rPr>
          <w:rFonts w:ascii="Tahoma" w:hAnsi="Tahoma" w:cs="Tahoma"/>
        </w:rPr>
        <w:t>1</w:t>
      </w:r>
      <w:r>
        <w:rPr>
          <w:rFonts w:ascii="Tahoma" w:hAnsi="Tahoma" w:cs="Tahoma"/>
        </w:rPr>
        <w:t>, F3.2, F3.3 and F3.4</w:t>
      </w:r>
      <w:r w:rsidRPr="0045660C">
        <w:rPr>
          <w:rFonts w:ascii="Tahoma" w:hAnsi="Tahoma" w:cs="Tahoma"/>
        </w:rPr>
        <w:t xml:space="preserve">. </w:t>
      </w:r>
    </w:p>
    <w:p w14:paraId="62FE0143" w14:textId="77777777" w:rsidR="00C35FBF" w:rsidRPr="00C35FBF" w:rsidRDefault="00C35FBF" w:rsidP="00C35FBF"/>
    <w:p w14:paraId="291232E0" w14:textId="031B290B" w:rsidR="00F50525" w:rsidRDefault="00F50525" w:rsidP="0071215F">
      <w:pPr>
        <w:pStyle w:val="Heading2"/>
        <w:rPr>
          <w:rFonts w:ascii="Tahoma" w:hAnsi="Tahoma" w:cs="Tahoma"/>
          <w:color w:val="003C71"/>
        </w:rPr>
      </w:pPr>
      <w:bookmarkStart w:id="48" w:name="_Toc57314091"/>
      <w:r w:rsidRPr="0071215F">
        <w:rPr>
          <w:rFonts w:ascii="Tahoma" w:hAnsi="Tahoma" w:cs="Tahoma"/>
          <w:color w:val="003C71"/>
        </w:rPr>
        <w:t>F3.6 – Rewards and Penalties from Incentive Schemes</w:t>
      </w:r>
      <w:bookmarkEnd w:id="48"/>
      <w:r w:rsidRPr="0071215F">
        <w:rPr>
          <w:rFonts w:ascii="Tahoma" w:hAnsi="Tahoma" w:cs="Tahoma"/>
          <w:color w:val="003C71"/>
        </w:rPr>
        <w:t xml:space="preserve"> </w:t>
      </w:r>
    </w:p>
    <w:tbl>
      <w:tblPr>
        <w:tblStyle w:val="UETableStyle"/>
        <w:tblW w:w="4944"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47"/>
        <w:gridCol w:w="4615"/>
        <w:gridCol w:w="2230"/>
        <w:gridCol w:w="3130"/>
        <w:gridCol w:w="1880"/>
      </w:tblGrid>
      <w:tr w:rsidR="00FC64B1" w:rsidRPr="00751816" w14:paraId="21B6AD40" w14:textId="77777777" w:rsidTr="00443597">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705" w:type="pct"/>
            <w:tcBorders>
              <w:bottom w:val="single" w:sz="4" w:space="0" w:color="00B0F0"/>
            </w:tcBorders>
            <w:shd w:val="clear" w:color="auto" w:fill="003C71"/>
            <w:hideMark/>
          </w:tcPr>
          <w:p w14:paraId="723A9143" w14:textId="6D572DCF" w:rsidR="00FC64B1" w:rsidRPr="00751816" w:rsidRDefault="00FC64B1" w:rsidP="00EA7CDA">
            <w:pPr>
              <w:rPr>
                <w:rFonts w:ascii="Tahoma" w:hAnsi="Tahoma" w:cs="Tahoma"/>
                <w:b/>
                <w:color w:val="FFFFFF"/>
                <w:sz w:val="20"/>
              </w:rPr>
            </w:pPr>
            <w:r w:rsidRPr="00751816">
              <w:rPr>
                <w:rFonts w:ascii="Tahoma" w:hAnsi="Tahoma" w:cs="Tahoma"/>
                <w:b/>
                <w:color w:val="FFFFFF"/>
                <w:sz w:val="20"/>
              </w:rPr>
              <w:t xml:space="preserve">Variable </w:t>
            </w:r>
          </w:p>
        </w:tc>
        <w:tc>
          <w:tcPr>
            <w:tcW w:w="1672" w:type="pct"/>
            <w:tcBorders>
              <w:bottom w:val="single" w:sz="4" w:space="0" w:color="00B0F0"/>
            </w:tcBorders>
            <w:shd w:val="clear" w:color="auto" w:fill="003C71"/>
          </w:tcPr>
          <w:p w14:paraId="4BE3B0CC" w14:textId="77777777" w:rsidR="00FC64B1" w:rsidRPr="00751816" w:rsidRDefault="00FC64B1"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08" w:type="pct"/>
            <w:tcBorders>
              <w:bottom w:val="single" w:sz="4" w:space="0" w:color="00B0F0"/>
            </w:tcBorders>
            <w:shd w:val="clear" w:color="auto" w:fill="003C71"/>
          </w:tcPr>
          <w:p w14:paraId="79026CE1" w14:textId="77777777" w:rsidR="00FC64B1" w:rsidRPr="00751816" w:rsidRDefault="00FC64B1"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134" w:type="pct"/>
            <w:tcBorders>
              <w:bottom w:val="single" w:sz="4" w:space="0" w:color="00B0F0"/>
            </w:tcBorders>
            <w:shd w:val="clear" w:color="auto" w:fill="003C71"/>
          </w:tcPr>
          <w:p w14:paraId="6D17EDB8" w14:textId="77777777" w:rsidR="00FC64B1" w:rsidRPr="00751816" w:rsidRDefault="00FC64B1"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681" w:type="pct"/>
            <w:tcBorders>
              <w:bottom w:val="single" w:sz="4" w:space="0" w:color="00B0F0"/>
            </w:tcBorders>
            <w:shd w:val="clear" w:color="auto" w:fill="003C71"/>
          </w:tcPr>
          <w:p w14:paraId="4A07A0F5" w14:textId="77777777" w:rsidR="00FC64B1" w:rsidRPr="00751816" w:rsidRDefault="00FC64B1"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FC64B1" w:rsidRPr="00751816" w14:paraId="215D6509" w14:textId="77777777" w:rsidTr="00443597">
        <w:trPr>
          <w:trHeight w:val="283"/>
        </w:trPr>
        <w:tc>
          <w:tcPr>
            <w:cnfStyle w:val="001000000000" w:firstRow="0" w:lastRow="0" w:firstColumn="1" w:lastColumn="0" w:oddVBand="0" w:evenVBand="0" w:oddHBand="0" w:evenHBand="0" w:firstRowFirstColumn="0" w:firstRowLastColumn="0" w:lastRowFirstColumn="0" w:lastRowLastColumn="0"/>
            <w:tcW w:w="705" w:type="pct"/>
            <w:tcBorders>
              <w:top w:val="single" w:sz="4" w:space="0" w:color="00B0F0"/>
              <w:bottom w:val="single" w:sz="4" w:space="0" w:color="00B0F0"/>
            </w:tcBorders>
            <w:shd w:val="clear" w:color="auto" w:fill="00A3E0"/>
            <w:vAlign w:val="center"/>
          </w:tcPr>
          <w:p w14:paraId="64A99B0C" w14:textId="7E499CF7" w:rsidR="00FC64B1" w:rsidRPr="00C056E8" w:rsidRDefault="008418D3" w:rsidP="001C016D">
            <w:pPr>
              <w:spacing w:before="120" w:after="120" w:line="240" w:lineRule="atLeast"/>
              <w:contextualSpacing/>
              <w:rPr>
                <w:rFonts w:ascii="Tahoma" w:hAnsi="Tahoma" w:cs="Tahoma"/>
                <w:sz w:val="20"/>
              </w:rPr>
            </w:pPr>
            <w:r>
              <w:rPr>
                <w:rFonts w:ascii="Tahoma" w:hAnsi="Tahoma" w:cs="Tahoma"/>
                <w:sz w:val="20"/>
              </w:rPr>
              <w:t>2019/20</w:t>
            </w:r>
          </w:p>
        </w:tc>
        <w:tc>
          <w:tcPr>
            <w:tcW w:w="1672" w:type="pct"/>
            <w:tcBorders>
              <w:top w:val="single" w:sz="4" w:space="0" w:color="00B0F0"/>
              <w:bottom w:val="single" w:sz="4" w:space="0" w:color="00B0F0"/>
            </w:tcBorders>
            <w:shd w:val="clear" w:color="auto" w:fill="00A3E0"/>
            <w:vAlign w:val="center"/>
          </w:tcPr>
          <w:p w14:paraId="59AE0BAD" w14:textId="77777777" w:rsidR="00FC64B1" w:rsidRDefault="00FC64B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08" w:type="pct"/>
            <w:tcBorders>
              <w:top w:val="single" w:sz="4" w:space="0" w:color="00B0F0"/>
              <w:bottom w:val="single" w:sz="4" w:space="0" w:color="00B0F0"/>
            </w:tcBorders>
            <w:shd w:val="clear" w:color="auto" w:fill="00A3E0"/>
            <w:vAlign w:val="center"/>
          </w:tcPr>
          <w:p w14:paraId="0502D068" w14:textId="77777777" w:rsidR="00FC64B1" w:rsidRPr="00751816" w:rsidRDefault="00FC64B1" w:rsidP="001C016D">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1134" w:type="pct"/>
            <w:tcBorders>
              <w:top w:val="single" w:sz="4" w:space="0" w:color="00B0F0"/>
              <w:bottom w:val="single" w:sz="4" w:space="0" w:color="00B0F0"/>
            </w:tcBorders>
            <w:shd w:val="clear" w:color="auto" w:fill="00A3E0"/>
            <w:vAlign w:val="center"/>
          </w:tcPr>
          <w:p w14:paraId="5801D01D" w14:textId="77777777" w:rsidR="00FC64B1" w:rsidRPr="00751816" w:rsidRDefault="00FC64B1" w:rsidP="001C016D">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shd w:val="clear" w:color="auto" w:fill="00A3E0"/>
            <w:vAlign w:val="center"/>
          </w:tcPr>
          <w:p w14:paraId="5899DA6D" w14:textId="77777777" w:rsidR="00FC64B1" w:rsidRPr="00751816" w:rsidRDefault="00FC64B1" w:rsidP="001C016D">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FC64B1" w:rsidRPr="00751816" w14:paraId="3556A229" w14:textId="77777777" w:rsidTr="00BE09C7">
        <w:trPr>
          <w:trHeight w:val="436"/>
        </w:trPr>
        <w:tc>
          <w:tcPr>
            <w:cnfStyle w:val="001000000000" w:firstRow="0" w:lastRow="0" w:firstColumn="1" w:lastColumn="0" w:oddVBand="0" w:evenVBand="0" w:oddHBand="0" w:evenHBand="0" w:firstRowFirstColumn="0" w:firstRowLastColumn="0" w:lastRowFirstColumn="0" w:lastRowLastColumn="0"/>
            <w:tcW w:w="705" w:type="pct"/>
            <w:tcBorders>
              <w:top w:val="single" w:sz="4" w:space="0" w:color="00B0F0"/>
              <w:bottom w:val="single" w:sz="4" w:space="0" w:color="00B0F0"/>
            </w:tcBorders>
            <w:shd w:val="clear" w:color="auto" w:fill="BFBFBF" w:themeFill="background1" w:themeFillShade="BF"/>
            <w:vAlign w:val="center"/>
          </w:tcPr>
          <w:p w14:paraId="16F9D128" w14:textId="77777777" w:rsidR="00FC64B1" w:rsidRPr="00C056E8" w:rsidRDefault="00FC64B1" w:rsidP="001C016D">
            <w:pPr>
              <w:spacing w:before="120" w:after="120" w:line="240" w:lineRule="atLeast"/>
              <w:contextualSpacing/>
              <w:rPr>
                <w:rFonts w:ascii="Tahoma" w:hAnsi="Tahoma" w:cs="Tahoma"/>
                <w:sz w:val="20"/>
              </w:rPr>
            </w:pPr>
          </w:p>
        </w:tc>
        <w:tc>
          <w:tcPr>
            <w:tcW w:w="1672" w:type="pct"/>
            <w:tcBorders>
              <w:top w:val="single" w:sz="4" w:space="0" w:color="00B0F0"/>
              <w:bottom w:val="single" w:sz="4" w:space="0" w:color="00B0F0"/>
            </w:tcBorders>
            <w:vAlign w:val="center"/>
          </w:tcPr>
          <w:p w14:paraId="08D99891" w14:textId="77777777" w:rsidR="00FC64B1" w:rsidRDefault="00FC64B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rewards and penalties from the Efficiency Benefit Sharing Scheme (EBSS) for this period is as per the AER’s Final Decision for the 2016/17 to 2020/21 AA period, contained in the Post Tax Revenue Model (PTRM). </w:t>
            </w:r>
          </w:p>
          <w:p w14:paraId="1EBEAC86" w14:textId="77777777" w:rsidR="00FC64B1" w:rsidRDefault="00FC64B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3ED4CDA" w14:textId="77777777" w:rsidR="00FC64B1" w:rsidRDefault="00FC64B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As Table F3.6 requires the rewards and penalties in nominal dollars, the conversion has been completed using the AER’s inflation assumptions contained in the Final Decision PTRM for each relevant year.</w:t>
            </w:r>
          </w:p>
        </w:tc>
        <w:tc>
          <w:tcPr>
            <w:tcW w:w="808" w:type="pct"/>
            <w:tcBorders>
              <w:top w:val="single" w:sz="4" w:space="0" w:color="00B0F0"/>
              <w:bottom w:val="single" w:sz="4" w:space="0" w:color="00B0F0"/>
            </w:tcBorders>
            <w:vAlign w:val="center"/>
          </w:tcPr>
          <w:p w14:paraId="11A9F534" w14:textId="77777777" w:rsidR="00FC64B1" w:rsidRPr="00751816" w:rsidRDefault="00FC64B1" w:rsidP="00BE09C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134" w:type="pct"/>
            <w:tcBorders>
              <w:top w:val="single" w:sz="4" w:space="0" w:color="00B0F0"/>
              <w:bottom w:val="single" w:sz="4" w:space="0" w:color="00B0F0"/>
            </w:tcBorders>
            <w:vAlign w:val="center"/>
          </w:tcPr>
          <w:p w14:paraId="40309399" w14:textId="16159205" w:rsidR="00FC64B1" w:rsidRPr="00751816" w:rsidRDefault="00FC64B1" w:rsidP="001C016D">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681" w:type="pct"/>
            <w:tcBorders>
              <w:top w:val="single" w:sz="4" w:space="0" w:color="00B0F0"/>
              <w:bottom w:val="single" w:sz="4" w:space="0" w:color="00B0F0"/>
            </w:tcBorders>
            <w:vAlign w:val="center"/>
          </w:tcPr>
          <w:p w14:paraId="229B27E8" w14:textId="2917EE16" w:rsidR="00FC64B1" w:rsidRPr="00751816" w:rsidRDefault="00FC64B1" w:rsidP="001C016D">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02773346" w14:textId="3BA836EB" w:rsidR="00FC64B1" w:rsidRDefault="00FC64B1" w:rsidP="00FC64B1"/>
    <w:p w14:paraId="3F4FA0D3" w14:textId="77777777" w:rsidR="00FC64B1" w:rsidRPr="00FC64B1" w:rsidRDefault="00FC64B1" w:rsidP="00FC64B1"/>
    <w:p w14:paraId="280276EC" w14:textId="77777777" w:rsidR="00FC64B1" w:rsidRDefault="00FC64B1">
      <w:pPr>
        <w:rPr>
          <w:rFonts w:ascii="Tahoma" w:eastAsiaTheme="majorEastAsia" w:hAnsi="Tahoma" w:cs="Tahoma"/>
          <w:b/>
          <w:color w:val="003C71"/>
          <w:sz w:val="32"/>
          <w:szCs w:val="32"/>
        </w:rPr>
      </w:pPr>
      <w:r>
        <w:rPr>
          <w:rFonts w:ascii="Tahoma" w:hAnsi="Tahoma" w:cs="Tahoma"/>
          <w:b/>
          <w:color w:val="003C71"/>
        </w:rPr>
        <w:br w:type="page"/>
      </w:r>
    </w:p>
    <w:p w14:paraId="3A369045" w14:textId="34FEA4BB" w:rsidR="008F0618" w:rsidRPr="0095305C" w:rsidRDefault="00A235C0" w:rsidP="00C059E5">
      <w:pPr>
        <w:pStyle w:val="Heading1"/>
        <w:rPr>
          <w:rFonts w:ascii="Tahoma" w:hAnsi="Tahoma" w:cs="Tahoma"/>
          <w:b/>
          <w:color w:val="003C71"/>
        </w:rPr>
      </w:pPr>
      <w:bookmarkStart w:id="49" w:name="_Toc57314092"/>
      <w:r w:rsidRPr="0095305C">
        <w:rPr>
          <w:rFonts w:ascii="Tahoma" w:hAnsi="Tahoma" w:cs="Tahoma"/>
          <w:b/>
          <w:color w:val="003C71"/>
        </w:rPr>
        <w:lastRenderedPageBreak/>
        <w:t>F4. Opex</w:t>
      </w:r>
      <w:bookmarkEnd w:id="49"/>
      <w:r w:rsidRPr="0095305C">
        <w:rPr>
          <w:rFonts w:ascii="Tahoma" w:hAnsi="Tahoma" w:cs="Tahoma"/>
          <w:b/>
          <w:color w:val="003C71"/>
        </w:rPr>
        <w:t xml:space="preserve"> </w:t>
      </w:r>
    </w:p>
    <w:p w14:paraId="5A497930" w14:textId="77777777" w:rsidR="00A235C0" w:rsidRDefault="00A235C0" w:rsidP="0071215F">
      <w:pPr>
        <w:pStyle w:val="Heading2"/>
        <w:rPr>
          <w:rFonts w:ascii="Tahoma" w:hAnsi="Tahoma" w:cs="Tahoma"/>
          <w:color w:val="003C71"/>
        </w:rPr>
      </w:pPr>
      <w:bookmarkStart w:id="50" w:name="_Toc57314093"/>
      <w:r w:rsidRPr="0071215F">
        <w:rPr>
          <w:rFonts w:ascii="Tahoma" w:hAnsi="Tahoma" w:cs="Tahoma"/>
          <w:color w:val="003C71"/>
        </w:rPr>
        <w:t>F4.1 – Opex - by Purpose</w:t>
      </w:r>
      <w:bookmarkEnd w:id="50"/>
      <w:r w:rsidRPr="0071215F">
        <w:rPr>
          <w:rFonts w:ascii="Tahoma" w:hAnsi="Tahoma" w:cs="Tahoma"/>
          <w:color w:val="003C71"/>
        </w:rPr>
        <w:t xml:space="preserve"> </w:t>
      </w:r>
    </w:p>
    <w:p w14:paraId="4FBB0346" w14:textId="77777777" w:rsidR="00A235C0" w:rsidRDefault="00A235C0" w:rsidP="003B01CA">
      <w:pPr>
        <w:rPr>
          <w:rFonts w:ascii="Tahoma" w:hAnsi="Tahoma" w:cs="Tahoma"/>
          <w:color w:val="00B0F0"/>
        </w:rPr>
      </w:pPr>
      <w:r w:rsidRPr="003B01CA">
        <w:rPr>
          <w:rFonts w:ascii="Tahoma" w:hAnsi="Tahoma" w:cs="Tahoma"/>
          <w:color w:val="00B0F0"/>
        </w:rPr>
        <w:t xml:space="preserve">F4.1.1 – Audited Statutory Accounts </w:t>
      </w:r>
    </w:p>
    <w:tbl>
      <w:tblPr>
        <w:tblStyle w:val="UETableStyle"/>
        <w:tblW w:w="5288"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19"/>
        <w:gridCol w:w="4544"/>
        <w:gridCol w:w="2769"/>
        <w:gridCol w:w="2979"/>
        <w:gridCol w:w="2551"/>
      </w:tblGrid>
      <w:tr w:rsidR="00EA7E65" w:rsidRPr="00751816" w14:paraId="2A270704" w14:textId="77777777" w:rsidTr="00864D25">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650" w:type="pct"/>
            <w:tcBorders>
              <w:bottom w:val="single" w:sz="4" w:space="0" w:color="00B0F0"/>
            </w:tcBorders>
            <w:shd w:val="clear" w:color="auto" w:fill="003C71"/>
            <w:hideMark/>
          </w:tcPr>
          <w:p w14:paraId="4C725FF8" w14:textId="337656CD" w:rsidR="00BA4D12" w:rsidRPr="00751816" w:rsidRDefault="00BA4D12" w:rsidP="00443597">
            <w:pPr>
              <w:rPr>
                <w:rFonts w:ascii="Tahoma" w:hAnsi="Tahoma" w:cs="Tahoma"/>
                <w:b/>
                <w:color w:val="FFFFFF"/>
                <w:sz w:val="20"/>
              </w:rPr>
            </w:pPr>
            <w:r w:rsidRPr="00751816">
              <w:rPr>
                <w:rFonts w:ascii="Tahoma" w:hAnsi="Tahoma" w:cs="Tahoma"/>
                <w:b/>
                <w:color w:val="FFFFFF"/>
                <w:sz w:val="20"/>
              </w:rPr>
              <w:t xml:space="preserve">Variable </w:t>
            </w:r>
          </w:p>
        </w:tc>
        <w:tc>
          <w:tcPr>
            <w:tcW w:w="1539" w:type="pct"/>
            <w:tcBorders>
              <w:bottom w:val="single" w:sz="4" w:space="0" w:color="00B0F0"/>
            </w:tcBorders>
            <w:shd w:val="clear" w:color="auto" w:fill="003C71"/>
          </w:tcPr>
          <w:p w14:paraId="5AD8928C" w14:textId="77777777" w:rsidR="00BA4D12" w:rsidRPr="00751816" w:rsidRDefault="00BA4D1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938" w:type="pct"/>
            <w:tcBorders>
              <w:bottom w:val="single" w:sz="4" w:space="0" w:color="00B0F0"/>
            </w:tcBorders>
            <w:shd w:val="clear" w:color="auto" w:fill="003C71"/>
          </w:tcPr>
          <w:p w14:paraId="417ADC73" w14:textId="77777777" w:rsidR="00BA4D12" w:rsidRPr="00751816" w:rsidRDefault="00BA4D1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1009" w:type="pct"/>
            <w:tcBorders>
              <w:bottom w:val="single" w:sz="4" w:space="0" w:color="00B0F0"/>
            </w:tcBorders>
            <w:shd w:val="clear" w:color="auto" w:fill="003C71"/>
          </w:tcPr>
          <w:p w14:paraId="21680E95" w14:textId="77777777" w:rsidR="00BA4D12" w:rsidRPr="00751816" w:rsidRDefault="00BA4D1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864" w:type="pct"/>
            <w:tcBorders>
              <w:bottom w:val="single" w:sz="4" w:space="0" w:color="00B0F0"/>
            </w:tcBorders>
            <w:shd w:val="clear" w:color="auto" w:fill="003C71"/>
          </w:tcPr>
          <w:p w14:paraId="300425B3" w14:textId="77777777" w:rsidR="00BA4D12" w:rsidRPr="00751816" w:rsidRDefault="00BA4D1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864D25" w:rsidRPr="00751816" w14:paraId="2F813D27" w14:textId="77777777" w:rsidTr="00864D25">
        <w:trPr>
          <w:trHeight w:val="431"/>
        </w:trPr>
        <w:tc>
          <w:tcPr>
            <w:cnfStyle w:val="001000000000" w:firstRow="0" w:lastRow="0" w:firstColumn="1" w:lastColumn="0" w:oddVBand="0" w:evenVBand="0" w:oddHBand="0" w:evenHBand="0" w:firstRowFirstColumn="0" w:firstRowLastColumn="0" w:lastRowFirstColumn="0" w:lastRowLastColumn="0"/>
            <w:tcW w:w="650" w:type="pct"/>
            <w:tcBorders>
              <w:top w:val="single" w:sz="4" w:space="0" w:color="00B0F0"/>
              <w:bottom w:val="single" w:sz="4" w:space="0" w:color="00B0F0"/>
            </w:tcBorders>
            <w:shd w:val="clear" w:color="auto" w:fill="00A3E0"/>
            <w:vAlign w:val="center"/>
          </w:tcPr>
          <w:p w14:paraId="3644E6C4" w14:textId="4A41528A" w:rsidR="00864D25" w:rsidRDefault="008418D3" w:rsidP="001C016D">
            <w:pPr>
              <w:spacing w:before="120" w:after="120" w:line="240" w:lineRule="atLeast"/>
              <w:contextualSpacing/>
              <w:rPr>
                <w:rFonts w:ascii="Tahoma" w:hAnsi="Tahoma" w:cs="Tahoma"/>
                <w:sz w:val="20"/>
              </w:rPr>
            </w:pPr>
            <w:r>
              <w:rPr>
                <w:rFonts w:ascii="Tahoma" w:hAnsi="Tahoma" w:cs="Tahoma"/>
                <w:sz w:val="20"/>
              </w:rPr>
              <w:t>2019/20</w:t>
            </w:r>
          </w:p>
        </w:tc>
        <w:tc>
          <w:tcPr>
            <w:tcW w:w="4350" w:type="pct"/>
            <w:gridSpan w:val="4"/>
            <w:tcBorders>
              <w:top w:val="single" w:sz="4" w:space="0" w:color="00B0F0"/>
              <w:bottom w:val="single" w:sz="4" w:space="0" w:color="00B0F0"/>
            </w:tcBorders>
            <w:shd w:val="clear" w:color="auto" w:fill="00A3E0"/>
            <w:vAlign w:val="center"/>
          </w:tcPr>
          <w:p w14:paraId="5895731F" w14:textId="5B08A515" w:rsidR="00AC079A" w:rsidRDefault="00864D2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r w:rsidRPr="001C5D12">
              <w:rPr>
                <w:rFonts w:ascii="Tahoma" w:hAnsi="Tahoma" w:cs="Tahoma"/>
                <w:i/>
                <w:sz w:val="20"/>
              </w:rPr>
              <w:t>AGN Limited</w:t>
            </w:r>
            <w:r>
              <w:rPr>
                <w:rFonts w:ascii="Tahoma" w:hAnsi="Tahoma" w:cs="Tahoma"/>
                <w:i/>
                <w:sz w:val="20"/>
              </w:rPr>
              <w:t xml:space="preserve">, which owns regulated and unregulated </w:t>
            </w:r>
            <w:r w:rsidR="009F3BE5">
              <w:rPr>
                <w:rFonts w:ascii="Tahoma" w:hAnsi="Tahoma" w:cs="Tahoma"/>
                <w:i/>
                <w:sz w:val="20"/>
              </w:rPr>
              <w:t xml:space="preserve">gas </w:t>
            </w:r>
            <w:r>
              <w:rPr>
                <w:rFonts w:ascii="Tahoma" w:hAnsi="Tahoma" w:cs="Tahoma"/>
                <w:i/>
                <w:sz w:val="20"/>
              </w:rPr>
              <w:t>pipelines in multiple jurisdictions,</w:t>
            </w:r>
            <w:r w:rsidRPr="001C5D12">
              <w:rPr>
                <w:rFonts w:ascii="Tahoma" w:hAnsi="Tahoma" w:cs="Tahoma"/>
                <w:i/>
                <w:sz w:val="20"/>
              </w:rPr>
              <w:t xml:space="preserve"> does not prepare audited statutory accounts for AGN (SA) which forms part of the consolidated group</w:t>
            </w:r>
            <w:r>
              <w:rPr>
                <w:rFonts w:ascii="Tahoma" w:hAnsi="Tahoma" w:cs="Tahoma"/>
                <w:i/>
                <w:sz w:val="20"/>
              </w:rPr>
              <w:t xml:space="preserve"> of companies</w:t>
            </w:r>
            <w:r w:rsidRPr="001C5D12">
              <w:rPr>
                <w:rFonts w:ascii="Tahoma" w:hAnsi="Tahoma" w:cs="Tahoma"/>
                <w:i/>
                <w:sz w:val="20"/>
              </w:rPr>
              <w:t xml:space="preserve">.  </w:t>
            </w:r>
            <w:r w:rsidR="00AC079A">
              <w:rPr>
                <w:rFonts w:ascii="Tahoma" w:hAnsi="Tahoma" w:cs="Tahoma"/>
                <w:i/>
                <w:sz w:val="20"/>
              </w:rPr>
              <w:t xml:space="preserve">However, as required by the AER for this Annual RIN, a trial balance for AGN (SA) has been prepared for 2019/20 which forms the basis of the financial information reported in this table F4.1.  The methodology used to prepare the trial balance for AGN (SA) </w:t>
            </w:r>
            <w:r w:rsidR="00F6311B">
              <w:rPr>
                <w:rFonts w:ascii="Tahoma" w:hAnsi="Tahoma" w:cs="Tahoma"/>
                <w:i/>
                <w:sz w:val="20"/>
              </w:rPr>
              <w:t xml:space="preserve">and the audit of actual financial information contained therein </w:t>
            </w:r>
            <w:r w:rsidR="00AC079A">
              <w:rPr>
                <w:rFonts w:ascii="Tahoma" w:hAnsi="Tahoma" w:cs="Tahoma"/>
                <w:i/>
                <w:sz w:val="20"/>
              </w:rPr>
              <w:t xml:space="preserve">is set out in </w:t>
            </w:r>
            <w:r w:rsidR="00AC079A" w:rsidRPr="001D5226">
              <w:rPr>
                <w:rFonts w:ascii="Tahoma" w:hAnsi="Tahoma" w:cs="Tahoma"/>
                <w:i/>
                <w:sz w:val="20"/>
              </w:rPr>
              <w:t>Appendix G</w:t>
            </w:r>
            <w:r w:rsidR="00AC079A">
              <w:rPr>
                <w:rFonts w:ascii="Tahoma" w:hAnsi="Tahoma" w:cs="Tahoma"/>
                <w:i/>
                <w:sz w:val="20"/>
              </w:rPr>
              <w:t xml:space="preserve"> of this basis of preparation.</w:t>
            </w:r>
          </w:p>
          <w:p w14:paraId="6D29FC36" w14:textId="77777777" w:rsidR="00AC079A" w:rsidRDefault="00AC079A"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p>
          <w:p w14:paraId="41002720" w14:textId="20F9E883" w:rsidR="00864D25" w:rsidRDefault="00864D2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r w:rsidRPr="001C5D12">
              <w:rPr>
                <w:rFonts w:ascii="Tahoma" w:hAnsi="Tahoma" w:cs="Tahoma"/>
                <w:i/>
                <w:sz w:val="20"/>
              </w:rPr>
              <w:t>Amounts reported in this table represent</w:t>
            </w:r>
            <w:r>
              <w:rPr>
                <w:rFonts w:ascii="Tahoma" w:hAnsi="Tahoma" w:cs="Tahoma"/>
                <w:i/>
                <w:sz w:val="20"/>
              </w:rPr>
              <w:t>s</w:t>
            </w:r>
            <w:r w:rsidRPr="001C5D12">
              <w:rPr>
                <w:rFonts w:ascii="Tahoma" w:hAnsi="Tahoma" w:cs="Tahoma"/>
                <w:i/>
                <w:sz w:val="20"/>
              </w:rPr>
              <w:t xml:space="preserve"> the </w:t>
            </w:r>
            <w:r>
              <w:rPr>
                <w:rFonts w:ascii="Tahoma" w:hAnsi="Tahoma" w:cs="Tahoma"/>
                <w:i/>
                <w:sz w:val="20"/>
              </w:rPr>
              <w:t xml:space="preserve">Opex derived from </w:t>
            </w:r>
            <w:r w:rsidR="00AC079A">
              <w:rPr>
                <w:rFonts w:ascii="Tahoma" w:hAnsi="Tahoma" w:cs="Tahoma"/>
                <w:i/>
                <w:sz w:val="20"/>
              </w:rPr>
              <w:t>the AGN (SA) trial balance</w:t>
            </w:r>
            <w:r w:rsidRPr="001C5D12">
              <w:rPr>
                <w:rFonts w:ascii="Tahoma" w:hAnsi="Tahoma" w:cs="Tahoma"/>
                <w:i/>
                <w:sz w:val="20"/>
              </w:rPr>
              <w:t xml:space="preserve"> </w:t>
            </w:r>
            <w:r>
              <w:rPr>
                <w:rFonts w:ascii="Tahoma" w:hAnsi="Tahoma" w:cs="Tahoma"/>
                <w:i/>
                <w:sz w:val="20"/>
              </w:rPr>
              <w:t xml:space="preserve">(for the categories of Opex listed) </w:t>
            </w:r>
            <w:r w:rsidRPr="001C5D12">
              <w:rPr>
                <w:rFonts w:ascii="Tahoma" w:hAnsi="Tahoma" w:cs="Tahoma"/>
                <w:i/>
                <w:sz w:val="20"/>
              </w:rPr>
              <w:t>with the adjustments shown in table F</w:t>
            </w:r>
            <w:r>
              <w:rPr>
                <w:rFonts w:ascii="Tahoma" w:hAnsi="Tahoma" w:cs="Tahoma"/>
                <w:i/>
                <w:sz w:val="20"/>
              </w:rPr>
              <w:t>4.1</w:t>
            </w:r>
            <w:r w:rsidRPr="001C5D12">
              <w:rPr>
                <w:rFonts w:ascii="Tahoma" w:hAnsi="Tahoma" w:cs="Tahoma"/>
                <w:i/>
                <w:sz w:val="20"/>
              </w:rPr>
              <w:t xml:space="preserve">.2 representing the differences between </w:t>
            </w:r>
            <w:r>
              <w:rPr>
                <w:rFonts w:ascii="Tahoma" w:hAnsi="Tahoma" w:cs="Tahoma"/>
                <w:i/>
                <w:sz w:val="20"/>
              </w:rPr>
              <w:t xml:space="preserve">table F4.1.1 and </w:t>
            </w:r>
            <w:r w:rsidRPr="001C5D12">
              <w:rPr>
                <w:rFonts w:ascii="Tahoma" w:hAnsi="Tahoma" w:cs="Tahoma"/>
                <w:i/>
                <w:sz w:val="20"/>
              </w:rPr>
              <w:t xml:space="preserve">the </w:t>
            </w:r>
            <w:r>
              <w:rPr>
                <w:rFonts w:ascii="Tahoma" w:hAnsi="Tahoma" w:cs="Tahoma"/>
                <w:i/>
                <w:sz w:val="20"/>
              </w:rPr>
              <w:t xml:space="preserve">Opex </w:t>
            </w:r>
            <w:r w:rsidRPr="001C5D12">
              <w:rPr>
                <w:rFonts w:ascii="Tahoma" w:hAnsi="Tahoma" w:cs="Tahoma"/>
                <w:i/>
                <w:sz w:val="20"/>
              </w:rPr>
              <w:t xml:space="preserve">amounts for </w:t>
            </w:r>
            <w:r w:rsidR="00371EE7">
              <w:rPr>
                <w:rFonts w:ascii="Tahoma" w:hAnsi="Tahoma" w:cs="Tahoma"/>
                <w:i/>
                <w:sz w:val="20"/>
              </w:rPr>
              <w:t xml:space="preserve">the </w:t>
            </w:r>
            <w:r w:rsidRPr="001C5D12">
              <w:rPr>
                <w:rFonts w:ascii="Tahoma" w:hAnsi="Tahoma" w:cs="Tahoma"/>
                <w:i/>
                <w:sz w:val="20"/>
              </w:rPr>
              <w:t xml:space="preserve">AGN (SA) </w:t>
            </w:r>
            <w:r w:rsidR="00371EE7">
              <w:rPr>
                <w:rFonts w:ascii="Tahoma" w:hAnsi="Tahoma" w:cs="Tahoma"/>
                <w:i/>
                <w:sz w:val="20"/>
              </w:rPr>
              <w:t xml:space="preserve">distribution business </w:t>
            </w:r>
            <w:r w:rsidRPr="001C5D12">
              <w:rPr>
                <w:rFonts w:ascii="Tahoma" w:hAnsi="Tahoma" w:cs="Tahoma"/>
                <w:i/>
                <w:sz w:val="20"/>
              </w:rPr>
              <w:t>which are reported in table F</w:t>
            </w:r>
            <w:r>
              <w:rPr>
                <w:rFonts w:ascii="Tahoma" w:hAnsi="Tahoma" w:cs="Tahoma"/>
                <w:i/>
                <w:sz w:val="20"/>
              </w:rPr>
              <w:t>4.</w:t>
            </w:r>
            <w:r w:rsidRPr="001C5D12">
              <w:rPr>
                <w:rFonts w:ascii="Tahoma" w:hAnsi="Tahoma" w:cs="Tahoma"/>
                <w:i/>
                <w:sz w:val="20"/>
              </w:rPr>
              <w:t>1.3 below.</w:t>
            </w:r>
            <w:r w:rsidR="00946100">
              <w:rPr>
                <w:rFonts w:ascii="Tahoma" w:hAnsi="Tahoma" w:cs="Tahoma"/>
                <w:i/>
                <w:sz w:val="20"/>
              </w:rPr>
              <w:t xml:space="preserve">  A full reconciliation of the adjustments are provided in Appendix F. </w:t>
            </w:r>
            <w:r w:rsidR="00F059D6">
              <w:rPr>
                <w:rFonts w:ascii="Tahoma" w:hAnsi="Tahoma" w:cs="Tahoma"/>
                <w:i/>
                <w:sz w:val="20"/>
              </w:rPr>
              <w:t>These</w:t>
            </w:r>
            <w:r w:rsidR="00946100">
              <w:rPr>
                <w:rFonts w:ascii="Tahoma" w:hAnsi="Tahoma" w:cs="Tahoma"/>
                <w:i/>
                <w:sz w:val="20"/>
              </w:rPr>
              <w:t xml:space="preserve"> adjustments include a combination of removing </w:t>
            </w:r>
            <w:r w:rsidR="00371EE7">
              <w:rPr>
                <w:rFonts w:ascii="Tahoma" w:hAnsi="Tahoma" w:cs="Tahoma"/>
                <w:i/>
                <w:sz w:val="20"/>
              </w:rPr>
              <w:t xml:space="preserve">unregulated SA expenditure items, </w:t>
            </w:r>
            <w:r w:rsidR="009F3BE5">
              <w:rPr>
                <w:rFonts w:ascii="Tahoma" w:hAnsi="Tahoma" w:cs="Tahoma"/>
                <w:i/>
                <w:sz w:val="20"/>
              </w:rPr>
              <w:t xml:space="preserve">allocating AGN Limited balances to AGN (SA) where appropriate, </w:t>
            </w:r>
            <w:r w:rsidR="00371EE7">
              <w:rPr>
                <w:rFonts w:ascii="Tahoma" w:hAnsi="Tahoma" w:cs="Tahoma"/>
                <w:i/>
                <w:sz w:val="20"/>
              </w:rPr>
              <w:t>removing non</w:t>
            </w:r>
            <w:r w:rsidR="00946100">
              <w:rPr>
                <w:rFonts w:ascii="Tahoma" w:hAnsi="Tahoma" w:cs="Tahoma"/>
                <w:i/>
                <w:sz w:val="20"/>
              </w:rPr>
              <w:t xml:space="preserve">-SA expenditure items </w:t>
            </w:r>
            <w:r w:rsidR="009F3BE5">
              <w:rPr>
                <w:rFonts w:ascii="Tahoma" w:hAnsi="Tahoma" w:cs="Tahoma"/>
                <w:i/>
                <w:sz w:val="20"/>
              </w:rPr>
              <w:t xml:space="preserve">from the trial balance </w:t>
            </w:r>
            <w:r w:rsidR="00946100">
              <w:rPr>
                <w:rFonts w:ascii="Tahoma" w:hAnsi="Tahoma" w:cs="Tahoma"/>
                <w:i/>
                <w:sz w:val="20"/>
              </w:rPr>
              <w:t xml:space="preserve">and </w:t>
            </w:r>
            <w:r w:rsidR="009F3BE5">
              <w:rPr>
                <w:rFonts w:ascii="Tahoma" w:hAnsi="Tahoma" w:cs="Tahoma"/>
                <w:i/>
                <w:sz w:val="20"/>
              </w:rPr>
              <w:t xml:space="preserve">to reflect </w:t>
            </w:r>
            <w:r w:rsidR="00946100">
              <w:rPr>
                <w:rFonts w:ascii="Tahoma" w:hAnsi="Tahoma" w:cs="Tahoma"/>
                <w:i/>
                <w:sz w:val="20"/>
              </w:rPr>
              <w:t>SA AA regulatory adjustments.</w:t>
            </w:r>
          </w:p>
          <w:p w14:paraId="3DE9C5AD" w14:textId="77777777" w:rsidR="00864D25" w:rsidRDefault="00864D2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p>
          <w:p w14:paraId="1245B4A6" w14:textId="1E2EC45E" w:rsidR="00864D25" w:rsidRDefault="00864D2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r>
              <w:rPr>
                <w:rFonts w:ascii="Tahoma" w:hAnsi="Tahoma" w:cs="Tahoma"/>
                <w:i/>
                <w:sz w:val="20"/>
              </w:rPr>
              <w:t>AGN Limited operate</w:t>
            </w:r>
            <w:r w:rsidR="00371EE7">
              <w:rPr>
                <w:rFonts w:ascii="Tahoma" w:hAnsi="Tahoma" w:cs="Tahoma"/>
                <w:i/>
                <w:sz w:val="20"/>
              </w:rPr>
              <w:t>s</w:t>
            </w:r>
            <w:r>
              <w:rPr>
                <w:rFonts w:ascii="Tahoma" w:hAnsi="Tahoma" w:cs="Tahoma"/>
                <w:i/>
                <w:sz w:val="20"/>
              </w:rPr>
              <w:t xml:space="preserve"> on a calendar-year reporting cycle with </w:t>
            </w:r>
            <w:r w:rsidR="00371EE7">
              <w:rPr>
                <w:rFonts w:ascii="Tahoma" w:hAnsi="Tahoma" w:cs="Tahoma"/>
                <w:i/>
                <w:sz w:val="20"/>
              </w:rPr>
              <w:t xml:space="preserve">audited statutory accounts </w:t>
            </w:r>
            <w:r>
              <w:rPr>
                <w:rFonts w:ascii="Tahoma" w:hAnsi="Tahoma" w:cs="Tahoma"/>
                <w:i/>
                <w:sz w:val="20"/>
              </w:rPr>
              <w:t>prepared for the consolidated group each 12 month period ending 31 December.</w:t>
            </w:r>
          </w:p>
          <w:p w14:paraId="172FFDC7" w14:textId="77777777" w:rsidR="00864D25" w:rsidRDefault="00864D2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p>
          <w:p w14:paraId="001B39B3" w14:textId="5AF2A4F9" w:rsidR="00864D25" w:rsidRPr="00751816" w:rsidRDefault="00864D25" w:rsidP="00C4077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i/>
                <w:sz w:val="20"/>
              </w:rPr>
              <w:t xml:space="preserve">Amounts being reported in this table for </w:t>
            </w:r>
            <w:r w:rsidR="00371EE7">
              <w:rPr>
                <w:rFonts w:ascii="Tahoma" w:hAnsi="Tahoma" w:cs="Tahoma"/>
                <w:i/>
                <w:sz w:val="20"/>
              </w:rPr>
              <w:t>2019/20,</w:t>
            </w:r>
            <w:r>
              <w:rPr>
                <w:rFonts w:ascii="Tahoma" w:hAnsi="Tahoma" w:cs="Tahoma"/>
                <w:i/>
                <w:sz w:val="20"/>
              </w:rPr>
              <w:t xml:space="preserve"> have been derived by compiling appropriate half-year figures for </w:t>
            </w:r>
            <w:r w:rsidR="00371EE7">
              <w:rPr>
                <w:rFonts w:ascii="Tahoma" w:hAnsi="Tahoma" w:cs="Tahoma"/>
                <w:i/>
                <w:sz w:val="20"/>
              </w:rPr>
              <w:t xml:space="preserve">AGN (SA) and </w:t>
            </w:r>
            <w:r>
              <w:rPr>
                <w:rFonts w:ascii="Tahoma" w:hAnsi="Tahoma" w:cs="Tahoma"/>
                <w:i/>
                <w:sz w:val="20"/>
              </w:rPr>
              <w:t xml:space="preserve">AGN Limited, to produce amounts for </w:t>
            </w:r>
            <w:r w:rsidR="00371EE7">
              <w:rPr>
                <w:rFonts w:ascii="Tahoma" w:hAnsi="Tahoma" w:cs="Tahoma"/>
                <w:i/>
                <w:sz w:val="20"/>
              </w:rPr>
              <w:t xml:space="preserve">the </w:t>
            </w:r>
            <w:r>
              <w:rPr>
                <w:rFonts w:ascii="Tahoma" w:hAnsi="Tahoma" w:cs="Tahoma"/>
                <w:i/>
                <w:sz w:val="20"/>
              </w:rPr>
              <w:t>12 month regulatory year ending on 30 June</w:t>
            </w:r>
            <w:r w:rsidR="00371EE7">
              <w:rPr>
                <w:rFonts w:ascii="Tahoma" w:hAnsi="Tahoma" w:cs="Tahoma"/>
                <w:i/>
                <w:sz w:val="20"/>
              </w:rPr>
              <w:t xml:space="preserve"> 2020</w:t>
            </w:r>
            <w:r>
              <w:rPr>
                <w:rFonts w:ascii="Tahoma" w:hAnsi="Tahoma" w:cs="Tahoma"/>
                <w:i/>
                <w:sz w:val="20"/>
              </w:rPr>
              <w:t>.</w:t>
            </w:r>
          </w:p>
        </w:tc>
      </w:tr>
      <w:tr w:rsidR="00864D25" w:rsidRPr="00751816" w14:paraId="13C6280C" w14:textId="77777777" w:rsidTr="0045441A">
        <w:trPr>
          <w:trHeight w:val="431"/>
        </w:trPr>
        <w:tc>
          <w:tcPr>
            <w:cnfStyle w:val="001000000000" w:firstRow="0" w:lastRow="0" w:firstColumn="1" w:lastColumn="0" w:oddVBand="0" w:evenVBand="0" w:oddHBand="0" w:evenHBand="0" w:firstRowFirstColumn="0" w:firstRowLastColumn="0" w:lastRowFirstColumn="0" w:lastRowLastColumn="0"/>
            <w:tcW w:w="650" w:type="pct"/>
            <w:tcBorders>
              <w:top w:val="single" w:sz="4" w:space="0" w:color="00B0F0"/>
              <w:bottom w:val="single" w:sz="4" w:space="0" w:color="00B0F0"/>
            </w:tcBorders>
            <w:vAlign w:val="center"/>
          </w:tcPr>
          <w:p w14:paraId="0C13D2B2" w14:textId="77777777" w:rsidR="00BA4D12" w:rsidRPr="00751816" w:rsidRDefault="00BA4D12" w:rsidP="001C016D">
            <w:pPr>
              <w:spacing w:before="120" w:after="120" w:line="240" w:lineRule="atLeast"/>
              <w:contextualSpacing/>
              <w:rPr>
                <w:rFonts w:ascii="Tahoma" w:hAnsi="Tahoma" w:cs="Tahoma"/>
                <w:sz w:val="20"/>
              </w:rPr>
            </w:pPr>
            <w:r>
              <w:rPr>
                <w:rFonts w:ascii="Tahoma" w:hAnsi="Tahoma" w:cs="Tahoma"/>
                <w:sz w:val="20"/>
              </w:rPr>
              <w:t xml:space="preserve">Repairs and maintenance </w:t>
            </w:r>
          </w:p>
        </w:tc>
        <w:tc>
          <w:tcPr>
            <w:tcW w:w="1539" w:type="pct"/>
            <w:tcBorders>
              <w:top w:val="single" w:sz="4" w:space="0" w:color="00B0F0"/>
              <w:bottom w:val="single" w:sz="4" w:space="0" w:color="00B0F0"/>
            </w:tcBorders>
            <w:vAlign w:val="center"/>
          </w:tcPr>
          <w:p w14:paraId="6EC68604" w14:textId="4B8C7145" w:rsidR="00BA4D12" w:rsidRPr="00751816" w:rsidRDefault="00BA4D12" w:rsidP="00C600B5">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5B01BA">
              <w:rPr>
                <w:rFonts w:ascii="Tahoma" w:hAnsi="Tahoma" w:cs="Tahoma"/>
                <w:sz w:val="20"/>
              </w:rPr>
              <w:t>Amounts</w:t>
            </w:r>
            <w:r>
              <w:rPr>
                <w:rFonts w:ascii="Tahoma" w:hAnsi="Tahoma" w:cs="Tahoma"/>
                <w:sz w:val="20"/>
              </w:rPr>
              <w:t xml:space="preserve"> reported for Repairs and Maintenance and each other category of expenditure in this table (F4.1.1) have been derived </w:t>
            </w:r>
            <w:r w:rsidR="00295AE3">
              <w:rPr>
                <w:rFonts w:ascii="Tahoma" w:hAnsi="Tahoma" w:cs="Tahoma"/>
                <w:sz w:val="20"/>
              </w:rPr>
              <w:t>from the AGN (SA</w:t>
            </w:r>
            <w:r w:rsidR="00F20D20">
              <w:rPr>
                <w:rFonts w:ascii="Tahoma" w:hAnsi="Tahoma" w:cs="Tahoma"/>
                <w:sz w:val="20"/>
              </w:rPr>
              <w:t>)</w:t>
            </w:r>
            <w:r w:rsidR="00295AE3">
              <w:rPr>
                <w:rFonts w:ascii="Tahoma" w:hAnsi="Tahoma" w:cs="Tahoma"/>
                <w:sz w:val="20"/>
              </w:rPr>
              <w:t xml:space="preserve"> trial balance</w:t>
            </w:r>
            <w:r w:rsidR="00C600B5">
              <w:rPr>
                <w:rFonts w:ascii="Tahoma" w:hAnsi="Tahoma" w:cs="Tahoma"/>
                <w:sz w:val="20"/>
              </w:rPr>
              <w:t xml:space="preserve"> which has been audited as set out in Appendix G</w:t>
            </w:r>
            <w:r>
              <w:rPr>
                <w:rFonts w:ascii="Tahoma" w:hAnsi="Tahoma" w:cs="Tahoma"/>
                <w:sz w:val="20"/>
              </w:rPr>
              <w:t xml:space="preserve">.  Expenditure recorded against relevant account codes in the </w:t>
            </w:r>
            <w:r w:rsidR="00295AE3">
              <w:rPr>
                <w:rFonts w:ascii="Tahoma" w:hAnsi="Tahoma" w:cs="Tahoma"/>
                <w:sz w:val="20"/>
              </w:rPr>
              <w:t xml:space="preserve">general ledger </w:t>
            </w:r>
            <w:r w:rsidR="001139CB">
              <w:rPr>
                <w:rFonts w:ascii="Tahoma" w:hAnsi="Tahoma" w:cs="Tahoma"/>
                <w:sz w:val="20"/>
              </w:rPr>
              <w:t xml:space="preserve">that form part of the AGN (SA) trial balance </w:t>
            </w:r>
            <w:r>
              <w:rPr>
                <w:rFonts w:ascii="Tahoma" w:hAnsi="Tahoma" w:cs="Tahoma"/>
                <w:sz w:val="20"/>
              </w:rPr>
              <w:t xml:space="preserve">has been mapped to the expenditure categories shown in the RIN template. </w:t>
            </w:r>
            <w:r w:rsidRPr="005B01BA">
              <w:rPr>
                <w:rFonts w:ascii="Tahoma" w:hAnsi="Tahoma" w:cs="Tahoma"/>
                <w:sz w:val="20"/>
              </w:rPr>
              <w:t xml:space="preserve"> </w:t>
            </w:r>
          </w:p>
        </w:tc>
        <w:tc>
          <w:tcPr>
            <w:tcW w:w="938" w:type="pct"/>
            <w:tcBorders>
              <w:top w:val="single" w:sz="4" w:space="0" w:color="00B0F0"/>
              <w:bottom w:val="single" w:sz="4" w:space="0" w:color="00B0F0"/>
            </w:tcBorders>
            <w:vAlign w:val="center"/>
          </w:tcPr>
          <w:p w14:paraId="5110487B" w14:textId="77777777"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009" w:type="pct"/>
            <w:tcBorders>
              <w:top w:val="single" w:sz="4" w:space="0" w:color="00B0F0"/>
              <w:bottom w:val="single" w:sz="4" w:space="0" w:color="00B0F0"/>
            </w:tcBorders>
            <w:vAlign w:val="center"/>
          </w:tcPr>
          <w:p w14:paraId="78B9686D" w14:textId="77777777"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64" w:type="pct"/>
            <w:tcBorders>
              <w:top w:val="single" w:sz="4" w:space="0" w:color="00B0F0"/>
              <w:bottom w:val="single" w:sz="4" w:space="0" w:color="00B0F0"/>
            </w:tcBorders>
            <w:vAlign w:val="center"/>
          </w:tcPr>
          <w:p w14:paraId="7BE82451" w14:textId="1F7E86E5"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864D25" w:rsidRPr="00751816" w14:paraId="3C35C3C4" w14:textId="77777777" w:rsidTr="0045441A">
        <w:trPr>
          <w:trHeight w:val="510"/>
        </w:trPr>
        <w:tc>
          <w:tcPr>
            <w:cnfStyle w:val="001000000000" w:firstRow="0" w:lastRow="0" w:firstColumn="1" w:lastColumn="0" w:oddVBand="0" w:evenVBand="0" w:oddHBand="0" w:evenHBand="0" w:firstRowFirstColumn="0" w:firstRowLastColumn="0" w:lastRowFirstColumn="0" w:lastRowLastColumn="0"/>
            <w:tcW w:w="650" w:type="pct"/>
            <w:tcBorders>
              <w:top w:val="single" w:sz="4" w:space="0" w:color="00B0F0"/>
              <w:bottom w:val="single" w:sz="4" w:space="0" w:color="00B0F0"/>
            </w:tcBorders>
            <w:vAlign w:val="center"/>
          </w:tcPr>
          <w:p w14:paraId="33FB0823" w14:textId="77777777" w:rsidR="00BA4D12" w:rsidRPr="00751816" w:rsidRDefault="00BA4D12" w:rsidP="001C016D">
            <w:pPr>
              <w:spacing w:before="120" w:after="120" w:line="240" w:lineRule="atLeast"/>
              <w:contextualSpacing/>
              <w:rPr>
                <w:rFonts w:ascii="Tahoma" w:hAnsi="Tahoma" w:cs="Tahoma"/>
                <w:sz w:val="20"/>
              </w:rPr>
            </w:pPr>
            <w:r>
              <w:rPr>
                <w:rFonts w:ascii="Tahoma" w:hAnsi="Tahoma" w:cs="Tahoma"/>
                <w:sz w:val="20"/>
              </w:rPr>
              <w:t xml:space="preserve">Marketing and retail incentives </w:t>
            </w:r>
            <w:r w:rsidRPr="00751816">
              <w:rPr>
                <w:rFonts w:ascii="Tahoma" w:hAnsi="Tahoma" w:cs="Tahoma"/>
                <w:sz w:val="20"/>
              </w:rPr>
              <w:t xml:space="preserve"> </w:t>
            </w:r>
          </w:p>
        </w:tc>
        <w:tc>
          <w:tcPr>
            <w:tcW w:w="1539" w:type="pct"/>
            <w:tcBorders>
              <w:top w:val="single" w:sz="4" w:space="0" w:color="00B0F0"/>
              <w:bottom w:val="single" w:sz="4" w:space="0" w:color="00B0F0"/>
            </w:tcBorders>
            <w:vAlign w:val="center"/>
          </w:tcPr>
          <w:p w14:paraId="3A7A5976" w14:textId="23DEAF24" w:rsidR="00BA4D12" w:rsidRPr="00751816" w:rsidRDefault="00BA4D12" w:rsidP="00C600B5">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5B01BA">
              <w:rPr>
                <w:rFonts w:ascii="Tahoma" w:hAnsi="Tahoma" w:cs="Tahoma"/>
                <w:sz w:val="20"/>
              </w:rPr>
              <w:t>Amounts</w:t>
            </w:r>
            <w:r>
              <w:rPr>
                <w:rFonts w:ascii="Tahoma" w:hAnsi="Tahoma" w:cs="Tahoma"/>
                <w:sz w:val="20"/>
              </w:rPr>
              <w:t xml:space="preserve"> reported for Marketing and Retail Incentives and each other category of </w:t>
            </w:r>
            <w:r>
              <w:rPr>
                <w:rFonts w:ascii="Tahoma" w:hAnsi="Tahoma" w:cs="Tahoma"/>
                <w:sz w:val="20"/>
              </w:rPr>
              <w:lastRenderedPageBreak/>
              <w:t xml:space="preserve">expenditure in this table (F4.1.1) have been derived </w:t>
            </w:r>
            <w:r w:rsidR="00295AE3">
              <w:rPr>
                <w:rFonts w:ascii="Tahoma" w:hAnsi="Tahoma" w:cs="Tahoma"/>
                <w:sz w:val="20"/>
              </w:rPr>
              <w:t>from the AGN (SA) trial balance</w:t>
            </w:r>
            <w:r w:rsidR="00C600B5">
              <w:rPr>
                <w:rFonts w:ascii="Tahoma" w:hAnsi="Tahoma" w:cs="Tahoma"/>
                <w:sz w:val="20"/>
              </w:rPr>
              <w:t xml:space="preserve"> which has been audited as set out in Appendix G</w:t>
            </w:r>
            <w:r>
              <w:rPr>
                <w:rFonts w:ascii="Tahoma" w:hAnsi="Tahoma" w:cs="Tahoma"/>
                <w:sz w:val="20"/>
              </w:rPr>
              <w:t xml:space="preserve">.  Expenditure recorded against relevant account codes in the </w:t>
            </w:r>
            <w:r w:rsidR="00295AE3">
              <w:rPr>
                <w:rFonts w:ascii="Tahoma" w:hAnsi="Tahoma" w:cs="Tahoma"/>
                <w:sz w:val="20"/>
              </w:rPr>
              <w:t>general ledger</w:t>
            </w:r>
            <w:r w:rsidR="001139CB">
              <w:rPr>
                <w:rFonts w:ascii="Tahoma" w:hAnsi="Tahoma" w:cs="Tahoma"/>
                <w:sz w:val="20"/>
              </w:rPr>
              <w:t xml:space="preserve"> that form part of the AGN (SA) trial balance</w:t>
            </w:r>
            <w:r w:rsidR="00295AE3">
              <w:rPr>
                <w:rFonts w:ascii="Tahoma" w:hAnsi="Tahoma" w:cs="Tahoma"/>
                <w:sz w:val="20"/>
              </w:rPr>
              <w:t xml:space="preserve"> </w:t>
            </w:r>
            <w:r>
              <w:rPr>
                <w:rFonts w:ascii="Tahoma" w:hAnsi="Tahoma" w:cs="Tahoma"/>
                <w:sz w:val="20"/>
              </w:rPr>
              <w:t xml:space="preserve">has been mapped to the expenditure categories shown in the RIN template. </w:t>
            </w:r>
            <w:r w:rsidRPr="005B01BA">
              <w:rPr>
                <w:rFonts w:ascii="Tahoma" w:hAnsi="Tahoma" w:cs="Tahoma"/>
                <w:sz w:val="20"/>
              </w:rPr>
              <w:t xml:space="preserve"> </w:t>
            </w:r>
          </w:p>
        </w:tc>
        <w:tc>
          <w:tcPr>
            <w:tcW w:w="938" w:type="pct"/>
            <w:tcBorders>
              <w:top w:val="single" w:sz="4" w:space="0" w:color="00B0F0"/>
              <w:bottom w:val="single" w:sz="4" w:space="0" w:color="00B0F0"/>
            </w:tcBorders>
            <w:vAlign w:val="center"/>
          </w:tcPr>
          <w:p w14:paraId="02C6D398" w14:textId="77777777"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009" w:type="pct"/>
            <w:tcBorders>
              <w:top w:val="single" w:sz="4" w:space="0" w:color="00B0F0"/>
              <w:bottom w:val="single" w:sz="4" w:space="0" w:color="00B0F0"/>
            </w:tcBorders>
            <w:vAlign w:val="center"/>
          </w:tcPr>
          <w:p w14:paraId="20B02BE3" w14:textId="77777777"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64" w:type="pct"/>
            <w:tcBorders>
              <w:top w:val="single" w:sz="4" w:space="0" w:color="00B0F0"/>
              <w:bottom w:val="single" w:sz="4" w:space="0" w:color="00B0F0"/>
            </w:tcBorders>
            <w:vAlign w:val="center"/>
          </w:tcPr>
          <w:p w14:paraId="219069C1" w14:textId="77BAEE91"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F96DC0" w:rsidRPr="00751816" w14:paraId="0CA5FB29" w14:textId="77777777" w:rsidTr="00F96DC0">
        <w:trPr>
          <w:trHeight w:val="508"/>
        </w:trPr>
        <w:tc>
          <w:tcPr>
            <w:cnfStyle w:val="001000000000" w:firstRow="0" w:lastRow="0" w:firstColumn="1" w:lastColumn="0" w:oddVBand="0" w:evenVBand="0" w:oddHBand="0" w:evenHBand="0" w:firstRowFirstColumn="0" w:firstRowLastColumn="0" w:lastRowFirstColumn="0" w:lastRowLastColumn="0"/>
            <w:tcW w:w="650" w:type="pct"/>
            <w:tcBorders>
              <w:top w:val="single" w:sz="4" w:space="0" w:color="00B0F0"/>
              <w:bottom w:val="single" w:sz="4" w:space="0" w:color="00B0F0"/>
            </w:tcBorders>
            <w:vAlign w:val="center"/>
          </w:tcPr>
          <w:p w14:paraId="75A407F2" w14:textId="77777777" w:rsidR="00F96DC0" w:rsidRPr="00751816" w:rsidRDefault="00F96DC0" w:rsidP="001C016D">
            <w:pPr>
              <w:spacing w:before="120" w:after="120" w:line="240" w:lineRule="atLeast"/>
              <w:contextualSpacing/>
              <w:rPr>
                <w:rFonts w:ascii="Tahoma" w:hAnsi="Tahoma" w:cs="Tahoma"/>
                <w:sz w:val="20"/>
              </w:rPr>
            </w:pPr>
            <w:r>
              <w:rPr>
                <w:rFonts w:ascii="Tahoma" w:hAnsi="Tahoma" w:cs="Tahoma"/>
                <w:sz w:val="20"/>
              </w:rPr>
              <w:t xml:space="preserve">Debt raising </w:t>
            </w:r>
            <w:r w:rsidRPr="00751816">
              <w:rPr>
                <w:rFonts w:ascii="Tahoma" w:hAnsi="Tahoma" w:cs="Tahoma"/>
                <w:sz w:val="20"/>
              </w:rPr>
              <w:t xml:space="preserve"> </w:t>
            </w:r>
          </w:p>
        </w:tc>
        <w:tc>
          <w:tcPr>
            <w:tcW w:w="4350" w:type="pct"/>
            <w:gridSpan w:val="4"/>
            <w:tcBorders>
              <w:top w:val="single" w:sz="4" w:space="0" w:color="00B0F0"/>
              <w:bottom w:val="single" w:sz="4" w:space="0" w:color="00B0F0"/>
            </w:tcBorders>
            <w:vAlign w:val="center"/>
          </w:tcPr>
          <w:p w14:paraId="1896FBD1" w14:textId="15810F64" w:rsidR="008300C6" w:rsidRDefault="00F96DC0"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As set out in the Basis of Preparation for table F1. Income</w:t>
            </w:r>
            <w:r w:rsidR="00F059D6">
              <w:rPr>
                <w:rFonts w:ascii="Tahoma" w:hAnsi="Tahoma" w:cs="Tahoma"/>
                <w:sz w:val="20"/>
              </w:rPr>
              <w:t xml:space="preserve"> (i.e.</w:t>
            </w:r>
            <w:r>
              <w:rPr>
                <w:rFonts w:ascii="Tahoma" w:hAnsi="Tahoma" w:cs="Tahoma"/>
                <w:sz w:val="20"/>
              </w:rPr>
              <w:t xml:space="preserve"> in table F1.1.2 </w:t>
            </w:r>
            <w:r w:rsidR="00F059D6">
              <w:rPr>
                <w:rFonts w:ascii="Tahoma" w:hAnsi="Tahoma" w:cs="Tahoma"/>
                <w:sz w:val="20"/>
              </w:rPr>
              <w:t>–</w:t>
            </w:r>
            <w:r>
              <w:rPr>
                <w:rFonts w:ascii="Tahoma" w:hAnsi="Tahoma" w:cs="Tahoma"/>
                <w:sz w:val="20"/>
              </w:rPr>
              <w:t xml:space="preserve"> Expenditure</w:t>
            </w:r>
            <w:r w:rsidR="00F059D6">
              <w:rPr>
                <w:rFonts w:ascii="Tahoma" w:hAnsi="Tahoma" w:cs="Tahoma"/>
                <w:sz w:val="20"/>
              </w:rPr>
              <w:t>)</w:t>
            </w:r>
            <w:r>
              <w:rPr>
                <w:rFonts w:ascii="Tahoma" w:hAnsi="Tahoma" w:cs="Tahoma"/>
                <w:sz w:val="20"/>
              </w:rPr>
              <w:t>, AGN Limited’s Debt raising costs</w:t>
            </w:r>
            <w:r w:rsidR="00295AE3">
              <w:rPr>
                <w:rFonts w:ascii="Tahoma" w:hAnsi="Tahoma" w:cs="Tahoma"/>
                <w:sz w:val="20"/>
              </w:rPr>
              <w:t>, including amounts for AGN (SA),</w:t>
            </w:r>
            <w:r>
              <w:rPr>
                <w:rFonts w:ascii="Tahoma" w:hAnsi="Tahoma" w:cs="Tahoma"/>
                <w:sz w:val="20"/>
              </w:rPr>
              <w:t xml:space="preserve"> form part of the Net finance expenses reported in its Audited Statutory Accounts.  Therefore there </w:t>
            </w:r>
            <w:r w:rsidR="00F059D6">
              <w:rPr>
                <w:rFonts w:ascii="Tahoma" w:hAnsi="Tahoma" w:cs="Tahoma"/>
                <w:sz w:val="20"/>
              </w:rPr>
              <w:t>is</w:t>
            </w:r>
            <w:r>
              <w:rPr>
                <w:rFonts w:ascii="Tahoma" w:hAnsi="Tahoma" w:cs="Tahoma"/>
                <w:sz w:val="20"/>
              </w:rPr>
              <w:t xml:space="preserve"> no equivalent amount</w:t>
            </w:r>
            <w:r w:rsidR="00F059D6">
              <w:rPr>
                <w:rFonts w:ascii="Tahoma" w:hAnsi="Tahoma" w:cs="Tahoma"/>
                <w:sz w:val="20"/>
              </w:rPr>
              <w:t xml:space="preserve"> </w:t>
            </w:r>
            <w:r w:rsidR="002C316C">
              <w:rPr>
                <w:rFonts w:ascii="Tahoma" w:hAnsi="Tahoma" w:cs="Tahoma"/>
                <w:sz w:val="20"/>
              </w:rPr>
              <w:t xml:space="preserve">specifically </w:t>
            </w:r>
            <w:r w:rsidR="00F059D6">
              <w:rPr>
                <w:rFonts w:ascii="Tahoma" w:hAnsi="Tahoma" w:cs="Tahoma"/>
                <w:sz w:val="20"/>
              </w:rPr>
              <w:t>for Debt raising costs</w:t>
            </w:r>
            <w:r>
              <w:rPr>
                <w:rFonts w:ascii="Tahoma" w:hAnsi="Tahoma" w:cs="Tahoma"/>
                <w:sz w:val="20"/>
              </w:rPr>
              <w:t xml:space="preserve"> </w:t>
            </w:r>
            <w:r w:rsidR="002C316C">
              <w:rPr>
                <w:rFonts w:ascii="Tahoma" w:hAnsi="Tahoma" w:cs="Tahoma"/>
                <w:sz w:val="20"/>
              </w:rPr>
              <w:t>in</w:t>
            </w:r>
            <w:r w:rsidR="00F059D6">
              <w:rPr>
                <w:rFonts w:ascii="Tahoma" w:hAnsi="Tahoma" w:cs="Tahoma"/>
                <w:sz w:val="20"/>
              </w:rPr>
              <w:t xml:space="preserve"> the AGN (SA) trial balance</w:t>
            </w:r>
            <w:r>
              <w:rPr>
                <w:rFonts w:ascii="Tahoma" w:hAnsi="Tahoma" w:cs="Tahoma"/>
                <w:sz w:val="20"/>
              </w:rPr>
              <w:t xml:space="preserve">.  </w:t>
            </w:r>
            <w:r w:rsidR="00F059D6">
              <w:rPr>
                <w:rFonts w:ascii="Tahoma" w:hAnsi="Tahoma" w:cs="Tahoma"/>
                <w:sz w:val="20"/>
              </w:rPr>
              <w:t xml:space="preserve">The amount of Debt raising costs </w:t>
            </w:r>
            <w:r w:rsidR="002C316C">
              <w:rPr>
                <w:rFonts w:ascii="Tahoma" w:hAnsi="Tahoma" w:cs="Tahoma"/>
                <w:sz w:val="20"/>
              </w:rPr>
              <w:t xml:space="preserve">which has </w:t>
            </w:r>
            <w:r w:rsidR="00570869">
              <w:rPr>
                <w:rFonts w:ascii="Tahoma" w:hAnsi="Tahoma" w:cs="Tahoma"/>
                <w:sz w:val="20"/>
              </w:rPr>
              <w:t xml:space="preserve">been </w:t>
            </w:r>
            <w:r w:rsidR="00F059D6">
              <w:rPr>
                <w:rFonts w:ascii="Tahoma" w:hAnsi="Tahoma" w:cs="Tahoma"/>
                <w:sz w:val="20"/>
              </w:rPr>
              <w:t xml:space="preserve">allocated to the AGN (SA) Distribution Business, </w:t>
            </w:r>
            <w:r w:rsidR="00570869">
              <w:rPr>
                <w:rFonts w:ascii="Tahoma" w:hAnsi="Tahoma" w:cs="Tahoma"/>
                <w:sz w:val="20"/>
              </w:rPr>
              <w:t>is</w:t>
            </w:r>
            <w:r w:rsidR="00F059D6">
              <w:rPr>
                <w:rFonts w:ascii="Tahoma" w:hAnsi="Tahoma" w:cs="Tahoma"/>
                <w:sz w:val="20"/>
              </w:rPr>
              <w:t xml:space="preserve"> added as an adjustment </w:t>
            </w:r>
            <w:r w:rsidR="002C316C">
              <w:rPr>
                <w:rFonts w:ascii="Tahoma" w:hAnsi="Tahoma" w:cs="Tahoma"/>
                <w:sz w:val="20"/>
              </w:rPr>
              <w:t xml:space="preserve">in table F4.1.2 </w:t>
            </w:r>
            <w:r w:rsidR="00F059D6">
              <w:rPr>
                <w:rFonts w:ascii="Tahoma" w:hAnsi="Tahoma" w:cs="Tahoma"/>
                <w:sz w:val="20"/>
              </w:rPr>
              <w:t>and is reported in table F4.1.3 below.</w:t>
            </w:r>
          </w:p>
          <w:p w14:paraId="0DA0E5DF" w14:textId="77777777" w:rsidR="008300C6" w:rsidRDefault="008300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FFB0970" w14:textId="6AE6AD90" w:rsidR="00F96DC0" w:rsidRPr="00751816" w:rsidRDefault="00F96DC0"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As such a ‘Null’ response is provided fo</w:t>
            </w:r>
            <w:r w:rsidR="008300C6">
              <w:rPr>
                <w:rFonts w:ascii="Tahoma" w:hAnsi="Tahoma" w:cs="Tahoma"/>
                <w:sz w:val="20"/>
              </w:rPr>
              <w:t>r this category of expenditure</w:t>
            </w:r>
            <w:r w:rsidR="002C316C">
              <w:rPr>
                <w:rFonts w:ascii="Tahoma" w:hAnsi="Tahoma" w:cs="Tahoma"/>
                <w:sz w:val="20"/>
              </w:rPr>
              <w:t xml:space="preserve"> in this table F4.1.1</w:t>
            </w:r>
            <w:r w:rsidR="008300C6">
              <w:rPr>
                <w:rFonts w:ascii="Tahoma" w:hAnsi="Tahoma" w:cs="Tahoma"/>
                <w:sz w:val="20"/>
              </w:rPr>
              <w:t>.</w:t>
            </w:r>
          </w:p>
        </w:tc>
      </w:tr>
      <w:tr w:rsidR="00864D25" w:rsidRPr="00751816" w14:paraId="3F30A9B2" w14:textId="77777777" w:rsidTr="00864D25">
        <w:trPr>
          <w:trHeight w:val="508"/>
        </w:trPr>
        <w:tc>
          <w:tcPr>
            <w:cnfStyle w:val="001000000000" w:firstRow="0" w:lastRow="0" w:firstColumn="1" w:lastColumn="0" w:oddVBand="0" w:evenVBand="0" w:oddHBand="0" w:evenHBand="0" w:firstRowFirstColumn="0" w:firstRowLastColumn="0" w:lastRowFirstColumn="0" w:lastRowLastColumn="0"/>
            <w:tcW w:w="650" w:type="pct"/>
            <w:tcBorders>
              <w:top w:val="single" w:sz="4" w:space="0" w:color="00B0F0"/>
              <w:bottom w:val="single" w:sz="4" w:space="0" w:color="00B0F0"/>
            </w:tcBorders>
            <w:vAlign w:val="center"/>
          </w:tcPr>
          <w:p w14:paraId="56A115E8" w14:textId="77777777" w:rsidR="00864D25" w:rsidRPr="00751816" w:rsidRDefault="00864D25" w:rsidP="001C016D">
            <w:pPr>
              <w:spacing w:before="120" w:after="120" w:line="240" w:lineRule="atLeast"/>
              <w:contextualSpacing/>
              <w:rPr>
                <w:rFonts w:ascii="Tahoma" w:hAnsi="Tahoma" w:cs="Tahoma"/>
                <w:sz w:val="20"/>
              </w:rPr>
            </w:pPr>
            <w:r>
              <w:rPr>
                <w:rFonts w:ascii="Tahoma" w:hAnsi="Tahoma" w:cs="Tahoma"/>
                <w:sz w:val="20"/>
              </w:rPr>
              <w:t xml:space="preserve">Equity raising </w:t>
            </w:r>
          </w:p>
        </w:tc>
        <w:tc>
          <w:tcPr>
            <w:tcW w:w="4350" w:type="pct"/>
            <w:gridSpan w:val="4"/>
            <w:tcBorders>
              <w:top w:val="single" w:sz="4" w:space="0" w:color="00B0F0"/>
              <w:bottom w:val="single" w:sz="4" w:space="0" w:color="00B0F0"/>
            </w:tcBorders>
            <w:vAlign w:val="center"/>
          </w:tcPr>
          <w:p w14:paraId="14ACB113" w14:textId="59E8F2EE" w:rsidR="00864D25" w:rsidRPr="00751816" w:rsidRDefault="00864D2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w:t>
            </w:r>
            <w:r w:rsidR="002C316C">
              <w:rPr>
                <w:rFonts w:ascii="Tahoma" w:hAnsi="Tahoma" w:cs="Tahoma"/>
                <w:sz w:val="20"/>
              </w:rPr>
              <w:t>Limited</w:t>
            </w:r>
            <w:r w:rsidR="001139CB">
              <w:rPr>
                <w:rFonts w:ascii="Tahoma" w:hAnsi="Tahoma" w:cs="Tahoma"/>
                <w:sz w:val="20"/>
              </w:rPr>
              <w:t xml:space="preserve"> </w:t>
            </w:r>
            <w:r>
              <w:rPr>
                <w:rFonts w:ascii="Tahoma" w:hAnsi="Tahoma" w:cs="Tahoma"/>
                <w:sz w:val="20"/>
              </w:rPr>
              <w:t>has not incurred any expenditure related to Equity Raising costs</w:t>
            </w:r>
            <w:r w:rsidR="002C316C">
              <w:rPr>
                <w:rFonts w:ascii="Tahoma" w:hAnsi="Tahoma" w:cs="Tahoma"/>
                <w:sz w:val="20"/>
              </w:rPr>
              <w:t xml:space="preserve"> for AGN (SA)</w:t>
            </w:r>
            <w:r>
              <w:rPr>
                <w:rFonts w:ascii="Tahoma" w:hAnsi="Tahoma" w:cs="Tahoma"/>
                <w:sz w:val="20"/>
              </w:rPr>
              <w:t xml:space="preserve"> </w:t>
            </w:r>
            <w:r w:rsidR="00440C33">
              <w:rPr>
                <w:rFonts w:ascii="Tahoma" w:hAnsi="Tahoma" w:cs="Tahoma"/>
                <w:sz w:val="20"/>
              </w:rPr>
              <w:t>in 2019/20 and under its current ownership does not incur Equity Raising costs</w:t>
            </w:r>
            <w:r>
              <w:rPr>
                <w:rFonts w:ascii="Tahoma" w:hAnsi="Tahoma" w:cs="Tahoma"/>
                <w:sz w:val="20"/>
              </w:rPr>
              <w:t>.</w:t>
            </w:r>
          </w:p>
          <w:p w14:paraId="289CD866" w14:textId="77777777" w:rsidR="00864D25" w:rsidRDefault="00864D2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D08A1B7" w14:textId="476F68E0" w:rsidR="008300C6" w:rsidRPr="00751816" w:rsidRDefault="008300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300C6">
              <w:rPr>
                <w:rFonts w:ascii="Tahoma" w:hAnsi="Tahoma" w:cs="Tahoma"/>
                <w:sz w:val="20"/>
              </w:rPr>
              <w:t>As such a ‘Null’ response is provided for this category of expenditure.</w:t>
            </w:r>
          </w:p>
        </w:tc>
      </w:tr>
      <w:tr w:rsidR="00864D25" w:rsidRPr="00751816" w14:paraId="1FDE1DD7" w14:textId="77777777" w:rsidTr="0045441A">
        <w:trPr>
          <w:trHeight w:val="508"/>
        </w:trPr>
        <w:tc>
          <w:tcPr>
            <w:cnfStyle w:val="001000000000" w:firstRow="0" w:lastRow="0" w:firstColumn="1" w:lastColumn="0" w:oddVBand="0" w:evenVBand="0" w:oddHBand="0" w:evenHBand="0" w:firstRowFirstColumn="0" w:firstRowLastColumn="0" w:lastRowFirstColumn="0" w:lastRowLastColumn="0"/>
            <w:tcW w:w="650" w:type="pct"/>
            <w:tcBorders>
              <w:top w:val="single" w:sz="4" w:space="0" w:color="00B0F0"/>
              <w:bottom w:val="single" w:sz="4" w:space="0" w:color="00B0F0"/>
            </w:tcBorders>
            <w:vAlign w:val="center"/>
          </w:tcPr>
          <w:p w14:paraId="48EADEB1" w14:textId="77777777" w:rsidR="00BA4D12" w:rsidRPr="00751816" w:rsidRDefault="00BA4D12" w:rsidP="001C016D">
            <w:pPr>
              <w:spacing w:before="120" w:after="120" w:line="240" w:lineRule="atLeast"/>
              <w:contextualSpacing/>
              <w:rPr>
                <w:rFonts w:ascii="Tahoma" w:hAnsi="Tahoma" w:cs="Tahoma"/>
                <w:sz w:val="20"/>
              </w:rPr>
            </w:pPr>
            <w:r>
              <w:rPr>
                <w:rFonts w:ascii="Tahoma" w:hAnsi="Tahoma" w:cs="Tahoma"/>
                <w:sz w:val="20"/>
              </w:rPr>
              <w:t xml:space="preserve">Unaccounted for gas </w:t>
            </w:r>
            <w:r w:rsidRPr="00751816">
              <w:rPr>
                <w:rFonts w:ascii="Tahoma" w:hAnsi="Tahoma" w:cs="Tahoma"/>
                <w:sz w:val="20"/>
              </w:rPr>
              <w:t xml:space="preserve"> </w:t>
            </w:r>
          </w:p>
        </w:tc>
        <w:tc>
          <w:tcPr>
            <w:tcW w:w="1539" w:type="pct"/>
            <w:tcBorders>
              <w:top w:val="single" w:sz="4" w:space="0" w:color="00B0F0"/>
              <w:bottom w:val="single" w:sz="4" w:space="0" w:color="00B0F0"/>
            </w:tcBorders>
            <w:vAlign w:val="center"/>
          </w:tcPr>
          <w:p w14:paraId="175BF6DC" w14:textId="3632B0D9" w:rsidR="00BA4D12" w:rsidRPr="00751816" w:rsidRDefault="00BA4D12" w:rsidP="00C600B5">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5B01BA">
              <w:rPr>
                <w:rFonts w:ascii="Tahoma" w:hAnsi="Tahoma" w:cs="Tahoma"/>
                <w:sz w:val="20"/>
              </w:rPr>
              <w:t>Amounts</w:t>
            </w:r>
            <w:r>
              <w:rPr>
                <w:rFonts w:ascii="Tahoma" w:hAnsi="Tahoma" w:cs="Tahoma"/>
                <w:sz w:val="20"/>
              </w:rPr>
              <w:t xml:space="preserve"> reported for Unaccounted for Gas and each other category of expenditure in this table (F4.1.1) have been derived </w:t>
            </w:r>
            <w:r w:rsidR="001139CB">
              <w:rPr>
                <w:rFonts w:ascii="Tahoma" w:hAnsi="Tahoma" w:cs="Tahoma"/>
                <w:sz w:val="20"/>
              </w:rPr>
              <w:t>from the AGN (SA) trial balance</w:t>
            </w:r>
            <w:r w:rsidR="00C600B5">
              <w:rPr>
                <w:rFonts w:ascii="Tahoma" w:hAnsi="Tahoma" w:cs="Tahoma"/>
                <w:sz w:val="20"/>
              </w:rPr>
              <w:t xml:space="preserve"> which has been audited as set out in Appendix G</w:t>
            </w:r>
            <w:r>
              <w:rPr>
                <w:rFonts w:ascii="Tahoma" w:hAnsi="Tahoma" w:cs="Tahoma"/>
                <w:sz w:val="20"/>
              </w:rPr>
              <w:t xml:space="preserve">.  Expenditure recorded against relevant account codes in the </w:t>
            </w:r>
            <w:r w:rsidR="001139CB">
              <w:rPr>
                <w:rFonts w:ascii="Tahoma" w:hAnsi="Tahoma" w:cs="Tahoma"/>
                <w:sz w:val="20"/>
              </w:rPr>
              <w:t xml:space="preserve">general ledger that form part of the AGN (SA) trial balance </w:t>
            </w:r>
            <w:r>
              <w:rPr>
                <w:rFonts w:ascii="Tahoma" w:hAnsi="Tahoma" w:cs="Tahoma"/>
                <w:sz w:val="20"/>
              </w:rPr>
              <w:t xml:space="preserve">has been mapped to the expenditure categories shown in the RIN template. </w:t>
            </w:r>
          </w:p>
        </w:tc>
        <w:tc>
          <w:tcPr>
            <w:tcW w:w="938" w:type="pct"/>
            <w:tcBorders>
              <w:top w:val="single" w:sz="4" w:space="0" w:color="00B0F0"/>
              <w:bottom w:val="single" w:sz="4" w:space="0" w:color="00B0F0"/>
            </w:tcBorders>
            <w:vAlign w:val="center"/>
          </w:tcPr>
          <w:p w14:paraId="3E1A0A99" w14:textId="77777777"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009" w:type="pct"/>
            <w:tcBorders>
              <w:top w:val="single" w:sz="4" w:space="0" w:color="00B0F0"/>
              <w:bottom w:val="single" w:sz="4" w:space="0" w:color="00B0F0"/>
            </w:tcBorders>
            <w:vAlign w:val="center"/>
          </w:tcPr>
          <w:p w14:paraId="08155DA9" w14:textId="77777777"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64" w:type="pct"/>
            <w:tcBorders>
              <w:top w:val="single" w:sz="4" w:space="0" w:color="00B0F0"/>
              <w:bottom w:val="single" w:sz="4" w:space="0" w:color="00B0F0"/>
            </w:tcBorders>
            <w:vAlign w:val="center"/>
          </w:tcPr>
          <w:p w14:paraId="36B6DA36" w14:textId="30A666F6"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864D25" w:rsidRPr="00751816" w14:paraId="7E0287C4" w14:textId="77777777" w:rsidTr="0045441A">
        <w:trPr>
          <w:trHeight w:val="508"/>
        </w:trPr>
        <w:tc>
          <w:tcPr>
            <w:cnfStyle w:val="001000000000" w:firstRow="0" w:lastRow="0" w:firstColumn="1" w:lastColumn="0" w:oddVBand="0" w:evenVBand="0" w:oddHBand="0" w:evenHBand="0" w:firstRowFirstColumn="0" w:firstRowLastColumn="0" w:lastRowFirstColumn="0" w:lastRowLastColumn="0"/>
            <w:tcW w:w="650" w:type="pct"/>
            <w:tcBorders>
              <w:top w:val="single" w:sz="4" w:space="0" w:color="00B0F0"/>
              <w:bottom w:val="single" w:sz="4" w:space="0" w:color="00B0F0"/>
            </w:tcBorders>
            <w:vAlign w:val="center"/>
          </w:tcPr>
          <w:p w14:paraId="272B7AE1" w14:textId="77777777" w:rsidR="00BA4D12" w:rsidRPr="00751816" w:rsidRDefault="00BA4D12" w:rsidP="001C016D">
            <w:pPr>
              <w:spacing w:before="120" w:after="120" w:line="240" w:lineRule="atLeast"/>
              <w:contextualSpacing/>
              <w:rPr>
                <w:rFonts w:ascii="Tahoma" w:hAnsi="Tahoma" w:cs="Tahoma"/>
                <w:sz w:val="20"/>
              </w:rPr>
            </w:pPr>
            <w:r>
              <w:rPr>
                <w:rFonts w:ascii="Tahoma" w:hAnsi="Tahoma" w:cs="Tahoma"/>
                <w:sz w:val="20"/>
              </w:rPr>
              <w:t>Jurisdictional charges</w:t>
            </w:r>
          </w:p>
        </w:tc>
        <w:tc>
          <w:tcPr>
            <w:tcW w:w="1539" w:type="pct"/>
            <w:tcBorders>
              <w:top w:val="single" w:sz="4" w:space="0" w:color="00B0F0"/>
              <w:bottom w:val="single" w:sz="4" w:space="0" w:color="00B0F0"/>
            </w:tcBorders>
            <w:vAlign w:val="center"/>
          </w:tcPr>
          <w:p w14:paraId="3F4AD5AE" w14:textId="1EF9D808" w:rsidR="00BA4D12" w:rsidRPr="00751816" w:rsidRDefault="00BA4D12" w:rsidP="00C600B5">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5B01BA">
              <w:rPr>
                <w:rFonts w:ascii="Tahoma" w:hAnsi="Tahoma" w:cs="Tahoma"/>
                <w:sz w:val="20"/>
              </w:rPr>
              <w:t>Amounts</w:t>
            </w:r>
            <w:r>
              <w:rPr>
                <w:rFonts w:ascii="Tahoma" w:hAnsi="Tahoma" w:cs="Tahoma"/>
                <w:sz w:val="20"/>
              </w:rPr>
              <w:t xml:space="preserve"> reported for Jurisdictional Charges and each other category of expenditure in this table (F4.1.1) have been derived </w:t>
            </w:r>
            <w:r w:rsidR="001139CB">
              <w:rPr>
                <w:rFonts w:ascii="Tahoma" w:hAnsi="Tahoma" w:cs="Tahoma"/>
                <w:sz w:val="20"/>
              </w:rPr>
              <w:t>from the AGN (SA) trial balance</w:t>
            </w:r>
            <w:r w:rsidR="00C600B5">
              <w:rPr>
                <w:rFonts w:ascii="Tahoma" w:hAnsi="Tahoma" w:cs="Tahoma"/>
                <w:sz w:val="20"/>
              </w:rPr>
              <w:t xml:space="preserve"> which has been audited as set out in Appendix G</w:t>
            </w:r>
            <w:r>
              <w:rPr>
                <w:rFonts w:ascii="Tahoma" w:hAnsi="Tahoma" w:cs="Tahoma"/>
                <w:sz w:val="20"/>
              </w:rPr>
              <w:t xml:space="preserve">.  Expenditure recorded against </w:t>
            </w:r>
            <w:r>
              <w:rPr>
                <w:rFonts w:ascii="Tahoma" w:hAnsi="Tahoma" w:cs="Tahoma"/>
                <w:sz w:val="20"/>
              </w:rPr>
              <w:lastRenderedPageBreak/>
              <w:t xml:space="preserve">relevant account codes in the </w:t>
            </w:r>
            <w:r w:rsidR="001139CB">
              <w:rPr>
                <w:rFonts w:ascii="Tahoma" w:hAnsi="Tahoma" w:cs="Tahoma"/>
                <w:sz w:val="20"/>
              </w:rPr>
              <w:t xml:space="preserve">general ledger that form part of the AGN (SA) trial balance </w:t>
            </w:r>
            <w:r>
              <w:rPr>
                <w:rFonts w:ascii="Tahoma" w:hAnsi="Tahoma" w:cs="Tahoma"/>
                <w:sz w:val="20"/>
              </w:rPr>
              <w:t xml:space="preserve">has been mapped to the expenditure categories shown in the RIN template. </w:t>
            </w:r>
            <w:r w:rsidRPr="005B01BA">
              <w:rPr>
                <w:rFonts w:ascii="Tahoma" w:hAnsi="Tahoma" w:cs="Tahoma"/>
                <w:sz w:val="20"/>
              </w:rPr>
              <w:t xml:space="preserve"> </w:t>
            </w:r>
          </w:p>
        </w:tc>
        <w:tc>
          <w:tcPr>
            <w:tcW w:w="938" w:type="pct"/>
            <w:tcBorders>
              <w:top w:val="single" w:sz="4" w:space="0" w:color="00B0F0"/>
              <w:bottom w:val="single" w:sz="4" w:space="0" w:color="00B0F0"/>
            </w:tcBorders>
            <w:vAlign w:val="center"/>
          </w:tcPr>
          <w:p w14:paraId="34F43B8B" w14:textId="77777777"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Actual</w:t>
            </w:r>
          </w:p>
        </w:tc>
        <w:tc>
          <w:tcPr>
            <w:tcW w:w="1009" w:type="pct"/>
            <w:tcBorders>
              <w:top w:val="single" w:sz="4" w:space="0" w:color="00B0F0"/>
              <w:bottom w:val="single" w:sz="4" w:space="0" w:color="00B0F0"/>
            </w:tcBorders>
            <w:vAlign w:val="center"/>
          </w:tcPr>
          <w:p w14:paraId="189D1A57" w14:textId="77777777"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64" w:type="pct"/>
            <w:tcBorders>
              <w:top w:val="single" w:sz="4" w:space="0" w:color="00B0F0"/>
              <w:bottom w:val="single" w:sz="4" w:space="0" w:color="00B0F0"/>
            </w:tcBorders>
            <w:vAlign w:val="center"/>
          </w:tcPr>
          <w:p w14:paraId="5E084316" w14:textId="435DC8A9"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864D25" w:rsidRPr="00751816" w14:paraId="47FFBF78" w14:textId="77777777" w:rsidTr="00864D25">
        <w:trPr>
          <w:trHeight w:val="508"/>
        </w:trPr>
        <w:tc>
          <w:tcPr>
            <w:cnfStyle w:val="001000000000" w:firstRow="0" w:lastRow="0" w:firstColumn="1" w:lastColumn="0" w:oddVBand="0" w:evenVBand="0" w:oddHBand="0" w:evenHBand="0" w:firstRowFirstColumn="0" w:firstRowLastColumn="0" w:lastRowFirstColumn="0" w:lastRowLastColumn="0"/>
            <w:tcW w:w="650" w:type="pct"/>
            <w:tcBorders>
              <w:top w:val="single" w:sz="4" w:space="0" w:color="00B0F0"/>
              <w:bottom w:val="single" w:sz="4" w:space="0" w:color="00B0F0"/>
            </w:tcBorders>
            <w:vAlign w:val="center"/>
          </w:tcPr>
          <w:p w14:paraId="421F762B" w14:textId="77777777" w:rsidR="00864D25" w:rsidRPr="00751816" w:rsidRDefault="00864D25" w:rsidP="001C016D">
            <w:pPr>
              <w:spacing w:before="120" w:after="120" w:line="240" w:lineRule="atLeast"/>
              <w:contextualSpacing/>
              <w:rPr>
                <w:rFonts w:ascii="Tahoma" w:hAnsi="Tahoma" w:cs="Tahoma"/>
                <w:sz w:val="20"/>
              </w:rPr>
            </w:pPr>
            <w:r>
              <w:rPr>
                <w:rFonts w:ascii="Tahoma" w:hAnsi="Tahoma" w:cs="Tahoma"/>
                <w:sz w:val="20"/>
              </w:rPr>
              <w:t xml:space="preserve">GSL payments </w:t>
            </w:r>
            <w:r w:rsidRPr="00751816">
              <w:rPr>
                <w:rFonts w:ascii="Tahoma" w:hAnsi="Tahoma" w:cs="Tahoma"/>
                <w:sz w:val="20"/>
              </w:rPr>
              <w:t xml:space="preserve"> </w:t>
            </w:r>
          </w:p>
        </w:tc>
        <w:tc>
          <w:tcPr>
            <w:tcW w:w="4350" w:type="pct"/>
            <w:gridSpan w:val="4"/>
            <w:tcBorders>
              <w:top w:val="single" w:sz="4" w:space="0" w:color="00B0F0"/>
              <w:bottom w:val="single" w:sz="4" w:space="0" w:color="00B0F0"/>
            </w:tcBorders>
            <w:vAlign w:val="center"/>
          </w:tcPr>
          <w:p w14:paraId="0848E762" w14:textId="21EA1715" w:rsidR="00864D25" w:rsidRPr="00751816" w:rsidRDefault="00864D2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w:t>
            </w:r>
            <w:r w:rsidR="002C316C">
              <w:rPr>
                <w:rFonts w:ascii="Tahoma" w:hAnsi="Tahoma" w:cs="Tahoma"/>
                <w:sz w:val="20"/>
              </w:rPr>
              <w:t>Limited</w:t>
            </w:r>
            <w:r w:rsidR="001139CB">
              <w:rPr>
                <w:rFonts w:ascii="Tahoma" w:hAnsi="Tahoma" w:cs="Tahoma"/>
                <w:sz w:val="20"/>
              </w:rPr>
              <w:t xml:space="preserve"> </w:t>
            </w:r>
            <w:r>
              <w:rPr>
                <w:rFonts w:ascii="Tahoma" w:hAnsi="Tahoma" w:cs="Tahoma"/>
                <w:sz w:val="20"/>
              </w:rPr>
              <w:t xml:space="preserve">has not incurred any expenditure related to GSL </w:t>
            </w:r>
            <w:r w:rsidR="00440C33">
              <w:rPr>
                <w:rFonts w:ascii="Tahoma" w:hAnsi="Tahoma" w:cs="Tahoma"/>
                <w:sz w:val="20"/>
              </w:rPr>
              <w:t xml:space="preserve">payments </w:t>
            </w:r>
            <w:r w:rsidR="002C316C">
              <w:rPr>
                <w:rFonts w:ascii="Tahoma" w:hAnsi="Tahoma" w:cs="Tahoma"/>
                <w:sz w:val="20"/>
              </w:rPr>
              <w:t xml:space="preserve">for AGN (SA) </w:t>
            </w:r>
            <w:r w:rsidR="003B2764">
              <w:rPr>
                <w:rFonts w:ascii="Tahoma" w:hAnsi="Tahoma" w:cs="Tahoma"/>
                <w:sz w:val="20"/>
              </w:rPr>
              <w:t>in 2019/20</w:t>
            </w:r>
            <w:r w:rsidR="00440C33">
              <w:rPr>
                <w:rFonts w:ascii="Tahoma" w:hAnsi="Tahoma" w:cs="Tahoma"/>
                <w:sz w:val="20"/>
              </w:rPr>
              <w:t xml:space="preserve"> and has historically never incurred GSL payments</w:t>
            </w:r>
            <w:r>
              <w:rPr>
                <w:rFonts w:ascii="Tahoma" w:hAnsi="Tahoma" w:cs="Tahoma"/>
                <w:sz w:val="20"/>
              </w:rPr>
              <w:t>.</w:t>
            </w:r>
          </w:p>
          <w:p w14:paraId="70120F57" w14:textId="77777777" w:rsidR="00864D25" w:rsidRDefault="00864D2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16E1A9D" w14:textId="7570DA4A" w:rsidR="008300C6" w:rsidRPr="00751816" w:rsidRDefault="008300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300C6">
              <w:rPr>
                <w:rFonts w:ascii="Tahoma" w:hAnsi="Tahoma" w:cs="Tahoma"/>
                <w:sz w:val="20"/>
              </w:rPr>
              <w:t>As such a ‘Null’ response is provided for this category of expenditure.</w:t>
            </w:r>
          </w:p>
        </w:tc>
      </w:tr>
      <w:tr w:rsidR="00864D25" w:rsidRPr="00751816" w14:paraId="13268692" w14:textId="77777777" w:rsidTr="0045441A">
        <w:trPr>
          <w:trHeight w:val="508"/>
        </w:trPr>
        <w:tc>
          <w:tcPr>
            <w:cnfStyle w:val="001000000000" w:firstRow="0" w:lastRow="0" w:firstColumn="1" w:lastColumn="0" w:oddVBand="0" w:evenVBand="0" w:oddHBand="0" w:evenHBand="0" w:firstRowFirstColumn="0" w:firstRowLastColumn="0" w:lastRowFirstColumn="0" w:lastRowLastColumn="0"/>
            <w:tcW w:w="650" w:type="pct"/>
            <w:tcBorders>
              <w:top w:val="single" w:sz="4" w:space="0" w:color="00B0F0"/>
              <w:bottom w:val="single" w:sz="4" w:space="0" w:color="00B0F0"/>
            </w:tcBorders>
            <w:vAlign w:val="center"/>
          </w:tcPr>
          <w:p w14:paraId="39612E8B" w14:textId="77777777" w:rsidR="00BA4D12" w:rsidRPr="00751816" w:rsidRDefault="00BA4D12" w:rsidP="001C016D">
            <w:pPr>
              <w:spacing w:before="120" w:after="120" w:line="240" w:lineRule="atLeast"/>
              <w:contextualSpacing/>
              <w:rPr>
                <w:rFonts w:ascii="Tahoma" w:hAnsi="Tahoma" w:cs="Tahoma"/>
                <w:sz w:val="20"/>
              </w:rPr>
            </w:pPr>
            <w:r>
              <w:rPr>
                <w:rFonts w:ascii="Tahoma" w:hAnsi="Tahoma" w:cs="Tahoma"/>
                <w:sz w:val="20"/>
              </w:rPr>
              <w:t xml:space="preserve">Other Opex </w:t>
            </w:r>
            <w:r w:rsidRPr="00751816">
              <w:rPr>
                <w:rFonts w:ascii="Tahoma" w:hAnsi="Tahoma" w:cs="Tahoma"/>
                <w:sz w:val="20"/>
              </w:rPr>
              <w:t xml:space="preserve"> </w:t>
            </w:r>
          </w:p>
        </w:tc>
        <w:tc>
          <w:tcPr>
            <w:tcW w:w="1539" w:type="pct"/>
            <w:tcBorders>
              <w:top w:val="single" w:sz="4" w:space="0" w:color="00B0F0"/>
              <w:bottom w:val="single" w:sz="4" w:space="0" w:color="00B0F0"/>
            </w:tcBorders>
            <w:vAlign w:val="center"/>
          </w:tcPr>
          <w:p w14:paraId="13563576" w14:textId="74546577" w:rsidR="00BA4D12" w:rsidRPr="00751816" w:rsidRDefault="00BA4D12" w:rsidP="00C600B5">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5B01BA">
              <w:rPr>
                <w:rFonts w:ascii="Tahoma" w:hAnsi="Tahoma" w:cs="Tahoma"/>
                <w:sz w:val="20"/>
              </w:rPr>
              <w:t>Amounts</w:t>
            </w:r>
            <w:r>
              <w:rPr>
                <w:rFonts w:ascii="Tahoma" w:hAnsi="Tahoma" w:cs="Tahoma"/>
                <w:sz w:val="20"/>
              </w:rPr>
              <w:t xml:space="preserve"> reported for Other Opex and each other category of expenditure in this table (F4.1.1) have been derived </w:t>
            </w:r>
            <w:r w:rsidR="001139CB">
              <w:rPr>
                <w:rFonts w:ascii="Tahoma" w:hAnsi="Tahoma" w:cs="Tahoma"/>
                <w:sz w:val="20"/>
              </w:rPr>
              <w:t>from the AGN (SA) trial balance</w:t>
            </w:r>
            <w:r w:rsidR="00C600B5">
              <w:rPr>
                <w:rFonts w:ascii="Tahoma" w:hAnsi="Tahoma" w:cs="Tahoma"/>
                <w:sz w:val="20"/>
              </w:rPr>
              <w:t xml:space="preserve"> which has been audited as set out in Appendix G</w:t>
            </w:r>
            <w:r>
              <w:rPr>
                <w:rFonts w:ascii="Tahoma" w:hAnsi="Tahoma" w:cs="Tahoma"/>
                <w:sz w:val="20"/>
              </w:rPr>
              <w:t xml:space="preserve">.  Expenditure recorded against relevant account codes in the </w:t>
            </w:r>
            <w:r w:rsidR="001139CB">
              <w:rPr>
                <w:rFonts w:ascii="Tahoma" w:hAnsi="Tahoma" w:cs="Tahoma"/>
                <w:sz w:val="20"/>
              </w:rPr>
              <w:t xml:space="preserve">general ledger that form part of the AGN (SA) trial balance </w:t>
            </w:r>
            <w:r>
              <w:rPr>
                <w:rFonts w:ascii="Tahoma" w:hAnsi="Tahoma" w:cs="Tahoma"/>
                <w:sz w:val="20"/>
              </w:rPr>
              <w:t xml:space="preserve">has been mapped to the expenditure categories shown in the RIN template. </w:t>
            </w:r>
            <w:r w:rsidRPr="005B01BA">
              <w:rPr>
                <w:rFonts w:ascii="Tahoma" w:hAnsi="Tahoma" w:cs="Tahoma"/>
                <w:sz w:val="20"/>
              </w:rPr>
              <w:t xml:space="preserve"> </w:t>
            </w:r>
          </w:p>
        </w:tc>
        <w:tc>
          <w:tcPr>
            <w:tcW w:w="938" w:type="pct"/>
            <w:tcBorders>
              <w:top w:val="single" w:sz="4" w:space="0" w:color="00B0F0"/>
              <w:bottom w:val="single" w:sz="4" w:space="0" w:color="00B0F0"/>
            </w:tcBorders>
            <w:vAlign w:val="center"/>
          </w:tcPr>
          <w:p w14:paraId="6D4DB300" w14:textId="77777777"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Actual</w:t>
            </w:r>
          </w:p>
        </w:tc>
        <w:tc>
          <w:tcPr>
            <w:tcW w:w="1009" w:type="pct"/>
            <w:tcBorders>
              <w:top w:val="single" w:sz="4" w:space="0" w:color="00B0F0"/>
              <w:bottom w:val="single" w:sz="4" w:space="0" w:color="00B0F0"/>
            </w:tcBorders>
            <w:vAlign w:val="center"/>
          </w:tcPr>
          <w:p w14:paraId="58D8FD9C" w14:textId="77777777"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64" w:type="pct"/>
            <w:tcBorders>
              <w:top w:val="single" w:sz="4" w:space="0" w:color="00B0F0"/>
              <w:bottom w:val="single" w:sz="4" w:space="0" w:color="00B0F0"/>
            </w:tcBorders>
            <w:vAlign w:val="center"/>
          </w:tcPr>
          <w:p w14:paraId="17863832" w14:textId="6B215DB8"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48054F8D" w14:textId="77777777" w:rsidR="00BA4D12" w:rsidRPr="003B01CA" w:rsidRDefault="00BA4D12" w:rsidP="00BA4D12">
      <w:pPr>
        <w:rPr>
          <w:rFonts w:ascii="Tahoma" w:hAnsi="Tahoma" w:cs="Tahoma"/>
          <w:color w:val="00B0F0"/>
        </w:rPr>
      </w:pPr>
    </w:p>
    <w:p w14:paraId="211A7C97" w14:textId="77777777" w:rsidR="00B83BA9" w:rsidRPr="003B01CA" w:rsidRDefault="00B83BA9" w:rsidP="003B01CA">
      <w:pPr>
        <w:rPr>
          <w:rFonts w:ascii="Tahoma" w:hAnsi="Tahoma" w:cs="Tahoma"/>
          <w:color w:val="00B0F0"/>
        </w:rPr>
      </w:pPr>
    </w:p>
    <w:p w14:paraId="24E94D1C" w14:textId="77777777" w:rsidR="004605F3" w:rsidRDefault="004605F3">
      <w:pPr>
        <w:rPr>
          <w:rFonts w:ascii="Tahoma" w:hAnsi="Tahoma" w:cs="Tahoma"/>
          <w:color w:val="00B0F0"/>
        </w:rPr>
      </w:pPr>
      <w:r>
        <w:rPr>
          <w:rFonts w:ascii="Tahoma" w:hAnsi="Tahoma" w:cs="Tahoma"/>
          <w:color w:val="00B0F0"/>
        </w:rPr>
        <w:br w:type="page"/>
      </w:r>
    </w:p>
    <w:p w14:paraId="5479704A" w14:textId="68E499B3" w:rsidR="00A235C0" w:rsidRDefault="00A235C0" w:rsidP="003B01CA">
      <w:pPr>
        <w:rPr>
          <w:rFonts w:ascii="Tahoma" w:hAnsi="Tahoma" w:cs="Tahoma"/>
          <w:color w:val="00B0F0"/>
        </w:rPr>
      </w:pPr>
      <w:r w:rsidRPr="003B01CA">
        <w:rPr>
          <w:rFonts w:ascii="Tahoma" w:hAnsi="Tahoma" w:cs="Tahoma"/>
          <w:color w:val="00B0F0"/>
        </w:rPr>
        <w:lastRenderedPageBreak/>
        <w:t xml:space="preserve">F4.1.2 – Adjustments </w:t>
      </w:r>
    </w:p>
    <w:tbl>
      <w:tblPr>
        <w:tblStyle w:val="UETableStyle"/>
        <w:tblW w:w="4902"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2001"/>
        <w:gridCol w:w="4740"/>
        <w:gridCol w:w="2291"/>
        <w:gridCol w:w="2723"/>
        <w:gridCol w:w="1929"/>
      </w:tblGrid>
      <w:tr w:rsidR="00BA4D12" w:rsidRPr="00751816" w14:paraId="44CD2E2E" w14:textId="77777777" w:rsidTr="001C016D">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710CC855" w14:textId="5F4B7264" w:rsidR="00BA4D12" w:rsidRPr="00751816" w:rsidRDefault="00BA4D12" w:rsidP="00443597">
            <w:pPr>
              <w:rPr>
                <w:rFonts w:ascii="Tahoma" w:hAnsi="Tahoma" w:cs="Tahoma"/>
                <w:b/>
                <w:color w:val="FFFFFF"/>
                <w:sz w:val="20"/>
              </w:rPr>
            </w:pPr>
            <w:r w:rsidRPr="00751816">
              <w:rPr>
                <w:rFonts w:ascii="Tahoma" w:hAnsi="Tahoma" w:cs="Tahoma"/>
                <w:b/>
                <w:color w:val="FFFFFF"/>
                <w:sz w:val="20"/>
              </w:rPr>
              <w:t xml:space="preserve">Variable </w:t>
            </w:r>
          </w:p>
        </w:tc>
        <w:tc>
          <w:tcPr>
            <w:tcW w:w="1732" w:type="pct"/>
            <w:tcBorders>
              <w:bottom w:val="single" w:sz="4" w:space="0" w:color="00B0F0"/>
            </w:tcBorders>
            <w:shd w:val="clear" w:color="auto" w:fill="003C71"/>
          </w:tcPr>
          <w:p w14:paraId="126E4C95" w14:textId="77777777" w:rsidR="00BA4D12" w:rsidRPr="00751816" w:rsidRDefault="00BA4D1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7" w:type="pct"/>
            <w:tcBorders>
              <w:bottom w:val="single" w:sz="4" w:space="0" w:color="00B0F0"/>
            </w:tcBorders>
            <w:shd w:val="clear" w:color="auto" w:fill="003C71"/>
          </w:tcPr>
          <w:p w14:paraId="2C7CB298" w14:textId="77777777" w:rsidR="00BA4D12" w:rsidRPr="00751816" w:rsidRDefault="00BA4D1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5" w:type="pct"/>
            <w:tcBorders>
              <w:bottom w:val="single" w:sz="4" w:space="0" w:color="00B0F0"/>
            </w:tcBorders>
            <w:shd w:val="clear" w:color="auto" w:fill="003C71"/>
          </w:tcPr>
          <w:p w14:paraId="46DC291D" w14:textId="77777777" w:rsidR="00BA4D12" w:rsidRPr="00751816" w:rsidRDefault="00BA4D1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705" w:type="pct"/>
            <w:tcBorders>
              <w:bottom w:val="single" w:sz="4" w:space="0" w:color="00B0F0"/>
            </w:tcBorders>
            <w:shd w:val="clear" w:color="auto" w:fill="003C71"/>
          </w:tcPr>
          <w:p w14:paraId="07222AB6" w14:textId="77777777" w:rsidR="00BA4D12" w:rsidRPr="00751816" w:rsidRDefault="00BA4D1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BA4D12" w:rsidRPr="00751816" w14:paraId="2ABEFE71" w14:textId="77777777" w:rsidTr="00443597">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00A3E0"/>
            <w:vAlign w:val="center"/>
          </w:tcPr>
          <w:p w14:paraId="0E717F0B" w14:textId="7A15506E" w:rsidR="00BA4D12" w:rsidRDefault="008418D3" w:rsidP="001C016D">
            <w:pPr>
              <w:spacing w:before="120" w:after="120" w:line="240" w:lineRule="atLeast"/>
              <w:contextualSpacing/>
              <w:rPr>
                <w:rFonts w:ascii="Tahoma" w:hAnsi="Tahoma" w:cs="Tahoma"/>
                <w:sz w:val="20"/>
              </w:rPr>
            </w:pPr>
            <w:r>
              <w:rPr>
                <w:rFonts w:ascii="Tahoma" w:hAnsi="Tahoma" w:cs="Tahoma"/>
                <w:sz w:val="20"/>
              </w:rPr>
              <w:t>2019/20</w:t>
            </w:r>
          </w:p>
        </w:tc>
        <w:tc>
          <w:tcPr>
            <w:tcW w:w="1732" w:type="pct"/>
            <w:tcBorders>
              <w:top w:val="single" w:sz="4" w:space="0" w:color="00B0F0"/>
              <w:bottom w:val="single" w:sz="4" w:space="0" w:color="00B0F0"/>
            </w:tcBorders>
            <w:shd w:val="clear" w:color="auto" w:fill="00A3E0"/>
            <w:vAlign w:val="center"/>
          </w:tcPr>
          <w:p w14:paraId="332384CA" w14:textId="77777777"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37" w:type="pct"/>
            <w:tcBorders>
              <w:top w:val="single" w:sz="4" w:space="0" w:color="00B0F0"/>
              <w:bottom w:val="single" w:sz="4" w:space="0" w:color="00B0F0"/>
            </w:tcBorders>
            <w:shd w:val="clear" w:color="auto" w:fill="00A3E0"/>
            <w:vAlign w:val="center"/>
          </w:tcPr>
          <w:p w14:paraId="74AA1145" w14:textId="77777777"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995" w:type="pct"/>
            <w:tcBorders>
              <w:top w:val="single" w:sz="4" w:space="0" w:color="00B0F0"/>
              <w:bottom w:val="single" w:sz="4" w:space="0" w:color="00B0F0"/>
            </w:tcBorders>
            <w:shd w:val="clear" w:color="auto" w:fill="00A3E0"/>
            <w:vAlign w:val="center"/>
          </w:tcPr>
          <w:p w14:paraId="3B6586BE" w14:textId="77777777"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05" w:type="pct"/>
            <w:tcBorders>
              <w:top w:val="single" w:sz="4" w:space="0" w:color="00B0F0"/>
              <w:bottom w:val="single" w:sz="4" w:space="0" w:color="00B0F0"/>
            </w:tcBorders>
            <w:shd w:val="clear" w:color="auto" w:fill="00A3E0"/>
            <w:vAlign w:val="center"/>
          </w:tcPr>
          <w:p w14:paraId="40EEF879" w14:textId="77777777"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BA4D12" w:rsidRPr="00751816" w14:paraId="7CA3BEB2" w14:textId="77777777" w:rsidTr="008300C6">
        <w:trPr>
          <w:trHeight w:val="431"/>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7C340FA3" w14:textId="3D957361" w:rsidR="00BA4D12" w:rsidRPr="00751816" w:rsidRDefault="00BA4D12" w:rsidP="001C016D">
            <w:pPr>
              <w:spacing w:before="120" w:after="120" w:line="240" w:lineRule="atLeast"/>
              <w:contextualSpacing/>
              <w:rPr>
                <w:rFonts w:ascii="Tahoma" w:hAnsi="Tahoma" w:cs="Tahoma"/>
                <w:sz w:val="20"/>
              </w:rPr>
            </w:pPr>
            <w:r>
              <w:rPr>
                <w:rFonts w:ascii="Tahoma" w:hAnsi="Tahoma" w:cs="Tahoma"/>
                <w:sz w:val="20"/>
              </w:rPr>
              <w:t xml:space="preserve">Repairs and maintenance </w:t>
            </w:r>
          </w:p>
        </w:tc>
        <w:tc>
          <w:tcPr>
            <w:tcW w:w="1732" w:type="pct"/>
            <w:tcBorders>
              <w:top w:val="single" w:sz="4" w:space="0" w:color="00B0F0"/>
              <w:bottom w:val="single" w:sz="4" w:space="0" w:color="00B0F0"/>
            </w:tcBorders>
          </w:tcPr>
          <w:p w14:paraId="7448D134" w14:textId="244AFF1B" w:rsidR="00BA4D12" w:rsidRDefault="00BA4D12"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61C74">
              <w:rPr>
                <w:rFonts w:ascii="Tahoma" w:hAnsi="Tahoma" w:cs="Tahoma"/>
                <w:sz w:val="20"/>
              </w:rPr>
              <w:t xml:space="preserve">The adjustments shown in </w:t>
            </w:r>
            <w:r w:rsidR="00440C33">
              <w:rPr>
                <w:rFonts w:ascii="Tahoma" w:hAnsi="Tahoma" w:cs="Tahoma"/>
                <w:sz w:val="20"/>
              </w:rPr>
              <w:t xml:space="preserve">this </w:t>
            </w:r>
            <w:r w:rsidRPr="00861C74">
              <w:rPr>
                <w:rFonts w:ascii="Tahoma" w:hAnsi="Tahoma" w:cs="Tahoma"/>
                <w:sz w:val="20"/>
              </w:rPr>
              <w:t xml:space="preserve">table represent the differences between the </w:t>
            </w:r>
            <w:r w:rsidR="001139CB">
              <w:rPr>
                <w:rFonts w:ascii="Tahoma" w:hAnsi="Tahoma" w:cs="Tahoma"/>
                <w:sz w:val="20"/>
              </w:rPr>
              <w:t>AGN (SA) trial balance</w:t>
            </w:r>
            <w:r w:rsidRPr="00861C74">
              <w:rPr>
                <w:rFonts w:ascii="Tahoma" w:hAnsi="Tahoma" w:cs="Tahoma"/>
                <w:sz w:val="20"/>
              </w:rPr>
              <w:t xml:space="preserve"> and the relevant Opex amounts for </w:t>
            </w:r>
            <w:r w:rsidR="001139CB">
              <w:rPr>
                <w:rFonts w:ascii="Tahoma" w:hAnsi="Tahoma" w:cs="Tahoma"/>
                <w:sz w:val="20"/>
              </w:rPr>
              <w:t xml:space="preserve">the </w:t>
            </w:r>
            <w:r w:rsidRPr="00861C74">
              <w:rPr>
                <w:rFonts w:ascii="Tahoma" w:hAnsi="Tahoma" w:cs="Tahoma"/>
                <w:sz w:val="20"/>
              </w:rPr>
              <w:t xml:space="preserve">AGN (SA) </w:t>
            </w:r>
            <w:r w:rsidR="00440C33">
              <w:rPr>
                <w:rFonts w:ascii="Tahoma" w:hAnsi="Tahoma" w:cs="Tahoma"/>
                <w:sz w:val="20"/>
              </w:rPr>
              <w:t>D</w:t>
            </w:r>
            <w:r w:rsidR="001139CB">
              <w:rPr>
                <w:rFonts w:ascii="Tahoma" w:hAnsi="Tahoma" w:cs="Tahoma"/>
                <w:sz w:val="20"/>
              </w:rPr>
              <w:t xml:space="preserve">istribution </w:t>
            </w:r>
            <w:r w:rsidR="00440C33">
              <w:rPr>
                <w:rFonts w:ascii="Tahoma" w:hAnsi="Tahoma" w:cs="Tahoma"/>
                <w:sz w:val="20"/>
              </w:rPr>
              <w:t>B</w:t>
            </w:r>
            <w:r w:rsidR="001139CB">
              <w:rPr>
                <w:rFonts w:ascii="Tahoma" w:hAnsi="Tahoma" w:cs="Tahoma"/>
                <w:sz w:val="20"/>
              </w:rPr>
              <w:t xml:space="preserve">usiness </w:t>
            </w:r>
            <w:r w:rsidRPr="00861C74">
              <w:rPr>
                <w:rFonts w:ascii="Tahoma" w:hAnsi="Tahoma" w:cs="Tahoma"/>
                <w:sz w:val="20"/>
              </w:rPr>
              <w:t>which are reported in table F4.1.3 below.</w:t>
            </w:r>
          </w:p>
          <w:p w14:paraId="5F9F3238" w14:textId="79567F55" w:rsidR="005F5B85" w:rsidRDefault="005F5B85"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88EB4CC" w14:textId="73F9E7E9" w:rsidR="00BA4D12" w:rsidRPr="00751816" w:rsidRDefault="005F5B85" w:rsidP="00C4077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Refer to the reconciliation schedule provided in </w:t>
            </w:r>
            <w:r w:rsidRPr="003830F5">
              <w:rPr>
                <w:rFonts w:ascii="Tahoma" w:hAnsi="Tahoma" w:cs="Tahoma"/>
                <w:sz w:val="20"/>
              </w:rPr>
              <w:t xml:space="preserve">Appendix </w:t>
            </w:r>
            <w:r w:rsidR="003830F5" w:rsidRPr="003830F5">
              <w:rPr>
                <w:rFonts w:ascii="Tahoma" w:hAnsi="Tahoma" w:cs="Tahoma"/>
                <w:sz w:val="20"/>
              </w:rPr>
              <w:t>F</w:t>
            </w:r>
            <w:r>
              <w:rPr>
                <w:rFonts w:ascii="Tahoma" w:hAnsi="Tahoma" w:cs="Tahoma"/>
                <w:sz w:val="20"/>
              </w:rPr>
              <w:t xml:space="preserve"> for an explanation of the adjustments made to determine the amounts reported in </w:t>
            </w:r>
            <w:r w:rsidR="00440C33">
              <w:rPr>
                <w:rFonts w:ascii="Tahoma" w:hAnsi="Tahoma" w:cs="Tahoma"/>
                <w:sz w:val="20"/>
              </w:rPr>
              <w:t xml:space="preserve">table </w:t>
            </w:r>
            <w:r>
              <w:rPr>
                <w:rFonts w:ascii="Tahoma" w:hAnsi="Tahoma" w:cs="Tahoma"/>
                <w:sz w:val="20"/>
              </w:rPr>
              <w:t xml:space="preserve">F4.1.3 below for the SA Distribution </w:t>
            </w:r>
            <w:r w:rsidR="00440C33">
              <w:rPr>
                <w:rFonts w:ascii="Tahoma" w:hAnsi="Tahoma" w:cs="Tahoma"/>
                <w:sz w:val="20"/>
              </w:rPr>
              <w:t>B</w:t>
            </w:r>
            <w:r w:rsidR="001139CB">
              <w:rPr>
                <w:rFonts w:ascii="Tahoma" w:hAnsi="Tahoma" w:cs="Tahoma"/>
                <w:sz w:val="20"/>
              </w:rPr>
              <w:t>usiness</w:t>
            </w:r>
            <w:r>
              <w:rPr>
                <w:rFonts w:ascii="Tahoma" w:hAnsi="Tahoma" w:cs="Tahoma"/>
                <w:sz w:val="20"/>
              </w:rPr>
              <w:t xml:space="preserve">. </w:t>
            </w:r>
          </w:p>
        </w:tc>
        <w:tc>
          <w:tcPr>
            <w:tcW w:w="837" w:type="pct"/>
            <w:tcBorders>
              <w:top w:val="single" w:sz="4" w:space="0" w:color="00B0F0"/>
              <w:bottom w:val="single" w:sz="4" w:space="0" w:color="00B0F0"/>
            </w:tcBorders>
            <w:vAlign w:val="center"/>
          </w:tcPr>
          <w:p w14:paraId="59BA3509" w14:textId="5C44C9D1" w:rsidR="00BA4D12" w:rsidRPr="00751816" w:rsidRDefault="00BA4D12" w:rsidP="003B276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Actual </w:t>
            </w:r>
          </w:p>
        </w:tc>
        <w:tc>
          <w:tcPr>
            <w:tcW w:w="995" w:type="pct"/>
            <w:tcBorders>
              <w:top w:val="single" w:sz="4" w:space="0" w:color="00B0F0"/>
              <w:bottom w:val="single" w:sz="4" w:space="0" w:color="00B0F0"/>
            </w:tcBorders>
          </w:tcPr>
          <w:p w14:paraId="57918E42" w14:textId="0254B0E1"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05" w:type="pct"/>
            <w:tcBorders>
              <w:top w:val="single" w:sz="4" w:space="0" w:color="00B0F0"/>
              <w:bottom w:val="single" w:sz="4" w:space="0" w:color="00B0F0"/>
            </w:tcBorders>
            <w:vAlign w:val="center"/>
          </w:tcPr>
          <w:p w14:paraId="060B5AB6" w14:textId="0A3393CB"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BA4D12" w:rsidRPr="00751816" w14:paraId="2B148F6B" w14:textId="77777777" w:rsidTr="001C016D">
        <w:trPr>
          <w:trHeight w:val="510"/>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30D7B6EA" w14:textId="77777777" w:rsidR="00BA4D12" w:rsidRPr="00751816" w:rsidRDefault="00BA4D12" w:rsidP="001C016D">
            <w:pPr>
              <w:spacing w:before="120" w:after="120" w:line="240" w:lineRule="atLeast"/>
              <w:contextualSpacing/>
              <w:rPr>
                <w:rFonts w:ascii="Tahoma" w:hAnsi="Tahoma" w:cs="Tahoma"/>
                <w:sz w:val="20"/>
              </w:rPr>
            </w:pPr>
            <w:r>
              <w:rPr>
                <w:rFonts w:ascii="Tahoma" w:hAnsi="Tahoma" w:cs="Tahoma"/>
                <w:sz w:val="20"/>
              </w:rPr>
              <w:t xml:space="preserve">Marketing and retail incentives </w:t>
            </w:r>
            <w:r w:rsidRPr="00751816">
              <w:rPr>
                <w:rFonts w:ascii="Tahoma" w:hAnsi="Tahoma" w:cs="Tahoma"/>
                <w:sz w:val="20"/>
              </w:rPr>
              <w:t xml:space="preserve"> </w:t>
            </w:r>
          </w:p>
        </w:tc>
        <w:tc>
          <w:tcPr>
            <w:tcW w:w="1732" w:type="pct"/>
            <w:tcBorders>
              <w:top w:val="single" w:sz="4" w:space="0" w:color="00B0F0"/>
              <w:bottom w:val="single" w:sz="4" w:space="0" w:color="00B0F0"/>
            </w:tcBorders>
            <w:vAlign w:val="center"/>
          </w:tcPr>
          <w:p w14:paraId="59CC03EC" w14:textId="3A640D81" w:rsidR="005F5B85"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61C74">
              <w:rPr>
                <w:rFonts w:ascii="Tahoma" w:hAnsi="Tahoma" w:cs="Tahoma"/>
                <w:sz w:val="20"/>
              </w:rPr>
              <w:t xml:space="preserve">The adjustments shown in </w:t>
            </w:r>
            <w:r>
              <w:rPr>
                <w:rFonts w:ascii="Tahoma" w:hAnsi="Tahoma" w:cs="Tahoma"/>
                <w:sz w:val="20"/>
              </w:rPr>
              <w:t xml:space="preserve">this </w:t>
            </w:r>
            <w:r w:rsidRPr="00861C74">
              <w:rPr>
                <w:rFonts w:ascii="Tahoma" w:hAnsi="Tahoma" w:cs="Tahoma"/>
                <w:sz w:val="20"/>
              </w:rPr>
              <w:t xml:space="preserve">table represent the differences between the </w:t>
            </w:r>
            <w:r w:rsidR="003B2764">
              <w:rPr>
                <w:rFonts w:ascii="Tahoma" w:hAnsi="Tahoma" w:cs="Tahoma"/>
                <w:sz w:val="20"/>
              </w:rPr>
              <w:t>AGN (SA) trial balance</w:t>
            </w:r>
            <w:r w:rsidRPr="00861C74">
              <w:rPr>
                <w:rFonts w:ascii="Tahoma" w:hAnsi="Tahoma" w:cs="Tahoma"/>
                <w:sz w:val="20"/>
              </w:rPr>
              <w:t xml:space="preserve"> and the relevant Opex amounts for </w:t>
            </w:r>
            <w:r w:rsidR="003B2764">
              <w:rPr>
                <w:rFonts w:ascii="Tahoma" w:hAnsi="Tahoma" w:cs="Tahoma"/>
                <w:sz w:val="20"/>
              </w:rPr>
              <w:t xml:space="preserve">the </w:t>
            </w:r>
            <w:r w:rsidRPr="00861C74">
              <w:rPr>
                <w:rFonts w:ascii="Tahoma" w:hAnsi="Tahoma" w:cs="Tahoma"/>
                <w:sz w:val="20"/>
              </w:rPr>
              <w:t xml:space="preserve">AGN (SA) </w:t>
            </w:r>
            <w:r w:rsidR="00440C33">
              <w:rPr>
                <w:rFonts w:ascii="Tahoma" w:hAnsi="Tahoma" w:cs="Tahoma"/>
                <w:sz w:val="20"/>
              </w:rPr>
              <w:t>D</w:t>
            </w:r>
            <w:r w:rsidR="003B2764">
              <w:rPr>
                <w:rFonts w:ascii="Tahoma" w:hAnsi="Tahoma" w:cs="Tahoma"/>
                <w:sz w:val="20"/>
              </w:rPr>
              <w:t xml:space="preserve">istribution </w:t>
            </w:r>
            <w:r w:rsidR="00440C33">
              <w:rPr>
                <w:rFonts w:ascii="Tahoma" w:hAnsi="Tahoma" w:cs="Tahoma"/>
                <w:sz w:val="20"/>
              </w:rPr>
              <w:t>B</w:t>
            </w:r>
            <w:r w:rsidR="003B2764">
              <w:rPr>
                <w:rFonts w:ascii="Tahoma" w:hAnsi="Tahoma" w:cs="Tahoma"/>
                <w:sz w:val="20"/>
              </w:rPr>
              <w:t xml:space="preserve">usiness </w:t>
            </w:r>
            <w:r w:rsidRPr="00861C74">
              <w:rPr>
                <w:rFonts w:ascii="Tahoma" w:hAnsi="Tahoma" w:cs="Tahoma"/>
                <w:sz w:val="20"/>
              </w:rPr>
              <w:t>which are reported in table F4.1.3 below.</w:t>
            </w:r>
          </w:p>
          <w:p w14:paraId="6E4187B2" w14:textId="77777777" w:rsidR="00C4077D" w:rsidRDefault="00C4077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ABD1924" w14:textId="30AE7C6B" w:rsidR="00BA4D12" w:rsidRPr="00751816" w:rsidRDefault="005F5B85" w:rsidP="00C4077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Refer to the reconciliation schedule provided in </w:t>
            </w:r>
            <w:r w:rsidR="003830F5" w:rsidRPr="003830F5">
              <w:rPr>
                <w:rFonts w:ascii="Tahoma" w:hAnsi="Tahoma" w:cs="Tahoma"/>
                <w:sz w:val="20"/>
              </w:rPr>
              <w:t>Appendix F</w:t>
            </w:r>
            <w:r w:rsidR="003830F5">
              <w:rPr>
                <w:rFonts w:ascii="Tahoma" w:hAnsi="Tahoma" w:cs="Tahoma"/>
                <w:sz w:val="20"/>
              </w:rPr>
              <w:t xml:space="preserve"> </w:t>
            </w:r>
            <w:r>
              <w:rPr>
                <w:rFonts w:ascii="Tahoma" w:hAnsi="Tahoma" w:cs="Tahoma"/>
                <w:sz w:val="20"/>
              </w:rPr>
              <w:t xml:space="preserve">for an explanation of the adjustments made to determine the amounts reported in table F4.1.3 below for the SA Distribution </w:t>
            </w:r>
            <w:r w:rsidR="00440C33">
              <w:rPr>
                <w:rFonts w:ascii="Tahoma" w:hAnsi="Tahoma" w:cs="Tahoma"/>
                <w:sz w:val="20"/>
              </w:rPr>
              <w:t>B</w:t>
            </w:r>
            <w:r w:rsidR="003B2764">
              <w:rPr>
                <w:rFonts w:ascii="Tahoma" w:hAnsi="Tahoma" w:cs="Tahoma"/>
                <w:sz w:val="20"/>
              </w:rPr>
              <w:t>usiness</w:t>
            </w:r>
            <w:r>
              <w:rPr>
                <w:rFonts w:ascii="Tahoma" w:hAnsi="Tahoma" w:cs="Tahoma"/>
                <w:sz w:val="20"/>
              </w:rPr>
              <w:t xml:space="preserve">. </w:t>
            </w:r>
          </w:p>
        </w:tc>
        <w:tc>
          <w:tcPr>
            <w:tcW w:w="837" w:type="pct"/>
            <w:tcBorders>
              <w:top w:val="single" w:sz="4" w:space="0" w:color="00B0F0"/>
              <w:bottom w:val="single" w:sz="4" w:space="0" w:color="00B0F0"/>
            </w:tcBorders>
            <w:vAlign w:val="center"/>
          </w:tcPr>
          <w:p w14:paraId="398168B7" w14:textId="7FD2C1CD" w:rsidR="00BA4D12" w:rsidRPr="00751816" w:rsidRDefault="00BA4D12" w:rsidP="003B276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Actual </w:t>
            </w:r>
          </w:p>
        </w:tc>
        <w:tc>
          <w:tcPr>
            <w:tcW w:w="995" w:type="pct"/>
            <w:tcBorders>
              <w:top w:val="single" w:sz="4" w:space="0" w:color="00B0F0"/>
              <w:bottom w:val="single" w:sz="4" w:space="0" w:color="00B0F0"/>
            </w:tcBorders>
          </w:tcPr>
          <w:p w14:paraId="349B1510" w14:textId="42181F97"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05" w:type="pct"/>
            <w:tcBorders>
              <w:top w:val="single" w:sz="4" w:space="0" w:color="00B0F0"/>
              <w:bottom w:val="single" w:sz="4" w:space="0" w:color="00B0F0"/>
            </w:tcBorders>
            <w:vAlign w:val="center"/>
          </w:tcPr>
          <w:p w14:paraId="3C83E5D2" w14:textId="10F71BF5"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BA4D12" w:rsidRPr="00751816" w14:paraId="3898C920" w14:textId="77777777" w:rsidTr="008300C6">
        <w:trPr>
          <w:trHeight w:val="508"/>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4ECEC573" w14:textId="77777777" w:rsidR="00BA4D12" w:rsidRPr="00751816" w:rsidRDefault="00BA4D12" w:rsidP="001C016D">
            <w:pPr>
              <w:spacing w:before="120" w:after="120" w:line="240" w:lineRule="atLeast"/>
              <w:contextualSpacing/>
              <w:rPr>
                <w:rFonts w:ascii="Tahoma" w:hAnsi="Tahoma" w:cs="Tahoma"/>
                <w:sz w:val="20"/>
              </w:rPr>
            </w:pPr>
            <w:r>
              <w:rPr>
                <w:rFonts w:ascii="Tahoma" w:hAnsi="Tahoma" w:cs="Tahoma"/>
                <w:sz w:val="20"/>
              </w:rPr>
              <w:t xml:space="preserve">Debt raising </w:t>
            </w:r>
            <w:r w:rsidRPr="00751816">
              <w:rPr>
                <w:rFonts w:ascii="Tahoma" w:hAnsi="Tahoma" w:cs="Tahoma"/>
                <w:sz w:val="20"/>
              </w:rPr>
              <w:t xml:space="preserve"> </w:t>
            </w:r>
          </w:p>
        </w:tc>
        <w:tc>
          <w:tcPr>
            <w:tcW w:w="1732" w:type="pct"/>
            <w:tcBorders>
              <w:top w:val="single" w:sz="4" w:space="0" w:color="00B0F0"/>
              <w:bottom w:val="single" w:sz="4" w:space="0" w:color="00B0F0"/>
            </w:tcBorders>
          </w:tcPr>
          <w:p w14:paraId="6D79B4DA" w14:textId="72353EDB" w:rsidR="00BA4D12" w:rsidRDefault="00BA4D12"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61C74">
              <w:rPr>
                <w:rFonts w:ascii="Tahoma" w:hAnsi="Tahoma" w:cs="Tahoma"/>
                <w:sz w:val="20"/>
              </w:rPr>
              <w:t xml:space="preserve">The adjustments shown in </w:t>
            </w:r>
            <w:r>
              <w:rPr>
                <w:rFonts w:ascii="Tahoma" w:hAnsi="Tahoma" w:cs="Tahoma"/>
                <w:sz w:val="20"/>
              </w:rPr>
              <w:t xml:space="preserve">this </w:t>
            </w:r>
            <w:r w:rsidRPr="00861C74">
              <w:rPr>
                <w:rFonts w:ascii="Tahoma" w:hAnsi="Tahoma" w:cs="Tahoma"/>
                <w:sz w:val="20"/>
              </w:rPr>
              <w:t xml:space="preserve">table represent the differences between the </w:t>
            </w:r>
            <w:r w:rsidR="003B2764">
              <w:rPr>
                <w:rFonts w:ascii="Tahoma" w:hAnsi="Tahoma" w:cs="Tahoma"/>
                <w:sz w:val="20"/>
              </w:rPr>
              <w:t>AGN (SA) trial balance</w:t>
            </w:r>
            <w:r w:rsidRPr="00861C74">
              <w:rPr>
                <w:rFonts w:ascii="Tahoma" w:hAnsi="Tahoma" w:cs="Tahoma"/>
                <w:sz w:val="20"/>
              </w:rPr>
              <w:t xml:space="preserve"> and the relevant Opex amounts for </w:t>
            </w:r>
            <w:r w:rsidR="003B2764">
              <w:rPr>
                <w:rFonts w:ascii="Tahoma" w:hAnsi="Tahoma" w:cs="Tahoma"/>
                <w:sz w:val="20"/>
              </w:rPr>
              <w:t xml:space="preserve">the </w:t>
            </w:r>
            <w:r w:rsidRPr="00861C74">
              <w:rPr>
                <w:rFonts w:ascii="Tahoma" w:hAnsi="Tahoma" w:cs="Tahoma"/>
                <w:sz w:val="20"/>
              </w:rPr>
              <w:t xml:space="preserve">AGN (SA) </w:t>
            </w:r>
            <w:r w:rsidR="00440C33">
              <w:rPr>
                <w:rFonts w:ascii="Tahoma" w:hAnsi="Tahoma" w:cs="Tahoma"/>
                <w:sz w:val="20"/>
              </w:rPr>
              <w:t>D</w:t>
            </w:r>
            <w:r w:rsidR="003B2764">
              <w:rPr>
                <w:rFonts w:ascii="Tahoma" w:hAnsi="Tahoma" w:cs="Tahoma"/>
                <w:sz w:val="20"/>
              </w:rPr>
              <w:t xml:space="preserve">istribution </w:t>
            </w:r>
            <w:r w:rsidR="00440C33">
              <w:rPr>
                <w:rFonts w:ascii="Tahoma" w:hAnsi="Tahoma" w:cs="Tahoma"/>
                <w:sz w:val="20"/>
              </w:rPr>
              <w:t>B</w:t>
            </w:r>
            <w:r w:rsidR="003B2764">
              <w:rPr>
                <w:rFonts w:ascii="Tahoma" w:hAnsi="Tahoma" w:cs="Tahoma"/>
                <w:sz w:val="20"/>
              </w:rPr>
              <w:t xml:space="preserve">usiness </w:t>
            </w:r>
            <w:r w:rsidRPr="00861C74">
              <w:rPr>
                <w:rFonts w:ascii="Tahoma" w:hAnsi="Tahoma" w:cs="Tahoma"/>
                <w:sz w:val="20"/>
              </w:rPr>
              <w:t>which are reported in table F4.1.3 below.</w:t>
            </w:r>
          </w:p>
          <w:p w14:paraId="7A8B363D" w14:textId="49ACB181" w:rsidR="005F5B85" w:rsidRDefault="005F5B85"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11BF47F" w14:textId="1EAB07E7" w:rsidR="00BA4D12" w:rsidRPr="00751816" w:rsidRDefault="005F5B85" w:rsidP="00440C3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Refer to the reconciliation schedule provided in </w:t>
            </w:r>
            <w:r w:rsidR="003830F5" w:rsidRPr="003830F5">
              <w:rPr>
                <w:rFonts w:ascii="Tahoma" w:hAnsi="Tahoma" w:cs="Tahoma"/>
                <w:sz w:val="20"/>
              </w:rPr>
              <w:t>Appendix F</w:t>
            </w:r>
            <w:r w:rsidR="003830F5">
              <w:rPr>
                <w:rFonts w:ascii="Tahoma" w:hAnsi="Tahoma" w:cs="Tahoma"/>
                <w:sz w:val="20"/>
              </w:rPr>
              <w:t xml:space="preserve"> </w:t>
            </w:r>
            <w:r>
              <w:rPr>
                <w:rFonts w:ascii="Tahoma" w:hAnsi="Tahoma" w:cs="Tahoma"/>
                <w:sz w:val="20"/>
              </w:rPr>
              <w:t xml:space="preserve">for an explanation of the adjustments </w:t>
            </w:r>
            <w:r>
              <w:rPr>
                <w:rFonts w:ascii="Tahoma" w:hAnsi="Tahoma" w:cs="Tahoma"/>
                <w:sz w:val="20"/>
              </w:rPr>
              <w:lastRenderedPageBreak/>
              <w:t xml:space="preserve">made to determine the amounts reported in table F4.1.3 below for the SA Distribution </w:t>
            </w:r>
            <w:r w:rsidR="00440C33">
              <w:rPr>
                <w:rFonts w:ascii="Tahoma" w:hAnsi="Tahoma" w:cs="Tahoma"/>
                <w:sz w:val="20"/>
              </w:rPr>
              <w:t>B</w:t>
            </w:r>
            <w:r w:rsidR="003B2764">
              <w:rPr>
                <w:rFonts w:ascii="Tahoma" w:hAnsi="Tahoma" w:cs="Tahoma"/>
                <w:sz w:val="20"/>
              </w:rPr>
              <w:t>usiness</w:t>
            </w:r>
            <w:r>
              <w:rPr>
                <w:rFonts w:ascii="Tahoma" w:hAnsi="Tahoma" w:cs="Tahoma"/>
                <w:sz w:val="20"/>
              </w:rPr>
              <w:t xml:space="preserve">. </w:t>
            </w:r>
          </w:p>
        </w:tc>
        <w:tc>
          <w:tcPr>
            <w:tcW w:w="837" w:type="pct"/>
            <w:tcBorders>
              <w:top w:val="single" w:sz="4" w:space="0" w:color="00B0F0"/>
              <w:bottom w:val="single" w:sz="4" w:space="0" w:color="00B0F0"/>
            </w:tcBorders>
            <w:vAlign w:val="center"/>
          </w:tcPr>
          <w:p w14:paraId="50D19FAB" w14:textId="2DFD4A90" w:rsidR="00BA4D12" w:rsidRPr="00751816" w:rsidRDefault="00BA4D12" w:rsidP="003B276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 xml:space="preserve">Actual </w:t>
            </w:r>
          </w:p>
        </w:tc>
        <w:tc>
          <w:tcPr>
            <w:tcW w:w="995" w:type="pct"/>
            <w:tcBorders>
              <w:top w:val="single" w:sz="4" w:space="0" w:color="00B0F0"/>
              <w:bottom w:val="single" w:sz="4" w:space="0" w:color="00B0F0"/>
            </w:tcBorders>
          </w:tcPr>
          <w:p w14:paraId="14E74F65" w14:textId="64B31C0F"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05" w:type="pct"/>
            <w:tcBorders>
              <w:top w:val="single" w:sz="4" w:space="0" w:color="00B0F0"/>
              <w:bottom w:val="single" w:sz="4" w:space="0" w:color="00B0F0"/>
            </w:tcBorders>
            <w:vAlign w:val="center"/>
          </w:tcPr>
          <w:p w14:paraId="08DD9B3B" w14:textId="5F012942"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092D83" w:rsidRPr="00751816" w14:paraId="29126531" w14:textId="77777777" w:rsidTr="00092D83">
        <w:trPr>
          <w:trHeight w:val="508"/>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5868AE49" w14:textId="77777777" w:rsidR="00092D83" w:rsidRPr="00751816" w:rsidRDefault="00092D83" w:rsidP="001C016D">
            <w:pPr>
              <w:spacing w:before="120" w:after="120" w:line="240" w:lineRule="atLeast"/>
              <w:contextualSpacing/>
              <w:rPr>
                <w:rFonts w:ascii="Tahoma" w:hAnsi="Tahoma" w:cs="Tahoma"/>
                <w:sz w:val="20"/>
              </w:rPr>
            </w:pPr>
            <w:r>
              <w:rPr>
                <w:rFonts w:ascii="Tahoma" w:hAnsi="Tahoma" w:cs="Tahoma"/>
                <w:sz w:val="20"/>
              </w:rPr>
              <w:t xml:space="preserve">Equity raising </w:t>
            </w:r>
          </w:p>
        </w:tc>
        <w:tc>
          <w:tcPr>
            <w:tcW w:w="4269" w:type="pct"/>
            <w:gridSpan w:val="4"/>
            <w:tcBorders>
              <w:top w:val="single" w:sz="4" w:space="0" w:color="00B0F0"/>
              <w:bottom w:val="single" w:sz="4" w:space="0" w:color="00B0F0"/>
            </w:tcBorders>
            <w:vAlign w:val="center"/>
          </w:tcPr>
          <w:p w14:paraId="40892289" w14:textId="5BD216EE" w:rsidR="00092D83" w:rsidRPr="00751816" w:rsidRDefault="00092D8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w:t>
            </w:r>
            <w:r w:rsidR="002C316C">
              <w:rPr>
                <w:rFonts w:ascii="Tahoma" w:hAnsi="Tahoma" w:cs="Tahoma"/>
                <w:sz w:val="20"/>
              </w:rPr>
              <w:t>Limited</w:t>
            </w:r>
            <w:r w:rsidR="003B2764">
              <w:rPr>
                <w:rFonts w:ascii="Tahoma" w:hAnsi="Tahoma" w:cs="Tahoma"/>
                <w:sz w:val="20"/>
              </w:rPr>
              <w:t xml:space="preserve"> </w:t>
            </w:r>
            <w:r>
              <w:rPr>
                <w:rFonts w:ascii="Tahoma" w:hAnsi="Tahoma" w:cs="Tahoma"/>
                <w:sz w:val="20"/>
              </w:rPr>
              <w:t xml:space="preserve">has not incurred any expenditure related to Equity Raising costs </w:t>
            </w:r>
            <w:r w:rsidR="002C316C">
              <w:rPr>
                <w:rFonts w:ascii="Tahoma" w:hAnsi="Tahoma" w:cs="Tahoma"/>
                <w:sz w:val="20"/>
              </w:rPr>
              <w:t xml:space="preserve">for AGN (SA) </w:t>
            </w:r>
            <w:r w:rsidR="003B2764">
              <w:rPr>
                <w:rFonts w:ascii="Tahoma" w:hAnsi="Tahoma" w:cs="Tahoma"/>
                <w:sz w:val="20"/>
              </w:rPr>
              <w:t>in 2019/20</w:t>
            </w:r>
            <w:r w:rsidR="00440C33">
              <w:rPr>
                <w:rFonts w:ascii="Tahoma" w:hAnsi="Tahoma" w:cs="Tahoma"/>
                <w:sz w:val="20"/>
              </w:rPr>
              <w:t xml:space="preserve"> and under its current ownership does not incur Equity Raising costs</w:t>
            </w:r>
            <w:r>
              <w:rPr>
                <w:rFonts w:ascii="Tahoma" w:hAnsi="Tahoma" w:cs="Tahoma"/>
                <w:sz w:val="20"/>
              </w:rPr>
              <w:t>.</w:t>
            </w:r>
          </w:p>
          <w:p w14:paraId="610252AB" w14:textId="77777777" w:rsidR="008300C6" w:rsidRDefault="008300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FC80FC9" w14:textId="5BA54022" w:rsidR="008300C6" w:rsidRPr="00751816" w:rsidRDefault="008300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300C6">
              <w:rPr>
                <w:rFonts w:ascii="Tahoma" w:hAnsi="Tahoma" w:cs="Tahoma"/>
                <w:sz w:val="20"/>
              </w:rPr>
              <w:t>As such a ‘Null’ response is provided for this category of expenditure.</w:t>
            </w:r>
          </w:p>
        </w:tc>
      </w:tr>
      <w:tr w:rsidR="00BA4D12" w:rsidRPr="00751816" w14:paraId="383188F0" w14:textId="77777777" w:rsidTr="008300C6">
        <w:trPr>
          <w:trHeight w:val="508"/>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41C0D41B" w14:textId="3BA5C1A3" w:rsidR="00BA4D12" w:rsidRPr="00751816" w:rsidRDefault="00BA4D12" w:rsidP="001C016D">
            <w:pPr>
              <w:spacing w:before="120" w:after="120" w:line="240" w:lineRule="atLeast"/>
              <w:contextualSpacing/>
              <w:rPr>
                <w:rFonts w:ascii="Tahoma" w:hAnsi="Tahoma" w:cs="Tahoma"/>
                <w:sz w:val="20"/>
              </w:rPr>
            </w:pPr>
            <w:r>
              <w:rPr>
                <w:rFonts w:ascii="Tahoma" w:hAnsi="Tahoma" w:cs="Tahoma"/>
                <w:sz w:val="20"/>
              </w:rPr>
              <w:t xml:space="preserve">Unaccounted for gas </w:t>
            </w:r>
            <w:r w:rsidRPr="00751816">
              <w:rPr>
                <w:rFonts w:ascii="Tahoma" w:hAnsi="Tahoma" w:cs="Tahoma"/>
                <w:sz w:val="20"/>
              </w:rPr>
              <w:t xml:space="preserve"> </w:t>
            </w:r>
          </w:p>
        </w:tc>
        <w:tc>
          <w:tcPr>
            <w:tcW w:w="1732" w:type="pct"/>
            <w:tcBorders>
              <w:top w:val="single" w:sz="4" w:space="0" w:color="00B0F0"/>
              <w:bottom w:val="single" w:sz="4" w:space="0" w:color="00B0F0"/>
            </w:tcBorders>
          </w:tcPr>
          <w:p w14:paraId="1D95D857" w14:textId="044F6A37" w:rsidR="00BA4D12" w:rsidRDefault="00BA4D12"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61C74">
              <w:rPr>
                <w:rFonts w:ascii="Tahoma" w:hAnsi="Tahoma" w:cs="Tahoma"/>
                <w:sz w:val="20"/>
              </w:rPr>
              <w:t xml:space="preserve">The adjustments shown in </w:t>
            </w:r>
            <w:r>
              <w:rPr>
                <w:rFonts w:ascii="Tahoma" w:hAnsi="Tahoma" w:cs="Tahoma"/>
                <w:sz w:val="20"/>
              </w:rPr>
              <w:t xml:space="preserve">this </w:t>
            </w:r>
            <w:r w:rsidRPr="00861C74">
              <w:rPr>
                <w:rFonts w:ascii="Tahoma" w:hAnsi="Tahoma" w:cs="Tahoma"/>
                <w:sz w:val="20"/>
              </w:rPr>
              <w:t xml:space="preserve">table represent the differences between the </w:t>
            </w:r>
            <w:r w:rsidR="003B2764">
              <w:rPr>
                <w:rFonts w:ascii="Tahoma" w:hAnsi="Tahoma" w:cs="Tahoma"/>
                <w:sz w:val="20"/>
              </w:rPr>
              <w:t>AGN (SA) trial balance</w:t>
            </w:r>
            <w:r w:rsidRPr="00861C74">
              <w:rPr>
                <w:rFonts w:ascii="Tahoma" w:hAnsi="Tahoma" w:cs="Tahoma"/>
                <w:sz w:val="20"/>
              </w:rPr>
              <w:t xml:space="preserve"> and the relevant Opex amounts for </w:t>
            </w:r>
            <w:r w:rsidR="003B2764">
              <w:rPr>
                <w:rFonts w:ascii="Tahoma" w:hAnsi="Tahoma" w:cs="Tahoma"/>
                <w:sz w:val="20"/>
              </w:rPr>
              <w:t xml:space="preserve">the </w:t>
            </w:r>
            <w:r w:rsidRPr="00861C74">
              <w:rPr>
                <w:rFonts w:ascii="Tahoma" w:hAnsi="Tahoma" w:cs="Tahoma"/>
                <w:sz w:val="20"/>
              </w:rPr>
              <w:t xml:space="preserve">AGN (SA) </w:t>
            </w:r>
            <w:r w:rsidR="00440C33">
              <w:rPr>
                <w:rFonts w:ascii="Tahoma" w:hAnsi="Tahoma" w:cs="Tahoma"/>
                <w:sz w:val="20"/>
              </w:rPr>
              <w:t>D</w:t>
            </w:r>
            <w:r w:rsidR="003B2764">
              <w:rPr>
                <w:rFonts w:ascii="Tahoma" w:hAnsi="Tahoma" w:cs="Tahoma"/>
                <w:sz w:val="20"/>
              </w:rPr>
              <w:t xml:space="preserve">istribution </w:t>
            </w:r>
            <w:r w:rsidR="00440C33">
              <w:rPr>
                <w:rFonts w:ascii="Tahoma" w:hAnsi="Tahoma" w:cs="Tahoma"/>
                <w:sz w:val="20"/>
              </w:rPr>
              <w:t>B</w:t>
            </w:r>
            <w:r w:rsidR="003B2764">
              <w:rPr>
                <w:rFonts w:ascii="Tahoma" w:hAnsi="Tahoma" w:cs="Tahoma"/>
                <w:sz w:val="20"/>
              </w:rPr>
              <w:t xml:space="preserve">usiness </w:t>
            </w:r>
            <w:r w:rsidRPr="00861C74">
              <w:rPr>
                <w:rFonts w:ascii="Tahoma" w:hAnsi="Tahoma" w:cs="Tahoma"/>
                <w:sz w:val="20"/>
              </w:rPr>
              <w:t>which are reported in table F4.1.3 below.</w:t>
            </w:r>
          </w:p>
          <w:p w14:paraId="2DEDC982" w14:textId="77777777" w:rsidR="00BA4D12" w:rsidRDefault="00BA4D12"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89954DB" w14:textId="4A84CF7D" w:rsidR="005F5B85" w:rsidRPr="00751816" w:rsidRDefault="005F5B85" w:rsidP="00C4077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Refer to the reconciliation schedule provided in </w:t>
            </w:r>
            <w:r w:rsidR="003830F5" w:rsidRPr="003830F5">
              <w:rPr>
                <w:rFonts w:ascii="Tahoma" w:hAnsi="Tahoma" w:cs="Tahoma"/>
                <w:sz w:val="20"/>
              </w:rPr>
              <w:t>Appendix F</w:t>
            </w:r>
            <w:r w:rsidR="003830F5">
              <w:rPr>
                <w:rFonts w:ascii="Tahoma" w:hAnsi="Tahoma" w:cs="Tahoma"/>
                <w:sz w:val="20"/>
              </w:rPr>
              <w:t xml:space="preserve"> </w:t>
            </w:r>
            <w:r>
              <w:rPr>
                <w:rFonts w:ascii="Tahoma" w:hAnsi="Tahoma" w:cs="Tahoma"/>
                <w:sz w:val="20"/>
              </w:rPr>
              <w:t xml:space="preserve">for an explanation of the adjustments made to determine the amounts reported in table F4.1.3 below for the SA Distribution Business. </w:t>
            </w:r>
          </w:p>
        </w:tc>
        <w:tc>
          <w:tcPr>
            <w:tcW w:w="837" w:type="pct"/>
            <w:tcBorders>
              <w:top w:val="single" w:sz="4" w:space="0" w:color="00B0F0"/>
              <w:bottom w:val="single" w:sz="4" w:space="0" w:color="00B0F0"/>
            </w:tcBorders>
            <w:vAlign w:val="center"/>
          </w:tcPr>
          <w:p w14:paraId="355782FC" w14:textId="05C760BA" w:rsidR="00BA4D12" w:rsidRPr="00751816" w:rsidRDefault="00BA4D12" w:rsidP="00440C3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Actual </w:t>
            </w:r>
          </w:p>
        </w:tc>
        <w:tc>
          <w:tcPr>
            <w:tcW w:w="995" w:type="pct"/>
            <w:tcBorders>
              <w:top w:val="single" w:sz="4" w:space="0" w:color="00B0F0"/>
              <w:bottom w:val="single" w:sz="4" w:space="0" w:color="00B0F0"/>
            </w:tcBorders>
          </w:tcPr>
          <w:p w14:paraId="7948CC4B" w14:textId="23D6EA0F"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05" w:type="pct"/>
            <w:tcBorders>
              <w:top w:val="single" w:sz="4" w:space="0" w:color="00B0F0"/>
              <w:bottom w:val="single" w:sz="4" w:space="0" w:color="00B0F0"/>
            </w:tcBorders>
            <w:vAlign w:val="center"/>
          </w:tcPr>
          <w:p w14:paraId="78D255C6" w14:textId="0BF8BA8D"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BA4D12" w:rsidRPr="00751816" w14:paraId="465A9974" w14:textId="77777777" w:rsidTr="001C016D">
        <w:trPr>
          <w:trHeight w:val="508"/>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5F5F2A57" w14:textId="77777777" w:rsidR="00BA4D12" w:rsidRPr="00751816" w:rsidRDefault="00BA4D12" w:rsidP="001C016D">
            <w:pPr>
              <w:spacing w:before="120" w:after="120" w:line="240" w:lineRule="atLeast"/>
              <w:contextualSpacing/>
              <w:rPr>
                <w:rFonts w:ascii="Tahoma" w:hAnsi="Tahoma" w:cs="Tahoma"/>
                <w:sz w:val="20"/>
              </w:rPr>
            </w:pPr>
            <w:r>
              <w:rPr>
                <w:rFonts w:ascii="Tahoma" w:hAnsi="Tahoma" w:cs="Tahoma"/>
                <w:sz w:val="20"/>
              </w:rPr>
              <w:t>Jurisdictional charges</w:t>
            </w:r>
          </w:p>
        </w:tc>
        <w:tc>
          <w:tcPr>
            <w:tcW w:w="1732" w:type="pct"/>
            <w:tcBorders>
              <w:top w:val="single" w:sz="4" w:space="0" w:color="00B0F0"/>
              <w:bottom w:val="single" w:sz="4" w:space="0" w:color="00B0F0"/>
            </w:tcBorders>
            <w:vAlign w:val="center"/>
          </w:tcPr>
          <w:p w14:paraId="60E82C90" w14:textId="5AA25E7D" w:rsidR="00BA4D12"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61C74">
              <w:rPr>
                <w:rFonts w:ascii="Tahoma" w:hAnsi="Tahoma" w:cs="Tahoma"/>
                <w:sz w:val="20"/>
              </w:rPr>
              <w:t xml:space="preserve">The adjustments shown in </w:t>
            </w:r>
            <w:r>
              <w:rPr>
                <w:rFonts w:ascii="Tahoma" w:hAnsi="Tahoma" w:cs="Tahoma"/>
                <w:sz w:val="20"/>
              </w:rPr>
              <w:t xml:space="preserve">this </w:t>
            </w:r>
            <w:r w:rsidRPr="00861C74">
              <w:rPr>
                <w:rFonts w:ascii="Tahoma" w:hAnsi="Tahoma" w:cs="Tahoma"/>
                <w:sz w:val="20"/>
              </w:rPr>
              <w:t xml:space="preserve">table represent the differences between the </w:t>
            </w:r>
            <w:r w:rsidR="003B2764">
              <w:rPr>
                <w:rFonts w:ascii="Tahoma" w:hAnsi="Tahoma" w:cs="Tahoma"/>
                <w:sz w:val="20"/>
              </w:rPr>
              <w:t>AGN (SA) trial balance</w:t>
            </w:r>
            <w:r w:rsidRPr="00861C74">
              <w:rPr>
                <w:rFonts w:ascii="Tahoma" w:hAnsi="Tahoma" w:cs="Tahoma"/>
                <w:sz w:val="20"/>
              </w:rPr>
              <w:t xml:space="preserve"> and the relevant Opex amounts for </w:t>
            </w:r>
            <w:r w:rsidR="003B2764">
              <w:rPr>
                <w:rFonts w:ascii="Tahoma" w:hAnsi="Tahoma" w:cs="Tahoma"/>
                <w:sz w:val="20"/>
              </w:rPr>
              <w:t xml:space="preserve">the </w:t>
            </w:r>
            <w:r w:rsidRPr="00861C74">
              <w:rPr>
                <w:rFonts w:ascii="Tahoma" w:hAnsi="Tahoma" w:cs="Tahoma"/>
                <w:sz w:val="20"/>
              </w:rPr>
              <w:t xml:space="preserve">AGN (SA) </w:t>
            </w:r>
            <w:r w:rsidR="00440C33">
              <w:rPr>
                <w:rFonts w:ascii="Tahoma" w:hAnsi="Tahoma" w:cs="Tahoma"/>
                <w:sz w:val="20"/>
              </w:rPr>
              <w:t>D</w:t>
            </w:r>
            <w:r w:rsidR="003B2764">
              <w:rPr>
                <w:rFonts w:ascii="Tahoma" w:hAnsi="Tahoma" w:cs="Tahoma"/>
                <w:sz w:val="20"/>
              </w:rPr>
              <w:t xml:space="preserve">istribution </w:t>
            </w:r>
            <w:r w:rsidR="00440C33">
              <w:rPr>
                <w:rFonts w:ascii="Tahoma" w:hAnsi="Tahoma" w:cs="Tahoma"/>
                <w:sz w:val="20"/>
              </w:rPr>
              <w:t>B</w:t>
            </w:r>
            <w:r w:rsidR="003B2764">
              <w:rPr>
                <w:rFonts w:ascii="Tahoma" w:hAnsi="Tahoma" w:cs="Tahoma"/>
                <w:sz w:val="20"/>
              </w:rPr>
              <w:t xml:space="preserve">usiness </w:t>
            </w:r>
            <w:r w:rsidRPr="00861C74">
              <w:rPr>
                <w:rFonts w:ascii="Tahoma" w:hAnsi="Tahoma" w:cs="Tahoma"/>
                <w:sz w:val="20"/>
              </w:rPr>
              <w:t>which are reported in table F4.1.3 below.</w:t>
            </w:r>
          </w:p>
          <w:p w14:paraId="491838D3" w14:textId="77777777" w:rsidR="00BA4D12"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6026BCD" w14:textId="69A4232E" w:rsidR="005F5B85" w:rsidRPr="00751816" w:rsidRDefault="005F5B85" w:rsidP="00440C3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Refer to the reconciliation schedule provided in </w:t>
            </w:r>
            <w:r w:rsidR="003830F5" w:rsidRPr="003830F5">
              <w:rPr>
                <w:rFonts w:ascii="Tahoma" w:hAnsi="Tahoma" w:cs="Tahoma"/>
                <w:sz w:val="20"/>
              </w:rPr>
              <w:t>Appendix F</w:t>
            </w:r>
            <w:r w:rsidR="003830F5">
              <w:rPr>
                <w:rFonts w:ascii="Tahoma" w:hAnsi="Tahoma" w:cs="Tahoma"/>
                <w:sz w:val="20"/>
              </w:rPr>
              <w:t xml:space="preserve"> </w:t>
            </w:r>
            <w:r>
              <w:rPr>
                <w:rFonts w:ascii="Tahoma" w:hAnsi="Tahoma" w:cs="Tahoma"/>
                <w:sz w:val="20"/>
              </w:rPr>
              <w:t xml:space="preserve">for an explanation of the adjustments made to determine the amounts reported in table F4.1.3 below for the SA Distribution </w:t>
            </w:r>
            <w:r w:rsidR="00440C33">
              <w:rPr>
                <w:rFonts w:ascii="Tahoma" w:hAnsi="Tahoma" w:cs="Tahoma"/>
                <w:sz w:val="20"/>
              </w:rPr>
              <w:t>B</w:t>
            </w:r>
            <w:r w:rsidR="003B2764">
              <w:rPr>
                <w:rFonts w:ascii="Tahoma" w:hAnsi="Tahoma" w:cs="Tahoma"/>
                <w:sz w:val="20"/>
              </w:rPr>
              <w:t>usiness</w:t>
            </w:r>
            <w:r>
              <w:rPr>
                <w:rFonts w:ascii="Tahoma" w:hAnsi="Tahoma" w:cs="Tahoma"/>
                <w:sz w:val="20"/>
              </w:rPr>
              <w:t xml:space="preserve">. </w:t>
            </w:r>
          </w:p>
        </w:tc>
        <w:tc>
          <w:tcPr>
            <w:tcW w:w="837" w:type="pct"/>
            <w:tcBorders>
              <w:top w:val="single" w:sz="4" w:space="0" w:color="00B0F0"/>
              <w:bottom w:val="single" w:sz="4" w:space="0" w:color="00B0F0"/>
            </w:tcBorders>
            <w:vAlign w:val="center"/>
          </w:tcPr>
          <w:p w14:paraId="31DBAAD3" w14:textId="2D6F92F9" w:rsidR="00BA4D12" w:rsidRPr="00751816" w:rsidRDefault="00BA4D12" w:rsidP="003B276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Actual </w:t>
            </w:r>
          </w:p>
        </w:tc>
        <w:tc>
          <w:tcPr>
            <w:tcW w:w="995" w:type="pct"/>
            <w:tcBorders>
              <w:top w:val="single" w:sz="4" w:space="0" w:color="00B0F0"/>
              <w:bottom w:val="single" w:sz="4" w:space="0" w:color="00B0F0"/>
            </w:tcBorders>
          </w:tcPr>
          <w:p w14:paraId="53352BA8" w14:textId="250698C7"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05" w:type="pct"/>
            <w:tcBorders>
              <w:top w:val="single" w:sz="4" w:space="0" w:color="00B0F0"/>
              <w:bottom w:val="single" w:sz="4" w:space="0" w:color="00B0F0"/>
            </w:tcBorders>
            <w:vAlign w:val="center"/>
          </w:tcPr>
          <w:p w14:paraId="39D89F0D" w14:textId="25607678"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A65A5D" w:rsidRPr="00751816" w14:paraId="7F19EB3E" w14:textId="77777777" w:rsidTr="00A65A5D">
        <w:trPr>
          <w:trHeight w:val="508"/>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1CBDC7EA" w14:textId="77777777" w:rsidR="00A65A5D" w:rsidRPr="00751816" w:rsidRDefault="00A65A5D" w:rsidP="001C016D">
            <w:pPr>
              <w:spacing w:before="120" w:after="120" w:line="240" w:lineRule="atLeast"/>
              <w:contextualSpacing/>
              <w:rPr>
                <w:rFonts w:ascii="Tahoma" w:hAnsi="Tahoma" w:cs="Tahoma"/>
                <w:sz w:val="20"/>
              </w:rPr>
            </w:pPr>
            <w:r>
              <w:rPr>
                <w:rFonts w:ascii="Tahoma" w:hAnsi="Tahoma" w:cs="Tahoma"/>
                <w:sz w:val="20"/>
              </w:rPr>
              <w:t xml:space="preserve">GSL payments </w:t>
            </w:r>
            <w:r w:rsidRPr="00751816">
              <w:rPr>
                <w:rFonts w:ascii="Tahoma" w:hAnsi="Tahoma" w:cs="Tahoma"/>
                <w:sz w:val="20"/>
              </w:rPr>
              <w:t xml:space="preserve"> </w:t>
            </w:r>
          </w:p>
        </w:tc>
        <w:tc>
          <w:tcPr>
            <w:tcW w:w="4269" w:type="pct"/>
            <w:gridSpan w:val="4"/>
            <w:tcBorders>
              <w:top w:val="single" w:sz="4" w:space="0" w:color="00B0F0"/>
              <w:bottom w:val="single" w:sz="4" w:space="0" w:color="00B0F0"/>
            </w:tcBorders>
            <w:vAlign w:val="center"/>
          </w:tcPr>
          <w:p w14:paraId="45F7F7F9" w14:textId="669B2CC1" w:rsidR="00A65A5D" w:rsidRPr="00751816" w:rsidRDefault="00A65A5D"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Limited has not incurred any expenditure related to GSL </w:t>
            </w:r>
            <w:r w:rsidR="00440C33">
              <w:rPr>
                <w:rFonts w:ascii="Tahoma" w:hAnsi="Tahoma" w:cs="Tahoma"/>
                <w:sz w:val="20"/>
              </w:rPr>
              <w:t xml:space="preserve">payments </w:t>
            </w:r>
            <w:r w:rsidR="002C316C">
              <w:rPr>
                <w:rFonts w:ascii="Tahoma" w:hAnsi="Tahoma" w:cs="Tahoma"/>
                <w:sz w:val="20"/>
              </w:rPr>
              <w:t xml:space="preserve">for AGN (SA) </w:t>
            </w:r>
            <w:r w:rsidR="003B2764">
              <w:rPr>
                <w:rFonts w:ascii="Tahoma" w:hAnsi="Tahoma" w:cs="Tahoma"/>
                <w:sz w:val="20"/>
              </w:rPr>
              <w:t>in 2019/20</w:t>
            </w:r>
            <w:r w:rsidR="00440C33">
              <w:rPr>
                <w:rFonts w:ascii="Tahoma" w:hAnsi="Tahoma" w:cs="Tahoma"/>
                <w:sz w:val="20"/>
              </w:rPr>
              <w:t xml:space="preserve"> and has historically never incurred GSL payments</w:t>
            </w:r>
            <w:r>
              <w:rPr>
                <w:rFonts w:ascii="Tahoma" w:hAnsi="Tahoma" w:cs="Tahoma"/>
                <w:sz w:val="20"/>
              </w:rPr>
              <w:t>.</w:t>
            </w:r>
          </w:p>
          <w:p w14:paraId="08EFC1D9" w14:textId="77777777" w:rsidR="008300C6" w:rsidRDefault="008300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DC08E25" w14:textId="6C5EA7F6" w:rsidR="008300C6" w:rsidRPr="00751816" w:rsidRDefault="008300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300C6">
              <w:rPr>
                <w:rFonts w:ascii="Tahoma" w:hAnsi="Tahoma" w:cs="Tahoma"/>
                <w:sz w:val="20"/>
              </w:rPr>
              <w:t>As such a ‘Null’ response is provided for this category of expenditure.</w:t>
            </w:r>
          </w:p>
        </w:tc>
      </w:tr>
      <w:tr w:rsidR="00BA4D12" w:rsidRPr="00751816" w14:paraId="7B5BD917" w14:textId="77777777" w:rsidTr="008300C6">
        <w:trPr>
          <w:trHeight w:val="508"/>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2062A682" w14:textId="77777777" w:rsidR="00BA4D12" w:rsidRPr="00751816" w:rsidRDefault="00BA4D12" w:rsidP="001C016D">
            <w:pPr>
              <w:spacing w:before="120" w:after="120" w:line="240" w:lineRule="atLeast"/>
              <w:contextualSpacing/>
              <w:rPr>
                <w:rFonts w:ascii="Tahoma" w:hAnsi="Tahoma" w:cs="Tahoma"/>
                <w:sz w:val="20"/>
              </w:rPr>
            </w:pPr>
            <w:r>
              <w:rPr>
                <w:rFonts w:ascii="Tahoma" w:hAnsi="Tahoma" w:cs="Tahoma"/>
                <w:sz w:val="20"/>
              </w:rPr>
              <w:lastRenderedPageBreak/>
              <w:t xml:space="preserve">Other Opex </w:t>
            </w:r>
            <w:r w:rsidRPr="00751816">
              <w:rPr>
                <w:rFonts w:ascii="Tahoma" w:hAnsi="Tahoma" w:cs="Tahoma"/>
                <w:sz w:val="20"/>
              </w:rPr>
              <w:t xml:space="preserve"> </w:t>
            </w:r>
          </w:p>
        </w:tc>
        <w:tc>
          <w:tcPr>
            <w:tcW w:w="1732" w:type="pct"/>
            <w:tcBorders>
              <w:top w:val="single" w:sz="4" w:space="0" w:color="00B0F0"/>
              <w:bottom w:val="single" w:sz="4" w:space="0" w:color="00B0F0"/>
            </w:tcBorders>
          </w:tcPr>
          <w:p w14:paraId="039A7BCF" w14:textId="09988482" w:rsidR="00BA4D12" w:rsidRDefault="00BA4D12"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61C74">
              <w:rPr>
                <w:rFonts w:ascii="Tahoma" w:hAnsi="Tahoma" w:cs="Tahoma"/>
                <w:sz w:val="20"/>
              </w:rPr>
              <w:t xml:space="preserve">The adjustments shown in </w:t>
            </w:r>
            <w:r>
              <w:rPr>
                <w:rFonts w:ascii="Tahoma" w:hAnsi="Tahoma" w:cs="Tahoma"/>
                <w:sz w:val="20"/>
              </w:rPr>
              <w:t xml:space="preserve">this </w:t>
            </w:r>
            <w:r w:rsidRPr="00861C74">
              <w:rPr>
                <w:rFonts w:ascii="Tahoma" w:hAnsi="Tahoma" w:cs="Tahoma"/>
                <w:sz w:val="20"/>
              </w:rPr>
              <w:t xml:space="preserve">table represent the differences between the </w:t>
            </w:r>
            <w:r w:rsidR="003B2764">
              <w:rPr>
                <w:rFonts w:ascii="Tahoma" w:hAnsi="Tahoma" w:cs="Tahoma"/>
                <w:sz w:val="20"/>
              </w:rPr>
              <w:t>AGN (SA) trial balance</w:t>
            </w:r>
            <w:r w:rsidRPr="00861C74">
              <w:rPr>
                <w:rFonts w:ascii="Tahoma" w:hAnsi="Tahoma" w:cs="Tahoma"/>
                <w:sz w:val="20"/>
              </w:rPr>
              <w:t xml:space="preserve"> and the relevant Opex amounts for </w:t>
            </w:r>
            <w:r w:rsidR="003B2764">
              <w:rPr>
                <w:rFonts w:ascii="Tahoma" w:hAnsi="Tahoma" w:cs="Tahoma"/>
                <w:sz w:val="20"/>
              </w:rPr>
              <w:t xml:space="preserve">the </w:t>
            </w:r>
            <w:r w:rsidRPr="00861C74">
              <w:rPr>
                <w:rFonts w:ascii="Tahoma" w:hAnsi="Tahoma" w:cs="Tahoma"/>
                <w:sz w:val="20"/>
              </w:rPr>
              <w:t xml:space="preserve">AGN (SA) </w:t>
            </w:r>
            <w:r w:rsidR="00440C33">
              <w:rPr>
                <w:rFonts w:ascii="Tahoma" w:hAnsi="Tahoma" w:cs="Tahoma"/>
                <w:sz w:val="20"/>
              </w:rPr>
              <w:t>D</w:t>
            </w:r>
            <w:r w:rsidR="003B2764">
              <w:rPr>
                <w:rFonts w:ascii="Tahoma" w:hAnsi="Tahoma" w:cs="Tahoma"/>
                <w:sz w:val="20"/>
              </w:rPr>
              <w:t xml:space="preserve">istribution </w:t>
            </w:r>
            <w:r w:rsidR="00440C33">
              <w:rPr>
                <w:rFonts w:ascii="Tahoma" w:hAnsi="Tahoma" w:cs="Tahoma"/>
                <w:sz w:val="20"/>
              </w:rPr>
              <w:t>B</w:t>
            </w:r>
            <w:r w:rsidR="003B2764">
              <w:rPr>
                <w:rFonts w:ascii="Tahoma" w:hAnsi="Tahoma" w:cs="Tahoma"/>
                <w:sz w:val="20"/>
              </w:rPr>
              <w:t xml:space="preserve">usiness </w:t>
            </w:r>
            <w:r w:rsidRPr="00861C74">
              <w:rPr>
                <w:rFonts w:ascii="Tahoma" w:hAnsi="Tahoma" w:cs="Tahoma"/>
                <w:sz w:val="20"/>
              </w:rPr>
              <w:t>which are reported in table F4.1.3 below.</w:t>
            </w:r>
          </w:p>
          <w:p w14:paraId="6F89BECE" w14:textId="77777777" w:rsidR="00BA4D12" w:rsidRDefault="00BA4D12"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88C589D" w14:textId="2E146277" w:rsidR="005F5B85" w:rsidRPr="00751816" w:rsidRDefault="005F5B85" w:rsidP="00440C3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Refer to the reconciliation schedule provided in </w:t>
            </w:r>
            <w:r w:rsidR="003830F5" w:rsidRPr="003830F5">
              <w:rPr>
                <w:rFonts w:ascii="Tahoma" w:hAnsi="Tahoma" w:cs="Tahoma"/>
                <w:sz w:val="20"/>
              </w:rPr>
              <w:t>Appendix F</w:t>
            </w:r>
            <w:r w:rsidR="003830F5">
              <w:rPr>
                <w:rFonts w:ascii="Tahoma" w:hAnsi="Tahoma" w:cs="Tahoma"/>
                <w:sz w:val="20"/>
              </w:rPr>
              <w:t xml:space="preserve"> </w:t>
            </w:r>
            <w:r>
              <w:rPr>
                <w:rFonts w:ascii="Tahoma" w:hAnsi="Tahoma" w:cs="Tahoma"/>
                <w:sz w:val="20"/>
              </w:rPr>
              <w:t xml:space="preserve">for an explanation of the adjustments made to determine the amounts reported in table F4.1.3 below for the SA Distribution </w:t>
            </w:r>
            <w:r w:rsidR="00440C33">
              <w:rPr>
                <w:rFonts w:ascii="Tahoma" w:hAnsi="Tahoma" w:cs="Tahoma"/>
                <w:sz w:val="20"/>
              </w:rPr>
              <w:t>B</w:t>
            </w:r>
            <w:r w:rsidR="003B2764">
              <w:rPr>
                <w:rFonts w:ascii="Tahoma" w:hAnsi="Tahoma" w:cs="Tahoma"/>
                <w:sz w:val="20"/>
              </w:rPr>
              <w:t>usiness</w:t>
            </w:r>
            <w:r>
              <w:rPr>
                <w:rFonts w:ascii="Tahoma" w:hAnsi="Tahoma" w:cs="Tahoma"/>
                <w:sz w:val="20"/>
              </w:rPr>
              <w:t xml:space="preserve">. </w:t>
            </w:r>
          </w:p>
        </w:tc>
        <w:tc>
          <w:tcPr>
            <w:tcW w:w="837" w:type="pct"/>
            <w:tcBorders>
              <w:top w:val="single" w:sz="4" w:space="0" w:color="00B0F0"/>
              <w:bottom w:val="single" w:sz="4" w:space="0" w:color="00B0F0"/>
            </w:tcBorders>
            <w:vAlign w:val="center"/>
          </w:tcPr>
          <w:p w14:paraId="3A967139" w14:textId="7907C6AA" w:rsidR="00BA4D12" w:rsidRPr="00751816" w:rsidRDefault="00BA4D12" w:rsidP="003B276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Actual </w:t>
            </w:r>
          </w:p>
        </w:tc>
        <w:tc>
          <w:tcPr>
            <w:tcW w:w="995" w:type="pct"/>
            <w:tcBorders>
              <w:top w:val="single" w:sz="4" w:space="0" w:color="00B0F0"/>
              <w:bottom w:val="single" w:sz="4" w:space="0" w:color="00B0F0"/>
            </w:tcBorders>
          </w:tcPr>
          <w:p w14:paraId="388274C5" w14:textId="7538F1DA"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05" w:type="pct"/>
            <w:tcBorders>
              <w:top w:val="single" w:sz="4" w:space="0" w:color="00B0F0"/>
              <w:bottom w:val="single" w:sz="4" w:space="0" w:color="00B0F0"/>
            </w:tcBorders>
            <w:vAlign w:val="center"/>
          </w:tcPr>
          <w:p w14:paraId="7FC673F7" w14:textId="25DCA59D" w:rsidR="00BA4D12" w:rsidRPr="00751816" w:rsidRDefault="00BA4D12"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0DA44C0F" w14:textId="77777777" w:rsidR="00BA4D12" w:rsidRPr="003B01CA" w:rsidRDefault="00BA4D12" w:rsidP="00BA4D12">
      <w:pPr>
        <w:rPr>
          <w:rFonts w:ascii="Tahoma" w:hAnsi="Tahoma" w:cs="Tahoma"/>
          <w:color w:val="00B0F0"/>
        </w:rPr>
      </w:pPr>
    </w:p>
    <w:p w14:paraId="51D5BB3F" w14:textId="37F0CE34" w:rsidR="00A235C0" w:rsidRDefault="00A235C0" w:rsidP="003B01CA">
      <w:pPr>
        <w:rPr>
          <w:rFonts w:ascii="Tahoma" w:hAnsi="Tahoma" w:cs="Tahoma"/>
          <w:color w:val="00B0F0"/>
        </w:rPr>
      </w:pPr>
      <w:r w:rsidRPr="003B01CA">
        <w:rPr>
          <w:rFonts w:ascii="Tahoma" w:hAnsi="Tahoma" w:cs="Tahoma"/>
          <w:color w:val="00B0F0"/>
        </w:rPr>
        <w:t xml:space="preserve">F4.1.3 – Distribution Business </w:t>
      </w:r>
    </w:p>
    <w:tbl>
      <w:tblPr>
        <w:tblStyle w:val="UETableStyle"/>
        <w:tblW w:w="4902"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2001"/>
        <w:gridCol w:w="4740"/>
        <w:gridCol w:w="2291"/>
        <w:gridCol w:w="2723"/>
        <w:gridCol w:w="1929"/>
      </w:tblGrid>
      <w:tr w:rsidR="00A17055" w:rsidRPr="00751816" w14:paraId="6C7E066C" w14:textId="77777777" w:rsidTr="001C016D">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42AE5633" w14:textId="77777777" w:rsidR="00A17055" w:rsidRPr="00751816" w:rsidRDefault="00A17055" w:rsidP="001C016D">
            <w:pPr>
              <w:rPr>
                <w:rFonts w:ascii="Tahoma" w:hAnsi="Tahoma" w:cs="Tahoma"/>
                <w:b/>
                <w:color w:val="FFFFFF"/>
                <w:sz w:val="20"/>
              </w:rPr>
            </w:pPr>
            <w:r w:rsidRPr="00751816">
              <w:rPr>
                <w:rFonts w:ascii="Tahoma" w:hAnsi="Tahoma" w:cs="Tahoma"/>
                <w:b/>
                <w:color w:val="FFFFFF"/>
                <w:sz w:val="20"/>
              </w:rPr>
              <w:t xml:space="preserve">Variable </w:t>
            </w:r>
          </w:p>
        </w:tc>
        <w:tc>
          <w:tcPr>
            <w:tcW w:w="1732" w:type="pct"/>
            <w:tcBorders>
              <w:bottom w:val="single" w:sz="4" w:space="0" w:color="00B0F0"/>
            </w:tcBorders>
            <w:shd w:val="clear" w:color="auto" w:fill="003C71"/>
          </w:tcPr>
          <w:p w14:paraId="476171BB" w14:textId="6C704C4E" w:rsidR="00A17055" w:rsidRPr="00751816" w:rsidRDefault="00A17055" w:rsidP="0066345E">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7" w:type="pct"/>
            <w:tcBorders>
              <w:bottom w:val="single" w:sz="4" w:space="0" w:color="00B0F0"/>
            </w:tcBorders>
            <w:shd w:val="clear" w:color="auto" w:fill="003C71"/>
          </w:tcPr>
          <w:p w14:paraId="0054F16C" w14:textId="77777777" w:rsidR="00A17055" w:rsidRPr="00751816" w:rsidRDefault="00A17055"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5" w:type="pct"/>
            <w:tcBorders>
              <w:bottom w:val="single" w:sz="4" w:space="0" w:color="00B0F0"/>
            </w:tcBorders>
            <w:shd w:val="clear" w:color="auto" w:fill="003C71"/>
          </w:tcPr>
          <w:p w14:paraId="55BE7195" w14:textId="77777777" w:rsidR="00A17055" w:rsidRPr="00751816" w:rsidRDefault="00A17055"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705" w:type="pct"/>
            <w:tcBorders>
              <w:bottom w:val="single" w:sz="4" w:space="0" w:color="00B0F0"/>
            </w:tcBorders>
            <w:shd w:val="clear" w:color="auto" w:fill="003C71"/>
          </w:tcPr>
          <w:p w14:paraId="06184790" w14:textId="77777777" w:rsidR="00A17055" w:rsidRPr="00751816" w:rsidRDefault="00A17055"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4B5E2E" w:rsidRPr="00751816" w14:paraId="264401CA" w14:textId="77777777" w:rsidTr="0066345E">
        <w:trPr>
          <w:trHeight w:val="431"/>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B0F0"/>
              <w:bottom w:val="single" w:sz="4" w:space="0" w:color="00B0F0"/>
            </w:tcBorders>
            <w:shd w:val="clear" w:color="auto" w:fill="00B0F0"/>
            <w:vAlign w:val="center"/>
          </w:tcPr>
          <w:p w14:paraId="6D263646" w14:textId="1CCA33AE" w:rsidR="004B5E2E" w:rsidRDefault="008418D3" w:rsidP="001C016D">
            <w:pPr>
              <w:spacing w:before="120" w:after="120" w:line="240" w:lineRule="atLeast"/>
              <w:contextualSpacing/>
              <w:rPr>
                <w:rFonts w:ascii="Tahoma" w:hAnsi="Tahoma" w:cs="Tahoma"/>
                <w:sz w:val="20"/>
              </w:rPr>
            </w:pPr>
            <w:r>
              <w:rPr>
                <w:rFonts w:ascii="Tahoma" w:hAnsi="Tahoma" w:cs="Tahoma"/>
                <w:sz w:val="20"/>
              </w:rPr>
              <w:t>2019/20</w:t>
            </w:r>
            <w:r w:rsidR="004B5E2E">
              <w:rPr>
                <w:rFonts w:ascii="Tahoma" w:hAnsi="Tahoma" w:cs="Tahoma"/>
                <w:sz w:val="20"/>
              </w:rPr>
              <w:t xml:space="preserve"> </w:t>
            </w:r>
          </w:p>
        </w:tc>
        <w:tc>
          <w:tcPr>
            <w:tcW w:w="0" w:type="pct"/>
            <w:gridSpan w:val="4"/>
            <w:tcBorders>
              <w:top w:val="single" w:sz="4" w:space="0" w:color="00B0F0"/>
              <w:bottom w:val="single" w:sz="4" w:space="0" w:color="00B0F0"/>
            </w:tcBorders>
            <w:shd w:val="clear" w:color="auto" w:fill="00B0F0"/>
            <w:vAlign w:val="center"/>
          </w:tcPr>
          <w:p w14:paraId="0AC798F7" w14:textId="3A3A569A" w:rsidR="008033BF" w:rsidRPr="00443597" w:rsidRDefault="004B5E2E" w:rsidP="00ED71C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color w:val="5B9BD5" w:themeColor="accent1"/>
                <w:sz w:val="20"/>
              </w:rPr>
            </w:pPr>
            <w:r w:rsidRPr="0066345E">
              <w:rPr>
                <w:rFonts w:ascii="Tahoma" w:hAnsi="Tahoma" w:cs="Tahoma"/>
                <w:i/>
                <w:sz w:val="20"/>
              </w:rPr>
              <w:t xml:space="preserve">The amounts reported in this table have been derived </w:t>
            </w:r>
            <w:r w:rsidR="003B2764">
              <w:rPr>
                <w:rFonts w:ascii="Tahoma" w:hAnsi="Tahoma" w:cs="Tahoma"/>
                <w:i/>
                <w:sz w:val="20"/>
              </w:rPr>
              <w:t>from the AGN (SA) trial balance</w:t>
            </w:r>
            <w:r w:rsidR="00ED71C4">
              <w:rPr>
                <w:rFonts w:ascii="Tahoma" w:hAnsi="Tahoma" w:cs="Tahoma"/>
                <w:sz w:val="20"/>
              </w:rPr>
              <w:t xml:space="preserve"> </w:t>
            </w:r>
            <w:r w:rsidR="00ED71C4" w:rsidRPr="00ED71C4">
              <w:rPr>
                <w:rFonts w:ascii="Tahoma" w:hAnsi="Tahoma" w:cs="Tahoma"/>
                <w:i/>
                <w:sz w:val="20"/>
              </w:rPr>
              <w:t>which has been audited as set out in Appendix G</w:t>
            </w:r>
            <w:r w:rsidR="008033BF">
              <w:rPr>
                <w:rFonts w:ascii="Tahoma" w:hAnsi="Tahoma" w:cs="Tahoma"/>
                <w:i/>
                <w:sz w:val="20"/>
              </w:rPr>
              <w:t xml:space="preserve">, with adjustments made which include a combination of removing unregulated SA expenditure items, </w:t>
            </w:r>
            <w:r w:rsidR="00440C33">
              <w:rPr>
                <w:rFonts w:ascii="Tahoma" w:hAnsi="Tahoma" w:cs="Tahoma"/>
                <w:i/>
                <w:sz w:val="20"/>
              </w:rPr>
              <w:t xml:space="preserve">allocating AGN Limited balances to AGN (SA) where appropriate, </w:t>
            </w:r>
            <w:r w:rsidR="008033BF">
              <w:rPr>
                <w:rFonts w:ascii="Tahoma" w:hAnsi="Tahoma" w:cs="Tahoma"/>
                <w:i/>
                <w:sz w:val="20"/>
              </w:rPr>
              <w:t xml:space="preserve">removing non-SA expenditure items and </w:t>
            </w:r>
            <w:r w:rsidR="00440C33">
              <w:rPr>
                <w:rFonts w:ascii="Tahoma" w:hAnsi="Tahoma" w:cs="Tahoma"/>
                <w:i/>
                <w:sz w:val="20"/>
              </w:rPr>
              <w:t xml:space="preserve">to reflect </w:t>
            </w:r>
            <w:r w:rsidR="008033BF">
              <w:rPr>
                <w:rFonts w:ascii="Tahoma" w:hAnsi="Tahoma" w:cs="Tahoma"/>
                <w:i/>
                <w:sz w:val="20"/>
              </w:rPr>
              <w:t xml:space="preserve">SA AA regulatory adjustments.  The expenditure reported in this table represents the expenditure for AGN (SA) in the categories shown in this RIN table, after applying the policies set out in the Regulatory Accounting Principles and Policies and Capitalisation Policy documents and the supplementary information provided (related to these documents) </w:t>
            </w:r>
            <w:r w:rsidR="00FD3BFF">
              <w:rPr>
                <w:rFonts w:ascii="Tahoma" w:hAnsi="Tahoma" w:cs="Tahoma"/>
                <w:i/>
                <w:sz w:val="20"/>
              </w:rPr>
              <w:t xml:space="preserve">in Appendix H of </w:t>
            </w:r>
            <w:r w:rsidR="008033BF">
              <w:rPr>
                <w:rFonts w:ascii="Tahoma" w:hAnsi="Tahoma" w:cs="Tahoma"/>
                <w:i/>
                <w:sz w:val="20"/>
              </w:rPr>
              <w:t xml:space="preserve">this </w:t>
            </w:r>
            <w:r w:rsidR="00FD3BFF">
              <w:rPr>
                <w:rFonts w:ascii="Tahoma" w:hAnsi="Tahoma" w:cs="Tahoma"/>
                <w:i/>
                <w:sz w:val="20"/>
              </w:rPr>
              <w:t>Basis of Preparation document</w:t>
            </w:r>
            <w:r w:rsidR="008033BF">
              <w:rPr>
                <w:rFonts w:ascii="Tahoma" w:hAnsi="Tahoma" w:cs="Tahoma"/>
                <w:i/>
                <w:sz w:val="20"/>
              </w:rPr>
              <w:t>.</w:t>
            </w:r>
          </w:p>
        </w:tc>
      </w:tr>
      <w:tr w:rsidR="00A17055" w:rsidRPr="00751816" w14:paraId="481C59A0" w14:textId="77777777" w:rsidTr="008300C6">
        <w:trPr>
          <w:trHeight w:val="431"/>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39C95665" w14:textId="77777777" w:rsidR="00A17055" w:rsidRPr="00751816" w:rsidRDefault="00A17055" w:rsidP="001C016D">
            <w:pPr>
              <w:spacing w:before="120" w:after="120" w:line="240" w:lineRule="atLeast"/>
              <w:contextualSpacing/>
              <w:rPr>
                <w:rFonts w:ascii="Tahoma" w:hAnsi="Tahoma" w:cs="Tahoma"/>
                <w:sz w:val="20"/>
              </w:rPr>
            </w:pPr>
            <w:r>
              <w:rPr>
                <w:rFonts w:ascii="Tahoma" w:hAnsi="Tahoma" w:cs="Tahoma"/>
                <w:sz w:val="20"/>
              </w:rPr>
              <w:t xml:space="preserve">Repairs and maintenance </w:t>
            </w:r>
          </w:p>
        </w:tc>
        <w:tc>
          <w:tcPr>
            <w:tcW w:w="1732" w:type="pct"/>
            <w:tcBorders>
              <w:top w:val="single" w:sz="4" w:space="0" w:color="00B0F0"/>
              <w:bottom w:val="single" w:sz="4" w:space="0" w:color="00B0F0"/>
            </w:tcBorders>
          </w:tcPr>
          <w:p w14:paraId="6A634578" w14:textId="392FEAA4" w:rsidR="00A17055" w:rsidRDefault="00A17055"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As set out in Appendix B to this Basis of Preparation document, all Repairs and Maintenance expenditure is incurred through an out-sourcing arrangement with APA (the OMA).  Detailed information about this expenditure is sourced from APA and it is also recorded at a summary level in AGN Limited’s own SAP General Ledger.  Regulatory reporting for each pipeline, including for AGN (SA) is underpinned by preparation of the Ring Fenced Accounts, as explained in Appendix B.</w:t>
            </w:r>
            <w:r w:rsidR="005F7A8D">
              <w:rPr>
                <w:rFonts w:ascii="Tahoma" w:hAnsi="Tahoma" w:cs="Tahoma"/>
                <w:sz w:val="20"/>
              </w:rPr>
              <w:t xml:space="preserve">  Expenditure information </w:t>
            </w:r>
            <w:r w:rsidR="005F7A8D">
              <w:rPr>
                <w:rFonts w:ascii="Tahoma" w:hAnsi="Tahoma" w:cs="Tahoma"/>
                <w:sz w:val="20"/>
              </w:rPr>
              <w:lastRenderedPageBreak/>
              <w:t>for AGN (SA) as shown in the Ring Fenced Accounts has been reconciled to the AGN (SA) trial balance.</w:t>
            </w:r>
          </w:p>
          <w:p w14:paraId="7D6D0BAB" w14:textId="77777777" w:rsidR="00A17055" w:rsidRDefault="00A17055"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B65A1B8" w14:textId="1E6EADA2" w:rsidR="00A17055" w:rsidRDefault="00A17055"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Expenditure for </w:t>
            </w:r>
            <w:r w:rsidR="005F7A8D">
              <w:rPr>
                <w:rFonts w:ascii="Tahoma" w:hAnsi="Tahoma" w:cs="Tahoma"/>
                <w:sz w:val="20"/>
              </w:rPr>
              <w:t>2019/20</w:t>
            </w:r>
            <w:r>
              <w:rPr>
                <w:rFonts w:ascii="Tahoma" w:hAnsi="Tahoma" w:cs="Tahoma"/>
                <w:sz w:val="20"/>
              </w:rPr>
              <w:t xml:space="preserve"> has been derived from the </w:t>
            </w:r>
            <w:r w:rsidR="005F7A8D">
              <w:rPr>
                <w:rFonts w:ascii="Tahoma" w:hAnsi="Tahoma" w:cs="Tahoma"/>
                <w:sz w:val="20"/>
              </w:rPr>
              <w:t xml:space="preserve">AGN (SA) trial balance </w:t>
            </w:r>
            <w:r w:rsidR="00F7305F">
              <w:rPr>
                <w:rFonts w:ascii="Tahoma" w:hAnsi="Tahoma" w:cs="Tahoma"/>
                <w:sz w:val="20"/>
              </w:rPr>
              <w:t xml:space="preserve">which has been audited as set out in Appendix G, </w:t>
            </w:r>
            <w:r w:rsidR="005F7A8D">
              <w:rPr>
                <w:rFonts w:ascii="Tahoma" w:hAnsi="Tahoma" w:cs="Tahoma"/>
                <w:sz w:val="20"/>
              </w:rPr>
              <w:t xml:space="preserve">with appropriate adjustments as reflected in the </w:t>
            </w:r>
            <w:r>
              <w:rPr>
                <w:rFonts w:ascii="Tahoma" w:hAnsi="Tahoma" w:cs="Tahoma"/>
                <w:sz w:val="20"/>
              </w:rPr>
              <w:t xml:space="preserve">Ring Fenced Accounts </w:t>
            </w:r>
            <w:r w:rsidR="00440C33">
              <w:rPr>
                <w:rFonts w:ascii="Tahoma" w:hAnsi="Tahoma" w:cs="Tahoma"/>
                <w:sz w:val="20"/>
              </w:rPr>
              <w:t>and any other applicable adjustments as outlined in th</w:t>
            </w:r>
            <w:r w:rsidR="00CF08A5">
              <w:rPr>
                <w:rFonts w:ascii="Tahoma" w:hAnsi="Tahoma" w:cs="Tahoma"/>
                <w:sz w:val="20"/>
              </w:rPr>
              <w:t>is</w:t>
            </w:r>
            <w:r w:rsidR="00440C33">
              <w:rPr>
                <w:rFonts w:ascii="Tahoma" w:hAnsi="Tahoma" w:cs="Tahoma"/>
                <w:sz w:val="20"/>
              </w:rPr>
              <w:t xml:space="preserve"> basis of preparation document</w:t>
            </w:r>
            <w:r>
              <w:rPr>
                <w:rFonts w:ascii="Tahoma" w:hAnsi="Tahoma" w:cs="Tahoma"/>
                <w:sz w:val="20"/>
              </w:rPr>
              <w:t xml:space="preserve">. </w:t>
            </w:r>
          </w:p>
          <w:p w14:paraId="64FA00C2" w14:textId="77777777" w:rsidR="00A17055" w:rsidRDefault="00A17055"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55A7A74" w14:textId="0BBA13D1" w:rsidR="00A17055" w:rsidRDefault="00A17055" w:rsidP="00BE77B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In preparing the Ring Fenced Accounts, there are cost allocations made in accordance with the CAM and regulatory accounting adjustments, as required by the Regulatory Accounting Principles and Policies document which are set out in more detail in Appendix E of this Basis of Preparation.  This includes adjustments for relevant expenditure which is capitalised for statutory accounting purposes but is treated as Opex for regulatory reporting.  These differences are in accordance with the policies </w:t>
            </w:r>
            <w:r w:rsidR="00BE77B7">
              <w:rPr>
                <w:rFonts w:ascii="Tahoma" w:hAnsi="Tahoma" w:cs="Tahoma"/>
                <w:sz w:val="20"/>
              </w:rPr>
              <w:t xml:space="preserve">previously </w:t>
            </w:r>
            <w:r>
              <w:rPr>
                <w:rFonts w:ascii="Tahoma" w:hAnsi="Tahoma" w:cs="Tahoma"/>
                <w:sz w:val="20"/>
              </w:rPr>
              <w:t xml:space="preserve">provided </w:t>
            </w:r>
            <w:r w:rsidR="00BE77B7">
              <w:rPr>
                <w:rFonts w:ascii="Tahoma" w:hAnsi="Tahoma" w:cs="Tahoma"/>
                <w:sz w:val="20"/>
              </w:rPr>
              <w:t>in recent</w:t>
            </w:r>
            <w:r>
              <w:rPr>
                <w:rFonts w:ascii="Tahoma" w:hAnsi="Tahoma" w:cs="Tahoma"/>
                <w:sz w:val="20"/>
              </w:rPr>
              <w:t xml:space="preserve"> RIN response</w:t>
            </w:r>
            <w:r w:rsidR="00BE77B7">
              <w:rPr>
                <w:rFonts w:ascii="Tahoma" w:hAnsi="Tahoma" w:cs="Tahoma"/>
                <w:sz w:val="20"/>
              </w:rPr>
              <w:t>s</w:t>
            </w:r>
            <w:r>
              <w:rPr>
                <w:rFonts w:ascii="Tahoma" w:hAnsi="Tahoma" w:cs="Tahoma"/>
                <w:sz w:val="20"/>
              </w:rPr>
              <w:t xml:space="preserve"> and consistent with relevant historical decisions by the AER.  </w:t>
            </w:r>
          </w:p>
          <w:p w14:paraId="5A7CBFB6" w14:textId="77777777" w:rsidR="00440C33" w:rsidRDefault="00440C33" w:rsidP="00BE77B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4AD0278" w14:textId="53C47B1C" w:rsidR="00440C33" w:rsidRPr="00751816" w:rsidRDefault="00440C33" w:rsidP="00BE77B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nature of expenditure reported as Repairs and Maintenance has been explained above in relation to table E1.2 – Opex (under E1. Expenditure Summary).</w:t>
            </w:r>
          </w:p>
        </w:tc>
        <w:tc>
          <w:tcPr>
            <w:tcW w:w="837" w:type="pct"/>
            <w:tcBorders>
              <w:top w:val="single" w:sz="4" w:space="0" w:color="00B0F0"/>
              <w:bottom w:val="single" w:sz="4" w:space="0" w:color="00B0F0"/>
            </w:tcBorders>
            <w:vAlign w:val="center"/>
          </w:tcPr>
          <w:p w14:paraId="06FB39E9" w14:textId="452E9AA2" w:rsidR="00A17055" w:rsidRPr="00751816" w:rsidRDefault="00A17055" w:rsidP="005F7A8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 xml:space="preserve">Actual </w:t>
            </w:r>
          </w:p>
        </w:tc>
        <w:tc>
          <w:tcPr>
            <w:tcW w:w="995" w:type="pct"/>
            <w:tcBorders>
              <w:top w:val="single" w:sz="4" w:space="0" w:color="00B0F0"/>
              <w:bottom w:val="single" w:sz="4" w:space="0" w:color="00B0F0"/>
            </w:tcBorders>
          </w:tcPr>
          <w:p w14:paraId="6EE96613" w14:textId="7939C4EC" w:rsidR="00A17055" w:rsidRPr="00751816" w:rsidRDefault="00A1705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05" w:type="pct"/>
            <w:tcBorders>
              <w:top w:val="single" w:sz="4" w:space="0" w:color="00B0F0"/>
              <w:bottom w:val="single" w:sz="4" w:space="0" w:color="00B0F0"/>
            </w:tcBorders>
            <w:vAlign w:val="center"/>
          </w:tcPr>
          <w:p w14:paraId="0AFDDD38" w14:textId="37FBC8D1" w:rsidR="00A17055" w:rsidRPr="00751816" w:rsidRDefault="00A1705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A17055" w:rsidRPr="00751816" w14:paraId="752F549B" w14:textId="77777777" w:rsidTr="001C016D">
        <w:trPr>
          <w:trHeight w:val="510"/>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02A73661" w14:textId="77777777" w:rsidR="00A17055" w:rsidRPr="00751816" w:rsidRDefault="00A17055" w:rsidP="001C016D">
            <w:pPr>
              <w:spacing w:before="120" w:after="120" w:line="240" w:lineRule="atLeast"/>
              <w:contextualSpacing/>
              <w:rPr>
                <w:rFonts w:ascii="Tahoma" w:hAnsi="Tahoma" w:cs="Tahoma"/>
                <w:sz w:val="20"/>
              </w:rPr>
            </w:pPr>
            <w:r>
              <w:rPr>
                <w:rFonts w:ascii="Tahoma" w:hAnsi="Tahoma" w:cs="Tahoma"/>
                <w:sz w:val="20"/>
              </w:rPr>
              <w:t xml:space="preserve">Marketing and retail incentives </w:t>
            </w:r>
            <w:r w:rsidRPr="00751816">
              <w:rPr>
                <w:rFonts w:ascii="Tahoma" w:hAnsi="Tahoma" w:cs="Tahoma"/>
                <w:sz w:val="20"/>
              </w:rPr>
              <w:t xml:space="preserve"> </w:t>
            </w:r>
          </w:p>
        </w:tc>
        <w:tc>
          <w:tcPr>
            <w:tcW w:w="1732" w:type="pct"/>
            <w:tcBorders>
              <w:top w:val="single" w:sz="4" w:space="0" w:color="00B0F0"/>
              <w:bottom w:val="single" w:sz="4" w:space="0" w:color="00B0F0"/>
            </w:tcBorders>
            <w:vAlign w:val="center"/>
          </w:tcPr>
          <w:p w14:paraId="20A2F230" w14:textId="4E862116" w:rsidR="00A17055" w:rsidRDefault="00A1705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Expenditure for </w:t>
            </w:r>
            <w:r w:rsidR="00BE77B7">
              <w:rPr>
                <w:rFonts w:ascii="Tahoma" w:hAnsi="Tahoma" w:cs="Tahoma"/>
                <w:sz w:val="20"/>
              </w:rPr>
              <w:t>2019/20</w:t>
            </w:r>
            <w:r>
              <w:rPr>
                <w:rFonts w:ascii="Tahoma" w:hAnsi="Tahoma" w:cs="Tahoma"/>
                <w:sz w:val="20"/>
              </w:rPr>
              <w:t xml:space="preserve"> has been derived from the </w:t>
            </w:r>
            <w:r w:rsidR="00BE77B7">
              <w:rPr>
                <w:rFonts w:ascii="Tahoma" w:hAnsi="Tahoma" w:cs="Tahoma"/>
                <w:sz w:val="20"/>
              </w:rPr>
              <w:t>AGN (SA) trial balance</w:t>
            </w:r>
            <w:r w:rsidR="00F7305F">
              <w:rPr>
                <w:rFonts w:ascii="Tahoma" w:hAnsi="Tahoma" w:cs="Tahoma"/>
                <w:sz w:val="20"/>
              </w:rPr>
              <w:t xml:space="preserve"> which has been audited as set out in Appendix G,</w:t>
            </w:r>
            <w:r w:rsidR="00BE77B7">
              <w:rPr>
                <w:rFonts w:ascii="Tahoma" w:hAnsi="Tahoma" w:cs="Tahoma"/>
                <w:sz w:val="20"/>
              </w:rPr>
              <w:t xml:space="preserve"> with appropriate adjustments as reflected in the </w:t>
            </w:r>
            <w:r>
              <w:rPr>
                <w:rFonts w:ascii="Tahoma" w:hAnsi="Tahoma" w:cs="Tahoma"/>
                <w:sz w:val="20"/>
              </w:rPr>
              <w:t xml:space="preserve">Ring Fenced Accounts </w:t>
            </w:r>
            <w:r w:rsidR="0093177F">
              <w:rPr>
                <w:rFonts w:ascii="Tahoma" w:hAnsi="Tahoma" w:cs="Tahoma"/>
                <w:sz w:val="20"/>
              </w:rPr>
              <w:t xml:space="preserve">and any other adjustments as outlined in this basis of </w:t>
            </w:r>
            <w:r w:rsidR="0093177F">
              <w:rPr>
                <w:rFonts w:ascii="Tahoma" w:hAnsi="Tahoma" w:cs="Tahoma"/>
                <w:sz w:val="20"/>
              </w:rPr>
              <w:lastRenderedPageBreak/>
              <w:t>preparation</w:t>
            </w:r>
            <w:r w:rsidR="009C010E">
              <w:rPr>
                <w:rFonts w:ascii="Tahoma" w:hAnsi="Tahoma" w:cs="Tahoma"/>
                <w:sz w:val="20"/>
              </w:rPr>
              <w:t xml:space="preserve"> document,</w:t>
            </w:r>
            <w:r w:rsidR="0093177F">
              <w:rPr>
                <w:rFonts w:ascii="Tahoma" w:hAnsi="Tahoma" w:cs="Tahoma"/>
                <w:sz w:val="20"/>
              </w:rPr>
              <w:t xml:space="preserve"> including with reference to the Regulatory Accounting Principles and Policies document</w:t>
            </w:r>
            <w:r>
              <w:rPr>
                <w:rFonts w:ascii="Tahoma" w:hAnsi="Tahoma" w:cs="Tahoma"/>
                <w:sz w:val="20"/>
              </w:rPr>
              <w:t xml:space="preserve">. </w:t>
            </w:r>
            <w:r w:rsidR="00342FA9">
              <w:rPr>
                <w:rFonts w:ascii="Tahoma" w:hAnsi="Tahoma" w:cs="Tahoma"/>
                <w:sz w:val="20"/>
              </w:rPr>
              <w:t xml:space="preserve">Marketing and Retail Incentives expenditure is also undertaken internally within AGN Limited (separately to activities provided by APA) and information about this expenditure is sourced from the SAP </w:t>
            </w:r>
            <w:r w:rsidR="00BE77B7">
              <w:rPr>
                <w:rFonts w:ascii="Tahoma" w:hAnsi="Tahoma" w:cs="Tahoma"/>
                <w:sz w:val="20"/>
              </w:rPr>
              <w:t>general ledger</w:t>
            </w:r>
            <w:r w:rsidR="00342FA9">
              <w:rPr>
                <w:rFonts w:ascii="Tahoma" w:hAnsi="Tahoma" w:cs="Tahoma"/>
                <w:sz w:val="20"/>
              </w:rPr>
              <w:t>.</w:t>
            </w:r>
          </w:p>
          <w:p w14:paraId="2631E552" w14:textId="77777777" w:rsidR="00A17055" w:rsidRDefault="00A1705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3373202" w14:textId="7F70EB67" w:rsidR="00A17055" w:rsidRPr="00751816" w:rsidRDefault="00A17055" w:rsidP="0093177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nature of expenditure </w:t>
            </w:r>
            <w:r w:rsidR="0093177F">
              <w:rPr>
                <w:rFonts w:ascii="Tahoma" w:hAnsi="Tahoma" w:cs="Tahoma"/>
                <w:sz w:val="20"/>
              </w:rPr>
              <w:t xml:space="preserve">reported </w:t>
            </w:r>
            <w:r>
              <w:rPr>
                <w:rFonts w:ascii="Tahoma" w:hAnsi="Tahoma" w:cs="Tahoma"/>
                <w:sz w:val="20"/>
              </w:rPr>
              <w:t>as Marketing and Retail Incentives has been explained above in relation to table E1.2 – Opex (under tab E1. Expenditure Summary).</w:t>
            </w:r>
          </w:p>
        </w:tc>
        <w:tc>
          <w:tcPr>
            <w:tcW w:w="837" w:type="pct"/>
            <w:tcBorders>
              <w:top w:val="single" w:sz="4" w:space="0" w:color="00B0F0"/>
              <w:bottom w:val="single" w:sz="4" w:space="0" w:color="00B0F0"/>
            </w:tcBorders>
            <w:vAlign w:val="center"/>
          </w:tcPr>
          <w:p w14:paraId="5959ED11" w14:textId="70E666D0" w:rsidR="00A17055" w:rsidRPr="00751816" w:rsidRDefault="00A17055" w:rsidP="00BE77B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 xml:space="preserve">Actual </w:t>
            </w:r>
          </w:p>
        </w:tc>
        <w:tc>
          <w:tcPr>
            <w:tcW w:w="995" w:type="pct"/>
            <w:tcBorders>
              <w:top w:val="single" w:sz="4" w:space="0" w:color="00B0F0"/>
              <w:bottom w:val="single" w:sz="4" w:space="0" w:color="00B0F0"/>
            </w:tcBorders>
          </w:tcPr>
          <w:p w14:paraId="69E880A9" w14:textId="2D5D0EA3" w:rsidR="00A17055" w:rsidRPr="00751816" w:rsidRDefault="00A1705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05" w:type="pct"/>
            <w:tcBorders>
              <w:top w:val="single" w:sz="4" w:space="0" w:color="00B0F0"/>
              <w:bottom w:val="single" w:sz="4" w:space="0" w:color="00B0F0"/>
            </w:tcBorders>
            <w:vAlign w:val="center"/>
          </w:tcPr>
          <w:p w14:paraId="179CCB48" w14:textId="3EAD0BC2" w:rsidR="00A17055" w:rsidRPr="00751816" w:rsidRDefault="00A1705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A17055" w:rsidRPr="00751816" w14:paraId="2368C840" w14:textId="77777777" w:rsidTr="001C016D">
        <w:trPr>
          <w:trHeight w:val="508"/>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33CDBB24" w14:textId="77777777" w:rsidR="00A17055" w:rsidRPr="00751816" w:rsidRDefault="00A17055" w:rsidP="001C016D">
            <w:pPr>
              <w:spacing w:before="120" w:after="120" w:line="240" w:lineRule="atLeast"/>
              <w:contextualSpacing/>
              <w:rPr>
                <w:rFonts w:ascii="Tahoma" w:hAnsi="Tahoma" w:cs="Tahoma"/>
                <w:sz w:val="20"/>
              </w:rPr>
            </w:pPr>
            <w:r>
              <w:rPr>
                <w:rFonts w:ascii="Tahoma" w:hAnsi="Tahoma" w:cs="Tahoma"/>
                <w:sz w:val="20"/>
              </w:rPr>
              <w:t xml:space="preserve">Debt raising </w:t>
            </w:r>
            <w:r w:rsidRPr="00751816">
              <w:rPr>
                <w:rFonts w:ascii="Tahoma" w:hAnsi="Tahoma" w:cs="Tahoma"/>
                <w:sz w:val="20"/>
              </w:rPr>
              <w:t xml:space="preserve"> </w:t>
            </w:r>
          </w:p>
        </w:tc>
        <w:tc>
          <w:tcPr>
            <w:tcW w:w="1732" w:type="pct"/>
            <w:tcBorders>
              <w:top w:val="single" w:sz="4" w:space="0" w:color="00B0F0"/>
              <w:bottom w:val="single" w:sz="4" w:space="0" w:color="00B0F0"/>
            </w:tcBorders>
            <w:vAlign w:val="center"/>
          </w:tcPr>
          <w:p w14:paraId="05D1437C" w14:textId="09551CA5" w:rsidR="00291A98" w:rsidRPr="005F0CAB" w:rsidRDefault="00F31B81"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As set out above in table F4.1.1, Debt raising costs forms part of Net finance expenses in AGN Limited’s Audited Statutory Accounts.  In order to report </w:t>
            </w:r>
            <w:r w:rsidR="006D0D2A">
              <w:rPr>
                <w:rFonts w:ascii="Tahoma" w:hAnsi="Tahoma" w:cs="Tahoma"/>
                <w:sz w:val="20"/>
              </w:rPr>
              <w:t>Debt raising costs</w:t>
            </w:r>
            <w:r>
              <w:rPr>
                <w:rFonts w:ascii="Tahoma" w:hAnsi="Tahoma" w:cs="Tahoma"/>
                <w:sz w:val="20"/>
              </w:rPr>
              <w:t xml:space="preserve"> expenditure figures for </w:t>
            </w:r>
            <w:r w:rsidR="00BE77B7">
              <w:rPr>
                <w:rFonts w:ascii="Tahoma" w:hAnsi="Tahoma" w:cs="Tahoma"/>
                <w:sz w:val="20"/>
              </w:rPr>
              <w:t>2019/20</w:t>
            </w:r>
            <w:r w:rsidRPr="005F0CAB">
              <w:rPr>
                <w:rFonts w:ascii="Tahoma" w:hAnsi="Tahoma" w:cs="Tahoma"/>
                <w:sz w:val="20"/>
              </w:rPr>
              <w:t xml:space="preserve">, reference was made to SAP </w:t>
            </w:r>
            <w:r w:rsidR="00BE77B7">
              <w:rPr>
                <w:rFonts w:ascii="Tahoma" w:hAnsi="Tahoma" w:cs="Tahoma"/>
                <w:sz w:val="20"/>
              </w:rPr>
              <w:t>general ledger</w:t>
            </w:r>
            <w:r w:rsidR="00BE77B7" w:rsidRPr="005F0CAB">
              <w:rPr>
                <w:rFonts w:ascii="Tahoma" w:hAnsi="Tahoma" w:cs="Tahoma"/>
                <w:sz w:val="20"/>
              </w:rPr>
              <w:t xml:space="preserve"> </w:t>
            </w:r>
            <w:r w:rsidRPr="005F0CAB">
              <w:rPr>
                <w:rFonts w:ascii="Tahoma" w:hAnsi="Tahoma" w:cs="Tahoma"/>
                <w:sz w:val="20"/>
              </w:rPr>
              <w:t>transaction reports and working papers maintained within the Treasury function of AGN Limited</w:t>
            </w:r>
            <w:r w:rsidR="0066345E" w:rsidRPr="005F0CAB">
              <w:rPr>
                <w:rFonts w:ascii="Tahoma" w:hAnsi="Tahoma" w:cs="Tahoma"/>
                <w:sz w:val="20"/>
              </w:rPr>
              <w:t xml:space="preserve"> which record related expenditure</w:t>
            </w:r>
            <w:r w:rsidRPr="005F0CAB">
              <w:rPr>
                <w:rFonts w:ascii="Tahoma" w:hAnsi="Tahoma" w:cs="Tahoma"/>
                <w:sz w:val="20"/>
              </w:rPr>
              <w:t>.</w:t>
            </w:r>
          </w:p>
          <w:p w14:paraId="493E6F8A" w14:textId="6C5FA1FE" w:rsidR="000023D6" w:rsidRPr="005F0CAB" w:rsidRDefault="000023D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64D0F6A" w14:textId="613792EA" w:rsidR="000023D6" w:rsidRDefault="000023D6" w:rsidP="000023D6">
            <w:pPr>
              <w:spacing w:before="0" w:after="0"/>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5F0CAB">
              <w:rPr>
                <w:rFonts w:ascii="Tahoma" w:hAnsi="Tahoma" w:cs="Tahoma"/>
                <w:sz w:val="20"/>
              </w:rPr>
              <w:t xml:space="preserve">AGN Limited manages its debt finance facilities for the group as a whole.  </w:t>
            </w:r>
            <w:r w:rsidR="002F7066">
              <w:rPr>
                <w:rFonts w:ascii="Tahoma" w:hAnsi="Tahoma" w:cs="Tahoma"/>
                <w:sz w:val="20"/>
              </w:rPr>
              <w:t xml:space="preserve"> As noted in Table E1.2.1 above, these costs are allocated on the basis of AGN (SA)’s assets as a percentage of AGN Limited’s total assets.  This includes an allocation to the unregulated assets in AGN (SA).</w:t>
            </w:r>
          </w:p>
          <w:p w14:paraId="2BD6786C" w14:textId="77777777" w:rsidR="000023D6" w:rsidRDefault="000023D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highlight w:val="yellow"/>
              </w:rPr>
            </w:pPr>
          </w:p>
          <w:p w14:paraId="38D37D27" w14:textId="52C08394" w:rsidR="00A17055" w:rsidRPr="00751816" w:rsidRDefault="00A17055" w:rsidP="0093177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nature of expenditure </w:t>
            </w:r>
            <w:r w:rsidR="0093177F">
              <w:rPr>
                <w:rFonts w:ascii="Tahoma" w:hAnsi="Tahoma" w:cs="Tahoma"/>
                <w:sz w:val="20"/>
              </w:rPr>
              <w:t xml:space="preserve">reported </w:t>
            </w:r>
            <w:r>
              <w:rPr>
                <w:rFonts w:ascii="Tahoma" w:hAnsi="Tahoma" w:cs="Tahoma"/>
                <w:sz w:val="20"/>
              </w:rPr>
              <w:t>as Debt Raising Costs has been explained above in relation to table E1.2 – Opex (under tab E1. Expenditure Summary).</w:t>
            </w:r>
          </w:p>
        </w:tc>
        <w:tc>
          <w:tcPr>
            <w:tcW w:w="837" w:type="pct"/>
            <w:tcBorders>
              <w:top w:val="single" w:sz="4" w:space="0" w:color="00B0F0"/>
              <w:bottom w:val="single" w:sz="4" w:space="0" w:color="00B0F0"/>
            </w:tcBorders>
            <w:vAlign w:val="center"/>
          </w:tcPr>
          <w:p w14:paraId="137A8E16" w14:textId="15BBCA82" w:rsidR="00A17055" w:rsidRPr="00751816" w:rsidRDefault="00A17055" w:rsidP="00BE77B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Actual </w:t>
            </w:r>
          </w:p>
        </w:tc>
        <w:tc>
          <w:tcPr>
            <w:tcW w:w="995" w:type="pct"/>
            <w:tcBorders>
              <w:top w:val="single" w:sz="4" w:space="0" w:color="00B0F0"/>
              <w:bottom w:val="single" w:sz="4" w:space="0" w:color="00B0F0"/>
            </w:tcBorders>
          </w:tcPr>
          <w:p w14:paraId="5FA9929E" w14:textId="491E9554" w:rsidR="00A17055" w:rsidRPr="00751816" w:rsidRDefault="00A1705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05" w:type="pct"/>
            <w:tcBorders>
              <w:top w:val="single" w:sz="4" w:space="0" w:color="00B0F0"/>
              <w:bottom w:val="single" w:sz="4" w:space="0" w:color="00B0F0"/>
            </w:tcBorders>
            <w:vAlign w:val="center"/>
          </w:tcPr>
          <w:p w14:paraId="076AB32F" w14:textId="6166A874" w:rsidR="00A17055" w:rsidRPr="00751816" w:rsidRDefault="00A1705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D45100" w:rsidRPr="00751816" w14:paraId="47B34AD2" w14:textId="77777777" w:rsidTr="00D45100">
        <w:trPr>
          <w:trHeight w:val="508"/>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05D6FF3E" w14:textId="77777777" w:rsidR="00D45100" w:rsidRPr="00751816" w:rsidRDefault="00D45100" w:rsidP="001C016D">
            <w:pPr>
              <w:spacing w:before="120" w:after="120" w:line="240" w:lineRule="atLeast"/>
              <w:contextualSpacing/>
              <w:rPr>
                <w:rFonts w:ascii="Tahoma" w:hAnsi="Tahoma" w:cs="Tahoma"/>
                <w:sz w:val="20"/>
              </w:rPr>
            </w:pPr>
            <w:r>
              <w:rPr>
                <w:rFonts w:ascii="Tahoma" w:hAnsi="Tahoma" w:cs="Tahoma"/>
                <w:sz w:val="20"/>
              </w:rPr>
              <w:lastRenderedPageBreak/>
              <w:t xml:space="preserve">Equity raising </w:t>
            </w:r>
          </w:p>
        </w:tc>
        <w:tc>
          <w:tcPr>
            <w:tcW w:w="4269" w:type="pct"/>
            <w:gridSpan w:val="4"/>
            <w:tcBorders>
              <w:top w:val="single" w:sz="4" w:space="0" w:color="00B0F0"/>
              <w:bottom w:val="single" w:sz="4" w:space="0" w:color="00B0F0"/>
            </w:tcBorders>
            <w:vAlign w:val="center"/>
          </w:tcPr>
          <w:p w14:paraId="4ABA0525" w14:textId="4051B991" w:rsidR="00D45100" w:rsidRPr="00751816" w:rsidRDefault="00D45100"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w:t>
            </w:r>
            <w:r w:rsidR="006D0D2A">
              <w:rPr>
                <w:rFonts w:ascii="Tahoma" w:hAnsi="Tahoma" w:cs="Tahoma"/>
                <w:sz w:val="20"/>
              </w:rPr>
              <w:t>Limited</w:t>
            </w:r>
            <w:r w:rsidR="00BE77B7">
              <w:rPr>
                <w:rFonts w:ascii="Tahoma" w:hAnsi="Tahoma" w:cs="Tahoma"/>
                <w:sz w:val="20"/>
              </w:rPr>
              <w:t xml:space="preserve"> </w:t>
            </w:r>
            <w:r>
              <w:rPr>
                <w:rFonts w:ascii="Tahoma" w:hAnsi="Tahoma" w:cs="Tahoma"/>
                <w:sz w:val="20"/>
              </w:rPr>
              <w:t xml:space="preserve">has not incurred any expenditure related to Equity Raising costs for </w:t>
            </w:r>
            <w:r w:rsidR="006D0D2A">
              <w:rPr>
                <w:rFonts w:ascii="Tahoma" w:hAnsi="Tahoma" w:cs="Tahoma"/>
                <w:sz w:val="20"/>
              </w:rPr>
              <w:t xml:space="preserve">AGN (SA) in </w:t>
            </w:r>
            <w:r w:rsidR="00BE77B7">
              <w:rPr>
                <w:rFonts w:ascii="Tahoma" w:hAnsi="Tahoma" w:cs="Tahoma"/>
                <w:sz w:val="20"/>
              </w:rPr>
              <w:t>2019/20</w:t>
            </w:r>
            <w:r w:rsidR="0093177F">
              <w:rPr>
                <w:rFonts w:ascii="Tahoma" w:hAnsi="Tahoma" w:cs="Tahoma"/>
                <w:sz w:val="20"/>
              </w:rPr>
              <w:t xml:space="preserve"> and under its current ownership does not incur Equity Raising costs</w:t>
            </w:r>
            <w:r>
              <w:rPr>
                <w:rFonts w:ascii="Tahoma" w:hAnsi="Tahoma" w:cs="Tahoma"/>
                <w:sz w:val="20"/>
              </w:rPr>
              <w:t>.</w:t>
            </w:r>
          </w:p>
          <w:p w14:paraId="093935E5" w14:textId="77777777" w:rsidR="008300C6" w:rsidRDefault="008300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0333635" w14:textId="3A92643D" w:rsidR="008300C6" w:rsidRPr="00751816" w:rsidRDefault="008300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300C6">
              <w:rPr>
                <w:rFonts w:ascii="Tahoma" w:hAnsi="Tahoma" w:cs="Tahoma"/>
                <w:sz w:val="20"/>
              </w:rPr>
              <w:t>As such a ‘Null’ response is provided for this category of expenditure.</w:t>
            </w:r>
          </w:p>
        </w:tc>
      </w:tr>
      <w:tr w:rsidR="00A17055" w:rsidRPr="00751816" w14:paraId="5DB2D363" w14:textId="77777777" w:rsidTr="008300C6">
        <w:trPr>
          <w:trHeight w:val="508"/>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444A43A4" w14:textId="77777777" w:rsidR="00A17055" w:rsidRPr="00751816" w:rsidRDefault="00A17055" w:rsidP="001C016D">
            <w:pPr>
              <w:spacing w:before="120" w:after="120" w:line="240" w:lineRule="atLeast"/>
              <w:contextualSpacing/>
              <w:rPr>
                <w:rFonts w:ascii="Tahoma" w:hAnsi="Tahoma" w:cs="Tahoma"/>
                <w:sz w:val="20"/>
              </w:rPr>
            </w:pPr>
            <w:r>
              <w:rPr>
                <w:rFonts w:ascii="Tahoma" w:hAnsi="Tahoma" w:cs="Tahoma"/>
                <w:sz w:val="20"/>
              </w:rPr>
              <w:t xml:space="preserve">Unaccounted for gas </w:t>
            </w:r>
            <w:r w:rsidRPr="00751816">
              <w:rPr>
                <w:rFonts w:ascii="Tahoma" w:hAnsi="Tahoma" w:cs="Tahoma"/>
                <w:sz w:val="20"/>
              </w:rPr>
              <w:t xml:space="preserve"> </w:t>
            </w:r>
          </w:p>
        </w:tc>
        <w:tc>
          <w:tcPr>
            <w:tcW w:w="1732" w:type="pct"/>
            <w:tcBorders>
              <w:top w:val="single" w:sz="4" w:space="0" w:color="00B0F0"/>
              <w:bottom w:val="single" w:sz="4" w:space="0" w:color="00B0F0"/>
            </w:tcBorders>
          </w:tcPr>
          <w:p w14:paraId="3825E40E" w14:textId="3EA53158" w:rsidR="00A17055" w:rsidRDefault="00A17055"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Expenditure for </w:t>
            </w:r>
            <w:r w:rsidR="00BE77B7">
              <w:rPr>
                <w:rFonts w:ascii="Tahoma" w:hAnsi="Tahoma" w:cs="Tahoma"/>
                <w:sz w:val="20"/>
              </w:rPr>
              <w:t>2019/20</w:t>
            </w:r>
            <w:r>
              <w:rPr>
                <w:rFonts w:ascii="Tahoma" w:hAnsi="Tahoma" w:cs="Tahoma"/>
                <w:sz w:val="20"/>
              </w:rPr>
              <w:t xml:space="preserve"> has been derived from the </w:t>
            </w:r>
            <w:r w:rsidR="00BE77B7">
              <w:rPr>
                <w:rFonts w:ascii="Tahoma" w:hAnsi="Tahoma" w:cs="Tahoma"/>
                <w:sz w:val="20"/>
              </w:rPr>
              <w:t>AGN (SA) trial balance</w:t>
            </w:r>
            <w:r w:rsidR="00F7305F">
              <w:rPr>
                <w:rFonts w:ascii="Tahoma" w:hAnsi="Tahoma" w:cs="Tahoma"/>
                <w:sz w:val="20"/>
              </w:rPr>
              <w:t xml:space="preserve"> which has been audited as set out in Appendix G,</w:t>
            </w:r>
            <w:r w:rsidR="00BE77B7">
              <w:rPr>
                <w:rFonts w:ascii="Tahoma" w:hAnsi="Tahoma" w:cs="Tahoma"/>
                <w:sz w:val="20"/>
              </w:rPr>
              <w:t xml:space="preserve"> with appropriate adjustments as reflected in the </w:t>
            </w:r>
            <w:r>
              <w:rPr>
                <w:rFonts w:ascii="Tahoma" w:hAnsi="Tahoma" w:cs="Tahoma"/>
                <w:sz w:val="20"/>
              </w:rPr>
              <w:t xml:space="preserve">Ring Fenced Accounts. </w:t>
            </w:r>
          </w:p>
          <w:p w14:paraId="20AABDF0" w14:textId="77777777" w:rsidR="00A17055" w:rsidRDefault="00A17055"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highlight w:val="yellow"/>
              </w:rPr>
            </w:pPr>
          </w:p>
          <w:p w14:paraId="6B991313" w14:textId="5C73A0FF" w:rsidR="00A17055" w:rsidRPr="00751816" w:rsidRDefault="00A17055" w:rsidP="0093177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 nature of expenditure </w:t>
            </w:r>
            <w:r w:rsidR="0093177F">
              <w:rPr>
                <w:rFonts w:ascii="Tahoma" w:hAnsi="Tahoma" w:cs="Tahoma"/>
                <w:sz w:val="20"/>
              </w:rPr>
              <w:t xml:space="preserve">reported </w:t>
            </w:r>
            <w:r>
              <w:rPr>
                <w:rFonts w:ascii="Tahoma" w:hAnsi="Tahoma" w:cs="Tahoma"/>
                <w:sz w:val="20"/>
              </w:rPr>
              <w:t>as Unaccounted for Gas has been explained above in relation to table E1.2 – Opex (under tab E1. Expenditure Summary).</w:t>
            </w:r>
          </w:p>
        </w:tc>
        <w:tc>
          <w:tcPr>
            <w:tcW w:w="837" w:type="pct"/>
            <w:tcBorders>
              <w:top w:val="single" w:sz="4" w:space="0" w:color="00B0F0"/>
              <w:bottom w:val="single" w:sz="4" w:space="0" w:color="00B0F0"/>
            </w:tcBorders>
            <w:vAlign w:val="center"/>
          </w:tcPr>
          <w:p w14:paraId="77B2CDA4" w14:textId="697AF5DF" w:rsidR="00A17055" w:rsidRPr="00751816" w:rsidRDefault="00A17055" w:rsidP="00B77F9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Actual </w:t>
            </w:r>
          </w:p>
        </w:tc>
        <w:tc>
          <w:tcPr>
            <w:tcW w:w="995" w:type="pct"/>
            <w:tcBorders>
              <w:top w:val="single" w:sz="4" w:space="0" w:color="00B0F0"/>
              <w:bottom w:val="single" w:sz="4" w:space="0" w:color="00B0F0"/>
            </w:tcBorders>
          </w:tcPr>
          <w:p w14:paraId="2187F302" w14:textId="21E353D7" w:rsidR="00A17055" w:rsidRPr="00751816" w:rsidRDefault="00A1705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05" w:type="pct"/>
            <w:tcBorders>
              <w:top w:val="single" w:sz="4" w:space="0" w:color="00B0F0"/>
              <w:bottom w:val="single" w:sz="4" w:space="0" w:color="00B0F0"/>
            </w:tcBorders>
            <w:vAlign w:val="center"/>
          </w:tcPr>
          <w:p w14:paraId="778252E3" w14:textId="02F705D9" w:rsidR="00A17055" w:rsidRPr="00751816" w:rsidRDefault="00A1705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A17055" w:rsidRPr="00751816" w14:paraId="7C568D59" w14:textId="77777777" w:rsidTr="001C016D">
        <w:trPr>
          <w:trHeight w:val="508"/>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30645FCC" w14:textId="77777777" w:rsidR="00A17055" w:rsidRPr="00751816" w:rsidRDefault="00A17055" w:rsidP="001C016D">
            <w:pPr>
              <w:spacing w:before="120" w:after="120" w:line="240" w:lineRule="atLeast"/>
              <w:contextualSpacing/>
              <w:rPr>
                <w:rFonts w:ascii="Tahoma" w:hAnsi="Tahoma" w:cs="Tahoma"/>
                <w:sz w:val="20"/>
              </w:rPr>
            </w:pPr>
            <w:r>
              <w:rPr>
                <w:rFonts w:ascii="Tahoma" w:hAnsi="Tahoma" w:cs="Tahoma"/>
                <w:sz w:val="20"/>
              </w:rPr>
              <w:t>Jurisdictional charges</w:t>
            </w:r>
          </w:p>
        </w:tc>
        <w:tc>
          <w:tcPr>
            <w:tcW w:w="1732" w:type="pct"/>
            <w:tcBorders>
              <w:top w:val="single" w:sz="4" w:space="0" w:color="00B0F0"/>
              <w:bottom w:val="single" w:sz="4" w:space="0" w:color="00B0F0"/>
            </w:tcBorders>
            <w:vAlign w:val="center"/>
          </w:tcPr>
          <w:p w14:paraId="4B9456F8" w14:textId="0193A5AD" w:rsidR="00A17055" w:rsidRDefault="00A1705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Expenditure for </w:t>
            </w:r>
            <w:r w:rsidR="00F260BB">
              <w:rPr>
                <w:rFonts w:ascii="Tahoma" w:hAnsi="Tahoma" w:cs="Tahoma"/>
                <w:sz w:val="20"/>
              </w:rPr>
              <w:t>2019/20</w:t>
            </w:r>
            <w:r>
              <w:rPr>
                <w:rFonts w:ascii="Tahoma" w:hAnsi="Tahoma" w:cs="Tahoma"/>
                <w:sz w:val="20"/>
              </w:rPr>
              <w:t xml:space="preserve"> has been derived from </w:t>
            </w:r>
            <w:r w:rsidR="00F260BB">
              <w:rPr>
                <w:rFonts w:ascii="Tahoma" w:hAnsi="Tahoma" w:cs="Tahoma"/>
                <w:sz w:val="20"/>
              </w:rPr>
              <w:t>the AGN (SA) trial balance</w:t>
            </w:r>
            <w:r w:rsidR="00F7305F">
              <w:rPr>
                <w:rFonts w:ascii="Tahoma" w:hAnsi="Tahoma" w:cs="Tahoma"/>
                <w:sz w:val="20"/>
              </w:rPr>
              <w:t xml:space="preserve"> which has been audited as set out in Appendix G,</w:t>
            </w:r>
            <w:r w:rsidR="00F260BB">
              <w:rPr>
                <w:rFonts w:ascii="Tahoma" w:hAnsi="Tahoma" w:cs="Tahoma"/>
                <w:sz w:val="20"/>
              </w:rPr>
              <w:t xml:space="preserve"> with </w:t>
            </w:r>
            <w:r w:rsidR="0093177F">
              <w:rPr>
                <w:rFonts w:ascii="Tahoma" w:hAnsi="Tahoma" w:cs="Tahoma"/>
                <w:sz w:val="20"/>
              </w:rPr>
              <w:t xml:space="preserve">appropriate adjustments as reflected in the Ring Fenced Accounts (i.e. </w:t>
            </w:r>
            <w:r w:rsidR="009C010E">
              <w:rPr>
                <w:rFonts w:ascii="Tahoma" w:hAnsi="Tahoma" w:cs="Tahoma"/>
                <w:sz w:val="20"/>
              </w:rPr>
              <w:t xml:space="preserve">to </w:t>
            </w:r>
            <w:r w:rsidR="00F260BB">
              <w:rPr>
                <w:rFonts w:ascii="Tahoma" w:hAnsi="Tahoma" w:cs="Tahoma"/>
                <w:sz w:val="20"/>
              </w:rPr>
              <w:t xml:space="preserve">deduct an allocation of costs to </w:t>
            </w:r>
            <w:r w:rsidR="0093177F">
              <w:rPr>
                <w:rFonts w:ascii="Tahoma" w:hAnsi="Tahoma" w:cs="Tahoma"/>
                <w:sz w:val="20"/>
              </w:rPr>
              <w:t xml:space="preserve">AGN (SA) </w:t>
            </w:r>
            <w:r w:rsidR="00F260BB">
              <w:rPr>
                <w:rFonts w:ascii="Tahoma" w:hAnsi="Tahoma" w:cs="Tahoma"/>
                <w:sz w:val="20"/>
              </w:rPr>
              <w:t>unregulated businesses)</w:t>
            </w:r>
            <w:r>
              <w:rPr>
                <w:rFonts w:ascii="Tahoma" w:hAnsi="Tahoma" w:cs="Tahoma"/>
                <w:sz w:val="20"/>
              </w:rPr>
              <w:t xml:space="preserve">. </w:t>
            </w:r>
          </w:p>
          <w:p w14:paraId="14D933ED" w14:textId="77777777" w:rsidR="00A17055" w:rsidRDefault="00A1705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8F86AF8" w14:textId="63C76D0E" w:rsidR="00A17055" w:rsidRPr="00751816" w:rsidRDefault="00A17055" w:rsidP="008300C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nature of expenditure recorded as Jurisdictional Charges has been explained above in relation to table E1.2 – Opex (under tab E1. Expenditure Summary).</w:t>
            </w:r>
          </w:p>
        </w:tc>
        <w:tc>
          <w:tcPr>
            <w:tcW w:w="837" w:type="pct"/>
            <w:tcBorders>
              <w:top w:val="single" w:sz="4" w:space="0" w:color="00B0F0"/>
              <w:bottom w:val="single" w:sz="4" w:space="0" w:color="00B0F0"/>
            </w:tcBorders>
            <w:vAlign w:val="center"/>
          </w:tcPr>
          <w:p w14:paraId="3035778B" w14:textId="5FC72868" w:rsidR="00A17055" w:rsidRPr="00751816" w:rsidRDefault="00A17055" w:rsidP="00F260B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Actual </w:t>
            </w:r>
          </w:p>
        </w:tc>
        <w:tc>
          <w:tcPr>
            <w:tcW w:w="995" w:type="pct"/>
            <w:tcBorders>
              <w:top w:val="single" w:sz="4" w:space="0" w:color="00B0F0"/>
              <w:bottom w:val="single" w:sz="4" w:space="0" w:color="00B0F0"/>
            </w:tcBorders>
          </w:tcPr>
          <w:p w14:paraId="0E37EC1C" w14:textId="18C870C1" w:rsidR="00A17055" w:rsidRPr="00751816" w:rsidRDefault="00A1705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05" w:type="pct"/>
            <w:tcBorders>
              <w:top w:val="single" w:sz="4" w:space="0" w:color="00B0F0"/>
              <w:bottom w:val="single" w:sz="4" w:space="0" w:color="00B0F0"/>
            </w:tcBorders>
            <w:vAlign w:val="center"/>
          </w:tcPr>
          <w:p w14:paraId="1269B522" w14:textId="27F499A2" w:rsidR="00A17055" w:rsidRPr="00751816" w:rsidRDefault="00A1705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D45100" w:rsidRPr="00751816" w14:paraId="6031F895" w14:textId="77777777" w:rsidTr="00D45100">
        <w:trPr>
          <w:trHeight w:val="508"/>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1F7991C9" w14:textId="77777777" w:rsidR="00D45100" w:rsidRPr="00751816" w:rsidRDefault="00D45100" w:rsidP="001C016D">
            <w:pPr>
              <w:spacing w:before="120" w:after="120" w:line="240" w:lineRule="atLeast"/>
              <w:contextualSpacing/>
              <w:rPr>
                <w:rFonts w:ascii="Tahoma" w:hAnsi="Tahoma" w:cs="Tahoma"/>
                <w:sz w:val="20"/>
              </w:rPr>
            </w:pPr>
            <w:r>
              <w:rPr>
                <w:rFonts w:ascii="Tahoma" w:hAnsi="Tahoma" w:cs="Tahoma"/>
                <w:sz w:val="20"/>
              </w:rPr>
              <w:t xml:space="preserve">GSL payments </w:t>
            </w:r>
            <w:r w:rsidRPr="00751816">
              <w:rPr>
                <w:rFonts w:ascii="Tahoma" w:hAnsi="Tahoma" w:cs="Tahoma"/>
                <w:sz w:val="20"/>
              </w:rPr>
              <w:t xml:space="preserve"> </w:t>
            </w:r>
          </w:p>
        </w:tc>
        <w:tc>
          <w:tcPr>
            <w:tcW w:w="4269" w:type="pct"/>
            <w:gridSpan w:val="4"/>
            <w:tcBorders>
              <w:top w:val="single" w:sz="4" w:space="0" w:color="00B0F0"/>
              <w:bottom w:val="single" w:sz="4" w:space="0" w:color="00B0F0"/>
            </w:tcBorders>
            <w:vAlign w:val="center"/>
          </w:tcPr>
          <w:p w14:paraId="099A5233" w14:textId="64A88EE5" w:rsidR="00D45100" w:rsidRPr="00751816" w:rsidRDefault="00D45100"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w:t>
            </w:r>
            <w:r w:rsidR="00FE114A">
              <w:rPr>
                <w:rFonts w:ascii="Tahoma" w:hAnsi="Tahoma" w:cs="Tahoma"/>
                <w:sz w:val="20"/>
              </w:rPr>
              <w:t xml:space="preserve">Limited </w:t>
            </w:r>
            <w:r>
              <w:rPr>
                <w:rFonts w:ascii="Tahoma" w:hAnsi="Tahoma" w:cs="Tahoma"/>
                <w:sz w:val="20"/>
              </w:rPr>
              <w:t xml:space="preserve">has not incurred any expenditure related to GSL payments for </w:t>
            </w:r>
            <w:r w:rsidR="00FE114A">
              <w:rPr>
                <w:rFonts w:ascii="Tahoma" w:hAnsi="Tahoma" w:cs="Tahoma"/>
                <w:sz w:val="20"/>
              </w:rPr>
              <w:t xml:space="preserve">AGN (SA) in </w:t>
            </w:r>
            <w:r w:rsidR="00143CCA">
              <w:rPr>
                <w:rFonts w:ascii="Tahoma" w:hAnsi="Tahoma" w:cs="Tahoma"/>
                <w:sz w:val="20"/>
              </w:rPr>
              <w:t>2019/20</w:t>
            </w:r>
            <w:r w:rsidR="00023726">
              <w:rPr>
                <w:rFonts w:ascii="Tahoma" w:hAnsi="Tahoma" w:cs="Tahoma"/>
                <w:sz w:val="20"/>
              </w:rPr>
              <w:t xml:space="preserve"> and has historically never incurred GSL payments</w:t>
            </w:r>
            <w:r>
              <w:rPr>
                <w:rFonts w:ascii="Tahoma" w:hAnsi="Tahoma" w:cs="Tahoma"/>
                <w:sz w:val="20"/>
              </w:rPr>
              <w:t>.</w:t>
            </w:r>
          </w:p>
          <w:p w14:paraId="76705177" w14:textId="77777777" w:rsidR="008300C6" w:rsidRDefault="008300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49C6DED" w14:textId="0ECAC984" w:rsidR="008300C6" w:rsidRPr="00751816" w:rsidRDefault="008300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300C6">
              <w:rPr>
                <w:rFonts w:ascii="Tahoma" w:hAnsi="Tahoma" w:cs="Tahoma"/>
                <w:sz w:val="20"/>
              </w:rPr>
              <w:t>As such a ‘Null’ response is provided for this category of expenditure.</w:t>
            </w:r>
          </w:p>
        </w:tc>
      </w:tr>
      <w:tr w:rsidR="00A17055" w:rsidRPr="00751816" w14:paraId="1061126A" w14:textId="77777777" w:rsidTr="001C016D">
        <w:trPr>
          <w:trHeight w:val="508"/>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781A6403" w14:textId="127A3C84" w:rsidR="00A17055" w:rsidRPr="00751816" w:rsidRDefault="00A17055" w:rsidP="001C016D">
            <w:pPr>
              <w:spacing w:before="120" w:after="120" w:line="240" w:lineRule="atLeast"/>
              <w:contextualSpacing/>
              <w:rPr>
                <w:rFonts w:ascii="Tahoma" w:hAnsi="Tahoma" w:cs="Tahoma"/>
                <w:sz w:val="20"/>
              </w:rPr>
            </w:pPr>
            <w:r>
              <w:rPr>
                <w:rFonts w:ascii="Tahoma" w:hAnsi="Tahoma" w:cs="Tahoma"/>
                <w:sz w:val="20"/>
              </w:rPr>
              <w:t xml:space="preserve">Other Opex </w:t>
            </w:r>
            <w:r w:rsidRPr="00751816">
              <w:rPr>
                <w:rFonts w:ascii="Tahoma" w:hAnsi="Tahoma" w:cs="Tahoma"/>
                <w:sz w:val="20"/>
              </w:rPr>
              <w:t xml:space="preserve"> </w:t>
            </w:r>
          </w:p>
        </w:tc>
        <w:tc>
          <w:tcPr>
            <w:tcW w:w="1732" w:type="pct"/>
            <w:tcBorders>
              <w:top w:val="single" w:sz="4" w:space="0" w:color="00B0F0"/>
              <w:bottom w:val="single" w:sz="4" w:space="0" w:color="00B0F0"/>
            </w:tcBorders>
            <w:vAlign w:val="center"/>
          </w:tcPr>
          <w:p w14:paraId="5FA393D2" w14:textId="6B20FFB7" w:rsidR="00A17055" w:rsidRDefault="00A1705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Expenditure for </w:t>
            </w:r>
            <w:r w:rsidR="00DE4F2F">
              <w:rPr>
                <w:rFonts w:ascii="Tahoma" w:hAnsi="Tahoma" w:cs="Tahoma"/>
                <w:sz w:val="20"/>
              </w:rPr>
              <w:t>2019/20</w:t>
            </w:r>
            <w:r>
              <w:rPr>
                <w:rFonts w:ascii="Tahoma" w:hAnsi="Tahoma" w:cs="Tahoma"/>
                <w:sz w:val="20"/>
              </w:rPr>
              <w:t xml:space="preserve"> has been derived from </w:t>
            </w:r>
            <w:r w:rsidR="00DE4F2F">
              <w:rPr>
                <w:rFonts w:ascii="Tahoma" w:hAnsi="Tahoma" w:cs="Tahoma"/>
                <w:sz w:val="20"/>
              </w:rPr>
              <w:t>the AGN (SA) trial balance</w:t>
            </w:r>
            <w:r w:rsidR="00F7305F">
              <w:rPr>
                <w:rFonts w:ascii="Tahoma" w:hAnsi="Tahoma" w:cs="Tahoma"/>
                <w:sz w:val="20"/>
              </w:rPr>
              <w:t xml:space="preserve"> which has been audited as set out in Appendix G</w:t>
            </w:r>
            <w:r w:rsidR="00DE4F2F">
              <w:rPr>
                <w:rFonts w:ascii="Tahoma" w:hAnsi="Tahoma" w:cs="Tahoma"/>
                <w:sz w:val="20"/>
              </w:rPr>
              <w:t xml:space="preserve">, </w:t>
            </w:r>
            <w:r w:rsidR="00342FA9">
              <w:rPr>
                <w:rFonts w:ascii="Tahoma" w:hAnsi="Tahoma" w:cs="Tahoma"/>
                <w:sz w:val="20"/>
              </w:rPr>
              <w:t xml:space="preserve">AGN Limited’s SAP </w:t>
            </w:r>
            <w:r w:rsidR="00DE4F2F">
              <w:rPr>
                <w:rFonts w:ascii="Tahoma" w:hAnsi="Tahoma" w:cs="Tahoma"/>
                <w:sz w:val="20"/>
              </w:rPr>
              <w:t xml:space="preserve">general </w:t>
            </w:r>
            <w:r w:rsidR="00DE4F2F">
              <w:rPr>
                <w:rFonts w:ascii="Tahoma" w:hAnsi="Tahoma" w:cs="Tahoma"/>
                <w:sz w:val="20"/>
              </w:rPr>
              <w:lastRenderedPageBreak/>
              <w:t>ledger and the cost allocation processes set out in the CAM which are in place to allocate shared AGN Limited costs to AGN (SA)</w:t>
            </w:r>
            <w:r>
              <w:rPr>
                <w:rFonts w:ascii="Tahoma" w:hAnsi="Tahoma" w:cs="Tahoma"/>
                <w:sz w:val="20"/>
              </w:rPr>
              <w:t>.</w:t>
            </w:r>
            <w:r w:rsidR="00DE4F2F">
              <w:rPr>
                <w:rFonts w:ascii="Tahoma" w:hAnsi="Tahoma" w:cs="Tahoma"/>
                <w:sz w:val="20"/>
              </w:rPr>
              <w:t xml:space="preserve">  This includes separately allocating costs to AGN (SA)’s regulated and unregulated businesses.</w:t>
            </w:r>
            <w:r>
              <w:rPr>
                <w:rFonts w:ascii="Tahoma" w:hAnsi="Tahoma" w:cs="Tahoma"/>
                <w:sz w:val="20"/>
              </w:rPr>
              <w:t xml:space="preserve"> </w:t>
            </w:r>
          </w:p>
          <w:p w14:paraId="216ABA7B" w14:textId="77777777" w:rsidR="00A17055" w:rsidRDefault="00A1705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2DFB6D0" w14:textId="18DFB35D" w:rsidR="00A17055" w:rsidRPr="00751816" w:rsidRDefault="00A17055" w:rsidP="00570869">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Other Opex comprises AGN </w:t>
            </w:r>
            <w:r w:rsidR="00DE4F2F">
              <w:rPr>
                <w:rFonts w:ascii="Tahoma" w:hAnsi="Tahoma" w:cs="Tahoma"/>
                <w:sz w:val="20"/>
              </w:rPr>
              <w:t xml:space="preserve">(SA)’s </w:t>
            </w:r>
            <w:r>
              <w:rPr>
                <w:rFonts w:ascii="Tahoma" w:hAnsi="Tahoma" w:cs="Tahoma"/>
                <w:sz w:val="20"/>
              </w:rPr>
              <w:t>internal expenditure that is not otherwise included in one of the other expenditure categories included in this table (i.e. Marketing and Retail Incentives, Unaccounted for Gas and Jurisdictional Charges).</w:t>
            </w:r>
          </w:p>
        </w:tc>
        <w:tc>
          <w:tcPr>
            <w:tcW w:w="837" w:type="pct"/>
            <w:tcBorders>
              <w:top w:val="single" w:sz="4" w:space="0" w:color="00B0F0"/>
              <w:bottom w:val="single" w:sz="4" w:space="0" w:color="00B0F0"/>
            </w:tcBorders>
            <w:vAlign w:val="center"/>
          </w:tcPr>
          <w:p w14:paraId="79BC48DE" w14:textId="19B96D25" w:rsidR="00A17055" w:rsidRPr="00751816" w:rsidRDefault="00A17055" w:rsidP="00DE4F2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 xml:space="preserve">Actual </w:t>
            </w:r>
          </w:p>
        </w:tc>
        <w:tc>
          <w:tcPr>
            <w:tcW w:w="995" w:type="pct"/>
            <w:tcBorders>
              <w:top w:val="single" w:sz="4" w:space="0" w:color="00B0F0"/>
              <w:bottom w:val="single" w:sz="4" w:space="0" w:color="00B0F0"/>
            </w:tcBorders>
          </w:tcPr>
          <w:p w14:paraId="47446F40" w14:textId="3E7E827A" w:rsidR="00A17055" w:rsidRPr="00751816" w:rsidRDefault="00A1705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05" w:type="pct"/>
            <w:tcBorders>
              <w:top w:val="single" w:sz="4" w:space="0" w:color="00B0F0"/>
              <w:bottom w:val="single" w:sz="4" w:space="0" w:color="00B0F0"/>
            </w:tcBorders>
            <w:vAlign w:val="center"/>
          </w:tcPr>
          <w:p w14:paraId="276CB4CE" w14:textId="09A283BC" w:rsidR="00A17055" w:rsidRPr="00751816" w:rsidRDefault="00A1705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31B6D11E" w14:textId="77D87496" w:rsidR="0052786D" w:rsidRDefault="0052786D" w:rsidP="00C4077D">
      <w:pPr>
        <w:rPr>
          <w:rFonts w:ascii="Tahoma" w:hAnsi="Tahoma" w:cs="Tahoma"/>
          <w:color w:val="00B0F0"/>
        </w:rPr>
      </w:pPr>
    </w:p>
    <w:p w14:paraId="45FD964D" w14:textId="77777777" w:rsidR="0052786D" w:rsidRDefault="0052786D">
      <w:pPr>
        <w:rPr>
          <w:rFonts w:ascii="Tahoma" w:hAnsi="Tahoma" w:cs="Tahoma"/>
          <w:color w:val="00B0F0"/>
        </w:rPr>
      </w:pPr>
      <w:r>
        <w:rPr>
          <w:rFonts w:ascii="Tahoma" w:hAnsi="Tahoma" w:cs="Tahoma"/>
          <w:color w:val="00B0F0"/>
        </w:rPr>
        <w:br w:type="page"/>
      </w:r>
    </w:p>
    <w:p w14:paraId="56502127" w14:textId="438FBD70" w:rsidR="00A235C0" w:rsidRPr="0095305C" w:rsidRDefault="00EE15E3" w:rsidP="00C059E5">
      <w:pPr>
        <w:pStyle w:val="Heading1"/>
        <w:rPr>
          <w:rFonts w:ascii="Tahoma" w:hAnsi="Tahoma" w:cs="Tahoma"/>
          <w:b/>
          <w:color w:val="003C71"/>
        </w:rPr>
      </w:pPr>
      <w:bookmarkStart w:id="51" w:name="_Toc57314094"/>
      <w:r w:rsidRPr="0095305C">
        <w:rPr>
          <w:rFonts w:ascii="Tahoma" w:hAnsi="Tahoma" w:cs="Tahoma"/>
          <w:b/>
          <w:color w:val="003C71"/>
        </w:rPr>
        <w:lastRenderedPageBreak/>
        <w:t xml:space="preserve">F6. Related Party </w:t>
      </w:r>
      <w:r w:rsidR="002B2DFA" w:rsidRPr="0095305C">
        <w:rPr>
          <w:rFonts w:ascii="Tahoma" w:hAnsi="Tahoma" w:cs="Tahoma"/>
          <w:b/>
          <w:color w:val="003C71"/>
        </w:rPr>
        <w:t>Transactions</w:t>
      </w:r>
      <w:bookmarkEnd w:id="51"/>
      <w:r w:rsidR="002B2DFA" w:rsidRPr="0095305C">
        <w:rPr>
          <w:rFonts w:ascii="Tahoma" w:hAnsi="Tahoma" w:cs="Tahoma"/>
          <w:b/>
          <w:color w:val="003C71"/>
        </w:rPr>
        <w:t xml:space="preserve"> </w:t>
      </w:r>
    </w:p>
    <w:p w14:paraId="4EDC70C1" w14:textId="77777777" w:rsidR="00DF6E3C" w:rsidRDefault="002B2DFA" w:rsidP="0071215F">
      <w:pPr>
        <w:pStyle w:val="Heading2"/>
        <w:rPr>
          <w:rFonts w:ascii="Tahoma" w:hAnsi="Tahoma" w:cs="Tahoma"/>
          <w:color w:val="003C71"/>
        </w:rPr>
      </w:pPr>
      <w:bookmarkStart w:id="52" w:name="_Toc57314095"/>
      <w:r w:rsidRPr="0071215F">
        <w:rPr>
          <w:rFonts w:ascii="Tahoma" w:hAnsi="Tahoma" w:cs="Tahoma"/>
          <w:color w:val="003C71"/>
        </w:rPr>
        <w:t>F6.1 – Payments Greater than $1,000,000 made to Related Party</w:t>
      </w:r>
      <w:bookmarkEnd w:id="52"/>
    </w:p>
    <w:p w14:paraId="463C925C" w14:textId="4B7B3E6A" w:rsidR="002B2DFA" w:rsidRDefault="002B2DFA" w:rsidP="00441F10">
      <w:pPr>
        <w:rPr>
          <w:rFonts w:ascii="Tahoma" w:hAnsi="Tahoma" w:cs="Tahoma"/>
          <w:color w:val="00B0F0"/>
        </w:rPr>
      </w:pPr>
      <w:r w:rsidRPr="008E1F19">
        <w:rPr>
          <w:rFonts w:ascii="Tahoma" w:hAnsi="Tahoma" w:cs="Tahoma"/>
          <w:color w:val="00B0F0"/>
        </w:rPr>
        <w:t xml:space="preserve">F6.1.1 – Expenditure </w:t>
      </w:r>
    </w:p>
    <w:tbl>
      <w:tblPr>
        <w:tblStyle w:val="UETableStyle"/>
        <w:tblW w:w="4880"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70"/>
        <w:gridCol w:w="4670"/>
        <w:gridCol w:w="2256"/>
        <w:gridCol w:w="2681"/>
        <w:gridCol w:w="2046"/>
      </w:tblGrid>
      <w:tr w:rsidR="003A2A32" w:rsidRPr="00751816" w14:paraId="1C0298C7" w14:textId="77777777" w:rsidTr="006771BA">
        <w:trPr>
          <w:cnfStyle w:val="100000000000" w:firstRow="1" w:lastRow="0" w:firstColumn="0" w:lastColumn="0" w:oddVBand="0" w:evenVBand="0" w:oddHBand="0" w:evenHBand="0" w:firstRowFirstColumn="0" w:firstRowLastColumn="0" w:lastRowFirstColumn="0" w:lastRowLastColumn="0"/>
          <w:trHeight w:val="215"/>
          <w:tblHeader/>
        </w:trPr>
        <w:tc>
          <w:tcPr>
            <w:cnfStyle w:val="001000000000" w:firstRow="0" w:lastRow="0" w:firstColumn="1" w:lastColumn="0" w:oddVBand="0" w:evenVBand="0" w:oddHBand="0" w:evenHBand="0" w:firstRowFirstColumn="0" w:firstRowLastColumn="0" w:lastRowFirstColumn="0" w:lastRowLastColumn="0"/>
            <w:tcW w:w="723" w:type="pct"/>
            <w:tcBorders>
              <w:bottom w:val="single" w:sz="4" w:space="0" w:color="00B0F0"/>
            </w:tcBorders>
            <w:shd w:val="clear" w:color="auto" w:fill="003C71"/>
            <w:hideMark/>
          </w:tcPr>
          <w:p w14:paraId="3CD66196" w14:textId="7464D577" w:rsidR="003A2A32" w:rsidRPr="00751816" w:rsidRDefault="003A2A32" w:rsidP="00443597">
            <w:pPr>
              <w:rPr>
                <w:rFonts w:ascii="Tahoma" w:hAnsi="Tahoma" w:cs="Tahoma"/>
                <w:b/>
                <w:color w:val="FFFFFF"/>
                <w:sz w:val="20"/>
              </w:rPr>
            </w:pPr>
            <w:r w:rsidRPr="00751816">
              <w:rPr>
                <w:rFonts w:ascii="Tahoma" w:hAnsi="Tahoma" w:cs="Tahoma"/>
                <w:b/>
                <w:color w:val="FFFFFF"/>
                <w:sz w:val="20"/>
              </w:rPr>
              <w:t xml:space="preserve">Variable </w:t>
            </w:r>
          </w:p>
        </w:tc>
        <w:tc>
          <w:tcPr>
            <w:tcW w:w="1714" w:type="pct"/>
            <w:tcBorders>
              <w:bottom w:val="single" w:sz="4" w:space="0" w:color="00B0F0"/>
            </w:tcBorders>
            <w:shd w:val="clear" w:color="auto" w:fill="003C71"/>
          </w:tcPr>
          <w:p w14:paraId="076A7C5B" w14:textId="77777777" w:rsidR="003A2A32" w:rsidRPr="00751816" w:rsidRDefault="003A2A3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28" w:type="pct"/>
            <w:tcBorders>
              <w:bottom w:val="single" w:sz="4" w:space="0" w:color="00B0F0"/>
            </w:tcBorders>
            <w:shd w:val="clear" w:color="auto" w:fill="003C71"/>
          </w:tcPr>
          <w:p w14:paraId="1B315FC4" w14:textId="77777777" w:rsidR="003A2A32" w:rsidRPr="00751816" w:rsidRDefault="003A2A3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84" w:type="pct"/>
            <w:tcBorders>
              <w:bottom w:val="single" w:sz="4" w:space="0" w:color="00B0F0"/>
            </w:tcBorders>
            <w:shd w:val="clear" w:color="auto" w:fill="003C71"/>
          </w:tcPr>
          <w:p w14:paraId="5033983A" w14:textId="77777777" w:rsidR="003A2A32" w:rsidRPr="00751816" w:rsidRDefault="003A2A3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751" w:type="pct"/>
            <w:tcBorders>
              <w:bottom w:val="single" w:sz="4" w:space="0" w:color="00B0F0"/>
            </w:tcBorders>
            <w:shd w:val="clear" w:color="auto" w:fill="003C71"/>
          </w:tcPr>
          <w:p w14:paraId="6663C17C" w14:textId="77777777" w:rsidR="003A2A32" w:rsidRPr="00751816" w:rsidRDefault="003A2A3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441F10" w:rsidRPr="00751816" w14:paraId="47950449" w14:textId="77777777" w:rsidTr="006771BA">
        <w:trPr>
          <w:trHeight w:val="283"/>
        </w:trPr>
        <w:tc>
          <w:tcPr>
            <w:cnfStyle w:val="001000000000" w:firstRow="0" w:lastRow="0" w:firstColumn="1" w:lastColumn="0" w:oddVBand="0" w:evenVBand="0" w:oddHBand="0" w:evenHBand="0" w:firstRowFirstColumn="0" w:firstRowLastColumn="0" w:lastRowFirstColumn="0" w:lastRowLastColumn="0"/>
            <w:tcW w:w="723" w:type="pct"/>
            <w:tcBorders>
              <w:top w:val="single" w:sz="4" w:space="0" w:color="00B0F0"/>
              <w:bottom w:val="single" w:sz="4" w:space="0" w:color="00B0F0"/>
            </w:tcBorders>
            <w:shd w:val="clear" w:color="auto" w:fill="00A3E0"/>
            <w:vAlign w:val="center"/>
          </w:tcPr>
          <w:p w14:paraId="02ED2BB8" w14:textId="3AA4750D" w:rsidR="00441F10" w:rsidRPr="00751816" w:rsidRDefault="00441F10" w:rsidP="001C016D">
            <w:pPr>
              <w:spacing w:before="120" w:after="120" w:line="240" w:lineRule="atLeast"/>
              <w:contextualSpacing/>
              <w:rPr>
                <w:rFonts w:ascii="Tahoma" w:hAnsi="Tahoma" w:cs="Tahoma"/>
                <w:sz w:val="20"/>
              </w:rPr>
            </w:pPr>
            <w:r>
              <w:rPr>
                <w:rFonts w:ascii="Tahoma" w:hAnsi="Tahoma" w:cs="Tahoma"/>
                <w:sz w:val="20"/>
              </w:rPr>
              <w:t>2019/20</w:t>
            </w:r>
          </w:p>
        </w:tc>
        <w:tc>
          <w:tcPr>
            <w:tcW w:w="4277" w:type="pct"/>
            <w:gridSpan w:val="4"/>
            <w:tcBorders>
              <w:top w:val="single" w:sz="4" w:space="0" w:color="00B0F0"/>
              <w:bottom w:val="single" w:sz="4" w:space="0" w:color="00B0F0"/>
            </w:tcBorders>
            <w:shd w:val="clear" w:color="auto" w:fill="00A3E0"/>
            <w:vAlign w:val="center"/>
          </w:tcPr>
          <w:p w14:paraId="38023416" w14:textId="0AE81B89" w:rsidR="00441F10" w:rsidRPr="00751816" w:rsidRDefault="00441F10" w:rsidP="000D1C3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04AE7">
              <w:rPr>
                <w:rFonts w:ascii="Tahoma" w:hAnsi="Tahoma" w:cs="Tahoma"/>
                <w:i/>
                <w:sz w:val="20"/>
              </w:rPr>
              <w:t xml:space="preserve">As set out in Appendix D, APA ceased to be a related party from 29 August 2014 </w:t>
            </w:r>
            <w:r w:rsidR="000D1C3F">
              <w:rPr>
                <w:rFonts w:ascii="Tahoma" w:hAnsi="Tahoma" w:cs="Tahoma"/>
                <w:i/>
                <w:sz w:val="20"/>
              </w:rPr>
              <w:t>resulting from</w:t>
            </w:r>
            <w:r w:rsidRPr="00304AE7">
              <w:rPr>
                <w:rFonts w:ascii="Tahoma" w:hAnsi="Tahoma" w:cs="Tahoma"/>
                <w:i/>
                <w:sz w:val="20"/>
              </w:rPr>
              <w:t xml:space="preserve"> the current owners’ acquisition of the business.  </w:t>
            </w:r>
          </w:p>
        </w:tc>
      </w:tr>
      <w:tr w:rsidR="00CF7EF9" w:rsidRPr="00751816" w14:paraId="0507829F" w14:textId="77777777" w:rsidTr="006771BA">
        <w:trPr>
          <w:trHeight w:val="429"/>
        </w:trPr>
        <w:tc>
          <w:tcPr>
            <w:cnfStyle w:val="001000000000" w:firstRow="0" w:lastRow="0" w:firstColumn="1" w:lastColumn="0" w:oddVBand="0" w:evenVBand="0" w:oddHBand="0" w:evenHBand="0" w:firstRowFirstColumn="0" w:firstRowLastColumn="0" w:lastRowFirstColumn="0" w:lastRowLastColumn="0"/>
            <w:tcW w:w="723" w:type="pct"/>
            <w:tcBorders>
              <w:top w:val="single" w:sz="4" w:space="0" w:color="00B0F0"/>
              <w:bottom w:val="single" w:sz="4" w:space="0" w:color="00B0F0"/>
            </w:tcBorders>
            <w:shd w:val="clear" w:color="auto" w:fill="BFBFBF" w:themeFill="background1" w:themeFillShade="BF"/>
            <w:vAlign w:val="center"/>
          </w:tcPr>
          <w:p w14:paraId="3AD24B9F" w14:textId="61FE9707" w:rsidR="00CF7EF9" w:rsidRDefault="00CF7EF9" w:rsidP="001C016D">
            <w:pPr>
              <w:spacing w:before="120" w:after="120" w:line="240" w:lineRule="atLeast"/>
              <w:contextualSpacing/>
              <w:rPr>
                <w:rFonts w:ascii="Tahoma" w:hAnsi="Tahoma" w:cs="Tahoma"/>
                <w:sz w:val="20"/>
              </w:rPr>
            </w:pPr>
          </w:p>
        </w:tc>
        <w:tc>
          <w:tcPr>
            <w:tcW w:w="4277" w:type="pct"/>
            <w:gridSpan w:val="4"/>
            <w:tcBorders>
              <w:top w:val="single" w:sz="4" w:space="0" w:color="00B0F0"/>
              <w:bottom w:val="single" w:sz="4" w:space="0" w:color="00B0F0"/>
            </w:tcBorders>
            <w:vAlign w:val="center"/>
          </w:tcPr>
          <w:p w14:paraId="74AA21DE" w14:textId="0B0CD7BB" w:rsidR="00CF7EF9" w:rsidRDefault="00CF7EF9"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Limited </w:t>
            </w:r>
            <w:r w:rsidR="000D1C3F">
              <w:rPr>
                <w:rFonts w:ascii="Tahoma" w:hAnsi="Tahoma" w:cs="Tahoma"/>
                <w:sz w:val="20"/>
              </w:rPr>
              <w:t>has made</w:t>
            </w:r>
            <w:r>
              <w:rPr>
                <w:rFonts w:ascii="Tahoma" w:hAnsi="Tahoma" w:cs="Tahoma"/>
                <w:sz w:val="20"/>
              </w:rPr>
              <w:t xml:space="preserve"> no related party payments </w:t>
            </w:r>
            <w:r w:rsidR="000D1C3F">
              <w:rPr>
                <w:rFonts w:ascii="Tahoma" w:hAnsi="Tahoma" w:cs="Tahoma"/>
                <w:sz w:val="20"/>
              </w:rPr>
              <w:t xml:space="preserve">for AGN (SA) </w:t>
            </w:r>
            <w:r>
              <w:rPr>
                <w:rFonts w:ascii="Tahoma" w:hAnsi="Tahoma" w:cs="Tahoma"/>
                <w:sz w:val="20"/>
              </w:rPr>
              <w:t xml:space="preserve">after 29 August </w:t>
            </w:r>
            <w:r w:rsidR="005849C7">
              <w:rPr>
                <w:rFonts w:ascii="Tahoma" w:hAnsi="Tahoma" w:cs="Tahoma"/>
                <w:sz w:val="20"/>
              </w:rPr>
              <w:t xml:space="preserve">2014 </w:t>
            </w:r>
            <w:r>
              <w:rPr>
                <w:rFonts w:ascii="Tahoma" w:hAnsi="Tahoma" w:cs="Tahoma"/>
                <w:sz w:val="20"/>
              </w:rPr>
              <w:t xml:space="preserve">when the current owners acquired the business. </w:t>
            </w:r>
          </w:p>
          <w:p w14:paraId="090180C4" w14:textId="77777777" w:rsidR="00CF7EF9" w:rsidRDefault="00CF7EF9"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BC5241E" w14:textId="63FF23FD" w:rsidR="008300C6" w:rsidRPr="00751816" w:rsidRDefault="008300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300C6">
              <w:rPr>
                <w:rFonts w:ascii="Tahoma" w:hAnsi="Tahoma" w:cs="Tahoma"/>
                <w:sz w:val="20"/>
              </w:rPr>
              <w:t>As such a ‘Null’ response is provided for this category of expenditure.</w:t>
            </w:r>
          </w:p>
        </w:tc>
      </w:tr>
    </w:tbl>
    <w:p w14:paraId="66A4E035" w14:textId="77777777" w:rsidR="00DF6E3C" w:rsidRPr="008E1F19" w:rsidRDefault="00DF6E3C" w:rsidP="00A235C0">
      <w:pPr>
        <w:rPr>
          <w:rFonts w:ascii="Tahoma" w:hAnsi="Tahoma" w:cs="Tahoma"/>
          <w:color w:val="00B0F0"/>
        </w:rPr>
      </w:pPr>
    </w:p>
    <w:p w14:paraId="1CC7B535" w14:textId="4F2C94B3" w:rsidR="002B2DFA" w:rsidRDefault="002B2DFA" w:rsidP="00441F10">
      <w:pPr>
        <w:rPr>
          <w:rFonts w:ascii="Tahoma" w:hAnsi="Tahoma" w:cs="Tahoma"/>
          <w:color w:val="00B0F0"/>
        </w:rPr>
      </w:pPr>
      <w:r w:rsidRPr="008E1F19">
        <w:rPr>
          <w:rFonts w:ascii="Tahoma" w:hAnsi="Tahoma" w:cs="Tahoma"/>
          <w:color w:val="00B0F0"/>
        </w:rPr>
        <w:t>F6.1.2 – Corresponding Expenses incurred by Related Party</w:t>
      </w:r>
    </w:p>
    <w:tbl>
      <w:tblPr>
        <w:tblStyle w:val="UETableStyle"/>
        <w:tblW w:w="4880"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70"/>
        <w:gridCol w:w="4670"/>
        <w:gridCol w:w="2256"/>
        <w:gridCol w:w="2681"/>
        <w:gridCol w:w="2046"/>
      </w:tblGrid>
      <w:tr w:rsidR="003A2A32" w:rsidRPr="00751816" w14:paraId="0871E91C" w14:textId="77777777" w:rsidTr="006771BA">
        <w:trPr>
          <w:cnfStyle w:val="100000000000" w:firstRow="1" w:lastRow="0" w:firstColumn="0" w:lastColumn="0" w:oddVBand="0" w:evenVBand="0" w:oddHBand="0" w:evenHBand="0" w:firstRowFirstColumn="0" w:firstRowLastColumn="0" w:lastRowFirstColumn="0" w:lastRowLastColumn="0"/>
          <w:trHeight w:val="215"/>
          <w:tblHeader/>
        </w:trPr>
        <w:tc>
          <w:tcPr>
            <w:cnfStyle w:val="001000000000" w:firstRow="0" w:lastRow="0" w:firstColumn="1" w:lastColumn="0" w:oddVBand="0" w:evenVBand="0" w:oddHBand="0" w:evenHBand="0" w:firstRowFirstColumn="0" w:firstRowLastColumn="0" w:lastRowFirstColumn="0" w:lastRowLastColumn="0"/>
            <w:tcW w:w="723" w:type="pct"/>
            <w:tcBorders>
              <w:bottom w:val="single" w:sz="4" w:space="0" w:color="00B0F0"/>
            </w:tcBorders>
            <w:shd w:val="clear" w:color="auto" w:fill="003C71"/>
            <w:hideMark/>
          </w:tcPr>
          <w:p w14:paraId="57C8958B" w14:textId="5B5E2379" w:rsidR="003A2A32" w:rsidRPr="00751816" w:rsidRDefault="003A2A32" w:rsidP="00443597">
            <w:pPr>
              <w:rPr>
                <w:rFonts w:ascii="Tahoma" w:hAnsi="Tahoma" w:cs="Tahoma"/>
                <w:b/>
                <w:color w:val="FFFFFF"/>
                <w:sz w:val="20"/>
              </w:rPr>
            </w:pPr>
            <w:r w:rsidRPr="00751816">
              <w:rPr>
                <w:rFonts w:ascii="Tahoma" w:hAnsi="Tahoma" w:cs="Tahoma"/>
                <w:b/>
                <w:color w:val="FFFFFF"/>
                <w:sz w:val="20"/>
              </w:rPr>
              <w:t xml:space="preserve">Variable </w:t>
            </w:r>
          </w:p>
        </w:tc>
        <w:tc>
          <w:tcPr>
            <w:tcW w:w="1714" w:type="pct"/>
            <w:tcBorders>
              <w:bottom w:val="single" w:sz="4" w:space="0" w:color="00B0F0"/>
            </w:tcBorders>
            <w:shd w:val="clear" w:color="auto" w:fill="003C71"/>
          </w:tcPr>
          <w:p w14:paraId="451DD4A8" w14:textId="77777777" w:rsidR="003A2A32" w:rsidRPr="00751816" w:rsidRDefault="003A2A3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28" w:type="pct"/>
            <w:tcBorders>
              <w:bottom w:val="single" w:sz="4" w:space="0" w:color="00B0F0"/>
            </w:tcBorders>
            <w:shd w:val="clear" w:color="auto" w:fill="003C71"/>
          </w:tcPr>
          <w:p w14:paraId="2473FEBC" w14:textId="77777777" w:rsidR="003A2A32" w:rsidRPr="00751816" w:rsidRDefault="003A2A3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84" w:type="pct"/>
            <w:tcBorders>
              <w:bottom w:val="single" w:sz="4" w:space="0" w:color="00B0F0"/>
            </w:tcBorders>
            <w:shd w:val="clear" w:color="auto" w:fill="003C71"/>
          </w:tcPr>
          <w:p w14:paraId="110033A3" w14:textId="77777777" w:rsidR="003A2A32" w:rsidRPr="00751816" w:rsidRDefault="003A2A3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751" w:type="pct"/>
            <w:tcBorders>
              <w:bottom w:val="single" w:sz="4" w:space="0" w:color="00B0F0"/>
            </w:tcBorders>
            <w:shd w:val="clear" w:color="auto" w:fill="003C71"/>
          </w:tcPr>
          <w:p w14:paraId="4FC9B6AD" w14:textId="77777777" w:rsidR="003A2A32" w:rsidRPr="00751816" w:rsidRDefault="003A2A32"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443597" w:rsidRPr="00751816" w14:paraId="426BD97F" w14:textId="77777777" w:rsidTr="006771BA">
        <w:trPr>
          <w:trHeight w:val="283"/>
        </w:trPr>
        <w:tc>
          <w:tcPr>
            <w:cnfStyle w:val="001000000000" w:firstRow="0" w:lastRow="0" w:firstColumn="1" w:lastColumn="0" w:oddVBand="0" w:evenVBand="0" w:oddHBand="0" w:evenHBand="0" w:firstRowFirstColumn="0" w:firstRowLastColumn="0" w:lastRowFirstColumn="0" w:lastRowLastColumn="0"/>
            <w:tcW w:w="723" w:type="pct"/>
            <w:tcBorders>
              <w:top w:val="single" w:sz="4" w:space="0" w:color="00B0F0"/>
              <w:bottom w:val="single" w:sz="4" w:space="0" w:color="00B0F0"/>
            </w:tcBorders>
            <w:shd w:val="clear" w:color="auto" w:fill="00A3E0"/>
            <w:vAlign w:val="center"/>
          </w:tcPr>
          <w:p w14:paraId="29755FD0" w14:textId="522B3E93" w:rsidR="00443597" w:rsidRPr="00751816" w:rsidRDefault="008418D3" w:rsidP="001C016D">
            <w:pPr>
              <w:spacing w:before="120" w:after="120" w:line="240" w:lineRule="atLeast"/>
              <w:contextualSpacing/>
              <w:rPr>
                <w:rFonts w:ascii="Tahoma" w:hAnsi="Tahoma" w:cs="Tahoma"/>
                <w:sz w:val="20"/>
              </w:rPr>
            </w:pPr>
            <w:r>
              <w:rPr>
                <w:rFonts w:ascii="Tahoma" w:hAnsi="Tahoma" w:cs="Tahoma"/>
                <w:sz w:val="20"/>
              </w:rPr>
              <w:t>2019/20</w:t>
            </w:r>
          </w:p>
        </w:tc>
        <w:tc>
          <w:tcPr>
            <w:tcW w:w="4277" w:type="pct"/>
            <w:gridSpan w:val="4"/>
            <w:tcBorders>
              <w:top w:val="single" w:sz="4" w:space="0" w:color="00B0F0"/>
              <w:bottom w:val="single" w:sz="4" w:space="0" w:color="00B0F0"/>
            </w:tcBorders>
            <w:shd w:val="clear" w:color="auto" w:fill="00A3E0"/>
            <w:vAlign w:val="center"/>
          </w:tcPr>
          <w:p w14:paraId="49043B83" w14:textId="79DB9B62" w:rsidR="00443597" w:rsidRPr="00751816" w:rsidRDefault="00443597"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CF7EF9" w:rsidRPr="00751816" w14:paraId="21AAAA15" w14:textId="77777777" w:rsidTr="006771BA">
        <w:trPr>
          <w:trHeight w:val="429"/>
        </w:trPr>
        <w:tc>
          <w:tcPr>
            <w:cnfStyle w:val="001000000000" w:firstRow="0" w:lastRow="0" w:firstColumn="1" w:lastColumn="0" w:oddVBand="0" w:evenVBand="0" w:oddHBand="0" w:evenHBand="0" w:firstRowFirstColumn="0" w:firstRowLastColumn="0" w:lastRowFirstColumn="0" w:lastRowLastColumn="0"/>
            <w:tcW w:w="723" w:type="pct"/>
            <w:tcBorders>
              <w:top w:val="single" w:sz="4" w:space="0" w:color="00B0F0"/>
              <w:bottom w:val="single" w:sz="4" w:space="0" w:color="00B0F0"/>
            </w:tcBorders>
            <w:vAlign w:val="center"/>
          </w:tcPr>
          <w:p w14:paraId="3E83ACDC" w14:textId="2C60AA2F" w:rsidR="00CF7EF9" w:rsidRPr="00751816" w:rsidRDefault="00CF7EF9" w:rsidP="001C016D">
            <w:pPr>
              <w:spacing w:before="120" w:after="120" w:line="240" w:lineRule="atLeast"/>
              <w:contextualSpacing/>
              <w:rPr>
                <w:rFonts w:ascii="Tahoma" w:hAnsi="Tahoma" w:cs="Tahoma"/>
                <w:sz w:val="20"/>
              </w:rPr>
            </w:pPr>
          </w:p>
        </w:tc>
        <w:tc>
          <w:tcPr>
            <w:tcW w:w="4277" w:type="pct"/>
            <w:gridSpan w:val="4"/>
            <w:tcBorders>
              <w:top w:val="single" w:sz="4" w:space="0" w:color="00B0F0"/>
              <w:bottom w:val="single" w:sz="4" w:space="0" w:color="00B0F0"/>
            </w:tcBorders>
            <w:vAlign w:val="center"/>
          </w:tcPr>
          <w:p w14:paraId="7E34ECFE" w14:textId="14033CAE" w:rsidR="00CF7EF9" w:rsidRPr="00751816" w:rsidRDefault="00CF7EF9"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Limited </w:t>
            </w:r>
            <w:r w:rsidR="000D1C3F">
              <w:rPr>
                <w:rFonts w:ascii="Tahoma" w:hAnsi="Tahoma" w:cs="Tahoma"/>
                <w:sz w:val="20"/>
              </w:rPr>
              <w:t>has made</w:t>
            </w:r>
            <w:r>
              <w:rPr>
                <w:rFonts w:ascii="Tahoma" w:hAnsi="Tahoma" w:cs="Tahoma"/>
                <w:sz w:val="20"/>
              </w:rPr>
              <w:t xml:space="preserve"> no related party payments </w:t>
            </w:r>
            <w:r w:rsidR="000D1C3F">
              <w:rPr>
                <w:rFonts w:ascii="Tahoma" w:hAnsi="Tahoma" w:cs="Tahoma"/>
                <w:sz w:val="20"/>
              </w:rPr>
              <w:t xml:space="preserve">for AGN (SA) </w:t>
            </w:r>
            <w:r>
              <w:rPr>
                <w:rFonts w:ascii="Tahoma" w:hAnsi="Tahoma" w:cs="Tahoma"/>
                <w:sz w:val="20"/>
              </w:rPr>
              <w:t>after 29 August 201</w:t>
            </w:r>
            <w:r w:rsidR="005849C7">
              <w:rPr>
                <w:rFonts w:ascii="Tahoma" w:hAnsi="Tahoma" w:cs="Tahoma"/>
                <w:sz w:val="20"/>
              </w:rPr>
              <w:t>4</w:t>
            </w:r>
            <w:r>
              <w:rPr>
                <w:rFonts w:ascii="Tahoma" w:hAnsi="Tahoma" w:cs="Tahoma"/>
                <w:sz w:val="20"/>
              </w:rPr>
              <w:t xml:space="preserve"> when the current owners acquired the business.</w:t>
            </w:r>
          </w:p>
          <w:p w14:paraId="07AC7043" w14:textId="77777777" w:rsidR="00CF7EF9" w:rsidRDefault="00CF7EF9"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5E9B3FB" w14:textId="078BD460" w:rsidR="008300C6" w:rsidRPr="00751816" w:rsidRDefault="008300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300C6">
              <w:rPr>
                <w:rFonts w:ascii="Tahoma" w:hAnsi="Tahoma" w:cs="Tahoma"/>
                <w:sz w:val="20"/>
              </w:rPr>
              <w:t>As such a ‘Null’ response is provided for this category of expenditure.</w:t>
            </w:r>
          </w:p>
        </w:tc>
      </w:tr>
    </w:tbl>
    <w:p w14:paraId="654CE05A" w14:textId="77777777" w:rsidR="00DF6E3C" w:rsidRPr="000D1C3F" w:rsidRDefault="00DF6E3C" w:rsidP="00A235C0">
      <w:pPr>
        <w:rPr>
          <w:rFonts w:ascii="Tahoma" w:hAnsi="Tahoma" w:cs="Tahoma"/>
          <w:sz w:val="20"/>
        </w:rPr>
      </w:pPr>
    </w:p>
    <w:p w14:paraId="61141CC5" w14:textId="77777777" w:rsidR="006771BA" w:rsidRDefault="006771BA">
      <w:pPr>
        <w:rPr>
          <w:rFonts w:ascii="Tahoma" w:eastAsiaTheme="majorEastAsia" w:hAnsi="Tahoma" w:cs="Tahoma"/>
          <w:color w:val="003C71"/>
          <w:sz w:val="26"/>
          <w:szCs w:val="26"/>
        </w:rPr>
      </w:pPr>
      <w:r>
        <w:rPr>
          <w:rFonts w:ascii="Tahoma" w:hAnsi="Tahoma" w:cs="Tahoma"/>
          <w:color w:val="003C71"/>
        </w:rPr>
        <w:br w:type="page"/>
      </w:r>
    </w:p>
    <w:p w14:paraId="347F674E" w14:textId="611E4399" w:rsidR="002B2DFA" w:rsidRPr="0071215F" w:rsidRDefault="002B2DFA" w:rsidP="0071215F">
      <w:pPr>
        <w:pStyle w:val="Heading2"/>
        <w:rPr>
          <w:rFonts w:ascii="Tahoma" w:hAnsi="Tahoma" w:cs="Tahoma"/>
          <w:color w:val="003C71"/>
        </w:rPr>
      </w:pPr>
      <w:bookmarkStart w:id="53" w:name="_Toc57314096"/>
      <w:r w:rsidRPr="0071215F">
        <w:rPr>
          <w:rFonts w:ascii="Tahoma" w:hAnsi="Tahoma" w:cs="Tahoma"/>
          <w:color w:val="003C71"/>
        </w:rPr>
        <w:lastRenderedPageBreak/>
        <w:t>F6.2 – Payments Greater than $1,000,000 received from Related Party</w:t>
      </w:r>
      <w:bookmarkEnd w:id="53"/>
      <w:r w:rsidRPr="0071215F">
        <w:rPr>
          <w:rFonts w:ascii="Tahoma" w:hAnsi="Tahoma" w:cs="Tahoma"/>
          <w:color w:val="003C71"/>
        </w:rPr>
        <w:t xml:space="preserve"> </w:t>
      </w:r>
    </w:p>
    <w:p w14:paraId="16AAE5E4" w14:textId="11297919" w:rsidR="002B2DFA" w:rsidRDefault="002B2DFA" w:rsidP="00441F10">
      <w:pPr>
        <w:rPr>
          <w:rFonts w:ascii="Tahoma" w:hAnsi="Tahoma" w:cs="Tahoma"/>
          <w:color w:val="00B0F0"/>
        </w:rPr>
      </w:pPr>
      <w:r w:rsidRPr="00BE23E5">
        <w:rPr>
          <w:rFonts w:ascii="Tahoma" w:hAnsi="Tahoma" w:cs="Tahoma"/>
          <w:color w:val="00B0F0"/>
        </w:rPr>
        <w:t xml:space="preserve">F6.2.1 – Revenue </w:t>
      </w:r>
    </w:p>
    <w:tbl>
      <w:tblPr>
        <w:tblStyle w:val="UETableStyle"/>
        <w:tblW w:w="4829"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70"/>
        <w:gridCol w:w="4673"/>
        <w:gridCol w:w="2257"/>
        <w:gridCol w:w="2683"/>
        <w:gridCol w:w="1898"/>
      </w:tblGrid>
      <w:tr w:rsidR="008F5215" w:rsidRPr="00751816" w14:paraId="7052E71F" w14:textId="77777777" w:rsidTr="008F5215">
        <w:trPr>
          <w:cnfStyle w:val="100000000000" w:firstRow="1" w:lastRow="0" w:firstColumn="0" w:lastColumn="0" w:oddVBand="0" w:evenVBand="0" w:oddHBand="0" w:evenHBand="0" w:firstRowFirstColumn="0" w:firstRowLastColumn="0" w:lastRowFirstColumn="0" w:lastRowLastColumn="0"/>
          <w:trHeight w:val="21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7B0F1B7D" w14:textId="77777777" w:rsidR="008F5215" w:rsidRPr="00751816" w:rsidRDefault="008F5215" w:rsidP="00BE7111">
            <w:pPr>
              <w:rPr>
                <w:rFonts w:ascii="Tahoma" w:hAnsi="Tahoma" w:cs="Tahoma"/>
                <w:b/>
                <w:color w:val="FFFFFF"/>
                <w:sz w:val="20"/>
              </w:rPr>
            </w:pPr>
            <w:r w:rsidRPr="00751816">
              <w:rPr>
                <w:rFonts w:ascii="Tahoma" w:hAnsi="Tahoma" w:cs="Tahoma"/>
                <w:b/>
                <w:color w:val="FFFFFF"/>
                <w:sz w:val="20"/>
              </w:rPr>
              <w:t xml:space="preserve">Variable </w:t>
            </w:r>
          </w:p>
        </w:tc>
        <w:tc>
          <w:tcPr>
            <w:tcW w:w="1733" w:type="pct"/>
            <w:tcBorders>
              <w:bottom w:val="single" w:sz="4" w:space="0" w:color="00B0F0"/>
            </w:tcBorders>
            <w:shd w:val="clear" w:color="auto" w:fill="003C71"/>
          </w:tcPr>
          <w:p w14:paraId="0D9E8F09" w14:textId="77777777" w:rsidR="008F5215" w:rsidRPr="00751816" w:rsidRDefault="008F5215" w:rsidP="00BE7111">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7" w:type="pct"/>
            <w:tcBorders>
              <w:bottom w:val="single" w:sz="4" w:space="0" w:color="00B0F0"/>
            </w:tcBorders>
            <w:shd w:val="clear" w:color="auto" w:fill="003C71"/>
          </w:tcPr>
          <w:p w14:paraId="16E2133B" w14:textId="77777777" w:rsidR="008F5215" w:rsidRPr="00751816" w:rsidRDefault="008F5215" w:rsidP="00BE7111">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5" w:type="pct"/>
            <w:tcBorders>
              <w:bottom w:val="single" w:sz="4" w:space="0" w:color="00B0F0"/>
            </w:tcBorders>
            <w:shd w:val="clear" w:color="auto" w:fill="003C71"/>
          </w:tcPr>
          <w:p w14:paraId="7A08726E" w14:textId="77777777" w:rsidR="008F5215" w:rsidRPr="00751816" w:rsidRDefault="008F5215" w:rsidP="00BE7111">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704" w:type="pct"/>
            <w:tcBorders>
              <w:bottom w:val="single" w:sz="4" w:space="0" w:color="00B0F0"/>
            </w:tcBorders>
            <w:shd w:val="clear" w:color="auto" w:fill="003C71"/>
          </w:tcPr>
          <w:p w14:paraId="311AE86A" w14:textId="77777777" w:rsidR="008F5215" w:rsidRPr="00751816" w:rsidRDefault="008F5215" w:rsidP="00BE7111">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8F5215" w:rsidRPr="00751816" w14:paraId="1E4AAA43" w14:textId="77777777" w:rsidTr="006771BA">
        <w:trPr>
          <w:trHeight w:val="283"/>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B0F0"/>
              <w:bottom w:val="single" w:sz="4" w:space="0" w:color="00B0F0"/>
            </w:tcBorders>
            <w:shd w:val="clear" w:color="auto" w:fill="00A3E0"/>
            <w:vAlign w:val="center"/>
          </w:tcPr>
          <w:p w14:paraId="37798E71" w14:textId="77777777" w:rsidR="008F5215" w:rsidRPr="00751816" w:rsidRDefault="008F5215" w:rsidP="00BE7111">
            <w:pPr>
              <w:spacing w:before="120" w:after="120" w:line="240" w:lineRule="atLeast"/>
              <w:contextualSpacing/>
              <w:rPr>
                <w:rFonts w:ascii="Tahoma" w:hAnsi="Tahoma" w:cs="Tahoma"/>
                <w:sz w:val="20"/>
              </w:rPr>
            </w:pPr>
            <w:r>
              <w:rPr>
                <w:rFonts w:ascii="Tahoma" w:hAnsi="Tahoma" w:cs="Tahoma"/>
                <w:sz w:val="20"/>
              </w:rPr>
              <w:t>2019/20</w:t>
            </w:r>
          </w:p>
        </w:tc>
        <w:tc>
          <w:tcPr>
            <w:tcW w:w="0" w:type="pct"/>
            <w:gridSpan w:val="4"/>
            <w:tcBorders>
              <w:top w:val="single" w:sz="4" w:space="0" w:color="00B0F0"/>
              <w:bottom w:val="single" w:sz="4" w:space="0" w:color="00B0F0"/>
            </w:tcBorders>
            <w:shd w:val="clear" w:color="auto" w:fill="00A3E0"/>
            <w:vAlign w:val="center"/>
          </w:tcPr>
          <w:p w14:paraId="4D5A5A65" w14:textId="77777777" w:rsidR="008F5215" w:rsidRPr="00751816" w:rsidRDefault="008F5215" w:rsidP="00BE711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04AE7">
              <w:rPr>
                <w:rFonts w:ascii="Tahoma" w:hAnsi="Tahoma" w:cs="Tahoma"/>
                <w:i/>
                <w:sz w:val="20"/>
              </w:rPr>
              <w:t xml:space="preserve">As set out in Appendix D, APA ceased to be a related party from 29 August 2014 </w:t>
            </w:r>
            <w:r>
              <w:rPr>
                <w:rFonts w:ascii="Tahoma" w:hAnsi="Tahoma" w:cs="Tahoma"/>
                <w:i/>
                <w:sz w:val="20"/>
              </w:rPr>
              <w:t>resulting from</w:t>
            </w:r>
            <w:r w:rsidRPr="00304AE7">
              <w:rPr>
                <w:rFonts w:ascii="Tahoma" w:hAnsi="Tahoma" w:cs="Tahoma"/>
                <w:i/>
                <w:sz w:val="20"/>
              </w:rPr>
              <w:t xml:space="preserve"> the current owners’ acquisition of the business.  </w:t>
            </w:r>
          </w:p>
        </w:tc>
      </w:tr>
      <w:tr w:rsidR="008F5215" w:rsidRPr="00751816" w14:paraId="4A56833E" w14:textId="77777777" w:rsidTr="006771BA">
        <w:trPr>
          <w:trHeight w:val="429"/>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B0F0"/>
              <w:bottom w:val="single" w:sz="4" w:space="0" w:color="00B0F0"/>
            </w:tcBorders>
            <w:shd w:val="clear" w:color="auto" w:fill="BFBFBF" w:themeFill="background1" w:themeFillShade="BF"/>
            <w:vAlign w:val="center"/>
          </w:tcPr>
          <w:p w14:paraId="31729073" w14:textId="77777777" w:rsidR="008F5215" w:rsidRDefault="008F5215" w:rsidP="00BE7111">
            <w:pPr>
              <w:spacing w:before="120" w:after="120" w:line="240" w:lineRule="atLeast"/>
              <w:contextualSpacing/>
              <w:rPr>
                <w:rFonts w:ascii="Tahoma" w:hAnsi="Tahoma" w:cs="Tahoma"/>
                <w:sz w:val="20"/>
              </w:rPr>
            </w:pPr>
          </w:p>
        </w:tc>
        <w:tc>
          <w:tcPr>
            <w:tcW w:w="0" w:type="pct"/>
            <w:gridSpan w:val="4"/>
            <w:tcBorders>
              <w:top w:val="single" w:sz="4" w:space="0" w:color="00B0F0"/>
              <w:bottom w:val="single" w:sz="4" w:space="0" w:color="00B0F0"/>
            </w:tcBorders>
            <w:vAlign w:val="center"/>
          </w:tcPr>
          <w:p w14:paraId="08BA6166" w14:textId="77777777" w:rsidR="008F5215" w:rsidRPr="00BE23E5" w:rsidRDefault="008F5215" w:rsidP="008F5215">
            <w:pPr>
              <w:cnfStyle w:val="000000000000" w:firstRow="0" w:lastRow="0" w:firstColumn="0" w:lastColumn="0" w:oddVBand="0" w:evenVBand="0" w:oddHBand="0" w:evenHBand="0" w:firstRowFirstColumn="0" w:firstRowLastColumn="0" w:lastRowFirstColumn="0" w:lastRowLastColumn="0"/>
              <w:rPr>
                <w:rFonts w:ascii="Tahoma" w:hAnsi="Tahoma" w:cs="Tahoma"/>
                <w:color w:val="00B0F0"/>
              </w:rPr>
            </w:pPr>
            <w:r>
              <w:rPr>
                <w:rFonts w:ascii="Tahoma" w:hAnsi="Tahoma" w:cs="Tahoma"/>
                <w:sz w:val="20"/>
              </w:rPr>
              <w:t>There were no payments greater than $1.0m received for AGN (SA) from a Related Party during 2019/20.</w:t>
            </w:r>
          </w:p>
          <w:p w14:paraId="441708B3" w14:textId="77777777" w:rsidR="008F5215" w:rsidRDefault="008F5215" w:rsidP="00BE711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2B58FB2" w14:textId="77777777" w:rsidR="008F5215" w:rsidRPr="00751816" w:rsidRDefault="008F5215" w:rsidP="00BE711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300C6">
              <w:rPr>
                <w:rFonts w:ascii="Tahoma" w:hAnsi="Tahoma" w:cs="Tahoma"/>
                <w:sz w:val="20"/>
              </w:rPr>
              <w:t>As such a ‘Null’ response is provided for this category of expenditure.</w:t>
            </w:r>
          </w:p>
        </w:tc>
      </w:tr>
    </w:tbl>
    <w:p w14:paraId="7F176FA6" w14:textId="77777777" w:rsidR="008F5215" w:rsidRPr="006771BA" w:rsidRDefault="008F5215" w:rsidP="00441F10">
      <w:pPr>
        <w:rPr>
          <w:rFonts w:ascii="Tahoma" w:hAnsi="Tahoma" w:cs="Tahoma"/>
          <w:sz w:val="20"/>
        </w:rPr>
      </w:pPr>
    </w:p>
    <w:p w14:paraId="35422B67" w14:textId="2B3A67AA" w:rsidR="002B2DFA" w:rsidRDefault="002B2DFA" w:rsidP="00A235C0">
      <w:pPr>
        <w:rPr>
          <w:rFonts w:ascii="Tahoma" w:hAnsi="Tahoma" w:cs="Tahoma"/>
          <w:color w:val="00B0F0"/>
        </w:rPr>
      </w:pPr>
      <w:r w:rsidRPr="00BE23E5">
        <w:rPr>
          <w:rFonts w:ascii="Tahoma" w:hAnsi="Tahoma" w:cs="Tahoma"/>
          <w:color w:val="00B0F0"/>
        </w:rPr>
        <w:t>F6.2.2 – Corresponding Expenses incurred by its own</w:t>
      </w:r>
    </w:p>
    <w:tbl>
      <w:tblPr>
        <w:tblStyle w:val="UETableStyle"/>
        <w:tblW w:w="4826" w:type="pct"/>
        <w:tblInd w:w="-10"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70"/>
        <w:gridCol w:w="4669"/>
        <w:gridCol w:w="2255"/>
        <w:gridCol w:w="2681"/>
        <w:gridCol w:w="1897"/>
      </w:tblGrid>
      <w:tr w:rsidR="008F5215" w:rsidRPr="00751816" w14:paraId="7E1FDF0D" w14:textId="77777777" w:rsidTr="00BE7111">
        <w:trPr>
          <w:cnfStyle w:val="100000000000" w:firstRow="1" w:lastRow="0" w:firstColumn="0" w:lastColumn="0" w:oddVBand="0" w:evenVBand="0" w:oddHBand="0" w:evenHBand="0" w:firstRowFirstColumn="0" w:firstRowLastColumn="0" w:lastRowFirstColumn="0" w:lastRowLastColumn="0"/>
          <w:trHeight w:val="21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35047178" w14:textId="77777777" w:rsidR="008F5215" w:rsidRPr="00751816" w:rsidRDefault="008F5215" w:rsidP="00BE7111">
            <w:pPr>
              <w:rPr>
                <w:rFonts w:ascii="Tahoma" w:hAnsi="Tahoma" w:cs="Tahoma"/>
                <w:b/>
                <w:color w:val="FFFFFF"/>
                <w:sz w:val="20"/>
              </w:rPr>
            </w:pPr>
            <w:r w:rsidRPr="00751816">
              <w:rPr>
                <w:rFonts w:ascii="Tahoma" w:hAnsi="Tahoma" w:cs="Tahoma"/>
                <w:b/>
                <w:color w:val="FFFFFF"/>
                <w:sz w:val="20"/>
              </w:rPr>
              <w:t xml:space="preserve">Variable </w:t>
            </w:r>
          </w:p>
        </w:tc>
        <w:tc>
          <w:tcPr>
            <w:tcW w:w="1733" w:type="pct"/>
            <w:tcBorders>
              <w:bottom w:val="single" w:sz="4" w:space="0" w:color="00B0F0"/>
            </w:tcBorders>
            <w:shd w:val="clear" w:color="auto" w:fill="003C71"/>
          </w:tcPr>
          <w:p w14:paraId="0681C690" w14:textId="77777777" w:rsidR="008F5215" w:rsidRPr="00751816" w:rsidRDefault="008F5215" w:rsidP="00BE7111">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7" w:type="pct"/>
            <w:tcBorders>
              <w:bottom w:val="single" w:sz="4" w:space="0" w:color="00B0F0"/>
            </w:tcBorders>
            <w:shd w:val="clear" w:color="auto" w:fill="003C71"/>
          </w:tcPr>
          <w:p w14:paraId="3BAB3E1B" w14:textId="77777777" w:rsidR="008F5215" w:rsidRPr="00751816" w:rsidRDefault="008F5215" w:rsidP="00BE7111">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5" w:type="pct"/>
            <w:tcBorders>
              <w:bottom w:val="single" w:sz="4" w:space="0" w:color="00B0F0"/>
            </w:tcBorders>
            <w:shd w:val="clear" w:color="auto" w:fill="003C71"/>
          </w:tcPr>
          <w:p w14:paraId="337A69B3" w14:textId="77777777" w:rsidR="008F5215" w:rsidRPr="00751816" w:rsidRDefault="008F5215" w:rsidP="00BE7111">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704" w:type="pct"/>
            <w:tcBorders>
              <w:bottom w:val="single" w:sz="4" w:space="0" w:color="00B0F0"/>
            </w:tcBorders>
            <w:shd w:val="clear" w:color="auto" w:fill="003C71"/>
          </w:tcPr>
          <w:p w14:paraId="7A35D456" w14:textId="77777777" w:rsidR="008F5215" w:rsidRPr="00751816" w:rsidRDefault="008F5215" w:rsidP="00BE7111">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8F5215" w:rsidRPr="00751816" w14:paraId="517A03E1" w14:textId="77777777" w:rsidTr="00BE7111">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00A3E0"/>
            <w:vAlign w:val="center"/>
          </w:tcPr>
          <w:p w14:paraId="27BCE0A6" w14:textId="77777777" w:rsidR="008F5215" w:rsidRPr="00751816" w:rsidRDefault="008F5215" w:rsidP="00BE7111">
            <w:pPr>
              <w:spacing w:before="120" w:after="120" w:line="240" w:lineRule="atLeast"/>
              <w:contextualSpacing/>
              <w:rPr>
                <w:rFonts w:ascii="Tahoma" w:hAnsi="Tahoma" w:cs="Tahoma"/>
                <w:sz w:val="20"/>
              </w:rPr>
            </w:pPr>
            <w:r>
              <w:rPr>
                <w:rFonts w:ascii="Tahoma" w:hAnsi="Tahoma" w:cs="Tahoma"/>
                <w:sz w:val="20"/>
              </w:rPr>
              <w:t>2019/20</w:t>
            </w:r>
          </w:p>
        </w:tc>
        <w:tc>
          <w:tcPr>
            <w:tcW w:w="4269" w:type="pct"/>
            <w:gridSpan w:val="4"/>
            <w:tcBorders>
              <w:top w:val="single" w:sz="4" w:space="0" w:color="00B0F0"/>
              <w:bottom w:val="single" w:sz="4" w:space="0" w:color="00B0F0"/>
            </w:tcBorders>
            <w:shd w:val="clear" w:color="auto" w:fill="00A3E0"/>
            <w:vAlign w:val="center"/>
          </w:tcPr>
          <w:p w14:paraId="1402FB93" w14:textId="77777777" w:rsidR="008F5215" w:rsidRPr="00751816" w:rsidRDefault="008F5215" w:rsidP="00BE711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8F5215" w:rsidRPr="00751816" w14:paraId="0D8566FE" w14:textId="77777777" w:rsidTr="00BE7111">
        <w:trPr>
          <w:trHeight w:val="429"/>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50F3A189" w14:textId="77777777" w:rsidR="008F5215" w:rsidRPr="00751816" w:rsidRDefault="008F5215" w:rsidP="00BE7111">
            <w:pPr>
              <w:spacing w:before="120" w:after="120" w:line="240" w:lineRule="atLeast"/>
              <w:contextualSpacing/>
              <w:rPr>
                <w:rFonts w:ascii="Tahoma" w:hAnsi="Tahoma" w:cs="Tahoma"/>
                <w:sz w:val="20"/>
              </w:rPr>
            </w:pPr>
          </w:p>
        </w:tc>
        <w:tc>
          <w:tcPr>
            <w:tcW w:w="4269" w:type="pct"/>
            <w:gridSpan w:val="4"/>
            <w:tcBorders>
              <w:top w:val="single" w:sz="4" w:space="0" w:color="00B0F0"/>
              <w:bottom w:val="single" w:sz="4" w:space="0" w:color="00B0F0"/>
            </w:tcBorders>
            <w:vAlign w:val="center"/>
          </w:tcPr>
          <w:p w14:paraId="34706E51" w14:textId="77777777" w:rsidR="008F5215" w:rsidRDefault="008F5215" w:rsidP="008F5215">
            <w:p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There were no payments greater than $1.0m received from a Related Party for AGN (SA) during 2019/20, hence there were also no corresponding expenses incurred by AGN Limited for AGN (SA).</w:t>
            </w:r>
          </w:p>
          <w:p w14:paraId="752A4B5A" w14:textId="77777777" w:rsidR="008F5215" w:rsidRDefault="008F5215" w:rsidP="00BE711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7299B36E" w14:textId="77777777" w:rsidR="008F5215" w:rsidRPr="00751816" w:rsidRDefault="008F5215" w:rsidP="00BE711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300C6">
              <w:rPr>
                <w:rFonts w:ascii="Tahoma" w:hAnsi="Tahoma" w:cs="Tahoma"/>
                <w:sz w:val="20"/>
              </w:rPr>
              <w:t>As such a ‘Null’ response is provided for this category of expenditure.</w:t>
            </w:r>
          </w:p>
        </w:tc>
      </w:tr>
    </w:tbl>
    <w:p w14:paraId="6F449491" w14:textId="77777777" w:rsidR="008F5215" w:rsidRDefault="008F5215" w:rsidP="00A235C0">
      <w:pPr>
        <w:rPr>
          <w:rFonts w:ascii="Tahoma" w:hAnsi="Tahoma" w:cs="Tahoma"/>
          <w:sz w:val="20"/>
        </w:rPr>
      </w:pPr>
    </w:p>
    <w:p w14:paraId="0CCA48A9" w14:textId="77777777" w:rsidR="006771BA" w:rsidRDefault="006771BA">
      <w:pPr>
        <w:rPr>
          <w:rFonts w:ascii="Tahoma" w:eastAsiaTheme="majorEastAsia" w:hAnsi="Tahoma" w:cs="Tahoma"/>
          <w:color w:val="003C71"/>
          <w:sz w:val="26"/>
          <w:szCs w:val="26"/>
        </w:rPr>
      </w:pPr>
      <w:r>
        <w:rPr>
          <w:rFonts w:ascii="Tahoma" w:hAnsi="Tahoma" w:cs="Tahoma"/>
          <w:color w:val="003C71"/>
        </w:rPr>
        <w:br w:type="page"/>
      </w:r>
    </w:p>
    <w:p w14:paraId="4687E483" w14:textId="64257A1B" w:rsidR="002B2DFA" w:rsidRDefault="002B2DFA" w:rsidP="0071215F">
      <w:pPr>
        <w:pStyle w:val="Heading2"/>
        <w:rPr>
          <w:rFonts w:ascii="Tahoma" w:hAnsi="Tahoma" w:cs="Tahoma"/>
          <w:color w:val="003C71"/>
        </w:rPr>
      </w:pPr>
      <w:bookmarkStart w:id="54" w:name="_Toc57314097"/>
      <w:r w:rsidRPr="0071215F">
        <w:rPr>
          <w:rFonts w:ascii="Tahoma" w:hAnsi="Tahoma" w:cs="Tahoma"/>
          <w:color w:val="003C71"/>
        </w:rPr>
        <w:lastRenderedPageBreak/>
        <w:t>F6.3 – Related Party Margin Expenditure – by Category</w:t>
      </w:r>
      <w:bookmarkEnd w:id="54"/>
      <w:r w:rsidRPr="0071215F">
        <w:rPr>
          <w:rFonts w:ascii="Tahoma" w:hAnsi="Tahoma" w:cs="Tahoma"/>
          <w:color w:val="003C71"/>
        </w:rPr>
        <w:t xml:space="preserve">  </w:t>
      </w:r>
    </w:p>
    <w:p w14:paraId="6656441D" w14:textId="7D0BCA9A" w:rsidR="002B2DFA" w:rsidRDefault="002B2DFA" w:rsidP="00A235C0">
      <w:pPr>
        <w:rPr>
          <w:rFonts w:ascii="Tahoma" w:hAnsi="Tahoma" w:cs="Tahoma"/>
          <w:color w:val="00B0F0"/>
        </w:rPr>
      </w:pPr>
      <w:r w:rsidRPr="00BE23E5">
        <w:rPr>
          <w:rFonts w:ascii="Tahoma" w:hAnsi="Tahoma" w:cs="Tahoma"/>
          <w:color w:val="00B0F0"/>
        </w:rPr>
        <w:t xml:space="preserve">F6.3.1 – Capex </w:t>
      </w:r>
    </w:p>
    <w:tbl>
      <w:tblPr>
        <w:tblStyle w:val="UETableStyle"/>
        <w:tblW w:w="4828" w:type="pct"/>
        <w:tblInd w:w="-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44"/>
        <w:gridCol w:w="4612"/>
        <w:gridCol w:w="2229"/>
        <w:gridCol w:w="2650"/>
        <w:gridCol w:w="2043"/>
      </w:tblGrid>
      <w:tr w:rsidR="00C22894" w:rsidRPr="00751816" w14:paraId="66946632" w14:textId="77777777" w:rsidTr="006771BA">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721" w:type="pct"/>
            <w:tcBorders>
              <w:bottom w:val="single" w:sz="4" w:space="0" w:color="00B0F0"/>
            </w:tcBorders>
            <w:shd w:val="clear" w:color="auto" w:fill="003C71"/>
            <w:hideMark/>
          </w:tcPr>
          <w:p w14:paraId="36F05178" w14:textId="55E94CC9" w:rsidR="00C22894" w:rsidRPr="00751816" w:rsidRDefault="008300C6" w:rsidP="001C016D">
            <w:pPr>
              <w:rPr>
                <w:rFonts w:ascii="Tahoma" w:hAnsi="Tahoma" w:cs="Tahoma"/>
                <w:b/>
                <w:color w:val="FFFFFF"/>
                <w:sz w:val="20"/>
              </w:rPr>
            </w:pPr>
            <w:r>
              <w:rPr>
                <w:rFonts w:ascii="Tahoma" w:hAnsi="Tahoma" w:cs="Tahoma"/>
                <w:b/>
                <w:color w:val="FFFFFF"/>
                <w:sz w:val="20"/>
              </w:rPr>
              <w:t xml:space="preserve">Variable </w:t>
            </w:r>
          </w:p>
        </w:tc>
        <w:tc>
          <w:tcPr>
            <w:tcW w:w="1711" w:type="pct"/>
            <w:tcBorders>
              <w:bottom w:val="single" w:sz="4" w:space="0" w:color="00B0F0"/>
            </w:tcBorders>
            <w:shd w:val="clear" w:color="auto" w:fill="003C71"/>
          </w:tcPr>
          <w:p w14:paraId="0629DE55" w14:textId="6CBE26F4" w:rsidR="00C22894" w:rsidRPr="00751816" w:rsidRDefault="00C2289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Data source, Methodology and Assumptions</w:t>
            </w:r>
          </w:p>
        </w:tc>
        <w:tc>
          <w:tcPr>
            <w:tcW w:w="827" w:type="pct"/>
            <w:tcBorders>
              <w:bottom w:val="single" w:sz="4" w:space="0" w:color="00B0F0"/>
            </w:tcBorders>
            <w:shd w:val="clear" w:color="auto" w:fill="003C71"/>
          </w:tcPr>
          <w:p w14:paraId="0F43117D" w14:textId="77777777" w:rsidR="00C22894" w:rsidRPr="00751816" w:rsidRDefault="00C2289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83" w:type="pct"/>
            <w:tcBorders>
              <w:bottom w:val="single" w:sz="4" w:space="0" w:color="00B0F0"/>
            </w:tcBorders>
            <w:shd w:val="clear" w:color="auto" w:fill="003C71"/>
          </w:tcPr>
          <w:p w14:paraId="1B029B24" w14:textId="77777777" w:rsidR="00C22894" w:rsidRPr="00751816" w:rsidRDefault="00C2289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757" w:type="pct"/>
            <w:tcBorders>
              <w:bottom w:val="single" w:sz="4" w:space="0" w:color="00B0F0"/>
            </w:tcBorders>
            <w:shd w:val="clear" w:color="auto" w:fill="003C71"/>
          </w:tcPr>
          <w:p w14:paraId="4E06666E" w14:textId="77777777" w:rsidR="00C22894" w:rsidRPr="00751816" w:rsidRDefault="00C2289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CF7EF9" w:rsidRPr="00751816" w14:paraId="35617217" w14:textId="77777777" w:rsidTr="006771BA">
        <w:trPr>
          <w:trHeight w:val="283"/>
        </w:trPr>
        <w:tc>
          <w:tcPr>
            <w:cnfStyle w:val="001000000000" w:firstRow="0" w:lastRow="0" w:firstColumn="1" w:lastColumn="0" w:oddVBand="0" w:evenVBand="0" w:oddHBand="0" w:evenHBand="0" w:firstRowFirstColumn="0" w:firstRowLastColumn="0" w:lastRowFirstColumn="0" w:lastRowLastColumn="0"/>
            <w:tcW w:w="721" w:type="pct"/>
            <w:tcBorders>
              <w:top w:val="single" w:sz="4" w:space="0" w:color="00B0F0"/>
              <w:bottom w:val="single" w:sz="4" w:space="0" w:color="00B0F0"/>
            </w:tcBorders>
            <w:shd w:val="clear" w:color="auto" w:fill="00B0F0"/>
            <w:vAlign w:val="center"/>
          </w:tcPr>
          <w:p w14:paraId="7D2C05C7" w14:textId="74643E07" w:rsidR="00CF7EF9" w:rsidRPr="00CF7EF9" w:rsidRDefault="008418D3" w:rsidP="001C016D">
            <w:pPr>
              <w:spacing w:before="120" w:after="120" w:line="240" w:lineRule="atLeast"/>
              <w:contextualSpacing/>
              <w:rPr>
                <w:rFonts w:ascii="Tahoma" w:hAnsi="Tahoma" w:cs="Tahoma"/>
                <w:sz w:val="20"/>
              </w:rPr>
            </w:pPr>
            <w:r>
              <w:rPr>
                <w:rFonts w:ascii="Tahoma" w:hAnsi="Tahoma" w:cs="Tahoma"/>
                <w:sz w:val="20"/>
              </w:rPr>
              <w:t>2019/20</w:t>
            </w:r>
          </w:p>
        </w:tc>
        <w:tc>
          <w:tcPr>
            <w:tcW w:w="4279" w:type="pct"/>
            <w:gridSpan w:val="4"/>
            <w:tcBorders>
              <w:top w:val="single" w:sz="4" w:space="0" w:color="00B0F0"/>
              <w:bottom w:val="single" w:sz="4" w:space="0" w:color="00B0F0"/>
            </w:tcBorders>
            <w:shd w:val="clear" w:color="auto" w:fill="00B0F0"/>
            <w:vAlign w:val="center"/>
          </w:tcPr>
          <w:p w14:paraId="33F411F3" w14:textId="4253A0A1" w:rsidR="00CF7EF9" w:rsidRPr="00CF7EF9" w:rsidRDefault="00855D25" w:rsidP="00441F10">
            <w:pP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04AE7">
              <w:rPr>
                <w:rFonts w:ascii="Tahoma" w:hAnsi="Tahoma" w:cs="Tahoma"/>
                <w:i/>
                <w:sz w:val="20"/>
              </w:rPr>
              <w:t xml:space="preserve">As set out in Appendix D, APA ceased to be a related party from 29 August 2014 </w:t>
            </w:r>
            <w:r>
              <w:rPr>
                <w:rFonts w:ascii="Tahoma" w:hAnsi="Tahoma" w:cs="Tahoma"/>
                <w:i/>
                <w:sz w:val="20"/>
              </w:rPr>
              <w:t>resulting from</w:t>
            </w:r>
            <w:r w:rsidRPr="00304AE7">
              <w:rPr>
                <w:rFonts w:ascii="Tahoma" w:hAnsi="Tahoma" w:cs="Tahoma"/>
                <w:i/>
                <w:sz w:val="20"/>
              </w:rPr>
              <w:t xml:space="preserve"> the current owners’ acquisition of the business.  </w:t>
            </w:r>
          </w:p>
        </w:tc>
      </w:tr>
      <w:tr w:rsidR="001567EF" w:rsidRPr="00751816" w14:paraId="13010DAA" w14:textId="77777777" w:rsidTr="006771BA">
        <w:trPr>
          <w:trHeight w:val="436"/>
        </w:trPr>
        <w:tc>
          <w:tcPr>
            <w:cnfStyle w:val="001000000000" w:firstRow="0" w:lastRow="0" w:firstColumn="1" w:lastColumn="0" w:oddVBand="0" w:evenVBand="0" w:oddHBand="0" w:evenHBand="0" w:firstRowFirstColumn="0" w:firstRowLastColumn="0" w:lastRowFirstColumn="0" w:lastRowLastColumn="0"/>
            <w:tcW w:w="721" w:type="pct"/>
            <w:tcBorders>
              <w:top w:val="single" w:sz="4" w:space="0" w:color="00B0F0"/>
              <w:bottom w:val="single" w:sz="4" w:space="0" w:color="00B0F0"/>
            </w:tcBorders>
            <w:shd w:val="clear" w:color="auto" w:fill="D9D9D9" w:themeFill="background1" w:themeFillShade="D9"/>
            <w:vAlign w:val="center"/>
          </w:tcPr>
          <w:p w14:paraId="66217D01" w14:textId="5FCF1B7F" w:rsidR="001567EF" w:rsidRPr="00751816" w:rsidRDefault="001567EF" w:rsidP="001C016D">
            <w:pPr>
              <w:spacing w:before="120" w:after="120" w:line="240" w:lineRule="atLeast"/>
              <w:contextualSpacing/>
              <w:rPr>
                <w:rFonts w:ascii="Tahoma" w:hAnsi="Tahoma" w:cs="Tahoma"/>
                <w:sz w:val="20"/>
              </w:rPr>
            </w:pPr>
          </w:p>
        </w:tc>
        <w:tc>
          <w:tcPr>
            <w:tcW w:w="4279" w:type="pct"/>
            <w:gridSpan w:val="4"/>
            <w:tcBorders>
              <w:top w:val="single" w:sz="4" w:space="0" w:color="00B0F0"/>
              <w:bottom w:val="single" w:sz="4" w:space="0" w:color="00B0F0"/>
            </w:tcBorders>
            <w:vAlign w:val="center"/>
          </w:tcPr>
          <w:p w14:paraId="5C4AD031" w14:textId="1756E888" w:rsidR="00F10BCA" w:rsidRPr="00751816" w:rsidRDefault="00F10BCA" w:rsidP="00F10BCA">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Limited </w:t>
            </w:r>
            <w:r w:rsidR="000D1C3F">
              <w:rPr>
                <w:rFonts w:ascii="Tahoma" w:hAnsi="Tahoma" w:cs="Tahoma"/>
                <w:sz w:val="20"/>
              </w:rPr>
              <w:t>made</w:t>
            </w:r>
            <w:r>
              <w:rPr>
                <w:rFonts w:ascii="Tahoma" w:hAnsi="Tahoma" w:cs="Tahoma"/>
                <w:sz w:val="20"/>
              </w:rPr>
              <w:t xml:space="preserve"> no related party </w:t>
            </w:r>
            <w:r w:rsidR="00304AE7">
              <w:rPr>
                <w:rFonts w:ascii="Tahoma" w:hAnsi="Tahoma" w:cs="Tahoma"/>
                <w:sz w:val="20"/>
              </w:rPr>
              <w:t xml:space="preserve">Capex </w:t>
            </w:r>
            <w:r>
              <w:rPr>
                <w:rFonts w:ascii="Tahoma" w:hAnsi="Tahoma" w:cs="Tahoma"/>
                <w:sz w:val="20"/>
              </w:rPr>
              <w:t xml:space="preserve">payments </w:t>
            </w:r>
            <w:r w:rsidR="000D1C3F">
              <w:rPr>
                <w:rFonts w:ascii="Tahoma" w:hAnsi="Tahoma" w:cs="Tahoma"/>
                <w:sz w:val="20"/>
              </w:rPr>
              <w:t xml:space="preserve">for AGN (SA) </w:t>
            </w:r>
            <w:r>
              <w:rPr>
                <w:rFonts w:ascii="Tahoma" w:hAnsi="Tahoma" w:cs="Tahoma"/>
                <w:sz w:val="20"/>
              </w:rPr>
              <w:t xml:space="preserve">after 29 August 2014 when the current owners acquired the business and therefore has no related party margin </w:t>
            </w:r>
            <w:r w:rsidR="007D4FD3">
              <w:rPr>
                <w:rFonts w:ascii="Tahoma" w:hAnsi="Tahoma" w:cs="Tahoma"/>
                <w:sz w:val="20"/>
              </w:rPr>
              <w:t xml:space="preserve">Capex </w:t>
            </w:r>
            <w:r>
              <w:rPr>
                <w:rFonts w:ascii="Tahoma" w:hAnsi="Tahoma" w:cs="Tahoma"/>
                <w:sz w:val="20"/>
              </w:rPr>
              <w:t>expenditure for 2019/20.</w:t>
            </w:r>
          </w:p>
          <w:p w14:paraId="2C58E9C1" w14:textId="77777777" w:rsidR="008300C6" w:rsidRDefault="008300C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C63FD81" w14:textId="4C0D112E" w:rsidR="001567EF" w:rsidRPr="00751816" w:rsidRDefault="001567E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Thus we provide a ‘Null’ response in the reporting template. </w:t>
            </w:r>
          </w:p>
        </w:tc>
      </w:tr>
    </w:tbl>
    <w:p w14:paraId="5DA55B13" w14:textId="77777777" w:rsidR="000C65E7" w:rsidRPr="00BE23E5" w:rsidRDefault="000C65E7" w:rsidP="00A235C0">
      <w:pPr>
        <w:rPr>
          <w:rFonts w:ascii="Tahoma" w:hAnsi="Tahoma" w:cs="Tahoma"/>
          <w:color w:val="00B0F0"/>
        </w:rPr>
      </w:pPr>
    </w:p>
    <w:p w14:paraId="167FF42A" w14:textId="48686058" w:rsidR="002B2DFA" w:rsidRDefault="002B2DFA" w:rsidP="00A235C0">
      <w:pPr>
        <w:rPr>
          <w:rFonts w:ascii="Tahoma" w:hAnsi="Tahoma" w:cs="Tahoma"/>
          <w:color w:val="00B0F0"/>
        </w:rPr>
      </w:pPr>
      <w:r w:rsidRPr="00BE23E5">
        <w:rPr>
          <w:rFonts w:ascii="Tahoma" w:hAnsi="Tahoma" w:cs="Tahoma"/>
          <w:color w:val="00B0F0"/>
        </w:rPr>
        <w:t xml:space="preserve">F6.3.2 – Opex </w:t>
      </w:r>
    </w:p>
    <w:tbl>
      <w:tblPr>
        <w:tblStyle w:val="UETableStyle"/>
        <w:tblW w:w="4831"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71"/>
        <w:gridCol w:w="4671"/>
        <w:gridCol w:w="2258"/>
        <w:gridCol w:w="2684"/>
        <w:gridCol w:w="1902"/>
      </w:tblGrid>
      <w:tr w:rsidR="00C22894" w:rsidRPr="00751816" w14:paraId="16BC4A98" w14:textId="77777777" w:rsidTr="006771BA">
        <w:trPr>
          <w:cnfStyle w:val="100000000000" w:firstRow="1" w:lastRow="0" w:firstColumn="0" w:lastColumn="0" w:oddVBand="0" w:evenVBand="0" w:oddHBand="0" w:evenHBand="0" w:firstRowFirstColumn="0" w:firstRowLastColumn="0" w:lastRowFirstColumn="0" w:lastRowLastColumn="0"/>
          <w:trHeight w:val="215"/>
          <w:tblHeader/>
        </w:trPr>
        <w:tc>
          <w:tcPr>
            <w:cnfStyle w:val="001000000000" w:firstRow="0" w:lastRow="0" w:firstColumn="1" w:lastColumn="0" w:oddVBand="0" w:evenVBand="0" w:oddHBand="0" w:evenHBand="0" w:firstRowFirstColumn="0" w:firstRowLastColumn="0" w:lastRowFirstColumn="0" w:lastRowLastColumn="0"/>
            <w:tcW w:w="731" w:type="pct"/>
            <w:tcBorders>
              <w:bottom w:val="single" w:sz="4" w:space="0" w:color="00B0F0"/>
            </w:tcBorders>
            <w:shd w:val="clear" w:color="auto" w:fill="003C71"/>
            <w:hideMark/>
          </w:tcPr>
          <w:p w14:paraId="4190BDA4" w14:textId="6529943F" w:rsidR="00C22894" w:rsidRPr="00751816" w:rsidRDefault="00C22894" w:rsidP="00443597">
            <w:pPr>
              <w:rPr>
                <w:rFonts w:ascii="Tahoma" w:hAnsi="Tahoma" w:cs="Tahoma"/>
                <w:b/>
                <w:color w:val="FFFFFF"/>
                <w:sz w:val="20"/>
              </w:rPr>
            </w:pPr>
            <w:r w:rsidRPr="00751816">
              <w:rPr>
                <w:rFonts w:ascii="Tahoma" w:hAnsi="Tahoma" w:cs="Tahoma"/>
                <w:b/>
                <w:color w:val="FFFFFF"/>
                <w:sz w:val="20"/>
              </w:rPr>
              <w:t xml:space="preserve">Variable </w:t>
            </w:r>
          </w:p>
        </w:tc>
        <w:tc>
          <w:tcPr>
            <w:tcW w:w="1732" w:type="pct"/>
            <w:tcBorders>
              <w:bottom w:val="single" w:sz="4" w:space="0" w:color="00B0F0"/>
            </w:tcBorders>
            <w:shd w:val="clear" w:color="auto" w:fill="003C71"/>
          </w:tcPr>
          <w:p w14:paraId="68C8033C" w14:textId="77777777" w:rsidR="00C22894" w:rsidRPr="00751816" w:rsidRDefault="00C2289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7" w:type="pct"/>
            <w:tcBorders>
              <w:bottom w:val="single" w:sz="4" w:space="0" w:color="00B0F0"/>
            </w:tcBorders>
            <w:shd w:val="clear" w:color="auto" w:fill="003C71"/>
          </w:tcPr>
          <w:p w14:paraId="5C30F9A6" w14:textId="77777777" w:rsidR="00C22894" w:rsidRPr="00751816" w:rsidRDefault="00C2289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5" w:type="pct"/>
            <w:tcBorders>
              <w:bottom w:val="single" w:sz="4" w:space="0" w:color="00B0F0"/>
            </w:tcBorders>
            <w:shd w:val="clear" w:color="auto" w:fill="003C71"/>
          </w:tcPr>
          <w:p w14:paraId="5DE641E0" w14:textId="77777777" w:rsidR="00C22894" w:rsidRPr="00751816" w:rsidRDefault="00C2289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706" w:type="pct"/>
            <w:tcBorders>
              <w:bottom w:val="single" w:sz="4" w:space="0" w:color="00B0F0"/>
            </w:tcBorders>
            <w:shd w:val="clear" w:color="auto" w:fill="003C71"/>
          </w:tcPr>
          <w:p w14:paraId="657A0FC8" w14:textId="77777777" w:rsidR="00C22894" w:rsidRPr="00751816" w:rsidRDefault="00C2289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7F6951" w:rsidRPr="00751816" w14:paraId="7997D73D" w14:textId="77777777" w:rsidTr="006771BA">
        <w:trPr>
          <w:trHeight w:val="283"/>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shd w:val="clear" w:color="auto" w:fill="00A3E0"/>
            <w:vAlign w:val="center"/>
          </w:tcPr>
          <w:p w14:paraId="25CA0F86" w14:textId="018BA217" w:rsidR="007F6951" w:rsidRDefault="008418D3" w:rsidP="001C016D">
            <w:pPr>
              <w:spacing w:before="120" w:after="120" w:line="240" w:lineRule="atLeast"/>
              <w:contextualSpacing/>
              <w:rPr>
                <w:rFonts w:ascii="Tahoma" w:hAnsi="Tahoma" w:cs="Tahoma"/>
                <w:sz w:val="20"/>
              </w:rPr>
            </w:pPr>
            <w:r>
              <w:rPr>
                <w:rFonts w:ascii="Tahoma" w:hAnsi="Tahoma" w:cs="Tahoma"/>
                <w:sz w:val="20"/>
              </w:rPr>
              <w:t>2019/20</w:t>
            </w:r>
          </w:p>
        </w:tc>
        <w:tc>
          <w:tcPr>
            <w:tcW w:w="4269" w:type="pct"/>
            <w:gridSpan w:val="4"/>
            <w:tcBorders>
              <w:top w:val="single" w:sz="4" w:space="0" w:color="00B0F0"/>
              <w:bottom w:val="single" w:sz="4" w:space="0" w:color="00B0F0"/>
            </w:tcBorders>
            <w:shd w:val="clear" w:color="auto" w:fill="00A3E0"/>
            <w:vAlign w:val="center"/>
          </w:tcPr>
          <w:p w14:paraId="644D03CE" w14:textId="71EA8C96" w:rsidR="00304AE7" w:rsidRPr="00855D25" w:rsidRDefault="00855D2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i/>
                <w:sz w:val="20"/>
              </w:rPr>
            </w:pPr>
            <w:r w:rsidRPr="00855D25">
              <w:rPr>
                <w:rFonts w:ascii="Tahoma" w:hAnsi="Tahoma" w:cs="Tahoma"/>
                <w:i/>
                <w:sz w:val="20"/>
              </w:rPr>
              <w:t>As set out in Appendix D, APA ceased to be a related party from 29 August 2014 upon the current owners’ acquisition of the business.</w:t>
            </w:r>
          </w:p>
        </w:tc>
      </w:tr>
      <w:tr w:rsidR="00304AE7" w:rsidRPr="00751816" w14:paraId="3B14871C" w14:textId="77777777" w:rsidTr="006771BA">
        <w:trPr>
          <w:trHeight w:val="429"/>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B0F0"/>
              <w:bottom w:val="single" w:sz="4" w:space="0" w:color="00B0F0"/>
            </w:tcBorders>
            <w:vAlign w:val="center"/>
          </w:tcPr>
          <w:p w14:paraId="51294475" w14:textId="3DD62AF5" w:rsidR="00304AE7" w:rsidRDefault="00304AE7" w:rsidP="001C016D">
            <w:pPr>
              <w:spacing w:before="120" w:after="120" w:line="240" w:lineRule="atLeast"/>
              <w:contextualSpacing/>
              <w:rPr>
                <w:rFonts w:ascii="Tahoma" w:hAnsi="Tahoma" w:cs="Tahoma"/>
                <w:sz w:val="20"/>
              </w:rPr>
            </w:pPr>
          </w:p>
        </w:tc>
        <w:tc>
          <w:tcPr>
            <w:tcW w:w="4269" w:type="pct"/>
            <w:gridSpan w:val="4"/>
            <w:tcBorders>
              <w:top w:val="single" w:sz="4" w:space="0" w:color="00B0F0"/>
              <w:bottom w:val="single" w:sz="4" w:space="0" w:color="00B0F0"/>
            </w:tcBorders>
            <w:vAlign w:val="center"/>
          </w:tcPr>
          <w:p w14:paraId="6993A7C2" w14:textId="57C2F99F" w:rsidR="00304AE7" w:rsidRDefault="00304AE7" w:rsidP="00304AE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AGN Limited had no related party Opex payments </w:t>
            </w:r>
            <w:r w:rsidR="000D1C3F">
              <w:rPr>
                <w:rFonts w:ascii="Tahoma" w:hAnsi="Tahoma" w:cs="Tahoma"/>
                <w:sz w:val="20"/>
              </w:rPr>
              <w:t xml:space="preserve">for AGN (SA) </w:t>
            </w:r>
            <w:r>
              <w:rPr>
                <w:rFonts w:ascii="Tahoma" w:hAnsi="Tahoma" w:cs="Tahoma"/>
                <w:sz w:val="20"/>
              </w:rPr>
              <w:t>after 29 August 2014 when the current owners acquired the business</w:t>
            </w:r>
            <w:r w:rsidR="007D4FD3">
              <w:rPr>
                <w:rFonts w:ascii="Tahoma" w:hAnsi="Tahoma" w:cs="Tahoma"/>
                <w:sz w:val="20"/>
              </w:rPr>
              <w:t xml:space="preserve"> and therefore has no related party margin </w:t>
            </w:r>
            <w:r w:rsidR="008F5215">
              <w:rPr>
                <w:rFonts w:ascii="Tahoma" w:hAnsi="Tahoma" w:cs="Tahoma"/>
                <w:sz w:val="20"/>
              </w:rPr>
              <w:t>Opex</w:t>
            </w:r>
            <w:r w:rsidR="007D4FD3">
              <w:rPr>
                <w:rFonts w:ascii="Tahoma" w:hAnsi="Tahoma" w:cs="Tahoma"/>
                <w:sz w:val="20"/>
              </w:rPr>
              <w:t xml:space="preserve"> expenditure for 2019/20</w:t>
            </w:r>
            <w:r>
              <w:rPr>
                <w:rFonts w:ascii="Tahoma" w:hAnsi="Tahoma" w:cs="Tahoma"/>
                <w:sz w:val="20"/>
              </w:rPr>
              <w:t>.</w:t>
            </w:r>
          </w:p>
          <w:p w14:paraId="04F189B3" w14:textId="0F7B21A1" w:rsidR="00304AE7" w:rsidRDefault="00304AE7" w:rsidP="00304AE7">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3A4F9EC" w14:textId="0903C04C" w:rsidR="00304AE7" w:rsidRPr="00751816" w:rsidRDefault="00304AE7" w:rsidP="00441F10">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Thus we provide a ‘Null’ response in the reporting template.</w:t>
            </w:r>
          </w:p>
        </w:tc>
      </w:tr>
    </w:tbl>
    <w:p w14:paraId="2E2A27CC" w14:textId="77777777" w:rsidR="008444C1" w:rsidRPr="00C4077D" w:rsidRDefault="008444C1" w:rsidP="00C4077D">
      <w:pPr>
        <w:rPr>
          <w:rFonts w:ascii="Tahoma" w:hAnsi="Tahoma" w:cs="Tahoma"/>
          <w:sz w:val="20"/>
        </w:rPr>
      </w:pPr>
    </w:p>
    <w:p w14:paraId="33585041" w14:textId="77777777" w:rsidR="00855D25" w:rsidRDefault="00855D25">
      <w:pPr>
        <w:rPr>
          <w:rFonts w:ascii="Tahoma" w:eastAsiaTheme="majorEastAsia" w:hAnsi="Tahoma" w:cs="Tahoma"/>
          <w:color w:val="003C71"/>
          <w:sz w:val="26"/>
          <w:szCs w:val="26"/>
        </w:rPr>
      </w:pPr>
      <w:r>
        <w:rPr>
          <w:rFonts w:ascii="Tahoma" w:hAnsi="Tahoma" w:cs="Tahoma"/>
          <w:color w:val="003C71"/>
        </w:rPr>
        <w:br w:type="page"/>
      </w:r>
    </w:p>
    <w:p w14:paraId="45C6AAC0" w14:textId="649E98C9" w:rsidR="002B2DFA" w:rsidRDefault="002B2DFA" w:rsidP="0071215F">
      <w:pPr>
        <w:pStyle w:val="Heading2"/>
        <w:rPr>
          <w:rFonts w:ascii="Tahoma" w:hAnsi="Tahoma" w:cs="Tahoma"/>
          <w:color w:val="003C71"/>
        </w:rPr>
      </w:pPr>
      <w:bookmarkStart w:id="55" w:name="_Toc57314098"/>
      <w:r w:rsidRPr="0071215F">
        <w:rPr>
          <w:rFonts w:ascii="Tahoma" w:hAnsi="Tahoma" w:cs="Tahoma"/>
          <w:color w:val="003C71"/>
        </w:rPr>
        <w:lastRenderedPageBreak/>
        <w:t>F6.4 – Percentage of Capex Outsourced to Related Party</w:t>
      </w:r>
      <w:bookmarkEnd w:id="55"/>
      <w:r w:rsidRPr="0071215F">
        <w:rPr>
          <w:rFonts w:ascii="Tahoma" w:hAnsi="Tahoma" w:cs="Tahoma"/>
          <w:color w:val="003C71"/>
        </w:rPr>
        <w:t xml:space="preserve"> </w:t>
      </w:r>
    </w:p>
    <w:tbl>
      <w:tblPr>
        <w:tblStyle w:val="UETableStyle"/>
        <w:tblW w:w="4770" w:type="pct"/>
        <w:tblInd w:w="-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44"/>
        <w:gridCol w:w="4613"/>
        <w:gridCol w:w="2229"/>
        <w:gridCol w:w="2650"/>
        <w:gridCol w:w="1880"/>
      </w:tblGrid>
      <w:tr w:rsidR="00C22894" w:rsidRPr="00751816" w14:paraId="692EB6F4" w14:textId="77777777" w:rsidTr="001C016D">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730" w:type="pct"/>
            <w:tcBorders>
              <w:bottom w:val="single" w:sz="4" w:space="0" w:color="00B0F0"/>
            </w:tcBorders>
            <w:shd w:val="clear" w:color="auto" w:fill="003C71"/>
            <w:hideMark/>
          </w:tcPr>
          <w:p w14:paraId="19E2D847" w14:textId="0B1DBDEE" w:rsidR="00C22894" w:rsidRPr="00751816" w:rsidRDefault="00C22894" w:rsidP="008300C6">
            <w:pPr>
              <w:rPr>
                <w:rFonts w:ascii="Tahoma" w:hAnsi="Tahoma" w:cs="Tahoma"/>
                <w:b/>
                <w:color w:val="FFFFFF"/>
                <w:sz w:val="20"/>
              </w:rPr>
            </w:pPr>
            <w:r w:rsidRPr="00751816">
              <w:rPr>
                <w:rFonts w:ascii="Tahoma" w:hAnsi="Tahoma" w:cs="Tahoma"/>
                <w:b/>
                <w:color w:val="FFFFFF"/>
                <w:sz w:val="20"/>
              </w:rPr>
              <w:t xml:space="preserve">Variable </w:t>
            </w:r>
          </w:p>
        </w:tc>
        <w:tc>
          <w:tcPr>
            <w:tcW w:w="1732" w:type="pct"/>
            <w:tcBorders>
              <w:bottom w:val="single" w:sz="4" w:space="0" w:color="00B0F0"/>
            </w:tcBorders>
            <w:shd w:val="clear" w:color="auto" w:fill="003C71"/>
          </w:tcPr>
          <w:p w14:paraId="2E8FD351" w14:textId="77777777" w:rsidR="00C22894" w:rsidRPr="00751816" w:rsidRDefault="00C2289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7" w:type="pct"/>
            <w:tcBorders>
              <w:bottom w:val="single" w:sz="4" w:space="0" w:color="00B0F0"/>
            </w:tcBorders>
            <w:shd w:val="clear" w:color="auto" w:fill="003C71"/>
          </w:tcPr>
          <w:p w14:paraId="5EAA94C1" w14:textId="77777777" w:rsidR="00C22894" w:rsidRPr="00751816" w:rsidRDefault="00C2289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5" w:type="pct"/>
            <w:tcBorders>
              <w:bottom w:val="single" w:sz="4" w:space="0" w:color="00B0F0"/>
            </w:tcBorders>
            <w:shd w:val="clear" w:color="auto" w:fill="003C71"/>
          </w:tcPr>
          <w:p w14:paraId="51199125" w14:textId="77777777" w:rsidR="00C22894" w:rsidRPr="00751816" w:rsidRDefault="00C2289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706" w:type="pct"/>
            <w:tcBorders>
              <w:bottom w:val="single" w:sz="4" w:space="0" w:color="00B0F0"/>
            </w:tcBorders>
            <w:shd w:val="clear" w:color="auto" w:fill="003C71"/>
          </w:tcPr>
          <w:p w14:paraId="5CE21AE5" w14:textId="77777777" w:rsidR="00C22894" w:rsidRPr="00751816" w:rsidRDefault="00C2289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C36866" w:rsidRPr="00751816" w14:paraId="708A1107" w14:textId="77777777" w:rsidTr="00C36866">
        <w:trPr>
          <w:trHeight w:val="283"/>
        </w:trPr>
        <w:tc>
          <w:tcPr>
            <w:cnfStyle w:val="001000000000" w:firstRow="0" w:lastRow="0" w:firstColumn="1" w:lastColumn="0" w:oddVBand="0" w:evenVBand="0" w:oddHBand="0" w:evenHBand="0" w:firstRowFirstColumn="0" w:firstRowLastColumn="0" w:lastRowFirstColumn="0" w:lastRowLastColumn="0"/>
            <w:tcW w:w="730" w:type="pct"/>
            <w:tcBorders>
              <w:top w:val="single" w:sz="4" w:space="0" w:color="00B0F0"/>
              <w:bottom w:val="single" w:sz="4" w:space="0" w:color="00B0F0"/>
            </w:tcBorders>
            <w:shd w:val="clear" w:color="auto" w:fill="00B0F0"/>
            <w:vAlign w:val="center"/>
          </w:tcPr>
          <w:p w14:paraId="376BBA56" w14:textId="5B2ADC70" w:rsidR="00C36866" w:rsidRPr="00751816" w:rsidRDefault="00C36866" w:rsidP="001C016D">
            <w:pPr>
              <w:spacing w:before="120" w:after="120" w:line="240" w:lineRule="atLeast"/>
              <w:contextualSpacing/>
              <w:rPr>
                <w:rFonts w:ascii="Tahoma" w:hAnsi="Tahoma" w:cs="Tahoma"/>
                <w:sz w:val="20"/>
              </w:rPr>
            </w:pPr>
            <w:r>
              <w:rPr>
                <w:rFonts w:ascii="Tahoma" w:hAnsi="Tahoma" w:cs="Tahoma"/>
                <w:sz w:val="20"/>
              </w:rPr>
              <w:t>2019/20</w:t>
            </w:r>
          </w:p>
        </w:tc>
        <w:tc>
          <w:tcPr>
            <w:tcW w:w="4270" w:type="pct"/>
            <w:gridSpan w:val="4"/>
            <w:tcBorders>
              <w:top w:val="single" w:sz="4" w:space="0" w:color="00B0F0"/>
              <w:bottom w:val="single" w:sz="4" w:space="0" w:color="00B0F0"/>
            </w:tcBorders>
            <w:shd w:val="clear" w:color="auto" w:fill="00B0F0"/>
            <w:vAlign w:val="center"/>
          </w:tcPr>
          <w:p w14:paraId="4FFE798E" w14:textId="291B9325" w:rsidR="00C36866" w:rsidRDefault="000D1C3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04AE7">
              <w:rPr>
                <w:rFonts w:ascii="Tahoma" w:hAnsi="Tahoma" w:cs="Tahoma"/>
                <w:i/>
                <w:sz w:val="20"/>
              </w:rPr>
              <w:t xml:space="preserve">As set out in Appendix D, APA ceased to be a related party from 29 August 2014 </w:t>
            </w:r>
            <w:r>
              <w:rPr>
                <w:rFonts w:ascii="Tahoma" w:hAnsi="Tahoma" w:cs="Tahoma"/>
                <w:i/>
                <w:sz w:val="20"/>
              </w:rPr>
              <w:t>resulting from</w:t>
            </w:r>
            <w:r w:rsidRPr="00304AE7">
              <w:rPr>
                <w:rFonts w:ascii="Tahoma" w:hAnsi="Tahoma" w:cs="Tahoma"/>
                <w:i/>
                <w:sz w:val="20"/>
              </w:rPr>
              <w:t xml:space="preserve"> the current owners’ acquisition of the business.  </w:t>
            </w:r>
          </w:p>
        </w:tc>
      </w:tr>
      <w:tr w:rsidR="003E3D20" w:rsidRPr="00751816" w14:paraId="42825A2A" w14:textId="77777777" w:rsidTr="003E3D20">
        <w:trPr>
          <w:trHeight w:val="514"/>
        </w:trPr>
        <w:tc>
          <w:tcPr>
            <w:cnfStyle w:val="001000000000" w:firstRow="0" w:lastRow="0" w:firstColumn="1" w:lastColumn="0" w:oddVBand="0" w:evenVBand="0" w:oddHBand="0" w:evenHBand="0" w:firstRowFirstColumn="0" w:firstRowLastColumn="0" w:lastRowFirstColumn="0" w:lastRowLastColumn="0"/>
            <w:tcW w:w="730" w:type="pct"/>
            <w:tcBorders>
              <w:top w:val="single" w:sz="4" w:space="0" w:color="00B0F0"/>
              <w:bottom w:val="single" w:sz="4" w:space="0" w:color="00B0F0"/>
            </w:tcBorders>
            <w:shd w:val="clear" w:color="auto" w:fill="D9D9D9" w:themeFill="background1" w:themeFillShade="D9"/>
            <w:vAlign w:val="center"/>
          </w:tcPr>
          <w:p w14:paraId="6E37B05D" w14:textId="77777777" w:rsidR="003E3D20" w:rsidRDefault="003E3D20" w:rsidP="001C016D">
            <w:pPr>
              <w:spacing w:before="120" w:after="120" w:line="240" w:lineRule="atLeast"/>
              <w:contextualSpacing/>
              <w:rPr>
                <w:rFonts w:ascii="Tahoma" w:hAnsi="Tahoma" w:cs="Tahoma"/>
                <w:sz w:val="20"/>
              </w:rPr>
            </w:pPr>
          </w:p>
        </w:tc>
        <w:tc>
          <w:tcPr>
            <w:tcW w:w="4270" w:type="pct"/>
            <w:gridSpan w:val="4"/>
            <w:tcBorders>
              <w:top w:val="single" w:sz="4" w:space="0" w:color="00B0F0"/>
              <w:bottom w:val="single" w:sz="4" w:space="0" w:color="00B0F0"/>
            </w:tcBorders>
            <w:vAlign w:val="center"/>
          </w:tcPr>
          <w:p w14:paraId="689477C2" w14:textId="171BDD7F" w:rsidR="003E3D20" w:rsidRDefault="003E3D20"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66265">
              <w:rPr>
                <w:rFonts w:ascii="Tahoma" w:hAnsi="Tahoma" w:cs="Tahoma"/>
                <w:sz w:val="20"/>
              </w:rPr>
              <w:t>From 2015-16 onward, AGN Limited has no capex outsourced to a related party</w:t>
            </w:r>
            <w:r w:rsidR="000D1C3F">
              <w:rPr>
                <w:rFonts w:ascii="Tahoma" w:hAnsi="Tahoma" w:cs="Tahoma"/>
                <w:sz w:val="20"/>
              </w:rPr>
              <w:t>, including for AGN (SA)</w:t>
            </w:r>
            <w:r w:rsidRPr="00866265">
              <w:rPr>
                <w:rFonts w:ascii="Tahoma" w:hAnsi="Tahoma" w:cs="Tahoma"/>
                <w:sz w:val="20"/>
              </w:rPr>
              <w:t>.</w:t>
            </w:r>
            <w:r>
              <w:rPr>
                <w:rFonts w:ascii="Tahoma" w:hAnsi="Tahoma" w:cs="Tahoma"/>
                <w:sz w:val="20"/>
              </w:rPr>
              <w:t xml:space="preserve"> </w:t>
            </w:r>
          </w:p>
          <w:p w14:paraId="22C3352E" w14:textId="77777777" w:rsidR="003E3D20" w:rsidRDefault="003E3D20"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1C0D3A4D" w14:textId="35DBE82C" w:rsidR="003E3D20" w:rsidRDefault="003E3D20"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Thus we provide a ‘Null’ response in the reporting template. </w:t>
            </w:r>
          </w:p>
        </w:tc>
      </w:tr>
    </w:tbl>
    <w:p w14:paraId="50F1B3BB" w14:textId="77777777" w:rsidR="008444C1" w:rsidRPr="00C4077D" w:rsidRDefault="008444C1" w:rsidP="00C4077D">
      <w:pPr>
        <w:rPr>
          <w:rFonts w:ascii="Tahoma" w:hAnsi="Tahoma" w:cs="Tahoma"/>
          <w:sz w:val="20"/>
        </w:rPr>
      </w:pPr>
    </w:p>
    <w:p w14:paraId="75A7A6C4" w14:textId="77777777" w:rsidR="002931BA" w:rsidRDefault="002B2DFA" w:rsidP="0071215F">
      <w:pPr>
        <w:pStyle w:val="Heading2"/>
        <w:rPr>
          <w:rFonts w:ascii="Tahoma" w:hAnsi="Tahoma" w:cs="Tahoma"/>
          <w:color w:val="003C71"/>
        </w:rPr>
      </w:pPr>
      <w:bookmarkStart w:id="56" w:name="_Toc57314099"/>
      <w:r w:rsidRPr="0071215F">
        <w:rPr>
          <w:rFonts w:ascii="Tahoma" w:hAnsi="Tahoma" w:cs="Tahoma"/>
          <w:color w:val="003C71"/>
        </w:rPr>
        <w:t>F6.5 – Percentage of Opex Outsourced to Related Party</w:t>
      </w:r>
      <w:bookmarkEnd w:id="56"/>
    </w:p>
    <w:tbl>
      <w:tblPr>
        <w:tblStyle w:val="UETableStyle"/>
        <w:tblW w:w="4776"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46"/>
        <w:gridCol w:w="4619"/>
        <w:gridCol w:w="2232"/>
        <w:gridCol w:w="2653"/>
        <w:gridCol w:w="1883"/>
      </w:tblGrid>
      <w:tr w:rsidR="00C22894" w:rsidRPr="00751816" w14:paraId="12D9FC46" w14:textId="77777777" w:rsidTr="001C016D">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730" w:type="pct"/>
            <w:tcBorders>
              <w:bottom w:val="single" w:sz="4" w:space="0" w:color="00B0F0"/>
            </w:tcBorders>
            <w:shd w:val="clear" w:color="auto" w:fill="003C71"/>
            <w:hideMark/>
          </w:tcPr>
          <w:p w14:paraId="594220C1" w14:textId="7B32687B" w:rsidR="00C22894" w:rsidRPr="00751816" w:rsidRDefault="00C22894" w:rsidP="00443597">
            <w:pPr>
              <w:rPr>
                <w:rFonts w:ascii="Tahoma" w:hAnsi="Tahoma" w:cs="Tahoma"/>
                <w:b/>
                <w:color w:val="FFFFFF"/>
                <w:sz w:val="20"/>
              </w:rPr>
            </w:pPr>
            <w:r w:rsidRPr="00751816">
              <w:rPr>
                <w:rFonts w:ascii="Tahoma" w:hAnsi="Tahoma" w:cs="Tahoma"/>
                <w:b/>
                <w:color w:val="FFFFFF"/>
                <w:sz w:val="20"/>
              </w:rPr>
              <w:t xml:space="preserve">Variable </w:t>
            </w:r>
          </w:p>
        </w:tc>
        <w:tc>
          <w:tcPr>
            <w:tcW w:w="1732" w:type="pct"/>
            <w:tcBorders>
              <w:bottom w:val="single" w:sz="4" w:space="0" w:color="00B0F0"/>
            </w:tcBorders>
            <w:shd w:val="clear" w:color="auto" w:fill="003C71"/>
          </w:tcPr>
          <w:p w14:paraId="58EF6A12" w14:textId="77777777" w:rsidR="00C22894" w:rsidRPr="00751816" w:rsidRDefault="00C2289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7" w:type="pct"/>
            <w:tcBorders>
              <w:bottom w:val="single" w:sz="4" w:space="0" w:color="00B0F0"/>
            </w:tcBorders>
            <w:shd w:val="clear" w:color="auto" w:fill="003C71"/>
          </w:tcPr>
          <w:p w14:paraId="73C52C32" w14:textId="77777777" w:rsidR="00C22894" w:rsidRPr="00751816" w:rsidRDefault="00C2289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5" w:type="pct"/>
            <w:tcBorders>
              <w:bottom w:val="single" w:sz="4" w:space="0" w:color="00B0F0"/>
            </w:tcBorders>
            <w:shd w:val="clear" w:color="auto" w:fill="003C71"/>
          </w:tcPr>
          <w:p w14:paraId="6E3D7D70" w14:textId="77777777" w:rsidR="00C22894" w:rsidRPr="00751816" w:rsidRDefault="00C2289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706" w:type="pct"/>
            <w:tcBorders>
              <w:bottom w:val="single" w:sz="4" w:space="0" w:color="00B0F0"/>
            </w:tcBorders>
            <w:shd w:val="clear" w:color="auto" w:fill="003C71"/>
          </w:tcPr>
          <w:p w14:paraId="48021485" w14:textId="77777777" w:rsidR="00C22894" w:rsidRPr="00751816" w:rsidRDefault="00C22894"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F01F33" w:rsidRPr="00E90A18" w14:paraId="6E193F5D" w14:textId="77777777" w:rsidTr="00443597">
        <w:trPr>
          <w:trHeight w:val="283"/>
        </w:trPr>
        <w:tc>
          <w:tcPr>
            <w:cnfStyle w:val="001000000000" w:firstRow="0" w:lastRow="0" w:firstColumn="1" w:lastColumn="0" w:oddVBand="0" w:evenVBand="0" w:oddHBand="0" w:evenHBand="0" w:firstRowFirstColumn="0" w:firstRowLastColumn="0" w:lastRowFirstColumn="0" w:lastRowLastColumn="0"/>
            <w:tcW w:w="730" w:type="pct"/>
            <w:tcBorders>
              <w:top w:val="single" w:sz="4" w:space="0" w:color="00B0F0"/>
              <w:bottom w:val="single" w:sz="4" w:space="0" w:color="00B0F0"/>
            </w:tcBorders>
            <w:shd w:val="clear" w:color="auto" w:fill="00A3E0"/>
            <w:vAlign w:val="center"/>
          </w:tcPr>
          <w:p w14:paraId="700D9A1D" w14:textId="1657A755" w:rsidR="00F01F33" w:rsidRDefault="008418D3" w:rsidP="001C016D">
            <w:pPr>
              <w:spacing w:before="120" w:after="120" w:line="240" w:lineRule="atLeast"/>
              <w:contextualSpacing/>
              <w:rPr>
                <w:rFonts w:ascii="Tahoma" w:hAnsi="Tahoma" w:cs="Tahoma"/>
                <w:sz w:val="20"/>
              </w:rPr>
            </w:pPr>
            <w:r>
              <w:rPr>
                <w:rFonts w:ascii="Tahoma" w:hAnsi="Tahoma" w:cs="Tahoma"/>
                <w:sz w:val="20"/>
              </w:rPr>
              <w:t>2019/20</w:t>
            </w:r>
            <w:r w:rsidR="00F01F33">
              <w:rPr>
                <w:rFonts w:ascii="Tahoma" w:hAnsi="Tahoma" w:cs="Tahoma"/>
                <w:sz w:val="20"/>
              </w:rPr>
              <w:t xml:space="preserve"> </w:t>
            </w:r>
          </w:p>
        </w:tc>
        <w:tc>
          <w:tcPr>
            <w:tcW w:w="4270" w:type="pct"/>
            <w:gridSpan w:val="4"/>
            <w:tcBorders>
              <w:top w:val="single" w:sz="4" w:space="0" w:color="00B0F0"/>
              <w:bottom w:val="single" w:sz="4" w:space="0" w:color="00B0F0"/>
            </w:tcBorders>
            <w:shd w:val="clear" w:color="auto" w:fill="00A3E0"/>
            <w:vAlign w:val="center"/>
          </w:tcPr>
          <w:p w14:paraId="6E592CD1" w14:textId="30339D41" w:rsidR="00F01F33" w:rsidRPr="00E90A18" w:rsidRDefault="000D1C3F"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04AE7">
              <w:rPr>
                <w:rFonts w:ascii="Tahoma" w:hAnsi="Tahoma" w:cs="Tahoma"/>
                <w:i/>
                <w:sz w:val="20"/>
              </w:rPr>
              <w:t xml:space="preserve">As set out in Appendix D, APA ceased to be a related party from 29 August 2014 </w:t>
            </w:r>
            <w:r>
              <w:rPr>
                <w:rFonts w:ascii="Tahoma" w:hAnsi="Tahoma" w:cs="Tahoma"/>
                <w:i/>
                <w:sz w:val="20"/>
              </w:rPr>
              <w:t>resulting from</w:t>
            </w:r>
            <w:r w:rsidRPr="00304AE7">
              <w:rPr>
                <w:rFonts w:ascii="Tahoma" w:hAnsi="Tahoma" w:cs="Tahoma"/>
                <w:i/>
                <w:sz w:val="20"/>
              </w:rPr>
              <w:t xml:space="preserve"> the current owners’ acquisition of the business.  </w:t>
            </w:r>
          </w:p>
        </w:tc>
      </w:tr>
      <w:tr w:rsidR="00F01F33" w:rsidRPr="00751816" w14:paraId="3F60F839" w14:textId="77777777" w:rsidTr="00F01F33">
        <w:trPr>
          <w:trHeight w:val="436"/>
        </w:trPr>
        <w:tc>
          <w:tcPr>
            <w:cnfStyle w:val="001000000000" w:firstRow="0" w:lastRow="0" w:firstColumn="1" w:lastColumn="0" w:oddVBand="0" w:evenVBand="0" w:oddHBand="0" w:evenHBand="0" w:firstRowFirstColumn="0" w:firstRowLastColumn="0" w:lastRowFirstColumn="0" w:lastRowLastColumn="0"/>
            <w:tcW w:w="730" w:type="pct"/>
            <w:tcBorders>
              <w:top w:val="single" w:sz="4" w:space="0" w:color="00B0F0"/>
              <w:bottom w:val="single" w:sz="4" w:space="0" w:color="00B0F0"/>
            </w:tcBorders>
            <w:shd w:val="clear" w:color="auto" w:fill="D9D9D9" w:themeFill="background1" w:themeFillShade="D9"/>
            <w:vAlign w:val="center"/>
          </w:tcPr>
          <w:p w14:paraId="59A0D349" w14:textId="1E66BE84" w:rsidR="00F01F33" w:rsidRPr="00751816" w:rsidRDefault="00F01F33" w:rsidP="001C016D">
            <w:pPr>
              <w:spacing w:before="120" w:after="120" w:line="240" w:lineRule="atLeast"/>
              <w:contextualSpacing/>
              <w:rPr>
                <w:rFonts w:ascii="Tahoma" w:hAnsi="Tahoma" w:cs="Tahoma"/>
                <w:sz w:val="20"/>
              </w:rPr>
            </w:pPr>
          </w:p>
        </w:tc>
        <w:tc>
          <w:tcPr>
            <w:tcW w:w="4270" w:type="pct"/>
            <w:gridSpan w:val="4"/>
            <w:tcBorders>
              <w:top w:val="single" w:sz="4" w:space="0" w:color="00B0F0"/>
              <w:bottom w:val="single" w:sz="4" w:space="0" w:color="00B0F0"/>
            </w:tcBorders>
            <w:vAlign w:val="center"/>
          </w:tcPr>
          <w:p w14:paraId="122BD117" w14:textId="4289FF05" w:rsidR="00F01F33" w:rsidRDefault="00F01F3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866265">
              <w:rPr>
                <w:rFonts w:ascii="Tahoma" w:hAnsi="Tahoma" w:cs="Tahoma"/>
                <w:sz w:val="20"/>
              </w:rPr>
              <w:t xml:space="preserve">From 2015-16 onward, AGN Limited has no </w:t>
            </w:r>
            <w:r>
              <w:rPr>
                <w:rFonts w:ascii="Tahoma" w:hAnsi="Tahoma" w:cs="Tahoma"/>
                <w:sz w:val="20"/>
              </w:rPr>
              <w:t>Opex</w:t>
            </w:r>
            <w:r w:rsidRPr="00866265">
              <w:rPr>
                <w:rFonts w:ascii="Tahoma" w:hAnsi="Tahoma" w:cs="Tahoma"/>
                <w:sz w:val="20"/>
              </w:rPr>
              <w:t xml:space="preserve"> outsourced to a related party</w:t>
            </w:r>
            <w:r w:rsidR="000D1C3F">
              <w:rPr>
                <w:rFonts w:ascii="Tahoma" w:hAnsi="Tahoma" w:cs="Tahoma"/>
                <w:sz w:val="20"/>
              </w:rPr>
              <w:t>, including for AGN (SA)</w:t>
            </w:r>
            <w:r w:rsidRPr="00866265">
              <w:rPr>
                <w:rFonts w:ascii="Tahoma" w:hAnsi="Tahoma" w:cs="Tahoma"/>
                <w:sz w:val="20"/>
              </w:rPr>
              <w:t>.</w:t>
            </w:r>
          </w:p>
          <w:p w14:paraId="64B78A78" w14:textId="704800F2" w:rsidR="00F01F33" w:rsidRDefault="00F01F33"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p>
          <w:p w14:paraId="357407EE" w14:textId="10F6F593" w:rsidR="00F01F33" w:rsidRPr="00751816" w:rsidRDefault="00F01F33" w:rsidP="0082349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45441A">
              <w:rPr>
                <w:rFonts w:ascii="Tahoma" w:hAnsi="Tahoma" w:cs="Tahoma"/>
                <w:bCs/>
                <w:sz w:val="20"/>
              </w:rPr>
              <w:t xml:space="preserve">Thus we provide a ‘Null’ response in the reporting template. </w:t>
            </w:r>
          </w:p>
        </w:tc>
      </w:tr>
    </w:tbl>
    <w:p w14:paraId="31761D8D" w14:textId="77777777" w:rsidR="000C65E7" w:rsidRPr="000C65E7" w:rsidRDefault="000C65E7" w:rsidP="000C65E7"/>
    <w:p w14:paraId="6F9ACA7B" w14:textId="77777777" w:rsidR="002931BA" w:rsidRDefault="002931BA">
      <w:pPr>
        <w:rPr>
          <w:rFonts w:ascii="Tahoma" w:eastAsiaTheme="majorEastAsia" w:hAnsi="Tahoma" w:cs="Tahoma"/>
          <w:b/>
          <w:color w:val="003C71"/>
          <w:sz w:val="32"/>
          <w:szCs w:val="32"/>
        </w:rPr>
      </w:pPr>
      <w:r>
        <w:rPr>
          <w:rFonts w:ascii="Tahoma" w:hAnsi="Tahoma" w:cs="Tahoma"/>
          <w:b/>
          <w:color w:val="003C71"/>
        </w:rPr>
        <w:br w:type="page"/>
      </w:r>
    </w:p>
    <w:p w14:paraId="72A160C8" w14:textId="626FA1B0" w:rsidR="002B2DFA" w:rsidRDefault="00C40D85" w:rsidP="00C059E5">
      <w:pPr>
        <w:pStyle w:val="Heading1"/>
        <w:rPr>
          <w:rFonts w:ascii="Tahoma" w:hAnsi="Tahoma" w:cs="Tahoma"/>
          <w:b/>
          <w:color w:val="003C71"/>
        </w:rPr>
      </w:pPr>
      <w:bookmarkStart w:id="57" w:name="_Toc57314100"/>
      <w:r w:rsidRPr="0095305C">
        <w:rPr>
          <w:rFonts w:ascii="Tahoma" w:hAnsi="Tahoma" w:cs="Tahoma"/>
          <w:b/>
          <w:color w:val="003C71"/>
        </w:rPr>
        <w:lastRenderedPageBreak/>
        <w:t>F7. Provisions</w:t>
      </w:r>
      <w:bookmarkEnd w:id="57"/>
      <w:r w:rsidRPr="0095305C">
        <w:rPr>
          <w:rFonts w:ascii="Tahoma" w:hAnsi="Tahoma" w:cs="Tahoma"/>
          <w:b/>
          <w:color w:val="003C71"/>
        </w:rPr>
        <w:t xml:space="preserve"> </w:t>
      </w:r>
    </w:p>
    <w:tbl>
      <w:tblPr>
        <w:tblStyle w:val="UETableStyle"/>
        <w:tblW w:w="4776"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47"/>
        <w:gridCol w:w="4616"/>
        <w:gridCol w:w="2232"/>
        <w:gridCol w:w="2653"/>
        <w:gridCol w:w="1885"/>
      </w:tblGrid>
      <w:tr w:rsidR="00AC3A56" w:rsidRPr="00751816" w14:paraId="2F40A3A2" w14:textId="77777777" w:rsidTr="001C016D">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730" w:type="pct"/>
            <w:tcBorders>
              <w:bottom w:val="single" w:sz="4" w:space="0" w:color="00B0F0"/>
            </w:tcBorders>
            <w:shd w:val="clear" w:color="auto" w:fill="003C71"/>
            <w:hideMark/>
          </w:tcPr>
          <w:p w14:paraId="343797EF" w14:textId="57DF2ECB" w:rsidR="00AC3A56" w:rsidRPr="00751816" w:rsidRDefault="00AC3A56" w:rsidP="00443597">
            <w:pPr>
              <w:rPr>
                <w:rFonts w:ascii="Tahoma" w:hAnsi="Tahoma" w:cs="Tahoma"/>
                <w:b/>
                <w:color w:val="FFFFFF"/>
                <w:sz w:val="20"/>
              </w:rPr>
            </w:pPr>
            <w:r w:rsidRPr="00751816">
              <w:rPr>
                <w:rFonts w:ascii="Tahoma" w:hAnsi="Tahoma" w:cs="Tahoma"/>
                <w:b/>
                <w:color w:val="FFFFFF"/>
                <w:sz w:val="20"/>
              </w:rPr>
              <w:t xml:space="preserve">Variable </w:t>
            </w:r>
          </w:p>
        </w:tc>
        <w:tc>
          <w:tcPr>
            <w:tcW w:w="1731" w:type="pct"/>
            <w:tcBorders>
              <w:bottom w:val="single" w:sz="4" w:space="0" w:color="00B0F0"/>
            </w:tcBorders>
            <w:shd w:val="clear" w:color="auto" w:fill="003C71"/>
          </w:tcPr>
          <w:p w14:paraId="53CC83DD" w14:textId="77777777" w:rsidR="00AC3A56" w:rsidRPr="00751816" w:rsidRDefault="00AC3A56"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7" w:type="pct"/>
            <w:tcBorders>
              <w:bottom w:val="single" w:sz="4" w:space="0" w:color="00B0F0"/>
            </w:tcBorders>
            <w:shd w:val="clear" w:color="auto" w:fill="003C71"/>
          </w:tcPr>
          <w:p w14:paraId="67EB9F88" w14:textId="77777777" w:rsidR="00AC3A56" w:rsidRPr="00751816" w:rsidRDefault="00AC3A56"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5" w:type="pct"/>
            <w:tcBorders>
              <w:bottom w:val="single" w:sz="4" w:space="0" w:color="00B0F0"/>
            </w:tcBorders>
            <w:shd w:val="clear" w:color="auto" w:fill="003C71"/>
          </w:tcPr>
          <w:p w14:paraId="555413F9" w14:textId="77777777" w:rsidR="00AC3A56" w:rsidRPr="00751816" w:rsidRDefault="00AC3A56"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707" w:type="pct"/>
            <w:tcBorders>
              <w:bottom w:val="single" w:sz="4" w:space="0" w:color="00B0F0"/>
            </w:tcBorders>
            <w:shd w:val="clear" w:color="auto" w:fill="003C71"/>
          </w:tcPr>
          <w:p w14:paraId="158F230F" w14:textId="77777777" w:rsidR="00AC3A56" w:rsidRPr="00751816" w:rsidRDefault="00AC3A56"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554CD8" w:rsidRPr="00E90A18" w14:paraId="77D6B930" w14:textId="77777777" w:rsidTr="00443597">
        <w:trPr>
          <w:trHeight w:val="283"/>
        </w:trPr>
        <w:tc>
          <w:tcPr>
            <w:cnfStyle w:val="001000000000" w:firstRow="0" w:lastRow="0" w:firstColumn="1" w:lastColumn="0" w:oddVBand="0" w:evenVBand="0" w:oddHBand="0" w:evenHBand="0" w:firstRowFirstColumn="0" w:firstRowLastColumn="0" w:lastRowFirstColumn="0" w:lastRowLastColumn="0"/>
            <w:tcW w:w="730" w:type="pct"/>
            <w:tcBorders>
              <w:top w:val="single" w:sz="4" w:space="0" w:color="00B0F0"/>
              <w:bottom w:val="single" w:sz="4" w:space="0" w:color="00B0F0"/>
            </w:tcBorders>
            <w:shd w:val="clear" w:color="auto" w:fill="00A3E0"/>
            <w:vAlign w:val="center"/>
          </w:tcPr>
          <w:p w14:paraId="5DD245A2" w14:textId="139109AF" w:rsidR="00554CD8" w:rsidRDefault="008418D3" w:rsidP="001C016D">
            <w:pPr>
              <w:spacing w:before="120" w:after="120" w:line="240" w:lineRule="atLeast"/>
              <w:contextualSpacing/>
              <w:rPr>
                <w:rFonts w:ascii="Tahoma" w:hAnsi="Tahoma" w:cs="Tahoma"/>
                <w:sz w:val="20"/>
              </w:rPr>
            </w:pPr>
            <w:r>
              <w:rPr>
                <w:rFonts w:ascii="Tahoma" w:hAnsi="Tahoma" w:cs="Tahoma"/>
                <w:sz w:val="20"/>
              </w:rPr>
              <w:t>2019/20</w:t>
            </w:r>
            <w:r w:rsidR="00554CD8">
              <w:rPr>
                <w:rFonts w:ascii="Tahoma" w:hAnsi="Tahoma" w:cs="Tahoma"/>
                <w:sz w:val="20"/>
              </w:rPr>
              <w:t xml:space="preserve"> </w:t>
            </w:r>
          </w:p>
        </w:tc>
        <w:tc>
          <w:tcPr>
            <w:tcW w:w="4270" w:type="pct"/>
            <w:gridSpan w:val="4"/>
            <w:tcBorders>
              <w:top w:val="single" w:sz="4" w:space="0" w:color="00B0F0"/>
              <w:bottom w:val="single" w:sz="4" w:space="0" w:color="00B0F0"/>
            </w:tcBorders>
            <w:shd w:val="clear" w:color="auto" w:fill="00A3E0"/>
            <w:vAlign w:val="center"/>
          </w:tcPr>
          <w:p w14:paraId="5C7E6432" w14:textId="335390A3" w:rsidR="00554CD8" w:rsidRPr="00E90A18" w:rsidRDefault="00554CD8"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931620">
              <w:rPr>
                <w:rFonts w:ascii="Tahoma" w:hAnsi="Tahoma" w:cs="Tahoma"/>
                <w:i/>
                <w:sz w:val="20"/>
              </w:rPr>
              <w:t>Refer to the Cost Allocation Methodology document for guidance in relation to AGN Limited’s policies and processes for cost allocation.</w:t>
            </w:r>
          </w:p>
        </w:tc>
      </w:tr>
      <w:tr w:rsidR="00AC3A56" w:rsidRPr="00751816" w14:paraId="17C5E315" w14:textId="77777777" w:rsidTr="00971F6F">
        <w:trPr>
          <w:trHeight w:val="436"/>
        </w:trPr>
        <w:tc>
          <w:tcPr>
            <w:cnfStyle w:val="001000000000" w:firstRow="0" w:lastRow="0" w:firstColumn="1" w:lastColumn="0" w:oddVBand="0" w:evenVBand="0" w:oddHBand="0" w:evenHBand="0" w:firstRowFirstColumn="0" w:firstRowLastColumn="0" w:lastRowFirstColumn="0" w:lastRowLastColumn="0"/>
            <w:tcW w:w="730" w:type="pct"/>
            <w:tcBorders>
              <w:top w:val="single" w:sz="4" w:space="0" w:color="00B0F0"/>
              <w:bottom w:val="single" w:sz="4" w:space="0" w:color="00B0F0"/>
            </w:tcBorders>
            <w:shd w:val="clear" w:color="auto" w:fill="D9D9D9" w:themeFill="background1" w:themeFillShade="D9"/>
            <w:vAlign w:val="center"/>
          </w:tcPr>
          <w:p w14:paraId="038B5D47" w14:textId="77777777" w:rsidR="00AC3A56" w:rsidRPr="004C2CAF" w:rsidRDefault="00AC3A56" w:rsidP="001C016D">
            <w:pPr>
              <w:spacing w:before="120" w:after="120" w:line="240" w:lineRule="atLeast"/>
              <w:contextualSpacing/>
              <w:rPr>
                <w:rFonts w:ascii="Tahoma" w:hAnsi="Tahoma" w:cs="Tahoma"/>
                <w:sz w:val="20"/>
              </w:rPr>
            </w:pPr>
            <w:r>
              <w:rPr>
                <w:rFonts w:ascii="Tahoma" w:hAnsi="Tahoma" w:cs="Tahoma"/>
                <w:sz w:val="20"/>
              </w:rPr>
              <w:t>Employee Benefits Current</w:t>
            </w:r>
          </w:p>
        </w:tc>
        <w:tc>
          <w:tcPr>
            <w:tcW w:w="1731" w:type="pct"/>
            <w:tcBorders>
              <w:top w:val="single" w:sz="4" w:space="0" w:color="00B0F0"/>
              <w:bottom w:val="single" w:sz="4" w:space="0" w:color="00B0F0"/>
            </w:tcBorders>
          </w:tcPr>
          <w:p w14:paraId="14862392" w14:textId="7575A542" w:rsidR="00AC3A56" w:rsidRDefault="00AC3A56" w:rsidP="0082349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Reported amount for Employee Benefits Current ha</w:t>
            </w:r>
            <w:r w:rsidR="007F33C8">
              <w:rPr>
                <w:rFonts w:ascii="Tahoma" w:hAnsi="Tahoma" w:cs="Tahoma"/>
                <w:sz w:val="20"/>
              </w:rPr>
              <w:t>s</w:t>
            </w:r>
            <w:r>
              <w:rPr>
                <w:rFonts w:ascii="Tahoma" w:hAnsi="Tahoma" w:cs="Tahoma"/>
                <w:sz w:val="20"/>
              </w:rPr>
              <w:t xml:space="preserve"> been derived initially from the AGN Limited group consolidated accounts</w:t>
            </w:r>
            <w:r w:rsidR="007F33C8">
              <w:rPr>
                <w:rFonts w:ascii="Tahoma" w:hAnsi="Tahoma" w:cs="Tahoma"/>
                <w:sz w:val="20"/>
              </w:rPr>
              <w:t>, with the amount allocated to AGN (SA) incorporated in the AGN (SA) trial balance</w:t>
            </w:r>
            <w:r>
              <w:rPr>
                <w:rFonts w:ascii="Tahoma" w:hAnsi="Tahoma" w:cs="Tahoma"/>
                <w:sz w:val="20"/>
              </w:rPr>
              <w:t xml:space="preserve">. </w:t>
            </w:r>
            <w:r w:rsidR="00B52D3E">
              <w:rPr>
                <w:rFonts w:ascii="Tahoma" w:hAnsi="Tahoma" w:cs="Tahoma"/>
                <w:sz w:val="20"/>
              </w:rPr>
              <w:t>As noted here, this is estimated financial information and therefore was reviewed by AGN Limited’s external auditors.</w:t>
            </w:r>
          </w:p>
          <w:p w14:paraId="790F430B" w14:textId="77777777" w:rsidR="00AC3A56" w:rsidRDefault="00AC3A56" w:rsidP="0082349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98C073D" w14:textId="45A595A7" w:rsidR="00AC3A56" w:rsidRDefault="00AC3A56" w:rsidP="0082349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opening balance, movement in provisions and closing balance reported for AGN (SA) ha</w:t>
            </w:r>
            <w:r w:rsidR="007F33C8">
              <w:rPr>
                <w:rFonts w:ascii="Tahoma" w:hAnsi="Tahoma" w:cs="Tahoma"/>
                <w:sz w:val="20"/>
              </w:rPr>
              <w:t>s</w:t>
            </w:r>
            <w:r>
              <w:rPr>
                <w:rFonts w:ascii="Tahoma" w:hAnsi="Tahoma" w:cs="Tahoma"/>
                <w:sz w:val="20"/>
              </w:rPr>
              <w:t xml:space="preserve"> been calculated as an allocation of the group consolidated accounts, based on the increase in SA customers as a percentage of the increase in all customers nationally each year.</w:t>
            </w:r>
          </w:p>
          <w:p w14:paraId="6BFE8DF1" w14:textId="77777777" w:rsidR="00AC3A56" w:rsidRDefault="00AC3A56" w:rsidP="0082349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E77552E" w14:textId="1C108E05" w:rsidR="00823493" w:rsidRDefault="00AC3A56" w:rsidP="0082349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Due to the amount of the allocator changing each year (i.e. the increase in SA customers relative to the increase in all customers varies from one year to the next) it is also necessary to adjust for the opening balance carried forward which was calculated from the prior year’s relevant allocator amount.  This is done each year by multiplying the group consolidated accounts opening balance by the change in the SA allocator amount (e.g. if the </w:t>
            </w:r>
            <w:r w:rsidRPr="005D7D08">
              <w:rPr>
                <w:rFonts w:ascii="Tahoma" w:hAnsi="Tahoma" w:cs="Tahoma"/>
                <w:sz w:val="20"/>
              </w:rPr>
              <w:t xml:space="preserve">SA allocator was 27.7% in </w:t>
            </w:r>
            <w:r w:rsidR="00655EF8" w:rsidRPr="005D7D08">
              <w:rPr>
                <w:rFonts w:ascii="Tahoma" w:hAnsi="Tahoma" w:cs="Tahoma"/>
                <w:sz w:val="20"/>
              </w:rPr>
              <w:t>2018/19</w:t>
            </w:r>
            <w:r w:rsidRPr="005D7D08">
              <w:rPr>
                <w:rFonts w:ascii="Tahoma" w:hAnsi="Tahoma" w:cs="Tahoma"/>
                <w:sz w:val="20"/>
              </w:rPr>
              <w:t xml:space="preserve"> and 24.2% in </w:t>
            </w:r>
            <w:r w:rsidR="00655EF8" w:rsidRPr="005D7D08">
              <w:rPr>
                <w:rFonts w:ascii="Tahoma" w:hAnsi="Tahoma" w:cs="Tahoma"/>
                <w:sz w:val="20"/>
              </w:rPr>
              <w:t>2019/20</w:t>
            </w:r>
            <w:r>
              <w:rPr>
                <w:rFonts w:ascii="Tahoma" w:hAnsi="Tahoma" w:cs="Tahoma"/>
                <w:sz w:val="20"/>
              </w:rPr>
              <w:t xml:space="preserve">, the opening balance allocated to SA needs to be reduced by 3.5% in </w:t>
            </w:r>
            <w:r w:rsidR="00655EF8">
              <w:rPr>
                <w:rFonts w:ascii="Tahoma" w:hAnsi="Tahoma" w:cs="Tahoma"/>
                <w:sz w:val="20"/>
              </w:rPr>
              <w:t>2019/20</w:t>
            </w:r>
            <w:r>
              <w:rPr>
                <w:rFonts w:ascii="Tahoma" w:hAnsi="Tahoma" w:cs="Tahoma"/>
                <w:sz w:val="20"/>
              </w:rPr>
              <w:t xml:space="preserve">).  </w:t>
            </w:r>
            <w:r w:rsidRPr="00823493">
              <w:rPr>
                <w:rFonts w:ascii="Tahoma" w:hAnsi="Tahoma" w:cs="Tahoma"/>
                <w:sz w:val="20"/>
              </w:rPr>
              <w:t xml:space="preserve">This adjustment is reported in the RIN template using </w:t>
            </w:r>
            <w:r w:rsidRPr="00823493">
              <w:rPr>
                <w:rFonts w:ascii="Tahoma" w:hAnsi="Tahoma" w:cs="Tahoma"/>
                <w:sz w:val="20"/>
              </w:rPr>
              <w:lastRenderedPageBreak/>
              <w:t>the “change in discount rate” row in Table F7. Provisions.</w:t>
            </w:r>
          </w:p>
          <w:p w14:paraId="30FA6AA9" w14:textId="130B84E1" w:rsidR="00AC3A56" w:rsidRDefault="00AC3A56" w:rsidP="0082349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 </w:t>
            </w:r>
          </w:p>
          <w:p w14:paraId="11DA95FC" w14:textId="77777777" w:rsidR="00AC3A56" w:rsidRPr="00A40093" w:rsidRDefault="00AC3A56" w:rsidP="0082349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This allocation basis (increase in SA customers) is consistent with the allocation of other Payroll and related costs, as set out in the CAM.</w:t>
            </w:r>
          </w:p>
        </w:tc>
        <w:tc>
          <w:tcPr>
            <w:tcW w:w="837" w:type="pct"/>
            <w:tcBorders>
              <w:top w:val="single" w:sz="4" w:space="0" w:color="00B0F0"/>
              <w:bottom w:val="single" w:sz="4" w:space="0" w:color="00B0F0"/>
            </w:tcBorders>
            <w:vAlign w:val="center"/>
          </w:tcPr>
          <w:p w14:paraId="6F57F370" w14:textId="6F37F937" w:rsidR="00AC3A56" w:rsidRPr="00751816" w:rsidRDefault="00AC3A5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 xml:space="preserve">Estimate </w:t>
            </w:r>
          </w:p>
        </w:tc>
        <w:tc>
          <w:tcPr>
            <w:tcW w:w="995" w:type="pct"/>
            <w:tcBorders>
              <w:top w:val="single" w:sz="4" w:space="0" w:color="00B0F0"/>
              <w:bottom w:val="single" w:sz="4" w:space="0" w:color="00B0F0"/>
            </w:tcBorders>
          </w:tcPr>
          <w:p w14:paraId="6C6FB0CB" w14:textId="53AEC841" w:rsidR="00AC3A56" w:rsidRDefault="00C36866" w:rsidP="00971F6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w:t>
            </w:r>
            <w:r w:rsidR="00AC3A56">
              <w:rPr>
                <w:rFonts w:ascii="Tahoma" w:hAnsi="Tahoma" w:cs="Tahoma"/>
                <w:sz w:val="20"/>
              </w:rPr>
              <w:t xml:space="preserve">he amount reported for </w:t>
            </w:r>
            <w:r>
              <w:rPr>
                <w:rFonts w:ascii="Tahoma" w:hAnsi="Tahoma" w:cs="Tahoma"/>
                <w:sz w:val="20"/>
              </w:rPr>
              <w:t xml:space="preserve">2019/20 </w:t>
            </w:r>
            <w:r w:rsidR="00F97471">
              <w:rPr>
                <w:rFonts w:ascii="Tahoma" w:hAnsi="Tahoma" w:cs="Tahoma"/>
                <w:sz w:val="20"/>
              </w:rPr>
              <w:t xml:space="preserve">has </w:t>
            </w:r>
            <w:r w:rsidR="00AC3A56">
              <w:rPr>
                <w:rFonts w:ascii="Tahoma" w:hAnsi="Tahoma" w:cs="Tahoma"/>
                <w:sz w:val="20"/>
              </w:rPr>
              <w:t>been determined as an allocation from the AGN Limited Group employee entitlement figures. Notwithstanding that the allocator used (i.e. increase in customers) is the most practical and best method given the information available, AGN Limited considers the provision amounts reported for SA as estimated information.</w:t>
            </w:r>
          </w:p>
          <w:p w14:paraId="13DE4207" w14:textId="77777777" w:rsidR="00AC3A56" w:rsidRDefault="00AC3A56" w:rsidP="00971F6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097B7C5" w14:textId="2073FD00" w:rsidR="00AC3A56" w:rsidRPr="00751816" w:rsidRDefault="00AC3A56" w:rsidP="00971F6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90B08">
              <w:rPr>
                <w:rFonts w:ascii="Tahoma" w:hAnsi="Tahoma" w:cs="Tahoma"/>
                <w:sz w:val="20"/>
              </w:rPr>
              <w:t xml:space="preserve">As such, information being reported for </w:t>
            </w:r>
            <w:r w:rsidR="00C36866">
              <w:rPr>
                <w:rFonts w:ascii="Tahoma" w:hAnsi="Tahoma" w:cs="Tahoma"/>
                <w:sz w:val="20"/>
              </w:rPr>
              <w:t>2019/20</w:t>
            </w:r>
            <w:r w:rsidRPr="00390B08">
              <w:rPr>
                <w:rFonts w:ascii="Tahoma" w:hAnsi="Tahoma" w:cs="Tahoma"/>
                <w:sz w:val="20"/>
              </w:rPr>
              <w:t xml:space="preserve"> has been reviewed by AGN Limited’s external auditor in accordance with the requirements of Appendix C of the </w:t>
            </w:r>
            <w:r w:rsidR="008214CA">
              <w:rPr>
                <w:rFonts w:ascii="Tahoma" w:hAnsi="Tahoma" w:cs="Tahoma"/>
                <w:sz w:val="20"/>
              </w:rPr>
              <w:t>Annual RIN</w:t>
            </w:r>
            <w:r w:rsidRPr="00390B08">
              <w:rPr>
                <w:rFonts w:ascii="Tahoma" w:hAnsi="Tahoma" w:cs="Tahoma"/>
                <w:sz w:val="20"/>
              </w:rPr>
              <w:t>.</w:t>
            </w:r>
          </w:p>
        </w:tc>
        <w:tc>
          <w:tcPr>
            <w:tcW w:w="707" w:type="pct"/>
            <w:tcBorders>
              <w:top w:val="single" w:sz="4" w:space="0" w:color="00B0F0"/>
              <w:bottom w:val="single" w:sz="4" w:space="0" w:color="00B0F0"/>
            </w:tcBorders>
            <w:vAlign w:val="center"/>
          </w:tcPr>
          <w:p w14:paraId="6771E75E" w14:textId="35B4F19E" w:rsidR="00AC3A56" w:rsidRPr="00751816" w:rsidRDefault="00AC3A5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AC3A56" w:rsidRPr="00751816" w14:paraId="2F9AE004" w14:textId="77777777" w:rsidTr="00971F6F">
        <w:trPr>
          <w:trHeight w:val="436"/>
        </w:trPr>
        <w:tc>
          <w:tcPr>
            <w:cnfStyle w:val="001000000000" w:firstRow="0" w:lastRow="0" w:firstColumn="1" w:lastColumn="0" w:oddVBand="0" w:evenVBand="0" w:oddHBand="0" w:evenHBand="0" w:firstRowFirstColumn="0" w:firstRowLastColumn="0" w:lastRowFirstColumn="0" w:lastRowLastColumn="0"/>
            <w:tcW w:w="730" w:type="pct"/>
            <w:tcBorders>
              <w:top w:val="single" w:sz="4" w:space="0" w:color="00B0F0"/>
              <w:bottom w:val="single" w:sz="4" w:space="0" w:color="00B0F0"/>
            </w:tcBorders>
            <w:shd w:val="clear" w:color="auto" w:fill="D9D9D9" w:themeFill="background1" w:themeFillShade="D9"/>
            <w:vAlign w:val="center"/>
          </w:tcPr>
          <w:p w14:paraId="1DA55F9E" w14:textId="77777777" w:rsidR="00AC3A56" w:rsidRPr="004C2CAF" w:rsidRDefault="00AC3A56" w:rsidP="001C016D">
            <w:pPr>
              <w:spacing w:before="120" w:after="120" w:line="240" w:lineRule="atLeast"/>
              <w:contextualSpacing/>
              <w:rPr>
                <w:rFonts w:ascii="Tahoma" w:hAnsi="Tahoma" w:cs="Tahoma"/>
                <w:sz w:val="20"/>
              </w:rPr>
            </w:pPr>
            <w:r w:rsidRPr="004C2CAF">
              <w:rPr>
                <w:rFonts w:ascii="Tahoma" w:hAnsi="Tahoma" w:cs="Tahoma"/>
                <w:sz w:val="20"/>
              </w:rPr>
              <w:t>Employee Benefits Non-Current (Long Service Leave)</w:t>
            </w:r>
          </w:p>
        </w:tc>
        <w:tc>
          <w:tcPr>
            <w:tcW w:w="1731" w:type="pct"/>
            <w:tcBorders>
              <w:top w:val="single" w:sz="4" w:space="0" w:color="00B0F0"/>
              <w:bottom w:val="single" w:sz="4" w:space="0" w:color="00B0F0"/>
            </w:tcBorders>
          </w:tcPr>
          <w:p w14:paraId="6C51F2B5" w14:textId="267E1B87" w:rsidR="00AC3A56" w:rsidRDefault="00AC3A56" w:rsidP="0082349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Reported amount for Employee Benefits Non-Current (Long Service Leave) ha</w:t>
            </w:r>
            <w:r w:rsidR="007F33C8">
              <w:rPr>
                <w:rFonts w:ascii="Tahoma" w:hAnsi="Tahoma" w:cs="Tahoma"/>
                <w:sz w:val="20"/>
              </w:rPr>
              <w:t>s</w:t>
            </w:r>
            <w:r>
              <w:rPr>
                <w:rFonts w:ascii="Tahoma" w:hAnsi="Tahoma" w:cs="Tahoma"/>
                <w:sz w:val="20"/>
              </w:rPr>
              <w:t xml:space="preserve"> been derived initially from the AGN Limited group consolidated accounts</w:t>
            </w:r>
            <w:r w:rsidR="007F33C8">
              <w:rPr>
                <w:rFonts w:ascii="Tahoma" w:hAnsi="Tahoma" w:cs="Tahoma"/>
                <w:sz w:val="20"/>
              </w:rPr>
              <w:t xml:space="preserve">, with the amount allocated to AGN (SA) incorporated in the AGN (SA) trial balance. </w:t>
            </w:r>
            <w:r>
              <w:rPr>
                <w:rFonts w:ascii="Tahoma" w:hAnsi="Tahoma" w:cs="Tahoma"/>
                <w:sz w:val="20"/>
              </w:rPr>
              <w:t xml:space="preserve"> </w:t>
            </w:r>
            <w:r w:rsidR="00B52D3E">
              <w:rPr>
                <w:rFonts w:ascii="Tahoma" w:hAnsi="Tahoma" w:cs="Tahoma"/>
                <w:sz w:val="20"/>
              </w:rPr>
              <w:t>As noted here, this is estimated financial information and therefore was reviewed by AGN Limited’s external auditors.</w:t>
            </w:r>
          </w:p>
          <w:p w14:paraId="1ED90071" w14:textId="77777777" w:rsidR="00AC3A56" w:rsidRDefault="00AC3A56" w:rsidP="0082349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5F2BE1B" w14:textId="7987435C" w:rsidR="00AC3A56" w:rsidRDefault="00AC3A56" w:rsidP="0082349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opening balance, movement in provisions and closing balance reported for AGN (SA) ha</w:t>
            </w:r>
            <w:r w:rsidR="007F33C8">
              <w:rPr>
                <w:rFonts w:ascii="Tahoma" w:hAnsi="Tahoma" w:cs="Tahoma"/>
                <w:sz w:val="20"/>
              </w:rPr>
              <w:t>s</w:t>
            </w:r>
            <w:r>
              <w:rPr>
                <w:rFonts w:ascii="Tahoma" w:hAnsi="Tahoma" w:cs="Tahoma"/>
                <w:sz w:val="20"/>
              </w:rPr>
              <w:t xml:space="preserve"> been calculated as an allocation of the group consolidated accounts, based on the increase in SA customers as a percentage of the increase in all customers nationally each year.</w:t>
            </w:r>
          </w:p>
          <w:p w14:paraId="4C73B71F" w14:textId="77777777" w:rsidR="00AC3A56" w:rsidRDefault="00AC3A56" w:rsidP="0082349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007AA81" w14:textId="19CADCD2" w:rsidR="00823493" w:rsidRDefault="00AC3A56" w:rsidP="0082349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Due to the amount of the allocator changing each year (i.e. the increase in SA customers relative to the increase in all customers varies from one year to the next) it is also necessary to adjust for the opening balance carried forward which was calculated from the prior year’s relevant allocator amount.  This is done each year by multiplying the group consolidated accounts opening balance by the change in the SA allocator amount (e.g. if the SA allocator was 27.7% in </w:t>
            </w:r>
            <w:r w:rsidR="00655EF8">
              <w:rPr>
                <w:rFonts w:ascii="Tahoma" w:hAnsi="Tahoma" w:cs="Tahoma"/>
                <w:sz w:val="20"/>
              </w:rPr>
              <w:t>2018/19</w:t>
            </w:r>
            <w:r>
              <w:rPr>
                <w:rFonts w:ascii="Tahoma" w:hAnsi="Tahoma" w:cs="Tahoma"/>
                <w:sz w:val="20"/>
              </w:rPr>
              <w:t xml:space="preserve"> and 24.2% in</w:t>
            </w:r>
            <w:r w:rsidR="00655EF8">
              <w:rPr>
                <w:rFonts w:ascii="Tahoma" w:hAnsi="Tahoma" w:cs="Tahoma"/>
                <w:sz w:val="20"/>
              </w:rPr>
              <w:t>2019/20</w:t>
            </w:r>
            <w:r>
              <w:rPr>
                <w:rFonts w:ascii="Tahoma" w:hAnsi="Tahoma" w:cs="Tahoma"/>
                <w:sz w:val="20"/>
              </w:rPr>
              <w:t xml:space="preserve">, the opening balance allocated to SA </w:t>
            </w:r>
            <w:r>
              <w:rPr>
                <w:rFonts w:ascii="Tahoma" w:hAnsi="Tahoma" w:cs="Tahoma"/>
                <w:sz w:val="20"/>
              </w:rPr>
              <w:lastRenderedPageBreak/>
              <w:t xml:space="preserve">needs to be reduced by 3.5% in </w:t>
            </w:r>
            <w:r w:rsidR="00655EF8">
              <w:rPr>
                <w:rFonts w:ascii="Tahoma" w:hAnsi="Tahoma" w:cs="Tahoma"/>
                <w:sz w:val="20"/>
              </w:rPr>
              <w:t>2019/20</w:t>
            </w:r>
            <w:r>
              <w:rPr>
                <w:rFonts w:ascii="Tahoma" w:hAnsi="Tahoma" w:cs="Tahoma"/>
                <w:sz w:val="20"/>
              </w:rPr>
              <w:t>).  This adjustment is reported in the RIN template using the “change in discount rate” row in Table F7. Provisions.</w:t>
            </w:r>
          </w:p>
          <w:p w14:paraId="09DC2ADC" w14:textId="5124F92B" w:rsidR="00AC3A56" w:rsidRDefault="00AC3A56" w:rsidP="0082349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 </w:t>
            </w:r>
          </w:p>
          <w:p w14:paraId="5E64E7B4" w14:textId="77777777" w:rsidR="00AC3A56" w:rsidRDefault="00AC3A56" w:rsidP="0082349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Pr>
                <w:rFonts w:ascii="Tahoma" w:hAnsi="Tahoma" w:cs="Tahoma"/>
                <w:sz w:val="20"/>
              </w:rPr>
              <w:t>This allocation basis (increase in SA customers) is consistent with the allocation of other Payroll and related costs, as set out in the CAM.</w:t>
            </w:r>
          </w:p>
        </w:tc>
        <w:tc>
          <w:tcPr>
            <w:tcW w:w="837" w:type="pct"/>
            <w:tcBorders>
              <w:top w:val="single" w:sz="4" w:space="0" w:color="00B0F0"/>
              <w:bottom w:val="single" w:sz="4" w:space="0" w:color="00B0F0"/>
            </w:tcBorders>
            <w:vAlign w:val="center"/>
          </w:tcPr>
          <w:p w14:paraId="0007BF30" w14:textId="61E002F2" w:rsidR="00AC3A56" w:rsidRPr="00751816" w:rsidRDefault="00AC3A5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 xml:space="preserve">Estimate </w:t>
            </w:r>
          </w:p>
        </w:tc>
        <w:tc>
          <w:tcPr>
            <w:tcW w:w="995" w:type="pct"/>
            <w:tcBorders>
              <w:top w:val="single" w:sz="4" w:space="0" w:color="00B0F0"/>
              <w:bottom w:val="single" w:sz="4" w:space="0" w:color="00B0F0"/>
            </w:tcBorders>
          </w:tcPr>
          <w:p w14:paraId="7866191A" w14:textId="6F3510EE" w:rsidR="00AC3A56" w:rsidRDefault="00CA72C9" w:rsidP="00971F6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w:t>
            </w:r>
            <w:r w:rsidR="00AC3A56">
              <w:rPr>
                <w:rFonts w:ascii="Tahoma" w:hAnsi="Tahoma" w:cs="Tahoma"/>
                <w:sz w:val="20"/>
              </w:rPr>
              <w:t xml:space="preserve">he amount reported for </w:t>
            </w:r>
            <w:r>
              <w:rPr>
                <w:rFonts w:ascii="Tahoma" w:hAnsi="Tahoma" w:cs="Tahoma"/>
                <w:sz w:val="20"/>
              </w:rPr>
              <w:t xml:space="preserve">2019/20 </w:t>
            </w:r>
            <w:r w:rsidR="00F97471">
              <w:rPr>
                <w:rFonts w:ascii="Tahoma" w:hAnsi="Tahoma" w:cs="Tahoma"/>
                <w:sz w:val="20"/>
              </w:rPr>
              <w:t xml:space="preserve">has </w:t>
            </w:r>
            <w:r w:rsidR="00AC3A56">
              <w:rPr>
                <w:rFonts w:ascii="Tahoma" w:hAnsi="Tahoma" w:cs="Tahoma"/>
                <w:sz w:val="20"/>
              </w:rPr>
              <w:t>been determined as an allocation from the AGN Limited Group employee entitlement figures. Notwithstanding that the allocator used (i.e. increase in customers) is the most practical and best method given the information available, AGN Limited considers the provision amounts reported for SA as estimated information.</w:t>
            </w:r>
          </w:p>
          <w:p w14:paraId="7FDDF314" w14:textId="77777777" w:rsidR="00AC3A56" w:rsidRDefault="00AC3A56" w:rsidP="00971F6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0C33131" w14:textId="03FD3243" w:rsidR="00AC3A56" w:rsidRPr="00751816" w:rsidRDefault="00AC3A56" w:rsidP="00971F6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90B08">
              <w:rPr>
                <w:rFonts w:ascii="Tahoma" w:hAnsi="Tahoma" w:cs="Tahoma"/>
                <w:sz w:val="20"/>
              </w:rPr>
              <w:t xml:space="preserve">As such, information being reported for </w:t>
            </w:r>
            <w:r w:rsidR="00655EF8">
              <w:rPr>
                <w:rFonts w:ascii="Tahoma" w:hAnsi="Tahoma" w:cs="Tahoma"/>
                <w:sz w:val="20"/>
              </w:rPr>
              <w:t>2019/20</w:t>
            </w:r>
            <w:r w:rsidRPr="00390B08">
              <w:rPr>
                <w:rFonts w:ascii="Tahoma" w:hAnsi="Tahoma" w:cs="Tahoma"/>
                <w:sz w:val="20"/>
              </w:rPr>
              <w:t xml:space="preserve"> has been reviewed by AGN Limited’s external auditor in accordance with the requirements of Appendix C of the </w:t>
            </w:r>
            <w:r w:rsidR="008214CA">
              <w:rPr>
                <w:rFonts w:ascii="Tahoma" w:hAnsi="Tahoma" w:cs="Tahoma"/>
                <w:sz w:val="20"/>
              </w:rPr>
              <w:t>Annual RIN</w:t>
            </w:r>
            <w:r w:rsidRPr="00390B08">
              <w:rPr>
                <w:rFonts w:ascii="Tahoma" w:hAnsi="Tahoma" w:cs="Tahoma"/>
                <w:sz w:val="20"/>
              </w:rPr>
              <w:t>.</w:t>
            </w:r>
          </w:p>
        </w:tc>
        <w:tc>
          <w:tcPr>
            <w:tcW w:w="707" w:type="pct"/>
            <w:tcBorders>
              <w:top w:val="single" w:sz="4" w:space="0" w:color="00B0F0"/>
              <w:bottom w:val="single" w:sz="4" w:space="0" w:color="00B0F0"/>
            </w:tcBorders>
            <w:vAlign w:val="center"/>
          </w:tcPr>
          <w:p w14:paraId="5B42E011" w14:textId="3038CE57" w:rsidR="00AC3A56" w:rsidRPr="00751816" w:rsidRDefault="00AC3A5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AC3A56" w:rsidRPr="00751816" w14:paraId="3BBCCE88" w14:textId="77777777" w:rsidTr="00971F6F">
        <w:trPr>
          <w:trHeight w:val="436"/>
        </w:trPr>
        <w:tc>
          <w:tcPr>
            <w:cnfStyle w:val="001000000000" w:firstRow="0" w:lastRow="0" w:firstColumn="1" w:lastColumn="0" w:oddVBand="0" w:evenVBand="0" w:oddHBand="0" w:evenHBand="0" w:firstRowFirstColumn="0" w:firstRowLastColumn="0" w:lastRowFirstColumn="0" w:lastRowLastColumn="0"/>
            <w:tcW w:w="730" w:type="pct"/>
            <w:tcBorders>
              <w:top w:val="single" w:sz="4" w:space="0" w:color="00B0F0"/>
              <w:bottom w:val="single" w:sz="4" w:space="0" w:color="00B0F0"/>
            </w:tcBorders>
            <w:shd w:val="clear" w:color="auto" w:fill="D9D9D9" w:themeFill="background1" w:themeFillShade="D9"/>
            <w:vAlign w:val="center"/>
          </w:tcPr>
          <w:p w14:paraId="6390D7B6" w14:textId="77777777" w:rsidR="00AC3A56" w:rsidRPr="004C2CAF" w:rsidRDefault="00AC3A56" w:rsidP="001C016D">
            <w:pPr>
              <w:spacing w:before="120" w:after="120" w:line="240" w:lineRule="atLeast"/>
              <w:contextualSpacing/>
              <w:rPr>
                <w:rFonts w:ascii="Tahoma" w:hAnsi="Tahoma" w:cs="Tahoma"/>
                <w:sz w:val="20"/>
              </w:rPr>
            </w:pPr>
            <w:r w:rsidRPr="004C2CAF">
              <w:rPr>
                <w:rFonts w:ascii="Tahoma" w:hAnsi="Tahoma" w:cs="Tahoma"/>
                <w:sz w:val="20"/>
              </w:rPr>
              <w:t>Asbestos Claims</w:t>
            </w:r>
          </w:p>
        </w:tc>
        <w:tc>
          <w:tcPr>
            <w:tcW w:w="1731" w:type="pct"/>
            <w:tcBorders>
              <w:top w:val="single" w:sz="4" w:space="0" w:color="00B0F0"/>
              <w:bottom w:val="single" w:sz="4" w:space="0" w:color="00B0F0"/>
            </w:tcBorders>
          </w:tcPr>
          <w:p w14:paraId="46B04E4A" w14:textId="3AFFBF39" w:rsidR="00AC3A56" w:rsidRDefault="007F33C8" w:rsidP="00971F6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r</w:t>
            </w:r>
            <w:r w:rsidR="00AC3A56">
              <w:rPr>
                <w:rFonts w:ascii="Tahoma" w:hAnsi="Tahoma" w:cs="Tahoma"/>
                <w:sz w:val="20"/>
              </w:rPr>
              <w:t>eported amount for Asbestos Claims ha</w:t>
            </w:r>
            <w:r>
              <w:rPr>
                <w:rFonts w:ascii="Tahoma" w:hAnsi="Tahoma" w:cs="Tahoma"/>
                <w:sz w:val="20"/>
              </w:rPr>
              <w:t>s</w:t>
            </w:r>
            <w:r w:rsidR="00AC3A56">
              <w:rPr>
                <w:rFonts w:ascii="Tahoma" w:hAnsi="Tahoma" w:cs="Tahoma"/>
                <w:sz w:val="20"/>
              </w:rPr>
              <w:t xml:space="preserve"> been derived initially from the AGN Limited group consolidated accounts</w:t>
            </w:r>
            <w:r>
              <w:rPr>
                <w:rFonts w:ascii="Tahoma" w:hAnsi="Tahoma" w:cs="Tahoma"/>
                <w:sz w:val="20"/>
              </w:rPr>
              <w:t xml:space="preserve">, with the amount allocated to AGN (SA) incorporated in the AGN (SA) trial balance. </w:t>
            </w:r>
            <w:r w:rsidR="00AC3A56">
              <w:rPr>
                <w:rFonts w:ascii="Tahoma" w:hAnsi="Tahoma" w:cs="Tahoma"/>
                <w:sz w:val="20"/>
              </w:rPr>
              <w:t xml:space="preserve"> </w:t>
            </w:r>
            <w:r w:rsidR="00B52D3E">
              <w:rPr>
                <w:rFonts w:ascii="Tahoma" w:hAnsi="Tahoma" w:cs="Tahoma"/>
                <w:sz w:val="20"/>
              </w:rPr>
              <w:t>As noted here, this is estimated financial information and therefore was reviewed by AGN Limited’s external auditors.</w:t>
            </w:r>
          </w:p>
          <w:p w14:paraId="74B8394F" w14:textId="77777777" w:rsidR="00AC3A56" w:rsidRDefault="00AC3A56" w:rsidP="00971F6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A7B7007" w14:textId="1B34B6E5" w:rsidR="00AC3A56" w:rsidRDefault="00AC3A56" w:rsidP="00971F6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opening balance, movement in provisions and closing balance reported for AGN (SA) ha</w:t>
            </w:r>
            <w:r w:rsidR="007F33C8">
              <w:rPr>
                <w:rFonts w:ascii="Tahoma" w:hAnsi="Tahoma" w:cs="Tahoma"/>
                <w:sz w:val="20"/>
              </w:rPr>
              <w:t>s</w:t>
            </w:r>
            <w:r>
              <w:rPr>
                <w:rFonts w:ascii="Tahoma" w:hAnsi="Tahoma" w:cs="Tahoma"/>
                <w:sz w:val="20"/>
              </w:rPr>
              <w:t xml:space="preserve"> been calculated as an allocation of the group consolidated accounts, based on the increase in SA customers as a percentage of the increase in all customers nationally each year.</w:t>
            </w:r>
          </w:p>
          <w:p w14:paraId="4C859EC6" w14:textId="77777777" w:rsidR="00AC3A56" w:rsidRDefault="00AC3A56" w:rsidP="00971F6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p>
          <w:p w14:paraId="3D28F0CA" w14:textId="77777777" w:rsidR="00AC3A56" w:rsidRDefault="00AC3A56" w:rsidP="00971F6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This allocation basis (increase in SA customers) is consistent with the allocation of Corporate Costs and Professional Costs, as set out in the CAM, and is considered by AGN Limited to be the most appropriate method for allocating this provision.</w:t>
            </w:r>
          </w:p>
          <w:p w14:paraId="66AA4D92" w14:textId="77777777" w:rsidR="00AC3A56" w:rsidRDefault="00AC3A56" w:rsidP="00971F6F">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E6ED23A" w14:textId="5CD68759" w:rsidR="00810148" w:rsidRDefault="00AC3A56" w:rsidP="005278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b/>
                <w:sz w:val="20"/>
              </w:rPr>
            </w:pPr>
            <w:r>
              <w:rPr>
                <w:rFonts w:ascii="Tahoma" w:hAnsi="Tahoma" w:cs="Tahoma"/>
                <w:sz w:val="20"/>
              </w:rPr>
              <w:t xml:space="preserve">The provision for Asbestos Claims was created in 2018-19 and therefore it has been necessary to adjust </w:t>
            </w:r>
            <w:r w:rsidR="00BC7945">
              <w:rPr>
                <w:rFonts w:ascii="Tahoma" w:hAnsi="Tahoma" w:cs="Tahoma"/>
                <w:sz w:val="20"/>
              </w:rPr>
              <w:t xml:space="preserve">the </w:t>
            </w:r>
            <w:r>
              <w:rPr>
                <w:rFonts w:ascii="Tahoma" w:hAnsi="Tahoma" w:cs="Tahoma"/>
                <w:sz w:val="20"/>
              </w:rPr>
              <w:t xml:space="preserve">opening balance for </w:t>
            </w:r>
            <w:r w:rsidR="00F97471">
              <w:rPr>
                <w:rFonts w:ascii="Tahoma" w:hAnsi="Tahoma" w:cs="Tahoma"/>
                <w:sz w:val="20"/>
              </w:rPr>
              <w:t xml:space="preserve">the </w:t>
            </w:r>
            <w:r>
              <w:rPr>
                <w:rFonts w:ascii="Tahoma" w:hAnsi="Tahoma" w:cs="Tahoma"/>
                <w:sz w:val="20"/>
              </w:rPr>
              <w:t xml:space="preserve">annual change </w:t>
            </w:r>
            <w:r>
              <w:rPr>
                <w:rFonts w:ascii="Tahoma" w:hAnsi="Tahoma" w:cs="Tahoma"/>
                <w:sz w:val="20"/>
              </w:rPr>
              <w:lastRenderedPageBreak/>
              <w:t>in the allocator amount (i.e. as required for employee related provisions explained above).</w:t>
            </w:r>
          </w:p>
        </w:tc>
        <w:tc>
          <w:tcPr>
            <w:tcW w:w="837" w:type="pct"/>
            <w:tcBorders>
              <w:top w:val="single" w:sz="4" w:space="0" w:color="00B0F0"/>
              <w:bottom w:val="single" w:sz="4" w:space="0" w:color="00B0F0"/>
            </w:tcBorders>
            <w:vAlign w:val="center"/>
          </w:tcPr>
          <w:p w14:paraId="410C6944" w14:textId="1E988B65" w:rsidR="00AC3A56" w:rsidRPr="00751816" w:rsidRDefault="00AC3A56">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lastRenderedPageBreak/>
              <w:t xml:space="preserve">Estimate </w:t>
            </w:r>
          </w:p>
        </w:tc>
        <w:tc>
          <w:tcPr>
            <w:tcW w:w="995" w:type="pct"/>
            <w:tcBorders>
              <w:top w:val="single" w:sz="4" w:space="0" w:color="00B0F0"/>
              <w:bottom w:val="single" w:sz="4" w:space="0" w:color="00B0F0"/>
            </w:tcBorders>
            <w:vAlign w:val="center"/>
          </w:tcPr>
          <w:p w14:paraId="0F3FA55A" w14:textId="17859BA2" w:rsidR="00810148" w:rsidRDefault="00B03C40" w:rsidP="0081014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opening balance, movements in provisions and closing balance reported for AGN (SA) ha</w:t>
            </w:r>
            <w:r w:rsidR="007F33C8">
              <w:rPr>
                <w:rFonts w:ascii="Tahoma" w:hAnsi="Tahoma" w:cs="Tahoma"/>
                <w:sz w:val="20"/>
              </w:rPr>
              <w:t>s</w:t>
            </w:r>
            <w:r>
              <w:rPr>
                <w:rFonts w:ascii="Tahoma" w:hAnsi="Tahoma" w:cs="Tahoma"/>
                <w:sz w:val="20"/>
              </w:rPr>
              <w:t xml:space="preserve"> been calculated as an allocation of the group consolidated accounts, based on the increase in SA customers as a percentage of the increase in all customers nationally each year.</w:t>
            </w:r>
            <w:r w:rsidR="00810148">
              <w:rPr>
                <w:rFonts w:ascii="Tahoma" w:hAnsi="Tahoma" w:cs="Tahoma"/>
                <w:sz w:val="20"/>
              </w:rPr>
              <w:t xml:space="preserve"> Notwithstanding that the allocator used (i.e. increase in customers) is the most practical and best method given the information available, AGN Limited considers the provision amounts reported for SA as estimated information.</w:t>
            </w:r>
          </w:p>
          <w:p w14:paraId="17B71FE6" w14:textId="77777777" w:rsidR="00810148" w:rsidRDefault="00810148" w:rsidP="0081014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6D6CCEDC" w14:textId="32323BE2" w:rsidR="00AC3A56" w:rsidRPr="00751816" w:rsidRDefault="00810148" w:rsidP="00655EF8">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90B08">
              <w:rPr>
                <w:rFonts w:ascii="Tahoma" w:hAnsi="Tahoma" w:cs="Tahoma"/>
                <w:sz w:val="20"/>
              </w:rPr>
              <w:t xml:space="preserve">As such, information being reported for </w:t>
            </w:r>
            <w:r w:rsidR="00655EF8">
              <w:rPr>
                <w:rFonts w:ascii="Tahoma" w:hAnsi="Tahoma" w:cs="Tahoma"/>
                <w:sz w:val="20"/>
              </w:rPr>
              <w:t>2019/20</w:t>
            </w:r>
            <w:r w:rsidRPr="00390B08">
              <w:rPr>
                <w:rFonts w:ascii="Tahoma" w:hAnsi="Tahoma" w:cs="Tahoma"/>
                <w:sz w:val="20"/>
              </w:rPr>
              <w:t xml:space="preserve"> has been reviewed by AGN </w:t>
            </w:r>
            <w:r w:rsidRPr="00390B08">
              <w:rPr>
                <w:rFonts w:ascii="Tahoma" w:hAnsi="Tahoma" w:cs="Tahoma"/>
                <w:sz w:val="20"/>
              </w:rPr>
              <w:lastRenderedPageBreak/>
              <w:t xml:space="preserve">Limited’s external auditor in accordance with the requirements of Appendix C of the </w:t>
            </w:r>
            <w:r w:rsidR="008214CA">
              <w:rPr>
                <w:rFonts w:ascii="Tahoma" w:hAnsi="Tahoma" w:cs="Tahoma"/>
                <w:sz w:val="20"/>
              </w:rPr>
              <w:t>Annual RIN</w:t>
            </w:r>
            <w:r w:rsidRPr="00390B08">
              <w:rPr>
                <w:rFonts w:ascii="Tahoma" w:hAnsi="Tahoma" w:cs="Tahoma"/>
                <w:sz w:val="20"/>
              </w:rPr>
              <w:t>.</w:t>
            </w:r>
          </w:p>
        </w:tc>
        <w:tc>
          <w:tcPr>
            <w:tcW w:w="707" w:type="pct"/>
            <w:tcBorders>
              <w:top w:val="single" w:sz="4" w:space="0" w:color="00B0F0"/>
              <w:bottom w:val="single" w:sz="4" w:space="0" w:color="00B0F0"/>
            </w:tcBorders>
            <w:vAlign w:val="center"/>
          </w:tcPr>
          <w:p w14:paraId="0248BE65" w14:textId="2F8F40D6" w:rsidR="00AC3A56" w:rsidRPr="00751816" w:rsidRDefault="00AC3A56"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bl>
    <w:p w14:paraId="554C06D5" w14:textId="77777777" w:rsidR="00AC3A56" w:rsidRPr="002931BA" w:rsidRDefault="00AC3A56" w:rsidP="00AC3A56"/>
    <w:p w14:paraId="340ACEF8" w14:textId="79D44E58" w:rsidR="00C40D85" w:rsidRDefault="00C40D85" w:rsidP="00C059E5">
      <w:pPr>
        <w:pStyle w:val="Heading1"/>
        <w:rPr>
          <w:rFonts w:ascii="Tahoma" w:hAnsi="Tahoma" w:cs="Tahoma"/>
          <w:b/>
          <w:color w:val="003C71"/>
        </w:rPr>
      </w:pPr>
      <w:bookmarkStart w:id="58" w:name="_Toc57314101"/>
      <w:r w:rsidRPr="0095305C">
        <w:rPr>
          <w:rFonts w:ascii="Tahoma" w:hAnsi="Tahoma" w:cs="Tahoma"/>
          <w:b/>
          <w:color w:val="003C71"/>
        </w:rPr>
        <w:t>F9. Pass Through</w:t>
      </w:r>
      <w:bookmarkEnd w:id="58"/>
      <w:r w:rsidRPr="0095305C">
        <w:rPr>
          <w:rFonts w:ascii="Tahoma" w:hAnsi="Tahoma" w:cs="Tahoma"/>
          <w:b/>
          <w:color w:val="003C71"/>
        </w:rPr>
        <w:t xml:space="preserve"> </w:t>
      </w:r>
    </w:p>
    <w:p w14:paraId="1DB2D2BE" w14:textId="5BACBB04" w:rsidR="00C40D85" w:rsidRDefault="00BE7356" w:rsidP="0071215F">
      <w:pPr>
        <w:pStyle w:val="Heading2"/>
        <w:rPr>
          <w:rFonts w:ascii="Tahoma" w:hAnsi="Tahoma" w:cs="Tahoma"/>
          <w:color w:val="003C71"/>
        </w:rPr>
      </w:pPr>
      <w:bookmarkStart w:id="59" w:name="_Toc57314102"/>
      <w:r w:rsidRPr="0071215F">
        <w:rPr>
          <w:rFonts w:ascii="Tahoma" w:hAnsi="Tahoma" w:cs="Tahoma"/>
          <w:color w:val="003C71"/>
        </w:rPr>
        <w:t>F9.1 - Pass Through Event Expenditure</w:t>
      </w:r>
      <w:bookmarkEnd w:id="59"/>
      <w:r w:rsidRPr="0071215F">
        <w:rPr>
          <w:rFonts w:ascii="Tahoma" w:hAnsi="Tahoma" w:cs="Tahoma"/>
          <w:color w:val="003C71"/>
        </w:rPr>
        <w:t xml:space="preserve"> </w:t>
      </w:r>
    </w:p>
    <w:tbl>
      <w:tblPr>
        <w:tblStyle w:val="UETableStyle"/>
        <w:tblW w:w="4776"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46"/>
        <w:gridCol w:w="4619"/>
        <w:gridCol w:w="2232"/>
        <w:gridCol w:w="2653"/>
        <w:gridCol w:w="1883"/>
      </w:tblGrid>
      <w:tr w:rsidR="0062490C" w:rsidRPr="00751816" w14:paraId="337227AC" w14:textId="77777777" w:rsidTr="0062490C">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730" w:type="pct"/>
            <w:tcBorders>
              <w:bottom w:val="single" w:sz="4" w:space="0" w:color="00B0F0"/>
            </w:tcBorders>
            <w:shd w:val="clear" w:color="auto" w:fill="003C71"/>
            <w:hideMark/>
          </w:tcPr>
          <w:p w14:paraId="329A01EB" w14:textId="4B39DED2" w:rsidR="0062490C" w:rsidRPr="00751816" w:rsidRDefault="0062490C" w:rsidP="00823493">
            <w:pPr>
              <w:rPr>
                <w:rFonts w:ascii="Tahoma" w:hAnsi="Tahoma" w:cs="Tahoma"/>
                <w:b/>
                <w:color w:val="FFFFFF"/>
                <w:sz w:val="20"/>
              </w:rPr>
            </w:pPr>
            <w:r w:rsidRPr="00751816">
              <w:rPr>
                <w:rFonts w:ascii="Tahoma" w:hAnsi="Tahoma" w:cs="Tahoma"/>
                <w:b/>
                <w:color w:val="FFFFFF"/>
                <w:sz w:val="20"/>
              </w:rPr>
              <w:t xml:space="preserve">Variable </w:t>
            </w:r>
          </w:p>
        </w:tc>
        <w:tc>
          <w:tcPr>
            <w:tcW w:w="1732" w:type="pct"/>
            <w:tcBorders>
              <w:bottom w:val="single" w:sz="4" w:space="0" w:color="00B0F0"/>
            </w:tcBorders>
            <w:shd w:val="clear" w:color="auto" w:fill="003C71"/>
          </w:tcPr>
          <w:p w14:paraId="59487447" w14:textId="77777777" w:rsidR="0062490C" w:rsidRPr="00751816" w:rsidRDefault="0062490C"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7" w:type="pct"/>
            <w:tcBorders>
              <w:bottom w:val="single" w:sz="4" w:space="0" w:color="00B0F0"/>
            </w:tcBorders>
            <w:shd w:val="clear" w:color="auto" w:fill="003C71"/>
          </w:tcPr>
          <w:p w14:paraId="4BA1B4D0" w14:textId="77777777" w:rsidR="0062490C" w:rsidRPr="00751816" w:rsidRDefault="0062490C"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5" w:type="pct"/>
            <w:tcBorders>
              <w:bottom w:val="single" w:sz="4" w:space="0" w:color="00B0F0"/>
            </w:tcBorders>
            <w:shd w:val="clear" w:color="auto" w:fill="003C71"/>
          </w:tcPr>
          <w:p w14:paraId="15A2746B" w14:textId="77777777" w:rsidR="0062490C" w:rsidRPr="00751816" w:rsidRDefault="0062490C"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706" w:type="pct"/>
            <w:tcBorders>
              <w:bottom w:val="single" w:sz="4" w:space="0" w:color="00B0F0"/>
            </w:tcBorders>
            <w:shd w:val="clear" w:color="auto" w:fill="003C71"/>
          </w:tcPr>
          <w:p w14:paraId="1458F315" w14:textId="77777777" w:rsidR="0062490C" w:rsidRPr="00751816" w:rsidRDefault="0062490C"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62490C" w:rsidRPr="00751816" w14:paraId="0A45C46E" w14:textId="77777777" w:rsidTr="00443597">
        <w:trPr>
          <w:trHeight w:val="283"/>
        </w:trPr>
        <w:tc>
          <w:tcPr>
            <w:cnfStyle w:val="001000000000" w:firstRow="0" w:lastRow="0" w:firstColumn="1" w:lastColumn="0" w:oddVBand="0" w:evenVBand="0" w:oddHBand="0" w:evenHBand="0" w:firstRowFirstColumn="0" w:firstRowLastColumn="0" w:lastRowFirstColumn="0" w:lastRowLastColumn="0"/>
            <w:tcW w:w="730" w:type="pct"/>
            <w:tcBorders>
              <w:top w:val="single" w:sz="4" w:space="0" w:color="00B0F0"/>
              <w:bottom w:val="single" w:sz="4" w:space="0" w:color="00B0F0"/>
            </w:tcBorders>
            <w:shd w:val="clear" w:color="auto" w:fill="00A3E0"/>
            <w:vAlign w:val="center"/>
          </w:tcPr>
          <w:p w14:paraId="78A79F9F" w14:textId="4C301E06" w:rsidR="0062490C" w:rsidRPr="00C832FC" w:rsidRDefault="008418D3" w:rsidP="001C016D">
            <w:pPr>
              <w:spacing w:before="120" w:after="120" w:line="240" w:lineRule="atLeast"/>
              <w:contextualSpacing/>
              <w:rPr>
                <w:rFonts w:ascii="Tahoma" w:hAnsi="Tahoma" w:cs="Tahoma"/>
                <w:sz w:val="20"/>
              </w:rPr>
            </w:pPr>
            <w:r>
              <w:rPr>
                <w:rFonts w:ascii="Tahoma" w:hAnsi="Tahoma" w:cs="Tahoma"/>
                <w:sz w:val="20"/>
              </w:rPr>
              <w:t>2019/20</w:t>
            </w:r>
            <w:r w:rsidR="0062490C" w:rsidRPr="00C832FC">
              <w:rPr>
                <w:rFonts w:ascii="Tahoma" w:hAnsi="Tahoma" w:cs="Tahoma"/>
                <w:sz w:val="20"/>
              </w:rPr>
              <w:t xml:space="preserve"> </w:t>
            </w:r>
          </w:p>
        </w:tc>
        <w:tc>
          <w:tcPr>
            <w:tcW w:w="1732" w:type="pct"/>
            <w:tcBorders>
              <w:top w:val="single" w:sz="4" w:space="0" w:color="00B0F0"/>
              <w:bottom w:val="single" w:sz="4" w:space="0" w:color="00B0F0"/>
            </w:tcBorders>
            <w:shd w:val="clear" w:color="auto" w:fill="00A3E0"/>
            <w:vAlign w:val="center"/>
          </w:tcPr>
          <w:p w14:paraId="51A37F96" w14:textId="77777777" w:rsidR="0062490C" w:rsidRPr="00C832FC" w:rsidRDefault="0062490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837" w:type="pct"/>
            <w:tcBorders>
              <w:top w:val="single" w:sz="4" w:space="0" w:color="00B0F0"/>
              <w:bottom w:val="single" w:sz="4" w:space="0" w:color="00B0F0"/>
            </w:tcBorders>
            <w:shd w:val="clear" w:color="auto" w:fill="00A3E0"/>
            <w:vAlign w:val="center"/>
          </w:tcPr>
          <w:p w14:paraId="08627BD5" w14:textId="77777777" w:rsidR="0062490C" w:rsidRPr="00751816" w:rsidRDefault="0062490C" w:rsidP="001C016D">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995" w:type="pct"/>
            <w:tcBorders>
              <w:top w:val="single" w:sz="4" w:space="0" w:color="00B0F0"/>
              <w:bottom w:val="single" w:sz="4" w:space="0" w:color="00B0F0"/>
            </w:tcBorders>
            <w:shd w:val="clear" w:color="auto" w:fill="00A3E0"/>
            <w:vAlign w:val="center"/>
          </w:tcPr>
          <w:p w14:paraId="453541CB" w14:textId="77777777" w:rsidR="0062490C" w:rsidRPr="00751816" w:rsidRDefault="0062490C" w:rsidP="001C016D">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c>
          <w:tcPr>
            <w:tcW w:w="706" w:type="pct"/>
            <w:tcBorders>
              <w:top w:val="single" w:sz="4" w:space="0" w:color="00B0F0"/>
              <w:bottom w:val="single" w:sz="4" w:space="0" w:color="00B0F0"/>
            </w:tcBorders>
            <w:shd w:val="clear" w:color="auto" w:fill="00A3E0"/>
            <w:vAlign w:val="center"/>
          </w:tcPr>
          <w:p w14:paraId="2729D10E" w14:textId="77777777" w:rsidR="0062490C" w:rsidRPr="00751816" w:rsidRDefault="0062490C" w:rsidP="001C016D">
            <w:pPr>
              <w:contextualSpacing/>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DA069C" w:rsidRPr="00751816" w14:paraId="31F7FDB5" w14:textId="77777777" w:rsidTr="00DA069C">
        <w:trPr>
          <w:trHeight w:val="436"/>
        </w:trPr>
        <w:tc>
          <w:tcPr>
            <w:cnfStyle w:val="001000000000" w:firstRow="0" w:lastRow="0" w:firstColumn="1" w:lastColumn="0" w:oddVBand="0" w:evenVBand="0" w:oddHBand="0" w:evenHBand="0" w:firstRowFirstColumn="0" w:firstRowLastColumn="0" w:lastRowFirstColumn="0" w:lastRowLastColumn="0"/>
            <w:tcW w:w="730" w:type="pct"/>
            <w:tcBorders>
              <w:top w:val="single" w:sz="4" w:space="0" w:color="00B0F0"/>
              <w:bottom w:val="single" w:sz="4" w:space="0" w:color="00B0F0"/>
            </w:tcBorders>
            <w:shd w:val="clear" w:color="auto" w:fill="D9D9D9" w:themeFill="background1" w:themeFillShade="D9"/>
            <w:vAlign w:val="center"/>
          </w:tcPr>
          <w:p w14:paraId="318D683C" w14:textId="77777777" w:rsidR="00DA069C" w:rsidRPr="0052786D" w:rsidRDefault="00DA069C" w:rsidP="001C016D">
            <w:pPr>
              <w:spacing w:before="120" w:after="120" w:line="240" w:lineRule="atLeast"/>
              <w:contextualSpacing/>
              <w:rPr>
                <w:rFonts w:ascii="Tahoma" w:hAnsi="Tahoma" w:cs="Tahoma"/>
                <w:sz w:val="20"/>
              </w:rPr>
            </w:pPr>
          </w:p>
        </w:tc>
        <w:tc>
          <w:tcPr>
            <w:tcW w:w="4270" w:type="pct"/>
            <w:gridSpan w:val="4"/>
            <w:tcBorders>
              <w:top w:val="single" w:sz="4" w:space="0" w:color="00B0F0"/>
              <w:bottom w:val="single" w:sz="4" w:space="0" w:color="00B0F0"/>
            </w:tcBorders>
            <w:vAlign w:val="center"/>
          </w:tcPr>
          <w:p w14:paraId="0B9D9138" w14:textId="17221E1C" w:rsidR="00DA069C" w:rsidRDefault="00DA069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There was no pass through expenditure approved</w:t>
            </w:r>
            <w:r w:rsidR="007F33C8">
              <w:rPr>
                <w:rFonts w:ascii="Tahoma" w:hAnsi="Tahoma" w:cs="Tahoma"/>
                <w:sz w:val="20"/>
              </w:rPr>
              <w:t xml:space="preserve"> for AGN (SA)</w:t>
            </w:r>
            <w:r>
              <w:rPr>
                <w:rFonts w:ascii="Tahoma" w:hAnsi="Tahoma" w:cs="Tahoma"/>
                <w:sz w:val="20"/>
              </w:rPr>
              <w:t xml:space="preserve"> in </w:t>
            </w:r>
            <w:r w:rsidR="00F97471">
              <w:rPr>
                <w:rFonts w:ascii="Tahoma" w:hAnsi="Tahoma" w:cs="Tahoma"/>
                <w:sz w:val="20"/>
              </w:rPr>
              <w:t>2019/20</w:t>
            </w:r>
            <w:r>
              <w:rPr>
                <w:rFonts w:ascii="Tahoma" w:hAnsi="Tahoma" w:cs="Tahoma"/>
                <w:sz w:val="20"/>
              </w:rPr>
              <w:t>.</w:t>
            </w:r>
          </w:p>
          <w:p w14:paraId="68DFE50A" w14:textId="77777777" w:rsidR="00DA069C" w:rsidRDefault="00DA069C"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45FA64C0" w14:textId="382DAC5B" w:rsidR="00DA069C" w:rsidRPr="00751816" w:rsidRDefault="00DA069C" w:rsidP="00823493">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We report a ‘Null’ response in the template. </w:t>
            </w:r>
          </w:p>
        </w:tc>
      </w:tr>
    </w:tbl>
    <w:p w14:paraId="3EF3FE88" w14:textId="77777777" w:rsidR="008418D3" w:rsidRDefault="008418D3">
      <w:pPr>
        <w:rPr>
          <w:rFonts w:ascii="Tahoma" w:eastAsiaTheme="majorEastAsia" w:hAnsi="Tahoma" w:cs="Tahoma"/>
          <w:b/>
          <w:color w:val="003C71"/>
          <w:sz w:val="32"/>
          <w:szCs w:val="32"/>
        </w:rPr>
      </w:pPr>
      <w:r>
        <w:rPr>
          <w:rFonts w:ascii="Tahoma" w:hAnsi="Tahoma" w:cs="Tahoma"/>
          <w:b/>
          <w:color w:val="003C71"/>
        </w:rPr>
        <w:br w:type="page"/>
      </w:r>
    </w:p>
    <w:p w14:paraId="704B83E9" w14:textId="0F3D5509" w:rsidR="00C40D85" w:rsidRDefault="00BE7356" w:rsidP="00C059E5">
      <w:pPr>
        <w:pStyle w:val="Heading1"/>
        <w:rPr>
          <w:rFonts w:ascii="Tahoma" w:hAnsi="Tahoma" w:cs="Tahoma"/>
          <w:b/>
          <w:color w:val="003C71"/>
        </w:rPr>
      </w:pPr>
      <w:bookmarkStart w:id="60" w:name="_Toc57314103"/>
      <w:r w:rsidRPr="0095305C">
        <w:rPr>
          <w:rFonts w:ascii="Tahoma" w:hAnsi="Tahoma" w:cs="Tahoma"/>
          <w:b/>
          <w:color w:val="003C71"/>
        </w:rPr>
        <w:lastRenderedPageBreak/>
        <w:t>F10. Assets</w:t>
      </w:r>
      <w:bookmarkEnd w:id="60"/>
      <w:r w:rsidRPr="0095305C">
        <w:rPr>
          <w:rFonts w:ascii="Tahoma" w:hAnsi="Tahoma" w:cs="Tahoma"/>
          <w:b/>
          <w:color w:val="003C71"/>
        </w:rPr>
        <w:t xml:space="preserve"> </w:t>
      </w:r>
    </w:p>
    <w:p w14:paraId="1C106706" w14:textId="35A8A54A" w:rsidR="00BE7356" w:rsidRDefault="00BE7356" w:rsidP="0071215F">
      <w:pPr>
        <w:pStyle w:val="Heading2"/>
        <w:rPr>
          <w:rFonts w:ascii="Tahoma" w:hAnsi="Tahoma" w:cs="Tahoma"/>
          <w:color w:val="003C71"/>
        </w:rPr>
      </w:pPr>
      <w:bookmarkStart w:id="61" w:name="_Toc57314104"/>
      <w:r w:rsidRPr="0071215F">
        <w:rPr>
          <w:rFonts w:ascii="Tahoma" w:hAnsi="Tahoma" w:cs="Tahoma"/>
          <w:color w:val="003C71"/>
        </w:rPr>
        <w:t>F10.1 – Capital Base Values</w:t>
      </w:r>
      <w:bookmarkEnd w:id="61"/>
      <w:r w:rsidRPr="0071215F">
        <w:rPr>
          <w:rFonts w:ascii="Tahoma" w:hAnsi="Tahoma" w:cs="Tahoma"/>
          <w:color w:val="003C71"/>
        </w:rPr>
        <w:t xml:space="preserve"> </w:t>
      </w:r>
    </w:p>
    <w:tbl>
      <w:tblPr>
        <w:tblStyle w:val="UETableStyle"/>
        <w:tblW w:w="4776" w:type="pct"/>
        <w:tblInd w:w="-15" w:type="dxa"/>
        <w:tblBorders>
          <w:top w:val="single" w:sz="4" w:space="0" w:color="00B0F0"/>
          <w:left w:val="none" w:sz="0" w:space="0" w:color="auto"/>
          <w:bottom w:val="single" w:sz="4" w:space="0" w:color="00B0F0"/>
          <w:right w:val="none" w:sz="0" w:space="0" w:color="auto"/>
          <w:insideH w:val="single" w:sz="4" w:space="0" w:color="00B0F0"/>
          <w:insideV w:val="none" w:sz="0" w:space="0" w:color="auto"/>
        </w:tblBorders>
        <w:tblLayout w:type="fixed"/>
        <w:tblLook w:val="04A0" w:firstRow="1" w:lastRow="0" w:firstColumn="1" w:lastColumn="0" w:noHBand="0" w:noVBand="1"/>
      </w:tblPr>
      <w:tblGrid>
        <w:gridCol w:w="1946"/>
        <w:gridCol w:w="4619"/>
        <w:gridCol w:w="2232"/>
        <w:gridCol w:w="2653"/>
        <w:gridCol w:w="1883"/>
      </w:tblGrid>
      <w:tr w:rsidR="00BE6615" w:rsidRPr="00751816" w14:paraId="0DE1C50C" w14:textId="77777777" w:rsidTr="00BE6615">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730" w:type="pct"/>
            <w:tcBorders>
              <w:bottom w:val="single" w:sz="4" w:space="0" w:color="00B0F0"/>
            </w:tcBorders>
            <w:shd w:val="clear" w:color="auto" w:fill="003C71"/>
            <w:hideMark/>
          </w:tcPr>
          <w:p w14:paraId="697F16F7" w14:textId="2813022E" w:rsidR="00BE6615" w:rsidRPr="00751816" w:rsidRDefault="00BE6615" w:rsidP="00443597">
            <w:pPr>
              <w:rPr>
                <w:rFonts w:ascii="Tahoma" w:hAnsi="Tahoma" w:cs="Tahoma"/>
                <w:b/>
                <w:color w:val="FFFFFF"/>
                <w:sz w:val="20"/>
              </w:rPr>
            </w:pPr>
            <w:r w:rsidRPr="00751816">
              <w:rPr>
                <w:rFonts w:ascii="Tahoma" w:hAnsi="Tahoma" w:cs="Tahoma"/>
                <w:b/>
                <w:color w:val="FFFFFF"/>
                <w:sz w:val="20"/>
              </w:rPr>
              <w:t xml:space="preserve">Variable </w:t>
            </w:r>
          </w:p>
        </w:tc>
        <w:tc>
          <w:tcPr>
            <w:tcW w:w="1732" w:type="pct"/>
            <w:tcBorders>
              <w:bottom w:val="single" w:sz="4" w:space="0" w:color="00B0F0"/>
            </w:tcBorders>
            <w:shd w:val="clear" w:color="auto" w:fill="003C71"/>
          </w:tcPr>
          <w:p w14:paraId="4BA0E17D" w14:textId="77777777" w:rsidR="00BE6615" w:rsidRPr="00751816" w:rsidRDefault="00BE6615"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Data source, Methodology and Assumptions </w:t>
            </w:r>
          </w:p>
        </w:tc>
        <w:tc>
          <w:tcPr>
            <w:tcW w:w="837" w:type="pct"/>
            <w:tcBorders>
              <w:bottom w:val="single" w:sz="4" w:space="0" w:color="00B0F0"/>
            </w:tcBorders>
            <w:shd w:val="clear" w:color="auto" w:fill="003C71"/>
          </w:tcPr>
          <w:p w14:paraId="75F7577E" w14:textId="77777777" w:rsidR="00BE6615" w:rsidRPr="00751816" w:rsidRDefault="00BE6615"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Actual / Estimate</w:t>
            </w:r>
          </w:p>
        </w:tc>
        <w:tc>
          <w:tcPr>
            <w:tcW w:w="995" w:type="pct"/>
            <w:tcBorders>
              <w:bottom w:val="single" w:sz="4" w:space="0" w:color="00B0F0"/>
            </w:tcBorders>
            <w:shd w:val="clear" w:color="auto" w:fill="003C71"/>
          </w:tcPr>
          <w:p w14:paraId="2CE469DF" w14:textId="77777777" w:rsidR="00BE6615" w:rsidRPr="00751816" w:rsidRDefault="00BE6615"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Justification (if estimated)</w:t>
            </w:r>
          </w:p>
        </w:tc>
        <w:tc>
          <w:tcPr>
            <w:tcW w:w="706" w:type="pct"/>
            <w:tcBorders>
              <w:bottom w:val="single" w:sz="4" w:space="0" w:color="00B0F0"/>
            </w:tcBorders>
            <w:shd w:val="clear" w:color="auto" w:fill="003C71"/>
          </w:tcPr>
          <w:p w14:paraId="51BE5578" w14:textId="77777777" w:rsidR="00BE6615" w:rsidRPr="00751816" w:rsidRDefault="00BE6615" w:rsidP="001C016D">
            <w:pPr>
              <w:cnfStyle w:val="100000000000" w:firstRow="1" w:lastRow="0" w:firstColumn="0" w:lastColumn="0" w:oddVBand="0" w:evenVBand="0" w:oddHBand="0" w:evenHBand="0" w:firstRowFirstColumn="0" w:firstRowLastColumn="0" w:lastRowFirstColumn="0" w:lastRowLastColumn="0"/>
              <w:rPr>
                <w:rFonts w:ascii="Tahoma" w:hAnsi="Tahoma" w:cs="Tahoma"/>
                <w:b/>
                <w:color w:val="FFFFFF"/>
                <w:sz w:val="20"/>
              </w:rPr>
            </w:pPr>
            <w:r w:rsidRPr="00751816">
              <w:rPr>
                <w:rFonts w:ascii="Tahoma" w:hAnsi="Tahoma" w:cs="Tahoma"/>
                <w:b/>
                <w:color w:val="FFFFFF"/>
                <w:sz w:val="20"/>
              </w:rPr>
              <w:t xml:space="preserve">Additional Comments </w:t>
            </w:r>
          </w:p>
        </w:tc>
      </w:tr>
      <w:tr w:rsidR="00BE6615" w:rsidRPr="00751816" w14:paraId="06BA9B50" w14:textId="77777777" w:rsidTr="00443597">
        <w:trPr>
          <w:trHeight w:val="283"/>
        </w:trPr>
        <w:tc>
          <w:tcPr>
            <w:cnfStyle w:val="001000000000" w:firstRow="0" w:lastRow="0" w:firstColumn="1" w:lastColumn="0" w:oddVBand="0" w:evenVBand="0" w:oddHBand="0" w:evenHBand="0" w:firstRowFirstColumn="0" w:firstRowLastColumn="0" w:lastRowFirstColumn="0" w:lastRowLastColumn="0"/>
            <w:tcW w:w="730" w:type="pct"/>
            <w:tcBorders>
              <w:top w:val="single" w:sz="4" w:space="0" w:color="00B0F0"/>
              <w:bottom w:val="single" w:sz="4" w:space="0" w:color="00B0F0"/>
            </w:tcBorders>
            <w:shd w:val="clear" w:color="auto" w:fill="00A3E0"/>
            <w:vAlign w:val="center"/>
          </w:tcPr>
          <w:p w14:paraId="295118C7" w14:textId="4DB3FE54" w:rsidR="00BE6615" w:rsidRPr="009B50A1" w:rsidRDefault="008418D3" w:rsidP="001C016D">
            <w:pPr>
              <w:spacing w:before="120" w:after="120" w:line="240" w:lineRule="atLeast"/>
              <w:contextualSpacing/>
              <w:rPr>
                <w:rFonts w:ascii="Tahoma" w:hAnsi="Tahoma" w:cs="Tahoma"/>
                <w:sz w:val="20"/>
              </w:rPr>
            </w:pPr>
            <w:r>
              <w:rPr>
                <w:rFonts w:ascii="Tahoma" w:hAnsi="Tahoma" w:cs="Tahoma"/>
                <w:sz w:val="20"/>
              </w:rPr>
              <w:t>2019/20</w:t>
            </w:r>
          </w:p>
        </w:tc>
        <w:tc>
          <w:tcPr>
            <w:tcW w:w="4270" w:type="pct"/>
            <w:gridSpan w:val="4"/>
            <w:tcBorders>
              <w:top w:val="single" w:sz="4" w:space="0" w:color="00B0F0"/>
              <w:bottom w:val="single" w:sz="4" w:space="0" w:color="00B0F0"/>
            </w:tcBorders>
            <w:shd w:val="clear" w:color="auto" w:fill="00A3E0"/>
            <w:vAlign w:val="center"/>
          </w:tcPr>
          <w:p w14:paraId="273065B5" w14:textId="77777777" w:rsidR="00BE6615" w:rsidRPr="00290983" w:rsidRDefault="00BE6615" w:rsidP="001C01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tc>
      </w:tr>
      <w:tr w:rsidR="00BE6615" w:rsidRPr="00751816" w14:paraId="76312F42" w14:textId="77777777" w:rsidTr="0052786D">
        <w:trPr>
          <w:trHeight w:val="496"/>
        </w:trPr>
        <w:tc>
          <w:tcPr>
            <w:cnfStyle w:val="001000000000" w:firstRow="0" w:lastRow="0" w:firstColumn="1" w:lastColumn="0" w:oddVBand="0" w:evenVBand="0" w:oddHBand="0" w:evenHBand="0" w:firstRowFirstColumn="0" w:firstRowLastColumn="0" w:lastRowFirstColumn="0" w:lastRowLastColumn="0"/>
            <w:tcW w:w="730" w:type="pct"/>
            <w:tcBorders>
              <w:top w:val="single" w:sz="4" w:space="0" w:color="00B0F0"/>
              <w:bottom w:val="single" w:sz="4" w:space="0" w:color="00B0F0"/>
            </w:tcBorders>
            <w:shd w:val="clear" w:color="auto" w:fill="D9D9D9" w:themeFill="background1" w:themeFillShade="D9"/>
            <w:vAlign w:val="center"/>
          </w:tcPr>
          <w:p w14:paraId="3FE4F546" w14:textId="77777777" w:rsidR="00BE6615" w:rsidRPr="009B50A1" w:rsidRDefault="00BE6615" w:rsidP="001C016D">
            <w:pPr>
              <w:spacing w:before="120" w:after="120" w:line="240" w:lineRule="atLeast"/>
              <w:contextualSpacing/>
              <w:rPr>
                <w:rFonts w:ascii="Tahoma" w:hAnsi="Tahoma" w:cs="Tahoma"/>
                <w:sz w:val="20"/>
              </w:rPr>
            </w:pPr>
            <w:r>
              <w:rPr>
                <w:rFonts w:ascii="Tahoma" w:hAnsi="Tahoma" w:cs="Tahoma"/>
                <w:sz w:val="20"/>
              </w:rPr>
              <w:t>Capital Base Values</w:t>
            </w:r>
          </w:p>
        </w:tc>
        <w:tc>
          <w:tcPr>
            <w:tcW w:w="1732" w:type="pct"/>
            <w:tcBorders>
              <w:top w:val="single" w:sz="4" w:space="0" w:color="00B0F0"/>
              <w:bottom w:val="single" w:sz="4" w:space="0" w:color="00B0F0"/>
            </w:tcBorders>
          </w:tcPr>
          <w:p w14:paraId="50311D84" w14:textId="0A7C724B" w:rsidR="000E0D69" w:rsidRPr="00D2057D" w:rsidRDefault="00BE6615" w:rsidP="005278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D2057D">
              <w:rPr>
                <w:rFonts w:ascii="Tahoma" w:hAnsi="Tahoma" w:cs="Tahoma"/>
                <w:sz w:val="20"/>
              </w:rPr>
              <w:t>The Capital Base Values</w:t>
            </w:r>
            <w:r>
              <w:rPr>
                <w:rFonts w:ascii="Tahoma" w:hAnsi="Tahoma" w:cs="Tahoma"/>
                <w:sz w:val="20"/>
              </w:rPr>
              <w:t xml:space="preserve"> entered into Table F10.1 for the year 20</w:t>
            </w:r>
            <w:r w:rsidR="00DA53C2">
              <w:rPr>
                <w:rFonts w:ascii="Tahoma" w:hAnsi="Tahoma" w:cs="Tahoma"/>
                <w:sz w:val="20"/>
              </w:rPr>
              <w:t>19</w:t>
            </w:r>
            <w:r>
              <w:rPr>
                <w:rFonts w:ascii="Tahoma" w:hAnsi="Tahoma" w:cs="Tahoma"/>
                <w:sz w:val="20"/>
              </w:rPr>
              <w:t>/</w:t>
            </w:r>
            <w:r w:rsidR="00DA53C2">
              <w:rPr>
                <w:rFonts w:ascii="Tahoma" w:hAnsi="Tahoma" w:cs="Tahoma"/>
                <w:sz w:val="20"/>
              </w:rPr>
              <w:t xml:space="preserve">20 </w:t>
            </w:r>
            <w:r>
              <w:rPr>
                <w:rFonts w:ascii="Tahoma" w:hAnsi="Tahoma" w:cs="Tahoma"/>
                <w:sz w:val="20"/>
              </w:rPr>
              <w:t xml:space="preserve">are as per the Roll Forward Model </w:t>
            </w:r>
            <w:r w:rsidR="00DA53C2">
              <w:rPr>
                <w:rFonts w:ascii="Tahoma" w:hAnsi="Tahoma" w:cs="Tahoma"/>
                <w:sz w:val="20"/>
              </w:rPr>
              <w:t xml:space="preserve">submitted with AGN’s Final Plan for the 2021/22 – 2025/26 period. </w:t>
            </w:r>
          </w:p>
        </w:tc>
        <w:tc>
          <w:tcPr>
            <w:tcW w:w="837" w:type="pct"/>
            <w:tcBorders>
              <w:top w:val="single" w:sz="4" w:space="0" w:color="00B0F0"/>
              <w:bottom w:val="single" w:sz="4" w:space="0" w:color="00B0F0"/>
            </w:tcBorders>
            <w:vAlign w:val="center"/>
          </w:tcPr>
          <w:p w14:paraId="074632D0" w14:textId="77D0299A" w:rsidR="00BE6615" w:rsidRPr="00751816" w:rsidRDefault="00BE09C7" w:rsidP="0052786D">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Estimate</w:t>
            </w:r>
          </w:p>
        </w:tc>
        <w:tc>
          <w:tcPr>
            <w:tcW w:w="995" w:type="pct"/>
            <w:tcBorders>
              <w:top w:val="single" w:sz="4" w:space="0" w:color="00B0F0"/>
              <w:bottom w:val="single" w:sz="4" w:space="0" w:color="00B0F0"/>
            </w:tcBorders>
          </w:tcPr>
          <w:p w14:paraId="34387A94" w14:textId="323565E5" w:rsidR="00584114" w:rsidRDefault="006E2B8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The information in F10.1 reflects the capital base as per the Roll Forward Model (RFM) submitted and reviewed by the AER</w:t>
            </w:r>
            <w:r w:rsidR="00584114">
              <w:rPr>
                <w:rFonts w:ascii="Tahoma" w:hAnsi="Tahoma" w:cs="Tahoma"/>
                <w:sz w:val="20"/>
              </w:rPr>
              <w:t xml:space="preserve"> as part of </w:t>
            </w:r>
            <w:r w:rsidR="00584114" w:rsidRPr="00584114">
              <w:rPr>
                <w:rFonts w:ascii="Tahoma" w:hAnsi="Tahoma" w:cs="Tahoma"/>
                <w:sz w:val="20"/>
              </w:rPr>
              <w:t>AGN’s Final Plan for the 2021/22 – 2025/26 period</w:t>
            </w:r>
            <w:r>
              <w:rPr>
                <w:rFonts w:ascii="Tahoma" w:hAnsi="Tahoma" w:cs="Tahoma"/>
                <w:sz w:val="20"/>
              </w:rPr>
              <w:t xml:space="preserve">. </w:t>
            </w:r>
          </w:p>
          <w:p w14:paraId="0D6297E3" w14:textId="77777777" w:rsidR="00584114" w:rsidRDefault="0058411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0A662AA3" w14:textId="77777777" w:rsidR="00584114" w:rsidRDefault="006E2B8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There are adjustments to capital expenditure in the RFM, for instance the adjustment for the difference between actual and forecast net capex in the final year of the Access Arrangement period, which mean that the Actual Additions (recognised in RAB) line is not easily reconciled to the capex reported in F10. </w:t>
            </w:r>
          </w:p>
          <w:p w14:paraId="6A58DF66" w14:textId="77777777" w:rsidR="00584114" w:rsidRDefault="00584114">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2B181195" w14:textId="6D91AA0A" w:rsidR="00BE6615" w:rsidRPr="00751816" w:rsidRDefault="006E2B8B" w:rsidP="00883F91">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As the information in F10 is not statutory accounting information it has been classified as an estimate for the purposes of Workbook </w:t>
            </w:r>
            <w:r w:rsidR="00883F91">
              <w:rPr>
                <w:rFonts w:ascii="Tahoma" w:hAnsi="Tahoma" w:cs="Tahoma"/>
                <w:sz w:val="20"/>
              </w:rPr>
              <w:t>2</w:t>
            </w:r>
            <w:r>
              <w:rPr>
                <w:rFonts w:ascii="Tahoma" w:hAnsi="Tahoma" w:cs="Tahoma"/>
                <w:sz w:val="20"/>
              </w:rPr>
              <w:t>.</w:t>
            </w:r>
          </w:p>
        </w:tc>
        <w:tc>
          <w:tcPr>
            <w:tcW w:w="706" w:type="pct"/>
            <w:tcBorders>
              <w:top w:val="single" w:sz="4" w:space="0" w:color="00B0F0"/>
              <w:bottom w:val="single" w:sz="4" w:space="0" w:color="00B0F0"/>
            </w:tcBorders>
            <w:vAlign w:val="bottom"/>
          </w:tcPr>
          <w:p w14:paraId="7B9F99BA" w14:textId="77777777" w:rsidR="006E2B8B" w:rsidRDefault="006E2B8B" w:rsidP="005F0CA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 xml:space="preserve">As described in the Written Response, there was an error in the contributions in our submitted Final Plan RFM (2016/17 was recorded in 2017/18 and vice versa). This can be seen in Attachment 12 – Reconciliation required by Written Response which is attached to the Written Response. </w:t>
            </w:r>
          </w:p>
          <w:p w14:paraId="5EBC80E2" w14:textId="77777777" w:rsidR="006E2B8B" w:rsidRDefault="006E2B8B" w:rsidP="005F0CA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p>
          <w:p w14:paraId="5567478F" w14:textId="770BB2BC" w:rsidR="006E2B8B" w:rsidRPr="00751816" w:rsidRDefault="006E2B8B" w:rsidP="005F0CAB">
            <w:pPr>
              <w:contextualSpacing/>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Pr>
                <w:rFonts w:ascii="Tahoma" w:hAnsi="Tahoma" w:cs="Tahoma"/>
                <w:sz w:val="20"/>
              </w:rPr>
              <w:t>Disposals have been entered as per our Final Plan RFM but differ from disposals in tab F2 as the number has been adjusted (from $87,545 to $95,053). This can also be found in Attachment 12.</w:t>
            </w:r>
          </w:p>
        </w:tc>
      </w:tr>
    </w:tbl>
    <w:p w14:paraId="5E61DFE4" w14:textId="19D5B77F" w:rsidR="00B06747" w:rsidRPr="006C5573" w:rsidRDefault="00B06747" w:rsidP="00B06747">
      <w:pPr>
        <w:keepNext/>
        <w:keepLines/>
        <w:spacing w:before="240" w:after="0"/>
        <w:outlineLvl w:val="0"/>
        <w:rPr>
          <w:rFonts w:ascii="Tahoma" w:eastAsiaTheme="majorEastAsia" w:hAnsi="Tahoma" w:cs="Tahoma"/>
          <w:b/>
          <w:color w:val="003C71"/>
          <w:sz w:val="32"/>
          <w:szCs w:val="32"/>
        </w:rPr>
      </w:pPr>
      <w:bookmarkStart w:id="62" w:name="_Toc44428881"/>
      <w:bookmarkStart w:id="63" w:name="_Toc49878414"/>
      <w:bookmarkStart w:id="64" w:name="_Toc57314105"/>
      <w:r w:rsidRPr="006C5573">
        <w:rPr>
          <w:rFonts w:ascii="Tahoma" w:eastAsiaTheme="majorEastAsia" w:hAnsi="Tahoma" w:cs="Tahoma"/>
          <w:b/>
          <w:color w:val="003C71"/>
          <w:sz w:val="32"/>
          <w:szCs w:val="32"/>
        </w:rPr>
        <w:lastRenderedPageBreak/>
        <w:t>Appendix A: Cost Collection and Reporting Process - Capex</w:t>
      </w:r>
      <w:bookmarkEnd w:id="62"/>
      <w:bookmarkEnd w:id="63"/>
      <w:bookmarkEnd w:id="64"/>
    </w:p>
    <w:p w14:paraId="3561C4DE" w14:textId="7D88F4DD" w:rsidR="00B06747" w:rsidRPr="002040DB" w:rsidRDefault="00B06747" w:rsidP="00B06747">
      <w:pPr>
        <w:rPr>
          <w:rFonts w:ascii="Tahoma" w:hAnsi="Tahoma" w:cs="Tahoma"/>
          <w:i/>
          <w:sz w:val="21"/>
          <w:szCs w:val="21"/>
        </w:rPr>
      </w:pPr>
      <w:r w:rsidRPr="002040DB">
        <w:rPr>
          <w:rFonts w:ascii="Tahoma" w:hAnsi="Tahoma" w:cs="Tahoma"/>
          <w:i/>
          <w:sz w:val="21"/>
          <w:szCs w:val="21"/>
        </w:rPr>
        <w:t xml:space="preserve">The following description of AGN Limited’s cost collection process for capital expenditure applies to the information previously reported to the AER (e.g. the </w:t>
      </w:r>
      <w:r w:rsidR="008313A9" w:rsidRPr="002040DB">
        <w:rPr>
          <w:rFonts w:ascii="Tahoma" w:hAnsi="Tahoma" w:cs="Tahoma"/>
          <w:i/>
          <w:sz w:val="21"/>
          <w:szCs w:val="21"/>
        </w:rPr>
        <w:t>recently submitted AA RIN (for the next AA period)</w:t>
      </w:r>
      <w:r w:rsidR="00857D44">
        <w:rPr>
          <w:rFonts w:ascii="Tahoma" w:hAnsi="Tahoma" w:cs="Tahoma"/>
          <w:i/>
          <w:sz w:val="21"/>
          <w:szCs w:val="21"/>
        </w:rPr>
        <w:t xml:space="preserve"> and </w:t>
      </w:r>
      <w:r w:rsidR="00655EF8">
        <w:rPr>
          <w:rFonts w:ascii="Tahoma" w:hAnsi="Tahoma" w:cs="Tahoma"/>
          <w:i/>
          <w:sz w:val="21"/>
          <w:szCs w:val="21"/>
        </w:rPr>
        <w:t>the recently submitted Annual RIN</w:t>
      </w:r>
      <w:r w:rsidR="00857D44">
        <w:rPr>
          <w:rFonts w:ascii="Tahoma" w:hAnsi="Tahoma" w:cs="Tahoma"/>
          <w:i/>
          <w:sz w:val="21"/>
          <w:szCs w:val="21"/>
        </w:rPr>
        <w:t>)</w:t>
      </w:r>
      <w:r w:rsidR="00655EF8">
        <w:rPr>
          <w:rFonts w:ascii="Tahoma" w:hAnsi="Tahoma" w:cs="Tahoma"/>
          <w:i/>
          <w:sz w:val="21"/>
          <w:szCs w:val="21"/>
        </w:rPr>
        <w:t xml:space="preserve"> and to the financial information now being reported for 2019/20</w:t>
      </w:r>
      <w:r w:rsidRPr="002040DB">
        <w:rPr>
          <w:rFonts w:ascii="Tahoma" w:hAnsi="Tahoma" w:cs="Tahoma"/>
          <w:i/>
          <w:sz w:val="21"/>
          <w:szCs w:val="21"/>
        </w:rPr>
        <w:t xml:space="preserve">. </w:t>
      </w:r>
    </w:p>
    <w:p w14:paraId="02CA56FD" w14:textId="77777777" w:rsidR="00B06747" w:rsidRPr="002040DB" w:rsidRDefault="00B06747" w:rsidP="00B06747">
      <w:pPr>
        <w:rPr>
          <w:rFonts w:ascii="Tahoma" w:hAnsi="Tahoma" w:cs="Tahoma"/>
          <w:b/>
          <w:sz w:val="21"/>
          <w:szCs w:val="21"/>
          <w:u w:val="single"/>
        </w:rPr>
      </w:pPr>
      <w:r w:rsidRPr="002040DB">
        <w:rPr>
          <w:rFonts w:ascii="Tahoma" w:hAnsi="Tahoma" w:cs="Tahoma"/>
          <w:b/>
          <w:sz w:val="21"/>
          <w:szCs w:val="21"/>
          <w:u w:val="single"/>
        </w:rPr>
        <w:t>Source of financial data</w:t>
      </w:r>
    </w:p>
    <w:p w14:paraId="2777CF53" w14:textId="4B6264EC" w:rsidR="00B06747" w:rsidRPr="002040DB" w:rsidRDefault="0067191E" w:rsidP="00B06747">
      <w:pPr>
        <w:rPr>
          <w:rFonts w:ascii="Tahoma" w:hAnsi="Tahoma" w:cs="Tahoma"/>
          <w:sz w:val="21"/>
          <w:szCs w:val="21"/>
        </w:rPr>
      </w:pPr>
      <w:r>
        <w:rPr>
          <w:rFonts w:ascii="Tahoma" w:hAnsi="Tahoma" w:cs="Tahoma"/>
          <w:sz w:val="21"/>
          <w:szCs w:val="21"/>
        </w:rPr>
        <w:t>As in previous years</w:t>
      </w:r>
      <w:r w:rsidR="00B06747" w:rsidRPr="002040DB">
        <w:rPr>
          <w:rFonts w:ascii="Tahoma" w:hAnsi="Tahoma" w:cs="Tahoma"/>
          <w:sz w:val="21"/>
          <w:szCs w:val="21"/>
        </w:rPr>
        <w:t xml:space="preserve">, financial data </w:t>
      </w:r>
      <w:r>
        <w:rPr>
          <w:rFonts w:ascii="Tahoma" w:hAnsi="Tahoma" w:cs="Tahoma"/>
          <w:sz w:val="21"/>
          <w:szCs w:val="21"/>
        </w:rPr>
        <w:t xml:space="preserve">for this Annual RIN </w:t>
      </w:r>
      <w:r w:rsidR="00B06747" w:rsidRPr="002040DB">
        <w:rPr>
          <w:rFonts w:ascii="Tahoma" w:hAnsi="Tahoma" w:cs="Tahoma"/>
          <w:sz w:val="21"/>
          <w:szCs w:val="21"/>
        </w:rPr>
        <w:t>was sourced from AGN Limited’s finance system (SAP Business One) and from other information provided by AGN Limited’s principal capital delivery contractor, APA Asset Management (APA).  AGN Limited utilises Excel spreadsheets to consolidate detailed financial information provided by APA with information from its own finance system and to undertake cost allocation processes, for the purpose of producing the data required to complete the AER regulatory templates.  This information and the associated processes are explained further below.</w:t>
      </w:r>
    </w:p>
    <w:p w14:paraId="3A596B76" w14:textId="77777777" w:rsidR="00B06747" w:rsidRPr="002040DB" w:rsidRDefault="00B06747" w:rsidP="00B06747">
      <w:pPr>
        <w:rPr>
          <w:rFonts w:ascii="Tahoma" w:hAnsi="Tahoma" w:cs="Tahoma"/>
          <w:b/>
          <w:sz w:val="21"/>
          <w:szCs w:val="21"/>
          <w:u w:val="single"/>
        </w:rPr>
      </w:pPr>
      <w:r w:rsidRPr="002040DB">
        <w:rPr>
          <w:rFonts w:ascii="Tahoma" w:hAnsi="Tahoma" w:cs="Tahoma"/>
          <w:b/>
          <w:sz w:val="21"/>
          <w:szCs w:val="21"/>
          <w:u w:val="single"/>
        </w:rPr>
        <w:t>AGN Limited’s capital delivery contractor (APA)</w:t>
      </w:r>
    </w:p>
    <w:p w14:paraId="137C6337" w14:textId="77777777" w:rsidR="00B06747" w:rsidRPr="002040DB" w:rsidRDefault="00B06747" w:rsidP="00B06747">
      <w:pPr>
        <w:rPr>
          <w:rFonts w:ascii="Tahoma" w:hAnsi="Tahoma" w:cs="Tahoma"/>
          <w:sz w:val="21"/>
          <w:szCs w:val="21"/>
        </w:rPr>
      </w:pPr>
      <w:r w:rsidRPr="002040DB">
        <w:rPr>
          <w:rFonts w:ascii="Tahoma" w:hAnsi="Tahoma" w:cs="Tahoma"/>
          <w:sz w:val="21"/>
          <w:szCs w:val="21"/>
        </w:rPr>
        <w:t xml:space="preserve">When AGN Limited was known as Envestra Limited (Envestra), the delivery of its distribution network capex program was out-sourced to APA under an operating and management agreement.  This arrangement (the ‘OMA’) commenced on 2 July 2007 and has continued since that time, including through Envestra’s change of ownership and rebranding as “Australian Gas Networks” in October 2014.  </w:t>
      </w:r>
    </w:p>
    <w:p w14:paraId="25F6E430" w14:textId="77777777" w:rsidR="00B06747" w:rsidRPr="002040DB" w:rsidRDefault="00B06747" w:rsidP="00B06747">
      <w:pPr>
        <w:rPr>
          <w:rFonts w:ascii="Tahoma" w:hAnsi="Tahoma" w:cs="Tahoma"/>
          <w:sz w:val="21"/>
          <w:szCs w:val="21"/>
        </w:rPr>
      </w:pPr>
      <w:r w:rsidRPr="002040DB">
        <w:rPr>
          <w:rFonts w:ascii="Tahoma" w:hAnsi="Tahoma" w:cs="Tahoma"/>
          <w:sz w:val="21"/>
          <w:szCs w:val="21"/>
        </w:rPr>
        <w:t xml:space="preserve">APA charges AGN Limited for these services on a ‘cost pass-through’ basis each month, plus the agreed Network Management Fee (NMF). The NMF represents APA’s margin under the agreement.  </w:t>
      </w:r>
    </w:p>
    <w:p w14:paraId="0B9CC98D" w14:textId="2DE7E80B" w:rsidR="00B06747" w:rsidRPr="002040DB" w:rsidRDefault="00B06747" w:rsidP="00B06747">
      <w:pPr>
        <w:rPr>
          <w:rFonts w:ascii="Tahoma" w:hAnsi="Tahoma" w:cs="Tahoma"/>
          <w:sz w:val="21"/>
          <w:szCs w:val="21"/>
        </w:rPr>
      </w:pPr>
      <w:r w:rsidRPr="002040DB">
        <w:rPr>
          <w:rFonts w:ascii="Tahoma" w:hAnsi="Tahoma" w:cs="Tahoma"/>
          <w:sz w:val="21"/>
          <w:szCs w:val="21"/>
        </w:rPr>
        <w:t xml:space="preserve">APA’s business support and overhead costs are allocated to capital expenditure in accordance with the processes outlined in the AGN Limited Cost Allocation Methodology (CAM) provided </w:t>
      </w:r>
      <w:r w:rsidR="00C11094">
        <w:rPr>
          <w:rFonts w:ascii="Tahoma" w:hAnsi="Tahoma" w:cs="Tahoma"/>
          <w:sz w:val="21"/>
          <w:szCs w:val="21"/>
        </w:rPr>
        <w:t>with the recently submitted Annual RIN</w:t>
      </w:r>
      <w:r w:rsidR="00FD3BFF">
        <w:rPr>
          <w:rFonts w:ascii="Tahoma" w:hAnsi="Tahoma" w:cs="Tahoma"/>
          <w:sz w:val="21"/>
          <w:szCs w:val="21"/>
        </w:rPr>
        <w:t xml:space="preserve"> (Historical Performance Data)</w:t>
      </w:r>
      <w:r w:rsidRPr="002040DB">
        <w:rPr>
          <w:rFonts w:ascii="Tahoma" w:hAnsi="Tahoma" w:cs="Tahoma"/>
          <w:sz w:val="21"/>
          <w:szCs w:val="21"/>
        </w:rPr>
        <w:t>.  For regulatory accounting purposes, AGN Limited does not capitalise any of the NMF paid to APA, in accordance with AGN Limited’s Regulatory Accounting Principles and Policies document.</w:t>
      </w:r>
    </w:p>
    <w:p w14:paraId="18ECDDF9" w14:textId="2D6EF7D2" w:rsidR="00B06747" w:rsidRPr="002040DB" w:rsidRDefault="00B06747" w:rsidP="00B06747">
      <w:pPr>
        <w:rPr>
          <w:rFonts w:ascii="Tahoma" w:hAnsi="Tahoma" w:cs="Tahoma"/>
          <w:sz w:val="21"/>
          <w:szCs w:val="21"/>
        </w:rPr>
      </w:pPr>
      <w:r w:rsidRPr="002040DB">
        <w:rPr>
          <w:rFonts w:ascii="Tahoma" w:hAnsi="Tahoma" w:cs="Tahoma"/>
          <w:sz w:val="21"/>
          <w:szCs w:val="21"/>
        </w:rPr>
        <w:t xml:space="preserve">Prior to the current owner of AGN Limited acquiring the business on 29 August 2014, the APA Group of which APA Asset Management is a subsidiary, was a significant shareholder in Envestra, owning 33% of the company, which therefore made APA a related party.  Accordingly, payments to APA </w:t>
      </w:r>
      <w:r w:rsidR="00655EF8">
        <w:rPr>
          <w:rFonts w:ascii="Tahoma" w:hAnsi="Tahoma" w:cs="Tahoma"/>
          <w:sz w:val="21"/>
          <w:szCs w:val="21"/>
        </w:rPr>
        <w:t>up</w:t>
      </w:r>
      <w:r w:rsidRPr="002040DB">
        <w:rPr>
          <w:rFonts w:ascii="Tahoma" w:hAnsi="Tahoma" w:cs="Tahoma"/>
          <w:sz w:val="21"/>
          <w:szCs w:val="21"/>
        </w:rPr>
        <w:t xml:space="preserve"> to </w:t>
      </w:r>
      <w:r w:rsidR="00655EF8">
        <w:rPr>
          <w:rFonts w:ascii="Tahoma" w:hAnsi="Tahoma" w:cs="Tahoma"/>
          <w:sz w:val="21"/>
          <w:szCs w:val="21"/>
        </w:rPr>
        <w:t xml:space="preserve">and including </w:t>
      </w:r>
      <w:r w:rsidRPr="002040DB">
        <w:rPr>
          <w:rFonts w:ascii="Tahoma" w:hAnsi="Tahoma" w:cs="Tahoma"/>
          <w:sz w:val="21"/>
          <w:szCs w:val="21"/>
        </w:rPr>
        <w:t xml:space="preserve">29 August 2014 under the OMA </w:t>
      </w:r>
      <w:r w:rsidR="00655EF8">
        <w:rPr>
          <w:rFonts w:ascii="Tahoma" w:hAnsi="Tahoma" w:cs="Tahoma"/>
          <w:sz w:val="21"/>
          <w:szCs w:val="21"/>
        </w:rPr>
        <w:t>were</w:t>
      </w:r>
      <w:r w:rsidR="00655EF8" w:rsidRPr="002040DB">
        <w:rPr>
          <w:rFonts w:ascii="Tahoma" w:hAnsi="Tahoma" w:cs="Tahoma"/>
          <w:sz w:val="21"/>
          <w:szCs w:val="21"/>
        </w:rPr>
        <w:t xml:space="preserve"> </w:t>
      </w:r>
      <w:r w:rsidRPr="002040DB">
        <w:rPr>
          <w:rFonts w:ascii="Tahoma" w:hAnsi="Tahoma" w:cs="Tahoma"/>
          <w:sz w:val="21"/>
          <w:szCs w:val="21"/>
        </w:rPr>
        <w:t xml:space="preserve">recognised as related party transactions.  </w:t>
      </w:r>
    </w:p>
    <w:p w14:paraId="520C5254" w14:textId="15260D48" w:rsidR="00B06747" w:rsidRPr="002040DB" w:rsidRDefault="00B06747" w:rsidP="00B06747">
      <w:pPr>
        <w:rPr>
          <w:rFonts w:ascii="Tahoma" w:hAnsi="Tahoma" w:cs="Tahoma"/>
          <w:sz w:val="21"/>
          <w:szCs w:val="21"/>
        </w:rPr>
      </w:pPr>
      <w:r w:rsidRPr="002040DB">
        <w:rPr>
          <w:rFonts w:ascii="Tahoma" w:hAnsi="Tahoma" w:cs="Tahoma"/>
          <w:sz w:val="21"/>
          <w:szCs w:val="21"/>
        </w:rPr>
        <w:t xml:space="preserve">In addition, the NMF paid to APA for that period </w:t>
      </w:r>
      <w:r w:rsidR="00655EF8">
        <w:rPr>
          <w:rFonts w:ascii="Tahoma" w:hAnsi="Tahoma" w:cs="Tahoma"/>
          <w:sz w:val="21"/>
          <w:szCs w:val="21"/>
        </w:rPr>
        <w:t>was</w:t>
      </w:r>
      <w:r w:rsidRPr="002040DB">
        <w:rPr>
          <w:rFonts w:ascii="Tahoma" w:hAnsi="Tahoma" w:cs="Tahoma"/>
          <w:sz w:val="21"/>
          <w:szCs w:val="21"/>
        </w:rPr>
        <w:t xml:space="preserve"> recognised as related party margin expenditure, noting however that none of the NMF paid to APA is capitalised for regulatory accounting and reporting purposes, as mentioned above.  Hence 100% of the NMF is reported as operating expenditure by AGN Limited.</w:t>
      </w:r>
    </w:p>
    <w:p w14:paraId="3DBF352F" w14:textId="6FD83C66" w:rsidR="00B06747" w:rsidRPr="002040DB" w:rsidRDefault="00B06747" w:rsidP="00B06747">
      <w:pPr>
        <w:rPr>
          <w:rFonts w:ascii="Tahoma" w:hAnsi="Tahoma" w:cs="Tahoma"/>
          <w:sz w:val="21"/>
          <w:szCs w:val="21"/>
        </w:rPr>
      </w:pPr>
      <w:r w:rsidRPr="00492837">
        <w:rPr>
          <w:rFonts w:ascii="Tahoma" w:hAnsi="Tahoma" w:cs="Tahoma"/>
          <w:sz w:val="21"/>
          <w:szCs w:val="21"/>
        </w:rPr>
        <w:lastRenderedPageBreak/>
        <w:t xml:space="preserve">Further information about Related Party Transactions and Related Party Margins </w:t>
      </w:r>
      <w:r w:rsidR="00492837" w:rsidRPr="00492837">
        <w:rPr>
          <w:rFonts w:ascii="Tahoma" w:hAnsi="Tahoma" w:cs="Tahoma"/>
          <w:sz w:val="21"/>
          <w:szCs w:val="21"/>
        </w:rPr>
        <w:t xml:space="preserve">reported up to and including 29 August 2014 </w:t>
      </w:r>
      <w:r w:rsidRPr="00492837">
        <w:rPr>
          <w:rFonts w:ascii="Tahoma" w:hAnsi="Tahoma" w:cs="Tahoma"/>
          <w:sz w:val="21"/>
          <w:szCs w:val="21"/>
        </w:rPr>
        <w:t>is provided in Appendix D of this document.</w:t>
      </w:r>
    </w:p>
    <w:p w14:paraId="6B682FA7" w14:textId="77777777" w:rsidR="00B06747" w:rsidRPr="002040DB" w:rsidRDefault="00B06747" w:rsidP="00B06747">
      <w:pPr>
        <w:rPr>
          <w:rFonts w:ascii="Tahoma" w:hAnsi="Tahoma" w:cs="Tahoma"/>
          <w:b/>
          <w:sz w:val="21"/>
          <w:szCs w:val="21"/>
          <w:u w:val="single"/>
        </w:rPr>
      </w:pPr>
      <w:r w:rsidRPr="002040DB">
        <w:rPr>
          <w:rFonts w:ascii="Tahoma" w:hAnsi="Tahoma" w:cs="Tahoma"/>
          <w:b/>
          <w:sz w:val="21"/>
          <w:szCs w:val="21"/>
          <w:u w:val="single"/>
        </w:rPr>
        <w:t>Source of financial data provided by APA</w:t>
      </w:r>
    </w:p>
    <w:p w14:paraId="16F902DF" w14:textId="00786165" w:rsidR="00B06747" w:rsidRPr="002040DB" w:rsidRDefault="00B06747" w:rsidP="00B06747">
      <w:pPr>
        <w:rPr>
          <w:rFonts w:ascii="Tahoma" w:hAnsi="Tahoma" w:cs="Tahoma"/>
          <w:sz w:val="21"/>
          <w:szCs w:val="21"/>
        </w:rPr>
      </w:pPr>
      <w:r w:rsidRPr="002040DB">
        <w:rPr>
          <w:rFonts w:ascii="Tahoma" w:hAnsi="Tahoma" w:cs="Tahoma"/>
          <w:sz w:val="21"/>
          <w:szCs w:val="21"/>
        </w:rPr>
        <w:t>APA uses an enterprise resource planning system (Oracle) and an asset management system (Maximo) to capture costs which are assigned to master data identifiers including tasks, activities and expense types.  In addition, with the use of additional master data identifiers</w:t>
      </w:r>
      <w:r w:rsidR="005C0E7D">
        <w:rPr>
          <w:rFonts w:ascii="Tahoma" w:hAnsi="Tahoma" w:cs="Tahoma"/>
          <w:sz w:val="21"/>
          <w:szCs w:val="21"/>
        </w:rPr>
        <w:t xml:space="preserve"> (i.e. </w:t>
      </w:r>
      <w:r w:rsidRPr="002040DB">
        <w:rPr>
          <w:rFonts w:ascii="Tahoma" w:hAnsi="Tahoma" w:cs="Tahoma"/>
          <w:sz w:val="21"/>
          <w:szCs w:val="21"/>
        </w:rPr>
        <w:t>project codes and cost centres</w:t>
      </w:r>
      <w:r w:rsidR="005C0E7D">
        <w:rPr>
          <w:rFonts w:ascii="Tahoma" w:hAnsi="Tahoma" w:cs="Tahoma"/>
          <w:sz w:val="21"/>
          <w:szCs w:val="21"/>
        </w:rPr>
        <w:t>)</w:t>
      </w:r>
      <w:r w:rsidRPr="002040DB">
        <w:rPr>
          <w:rFonts w:ascii="Tahoma" w:hAnsi="Tahoma" w:cs="Tahoma"/>
          <w:sz w:val="21"/>
          <w:szCs w:val="21"/>
        </w:rPr>
        <w:t xml:space="preserve"> APA records its expenditure against specific regulated and unregulated gas pipelines operated by AGN Limited in each state and to relevant regions within each state (also referred to as business zones).</w:t>
      </w:r>
    </w:p>
    <w:p w14:paraId="69EFD962" w14:textId="6CCDA585" w:rsidR="00B06747" w:rsidRPr="0067191E" w:rsidRDefault="00B06747" w:rsidP="00B06747">
      <w:pPr>
        <w:rPr>
          <w:rFonts w:ascii="Tahoma" w:hAnsi="Tahoma" w:cs="Tahoma"/>
          <w:sz w:val="21"/>
          <w:szCs w:val="21"/>
        </w:rPr>
      </w:pPr>
      <w:r w:rsidRPr="002040DB">
        <w:rPr>
          <w:rFonts w:ascii="Tahoma" w:hAnsi="Tahoma" w:cs="Tahoma"/>
          <w:sz w:val="21"/>
          <w:szCs w:val="21"/>
        </w:rPr>
        <w:t xml:space="preserve">APA provides detailed information about capital expenditure on AGN Limited’s regulated and unregulated pipelines directly from Oracle and via its business intelligence (BI) tool ‘Cognos’.  The output created from this is known as the Ring Fenced Accounts (RFA). The RFA is prepared by APA each half year and reports on all expenditure (operating and capital), including the capitalisation of support and shared business costs and allocations into each of AGN Limited’s regulated and unregulated business zones. The RFAs have been, and continue to be a key source of data for regulatory reporting purposes. Amongst other things, capital expenditure information from the RFAs is used to reconcile to the additions to the fixed assets register for the South Australian network.  </w:t>
      </w:r>
    </w:p>
    <w:p w14:paraId="31738388" w14:textId="0D91DC40" w:rsidR="00B06747" w:rsidRPr="002040DB" w:rsidRDefault="00B06747" w:rsidP="00B06747">
      <w:pPr>
        <w:rPr>
          <w:rFonts w:ascii="Tahoma" w:hAnsi="Tahoma" w:cs="Tahoma"/>
          <w:sz w:val="21"/>
          <w:szCs w:val="21"/>
        </w:rPr>
      </w:pPr>
      <w:r w:rsidRPr="0067191E">
        <w:rPr>
          <w:rFonts w:ascii="Tahoma" w:hAnsi="Tahoma" w:cs="Tahoma"/>
          <w:sz w:val="21"/>
          <w:szCs w:val="21"/>
        </w:rPr>
        <w:t xml:space="preserve">From </w:t>
      </w:r>
      <w:r w:rsidR="00655EF8" w:rsidRPr="0067191E">
        <w:rPr>
          <w:rFonts w:ascii="Tahoma" w:hAnsi="Tahoma" w:cs="Tahoma"/>
          <w:sz w:val="21"/>
          <w:szCs w:val="21"/>
        </w:rPr>
        <w:t>2020</w:t>
      </w:r>
      <w:r w:rsidRPr="0067191E">
        <w:rPr>
          <w:rFonts w:ascii="Tahoma" w:hAnsi="Tahoma" w:cs="Tahoma"/>
          <w:sz w:val="21"/>
          <w:szCs w:val="21"/>
        </w:rPr>
        <w:t xml:space="preserve">, APA has been able to provide a greater level of detail that underpins the SA regulated capital in Excel spreadsheet format </w:t>
      </w:r>
      <w:r w:rsidR="0067191E">
        <w:rPr>
          <w:rFonts w:ascii="Tahoma" w:hAnsi="Tahoma" w:cs="Tahoma"/>
          <w:sz w:val="21"/>
          <w:szCs w:val="21"/>
        </w:rPr>
        <w:t xml:space="preserve">for the years since 2014/15 </w:t>
      </w:r>
      <w:r w:rsidRPr="0067191E">
        <w:rPr>
          <w:rFonts w:ascii="Tahoma" w:hAnsi="Tahoma" w:cs="Tahoma"/>
          <w:sz w:val="21"/>
          <w:szCs w:val="21"/>
        </w:rPr>
        <w:t>(referred to as the Capex Data Model).</w:t>
      </w:r>
      <w:r w:rsidRPr="002040DB">
        <w:rPr>
          <w:rFonts w:ascii="Tahoma" w:hAnsi="Tahoma" w:cs="Tahoma"/>
          <w:sz w:val="21"/>
          <w:szCs w:val="21"/>
        </w:rPr>
        <w:t xml:space="preserve">  </w:t>
      </w:r>
    </w:p>
    <w:p w14:paraId="3789C6B5" w14:textId="77777777" w:rsidR="00B06747" w:rsidRPr="002040DB" w:rsidRDefault="00B06747" w:rsidP="00B06747">
      <w:pPr>
        <w:rPr>
          <w:rFonts w:ascii="Tahoma" w:hAnsi="Tahoma" w:cs="Tahoma"/>
          <w:sz w:val="21"/>
          <w:szCs w:val="21"/>
        </w:rPr>
      </w:pPr>
      <w:r w:rsidRPr="002040DB">
        <w:rPr>
          <w:rFonts w:ascii="Tahoma" w:hAnsi="Tahoma" w:cs="Tahoma"/>
          <w:sz w:val="21"/>
          <w:szCs w:val="21"/>
        </w:rPr>
        <w:t xml:space="preserve">AGN Limited fully reconciles all sources of capital expenditure reporting provided by APA with its own SAP general ledger, separate billing data received from APA and with reporting provided in the AER regulatory templates. </w:t>
      </w:r>
    </w:p>
    <w:p w14:paraId="3B98E07A" w14:textId="77777777" w:rsidR="00B06747" w:rsidRPr="002040DB" w:rsidRDefault="00B06747" w:rsidP="00B06747">
      <w:pPr>
        <w:rPr>
          <w:rFonts w:ascii="Tahoma" w:hAnsi="Tahoma" w:cs="Tahoma"/>
          <w:b/>
          <w:sz w:val="21"/>
          <w:szCs w:val="21"/>
          <w:u w:val="single"/>
        </w:rPr>
      </w:pPr>
      <w:r w:rsidRPr="002040DB">
        <w:rPr>
          <w:rFonts w:ascii="Tahoma" w:hAnsi="Tahoma" w:cs="Tahoma"/>
          <w:b/>
          <w:sz w:val="21"/>
          <w:szCs w:val="21"/>
          <w:u w:val="single"/>
        </w:rPr>
        <w:t>AGN Limited business systems and cost capture</w:t>
      </w:r>
    </w:p>
    <w:p w14:paraId="72E8702C" w14:textId="629DF127" w:rsidR="00B06747" w:rsidRPr="002040DB" w:rsidRDefault="00B06747" w:rsidP="00B06747">
      <w:pPr>
        <w:rPr>
          <w:rFonts w:ascii="Tahoma" w:hAnsi="Tahoma" w:cs="Tahoma"/>
          <w:sz w:val="21"/>
          <w:szCs w:val="21"/>
        </w:rPr>
      </w:pPr>
      <w:r w:rsidRPr="002040DB">
        <w:rPr>
          <w:rFonts w:ascii="Tahoma" w:hAnsi="Tahoma" w:cs="Tahoma"/>
          <w:sz w:val="21"/>
          <w:szCs w:val="21"/>
        </w:rPr>
        <w:t>AGN Limited utilises SAP Business One (SAP) to capture costs at the general ledger account code, department and state level where applicable.  Given the arrangements with APA, AGN Limited does not operate a full enterprise resource planning (ERP) system.  Within SAP, AGN Limited utilises the general ledger</w:t>
      </w:r>
      <w:r w:rsidR="005C0E7D">
        <w:rPr>
          <w:rFonts w:ascii="Tahoma" w:hAnsi="Tahoma" w:cs="Tahoma"/>
          <w:sz w:val="21"/>
          <w:szCs w:val="21"/>
        </w:rPr>
        <w:t>,</w:t>
      </w:r>
      <w:r w:rsidRPr="002040DB">
        <w:rPr>
          <w:rFonts w:ascii="Tahoma" w:hAnsi="Tahoma" w:cs="Tahoma"/>
          <w:sz w:val="21"/>
          <w:szCs w:val="21"/>
        </w:rPr>
        <w:t xml:space="preserve"> accounts payable module</w:t>
      </w:r>
      <w:r w:rsidR="005C0E7D">
        <w:rPr>
          <w:rFonts w:ascii="Tahoma" w:hAnsi="Tahoma" w:cs="Tahoma"/>
          <w:sz w:val="21"/>
          <w:szCs w:val="21"/>
        </w:rPr>
        <w:t xml:space="preserve"> and fixed asset registers</w:t>
      </w:r>
      <w:r w:rsidRPr="002040DB">
        <w:rPr>
          <w:rFonts w:ascii="Tahoma" w:hAnsi="Tahoma" w:cs="Tahoma"/>
          <w:sz w:val="21"/>
          <w:szCs w:val="21"/>
        </w:rPr>
        <w:t xml:space="preserve">.   </w:t>
      </w:r>
    </w:p>
    <w:p w14:paraId="5A244F9A" w14:textId="77777777" w:rsidR="00B06747" w:rsidRPr="002040DB" w:rsidRDefault="00B06747" w:rsidP="00B06747">
      <w:pPr>
        <w:rPr>
          <w:rFonts w:ascii="Tahoma" w:hAnsi="Tahoma" w:cs="Tahoma"/>
          <w:sz w:val="21"/>
          <w:szCs w:val="21"/>
        </w:rPr>
      </w:pPr>
      <w:r w:rsidRPr="002040DB">
        <w:rPr>
          <w:rFonts w:ascii="Tahoma" w:hAnsi="Tahoma" w:cs="Tahoma"/>
          <w:sz w:val="21"/>
          <w:szCs w:val="21"/>
        </w:rPr>
        <w:t xml:space="preserve">Monthly charges invoiced from APA are recorded in AGN Limited’s general ledger via journal entries which assign costs to general ledger account codes, departments and state codes.  These entries provide control totals against which separate reporting provided by APA, including Monthly Management and Operating Reports, is able to be reconciled.  </w:t>
      </w:r>
    </w:p>
    <w:p w14:paraId="3E0EBE75" w14:textId="77777777" w:rsidR="00B06747" w:rsidRPr="002040DB" w:rsidRDefault="00B06747" w:rsidP="00B06747">
      <w:pPr>
        <w:rPr>
          <w:rFonts w:ascii="Tahoma" w:hAnsi="Tahoma" w:cs="Tahoma"/>
          <w:sz w:val="21"/>
          <w:szCs w:val="21"/>
        </w:rPr>
      </w:pPr>
      <w:r w:rsidRPr="002040DB">
        <w:rPr>
          <w:rFonts w:ascii="Tahoma" w:hAnsi="Tahoma" w:cs="Tahoma"/>
          <w:sz w:val="21"/>
          <w:szCs w:val="21"/>
        </w:rPr>
        <w:t>The detailed view of network capital expenditure delivered by APA is provided via separate reporting outside of AGN Limited’s core finance systems, as described above (e.g. the Ring Fenced Accounts, via Cognos BI reporting tools and the Capex Data Model in Microsoft Excel format).  This information is used to complete the AER regulatory templates.</w:t>
      </w:r>
    </w:p>
    <w:p w14:paraId="56AD5D7A" w14:textId="77777777" w:rsidR="00B06747" w:rsidRPr="002040DB" w:rsidRDefault="00B06747" w:rsidP="00B06747">
      <w:pPr>
        <w:rPr>
          <w:rFonts w:ascii="Tahoma" w:hAnsi="Tahoma" w:cs="Tahoma"/>
          <w:sz w:val="21"/>
          <w:szCs w:val="21"/>
        </w:rPr>
      </w:pPr>
      <w:r w:rsidRPr="002040DB">
        <w:rPr>
          <w:rFonts w:ascii="Tahoma" w:hAnsi="Tahoma" w:cs="Tahoma"/>
          <w:sz w:val="21"/>
          <w:szCs w:val="21"/>
        </w:rPr>
        <w:lastRenderedPageBreak/>
        <w:t xml:space="preserve">Adjustments are made by AGN Limited to the network capital expenditure reported by APA which are recorded in the Excel spreadsheets that form the working papers which support the data reported in the regulatory templates.  These adjustments are in accordance with AGN Limited’s Regulatory Accounting Principles and Policies document and the Capitalisation Policy. </w:t>
      </w:r>
    </w:p>
    <w:p w14:paraId="53E7FC64" w14:textId="77777777" w:rsidR="00B06747" w:rsidRPr="002040DB" w:rsidRDefault="00B06747" w:rsidP="00B06747">
      <w:pPr>
        <w:rPr>
          <w:rFonts w:ascii="Tahoma" w:hAnsi="Tahoma" w:cs="Tahoma"/>
          <w:sz w:val="21"/>
          <w:szCs w:val="21"/>
        </w:rPr>
      </w:pPr>
      <w:r w:rsidRPr="002040DB">
        <w:rPr>
          <w:rFonts w:ascii="Tahoma" w:hAnsi="Tahoma" w:cs="Tahoma"/>
          <w:sz w:val="21"/>
          <w:szCs w:val="21"/>
        </w:rPr>
        <w:t xml:space="preserve">AGN Limited’s internal non-network capital expenditure, primarily relating to corporate ICT systems and office furniture and fittings, is captured in the SAP general ledger by account code, which enables reporting against categories defined in the AER regulatory templates.  </w:t>
      </w:r>
    </w:p>
    <w:p w14:paraId="05CA77D3" w14:textId="024E05C7" w:rsidR="00B06747" w:rsidRPr="002040DB" w:rsidRDefault="00B06747" w:rsidP="00B06747">
      <w:pPr>
        <w:rPr>
          <w:rFonts w:ascii="Tahoma" w:hAnsi="Tahoma" w:cs="Tahoma"/>
          <w:sz w:val="21"/>
          <w:szCs w:val="21"/>
        </w:rPr>
      </w:pPr>
      <w:r w:rsidRPr="001851D0">
        <w:rPr>
          <w:rFonts w:ascii="Tahoma" w:hAnsi="Tahoma" w:cs="Tahoma"/>
          <w:sz w:val="21"/>
          <w:szCs w:val="21"/>
        </w:rPr>
        <w:t xml:space="preserve">AGN Limited does not capitalise any of its general corporate management and administration costs for regulatory accounting purposes, </w:t>
      </w:r>
      <w:r w:rsidR="0067191E" w:rsidRPr="001851D0">
        <w:rPr>
          <w:rFonts w:ascii="Tahoma" w:hAnsi="Tahoma" w:cs="Tahoma"/>
          <w:sz w:val="21"/>
          <w:szCs w:val="21"/>
        </w:rPr>
        <w:t>unless it can be specifically linked to a capi</w:t>
      </w:r>
      <w:r w:rsidR="001851D0" w:rsidRPr="001851D0">
        <w:rPr>
          <w:rFonts w:ascii="Tahoma" w:hAnsi="Tahoma" w:cs="Tahoma"/>
          <w:sz w:val="21"/>
          <w:szCs w:val="21"/>
        </w:rPr>
        <w:t>tal activity (e.g. a corporate I</w:t>
      </w:r>
      <w:r w:rsidR="0067191E" w:rsidRPr="001851D0">
        <w:rPr>
          <w:rFonts w:ascii="Tahoma" w:hAnsi="Tahoma" w:cs="Tahoma"/>
          <w:sz w:val="21"/>
          <w:szCs w:val="21"/>
        </w:rPr>
        <w:t xml:space="preserve">T project).  </w:t>
      </w:r>
      <w:r w:rsidR="005C0E7D" w:rsidRPr="001851D0">
        <w:rPr>
          <w:rFonts w:ascii="Tahoma" w:hAnsi="Tahoma" w:cs="Tahoma"/>
          <w:sz w:val="21"/>
          <w:szCs w:val="21"/>
        </w:rPr>
        <w:t>This is in accordance with the Regulatory Accounting Principles and Policies document and the Capitalisation Policy.</w:t>
      </w:r>
      <w:r w:rsidR="005C0E7D" w:rsidRPr="002040DB">
        <w:rPr>
          <w:rFonts w:ascii="Tahoma" w:hAnsi="Tahoma" w:cs="Tahoma"/>
          <w:sz w:val="21"/>
          <w:szCs w:val="21"/>
        </w:rPr>
        <w:t xml:space="preserve"> </w:t>
      </w:r>
      <w:r w:rsidR="005C0E7D">
        <w:rPr>
          <w:rFonts w:ascii="Tahoma" w:hAnsi="Tahoma" w:cs="Tahoma"/>
          <w:sz w:val="21"/>
          <w:szCs w:val="21"/>
        </w:rPr>
        <w:t xml:space="preserve"> </w:t>
      </w:r>
      <w:r w:rsidR="005C0E7D" w:rsidRPr="00FD3BFF">
        <w:rPr>
          <w:rFonts w:ascii="Tahoma" w:hAnsi="Tahoma" w:cs="Tahoma"/>
          <w:sz w:val="21"/>
          <w:szCs w:val="21"/>
        </w:rPr>
        <w:t xml:space="preserve">As set out in the supplementary information provided </w:t>
      </w:r>
      <w:r w:rsidR="00FD3BFF" w:rsidRPr="00FD3BFF">
        <w:rPr>
          <w:rFonts w:ascii="Tahoma" w:hAnsi="Tahoma" w:cs="Tahoma"/>
          <w:sz w:val="21"/>
          <w:szCs w:val="21"/>
        </w:rPr>
        <w:t xml:space="preserve">in Appendix H of </w:t>
      </w:r>
      <w:r w:rsidR="005C0E7D" w:rsidRPr="00FD3BFF">
        <w:rPr>
          <w:rFonts w:ascii="Tahoma" w:hAnsi="Tahoma" w:cs="Tahoma"/>
          <w:sz w:val="21"/>
          <w:szCs w:val="21"/>
        </w:rPr>
        <w:t xml:space="preserve">this </w:t>
      </w:r>
      <w:r w:rsidR="00FD3BFF" w:rsidRPr="00FD3BFF">
        <w:rPr>
          <w:rFonts w:ascii="Tahoma" w:hAnsi="Tahoma" w:cs="Tahoma"/>
          <w:sz w:val="21"/>
          <w:szCs w:val="21"/>
        </w:rPr>
        <w:t>Basis of Preparation document</w:t>
      </w:r>
      <w:r w:rsidR="005C0E7D" w:rsidRPr="00FD3BFF">
        <w:rPr>
          <w:rFonts w:ascii="Tahoma" w:hAnsi="Tahoma" w:cs="Tahoma"/>
          <w:sz w:val="21"/>
          <w:szCs w:val="21"/>
        </w:rPr>
        <w:t xml:space="preserve"> (related to the Regulatory Accounting Principles and Policies document), from 2019/20 AGN Limited has identified specific personnel working on corporate IT projects and has commenced capitalising the labour costs for those personnel as explained in the supplementary material.</w:t>
      </w:r>
      <w:r w:rsidR="005C0E7D">
        <w:rPr>
          <w:rFonts w:ascii="Tahoma" w:hAnsi="Tahoma" w:cs="Tahoma"/>
          <w:sz w:val="21"/>
          <w:szCs w:val="21"/>
        </w:rPr>
        <w:t xml:space="preserve">  </w:t>
      </w:r>
    </w:p>
    <w:p w14:paraId="436397EB" w14:textId="77777777" w:rsidR="00B06747" w:rsidRPr="002040DB" w:rsidRDefault="00B06747" w:rsidP="00B06747">
      <w:pPr>
        <w:rPr>
          <w:rFonts w:ascii="Tahoma" w:hAnsi="Tahoma" w:cs="Tahoma"/>
          <w:b/>
          <w:sz w:val="21"/>
          <w:szCs w:val="21"/>
          <w:u w:val="single"/>
        </w:rPr>
      </w:pPr>
      <w:r w:rsidRPr="002040DB">
        <w:rPr>
          <w:rFonts w:ascii="Tahoma" w:hAnsi="Tahoma" w:cs="Tahoma"/>
          <w:b/>
          <w:sz w:val="21"/>
          <w:szCs w:val="21"/>
          <w:u w:val="single"/>
        </w:rPr>
        <w:t>Reconciliation of data and information reported to the AER</w:t>
      </w:r>
    </w:p>
    <w:p w14:paraId="5EC7EA09" w14:textId="77777777" w:rsidR="00B06747" w:rsidRPr="002040DB" w:rsidRDefault="00B06747" w:rsidP="00B06747">
      <w:pPr>
        <w:rPr>
          <w:rFonts w:ascii="Tahoma" w:hAnsi="Tahoma" w:cs="Tahoma"/>
          <w:sz w:val="21"/>
          <w:szCs w:val="21"/>
        </w:rPr>
      </w:pPr>
      <w:r w:rsidRPr="002040DB">
        <w:rPr>
          <w:rFonts w:ascii="Tahoma" w:hAnsi="Tahoma" w:cs="Tahoma"/>
          <w:sz w:val="21"/>
          <w:szCs w:val="21"/>
        </w:rPr>
        <w:t>As already mentioned above, AGN Limited fully reconciles all sources of capital expenditure reporting provided by APA, back to control totals in its own SAP general ledger, additions to the fixed assets register for South Australia and separate invoices received from APA which are entered into the general ledger.  Further, all information provided to the AER in the regulatory templates is also reconciled back to AGN Limited’s SAP general ledger.</w:t>
      </w:r>
    </w:p>
    <w:p w14:paraId="52A96543" w14:textId="77777777" w:rsidR="002040DB" w:rsidRDefault="002040DB">
      <w:pPr>
        <w:rPr>
          <w:rFonts w:ascii="Tahoma" w:eastAsiaTheme="majorEastAsia" w:hAnsi="Tahoma" w:cs="Tahoma"/>
          <w:b/>
          <w:color w:val="003C71"/>
          <w:sz w:val="32"/>
          <w:szCs w:val="32"/>
        </w:rPr>
      </w:pPr>
      <w:bookmarkStart w:id="65" w:name="_Toc38037069"/>
      <w:bookmarkStart w:id="66" w:name="_Toc49878415"/>
      <w:bookmarkStart w:id="67" w:name="_Toc44428882"/>
      <w:r>
        <w:rPr>
          <w:rFonts w:ascii="Tahoma" w:eastAsiaTheme="majorEastAsia" w:hAnsi="Tahoma" w:cs="Tahoma"/>
          <w:b/>
          <w:color w:val="003C71"/>
          <w:sz w:val="32"/>
          <w:szCs w:val="32"/>
        </w:rPr>
        <w:br w:type="page"/>
      </w:r>
    </w:p>
    <w:p w14:paraId="1274A112" w14:textId="50406D2E" w:rsidR="00B06747" w:rsidRPr="00443597" w:rsidRDefault="00B06747" w:rsidP="00B06747">
      <w:pPr>
        <w:keepNext/>
        <w:keepLines/>
        <w:spacing w:before="240" w:after="0"/>
        <w:outlineLvl w:val="0"/>
        <w:rPr>
          <w:rFonts w:ascii="Tahoma" w:eastAsiaTheme="majorEastAsia" w:hAnsi="Tahoma" w:cs="Tahoma"/>
          <w:b/>
          <w:color w:val="003C71"/>
          <w:sz w:val="32"/>
          <w:szCs w:val="32"/>
        </w:rPr>
      </w:pPr>
      <w:bookmarkStart w:id="68" w:name="_Toc57314106"/>
      <w:r w:rsidRPr="00443597">
        <w:rPr>
          <w:rFonts w:ascii="Tahoma" w:eastAsiaTheme="majorEastAsia" w:hAnsi="Tahoma" w:cs="Tahoma"/>
          <w:b/>
          <w:color w:val="003C71"/>
          <w:sz w:val="32"/>
          <w:szCs w:val="32"/>
        </w:rPr>
        <w:lastRenderedPageBreak/>
        <w:t>Appendix B: Cost Collection and Reporting Process - Opex</w:t>
      </w:r>
      <w:bookmarkEnd w:id="65"/>
      <w:bookmarkEnd w:id="66"/>
      <w:bookmarkEnd w:id="68"/>
    </w:p>
    <w:p w14:paraId="6EE89141" w14:textId="168222EC" w:rsidR="00B06747" w:rsidRPr="002040DB" w:rsidRDefault="00B06747" w:rsidP="00B06747">
      <w:pPr>
        <w:rPr>
          <w:rFonts w:ascii="Tahoma" w:hAnsi="Tahoma" w:cs="Tahoma"/>
          <w:i/>
          <w:sz w:val="21"/>
          <w:szCs w:val="21"/>
        </w:rPr>
      </w:pPr>
      <w:r w:rsidRPr="002040DB">
        <w:rPr>
          <w:rFonts w:ascii="Tahoma" w:hAnsi="Tahoma" w:cs="Tahoma"/>
          <w:i/>
          <w:sz w:val="21"/>
          <w:szCs w:val="21"/>
        </w:rPr>
        <w:t xml:space="preserve">The following description of AGN Limited’s cost collection process for operating expenditure applies to the information previously reported to the AER (e.g. </w:t>
      </w:r>
      <w:r w:rsidR="00D05447">
        <w:rPr>
          <w:rFonts w:ascii="Tahoma" w:hAnsi="Tahoma" w:cs="Tahoma"/>
          <w:i/>
          <w:sz w:val="21"/>
          <w:szCs w:val="21"/>
        </w:rPr>
        <w:t>in the recently submitted Annual RIN</w:t>
      </w:r>
      <w:r w:rsidR="001851D0">
        <w:rPr>
          <w:rFonts w:ascii="Tahoma" w:hAnsi="Tahoma" w:cs="Tahoma"/>
          <w:i/>
          <w:sz w:val="21"/>
          <w:szCs w:val="21"/>
        </w:rPr>
        <w:t>)</w:t>
      </w:r>
      <w:r w:rsidR="00D05447">
        <w:rPr>
          <w:rFonts w:ascii="Tahoma" w:hAnsi="Tahoma" w:cs="Tahoma"/>
          <w:i/>
          <w:sz w:val="21"/>
          <w:szCs w:val="21"/>
        </w:rPr>
        <w:t xml:space="preserve"> and to the financial information now being reported for 2019/20</w:t>
      </w:r>
      <w:r w:rsidRPr="002040DB">
        <w:rPr>
          <w:rFonts w:ascii="Tahoma" w:hAnsi="Tahoma" w:cs="Tahoma"/>
          <w:i/>
          <w:sz w:val="21"/>
          <w:szCs w:val="21"/>
        </w:rPr>
        <w:t xml:space="preserve">. </w:t>
      </w:r>
    </w:p>
    <w:p w14:paraId="6B1959CE" w14:textId="77777777" w:rsidR="00B06747" w:rsidRPr="002040DB" w:rsidRDefault="00B06747" w:rsidP="00B06747">
      <w:pPr>
        <w:rPr>
          <w:rFonts w:ascii="Tahoma" w:hAnsi="Tahoma" w:cs="Tahoma"/>
          <w:b/>
          <w:sz w:val="21"/>
          <w:szCs w:val="21"/>
          <w:u w:val="single"/>
        </w:rPr>
      </w:pPr>
      <w:r w:rsidRPr="002040DB">
        <w:rPr>
          <w:rFonts w:ascii="Tahoma" w:hAnsi="Tahoma" w:cs="Tahoma"/>
          <w:b/>
          <w:sz w:val="21"/>
          <w:szCs w:val="21"/>
          <w:u w:val="single"/>
        </w:rPr>
        <w:t>Source of financial data</w:t>
      </w:r>
    </w:p>
    <w:p w14:paraId="469722F4" w14:textId="36575929" w:rsidR="00B06747" w:rsidRPr="002040DB" w:rsidRDefault="001851D0" w:rsidP="00B06747">
      <w:pPr>
        <w:rPr>
          <w:rFonts w:ascii="Tahoma" w:hAnsi="Tahoma" w:cs="Tahoma"/>
          <w:sz w:val="21"/>
          <w:szCs w:val="21"/>
        </w:rPr>
      </w:pPr>
      <w:r>
        <w:rPr>
          <w:rFonts w:ascii="Tahoma" w:hAnsi="Tahoma" w:cs="Tahoma"/>
          <w:sz w:val="21"/>
          <w:szCs w:val="21"/>
        </w:rPr>
        <w:t>As in previous years</w:t>
      </w:r>
      <w:r w:rsidR="00B06747" w:rsidRPr="002040DB">
        <w:rPr>
          <w:rFonts w:ascii="Tahoma" w:hAnsi="Tahoma" w:cs="Tahoma"/>
          <w:sz w:val="21"/>
          <w:szCs w:val="21"/>
        </w:rPr>
        <w:t xml:space="preserve">, financial data </w:t>
      </w:r>
      <w:r w:rsidR="00FD359E">
        <w:rPr>
          <w:rFonts w:ascii="Tahoma" w:hAnsi="Tahoma" w:cs="Tahoma"/>
          <w:sz w:val="21"/>
          <w:szCs w:val="21"/>
        </w:rPr>
        <w:t xml:space="preserve">for this Annual RIN </w:t>
      </w:r>
      <w:r w:rsidR="00B06747" w:rsidRPr="002040DB">
        <w:rPr>
          <w:rFonts w:ascii="Tahoma" w:hAnsi="Tahoma" w:cs="Tahoma"/>
          <w:sz w:val="21"/>
          <w:szCs w:val="21"/>
        </w:rPr>
        <w:t>was sourced from AGN Limited’s finance system (SAP Business One) and from other information provided by AGN Limited’s principal operating and management contractor, APA Asset Management (APA).  AGN Limited utilises Excel spreadsheets to consolidate detailed financial information provided by APA with information from its own finance system and to undertake cost allocation processes, for the purpose of producing the data required to complete the AER regulatory templates.  This information and the associated processes are explained further below.</w:t>
      </w:r>
    </w:p>
    <w:p w14:paraId="2F24D2DE" w14:textId="77777777" w:rsidR="00B06747" w:rsidRPr="002040DB" w:rsidRDefault="00B06747" w:rsidP="00B06747">
      <w:pPr>
        <w:rPr>
          <w:rFonts w:ascii="Tahoma" w:hAnsi="Tahoma" w:cs="Tahoma"/>
          <w:b/>
          <w:sz w:val="21"/>
          <w:szCs w:val="21"/>
          <w:u w:val="single"/>
        </w:rPr>
      </w:pPr>
      <w:r w:rsidRPr="002040DB">
        <w:rPr>
          <w:rFonts w:ascii="Tahoma" w:hAnsi="Tahoma" w:cs="Tahoma"/>
          <w:b/>
          <w:sz w:val="21"/>
          <w:szCs w:val="21"/>
          <w:u w:val="single"/>
        </w:rPr>
        <w:t>AGN Limited’s operating and management sub-contractor (APA)</w:t>
      </w:r>
    </w:p>
    <w:p w14:paraId="32BA5B87" w14:textId="77777777" w:rsidR="00B06747" w:rsidRPr="002040DB" w:rsidRDefault="00B06747" w:rsidP="00B06747">
      <w:pPr>
        <w:rPr>
          <w:rFonts w:ascii="Tahoma" w:hAnsi="Tahoma" w:cs="Tahoma"/>
          <w:sz w:val="21"/>
          <w:szCs w:val="21"/>
        </w:rPr>
      </w:pPr>
      <w:r w:rsidRPr="002040DB">
        <w:rPr>
          <w:rFonts w:ascii="Tahoma" w:hAnsi="Tahoma" w:cs="Tahoma"/>
          <w:sz w:val="21"/>
          <w:szCs w:val="21"/>
        </w:rPr>
        <w:t xml:space="preserve">When AGN Limited was known as Envestra Limited (Envestra), the operation and management of its distribution network was out-sourced to APA under an operating and management agreement.  This arrangement (the ‘OMA’) commenced on 2 July 2007 and has continued since that time, including through Envestra’s change of ownership and rebranding as “Australian Gas Networks” in October 2014.  </w:t>
      </w:r>
    </w:p>
    <w:p w14:paraId="32560B75" w14:textId="77777777" w:rsidR="00B06747" w:rsidRPr="002040DB" w:rsidRDefault="00B06747" w:rsidP="00B06747">
      <w:pPr>
        <w:rPr>
          <w:rFonts w:ascii="Tahoma" w:hAnsi="Tahoma" w:cs="Tahoma"/>
          <w:sz w:val="21"/>
          <w:szCs w:val="21"/>
        </w:rPr>
      </w:pPr>
      <w:r w:rsidRPr="002040DB">
        <w:rPr>
          <w:rFonts w:ascii="Tahoma" w:hAnsi="Tahoma" w:cs="Tahoma"/>
          <w:sz w:val="21"/>
          <w:szCs w:val="21"/>
        </w:rPr>
        <w:t xml:space="preserve">APA charges AGN Limited for these services on a ‘cost pass-through’ basis each month, plus the agreed Network Management Fee (NMF). The NMF represents APA’s margin under the agreement.  </w:t>
      </w:r>
    </w:p>
    <w:p w14:paraId="2A0250EF" w14:textId="310CBC92" w:rsidR="00B06747" w:rsidRPr="002040DB" w:rsidRDefault="00B06747" w:rsidP="00B06747">
      <w:pPr>
        <w:rPr>
          <w:rFonts w:ascii="Tahoma" w:hAnsi="Tahoma" w:cs="Tahoma"/>
          <w:sz w:val="21"/>
          <w:szCs w:val="21"/>
        </w:rPr>
      </w:pPr>
      <w:r w:rsidRPr="002040DB">
        <w:rPr>
          <w:rFonts w:ascii="Tahoma" w:hAnsi="Tahoma" w:cs="Tahoma"/>
          <w:sz w:val="21"/>
          <w:szCs w:val="21"/>
        </w:rPr>
        <w:t xml:space="preserve">APA’s business support and overhead costs are allocated and charged in accordance with the processes outlined in the AGN Limited Cost Allocation Methodology (CAM) provided with the </w:t>
      </w:r>
      <w:r w:rsidR="00794314">
        <w:rPr>
          <w:rFonts w:ascii="Tahoma" w:hAnsi="Tahoma" w:cs="Tahoma"/>
          <w:sz w:val="21"/>
          <w:szCs w:val="21"/>
        </w:rPr>
        <w:t>recently submitted Annual RIN</w:t>
      </w:r>
      <w:r w:rsidR="00FD3BFF">
        <w:rPr>
          <w:rFonts w:ascii="Tahoma" w:hAnsi="Tahoma" w:cs="Tahoma"/>
          <w:sz w:val="21"/>
          <w:szCs w:val="21"/>
        </w:rPr>
        <w:t xml:space="preserve"> (Historical Performance Data)</w:t>
      </w:r>
      <w:r w:rsidRPr="002040DB">
        <w:rPr>
          <w:rFonts w:ascii="Tahoma" w:hAnsi="Tahoma" w:cs="Tahoma"/>
          <w:sz w:val="21"/>
          <w:szCs w:val="21"/>
        </w:rPr>
        <w:t>.  For regulatory accounting and reporting purposes, AGN Limited treats 100% of the NMF paid to APA as operating expenditure, in accordance with AGN Limited’s Regulatory Accounting Principles</w:t>
      </w:r>
      <w:r w:rsidR="00D05447">
        <w:rPr>
          <w:rFonts w:ascii="Tahoma" w:hAnsi="Tahoma" w:cs="Tahoma"/>
          <w:sz w:val="21"/>
          <w:szCs w:val="21"/>
        </w:rPr>
        <w:t xml:space="preserve"> and Policies</w:t>
      </w:r>
      <w:r w:rsidRPr="002040DB">
        <w:rPr>
          <w:rFonts w:ascii="Tahoma" w:hAnsi="Tahoma" w:cs="Tahoma"/>
          <w:sz w:val="21"/>
          <w:szCs w:val="21"/>
        </w:rPr>
        <w:t xml:space="preserve"> and Capitalisation </w:t>
      </w:r>
      <w:r w:rsidR="00D05447" w:rsidRPr="002040DB">
        <w:rPr>
          <w:rFonts w:ascii="Tahoma" w:hAnsi="Tahoma" w:cs="Tahoma"/>
          <w:sz w:val="21"/>
          <w:szCs w:val="21"/>
        </w:rPr>
        <w:t>polic</w:t>
      </w:r>
      <w:r w:rsidR="00D05447">
        <w:rPr>
          <w:rFonts w:ascii="Tahoma" w:hAnsi="Tahoma" w:cs="Tahoma"/>
          <w:sz w:val="21"/>
          <w:szCs w:val="21"/>
        </w:rPr>
        <w:t>y documents</w:t>
      </w:r>
      <w:r w:rsidRPr="002040DB">
        <w:rPr>
          <w:rFonts w:ascii="Tahoma" w:hAnsi="Tahoma" w:cs="Tahoma"/>
          <w:sz w:val="21"/>
          <w:szCs w:val="21"/>
        </w:rPr>
        <w:t>.</w:t>
      </w:r>
    </w:p>
    <w:p w14:paraId="35E7BAF7" w14:textId="60B68599" w:rsidR="00B06747" w:rsidRPr="002040DB" w:rsidRDefault="00B06747" w:rsidP="00B06747">
      <w:pPr>
        <w:rPr>
          <w:rFonts w:ascii="Tahoma" w:hAnsi="Tahoma" w:cs="Tahoma"/>
          <w:sz w:val="21"/>
          <w:szCs w:val="21"/>
        </w:rPr>
      </w:pPr>
      <w:r w:rsidRPr="002040DB">
        <w:rPr>
          <w:rFonts w:ascii="Tahoma" w:hAnsi="Tahoma" w:cs="Tahoma"/>
          <w:sz w:val="21"/>
          <w:szCs w:val="21"/>
        </w:rPr>
        <w:t xml:space="preserve">Prior to the current owner of AGN Limited acquiring the business on 29 August 2014, the APA Group, of which APA Asset Management is a subsidiary, was a significant shareholder in Envestra, owning 33% of the company, which therefore made APA a related party.  Accordingly, payments to APA for the period 2010/11 to 29 August 2014 under the OMA </w:t>
      </w:r>
      <w:r w:rsidR="00794314">
        <w:rPr>
          <w:rFonts w:ascii="Tahoma" w:hAnsi="Tahoma" w:cs="Tahoma"/>
          <w:sz w:val="21"/>
          <w:szCs w:val="21"/>
        </w:rPr>
        <w:t>were</w:t>
      </w:r>
      <w:r w:rsidRPr="002040DB">
        <w:rPr>
          <w:rFonts w:ascii="Tahoma" w:hAnsi="Tahoma" w:cs="Tahoma"/>
          <w:sz w:val="21"/>
          <w:szCs w:val="21"/>
        </w:rPr>
        <w:t xml:space="preserve"> recognised as related party transactions in the information </w:t>
      </w:r>
      <w:r w:rsidR="00794314">
        <w:rPr>
          <w:rFonts w:ascii="Tahoma" w:hAnsi="Tahoma" w:cs="Tahoma"/>
          <w:sz w:val="21"/>
          <w:szCs w:val="21"/>
        </w:rPr>
        <w:t>previously reported</w:t>
      </w:r>
      <w:r w:rsidRPr="002040DB">
        <w:rPr>
          <w:rFonts w:ascii="Tahoma" w:hAnsi="Tahoma" w:cs="Tahoma"/>
          <w:sz w:val="21"/>
          <w:szCs w:val="21"/>
        </w:rPr>
        <w:t xml:space="preserve"> within the</w:t>
      </w:r>
      <w:r w:rsidR="00794314">
        <w:rPr>
          <w:rFonts w:ascii="Tahoma" w:hAnsi="Tahoma" w:cs="Tahoma"/>
          <w:sz w:val="21"/>
          <w:szCs w:val="21"/>
        </w:rPr>
        <w:t xml:space="preserve"> Annual RIN</w:t>
      </w:r>
      <w:r w:rsidRPr="002040DB">
        <w:rPr>
          <w:rFonts w:ascii="Tahoma" w:hAnsi="Tahoma" w:cs="Tahoma"/>
          <w:sz w:val="21"/>
          <w:szCs w:val="21"/>
        </w:rPr>
        <w:t xml:space="preserve"> templates.  In addition, the NMF paid to APA for that period </w:t>
      </w:r>
      <w:r w:rsidR="00794314">
        <w:rPr>
          <w:rFonts w:ascii="Tahoma" w:hAnsi="Tahoma" w:cs="Tahoma"/>
          <w:sz w:val="21"/>
          <w:szCs w:val="21"/>
        </w:rPr>
        <w:t>was</w:t>
      </w:r>
      <w:r w:rsidRPr="002040DB">
        <w:rPr>
          <w:rFonts w:ascii="Tahoma" w:hAnsi="Tahoma" w:cs="Tahoma"/>
          <w:sz w:val="21"/>
          <w:szCs w:val="21"/>
        </w:rPr>
        <w:t xml:space="preserve"> recognised as related party margin expenditure.  </w:t>
      </w:r>
    </w:p>
    <w:p w14:paraId="15FC5CEA" w14:textId="374D3A57" w:rsidR="00B06747" w:rsidRDefault="00B06747" w:rsidP="00B06747">
      <w:pPr>
        <w:rPr>
          <w:rFonts w:ascii="Tahoma" w:hAnsi="Tahoma" w:cs="Tahoma"/>
          <w:sz w:val="21"/>
          <w:szCs w:val="21"/>
        </w:rPr>
      </w:pPr>
      <w:r w:rsidRPr="008740DE">
        <w:rPr>
          <w:rFonts w:ascii="Tahoma" w:hAnsi="Tahoma" w:cs="Tahoma"/>
          <w:sz w:val="21"/>
          <w:szCs w:val="21"/>
        </w:rPr>
        <w:t xml:space="preserve">Further information about Related Party Transactions and Related Party Margins </w:t>
      </w:r>
      <w:r w:rsidR="008740DE" w:rsidRPr="008740DE">
        <w:rPr>
          <w:rFonts w:ascii="Tahoma" w:hAnsi="Tahoma" w:cs="Tahoma"/>
          <w:sz w:val="21"/>
          <w:szCs w:val="21"/>
        </w:rPr>
        <w:t xml:space="preserve">reported up to and including 29 August 2014 </w:t>
      </w:r>
      <w:r w:rsidRPr="008740DE">
        <w:rPr>
          <w:rFonts w:ascii="Tahoma" w:hAnsi="Tahoma" w:cs="Tahoma"/>
          <w:sz w:val="21"/>
          <w:szCs w:val="21"/>
        </w:rPr>
        <w:t>is provided in Appendix D.</w:t>
      </w:r>
    </w:p>
    <w:p w14:paraId="28C3DE38" w14:textId="77777777" w:rsidR="00441F10" w:rsidRPr="002040DB" w:rsidRDefault="00441F10" w:rsidP="00B06747">
      <w:pPr>
        <w:rPr>
          <w:rFonts w:ascii="Tahoma" w:hAnsi="Tahoma" w:cs="Tahoma"/>
          <w:sz w:val="21"/>
          <w:szCs w:val="21"/>
        </w:rPr>
      </w:pPr>
    </w:p>
    <w:p w14:paraId="0D8545EB" w14:textId="77777777" w:rsidR="00B06747" w:rsidRPr="002040DB" w:rsidRDefault="00B06747" w:rsidP="00B06747">
      <w:pPr>
        <w:rPr>
          <w:rFonts w:ascii="Tahoma" w:hAnsi="Tahoma" w:cs="Tahoma"/>
          <w:b/>
          <w:sz w:val="21"/>
          <w:szCs w:val="21"/>
          <w:u w:val="single"/>
        </w:rPr>
      </w:pPr>
      <w:r w:rsidRPr="002040DB">
        <w:rPr>
          <w:rFonts w:ascii="Tahoma" w:hAnsi="Tahoma" w:cs="Tahoma"/>
          <w:b/>
          <w:sz w:val="21"/>
          <w:szCs w:val="21"/>
          <w:u w:val="single"/>
        </w:rPr>
        <w:lastRenderedPageBreak/>
        <w:t>Source of financial data provided by APA</w:t>
      </w:r>
    </w:p>
    <w:p w14:paraId="4CD7F1BB" w14:textId="0F0EC29B" w:rsidR="00B06747" w:rsidRPr="002040DB" w:rsidRDefault="00B06747" w:rsidP="00B06747">
      <w:pPr>
        <w:rPr>
          <w:rFonts w:ascii="Tahoma" w:hAnsi="Tahoma" w:cs="Tahoma"/>
          <w:sz w:val="21"/>
          <w:szCs w:val="21"/>
        </w:rPr>
      </w:pPr>
      <w:r w:rsidRPr="002040DB">
        <w:rPr>
          <w:rFonts w:ascii="Tahoma" w:hAnsi="Tahoma" w:cs="Tahoma"/>
          <w:sz w:val="21"/>
          <w:szCs w:val="21"/>
        </w:rPr>
        <w:t>APA uses an enterprise resource planning system (Oracle) and an asset management system (Maximo) to capture costs which are assigned to master data identifiers including tasks, activities and expense types.  In addition, with the use of additional master data identifiers</w:t>
      </w:r>
      <w:r w:rsidR="00794314">
        <w:rPr>
          <w:rFonts w:ascii="Tahoma" w:hAnsi="Tahoma" w:cs="Tahoma"/>
          <w:sz w:val="21"/>
          <w:szCs w:val="21"/>
        </w:rPr>
        <w:t xml:space="preserve"> (i.e.</w:t>
      </w:r>
      <w:r w:rsidRPr="002040DB">
        <w:rPr>
          <w:rFonts w:ascii="Tahoma" w:hAnsi="Tahoma" w:cs="Tahoma"/>
          <w:sz w:val="21"/>
          <w:szCs w:val="21"/>
        </w:rPr>
        <w:t xml:space="preserve"> project codes and cost centres</w:t>
      </w:r>
      <w:r w:rsidR="00794314">
        <w:rPr>
          <w:rFonts w:ascii="Tahoma" w:hAnsi="Tahoma" w:cs="Tahoma"/>
          <w:sz w:val="21"/>
          <w:szCs w:val="21"/>
        </w:rPr>
        <w:t>)</w:t>
      </w:r>
      <w:r w:rsidRPr="002040DB">
        <w:rPr>
          <w:rFonts w:ascii="Tahoma" w:hAnsi="Tahoma" w:cs="Tahoma"/>
          <w:sz w:val="21"/>
          <w:szCs w:val="21"/>
        </w:rPr>
        <w:t>, APA records its expenditure against specific regulated and unregulated gas pipelines operated by AGN Limited in each state and to relevant regions within each state (also referred to as business zones).</w:t>
      </w:r>
    </w:p>
    <w:p w14:paraId="136176F7" w14:textId="77777777" w:rsidR="00B06747" w:rsidRPr="002040DB" w:rsidRDefault="00B06747" w:rsidP="00B06747">
      <w:pPr>
        <w:rPr>
          <w:rFonts w:ascii="Tahoma" w:hAnsi="Tahoma" w:cs="Tahoma"/>
          <w:sz w:val="21"/>
          <w:szCs w:val="21"/>
        </w:rPr>
      </w:pPr>
      <w:r w:rsidRPr="002040DB">
        <w:rPr>
          <w:rFonts w:ascii="Tahoma" w:hAnsi="Tahoma" w:cs="Tahoma"/>
          <w:sz w:val="21"/>
          <w:szCs w:val="21"/>
        </w:rPr>
        <w:t xml:space="preserve">APA provides detailed information about operating expenditure on AGN Limited’s regulated and unregulated pipelines via its business intelligence (BI) tool ‘Cognos’.  This information enables AGN Limited to map expenditure into the categories that are defined in the AER regulatory templates (e.g. Repairs and Maintenance, Marketing and Retail Incentives, Other Opex etc.).  </w:t>
      </w:r>
    </w:p>
    <w:p w14:paraId="1D1DA804" w14:textId="60C40A04" w:rsidR="00B06747" w:rsidRPr="002040DB" w:rsidRDefault="00B06747" w:rsidP="00B06747">
      <w:pPr>
        <w:rPr>
          <w:rFonts w:ascii="Tahoma" w:hAnsi="Tahoma" w:cs="Tahoma"/>
          <w:sz w:val="21"/>
          <w:szCs w:val="21"/>
        </w:rPr>
      </w:pPr>
      <w:r w:rsidRPr="002040DB">
        <w:rPr>
          <w:rFonts w:ascii="Tahoma" w:hAnsi="Tahoma" w:cs="Tahoma"/>
          <w:sz w:val="21"/>
          <w:szCs w:val="21"/>
        </w:rPr>
        <w:t>Operating expenditure information from APA is produced using its Cognos BI tool which extracts data from Oracle. This information is provided as part of the ‘Ring Fenced Accounts’ prepared by APA each half year.  The Ring Fenced Accounts (RFAs) report on all expenditure (operating and capital), including the allocation of support and shared business costs into each of AGN Limited’s regulated and unregulated business zones.  The RFAs have been, and continue to be a key source of data for regulatory reporting purposes.</w:t>
      </w:r>
    </w:p>
    <w:p w14:paraId="15C36378" w14:textId="77777777" w:rsidR="00B06747" w:rsidRPr="002040DB" w:rsidRDefault="00B06747" w:rsidP="00B06747">
      <w:pPr>
        <w:rPr>
          <w:rFonts w:ascii="Tahoma" w:hAnsi="Tahoma" w:cs="Tahoma"/>
          <w:sz w:val="21"/>
          <w:szCs w:val="21"/>
        </w:rPr>
      </w:pPr>
      <w:r w:rsidRPr="002040DB">
        <w:rPr>
          <w:rFonts w:ascii="Tahoma" w:hAnsi="Tahoma" w:cs="Tahoma"/>
          <w:sz w:val="21"/>
          <w:szCs w:val="21"/>
        </w:rPr>
        <w:t xml:space="preserve">AGN Limited fully reconciles the operating expenditure reporting provided by APA in the RFAs with its own SAP general ledger, separate billing data received from APA and with reporting provided in the AER regulatory templates. </w:t>
      </w:r>
    </w:p>
    <w:p w14:paraId="03CBA70C" w14:textId="77777777" w:rsidR="00B06747" w:rsidRPr="002040DB" w:rsidRDefault="00B06747" w:rsidP="00B06747">
      <w:pPr>
        <w:rPr>
          <w:rFonts w:ascii="Tahoma" w:hAnsi="Tahoma" w:cs="Tahoma"/>
          <w:b/>
          <w:sz w:val="21"/>
          <w:szCs w:val="21"/>
          <w:u w:val="single"/>
        </w:rPr>
      </w:pPr>
      <w:r w:rsidRPr="002040DB">
        <w:rPr>
          <w:rFonts w:ascii="Tahoma" w:hAnsi="Tahoma" w:cs="Tahoma"/>
          <w:b/>
          <w:sz w:val="21"/>
          <w:szCs w:val="21"/>
          <w:u w:val="single"/>
        </w:rPr>
        <w:t>AGN Limited business systems and cost capture</w:t>
      </w:r>
    </w:p>
    <w:p w14:paraId="36D43088" w14:textId="3D20EAE7" w:rsidR="00B06747" w:rsidRPr="002040DB" w:rsidRDefault="00B06747" w:rsidP="00B06747">
      <w:pPr>
        <w:rPr>
          <w:rFonts w:ascii="Tahoma" w:hAnsi="Tahoma" w:cs="Tahoma"/>
          <w:sz w:val="21"/>
          <w:szCs w:val="21"/>
        </w:rPr>
      </w:pPr>
      <w:r w:rsidRPr="002040DB">
        <w:rPr>
          <w:rFonts w:ascii="Tahoma" w:hAnsi="Tahoma" w:cs="Tahoma"/>
          <w:sz w:val="21"/>
          <w:szCs w:val="21"/>
        </w:rPr>
        <w:t>AGN Limited utilises SAP Business One (SAP) to capture costs at the general ledger account code, department and state level, where applicable.  Given the arrangements with APA, AGN Limited does not operate a full enterprise resource planning (ERP) system.  Within SAP, AGN Limited utilises the general ledger</w:t>
      </w:r>
      <w:r w:rsidR="00794314">
        <w:rPr>
          <w:rFonts w:ascii="Tahoma" w:hAnsi="Tahoma" w:cs="Tahoma"/>
          <w:sz w:val="21"/>
          <w:szCs w:val="21"/>
        </w:rPr>
        <w:t>,</w:t>
      </w:r>
      <w:r w:rsidRPr="002040DB">
        <w:rPr>
          <w:rFonts w:ascii="Tahoma" w:hAnsi="Tahoma" w:cs="Tahoma"/>
          <w:sz w:val="21"/>
          <w:szCs w:val="21"/>
        </w:rPr>
        <w:t xml:space="preserve"> accounts payable module</w:t>
      </w:r>
      <w:r w:rsidR="00794314">
        <w:rPr>
          <w:rFonts w:ascii="Tahoma" w:hAnsi="Tahoma" w:cs="Tahoma"/>
          <w:sz w:val="21"/>
          <w:szCs w:val="21"/>
        </w:rPr>
        <w:t xml:space="preserve"> and fixed asset registers</w:t>
      </w:r>
      <w:r w:rsidRPr="002040DB">
        <w:rPr>
          <w:rFonts w:ascii="Tahoma" w:hAnsi="Tahoma" w:cs="Tahoma"/>
          <w:sz w:val="21"/>
          <w:szCs w:val="21"/>
        </w:rPr>
        <w:t xml:space="preserve">.   </w:t>
      </w:r>
    </w:p>
    <w:p w14:paraId="05569B97" w14:textId="77777777" w:rsidR="00B06747" w:rsidRPr="002040DB" w:rsidRDefault="00B06747" w:rsidP="00B06747">
      <w:pPr>
        <w:rPr>
          <w:rFonts w:ascii="Tahoma" w:hAnsi="Tahoma" w:cs="Tahoma"/>
          <w:sz w:val="21"/>
          <w:szCs w:val="21"/>
        </w:rPr>
      </w:pPr>
      <w:r w:rsidRPr="002040DB">
        <w:rPr>
          <w:rFonts w:ascii="Tahoma" w:hAnsi="Tahoma" w:cs="Tahoma"/>
          <w:sz w:val="21"/>
          <w:szCs w:val="21"/>
        </w:rPr>
        <w:t xml:space="preserve">Monthly charges invoiced from APA are recorded in AGN Limited’s general ledger via journal entries which assign costs to general ledger account codes, departments and states.  These entries provide control totals against which separate reporting provided by APA is able to be reconciled.  </w:t>
      </w:r>
    </w:p>
    <w:p w14:paraId="669B9C96" w14:textId="77777777" w:rsidR="00B06747" w:rsidRPr="002040DB" w:rsidRDefault="00B06747" w:rsidP="00B06747">
      <w:pPr>
        <w:rPr>
          <w:rFonts w:ascii="Tahoma" w:hAnsi="Tahoma" w:cs="Tahoma"/>
          <w:sz w:val="21"/>
          <w:szCs w:val="21"/>
        </w:rPr>
      </w:pPr>
      <w:r w:rsidRPr="002040DB">
        <w:rPr>
          <w:rFonts w:ascii="Tahoma" w:hAnsi="Tahoma" w:cs="Tahoma"/>
          <w:sz w:val="21"/>
          <w:szCs w:val="21"/>
        </w:rPr>
        <w:t>The detailed view of network operation and management expenditure undertaken by APA is provided via separate reporting outside of AGN Limited’s core finance systems, as described above (e.g. the Ring Fenced Accounts).  This information is used to complete the AER regulatory templates.</w:t>
      </w:r>
    </w:p>
    <w:p w14:paraId="7AD31130" w14:textId="5B271EE0" w:rsidR="00B06747" w:rsidRPr="002040DB" w:rsidRDefault="00B06747" w:rsidP="00B06747">
      <w:pPr>
        <w:rPr>
          <w:rFonts w:ascii="Tahoma" w:hAnsi="Tahoma" w:cs="Tahoma"/>
          <w:sz w:val="21"/>
          <w:szCs w:val="21"/>
        </w:rPr>
      </w:pPr>
      <w:r w:rsidRPr="002040DB">
        <w:rPr>
          <w:rFonts w:ascii="Tahoma" w:hAnsi="Tahoma" w:cs="Tahoma"/>
          <w:sz w:val="21"/>
          <w:szCs w:val="21"/>
        </w:rPr>
        <w:t>AGN Limited’s internal operating expenditure for its corporate management and administration costs, is captured in the SAP general ledger by account code, department and state</w:t>
      </w:r>
      <w:r w:rsidR="00441F10">
        <w:rPr>
          <w:rFonts w:ascii="Tahoma" w:hAnsi="Tahoma" w:cs="Tahoma"/>
          <w:sz w:val="21"/>
          <w:szCs w:val="21"/>
        </w:rPr>
        <w:t xml:space="preserve"> </w:t>
      </w:r>
      <w:r w:rsidR="0040318E">
        <w:rPr>
          <w:rFonts w:ascii="Tahoma" w:hAnsi="Tahoma" w:cs="Tahoma"/>
          <w:sz w:val="21"/>
          <w:szCs w:val="21"/>
        </w:rPr>
        <w:t>w</w:t>
      </w:r>
      <w:r w:rsidRPr="002040DB">
        <w:rPr>
          <w:rFonts w:ascii="Tahoma" w:hAnsi="Tahoma" w:cs="Tahoma"/>
          <w:sz w:val="21"/>
          <w:szCs w:val="21"/>
        </w:rPr>
        <w:t xml:space="preserve">here applicable, which enables reporting against categories defined by the AER regulatory templates.  </w:t>
      </w:r>
    </w:p>
    <w:p w14:paraId="0E475175" w14:textId="50B900D1" w:rsidR="00B06747" w:rsidRPr="002040DB" w:rsidRDefault="00B06747" w:rsidP="00B06747">
      <w:pPr>
        <w:rPr>
          <w:rFonts w:ascii="Tahoma" w:hAnsi="Tahoma" w:cs="Tahoma"/>
          <w:sz w:val="21"/>
          <w:szCs w:val="21"/>
        </w:rPr>
      </w:pPr>
      <w:r w:rsidRPr="001851D0">
        <w:rPr>
          <w:rFonts w:ascii="Tahoma" w:hAnsi="Tahoma" w:cs="Tahoma"/>
          <w:sz w:val="21"/>
          <w:szCs w:val="21"/>
        </w:rPr>
        <w:t xml:space="preserve">AGN Limited does not capitalise any of its general corporate management and administration costs for the purpose of regulatory accounting and reporting, </w:t>
      </w:r>
      <w:r w:rsidR="001851D0">
        <w:rPr>
          <w:rFonts w:ascii="Tahoma" w:hAnsi="Tahoma" w:cs="Tahoma"/>
          <w:sz w:val="21"/>
          <w:szCs w:val="21"/>
        </w:rPr>
        <w:t>unless it can be specifically linked to a capital activity (e.g. a corporate IT project).  This</w:t>
      </w:r>
      <w:r w:rsidR="001851D0" w:rsidRPr="001851D0">
        <w:rPr>
          <w:rFonts w:ascii="Tahoma" w:hAnsi="Tahoma" w:cs="Tahoma"/>
          <w:sz w:val="21"/>
          <w:szCs w:val="21"/>
        </w:rPr>
        <w:t xml:space="preserve"> </w:t>
      </w:r>
      <w:r w:rsidRPr="001851D0">
        <w:rPr>
          <w:rFonts w:ascii="Tahoma" w:hAnsi="Tahoma" w:cs="Tahoma"/>
          <w:sz w:val="21"/>
          <w:szCs w:val="21"/>
        </w:rPr>
        <w:t xml:space="preserve">is in accordance with the Regulatory Accounting Principles </w:t>
      </w:r>
      <w:r w:rsidR="00B52D3E">
        <w:rPr>
          <w:rFonts w:ascii="Tahoma" w:hAnsi="Tahoma" w:cs="Tahoma"/>
          <w:sz w:val="21"/>
          <w:szCs w:val="21"/>
        </w:rPr>
        <w:t xml:space="preserve">and Policies document </w:t>
      </w:r>
      <w:r w:rsidRPr="001851D0">
        <w:rPr>
          <w:rFonts w:ascii="Tahoma" w:hAnsi="Tahoma" w:cs="Tahoma"/>
          <w:sz w:val="21"/>
          <w:szCs w:val="21"/>
        </w:rPr>
        <w:t xml:space="preserve">and </w:t>
      </w:r>
      <w:r w:rsidR="00B52D3E">
        <w:rPr>
          <w:rFonts w:ascii="Tahoma" w:hAnsi="Tahoma" w:cs="Tahoma"/>
          <w:sz w:val="21"/>
          <w:szCs w:val="21"/>
        </w:rPr>
        <w:t xml:space="preserve">the </w:t>
      </w:r>
      <w:r w:rsidRPr="001851D0">
        <w:rPr>
          <w:rFonts w:ascii="Tahoma" w:hAnsi="Tahoma" w:cs="Tahoma"/>
          <w:sz w:val="21"/>
          <w:szCs w:val="21"/>
        </w:rPr>
        <w:t xml:space="preserve">Capitalisation </w:t>
      </w:r>
      <w:r w:rsidR="00B52D3E">
        <w:rPr>
          <w:rFonts w:ascii="Tahoma" w:hAnsi="Tahoma" w:cs="Tahoma"/>
          <w:sz w:val="21"/>
          <w:szCs w:val="21"/>
        </w:rPr>
        <w:t>Policy</w:t>
      </w:r>
      <w:r w:rsidRPr="001851D0">
        <w:rPr>
          <w:rFonts w:ascii="Tahoma" w:hAnsi="Tahoma" w:cs="Tahoma"/>
          <w:sz w:val="21"/>
          <w:szCs w:val="21"/>
        </w:rPr>
        <w:t xml:space="preserve">.  </w:t>
      </w:r>
      <w:r w:rsidR="00794314" w:rsidRPr="00FD3BFF">
        <w:rPr>
          <w:rFonts w:ascii="Tahoma" w:hAnsi="Tahoma" w:cs="Tahoma"/>
          <w:sz w:val="21"/>
          <w:szCs w:val="21"/>
        </w:rPr>
        <w:t xml:space="preserve">As set out in the supplementary information provided </w:t>
      </w:r>
      <w:r w:rsidR="00FD3BFF" w:rsidRPr="00FD3BFF">
        <w:rPr>
          <w:rFonts w:ascii="Tahoma" w:hAnsi="Tahoma" w:cs="Tahoma"/>
          <w:sz w:val="21"/>
          <w:szCs w:val="21"/>
        </w:rPr>
        <w:t xml:space="preserve">in Appendix H of </w:t>
      </w:r>
      <w:r w:rsidR="00794314" w:rsidRPr="00FD3BFF">
        <w:rPr>
          <w:rFonts w:ascii="Tahoma" w:hAnsi="Tahoma" w:cs="Tahoma"/>
          <w:sz w:val="21"/>
          <w:szCs w:val="21"/>
        </w:rPr>
        <w:t xml:space="preserve">this </w:t>
      </w:r>
      <w:r w:rsidR="00FD3BFF" w:rsidRPr="00FD3BFF">
        <w:rPr>
          <w:rFonts w:ascii="Tahoma" w:hAnsi="Tahoma" w:cs="Tahoma"/>
          <w:sz w:val="21"/>
          <w:szCs w:val="21"/>
        </w:rPr>
        <w:t xml:space="preserve">Basis of </w:t>
      </w:r>
      <w:r w:rsidR="00FD3BFF" w:rsidRPr="00FD3BFF">
        <w:rPr>
          <w:rFonts w:ascii="Tahoma" w:hAnsi="Tahoma" w:cs="Tahoma"/>
          <w:sz w:val="21"/>
          <w:szCs w:val="21"/>
        </w:rPr>
        <w:lastRenderedPageBreak/>
        <w:t>Preparation document</w:t>
      </w:r>
      <w:r w:rsidR="00794314" w:rsidRPr="00FD3BFF">
        <w:rPr>
          <w:rFonts w:ascii="Tahoma" w:hAnsi="Tahoma" w:cs="Tahoma"/>
          <w:sz w:val="21"/>
          <w:szCs w:val="21"/>
        </w:rPr>
        <w:t xml:space="preserve"> (related to the Regulatory Accounting Principles and Policies document), from 2019/20 AGN Limited has identified specific personnel working on corporate IT projects and has commenced capitalising the labour costs for those personnel as explained in the supplementary material.</w:t>
      </w:r>
      <w:r w:rsidR="00794314">
        <w:rPr>
          <w:rFonts w:ascii="Tahoma" w:hAnsi="Tahoma" w:cs="Tahoma"/>
          <w:sz w:val="21"/>
          <w:szCs w:val="21"/>
        </w:rPr>
        <w:t xml:space="preserve">  </w:t>
      </w:r>
    </w:p>
    <w:p w14:paraId="610CA216" w14:textId="77777777" w:rsidR="00B06747" w:rsidRPr="002040DB" w:rsidRDefault="00B06747" w:rsidP="00B06747">
      <w:pPr>
        <w:rPr>
          <w:rFonts w:ascii="Tahoma" w:hAnsi="Tahoma" w:cs="Tahoma"/>
          <w:sz w:val="21"/>
          <w:szCs w:val="21"/>
        </w:rPr>
      </w:pPr>
      <w:r w:rsidRPr="002040DB">
        <w:rPr>
          <w:rFonts w:ascii="Tahoma" w:hAnsi="Tahoma" w:cs="Tahoma"/>
          <w:sz w:val="21"/>
          <w:szCs w:val="21"/>
        </w:rPr>
        <w:t xml:space="preserve">A reporting tool outside of SAP (Qlikview) is used by AGN Limited to extract operating expenditure data from SAP and to produce reports for regulatory and other financial management purposes.  </w:t>
      </w:r>
    </w:p>
    <w:p w14:paraId="3CB302C1" w14:textId="77777777" w:rsidR="00B06747" w:rsidRPr="002040DB" w:rsidRDefault="00B06747" w:rsidP="00B06747">
      <w:pPr>
        <w:rPr>
          <w:rFonts w:ascii="Tahoma" w:hAnsi="Tahoma" w:cs="Tahoma"/>
          <w:sz w:val="21"/>
          <w:szCs w:val="21"/>
        </w:rPr>
      </w:pPr>
      <w:r w:rsidRPr="002040DB">
        <w:rPr>
          <w:rFonts w:ascii="Tahoma" w:hAnsi="Tahoma" w:cs="Tahoma"/>
          <w:sz w:val="21"/>
          <w:szCs w:val="21"/>
        </w:rPr>
        <w:t>These reports are exported into Excel spreadsheets which are used for the purpose of consolidating financial data (APA sourced and AGN Limited data) and to undertake cost allocation processes across AGN Limited’s regulated and unregulated business zones in accordance with the AGN Limited CAM.  Consolidation processes include combining detailed operating expenditure information provided by APA with AGN Limited’s own internal operating expenditure information.</w:t>
      </w:r>
    </w:p>
    <w:p w14:paraId="3A7D7B02" w14:textId="77777777" w:rsidR="00B06747" w:rsidRPr="002040DB" w:rsidRDefault="00B06747" w:rsidP="00B06747">
      <w:pPr>
        <w:rPr>
          <w:rFonts w:ascii="Tahoma" w:hAnsi="Tahoma" w:cs="Tahoma"/>
          <w:b/>
          <w:sz w:val="21"/>
          <w:szCs w:val="21"/>
          <w:u w:val="single"/>
        </w:rPr>
      </w:pPr>
      <w:r w:rsidRPr="002040DB">
        <w:rPr>
          <w:rFonts w:ascii="Tahoma" w:hAnsi="Tahoma" w:cs="Tahoma"/>
          <w:b/>
          <w:sz w:val="21"/>
          <w:szCs w:val="21"/>
          <w:u w:val="single"/>
        </w:rPr>
        <w:t>Reconciliation of data and information reported to the AER</w:t>
      </w:r>
    </w:p>
    <w:p w14:paraId="7AE4CDD8" w14:textId="77777777" w:rsidR="00B06747" w:rsidRPr="002040DB" w:rsidRDefault="00B06747" w:rsidP="00B06747">
      <w:pPr>
        <w:rPr>
          <w:rFonts w:ascii="Tahoma" w:hAnsi="Tahoma" w:cs="Tahoma"/>
          <w:sz w:val="21"/>
          <w:szCs w:val="21"/>
        </w:rPr>
      </w:pPr>
      <w:r w:rsidRPr="002040DB">
        <w:rPr>
          <w:rFonts w:ascii="Tahoma" w:hAnsi="Tahoma" w:cs="Tahoma"/>
          <w:sz w:val="21"/>
          <w:szCs w:val="21"/>
        </w:rPr>
        <w:t>As already mentioned above, AGN Limited fully reconciles operating expenditure reporting provided by APA, back to control totals in its own SAP general ledger and separate invoices received from APA which are entered into the general ledger.  Further, all information provided to the AER in the regulatory templates is also reconciled back to AGN Limited’s SAP general ledger.</w:t>
      </w:r>
    </w:p>
    <w:p w14:paraId="29F61593" w14:textId="77777777" w:rsidR="002040DB" w:rsidRDefault="002040DB">
      <w:pPr>
        <w:rPr>
          <w:rFonts w:ascii="Tahoma" w:eastAsiaTheme="majorEastAsia" w:hAnsi="Tahoma" w:cs="Tahoma"/>
          <w:b/>
          <w:color w:val="003C71"/>
          <w:sz w:val="32"/>
          <w:szCs w:val="32"/>
        </w:rPr>
      </w:pPr>
      <w:bookmarkStart w:id="69" w:name="_Toc49878416"/>
      <w:r>
        <w:rPr>
          <w:rFonts w:ascii="Tahoma" w:eastAsiaTheme="majorEastAsia" w:hAnsi="Tahoma" w:cs="Tahoma"/>
          <w:b/>
          <w:color w:val="003C71"/>
          <w:sz w:val="32"/>
          <w:szCs w:val="32"/>
        </w:rPr>
        <w:br w:type="page"/>
      </w:r>
    </w:p>
    <w:p w14:paraId="03C84AB0" w14:textId="479E963A" w:rsidR="00B06747" w:rsidRPr="00443597" w:rsidRDefault="00B06747" w:rsidP="00B06747">
      <w:pPr>
        <w:keepNext/>
        <w:keepLines/>
        <w:spacing w:before="240" w:after="0"/>
        <w:outlineLvl w:val="0"/>
        <w:rPr>
          <w:rFonts w:ascii="Tahoma" w:eastAsiaTheme="majorEastAsia" w:hAnsi="Tahoma" w:cs="Tahoma"/>
          <w:b/>
          <w:color w:val="003C71"/>
          <w:sz w:val="32"/>
          <w:szCs w:val="32"/>
        </w:rPr>
      </w:pPr>
      <w:bookmarkStart w:id="70" w:name="_Toc57314107"/>
      <w:r w:rsidRPr="00443597">
        <w:rPr>
          <w:rFonts w:ascii="Tahoma" w:eastAsiaTheme="majorEastAsia" w:hAnsi="Tahoma" w:cs="Tahoma"/>
          <w:b/>
          <w:color w:val="003C71"/>
          <w:sz w:val="32"/>
          <w:szCs w:val="32"/>
        </w:rPr>
        <w:lastRenderedPageBreak/>
        <w:t>Appendix C: Overhead Expenditure</w:t>
      </w:r>
      <w:bookmarkEnd w:id="67"/>
      <w:bookmarkEnd w:id="69"/>
      <w:bookmarkEnd w:id="70"/>
    </w:p>
    <w:p w14:paraId="4F38F562" w14:textId="3D768CAD" w:rsidR="00B06747" w:rsidRPr="002040DB" w:rsidRDefault="00B06747" w:rsidP="00B06747">
      <w:pPr>
        <w:rPr>
          <w:rFonts w:ascii="Tahoma" w:hAnsi="Tahoma" w:cs="Tahoma"/>
          <w:i/>
          <w:sz w:val="21"/>
          <w:szCs w:val="21"/>
        </w:rPr>
      </w:pPr>
      <w:r w:rsidRPr="002040DB">
        <w:rPr>
          <w:rFonts w:ascii="Tahoma" w:hAnsi="Tahoma" w:cs="Tahoma"/>
          <w:i/>
          <w:sz w:val="21"/>
          <w:szCs w:val="21"/>
        </w:rPr>
        <w:t xml:space="preserve">The following description of AGN Limited’s </w:t>
      </w:r>
      <w:r w:rsidR="008139DB">
        <w:rPr>
          <w:rFonts w:ascii="Tahoma" w:hAnsi="Tahoma" w:cs="Tahoma"/>
          <w:i/>
          <w:sz w:val="21"/>
          <w:szCs w:val="21"/>
        </w:rPr>
        <w:t xml:space="preserve">network </w:t>
      </w:r>
      <w:r w:rsidRPr="002040DB">
        <w:rPr>
          <w:rFonts w:ascii="Tahoma" w:hAnsi="Tahoma" w:cs="Tahoma"/>
          <w:i/>
          <w:sz w:val="21"/>
          <w:szCs w:val="21"/>
        </w:rPr>
        <w:t xml:space="preserve">overhead expenditure as it relates to capital expenditure reporting in the regulatory templates, applies to the information previously reported to the AER (e.g. </w:t>
      </w:r>
      <w:r w:rsidR="008313A9" w:rsidRPr="002040DB">
        <w:rPr>
          <w:rFonts w:ascii="Tahoma" w:hAnsi="Tahoma" w:cs="Tahoma"/>
          <w:i/>
          <w:sz w:val="21"/>
          <w:szCs w:val="21"/>
        </w:rPr>
        <w:t>the recently submitted AA RIN (for the next AA period)</w:t>
      </w:r>
      <w:r w:rsidR="00FD359E">
        <w:rPr>
          <w:rFonts w:ascii="Tahoma" w:hAnsi="Tahoma" w:cs="Tahoma"/>
          <w:i/>
          <w:sz w:val="21"/>
          <w:szCs w:val="21"/>
        </w:rPr>
        <w:t xml:space="preserve"> and</w:t>
      </w:r>
      <w:r w:rsidR="008139DB">
        <w:rPr>
          <w:rFonts w:ascii="Tahoma" w:hAnsi="Tahoma" w:cs="Tahoma"/>
          <w:i/>
          <w:sz w:val="21"/>
          <w:szCs w:val="21"/>
        </w:rPr>
        <w:t xml:space="preserve"> the recently submitted Annual RIN</w:t>
      </w:r>
      <w:r w:rsidRPr="002040DB">
        <w:rPr>
          <w:rFonts w:ascii="Tahoma" w:hAnsi="Tahoma" w:cs="Tahoma"/>
          <w:i/>
          <w:sz w:val="21"/>
          <w:szCs w:val="21"/>
        </w:rPr>
        <w:t>)</w:t>
      </w:r>
      <w:r w:rsidR="008139DB">
        <w:rPr>
          <w:rFonts w:ascii="Tahoma" w:hAnsi="Tahoma" w:cs="Tahoma"/>
          <w:i/>
          <w:sz w:val="21"/>
          <w:szCs w:val="21"/>
        </w:rPr>
        <w:t xml:space="preserve"> and to financial information now being reported for 2019/20</w:t>
      </w:r>
      <w:r w:rsidRPr="002040DB">
        <w:rPr>
          <w:rFonts w:ascii="Tahoma" w:hAnsi="Tahoma" w:cs="Tahoma"/>
          <w:i/>
          <w:sz w:val="21"/>
          <w:szCs w:val="21"/>
        </w:rPr>
        <w:t xml:space="preserve">. </w:t>
      </w:r>
    </w:p>
    <w:p w14:paraId="572A8053" w14:textId="77777777" w:rsidR="00B06747" w:rsidRPr="002040DB" w:rsidRDefault="00B06747" w:rsidP="00B06747">
      <w:pPr>
        <w:rPr>
          <w:rFonts w:ascii="Tahoma" w:hAnsi="Tahoma" w:cs="Tahoma"/>
          <w:b/>
          <w:sz w:val="21"/>
          <w:szCs w:val="21"/>
          <w:u w:val="single"/>
        </w:rPr>
      </w:pPr>
      <w:r w:rsidRPr="002040DB">
        <w:rPr>
          <w:rFonts w:ascii="Tahoma" w:hAnsi="Tahoma" w:cs="Tahoma"/>
          <w:b/>
          <w:sz w:val="21"/>
          <w:szCs w:val="21"/>
          <w:u w:val="single"/>
        </w:rPr>
        <w:t>Background</w:t>
      </w:r>
    </w:p>
    <w:p w14:paraId="1489D42F" w14:textId="75A73EA3" w:rsidR="00B06747" w:rsidRPr="002040DB" w:rsidRDefault="00B06747" w:rsidP="00B06747">
      <w:pPr>
        <w:rPr>
          <w:rFonts w:ascii="Tahoma" w:hAnsi="Tahoma" w:cs="Tahoma"/>
          <w:sz w:val="21"/>
          <w:szCs w:val="21"/>
        </w:rPr>
      </w:pPr>
      <w:r w:rsidRPr="002040DB">
        <w:rPr>
          <w:rFonts w:ascii="Tahoma" w:hAnsi="Tahoma" w:cs="Tahoma"/>
          <w:sz w:val="21"/>
          <w:szCs w:val="21"/>
        </w:rPr>
        <w:t xml:space="preserve">When AGN Limited was known as Envestra Limited (Envestra), the operation and management of its distribution network, including delivery of its capital program, was out-sourced to APA Asset Management (APA).  This agreement (the ‘OMA’) commenced on 2 July 2007 and has continued since that time, including through Envestra’s change of ownership which led to its re-branding as “Australian Gas Networks” in October 2014.  The OMA provides for APA to recover all of its costs in delivering services to AGN Limited including a share of its business support and </w:t>
      </w:r>
      <w:r w:rsidR="00B80751" w:rsidRPr="002040DB">
        <w:rPr>
          <w:rFonts w:ascii="Tahoma" w:hAnsi="Tahoma" w:cs="Tahoma"/>
          <w:sz w:val="21"/>
          <w:szCs w:val="21"/>
        </w:rPr>
        <w:t xml:space="preserve">network </w:t>
      </w:r>
      <w:r w:rsidRPr="002040DB">
        <w:rPr>
          <w:rFonts w:ascii="Tahoma" w:hAnsi="Tahoma" w:cs="Tahoma"/>
          <w:sz w:val="21"/>
          <w:szCs w:val="21"/>
        </w:rPr>
        <w:t xml:space="preserve">overheads.  </w:t>
      </w:r>
    </w:p>
    <w:p w14:paraId="069DD55C" w14:textId="78A1DD8E" w:rsidR="00B06747" w:rsidRPr="002040DB" w:rsidRDefault="00B80751" w:rsidP="00B06747">
      <w:pPr>
        <w:rPr>
          <w:rFonts w:ascii="Tahoma" w:hAnsi="Tahoma" w:cs="Tahoma"/>
          <w:b/>
          <w:sz w:val="21"/>
          <w:szCs w:val="21"/>
          <w:u w:val="single"/>
        </w:rPr>
      </w:pPr>
      <w:r w:rsidRPr="002040DB">
        <w:rPr>
          <w:rFonts w:ascii="Tahoma" w:hAnsi="Tahoma" w:cs="Tahoma"/>
          <w:b/>
          <w:sz w:val="21"/>
          <w:szCs w:val="21"/>
          <w:u w:val="single"/>
        </w:rPr>
        <w:t>Network o</w:t>
      </w:r>
      <w:r w:rsidR="00B06747" w:rsidRPr="002040DB">
        <w:rPr>
          <w:rFonts w:ascii="Tahoma" w:hAnsi="Tahoma" w:cs="Tahoma"/>
          <w:b/>
          <w:sz w:val="21"/>
          <w:szCs w:val="21"/>
          <w:u w:val="single"/>
        </w:rPr>
        <w:t>verheads allocated to capital expenditure</w:t>
      </w:r>
    </w:p>
    <w:p w14:paraId="700EEC6E" w14:textId="62F75B20" w:rsidR="00B06747" w:rsidRPr="002040DB" w:rsidRDefault="00B06747" w:rsidP="00B06747">
      <w:pPr>
        <w:rPr>
          <w:rFonts w:ascii="Tahoma" w:hAnsi="Tahoma" w:cs="Tahoma"/>
          <w:sz w:val="21"/>
          <w:szCs w:val="21"/>
        </w:rPr>
      </w:pPr>
      <w:r w:rsidRPr="002040DB">
        <w:rPr>
          <w:rFonts w:ascii="Tahoma" w:hAnsi="Tahoma" w:cs="Tahoma"/>
          <w:sz w:val="21"/>
          <w:szCs w:val="21"/>
        </w:rPr>
        <w:t xml:space="preserve">Expenditure by AGN Limited under the above mentioned OMA, includes a proportion of APA’s business support and overhead costs which are identified through reporting mechanisms outlined below.  A proportion of these </w:t>
      </w:r>
      <w:r w:rsidR="008139DB">
        <w:rPr>
          <w:rFonts w:ascii="Tahoma" w:hAnsi="Tahoma" w:cs="Tahoma"/>
          <w:sz w:val="21"/>
          <w:szCs w:val="21"/>
        </w:rPr>
        <w:t xml:space="preserve">network </w:t>
      </w:r>
      <w:r w:rsidRPr="002040DB">
        <w:rPr>
          <w:rFonts w:ascii="Tahoma" w:hAnsi="Tahoma" w:cs="Tahoma"/>
          <w:sz w:val="21"/>
          <w:szCs w:val="21"/>
        </w:rPr>
        <w:t xml:space="preserve">overhead costs are capitalised by AGN Limited consistent with the AGN Limited Cost Allocation Methodology (CAM) </w:t>
      </w:r>
      <w:r w:rsidR="001C573E">
        <w:rPr>
          <w:rFonts w:ascii="Tahoma" w:hAnsi="Tahoma" w:cs="Tahoma"/>
          <w:sz w:val="21"/>
          <w:szCs w:val="21"/>
        </w:rPr>
        <w:t xml:space="preserve">previously </w:t>
      </w:r>
      <w:r w:rsidRPr="002040DB">
        <w:rPr>
          <w:rFonts w:ascii="Tahoma" w:hAnsi="Tahoma" w:cs="Tahoma"/>
          <w:sz w:val="21"/>
          <w:szCs w:val="21"/>
        </w:rPr>
        <w:t xml:space="preserve">provided with the </w:t>
      </w:r>
      <w:r w:rsidR="001C573E">
        <w:rPr>
          <w:rFonts w:ascii="Tahoma" w:hAnsi="Tahoma" w:cs="Tahoma"/>
          <w:sz w:val="21"/>
          <w:szCs w:val="21"/>
        </w:rPr>
        <w:t>recently submitted Annual RIN</w:t>
      </w:r>
      <w:r w:rsidR="00C94D6F">
        <w:rPr>
          <w:rFonts w:ascii="Tahoma" w:hAnsi="Tahoma" w:cs="Tahoma"/>
          <w:sz w:val="21"/>
          <w:szCs w:val="21"/>
        </w:rPr>
        <w:t xml:space="preserve"> (Historical Performance Data)</w:t>
      </w:r>
      <w:r w:rsidRPr="002040DB">
        <w:rPr>
          <w:rFonts w:ascii="Tahoma" w:hAnsi="Tahoma" w:cs="Tahoma"/>
          <w:sz w:val="21"/>
          <w:szCs w:val="21"/>
        </w:rPr>
        <w:t>.</w:t>
      </w:r>
    </w:p>
    <w:p w14:paraId="07913924" w14:textId="060215CB" w:rsidR="00B06747" w:rsidRPr="002040DB" w:rsidRDefault="00B06747" w:rsidP="00B06747">
      <w:pPr>
        <w:rPr>
          <w:rFonts w:ascii="Tahoma" w:hAnsi="Tahoma" w:cs="Tahoma"/>
          <w:sz w:val="21"/>
          <w:szCs w:val="21"/>
        </w:rPr>
      </w:pPr>
      <w:r w:rsidRPr="002040DB">
        <w:rPr>
          <w:rFonts w:ascii="Tahoma" w:hAnsi="Tahoma" w:cs="Tahoma"/>
          <w:sz w:val="21"/>
          <w:szCs w:val="21"/>
        </w:rPr>
        <w:t xml:space="preserve">Other than the </w:t>
      </w:r>
      <w:r w:rsidR="008139DB">
        <w:rPr>
          <w:rFonts w:ascii="Tahoma" w:hAnsi="Tahoma" w:cs="Tahoma"/>
          <w:sz w:val="21"/>
          <w:szCs w:val="21"/>
        </w:rPr>
        <w:t xml:space="preserve">network </w:t>
      </w:r>
      <w:r w:rsidRPr="002040DB">
        <w:rPr>
          <w:rFonts w:ascii="Tahoma" w:hAnsi="Tahoma" w:cs="Tahoma"/>
          <w:sz w:val="21"/>
          <w:szCs w:val="21"/>
        </w:rPr>
        <w:t xml:space="preserve">overhead costs charged by APA as the principal capital delivery contractor, AGN Limited does not capitalise any of its internal </w:t>
      </w:r>
      <w:r w:rsidR="00B80751" w:rsidRPr="002040DB">
        <w:rPr>
          <w:rFonts w:ascii="Tahoma" w:hAnsi="Tahoma" w:cs="Tahoma"/>
          <w:sz w:val="21"/>
          <w:szCs w:val="21"/>
        </w:rPr>
        <w:t>expenditure</w:t>
      </w:r>
      <w:r w:rsidRPr="002040DB">
        <w:rPr>
          <w:rFonts w:ascii="Tahoma" w:hAnsi="Tahoma" w:cs="Tahoma"/>
          <w:sz w:val="21"/>
          <w:szCs w:val="21"/>
        </w:rPr>
        <w:t xml:space="preserve"> in accordance with AGN Limited’s Regulatory Accounting Principles and Policies document and Capitalisation Policy</w:t>
      </w:r>
      <w:r w:rsidR="00DA0D9B">
        <w:rPr>
          <w:rFonts w:ascii="Tahoma" w:hAnsi="Tahoma" w:cs="Tahoma"/>
          <w:sz w:val="21"/>
          <w:szCs w:val="21"/>
        </w:rPr>
        <w:t>, unless it can be specifically linked to a capital activity (e.g. a corporate IT project)</w:t>
      </w:r>
      <w:r w:rsidRPr="002040DB">
        <w:rPr>
          <w:rFonts w:ascii="Tahoma" w:hAnsi="Tahoma" w:cs="Tahoma"/>
          <w:sz w:val="21"/>
          <w:szCs w:val="21"/>
        </w:rPr>
        <w:t>.</w:t>
      </w:r>
      <w:r w:rsidR="00DA0D9B">
        <w:rPr>
          <w:rFonts w:ascii="Tahoma" w:hAnsi="Tahoma" w:cs="Tahoma"/>
          <w:sz w:val="21"/>
          <w:szCs w:val="21"/>
        </w:rPr>
        <w:t xml:space="preserve">  In which case those costs are directly </w:t>
      </w:r>
      <w:r w:rsidR="00750874">
        <w:rPr>
          <w:rFonts w:ascii="Tahoma" w:hAnsi="Tahoma" w:cs="Tahoma"/>
          <w:sz w:val="21"/>
          <w:szCs w:val="21"/>
        </w:rPr>
        <w:t>attributed to the relevant Capex project</w:t>
      </w:r>
      <w:r w:rsidR="00DA0D9B">
        <w:rPr>
          <w:rFonts w:ascii="Tahoma" w:hAnsi="Tahoma" w:cs="Tahoma"/>
          <w:sz w:val="21"/>
          <w:szCs w:val="21"/>
        </w:rPr>
        <w:t>.</w:t>
      </w:r>
      <w:r w:rsidR="001C573E">
        <w:rPr>
          <w:rFonts w:ascii="Tahoma" w:hAnsi="Tahoma" w:cs="Tahoma"/>
          <w:sz w:val="21"/>
          <w:szCs w:val="21"/>
        </w:rPr>
        <w:t xml:space="preserve">  </w:t>
      </w:r>
      <w:r w:rsidR="001C573E" w:rsidRPr="00FD3BFF">
        <w:rPr>
          <w:rFonts w:ascii="Tahoma" w:hAnsi="Tahoma" w:cs="Tahoma"/>
          <w:sz w:val="21"/>
          <w:szCs w:val="21"/>
        </w:rPr>
        <w:t xml:space="preserve">As set out in the supplementary information provided </w:t>
      </w:r>
      <w:r w:rsidR="00FD3BFF" w:rsidRPr="00FD3BFF">
        <w:rPr>
          <w:rFonts w:ascii="Tahoma" w:hAnsi="Tahoma" w:cs="Tahoma"/>
          <w:sz w:val="21"/>
          <w:szCs w:val="21"/>
        </w:rPr>
        <w:t xml:space="preserve">in Appendix H of </w:t>
      </w:r>
      <w:r w:rsidR="001C573E" w:rsidRPr="00FD3BFF">
        <w:rPr>
          <w:rFonts w:ascii="Tahoma" w:hAnsi="Tahoma" w:cs="Tahoma"/>
          <w:sz w:val="21"/>
          <w:szCs w:val="21"/>
        </w:rPr>
        <w:t xml:space="preserve">this </w:t>
      </w:r>
      <w:r w:rsidR="00FD3BFF" w:rsidRPr="00FD3BFF">
        <w:rPr>
          <w:rFonts w:ascii="Tahoma" w:hAnsi="Tahoma" w:cs="Tahoma"/>
          <w:sz w:val="21"/>
          <w:szCs w:val="21"/>
        </w:rPr>
        <w:t>Basis of Preparation document</w:t>
      </w:r>
      <w:r w:rsidR="001C573E" w:rsidRPr="00FD3BFF">
        <w:rPr>
          <w:rFonts w:ascii="Tahoma" w:hAnsi="Tahoma" w:cs="Tahoma"/>
          <w:sz w:val="21"/>
          <w:szCs w:val="21"/>
        </w:rPr>
        <w:t xml:space="preserve"> (related to the Regulatory Accounting Principles and Policies document), from 2019/20 AGN Limited has identified specific personnel working on corporate IT projects and has commenced capitalising the labour costs for those personnel as explained in the supplementary material.</w:t>
      </w:r>
      <w:r w:rsidR="001C573E">
        <w:rPr>
          <w:rFonts w:ascii="Tahoma" w:hAnsi="Tahoma" w:cs="Tahoma"/>
          <w:sz w:val="21"/>
          <w:szCs w:val="21"/>
        </w:rPr>
        <w:t xml:space="preserve">  </w:t>
      </w:r>
    </w:p>
    <w:p w14:paraId="6949D33F" w14:textId="01449CBE" w:rsidR="00B06747" w:rsidRPr="002040DB" w:rsidRDefault="00B06747" w:rsidP="00B06747">
      <w:pPr>
        <w:rPr>
          <w:rFonts w:ascii="Tahoma" w:hAnsi="Tahoma" w:cs="Tahoma"/>
          <w:sz w:val="21"/>
          <w:szCs w:val="21"/>
        </w:rPr>
      </w:pPr>
      <w:r w:rsidRPr="002040DB">
        <w:rPr>
          <w:rFonts w:ascii="Tahoma" w:hAnsi="Tahoma" w:cs="Tahoma"/>
          <w:sz w:val="21"/>
          <w:szCs w:val="21"/>
        </w:rPr>
        <w:t xml:space="preserve">The processes applied by APA in capturing, allocating and reporting its relevant </w:t>
      </w:r>
      <w:r w:rsidR="008139DB">
        <w:rPr>
          <w:rFonts w:ascii="Tahoma" w:hAnsi="Tahoma" w:cs="Tahoma"/>
          <w:sz w:val="21"/>
          <w:szCs w:val="21"/>
        </w:rPr>
        <w:t xml:space="preserve">network </w:t>
      </w:r>
      <w:r w:rsidRPr="002040DB">
        <w:rPr>
          <w:rFonts w:ascii="Tahoma" w:hAnsi="Tahoma" w:cs="Tahoma"/>
          <w:sz w:val="21"/>
          <w:szCs w:val="21"/>
        </w:rPr>
        <w:t xml:space="preserve">overhead costs, is outlined in detail within the AGN Limited CAM and in Appendix A of this Basis of Preparation document.  </w:t>
      </w:r>
    </w:p>
    <w:p w14:paraId="503A086E" w14:textId="35955196" w:rsidR="00B06747" w:rsidRPr="002040DB" w:rsidRDefault="00B06747" w:rsidP="00B06747">
      <w:pPr>
        <w:rPr>
          <w:rFonts w:ascii="Tahoma" w:hAnsi="Tahoma" w:cs="Tahoma"/>
          <w:sz w:val="21"/>
          <w:szCs w:val="21"/>
        </w:rPr>
      </w:pPr>
      <w:r w:rsidRPr="002040DB">
        <w:rPr>
          <w:rFonts w:ascii="Tahoma" w:hAnsi="Tahoma" w:cs="Tahoma"/>
          <w:sz w:val="21"/>
          <w:szCs w:val="21"/>
        </w:rPr>
        <w:t xml:space="preserve">APA’s business systems and associated processes facilitate the allocation of </w:t>
      </w:r>
      <w:r w:rsidR="00B80751" w:rsidRPr="002040DB">
        <w:rPr>
          <w:rFonts w:ascii="Tahoma" w:hAnsi="Tahoma" w:cs="Tahoma"/>
          <w:sz w:val="21"/>
          <w:szCs w:val="21"/>
        </w:rPr>
        <w:t xml:space="preserve">network </w:t>
      </w:r>
      <w:r w:rsidRPr="002040DB">
        <w:rPr>
          <w:rFonts w:ascii="Tahoma" w:hAnsi="Tahoma" w:cs="Tahoma"/>
          <w:sz w:val="21"/>
          <w:szCs w:val="21"/>
        </w:rPr>
        <w:t xml:space="preserve">overheads to each of the separate regulated and unregulated gas pipelines owned by AGN Limited.  Further, these </w:t>
      </w:r>
      <w:r w:rsidR="00B80751" w:rsidRPr="002040DB">
        <w:rPr>
          <w:rFonts w:ascii="Tahoma" w:hAnsi="Tahoma" w:cs="Tahoma"/>
          <w:sz w:val="21"/>
          <w:szCs w:val="21"/>
        </w:rPr>
        <w:t xml:space="preserve">network </w:t>
      </w:r>
      <w:r w:rsidRPr="002040DB">
        <w:rPr>
          <w:rFonts w:ascii="Tahoma" w:hAnsi="Tahoma" w:cs="Tahoma"/>
          <w:sz w:val="21"/>
          <w:szCs w:val="21"/>
        </w:rPr>
        <w:t>overheads are also able to be allocated to the various categories and sub-categories of capital expenditure, using functionality and master data identifiers within those business systems.</w:t>
      </w:r>
    </w:p>
    <w:p w14:paraId="5D62370E" w14:textId="6B959B64" w:rsidR="00B06747" w:rsidRPr="002040DB" w:rsidRDefault="00B06747" w:rsidP="00B06747">
      <w:pPr>
        <w:rPr>
          <w:rFonts w:ascii="Tahoma" w:hAnsi="Tahoma" w:cs="Tahoma"/>
          <w:sz w:val="21"/>
          <w:szCs w:val="21"/>
        </w:rPr>
      </w:pPr>
      <w:r w:rsidRPr="002040DB">
        <w:rPr>
          <w:rFonts w:ascii="Tahoma" w:hAnsi="Tahoma" w:cs="Tahoma"/>
          <w:sz w:val="21"/>
          <w:szCs w:val="21"/>
        </w:rPr>
        <w:t xml:space="preserve">A key process in allocating APA’s </w:t>
      </w:r>
      <w:r w:rsidR="00B80751" w:rsidRPr="002040DB">
        <w:rPr>
          <w:rFonts w:ascii="Tahoma" w:hAnsi="Tahoma" w:cs="Tahoma"/>
          <w:sz w:val="21"/>
          <w:szCs w:val="21"/>
        </w:rPr>
        <w:t xml:space="preserve">network </w:t>
      </w:r>
      <w:r w:rsidRPr="002040DB">
        <w:rPr>
          <w:rFonts w:ascii="Tahoma" w:hAnsi="Tahoma" w:cs="Tahoma"/>
          <w:sz w:val="21"/>
          <w:szCs w:val="21"/>
        </w:rPr>
        <w:t xml:space="preserve">overheads is the production of the ‘Ring Fenced Accounts’ (RFAs) which are explained in Appendices A and B of this Basis of Preparation document.  The RFAs provide the financial data to AGN Limited about APA’s relevant </w:t>
      </w:r>
      <w:r w:rsidR="00B80751" w:rsidRPr="002040DB">
        <w:rPr>
          <w:rFonts w:ascii="Tahoma" w:hAnsi="Tahoma" w:cs="Tahoma"/>
          <w:sz w:val="21"/>
          <w:szCs w:val="21"/>
        </w:rPr>
        <w:t xml:space="preserve">network </w:t>
      </w:r>
      <w:r w:rsidRPr="002040DB">
        <w:rPr>
          <w:rFonts w:ascii="Tahoma" w:hAnsi="Tahoma" w:cs="Tahoma"/>
          <w:sz w:val="21"/>
          <w:szCs w:val="21"/>
        </w:rPr>
        <w:t xml:space="preserve">overheads that have been allocated across each of the regulated and unregulated gas pipelines owned by AGN Limited.  The RFAs report capital expenditure inclusive of </w:t>
      </w:r>
      <w:r w:rsidRPr="002040DB">
        <w:rPr>
          <w:rFonts w:ascii="Tahoma" w:hAnsi="Tahoma" w:cs="Tahoma"/>
          <w:sz w:val="21"/>
          <w:szCs w:val="21"/>
        </w:rPr>
        <w:lastRenderedPageBreak/>
        <w:t xml:space="preserve">allocated </w:t>
      </w:r>
      <w:r w:rsidR="00B80751" w:rsidRPr="002040DB">
        <w:rPr>
          <w:rFonts w:ascii="Tahoma" w:hAnsi="Tahoma" w:cs="Tahoma"/>
          <w:sz w:val="21"/>
          <w:szCs w:val="21"/>
        </w:rPr>
        <w:t xml:space="preserve">network </w:t>
      </w:r>
      <w:r w:rsidRPr="002040DB">
        <w:rPr>
          <w:rFonts w:ascii="Tahoma" w:hAnsi="Tahoma" w:cs="Tahoma"/>
          <w:sz w:val="21"/>
          <w:szCs w:val="21"/>
        </w:rPr>
        <w:t>overheads (e.g. embedded within each category of capex)</w:t>
      </w:r>
      <w:r w:rsidR="00641334">
        <w:rPr>
          <w:rFonts w:ascii="Tahoma" w:hAnsi="Tahoma" w:cs="Tahoma"/>
          <w:sz w:val="21"/>
          <w:szCs w:val="21"/>
        </w:rPr>
        <w:t>.</w:t>
      </w:r>
      <w:r w:rsidRPr="002040DB">
        <w:rPr>
          <w:rFonts w:ascii="Tahoma" w:hAnsi="Tahoma" w:cs="Tahoma"/>
          <w:sz w:val="21"/>
          <w:szCs w:val="21"/>
        </w:rPr>
        <w:t xml:space="preserve"> </w:t>
      </w:r>
      <w:r w:rsidR="00641334">
        <w:rPr>
          <w:rFonts w:ascii="Tahoma" w:hAnsi="Tahoma" w:cs="Tahoma"/>
          <w:sz w:val="21"/>
          <w:szCs w:val="21"/>
        </w:rPr>
        <w:t>AGN Limited is able to determine the</w:t>
      </w:r>
      <w:r w:rsidR="00641334" w:rsidRPr="002040DB">
        <w:rPr>
          <w:rFonts w:ascii="Tahoma" w:hAnsi="Tahoma" w:cs="Tahoma"/>
          <w:sz w:val="21"/>
          <w:szCs w:val="21"/>
        </w:rPr>
        <w:t xml:space="preserve"> </w:t>
      </w:r>
      <w:r w:rsidRPr="002040DB">
        <w:rPr>
          <w:rFonts w:ascii="Tahoma" w:hAnsi="Tahoma" w:cs="Tahoma"/>
          <w:sz w:val="21"/>
          <w:szCs w:val="21"/>
        </w:rPr>
        <w:t xml:space="preserve">amount of </w:t>
      </w:r>
      <w:r w:rsidR="00B80751" w:rsidRPr="002040DB">
        <w:rPr>
          <w:rFonts w:ascii="Tahoma" w:hAnsi="Tahoma" w:cs="Tahoma"/>
          <w:sz w:val="21"/>
          <w:szCs w:val="21"/>
        </w:rPr>
        <w:t xml:space="preserve">network </w:t>
      </w:r>
      <w:r w:rsidRPr="002040DB">
        <w:rPr>
          <w:rFonts w:ascii="Tahoma" w:hAnsi="Tahoma" w:cs="Tahoma"/>
          <w:sz w:val="21"/>
          <w:szCs w:val="21"/>
        </w:rPr>
        <w:t>overheads that have been capitalised in each business zone</w:t>
      </w:r>
      <w:r w:rsidR="00641334">
        <w:rPr>
          <w:rFonts w:ascii="Tahoma" w:hAnsi="Tahoma" w:cs="Tahoma"/>
          <w:sz w:val="21"/>
          <w:szCs w:val="21"/>
        </w:rPr>
        <w:t>, given 35% of the total network overheads are reported as Opex in the separate operating expenditure reporting provided by APA as part of the RFAs</w:t>
      </w:r>
      <w:r w:rsidR="00623EF8">
        <w:rPr>
          <w:rFonts w:ascii="Tahoma" w:hAnsi="Tahoma" w:cs="Tahoma"/>
          <w:sz w:val="21"/>
          <w:szCs w:val="21"/>
        </w:rPr>
        <w:t xml:space="preserve"> (i.e. the balance of 65% is therefore capitalised by APA)</w:t>
      </w:r>
      <w:r w:rsidRPr="002040DB">
        <w:rPr>
          <w:rFonts w:ascii="Tahoma" w:hAnsi="Tahoma" w:cs="Tahoma"/>
          <w:sz w:val="21"/>
          <w:szCs w:val="21"/>
        </w:rPr>
        <w:t>.</w:t>
      </w:r>
    </w:p>
    <w:p w14:paraId="1BE6FEC9" w14:textId="493EA4D9" w:rsidR="00B06747" w:rsidRPr="002040DB" w:rsidRDefault="00B06747" w:rsidP="00B06747">
      <w:pPr>
        <w:rPr>
          <w:rFonts w:ascii="Tahoma" w:hAnsi="Tahoma" w:cs="Tahoma"/>
          <w:sz w:val="21"/>
          <w:szCs w:val="21"/>
        </w:rPr>
      </w:pPr>
      <w:r w:rsidRPr="002040DB">
        <w:rPr>
          <w:rFonts w:ascii="Tahoma" w:hAnsi="Tahoma" w:cs="Tahoma"/>
          <w:sz w:val="21"/>
          <w:szCs w:val="21"/>
        </w:rPr>
        <w:t xml:space="preserve">There are two levels of </w:t>
      </w:r>
      <w:r w:rsidR="00B80751" w:rsidRPr="002040DB">
        <w:rPr>
          <w:rFonts w:ascii="Tahoma" w:hAnsi="Tahoma" w:cs="Tahoma"/>
          <w:sz w:val="21"/>
          <w:szCs w:val="21"/>
        </w:rPr>
        <w:t xml:space="preserve">network </w:t>
      </w:r>
      <w:r w:rsidRPr="002040DB">
        <w:rPr>
          <w:rFonts w:ascii="Tahoma" w:hAnsi="Tahoma" w:cs="Tahoma"/>
          <w:sz w:val="21"/>
          <w:szCs w:val="21"/>
        </w:rPr>
        <w:t xml:space="preserve">overheads charged by APA that is capitalised by AGN Limited.  Those being ‘state based’ </w:t>
      </w:r>
      <w:r w:rsidR="00B80751" w:rsidRPr="002040DB">
        <w:rPr>
          <w:rFonts w:ascii="Tahoma" w:hAnsi="Tahoma" w:cs="Tahoma"/>
          <w:sz w:val="21"/>
          <w:szCs w:val="21"/>
        </w:rPr>
        <w:t xml:space="preserve">network </w:t>
      </w:r>
      <w:r w:rsidRPr="002040DB">
        <w:rPr>
          <w:rFonts w:ascii="Tahoma" w:hAnsi="Tahoma" w:cs="Tahoma"/>
          <w:sz w:val="21"/>
          <w:szCs w:val="21"/>
        </w:rPr>
        <w:t xml:space="preserve">overheads and ‘national based’ </w:t>
      </w:r>
      <w:r w:rsidR="00B80751" w:rsidRPr="002040DB">
        <w:rPr>
          <w:rFonts w:ascii="Tahoma" w:hAnsi="Tahoma" w:cs="Tahoma"/>
          <w:sz w:val="21"/>
          <w:szCs w:val="21"/>
        </w:rPr>
        <w:t xml:space="preserve">network </w:t>
      </w:r>
      <w:r w:rsidRPr="002040DB">
        <w:rPr>
          <w:rFonts w:ascii="Tahoma" w:hAnsi="Tahoma" w:cs="Tahoma"/>
          <w:sz w:val="21"/>
          <w:szCs w:val="21"/>
        </w:rPr>
        <w:t xml:space="preserve">overheads.  Each level of </w:t>
      </w:r>
      <w:r w:rsidR="00B80751" w:rsidRPr="002040DB">
        <w:rPr>
          <w:rFonts w:ascii="Tahoma" w:hAnsi="Tahoma" w:cs="Tahoma"/>
          <w:sz w:val="21"/>
          <w:szCs w:val="21"/>
        </w:rPr>
        <w:t xml:space="preserve">network </w:t>
      </w:r>
      <w:r w:rsidRPr="002040DB">
        <w:rPr>
          <w:rFonts w:ascii="Tahoma" w:hAnsi="Tahoma" w:cs="Tahoma"/>
          <w:sz w:val="21"/>
          <w:szCs w:val="21"/>
        </w:rPr>
        <w:t xml:space="preserve">overheads is identified and captured in separate ‘cost pools’. </w:t>
      </w:r>
    </w:p>
    <w:p w14:paraId="07C931AD" w14:textId="728156AD" w:rsidR="00B06747" w:rsidRPr="002040DB" w:rsidRDefault="00B06747" w:rsidP="00B06747">
      <w:pPr>
        <w:rPr>
          <w:rFonts w:ascii="Tahoma" w:hAnsi="Tahoma" w:cs="Tahoma"/>
          <w:sz w:val="21"/>
          <w:szCs w:val="21"/>
        </w:rPr>
      </w:pPr>
      <w:r w:rsidRPr="002040DB">
        <w:rPr>
          <w:rFonts w:ascii="Tahoma" w:hAnsi="Tahoma" w:cs="Tahoma"/>
          <w:sz w:val="21"/>
          <w:szCs w:val="21"/>
        </w:rPr>
        <w:t xml:space="preserve">The amount of APA’s </w:t>
      </w:r>
      <w:r w:rsidR="00B80751" w:rsidRPr="002040DB">
        <w:rPr>
          <w:rFonts w:ascii="Tahoma" w:hAnsi="Tahoma" w:cs="Tahoma"/>
          <w:sz w:val="21"/>
          <w:szCs w:val="21"/>
        </w:rPr>
        <w:t xml:space="preserve">network </w:t>
      </w:r>
      <w:r w:rsidRPr="002040DB">
        <w:rPr>
          <w:rFonts w:ascii="Tahoma" w:hAnsi="Tahoma" w:cs="Tahoma"/>
          <w:sz w:val="21"/>
          <w:szCs w:val="21"/>
        </w:rPr>
        <w:t>overheads that is capitalised is initially determined by dividing the total annual budgeted overhead cost pool (relating to capital delivery services provided to AGN Limited) into the total budgeted capital expenditure to be delivered on behalf of AGN Limited.</w:t>
      </w:r>
    </w:p>
    <w:p w14:paraId="4C83665B" w14:textId="68E26719" w:rsidR="00B06747" w:rsidRPr="002040DB" w:rsidRDefault="00B06747" w:rsidP="00B06747">
      <w:pPr>
        <w:rPr>
          <w:rFonts w:ascii="Tahoma" w:hAnsi="Tahoma" w:cs="Tahoma"/>
          <w:sz w:val="21"/>
          <w:szCs w:val="21"/>
        </w:rPr>
      </w:pPr>
      <w:r w:rsidRPr="002040DB">
        <w:rPr>
          <w:rFonts w:ascii="Tahoma" w:hAnsi="Tahoma" w:cs="Tahoma"/>
          <w:sz w:val="21"/>
          <w:szCs w:val="21"/>
        </w:rPr>
        <w:t xml:space="preserve">The portion of APA’s </w:t>
      </w:r>
      <w:r w:rsidR="00B80751" w:rsidRPr="002040DB">
        <w:rPr>
          <w:rFonts w:ascii="Tahoma" w:hAnsi="Tahoma" w:cs="Tahoma"/>
          <w:sz w:val="21"/>
          <w:szCs w:val="21"/>
        </w:rPr>
        <w:t xml:space="preserve">network </w:t>
      </w:r>
      <w:r w:rsidRPr="002040DB">
        <w:rPr>
          <w:rFonts w:ascii="Tahoma" w:hAnsi="Tahoma" w:cs="Tahoma"/>
          <w:sz w:val="21"/>
          <w:szCs w:val="21"/>
        </w:rPr>
        <w:t xml:space="preserve">overheads to be capitalised is allocated to the various categories and sub-categories of capital expenditure based on the level of spend in each category and applied as a percentage rate.  There is a separate rate for each state, based on the level of ‘state based’ </w:t>
      </w:r>
      <w:r w:rsidR="00B80751" w:rsidRPr="002040DB">
        <w:rPr>
          <w:rFonts w:ascii="Tahoma" w:hAnsi="Tahoma" w:cs="Tahoma"/>
          <w:sz w:val="21"/>
          <w:szCs w:val="21"/>
        </w:rPr>
        <w:t xml:space="preserve">network </w:t>
      </w:r>
      <w:r w:rsidRPr="002040DB">
        <w:rPr>
          <w:rFonts w:ascii="Tahoma" w:hAnsi="Tahoma" w:cs="Tahoma"/>
          <w:sz w:val="21"/>
          <w:szCs w:val="21"/>
        </w:rPr>
        <w:t xml:space="preserve">overheads in each state.  There is another common rate for applying ‘national based’ </w:t>
      </w:r>
      <w:r w:rsidR="00B80751" w:rsidRPr="002040DB">
        <w:rPr>
          <w:rFonts w:ascii="Tahoma" w:hAnsi="Tahoma" w:cs="Tahoma"/>
          <w:sz w:val="21"/>
          <w:szCs w:val="21"/>
        </w:rPr>
        <w:t xml:space="preserve">network </w:t>
      </w:r>
      <w:r w:rsidRPr="002040DB">
        <w:rPr>
          <w:rFonts w:ascii="Tahoma" w:hAnsi="Tahoma" w:cs="Tahoma"/>
          <w:sz w:val="21"/>
          <w:szCs w:val="21"/>
        </w:rPr>
        <w:t>overheads consistently across all states, based on the level of expenditure.</w:t>
      </w:r>
    </w:p>
    <w:p w14:paraId="67FA86D9" w14:textId="2994678A" w:rsidR="00B06747" w:rsidRPr="002040DB" w:rsidRDefault="00B06747" w:rsidP="00B06747">
      <w:pPr>
        <w:rPr>
          <w:rFonts w:ascii="Tahoma" w:hAnsi="Tahoma" w:cs="Tahoma"/>
          <w:sz w:val="21"/>
          <w:szCs w:val="21"/>
        </w:rPr>
      </w:pPr>
      <w:r w:rsidRPr="002040DB">
        <w:rPr>
          <w:rFonts w:ascii="Tahoma" w:hAnsi="Tahoma" w:cs="Tahoma"/>
          <w:sz w:val="21"/>
          <w:szCs w:val="21"/>
        </w:rPr>
        <w:t xml:space="preserve">APA utilises suspense accounts to capture all actual overhead costs in its general ledger and the amount of </w:t>
      </w:r>
      <w:r w:rsidR="00B80751" w:rsidRPr="002040DB">
        <w:rPr>
          <w:rFonts w:ascii="Tahoma" w:hAnsi="Tahoma" w:cs="Tahoma"/>
          <w:sz w:val="21"/>
          <w:szCs w:val="21"/>
        </w:rPr>
        <w:t xml:space="preserve">network </w:t>
      </w:r>
      <w:r w:rsidRPr="002040DB">
        <w:rPr>
          <w:rFonts w:ascii="Tahoma" w:hAnsi="Tahoma" w:cs="Tahoma"/>
          <w:sz w:val="21"/>
          <w:szCs w:val="21"/>
        </w:rPr>
        <w:t>overheads capitalised during the year by applying the standard percentage rates.  At any time the balance of the suspense account represents the difference between the actual overhead cost pool expenditure and the amounts applied to capital expenditure each month which are based on the budgeted percentage rates. Each year APA performs a ‘true-up’ process that reconciles actual overhead costs to the budgeted amounts and any necessary reconciliation adjustments are made in the year-end accounts.</w:t>
      </w:r>
    </w:p>
    <w:p w14:paraId="11143237" w14:textId="275DBAAA" w:rsidR="00B06747" w:rsidRPr="002040DB" w:rsidRDefault="00B06747" w:rsidP="00B06747">
      <w:pPr>
        <w:rPr>
          <w:rFonts w:ascii="Tahoma" w:hAnsi="Tahoma" w:cs="Tahoma"/>
          <w:sz w:val="21"/>
          <w:szCs w:val="21"/>
        </w:rPr>
      </w:pPr>
      <w:r w:rsidRPr="002040DB">
        <w:rPr>
          <w:rFonts w:ascii="Tahoma" w:hAnsi="Tahoma" w:cs="Tahoma"/>
          <w:sz w:val="21"/>
          <w:szCs w:val="21"/>
        </w:rPr>
        <w:t xml:space="preserve">The </w:t>
      </w:r>
      <w:r w:rsidR="00B80751" w:rsidRPr="002040DB">
        <w:rPr>
          <w:rFonts w:ascii="Tahoma" w:hAnsi="Tahoma" w:cs="Tahoma"/>
          <w:sz w:val="21"/>
          <w:szCs w:val="21"/>
        </w:rPr>
        <w:t xml:space="preserve">network </w:t>
      </w:r>
      <w:r w:rsidRPr="002040DB">
        <w:rPr>
          <w:rFonts w:ascii="Tahoma" w:hAnsi="Tahoma" w:cs="Tahoma"/>
          <w:sz w:val="21"/>
          <w:szCs w:val="21"/>
        </w:rPr>
        <w:t>overheads that are capitalised are allocated to AGN Limited’s regulatory business zones (states) in which the capital project or activity is assigned to.  Capital projects and activities are generally only assigned to one regulatory business zone, with the exception of non-network related national IT projects which are allocated to each zone (state) based on customer numbers (excluding non-material small pipelines).</w:t>
      </w:r>
    </w:p>
    <w:p w14:paraId="3E7A2FE4" w14:textId="77777777" w:rsidR="0052786D" w:rsidRDefault="0052786D">
      <w:pPr>
        <w:rPr>
          <w:rFonts w:ascii="Tahoma" w:eastAsiaTheme="majorEastAsia" w:hAnsi="Tahoma" w:cs="Tahoma"/>
          <w:b/>
          <w:color w:val="003C71"/>
          <w:sz w:val="32"/>
          <w:szCs w:val="32"/>
        </w:rPr>
      </w:pPr>
      <w:bookmarkStart w:id="71" w:name="_Toc44428883"/>
      <w:bookmarkStart w:id="72" w:name="_Toc49878417"/>
      <w:r>
        <w:rPr>
          <w:rFonts w:ascii="Tahoma" w:eastAsiaTheme="majorEastAsia" w:hAnsi="Tahoma" w:cs="Tahoma"/>
          <w:b/>
          <w:color w:val="003C71"/>
          <w:sz w:val="32"/>
          <w:szCs w:val="32"/>
        </w:rPr>
        <w:br w:type="page"/>
      </w:r>
    </w:p>
    <w:p w14:paraId="7FF1954E" w14:textId="0B36557C" w:rsidR="00B06747" w:rsidRPr="00443597" w:rsidRDefault="00B06747" w:rsidP="00B06747">
      <w:pPr>
        <w:keepNext/>
        <w:keepLines/>
        <w:spacing w:before="240" w:after="0"/>
        <w:outlineLvl w:val="0"/>
        <w:rPr>
          <w:rFonts w:ascii="Tahoma" w:eastAsiaTheme="majorEastAsia" w:hAnsi="Tahoma" w:cs="Tahoma"/>
          <w:b/>
          <w:color w:val="003C71"/>
          <w:sz w:val="32"/>
          <w:szCs w:val="32"/>
        </w:rPr>
      </w:pPr>
      <w:bookmarkStart w:id="73" w:name="_Toc57314108"/>
      <w:r w:rsidRPr="00443597">
        <w:rPr>
          <w:rFonts w:ascii="Tahoma" w:eastAsiaTheme="majorEastAsia" w:hAnsi="Tahoma" w:cs="Tahoma"/>
          <w:b/>
          <w:color w:val="003C71"/>
          <w:sz w:val="32"/>
          <w:szCs w:val="32"/>
        </w:rPr>
        <w:lastRenderedPageBreak/>
        <w:t>Appendix D: Related Party Transactions and Margins</w:t>
      </w:r>
      <w:bookmarkEnd w:id="71"/>
      <w:bookmarkEnd w:id="72"/>
      <w:bookmarkEnd w:id="73"/>
    </w:p>
    <w:p w14:paraId="355F6FE6" w14:textId="77777777" w:rsidR="00441F10" w:rsidRDefault="00441F10" w:rsidP="00B06747">
      <w:pPr>
        <w:rPr>
          <w:rFonts w:ascii="Tahoma" w:hAnsi="Tahoma" w:cs="Tahoma"/>
          <w:b/>
          <w:sz w:val="21"/>
          <w:szCs w:val="21"/>
          <w:u w:val="single"/>
        </w:rPr>
      </w:pPr>
    </w:p>
    <w:p w14:paraId="48BEF01B" w14:textId="5FD6253D" w:rsidR="00B06747" w:rsidRPr="002040DB" w:rsidRDefault="00B06747" w:rsidP="00B06747">
      <w:pPr>
        <w:rPr>
          <w:rFonts w:ascii="Tahoma" w:hAnsi="Tahoma" w:cs="Tahoma"/>
          <w:b/>
          <w:sz w:val="21"/>
          <w:szCs w:val="21"/>
          <w:u w:val="single"/>
        </w:rPr>
      </w:pPr>
      <w:r w:rsidRPr="002040DB">
        <w:rPr>
          <w:rFonts w:ascii="Tahoma" w:hAnsi="Tahoma" w:cs="Tahoma"/>
          <w:b/>
          <w:sz w:val="21"/>
          <w:szCs w:val="21"/>
          <w:u w:val="single"/>
        </w:rPr>
        <w:t>Background</w:t>
      </w:r>
    </w:p>
    <w:p w14:paraId="600E25C1" w14:textId="77777777" w:rsidR="00B06747" w:rsidRPr="002040DB" w:rsidRDefault="00B06747" w:rsidP="00B06747">
      <w:pPr>
        <w:rPr>
          <w:rFonts w:ascii="Tahoma" w:hAnsi="Tahoma" w:cs="Tahoma"/>
          <w:sz w:val="21"/>
          <w:szCs w:val="21"/>
        </w:rPr>
      </w:pPr>
      <w:r w:rsidRPr="002040DB">
        <w:rPr>
          <w:rFonts w:ascii="Tahoma" w:hAnsi="Tahoma" w:cs="Tahoma"/>
          <w:sz w:val="21"/>
          <w:szCs w:val="21"/>
        </w:rPr>
        <w:t xml:space="preserve">When AGN Limited was known as Envestra Limited (Envestra), the operation and management of its distribution network, including delivery of its capital program, was out-sourced to APA Asset Management (APA).  This agreement (the ‘OMA’) commenced on 2 July 2007 and has continued since that time, including through Envestra’s change of ownership which led to its re-branding as “Australian Gas Networks” in October 2014.  </w:t>
      </w:r>
    </w:p>
    <w:p w14:paraId="19CB572D" w14:textId="77777777" w:rsidR="00B06747" w:rsidRPr="002040DB" w:rsidRDefault="00B06747" w:rsidP="00B06747">
      <w:pPr>
        <w:rPr>
          <w:rFonts w:ascii="Tahoma" w:hAnsi="Tahoma" w:cs="Tahoma"/>
          <w:sz w:val="21"/>
          <w:szCs w:val="21"/>
        </w:rPr>
      </w:pPr>
      <w:r w:rsidRPr="002040DB">
        <w:rPr>
          <w:rFonts w:ascii="Tahoma" w:hAnsi="Tahoma" w:cs="Tahoma"/>
          <w:sz w:val="21"/>
          <w:szCs w:val="21"/>
        </w:rPr>
        <w:t xml:space="preserve">The OMA is an arms-length arrangement, which provides for APA to recover its direct and indirect costs in delivering the services to AGN Limited, and for the payment of a Network Management Fee (NMF) which represents APA’s margin.  The NMF is calculated using a formula that is based upon a percentage of AGN Limited’s revenue in each regulated and unregulated business zone. </w:t>
      </w:r>
    </w:p>
    <w:p w14:paraId="28DC08B4" w14:textId="77777777" w:rsidR="00B06747" w:rsidRPr="002040DB" w:rsidRDefault="00B06747" w:rsidP="00B06747">
      <w:pPr>
        <w:rPr>
          <w:rFonts w:ascii="Tahoma" w:hAnsi="Tahoma" w:cs="Tahoma"/>
          <w:sz w:val="21"/>
          <w:szCs w:val="21"/>
        </w:rPr>
      </w:pPr>
      <w:r w:rsidRPr="002040DB">
        <w:rPr>
          <w:rFonts w:ascii="Tahoma" w:hAnsi="Tahoma" w:cs="Tahoma"/>
          <w:sz w:val="21"/>
          <w:szCs w:val="21"/>
        </w:rPr>
        <w:t>Until the current owner of AGN Limited acquired the business on 29 August 2014, through the purchase of all the issued shares in Envestra Limited, the APA Group was a significant shareholder in Envestra, owning 33% of the company.  This meant that until this date, APA Asset Management which is an entity within the APA Group, satisfied the definition of a related party.</w:t>
      </w:r>
    </w:p>
    <w:p w14:paraId="1C46B371" w14:textId="00544B91" w:rsidR="00B06747" w:rsidRDefault="00B06747" w:rsidP="00B06747">
      <w:pPr>
        <w:rPr>
          <w:rFonts w:ascii="Tahoma" w:hAnsi="Tahoma" w:cs="Tahoma"/>
          <w:sz w:val="21"/>
          <w:szCs w:val="21"/>
        </w:rPr>
      </w:pPr>
      <w:r w:rsidRPr="002040DB">
        <w:rPr>
          <w:rFonts w:ascii="Tahoma" w:hAnsi="Tahoma" w:cs="Tahoma"/>
          <w:sz w:val="21"/>
          <w:szCs w:val="21"/>
        </w:rPr>
        <w:t xml:space="preserve">Accordingly, payments by AGN Limited to APA for the period </w:t>
      </w:r>
      <w:r w:rsidR="0014075B">
        <w:rPr>
          <w:rFonts w:ascii="Tahoma" w:hAnsi="Tahoma" w:cs="Tahoma"/>
          <w:sz w:val="21"/>
          <w:szCs w:val="21"/>
        </w:rPr>
        <w:t>up</w:t>
      </w:r>
      <w:r w:rsidR="0068321D" w:rsidRPr="002040DB">
        <w:rPr>
          <w:rFonts w:ascii="Tahoma" w:hAnsi="Tahoma" w:cs="Tahoma"/>
          <w:sz w:val="21"/>
          <w:szCs w:val="21"/>
        </w:rPr>
        <w:t xml:space="preserve"> </w:t>
      </w:r>
      <w:r w:rsidRPr="002040DB">
        <w:rPr>
          <w:rFonts w:ascii="Tahoma" w:hAnsi="Tahoma" w:cs="Tahoma"/>
          <w:sz w:val="21"/>
          <w:szCs w:val="21"/>
        </w:rPr>
        <w:t xml:space="preserve">to </w:t>
      </w:r>
      <w:r w:rsidR="0014075B">
        <w:rPr>
          <w:rFonts w:ascii="Tahoma" w:hAnsi="Tahoma" w:cs="Tahoma"/>
          <w:sz w:val="21"/>
          <w:szCs w:val="21"/>
        </w:rPr>
        <w:t xml:space="preserve">and including </w:t>
      </w:r>
      <w:r w:rsidRPr="002040DB">
        <w:rPr>
          <w:rFonts w:ascii="Tahoma" w:hAnsi="Tahoma" w:cs="Tahoma"/>
          <w:sz w:val="21"/>
          <w:szCs w:val="21"/>
        </w:rPr>
        <w:t xml:space="preserve">29 August 2014 </w:t>
      </w:r>
      <w:r w:rsidR="0014075B">
        <w:rPr>
          <w:rFonts w:ascii="Tahoma" w:hAnsi="Tahoma" w:cs="Tahoma"/>
          <w:sz w:val="21"/>
          <w:szCs w:val="21"/>
        </w:rPr>
        <w:t>were</w:t>
      </w:r>
      <w:r w:rsidR="0014075B" w:rsidRPr="002040DB">
        <w:rPr>
          <w:rFonts w:ascii="Tahoma" w:hAnsi="Tahoma" w:cs="Tahoma"/>
          <w:sz w:val="21"/>
          <w:szCs w:val="21"/>
        </w:rPr>
        <w:t xml:space="preserve"> </w:t>
      </w:r>
      <w:r w:rsidRPr="002040DB">
        <w:rPr>
          <w:rFonts w:ascii="Tahoma" w:hAnsi="Tahoma" w:cs="Tahoma"/>
          <w:sz w:val="21"/>
          <w:szCs w:val="21"/>
        </w:rPr>
        <w:t xml:space="preserve">recognised as related party transactions in the information </w:t>
      </w:r>
      <w:r w:rsidR="0014075B">
        <w:rPr>
          <w:rFonts w:ascii="Tahoma" w:hAnsi="Tahoma" w:cs="Tahoma"/>
          <w:sz w:val="21"/>
          <w:szCs w:val="21"/>
        </w:rPr>
        <w:t xml:space="preserve">previously </w:t>
      </w:r>
      <w:r w:rsidRPr="002040DB">
        <w:rPr>
          <w:rFonts w:ascii="Tahoma" w:hAnsi="Tahoma" w:cs="Tahoma"/>
          <w:sz w:val="21"/>
          <w:szCs w:val="21"/>
        </w:rPr>
        <w:t xml:space="preserve">provided within the AER regulatory templates.  For simplicity, this </w:t>
      </w:r>
      <w:r w:rsidR="0014075B">
        <w:rPr>
          <w:rFonts w:ascii="Tahoma" w:hAnsi="Tahoma" w:cs="Tahoma"/>
          <w:sz w:val="21"/>
          <w:szCs w:val="21"/>
        </w:rPr>
        <w:t>was</w:t>
      </w:r>
      <w:r w:rsidRPr="002040DB">
        <w:rPr>
          <w:rFonts w:ascii="Tahoma" w:hAnsi="Tahoma" w:cs="Tahoma"/>
          <w:sz w:val="21"/>
          <w:szCs w:val="21"/>
        </w:rPr>
        <w:t xml:space="preserve"> calculated on a pro-rata basis as two twelfths of the total payments to APA in 2014-15.  Further, the NMF </w:t>
      </w:r>
      <w:r w:rsidR="0068321D" w:rsidRPr="002040DB">
        <w:rPr>
          <w:rFonts w:ascii="Tahoma" w:hAnsi="Tahoma" w:cs="Tahoma"/>
          <w:sz w:val="21"/>
          <w:szCs w:val="21"/>
        </w:rPr>
        <w:t xml:space="preserve">and Incentive Fee </w:t>
      </w:r>
      <w:r w:rsidR="009D4D90" w:rsidRPr="002040DB">
        <w:rPr>
          <w:rFonts w:ascii="Tahoma" w:hAnsi="Tahoma" w:cs="Tahoma"/>
          <w:sz w:val="21"/>
          <w:szCs w:val="21"/>
        </w:rPr>
        <w:t xml:space="preserve">(when applicable) </w:t>
      </w:r>
      <w:r w:rsidRPr="002040DB">
        <w:rPr>
          <w:rFonts w:ascii="Tahoma" w:hAnsi="Tahoma" w:cs="Tahoma"/>
          <w:sz w:val="21"/>
          <w:szCs w:val="21"/>
        </w:rPr>
        <w:t xml:space="preserve">paid to APA </w:t>
      </w:r>
      <w:r w:rsidR="0044039D">
        <w:rPr>
          <w:rFonts w:ascii="Tahoma" w:hAnsi="Tahoma" w:cs="Tahoma"/>
          <w:sz w:val="21"/>
          <w:szCs w:val="21"/>
        </w:rPr>
        <w:t>over</w:t>
      </w:r>
      <w:r w:rsidRPr="002040DB">
        <w:rPr>
          <w:rFonts w:ascii="Tahoma" w:hAnsi="Tahoma" w:cs="Tahoma"/>
          <w:sz w:val="21"/>
          <w:szCs w:val="21"/>
        </w:rPr>
        <w:t xml:space="preserve"> the same period, </w:t>
      </w:r>
      <w:r w:rsidR="0014075B">
        <w:rPr>
          <w:rFonts w:ascii="Tahoma" w:hAnsi="Tahoma" w:cs="Tahoma"/>
          <w:sz w:val="21"/>
          <w:szCs w:val="21"/>
        </w:rPr>
        <w:t xml:space="preserve">was </w:t>
      </w:r>
      <w:r w:rsidRPr="002040DB">
        <w:rPr>
          <w:rFonts w:ascii="Tahoma" w:hAnsi="Tahoma" w:cs="Tahoma"/>
          <w:sz w:val="21"/>
          <w:szCs w:val="21"/>
        </w:rPr>
        <w:t>recognised as related party margin expenditure in the information provided within the AER regulatory templates.</w:t>
      </w:r>
    </w:p>
    <w:p w14:paraId="030601CD" w14:textId="0C74E205" w:rsidR="0014075B" w:rsidRPr="002040DB" w:rsidRDefault="0014075B" w:rsidP="00B06747">
      <w:pPr>
        <w:rPr>
          <w:rFonts w:ascii="Tahoma" w:hAnsi="Tahoma" w:cs="Tahoma"/>
          <w:sz w:val="21"/>
          <w:szCs w:val="21"/>
        </w:rPr>
      </w:pPr>
      <w:r>
        <w:rPr>
          <w:rFonts w:ascii="Tahoma" w:hAnsi="Tahoma" w:cs="Tahoma"/>
          <w:sz w:val="21"/>
          <w:szCs w:val="21"/>
        </w:rPr>
        <w:t xml:space="preserve">Since the above mentioned change in ownership on 29 August 2014, AGN Limited </w:t>
      </w:r>
      <w:r w:rsidR="003D014B">
        <w:rPr>
          <w:rFonts w:ascii="Tahoma" w:hAnsi="Tahoma" w:cs="Tahoma"/>
          <w:sz w:val="21"/>
          <w:szCs w:val="21"/>
        </w:rPr>
        <w:t>has no related party transaction</w:t>
      </w:r>
      <w:r w:rsidR="00AD28AD">
        <w:rPr>
          <w:rFonts w:ascii="Tahoma" w:hAnsi="Tahoma" w:cs="Tahoma"/>
          <w:sz w:val="21"/>
          <w:szCs w:val="21"/>
        </w:rPr>
        <w:t>s</w:t>
      </w:r>
      <w:r w:rsidR="003D014B">
        <w:rPr>
          <w:rFonts w:ascii="Tahoma" w:hAnsi="Tahoma" w:cs="Tahoma"/>
          <w:sz w:val="21"/>
          <w:szCs w:val="21"/>
        </w:rPr>
        <w:t xml:space="preserve"> </w:t>
      </w:r>
      <w:r w:rsidR="00AD28AD">
        <w:rPr>
          <w:rFonts w:ascii="Tahoma" w:hAnsi="Tahoma" w:cs="Tahoma"/>
          <w:sz w:val="21"/>
          <w:szCs w:val="21"/>
        </w:rPr>
        <w:t>and</w:t>
      </w:r>
      <w:r w:rsidR="003D014B">
        <w:rPr>
          <w:rFonts w:ascii="Tahoma" w:hAnsi="Tahoma" w:cs="Tahoma"/>
          <w:sz w:val="21"/>
          <w:szCs w:val="21"/>
        </w:rPr>
        <w:t xml:space="preserve"> related party margin expenditure to report in the AER regulatory templates.</w:t>
      </w:r>
    </w:p>
    <w:p w14:paraId="0D8161EE" w14:textId="77777777" w:rsidR="0052786D" w:rsidRDefault="0052786D">
      <w:pPr>
        <w:rPr>
          <w:rFonts w:ascii="Tahoma" w:eastAsiaTheme="majorEastAsia" w:hAnsi="Tahoma" w:cs="Tahoma"/>
          <w:b/>
          <w:color w:val="003C71"/>
          <w:sz w:val="32"/>
          <w:szCs w:val="32"/>
        </w:rPr>
      </w:pPr>
      <w:bookmarkStart w:id="74" w:name="_Toc44428884"/>
      <w:bookmarkStart w:id="75" w:name="_Toc49878418"/>
      <w:r>
        <w:rPr>
          <w:rFonts w:ascii="Tahoma" w:eastAsiaTheme="majorEastAsia" w:hAnsi="Tahoma" w:cs="Tahoma"/>
          <w:b/>
          <w:color w:val="003C71"/>
          <w:sz w:val="32"/>
          <w:szCs w:val="32"/>
        </w:rPr>
        <w:br w:type="page"/>
      </w:r>
    </w:p>
    <w:p w14:paraId="38154840" w14:textId="18A85995" w:rsidR="00B06747" w:rsidRPr="00443597" w:rsidRDefault="00B06747" w:rsidP="00B06747">
      <w:pPr>
        <w:keepNext/>
        <w:keepLines/>
        <w:spacing w:before="240" w:after="0"/>
        <w:outlineLvl w:val="0"/>
        <w:rPr>
          <w:rFonts w:ascii="Tahoma" w:eastAsiaTheme="majorEastAsia" w:hAnsi="Tahoma" w:cs="Tahoma"/>
          <w:b/>
          <w:color w:val="003C71"/>
          <w:sz w:val="32"/>
          <w:szCs w:val="32"/>
        </w:rPr>
      </w:pPr>
      <w:bookmarkStart w:id="76" w:name="_Toc57314109"/>
      <w:r w:rsidRPr="00443597">
        <w:rPr>
          <w:rFonts w:ascii="Tahoma" w:eastAsiaTheme="majorEastAsia" w:hAnsi="Tahoma" w:cs="Tahoma"/>
          <w:b/>
          <w:color w:val="003C71"/>
          <w:sz w:val="32"/>
          <w:szCs w:val="32"/>
        </w:rPr>
        <w:lastRenderedPageBreak/>
        <w:t>Appendix E: Regulatory accounting policy and other adjustments</w:t>
      </w:r>
      <w:bookmarkEnd w:id="74"/>
      <w:bookmarkEnd w:id="75"/>
      <w:bookmarkEnd w:id="76"/>
    </w:p>
    <w:p w14:paraId="41CFA450" w14:textId="77777777" w:rsidR="00441F10" w:rsidRDefault="00441F10" w:rsidP="00B06747">
      <w:pPr>
        <w:rPr>
          <w:rFonts w:ascii="Tahoma" w:hAnsi="Tahoma" w:cs="Tahoma"/>
          <w:sz w:val="21"/>
          <w:szCs w:val="21"/>
        </w:rPr>
      </w:pPr>
    </w:p>
    <w:p w14:paraId="3DA15B9D" w14:textId="449FCEDC" w:rsidR="00B06747" w:rsidRPr="002040DB" w:rsidRDefault="00B06747" w:rsidP="00B06747">
      <w:pPr>
        <w:rPr>
          <w:rFonts w:ascii="Tahoma" w:hAnsi="Tahoma" w:cs="Tahoma"/>
          <w:sz w:val="21"/>
          <w:szCs w:val="21"/>
        </w:rPr>
      </w:pPr>
      <w:r w:rsidRPr="002040DB">
        <w:rPr>
          <w:rFonts w:ascii="Tahoma" w:hAnsi="Tahoma" w:cs="Tahoma"/>
          <w:sz w:val="21"/>
          <w:szCs w:val="21"/>
        </w:rPr>
        <w:t>The information set out below, describes the basis of preparation for expenditure reported in the AER regulatory templates, where adjustments were required in the working papers used to prepare the data, due to regulatory accounting principles and policies or any other reasons noted below.</w:t>
      </w:r>
    </w:p>
    <w:tbl>
      <w:tblPr>
        <w:tblStyle w:val="TableGrid1"/>
        <w:tblW w:w="0" w:type="auto"/>
        <w:tblLook w:val="04A0" w:firstRow="1" w:lastRow="0" w:firstColumn="1" w:lastColumn="0" w:noHBand="0" w:noVBand="1"/>
      </w:tblPr>
      <w:tblGrid>
        <w:gridCol w:w="2122"/>
        <w:gridCol w:w="2693"/>
        <w:gridCol w:w="9072"/>
      </w:tblGrid>
      <w:tr w:rsidR="00B06747" w:rsidRPr="002040DB" w14:paraId="2568592C" w14:textId="77777777" w:rsidTr="00B06747">
        <w:trPr>
          <w:trHeight w:val="541"/>
          <w:tblHeader/>
        </w:trPr>
        <w:tc>
          <w:tcPr>
            <w:tcW w:w="2122" w:type="dxa"/>
            <w:shd w:val="clear" w:color="auto" w:fill="1F4E79"/>
          </w:tcPr>
          <w:p w14:paraId="7244751E" w14:textId="77777777" w:rsidR="00B06747" w:rsidRPr="002040DB" w:rsidRDefault="00B06747" w:rsidP="00B06747">
            <w:pPr>
              <w:rPr>
                <w:rFonts w:ascii="Tahoma" w:eastAsia="Calibri" w:hAnsi="Tahoma" w:cs="Tahoma"/>
                <w:b/>
                <w:color w:val="FFFFFF"/>
                <w:sz w:val="20"/>
                <w:szCs w:val="20"/>
              </w:rPr>
            </w:pPr>
            <w:r w:rsidRPr="002040DB">
              <w:rPr>
                <w:rFonts w:ascii="Tahoma" w:eastAsia="Calibri" w:hAnsi="Tahoma" w:cs="Tahoma"/>
                <w:b/>
                <w:color w:val="FFFFFF"/>
                <w:sz w:val="20"/>
                <w:szCs w:val="20"/>
              </w:rPr>
              <w:t>Adjustment type</w:t>
            </w:r>
          </w:p>
        </w:tc>
        <w:tc>
          <w:tcPr>
            <w:tcW w:w="2693" w:type="dxa"/>
            <w:shd w:val="clear" w:color="auto" w:fill="1F4E79"/>
          </w:tcPr>
          <w:p w14:paraId="474DECFE" w14:textId="77777777" w:rsidR="00B06747" w:rsidRPr="002040DB" w:rsidRDefault="00B06747" w:rsidP="00B06747">
            <w:pPr>
              <w:rPr>
                <w:rFonts w:ascii="Tahoma" w:eastAsia="Calibri" w:hAnsi="Tahoma" w:cs="Tahoma"/>
                <w:b/>
                <w:color w:val="FFFFFF"/>
                <w:sz w:val="20"/>
                <w:szCs w:val="20"/>
              </w:rPr>
            </w:pPr>
            <w:r w:rsidRPr="002040DB">
              <w:rPr>
                <w:rFonts w:ascii="Tahoma" w:eastAsia="Calibri" w:hAnsi="Tahoma" w:cs="Tahoma"/>
                <w:b/>
                <w:color w:val="FFFFFF"/>
                <w:sz w:val="20"/>
                <w:szCs w:val="20"/>
              </w:rPr>
              <w:t>Purpose</w:t>
            </w:r>
          </w:p>
        </w:tc>
        <w:tc>
          <w:tcPr>
            <w:tcW w:w="9072" w:type="dxa"/>
            <w:shd w:val="clear" w:color="auto" w:fill="1F4E79"/>
          </w:tcPr>
          <w:p w14:paraId="1389B819" w14:textId="77777777" w:rsidR="00B06747" w:rsidRPr="002040DB" w:rsidRDefault="00B06747" w:rsidP="00B06747">
            <w:pPr>
              <w:rPr>
                <w:rFonts w:ascii="Tahoma" w:eastAsia="Calibri" w:hAnsi="Tahoma" w:cs="Tahoma"/>
                <w:b/>
                <w:color w:val="FFFFFF"/>
                <w:sz w:val="20"/>
                <w:szCs w:val="20"/>
              </w:rPr>
            </w:pPr>
            <w:r w:rsidRPr="002040DB">
              <w:rPr>
                <w:rFonts w:ascii="Tahoma" w:eastAsia="Calibri" w:hAnsi="Tahoma" w:cs="Tahoma"/>
                <w:b/>
                <w:color w:val="FFFFFF"/>
                <w:sz w:val="20"/>
                <w:szCs w:val="20"/>
              </w:rPr>
              <w:t>Notes for Basis of Preparation</w:t>
            </w:r>
          </w:p>
        </w:tc>
      </w:tr>
      <w:tr w:rsidR="00B06747" w:rsidRPr="002040DB" w14:paraId="5BDFA559" w14:textId="77777777" w:rsidTr="00B06747">
        <w:tc>
          <w:tcPr>
            <w:tcW w:w="2122" w:type="dxa"/>
          </w:tcPr>
          <w:p w14:paraId="37C0F626" w14:textId="10F42458" w:rsidR="00B06747" w:rsidRPr="002040DB" w:rsidRDefault="00B06747" w:rsidP="0052786D">
            <w:pPr>
              <w:rPr>
                <w:rFonts w:ascii="Tahoma" w:eastAsia="Calibri" w:hAnsi="Tahoma" w:cs="Tahoma"/>
                <w:b/>
                <w:sz w:val="20"/>
                <w:szCs w:val="20"/>
              </w:rPr>
            </w:pPr>
            <w:r w:rsidRPr="002040DB">
              <w:rPr>
                <w:rFonts w:ascii="Tahoma" w:eastAsia="Calibri" w:hAnsi="Tahoma" w:cs="Tahoma"/>
                <w:b/>
                <w:sz w:val="20"/>
                <w:szCs w:val="20"/>
              </w:rPr>
              <w:t>Network Management Fee</w:t>
            </w:r>
          </w:p>
        </w:tc>
        <w:tc>
          <w:tcPr>
            <w:tcW w:w="2693" w:type="dxa"/>
          </w:tcPr>
          <w:p w14:paraId="75F12423" w14:textId="3E6FFCF0" w:rsidR="00B06747" w:rsidRPr="002040DB" w:rsidRDefault="00B06747" w:rsidP="0052786D">
            <w:pPr>
              <w:rPr>
                <w:rFonts w:ascii="Tahoma" w:eastAsia="Calibri" w:hAnsi="Tahoma" w:cs="Tahoma"/>
                <w:sz w:val="20"/>
                <w:szCs w:val="20"/>
              </w:rPr>
            </w:pPr>
            <w:r w:rsidRPr="002040DB">
              <w:rPr>
                <w:rFonts w:ascii="Tahoma" w:eastAsia="Calibri" w:hAnsi="Tahoma" w:cs="Tahoma"/>
                <w:sz w:val="20"/>
                <w:szCs w:val="20"/>
              </w:rPr>
              <w:t>Regulatory accounting treatment is different to Statutory accounting</w:t>
            </w:r>
          </w:p>
        </w:tc>
        <w:tc>
          <w:tcPr>
            <w:tcW w:w="9072" w:type="dxa"/>
          </w:tcPr>
          <w:p w14:paraId="3F045AF0"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In accordance with the Regulatory Accounting Principles and Policies document, AGN Limited does not capitalise any of the Network Management Fee (NMF) paid to its capital delivery contractor, APA Asset Management (APA) under the network operations and management agreement (OMA).</w:t>
            </w:r>
          </w:p>
          <w:p w14:paraId="252170BF" w14:textId="77777777" w:rsidR="00B06747" w:rsidRPr="002040DB" w:rsidRDefault="00B06747" w:rsidP="00B06747">
            <w:pPr>
              <w:rPr>
                <w:rFonts w:ascii="Tahoma" w:eastAsia="Calibri" w:hAnsi="Tahoma" w:cs="Tahoma"/>
                <w:sz w:val="20"/>
                <w:szCs w:val="20"/>
              </w:rPr>
            </w:pPr>
          </w:p>
          <w:p w14:paraId="0EEF14C6" w14:textId="0BAE7573"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For Statutory Accounting purposes, 65% of the total NMF is capitalised and this amount is included in the gross Capex reporting received from APA (i.e. the Capex Data Model).  The NMF amount is not separately identified in this Capex reporting but forms part of the reported</w:t>
            </w:r>
            <w:r w:rsidR="00B80751" w:rsidRPr="002040DB">
              <w:rPr>
                <w:rFonts w:ascii="Tahoma" w:eastAsia="Calibri" w:hAnsi="Tahoma" w:cs="Tahoma"/>
                <w:sz w:val="20"/>
                <w:szCs w:val="20"/>
              </w:rPr>
              <w:t xml:space="preserve"> Network O</w:t>
            </w:r>
            <w:r w:rsidRPr="002040DB">
              <w:rPr>
                <w:rFonts w:ascii="Tahoma" w:eastAsia="Calibri" w:hAnsi="Tahoma" w:cs="Tahoma"/>
                <w:sz w:val="20"/>
                <w:szCs w:val="20"/>
              </w:rPr>
              <w:t>verheads that were capitalised by APA.</w:t>
            </w:r>
          </w:p>
          <w:p w14:paraId="04FCAB0D" w14:textId="77777777" w:rsidR="00B06747" w:rsidRPr="002040DB" w:rsidRDefault="00B06747" w:rsidP="00B06747">
            <w:pPr>
              <w:rPr>
                <w:rFonts w:ascii="Tahoma" w:eastAsia="Calibri" w:hAnsi="Tahoma" w:cs="Tahoma"/>
                <w:sz w:val="20"/>
                <w:szCs w:val="20"/>
              </w:rPr>
            </w:pPr>
          </w:p>
          <w:p w14:paraId="6C3AD142"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 xml:space="preserve">The total NMF paid to APA each year is confirmed against invoices received and other management reporting provided to AGN Limited by APA. </w:t>
            </w:r>
          </w:p>
          <w:p w14:paraId="277AD261" w14:textId="77777777" w:rsidR="00B06747" w:rsidRPr="002040DB" w:rsidRDefault="00B06747" w:rsidP="00B06747">
            <w:pPr>
              <w:rPr>
                <w:rFonts w:ascii="Tahoma" w:eastAsia="Calibri" w:hAnsi="Tahoma" w:cs="Tahoma"/>
                <w:sz w:val="20"/>
                <w:szCs w:val="20"/>
              </w:rPr>
            </w:pPr>
          </w:p>
          <w:p w14:paraId="2DE5A164"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 xml:space="preserve">The other 35% of the NMF appears in AGN Limited’s operating expenditure and is separately shown in Opex management reporting received from APA (i.e. the Ring Fenced Accounts which are explained in the Cost Allocation Methodology and Appendices A and B to this Basis of Preparation document). </w:t>
            </w:r>
          </w:p>
          <w:p w14:paraId="5D6D3E1C" w14:textId="77777777" w:rsidR="00B06747" w:rsidRPr="002040DB" w:rsidRDefault="00B06747" w:rsidP="00B06747">
            <w:pPr>
              <w:rPr>
                <w:rFonts w:ascii="Tahoma" w:eastAsia="Calibri" w:hAnsi="Tahoma" w:cs="Tahoma"/>
                <w:sz w:val="20"/>
                <w:szCs w:val="20"/>
              </w:rPr>
            </w:pPr>
          </w:p>
          <w:p w14:paraId="42F4AEA2"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 xml:space="preserve">To determine the adjustment required for regulatory Capex reporting, AGN Limited takes the Opex amount of NMF for each year and grosses it up, dividing the amount by 0.35 (e.g. $2.45m / 0.35 = $7m).  The result represents 100% of the NMF for that year (e.g. $7m).  </w:t>
            </w:r>
          </w:p>
          <w:p w14:paraId="3FDC5D5C" w14:textId="77777777" w:rsidR="00B06747" w:rsidRPr="002040DB" w:rsidRDefault="00B06747" w:rsidP="00B06747">
            <w:pPr>
              <w:rPr>
                <w:rFonts w:ascii="Tahoma" w:eastAsia="Calibri" w:hAnsi="Tahoma" w:cs="Tahoma"/>
                <w:sz w:val="20"/>
                <w:szCs w:val="20"/>
              </w:rPr>
            </w:pPr>
          </w:p>
          <w:p w14:paraId="03F66A77" w14:textId="3C8CAFDE"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 xml:space="preserve">This total is then multiplied by 0.65 to determine the amount that has been included in Capex reporting for that year as part of </w:t>
            </w:r>
            <w:r w:rsidR="0059188A" w:rsidRPr="002040DB">
              <w:rPr>
                <w:rFonts w:ascii="Tahoma" w:eastAsia="Calibri" w:hAnsi="Tahoma" w:cs="Tahoma"/>
                <w:sz w:val="20"/>
                <w:szCs w:val="20"/>
              </w:rPr>
              <w:t>N</w:t>
            </w:r>
            <w:r w:rsidR="00B80751" w:rsidRPr="002040DB">
              <w:rPr>
                <w:rFonts w:ascii="Tahoma" w:eastAsia="Calibri" w:hAnsi="Tahoma" w:cs="Tahoma"/>
                <w:sz w:val="20"/>
                <w:szCs w:val="20"/>
              </w:rPr>
              <w:t xml:space="preserve">etwork </w:t>
            </w:r>
            <w:r w:rsidRPr="002040DB">
              <w:rPr>
                <w:rFonts w:ascii="Tahoma" w:eastAsia="Calibri" w:hAnsi="Tahoma" w:cs="Tahoma"/>
                <w:sz w:val="20"/>
                <w:szCs w:val="20"/>
              </w:rPr>
              <w:t>Overheads reported by APA (e.g. $7m x 0.65 = $4.55m).</w:t>
            </w:r>
          </w:p>
          <w:p w14:paraId="1F5F1B1E" w14:textId="77777777" w:rsidR="00B06747" w:rsidRPr="002040DB" w:rsidRDefault="00B06747" w:rsidP="00B06747">
            <w:pPr>
              <w:rPr>
                <w:rFonts w:ascii="Tahoma" w:eastAsia="Calibri" w:hAnsi="Tahoma" w:cs="Tahoma"/>
                <w:sz w:val="20"/>
                <w:szCs w:val="20"/>
              </w:rPr>
            </w:pPr>
          </w:p>
          <w:p w14:paraId="1EA0171B" w14:textId="485983FC"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 xml:space="preserve">This total amount of NMF that has been capitalised for the year (e.g. $4.55m) is deducted from each Capex activity in proportion to the </w:t>
            </w:r>
            <w:r w:rsidR="0059188A" w:rsidRPr="002040DB">
              <w:rPr>
                <w:rFonts w:ascii="Tahoma" w:eastAsia="Calibri" w:hAnsi="Tahoma" w:cs="Tahoma"/>
                <w:sz w:val="20"/>
                <w:szCs w:val="20"/>
              </w:rPr>
              <w:t>N</w:t>
            </w:r>
            <w:r w:rsidR="00B80751" w:rsidRPr="002040DB">
              <w:rPr>
                <w:rFonts w:ascii="Tahoma" w:eastAsia="Calibri" w:hAnsi="Tahoma" w:cs="Tahoma"/>
                <w:sz w:val="20"/>
                <w:szCs w:val="20"/>
              </w:rPr>
              <w:t xml:space="preserve">etwork </w:t>
            </w:r>
            <w:r w:rsidRPr="002040DB">
              <w:rPr>
                <w:rFonts w:ascii="Tahoma" w:eastAsia="Calibri" w:hAnsi="Tahoma" w:cs="Tahoma"/>
                <w:sz w:val="20"/>
                <w:szCs w:val="20"/>
              </w:rPr>
              <w:t>Overheads that were capitalised in each activity.</w:t>
            </w:r>
          </w:p>
          <w:p w14:paraId="7EA32C0A" w14:textId="77777777" w:rsidR="00B06747" w:rsidRPr="002040DB" w:rsidRDefault="00B06747" w:rsidP="00B06747">
            <w:pPr>
              <w:rPr>
                <w:rFonts w:ascii="Tahoma" w:eastAsia="Calibri" w:hAnsi="Tahoma" w:cs="Tahoma"/>
                <w:sz w:val="20"/>
                <w:szCs w:val="20"/>
              </w:rPr>
            </w:pPr>
          </w:p>
          <w:p w14:paraId="54DD758A" w14:textId="63810472"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lastRenderedPageBreak/>
              <w:t xml:space="preserve">That is, the amount of </w:t>
            </w:r>
            <w:r w:rsidR="0059188A" w:rsidRPr="002040DB">
              <w:rPr>
                <w:rFonts w:ascii="Tahoma" w:eastAsia="Calibri" w:hAnsi="Tahoma" w:cs="Tahoma"/>
                <w:sz w:val="20"/>
                <w:szCs w:val="20"/>
              </w:rPr>
              <w:t>N</w:t>
            </w:r>
            <w:r w:rsidR="00B80751" w:rsidRPr="002040DB">
              <w:rPr>
                <w:rFonts w:ascii="Tahoma" w:eastAsia="Calibri" w:hAnsi="Tahoma" w:cs="Tahoma"/>
                <w:sz w:val="20"/>
                <w:szCs w:val="20"/>
              </w:rPr>
              <w:t xml:space="preserve">etwork </w:t>
            </w:r>
            <w:r w:rsidRPr="002040DB">
              <w:rPr>
                <w:rFonts w:ascii="Tahoma" w:eastAsia="Calibri" w:hAnsi="Tahoma" w:cs="Tahoma"/>
                <w:sz w:val="20"/>
                <w:szCs w:val="20"/>
              </w:rPr>
              <w:t xml:space="preserve">Overheads in each Capex activity, as a percentage of the total </w:t>
            </w:r>
            <w:r w:rsidR="0059188A" w:rsidRPr="002040DB">
              <w:rPr>
                <w:rFonts w:ascii="Tahoma" w:eastAsia="Calibri" w:hAnsi="Tahoma" w:cs="Tahoma"/>
                <w:sz w:val="20"/>
                <w:szCs w:val="20"/>
              </w:rPr>
              <w:t>N</w:t>
            </w:r>
            <w:r w:rsidR="00B80751" w:rsidRPr="002040DB">
              <w:rPr>
                <w:rFonts w:ascii="Tahoma" w:eastAsia="Calibri" w:hAnsi="Tahoma" w:cs="Tahoma"/>
                <w:sz w:val="20"/>
                <w:szCs w:val="20"/>
              </w:rPr>
              <w:t xml:space="preserve">etwork </w:t>
            </w:r>
            <w:r w:rsidRPr="002040DB">
              <w:rPr>
                <w:rFonts w:ascii="Tahoma" w:eastAsia="Calibri" w:hAnsi="Tahoma" w:cs="Tahoma"/>
                <w:sz w:val="20"/>
                <w:szCs w:val="20"/>
              </w:rPr>
              <w:t>Overheads capitalised in that year, determines the share of the NMF adjustment that is made to each Capex activity each year.</w:t>
            </w:r>
          </w:p>
          <w:p w14:paraId="4EF31D5A" w14:textId="77777777" w:rsidR="00B06747" w:rsidRPr="002040DB" w:rsidRDefault="00B06747" w:rsidP="00B06747">
            <w:pPr>
              <w:rPr>
                <w:rFonts w:ascii="Tahoma" w:eastAsia="Calibri" w:hAnsi="Tahoma" w:cs="Tahoma"/>
                <w:sz w:val="20"/>
                <w:szCs w:val="20"/>
              </w:rPr>
            </w:pPr>
          </w:p>
          <w:p w14:paraId="5FB9E6F3" w14:textId="428F05E0" w:rsidR="00B06747" w:rsidRPr="002040DB" w:rsidRDefault="00B06747" w:rsidP="00B06747">
            <w:pPr>
              <w:rPr>
                <w:rFonts w:ascii="Tahoma" w:eastAsia="Calibri" w:hAnsi="Tahoma" w:cs="Tahoma"/>
                <w:sz w:val="20"/>
                <w:szCs w:val="20"/>
                <w:u w:val="single"/>
              </w:rPr>
            </w:pPr>
            <w:r w:rsidRPr="002040DB">
              <w:rPr>
                <w:rFonts w:ascii="Tahoma" w:eastAsia="Calibri" w:hAnsi="Tahoma" w:cs="Tahoma"/>
                <w:sz w:val="20"/>
                <w:szCs w:val="20"/>
                <w:u w:val="single"/>
              </w:rPr>
              <w:t xml:space="preserve">Mapping to the </w:t>
            </w:r>
            <w:r w:rsidR="008214CA" w:rsidRPr="002040DB">
              <w:rPr>
                <w:rFonts w:ascii="Tahoma" w:eastAsia="Calibri" w:hAnsi="Tahoma" w:cs="Tahoma"/>
                <w:sz w:val="20"/>
                <w:szCs w:val="20"/>
                <w:u w:val="single"/>
              </w:rPr>
              <w:t>Annual RIN</w:t>
            </w:r>
            <w:r w:rsidRPr="002040DB">
              <w:rPr>
                <w:rFonts w:ascii="Tahoma" w:eastAsia="Calibri" w:hAnsi="Tahoma" w:cs="Tahoma"/>
                <w:sz w:val="20"/>
                <w:szCs w:val="20"/>
                <w:u w:val="single"/>
              </w:rPr>
              <w:t xml:space="preserve"> templates</w:t>
            </w:r>
          </w:p>
          <w:p w14:paraId="523F279D" w14:textId="293740C7" w:rsidR="00B06747" w:rsidRPr="002040DB" w:rsidRDefault="00B06747" w:rsidP="00823493">
            <w:pPr>
              <w:rPr>
                <w:rFonts w:ascii="Tahoma" w:eastAsia="Calibri" w:hAnsi="Tahoma" w:cs="Tahoma"/>
                <w:sz w:val="20"/>
                <w:szCs w:val="20"/>
              </w:rPr>
            </w:pPr>
            <w:r w:rsidRPr="002040DB">
              <w:rPr>
                <w:rFonts w:ascii="Tahoma" w:eastAsia="Calibri" w:hAnsi="Tahoma" w:cs="Tahoma"/>
                <w:sz w:val="20"/>
                <w:szCs w:val="20"/>
              </w:rPr>
              <w:t xml:space="preserve">Adjustments made to remove the NMF from Capex reporting impacts each Capex activity which has received an allocation of APA’s </w:t>
            </w:r>
            <w:r w:rsidR="0059188A" w:rsidRPr="002040DB">
              <w:rPr>
                <w:rFonts w:ascii="Tahoma" w:eastAsia="Calibri" w:hAnsi="Tahoma" w:cs="Tahoma"/>
                <w:sz w:val="20"/>
                <w:szCs w:val="20"/>
              </w:rPr>
              <w:t>N</w:t>
            </w:r>
            <w:r w:rsidRPr="002040DB">
              <w:rPr>
                <w:rFonts w:ascii="Tahoma" w:eastAsia="Calibri" w:hAnsi="Tahoma" w:cs="Tahoma"/>
                <w:sz w:val="20"/>
                <w:szCs w:val="20"/>
              </w:rPr>
              <w:t>etwork Overheads in each year (i.e. all network Capex Activities, excluding Capex on ICT projects from 2015-16) and the corresponding reallocation is to Opex as Repairs and Maintenance expenditure.  All of the NMF is reported as Non-labour expenditure.</w:t>
            </w:r>
          </w:p>
        </w:tc>
      </w:tr>
      <w:tr w:rsidR="00B06747" w:rsidRPr="002040DB" w14:paraId="2BE7A618" w14:textId="77777777" w:rsidTr="00B06747">
        <w:trPr>
          <w:trHeight w:val="6544"/>
        </w:trPr>
        <w:tc>
          <w:tcPr>
            <w:tcW w:w="2122" w:type="dxa"/>
          </w:tcPr>
          <w:p w14:paraId="3019CFA5" w14:textId="5F47BD0C" w:rsidR="00B06747" w:rsidRPr="002040DB" w:rsidRDefault="00B06747" w:rsidP="0052786D">
            <w:pPr>
              <w:rPr>
                <w:rFonts w:ascii="Tahoma" w:eastAsia="Calibri" w:hAnsi="Tahoma" w:cs="Tahoma"/>
                <w:b/>
                <w:sz w:val="20"/>
                <w:szCs w:val="20"/>
              </w:rPr>
            </w:pPr>
            <w:r w:rsidRPr="002040DB">
              <w:rPr>
                <w:rFonts w:ascii="Tahoma" w:eastAsia="Calibri" w:hAnsi="Tahoma" w:cs="Tahoma"/>
                <w:b/>
                <w:sz w:val="20"/>
                <w:szCs w:val="20"/>
              </w:rPr>
              <w:lastRenderedPageBreak/>
              <w:t>Heat Shrinking Sleeves</w:t>
            </w:r>
          </w:p>
        </w:tc>
        <w:tc>
          <w:tcPr>
            <w:tcW w:w="2693" w:type="dxa"/>
          </w:tcPr>
          <w:p w14:paraId="4E88DA87" w14:textId="42CAD206" w:rsidR="00B06747" w:rsidRPr="002040DB" w:rsidRDefault="00B06747" w:rsidP="0052786D">
            <w:pPr>
              <w:rPr>
                <w:rFonts w:ascii="Tahoma" w:eastAsia="Calibri" w:hAnsi="Tahoma" w:cs="Tahoma"/>
                <w:sz w:val="20"/>
                <w:szCs w:val="20"/>
              </w:rPr>
            </w:pPr>
            <w:r w:rsidRPr="002040DB">
              <w:rPr>
                <w:rFonts w:ascii="Tahoma" w:eastAsia="Calibri" w:hAnsi="Tahoma" w:cs="Tahoma"/>
                <w:sz w:val="20"/>
                <w:szCs w:val="20"/>
              </w:rPr>
              <w:t>Regulatory accounting treatment is different to Statutory accounting</w:t>
            </w:r>
          </w:p>
        </w:tc>
        <w:tc>
          <w:tcPr>
            <w:tcW w:w="9072" w:type="dxa"/>
          </w:tcPr>
          <w:p w14:paraId="73343FC3"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In accordance with the Regulatory Accounting Principles and Policies document, AGN Limited treats expenditure on Heat Shrinking Sleeves as Opex for regulatory accounting purposes.</w:t>
            </w:r>
          </w:p>
          <w:p w14:paraId="367F0A0F" w14:textId="77777777" w:rsidR="00B06747" w:rsidRPr="002040DB" w:rsidRDefault="00B06747" w:rsidP="00B06747">
            <w:pPr>
              <w:rPr>
                <w:rFonts w:ascii="Tahoma" w:eastAsia="Calibri" w:hAnsi="Tahoma" w:cs="Tahoma"/>
                <w:sz w:val="20"/>
                <w:szCs w:val="20"/>
              </w:rPr>
            </w:pPr>
          </w:p>
          <w:p w14:paraId="42B1C2C8"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Expenditure on Heat Shrinking Sleeves is identified by APA in the detailed reporting analysis that it provides to AGN Limited as its capital delivery contractor under the OMA.</w:t>
            </w:r>
          </w:p>
          <w:p w14:paraId="388A4A9F" w14:textId="77777777" w:rsidR="00B06747" w:rsidRPr="002040DB" w:rsidRDefault="00B06747" w:rsidP="00B06747">
            <w:pPr>
              <w:rPr>
                <w:rFonts w:ascii="Tahoma" w:eastAsia="Calibri" w:hAnsi="Tahoma" w:cs="Tahoma"/>
                <w:sz w:val="20"/>
                <w:szCs w:val="20"/>
              </w:rPr>
            </w:pPr>
          </w:p>
          <w:p w14:paraId="2C5D990B" w14:textId="3A3819B3" w:rsidR="00B06747" w:rsidRPr="002040DB" w:rsidRDefault="00EB31F5" w:rsidP="00B06747">
            <w:pPr>
              <w:rPr>
                <w:rFonts w:ascii="Tahoma" w:eastAsia="Calibri" w:hAnsi="Tahoma" w:cs="Tahoma"/>
                <w:sz w:val="20"/>
                <w:szCs w:val="20"/>
              </w:rPr>
            </w:pPr>
            <w:r>
              <w:rPr>
                <w:rFonts w:ascii="Tahoma" w:eastAsia="Calibri" w:hAnsi="Tahoma" w:cs="Tahoma"/>
                <w:sz w:val="20"/>
                <w:szCs w:val="20"/>
              </w:rPr>
              <w:t>In 201</w:t>
            </w:r>
            <w:r w:rsidR="00C646A2">
              <w:rPr>
                <w:rFonts w:ascii="Tahoma" w:eastAsia="Calibri" w:hAnsi="Tahoma" w:cs="Tahoma"/>
                <w:sz w:val="20"/>
                <w:szCs w:val="20"/>
              </w:rPr>
              <w:t>9</w:t>
            </w:r>
            <w:r>
              <w:rPr>
                <w:rFonts w:ascii="Tahoma" w:eastAsia="Calibri" w:hAnsi="Tahoma" w:cs="Tahoma"/>
                <w:sz w:val="20"/>
                <w:szCs w:val="20"/>
              </w:rPr>
              <w:t>/20 t</w:t>
            </w:r>
            <w:r w:rsidRPr="002040DB">
              <w:rPr>
                <w:rFonts w:ascii="Tahoma" w:eastAsia="Calibri" w:hAnsi="Tahoma" w:cs="Tahoma"/>
                <w:sz w:val="20"/>
                <w:szCs w:val="20"/>
              </w:rPr>
              <w:t xml:space="preserve">his </w:t>
            </w:r>
            <w:r w:rsidR="00B06747" w:rsidRPr="002040DB">
              <w:rPr>
                <w:rFonts w:ascii="Tahoma" w:eastAsia="Calibri" w:hAnsi="Tahoma" w:cs="Tahoma"/>
                <w:sz w:val="20"/>
                <w:szCs w:val="20"/>
              </w:rPr>
              <w:t>expenditure is recorded against the following Capex Activity types in APA’s Oracle finance system:</w:t>
            </w:r>
          </w:p>
          <w:p w14:paraId="1DC50853" w14:textId="77777777" w:rsidR="00B06747" w:rsidRPr="002040DB" w:rsidRDefault="00B06747" w:rsidP="00B06747">
            <w:pPr>
              <w:rPr>
                <w:rFonts w:ascii="Tahoma" w:eastAsia="Calibri" w:hAnsi="Tahoma" w:cs="Tahoma"/>
                <w:sz w:val="20"/>
                <w:szCs w:val="20"/>
              </w:rPr>
            </w:pPr>
          </w:p>
          <w:tbl>
            <w:tblPr>
              <w:tblStyle w:val="TableGrid1"/>
              <w:tblW w:w="0" w:type="auto"/>
              <w:tblLook w:val="04A0" w:firstRow="1" w:lastRow="0" w:firstColumn="1" w:lastColumn="0" w:noHBand="0" w:noVBand="1"/>
            </w:tblPr>
            <w:tblGrid>
              <w:gridCol w:w="3991"/>
              <w:gridCol w:w="4855"/>
            </w:tblGrid>
            <w:tr w:rsidR="00B06747" w:rsidRPr="002040DB" w14:paraId="70E781EA" w14:textId="77777777" w:rsidTr="00B06747">
              <w:tc>
                <w:tcPr>
                  <w:tcW w:w="3991" w:type="dxa"/>
                </w:tcPr>
                <w:p w14:paraId="2ADD1D03" w14:textId="77777777" w:rsidR="00B06747" w:rsidRPr="002040DB" w:rsidRDefault="00B06747" w:rsidP="00B06747">
                  <w:pPr>
                    <w:rPr>
                      <w:rFonts w:ascii="Tahoma" w:eastAsia="Calibri" w:hAnsi="Tahoma" w:cs="Tahoma"/>
                      <w:b/>
                      <w:sz w:val="20"/>
                      <w:szCs w:val="20"/>
                    </w:rPr>
                  </w:pPr>
                  <w:r w:rsidRPr="002040DB">
                    <w:rPr>
                      <w:rFonts w:ascii="Tahoma" w:eastAsia="Calibri" w:hAnsi="Tahoma" w:cs="Tahoma"/>
                      <w:b/>
                      <w:sz w:val="20"/>
                      <w:szCs w:val="20"/>
                    </w:rPr>
                    <w:t>Activity</w:t>
                  </w:r>
                </w:p>
              </w:tc>
              <w:tc>
                <w:tcPr>
                  <w:tcW w:w="4855" w:type="dxa"/>
                </w:tcPr>
                <w:p w14:paraId="7FAED327" w14:textId="77777777" w:rsidR="00B06747" w:rsidRPr="002040DB" w:rsidRDefault="00B06747" w:rsidP="00B06747">
                  <w:pPr>
                    <w:rPr>
                      <w:rFonts w:ascii="Tahoma" w:eastAsia="Calibri" w:hAnsi="Tahoma" w:cs="Tahoma"/>
                      <w:b/>
                      <w:sz w:val="20"/>
                      <w:szCs w:val="20"/>
                    </w:rPr>
                  </w:pPr>
                  <w:r w:rsidRPr="002040DB">
                    <w:rPr>
                      <w:rFonts w:ascii="Tahoma" w:eastAsia="Calibri" w:hAnsi="Tahoma" w:cs="Tahoma"/>
                      <w:b/>
                      <w:sz w:val="20"/>
                      <w:szCs w:val="20"/>
                    </w:rPr>
                    <w:t>Activity Level6 Desc_MP</w:t>
                  </w:r>
                </w:p>
              </w:tc>
            </w:tr>
            <w:tr w:rsidR="00B06747" w:rsidRPr="002040DB" w14:paraId="33EDE130" w14:textId="2B307B10" w:rsidTr="00B06747">
              <w:tc>
                <w:tcPr>
                  <w:tcW w:w="3991" w:type="dxa"/>
                </w:tcPr>
                <w:p w14:paraId="7C6FECDC" w14:textId="7B22F5F6"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2106 CP – Corrosion Protection – Capex</w:t>
                  </w:r>
                </w:p>
              </w:tc>
              <w:tc>
                <w:tcPr>
                  <w:tcW w:w="4855" w:type="dxa"/>
                </w:tcPr>
                <w:p w14:paraId="6CDEA1B0" w14:textId="0742DD4D"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Corrosion</w:t>
                  </w:r>
                </w:p>
              </w:tc>
            </w:tr>
            <w:tr w:rsidR="00B06747" w:rsidRPr="002040DB" w14:paraId="43A20225" w14:textId="77777777" w:rsidTr="00B06747">
              <w:tc>
                <w:tcPr>
                  <w:tcW w:w="3991" w:type="dxa"/>
                </w:tcPr>
                <w:p w14:paraId="47E4B8D7" w14:textId="153EB86E" w:rsidR="00B06747" w:rsidRPr="002040DB" w:rsidRDefault="00B06747" w:rsidP="00B06747">
                  <w:pPr>
                    <w:rPr>
                      <w:rFonts w:ascii="Tahoma" w:eastAsia="Calibri" w:hAnsi="Tahoma" w:cs="Tahoma"/>
                      <w:sz w:val="20"/>
                      <w:szCs w:val="20"/>
                    </w:rPr>
                  </w:pPr>
                </w:p>
              </w:tc>
              <w:tc>
                <w:tcPr>
                  <w:tcW w:w="4855" w:type="dxa"/>
                </w:tcPr>
                <w:p w14:paraId="2C93F81C" w14:textId="2236039E" w:rsidR="00B06747" w:rsidRPr="002040DB" w:rsidRDefault="00B06747" w:rsidP="00B06747">
                  <w:pPr>
                    <w:rPr>
                      <w:rFonts w:ascii="Tahoma" w:eastAsia="Calibri" w:hAnsi="Tahoma" w:cs="Tahoma"/>
                      <w:sz w:val="20"/>
                      <w:szCs w:val="20"/>
                    </w:rPr>
                  </w:pPr>
                </w:p>
              </w:tc>
            </w:tr>
          </w:tbl>
          <w:p w14:paraId="39391338" w14:textId="77777777" w:rsidR="00B06747" w:rsidRPr="002040DB" w:rsidRDefault="00B06747" w:rsidP="00B06747">
            <w:pPr>
              <w:rPr>
                <w:rFonts w:ascii="Tahoma" w:eastAsia="Calibri" w:hAnsi="Tahoma" w:cs="Tahoma"/>
                <w:sz w:val="20"/>
                <w:szCs w:val="20"/>
              </w:rPr>
            </w:pPr>
          </w:p>
          <w:p w14:paraId="5DA313A6"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Accordingly, the amounts of expenditure identified as relating to Heat Shrinking Sleeves is deducted from the above Activities as part of the analysis prepared by AGN Limited to produce the RIN templates data and is reported as Opex – Repairs and Maintenance expenditure.</w:t>
            </w:r>
          </w:p>
          <w:p w14:paraId="5435AC02" w14:textId="77777777" w:rsidR="00B06747" w:rsidRPr="002040DB" w:rsidRDefault="00B06747" w:rsidP="00B06747">
            <w:pPr>
              <w:rPr>
                <w:rFonts w:ascii="Tahoma" w:eastAsia="Calibri" w:hAnsi="Tahoma" w:cs="Tahoma"/>
                <w:sz w:val="20"/>
                <w:szCs w:val="20"/>
              </w:rPr>
            </w:pPr>
          </w:p>
          <w:p w14:paraId="2A14A75D" w14:textId="660BDD93" w:rsidR="00B06747" w:rsidRPr="002040DB" w:rsidRDefault="00B06747" w:rsidP="00B06747">
            <w:pPr>
              <w:rPr>
                <w:rFonts w:ascii="Tahoma" w:eastAsia="Calibri" w:hAnsi="Tahoma" w:cs="Tahoma"/>
                <w:sz w:val="20"/>
                <w:szCs w:val="20"/>
                <w:u w:val="single"/>
              </w:rPr>
            </w:pPr>
            <w:r w:rsidRPr="002040DB">
              <w:rPr>
                <w:rFonts w:ascii="Tahoma" w:eastAsia="Calibri" w:hAnsi="Tahoma" w:cs="Tahoma"/>
                <w:sz w:val="20"/>
                <w:szCs w:val="20"/>
                <w:u w:val="single"/>
              </w:rPr>
              <w:t xml:space="preserve">Mapping to the </w:t>
            </w:r>
            <w:r w:rsidR="008214CA" w:rsidRPr="002040DB">
              <w:rPr>
                <w:rFonts w:ascii="Tahoma" w:eastAsia="Calibri" w:hAnsi="Tahoma" w:cs="Tahoma"/>
                <w:sz w:val="20"/>
                <w:szCs w:val="20"/>
                <w:u w:val="single"/>
              </w:rPr>
              <w:t>Annual RIN</w:t>
            </w:r>
            <w:r w:rsidRPr="002040DB">
              <w:rPr>
                <w:rFonts w:ascii="Tahoma" w:eastAsia="Calibri" w:hAnsi="Tahoma" w:cs="Tahoma"/>
                <w:sz w:val="20"/>
                <w:szCs w:val="20"/>
                <w:u w:val="single"/>
              </w:rPr>
              <w:t xml:space="preserve"> templates</w:t>
            </w:r>
          </w:p>
          <w:p w14:paraId="75655E11" w14:textId="4FF95D08"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 xml:space="preserve">Expenditure and associated adjustments recorded against the activities listed above, are reported in the </w:t>
            </w:r>
            <w:r w:rsidR="008214CA" w:rsidRPr="002040DB">
              <w:rPr>
                <w:rFonts w:ascii="Tahoma" w:eastAsia="Calibri" w:hAnsi="Tahoma" w:cs="Tahoma"/>
                <w:sz w:val="20"/>
                <w:szCs w:val="20"/>
              </w:rPr>
              <w:t>Annual RIN</w:t>
            </w:r>
            <w:r w:rsidRPr="002040DB">
              <w:rPr>
                <w:rFonts w:ascii="Tahoma" w:eastAsia="Calibri" w:hAnsi="Tahoma" w:cs="Tahoma"/>
                <w:sz w:val="20"/>
                <w:szCs w:val="20"/>
              </w:rPr>
              <w:t xml:space="preserve"> tables as follows:</w:t>
            </w:r>
          </w:p>
          <w:p w14:paraId="4CD6B6B9" w14:textId="77777777" w:rsidR="00B06747" w:rsidRPr="002040DB" w:rsidRDefault="00B06747" w:rsidP="00B06747">
            <w:pPr>
              <w:rPr>
                <w:rFonts w:ascii="Tahoma" w:eastAsia="Calibri" w:hAnsi="Tahoma" w:cs="Tahoma"/>
                <w:sz w:val="20"/>
                <w:szCs w:val="20"/>
              </w:rPr>
            </w:pPr>
          </w:p>
          <w:tbl>
            <w:tblPr>
              <w:tblStyle w:val="TableGrid1"/>
              <w:tblW w:w="0" w:type="auto"/>
              <w:tblLook w:val="04A0" w:firstRow="1" w:lastRow="0" w:firstColumn="1" w:lastColumn="0" w:noHBand="0" w:noVBand="1"/>
            </w:tblPr>
            <w:tblGrid>
              <w:gridCol w:w="3991"/>
              <w:gridCol w:w="4855"/>
            </w:tblGrid>
            <w:tr w:rsidR="00B06747" w:rsidRPr="002040DB" w14:paraId="513E1525" w14:textId="77777777" w:rsidTr="00B06747">
              <w:tc>
                <w:tcPr>
                  <w:tcW w:w="3991" w:type="dxa"/>
                </w:tcPr>
                <w:p w14:paraId="642CBD7B" w14:textId="77777777" w:rsidR="00B06747" w:rsidRPr="002040DB" w:rsidRDefault="00B06747" w:rsidP="00B06747">
                  <w:pPr>
                    <w:rPr>
                      <w:rFonts w:ascii="Tahoma" w:eastAsia="Calibri" w:hAnsi="Tahoma" w:cs="Tahoma"/>
                      <w:b/>
                      <w:sz w:val="20"/>
                      <w:szCs w:val="20"/>
                    </w:rPr>
                  </w:pPr>
                  <w:r w:rsidRPr="002040DB">
                    <w:rPr>
                      <w:rFonts w:ascii="Tahoma" w:eastAsia="Calibri" w:hAnsi="Tahoma" w:cs="Tahoma"/>
                      <w:b/>
                      <w:sz w:val="20"/>
                      <w:szCs w:val="20"/>
                    </w:rPr>
                    <w:t>Activity</w:t>
                  </w:r>
                </w:p>
              </w:tc>
              <w:tc>
                <w:tcPr>
                  <w:tcW w:w="4855" w:type="dxa"/>
                </w:tcPr>
                <w:p w14:paraId="236E1591" w14:textId="0564DBE6" w:rsidR="00B06747" w:rsidRPr="002040DB" w:rsidRDefault="008214CA" w:rsidP="00B06747">
                  <w:pPr>
                    <w:rPr>
                      <w:rFonts w:ascii="Tahoma" w:eastAsia="Calibri" w:hAnsi="Tahoma" w:cs="Tahoma"/>
                      <w:b/>
                      <w:sz w:val="20"/>
                      <w:szCs w:val="20"/>
                    </w:rPr>
                  </w:pPr>
                  <w:r w:rsidRPr="002040DB">
                    <w:rPr>
                      <w:rFonts w:ascii="Tahoma" w:eastAsia="Calibri" w:hAnsi="Tahoma" w:cs="Tahoma"/>
                      <w:b/>
                      <w:sz w:val="20"/>
                      <w:szCs w:val="20"/>
                    </w:rPr>
                    <w:t>Annual RIN</w:t>
                  </w:r>
                  <w:r w:rsidR="00B06747" w:rsidRPr="002040DB">
                    <w:rPr>
                      <w:rFonts w:ascii="Tahoma" w:eastAsia="Calibri" w:hAnsi="Tahoma" w:cs="Tahoma"/>
                      <w:b/>
                      <w:sz w:val="20"/>
                      <w:szCs w:val="20"/>
                    </w:rPr>
                    <w:t xml:space="preserve"> tab / table / category type</w:t>
                  </w:r>
                </w:p>
              </w:tc>
            </w:tr>
            <w:tr w:rsidR="00B06747" w:rsidRPr="002040DB" w14:paraId="1EBAAC0F" w14:textId="0D346CB2" w:rsidTr="00B06747">
              <w:tc>
                <w:tcPr>
                  <w:tcW w:w="3991" w:type="dxa"/>
                </w:tcPr>
                <w:p w14:paraId="55BE127E" w14:textId="4469436C"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2106 CP – Corrosion Protection – Capex</w:t>
                  </w:r>
                </w:p>
              </w:tc>
              <w:tc>
                <w:tcPr>
                  <w:tcW w:w="4855" w:type="dxa"/>
                </w:tcPr>
                <w:p w14:paraId="77D854BF" w14:textId="2E8A2504"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E1.1 – Capex / E1.1.1 Reference Services – Other Capex</w:t>
                  </w:r>
                </w:p>
                <w:p w14:paraId="41380F95" w14:textId="04BACC18"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F2.4 – Capex by Asset Class / F2.4.2 Actual – As Incurred - Mains</w:t>
                  </w:r>
                </w:p>
              </w:tc>
            </w:tr>
            <w:tr w:rsidR="00B06747" w:rsidRPr="002040DB" w14:paraId="08511297" w14:textId="77777777" w:rsidTr="00B06747">
              <w:tc>
                <w:tcPr>
                  <w:tcW w:w="3991" w:type="dxa"/>
                </w:tcPr>
                <w:p w14:paraId="7A67889F" w14:textId="5A46FB63" w:rsidR="00B06747" w:rsidRPr="002040DB" w:rsidRDefault="00B06747" w:rsidP="00B06747">
                  <w:pPr>
                    <w:rPr>
                      <w:rFonts w:ascii="Tahoma" w:eastAsia="Calibri" w:hAnsi="Tahoma" w:cs="Tahoma"/>
                      <w:sz w:val="20"/>
                      <w:szCs w:val="20"/>
                    </w:rPr>
                  </w:pPr>
                </w:p>
              </w:tc>
              <w:tc>
                <w:tcPr>
                  <w:tcW w:w="4855" w:type="dxa"/>
                </w:tcPr>
                <w:p w14:paraId="7D74E3B8" w14:textId="77777777" w:rsidR="00B06747" w:rsidRPr="002040DB" w:rsidRDefault="00B06747" w:rsidP="00B06747">
                  <w:pPr>
                    <w:rPr>
                      <w:rFonts w:ascii="Tahoma" w:eastAsia="Calibri" w:hAnsi="Tahoma" w:cs="Tahoma"/>
                      <w:sz w:val="20"/>
                      <w:szCs w:val="20"/>
                    </w:rPr>
                  </w:pPr>
                </w:p>
              </w:tc>
            </w:tr>
            <w:tr w:rsidR="00B06747" w:rsidRPr="002040DB" w14:paraId="233E517A" w14:textId="77777777" w:rsidTr="00B06747">
              <w:tc>
                <w:tcPr>
                  <w:tcW w:w="3991" w:type="dxa"/>
                </w:tcPr>
                <w:p w14:paraId="2942F15D"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Corresponding adjustments above are reported as:</w:t>
                  </w:r>
                </w:p>
                <w:p w14:paraId="083253B5" w14:textId="77777777" w:rsidR="00B06747" w:rsidRPr="002040DB" w:rsidRDefault="00B06747" w:rsidP="00B06747">
                  <w:pPr>
                    <w:rPr>
                      <w:rFonts w:ascii="Tahoma" w:eastAsia="Calibri" w:hAnsi="Tahoma" w:cs="Tahoma"/>
                      <w:sz w:val="20"/>
                      <w:szCs w:val="20"/>
                    </w:rPr>
                  </w:pPr>
                </w:p>
                <w:p w14:paraId="0DC1EED8"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 xml:space="preserve">Repairs and Maintenance </w:t>
                  </w:r>
                </w:p>
                <w:p w14:paraId="63F48EC3" w14:textId="77777777" w:rsidR="00B06747" w:rsidRPr="002040DB" w:rsidRDefault="00B06747" w:rsidP="00B06747">
                  <w:pPr>
                    <w:rPr>
                      <w:rFonts w:ascii="Tahoma" w:eastAsia="Calibri" w:hAnsi="Tahoma" w:cs="Tahoma"/>
                      <w:sz w:val="20"/>
                      <w:szCs w:val="20"/>
                    </w:rPr>
                  </w:pPr>
                </w:p>
                <w:p w14:paraId="3815B4D1" w14:textId="77777777" w:rsidR="00B06747" w:rsidRPr="002040DB" w:rsidRDefault="00B06747" w:rsidP="00B06747">
                  <w:pPr>
                    <w:rPr>
                      <w:rFonts w:ascii="Tahoma" w:eastAsia="Calibri" w:hAnsi="Tahoma" w:cs="Tahoma"/>
                      <w:sz w:val="20"/>
                      <w:szCs w:val="20"/>
                    </w:rPr>
                  </w:pPr>
                </w:p>
                <w:p w14:paraId="33C697EF" w14:textId="77777777" w:rsidR="00B06747" w:rsidRPr="002040DB" w:rsidRDefault="00B06747" w:rsidP="00B06747">
                  <w:pPr>
                    <w:rPr>
                      <w:rFonts w:ascii="Tahoma" w:eastAsia="Calibri" w:hAnsi="Tahoma" w:cs="Tahoma"/>
                      <w:sz w:val="20"/>
                      <w:szCs w:val="20"/>
                    </w:rPr>
                  </w:pPr>
                </w:p>
                <w:p w14:paraId="64BF75C7" w14:textId="77777777" w:rsidR="00B06747" w:rsidRPr="002040DB" w:rsidRDefault="00B06747" w:rsidP="00B06747">
                  <w:pPr>
                    <w:rPr>
                      <w:rFonts w:ascii="Tahoma" w:eastAsia="Calibri" w:hAnsi="Tahoma" w:cs="Tahoma"/>
                      <w:sz w:val="20"/>
                      <w:szCs w:val="20"/>
                    </w:rPr>
                  </w:pPr>
                </w:p>
                <w:p w14:paraId="201637D9"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Operating Expenditure</w:t>
                  </w:r>
                </w:p>
                <w:p w14:paraId="0F695088" w14:textId="77777777" w:rsidR="00B06747" w:rsidRPr="002040DB" w:rsidRDefault="00B06747" w:rsidP="00B06747">
                  <w:pPr>
                    <w:rPr>
                      <w:rFonts w:ascii="Tahoma" w:eastAsia="Calibri" w:hAnsi="Tahoma" w:cs="Tahoma"/>
                      <w:sz w:val="20"/>
                      <w:szCs w:val="20"/>
                    </w:rPr>
                  </w:pPr>
                </w:p>
                <w:p w14:paraId="56433CEF" w14:textId="77777777" w:rsidR="00B06747" w:rsidRPr="002040DB" w:rsidRDefault="00B06747" w:rsidP="00B06747">
                  <w:pPr>
                    <w:rPr>
                      <w:rFonts w:ascii="Tahoma" w:eastAsia="Calibri" w:hAnsi="Tahoma" w:cs="Tahoma"/>
                      <w:sz w:val="20"/>
                      <w:szCs w:val="20"/>
                    </w:rPr>
                  </w:pPr>
                </w:p>
              </w:tc>
              <w:tc>
                <w:tcPr>
                  <w:tcW w:w="4855" w:type="dxa"/>
                </w:tcPr>
                <w:p w14:paraId="6C857A42" w14:textId="77777777" w:rsidR="00B06747" w:rsidRPr="002040DB" w:rsidRDefault="00B06747" w:rsidP="00B06747">
                  <w:pPr>
                    <w:rPr>
                      <w:rFonts w:ascii="Tahoma" w:eastAsia="Calibri" w:hAnsi="Tahoma" w:cs="Tahoma"/>
                      <w:sz w:val="20"/>
                      <w:szCs w:val="20"/>
                    </w:rPr>
                  </w:pPr>
                </w:p>
                <w:p w14:paraId="57B02339" w14:textId="77777777" w:rsidR="00B06747" w:rsidRPr="002040DB" w:rsidRDefault="00B06747" w:rsidP="00B06747">
                  <w:pPr>
                    <w:rPr>
                      <w:rFonts w:ascii="Tahoma" w:eastAsia="Calibri" w:hAnsi="Tahoma" w:cs="Tahoma"/>
                      <w:sz w:val="20"/>
                      <w:szCs w:val="20"/>
                    </w:rPr>
                  </w:pPr>
                </w:p>
                <w:p w14:paraId="1B441541" w14:textId="77777777" w:rsidR="00B06747" w:rsidRPr="002040DB" w:rsidRDefault="00B06747" w:rsidP="00B06747">
                  <w:pPr>
                    <w:rPr>
                      <w:rFonts w:ascii="Tahoma" w:eastAsia="Calibri" w:hAnsi="Tahoma" w:cs="Tahoma"/>
                      <w:sz w:val="20"/>
                      <w:szCs w:val="20"/>
                    </w:rPr>
                  </w:pPr>
                </w:p>
                <w:p w14:paraId="1DF02666"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E1.2 Opex / E1.2.1 Reference Services – Repairs and Maintenance</w:t>
                  </w:r>
                </w:p>
                <w:p w14:paraId="20FDCAFB"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F4. Operating Expenditure / F4.1.3 Distribution Business – Repairs and Maintenance</w:t>
                  </w:r>
                </w:p>
                <w:p w14:paraId="4360D44D" w14:textId="77777777" w:rsidR="00B06747" w:rsidRPr="002040DB" w:rsidRDefault="00B06747" w:rsidP="00B06747">
                  <w:pPr>
                    <w:rPr>
                      <w:rFonts w:ascii="Tahoma" w:eastAsia="Calibri" w:hAnsi="Tahoma" w:cs="Tahoma"/>
                      <w:sz w:val="20"/>
                      <w:szCs w:val="20"/>
                    </w:rPr>
                  </w:pPr>
                </w:p>
                <w:p w14:paraId="74BD74FF"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F1.3 Distribution Business / F1.3.2 Expenditure – Operating Expenditure</w:t>
                  </w:r>
                </w:p>
              </w:tc>
            </w:tr>
          </w:tbl>
          <w:p w14:paraId="28C86C18" w14:textId="77777777" w:rsidR="00B06747" w:rsidRPr="002040DB" w:rsidRDefault="00B06747" w:rsidP="00B06747">
            <w:pPr>
              <w:rPr>
                <w:rFonts w:ascii="Tahoma" w:eastAsia="Calibri" w:hAnsi="Tahoma" w:cs="Tahoma"/>
                <w:sz w:val="20"/>
                <w:szCs w:val="20"/>
              </w:rPr>
            </w:pPr>
          </w:p>
        </w:tc>
      </w:tr>
      <w:tr w:rsidR="00B06747" w:rsidRPr="002040DB" w14:paraId="2A362FF8" w14:textId="77777777" w:rsidTr="00B06747">
        <w:trPr>
          <w:trHeight w:val="7678"/>
        </w:trPr>
        <w:tc>
          <w:tcPr>
            <w:tcW w:w="2122" w:type="dxa"/>
          </w:tcPr>
          <w:p w14:paraId="70DBA43B" w14:textId="77777777" w:rsidR="00B06747" w:rsidRPr="002040DB" w:rsidRDefault="00B06747" w:rsidP="00B06747">
            <w:pPr>
              <w:rPr>
                <w:rFonts w:ascii="Tahoma" w:eastAsia="Calibri" w:hAnsi="Tahoma" w:cs="Tahoma"/>
                <w:b/>
                <w:sz w:val="20"/>
                <w:szCs w:val="20"/>
              </w:rPr>
            </w:pPr>
            <w:r w:rsidRPr="002040DB">
              <w:rPr>
                <w:rFonts w:ascii="Tahoma" w:eastAsia="Calibri" w:hAnsi="Tahoma" w:cs="Tahoma"/>
                <w:b/>
                <w:sz w:val="20"/>
                <w:szCs w:val="20"/>
              </w:rPr>
              <w:lastRenderedPageBreak/>
              <w:t>Piecemeal Mains Replacement</w:t>
            </w:r>
          </w:p>
          <w:p w14:paraId="35387082" w14:textId="77777777" w:rsidR="00B06747" w:rsidRPr="002040DB" w:rsidRDefault="00B06747" w:rsidP="00B06747">
            <w:pPr>
              <w:rPr>
                <w:rFonts w:ascii="Tahoma" w:eastAsia="Calibri" w:hAnsi="Tahoma" w:cs="Tahoma"/>
                <w:b/>
                <w:sz w:val="20"/>
                <w:szCs w:val="20"/>
              </w:rPr>
            </w:pPr>
          </w:p>
          <w:p w14:paraId="5140F57B" w14:textId="77777777" w:rsidR="00B06747" w:rsidRPr="002040DB" w:rsidRDefault="00B06747" w:rsidP="00B06747">
            <w:pPr>
              <w:rPr>
                <w:rFonts w:ascii="Tahoma" w:eastAsia="Calibri" w:hAnsi="Tahoma" w:cs="Tahoma"/>
                <w:b/>
                <w:sz w:val="20"/>
                <w:szCs w:val="20"/>
              </w:rPr>
            </w:pPr>
          </w:p>
          <w:p w14:paraId="441649BF" w14:textId="77777777" w:rsidR="00B06747" w:rsidRPr="002040DB" w:rsidRDefault="00B06747" w:rsidP="00B06747">
            <w:pPr>
              <w:rPr>
                <w:rFonts w:ascii="Tahoma" w:eastAsia="Calibri" w:hAnsi="Tahoma" w:cs="Tahoma"/>
                <w:b/>
                <w:sz w:val="20"/>
                <w:szCs w:val="20"/>
              </w:rPr>
            </w:pPr>
          </w:p>
          <w:p w14:paraId="26180AF7" w14:textId="77777777" w:rsidR="00B06747" w:rsidRPr="002040DB" w:rsidRDefault="00B06747" w:rsidP="00B06747">
            <w:pPr>
              <w:rPr>
                <w:rFonts w:ascii="Tahoma" w:eastAsia="Calibri" w:hAnsi="Tahoma" w:cs="Tahoma"/>
                <w:b/>
                <w:sz w:val="20"/>
                <w:szCs w:val="20"/>
              </w:rPr>
            </w:pPr>
          </w:p>
        </w:tc>
        <w:tc>
          <w:tcPr>
            <w:tcW w:w="2693" w:type="dxa"/>
          </w:tcPr>
          <w:p w14:paraId="036972C3"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Regulatory accounting treatment is different to Statutory accounting</w:t>
            </w:r>
          </w:p>
          <w:p w14:paraId="7F644BD2" w14:textId="77777777" w:rsidR="00B06747" w:rsidRPr="002040DB" w:rsidRDefault="00B06747" w:rsidP="00B06747">
            <w:pPr>
              <w:rPr>
                <w:rFonts w:ascii="Tahoma" w:eastAsia="Calibri" w:hAnsi="Tahoma" w:cs="Tahoma"/>
                <w:sz w:val="20"/>
                <w:szCs w:val="20"/>
              </w:rPr>
            </w:pPr>
          </w:p>
        </w:tc>
        <w:tc>
          <w:tcPr>
            <w:tcW w:w="9072" w:type="dxa"/>
          </w:tcPr>
          <w:p w14:paraId="45BDC534"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In accordance with the Regulatory Accounting Principles and Policies document, AGN Limited treats expenditure on Piecemeal Mains Replacement as Opex for regulatory accounting purposes.</w:t>
            </w:r>
          </w:p>
          <w:p w14:paraId="1C4336EE" w14:textId="77777777" w:rsidR="00B06747" w:rsidRPr="002040DB" w:rsidRDefault="00B06747" w:rsidP="00B06747">
            <w:pPr>
              <w:rPr>
                <w:rFonts w:ascii="Tahoma" w:eastAsia="Calibri" w:hAnsi="Tahoma" w:cs="Tahoma"/>
                <w:sz w:val="20"/>
                <w:szCs w:val="20"/>
              </w:rPr>
            </w:pPr>
          </w:p>
          <w:p w14:paraId="599F1689"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Expenditure on Piecemeal Mains Replacement is identified by APA in the detailed reporting analysis that it provides to AGN Limited as its capital delivery contractor under the OMA.</w:t>
            </w:r>
          </w:p>
          <w:p w14:paraId="473069F3" w14:textId="7026E672" w:rsidR="00B06747" w:rsidRPr="002040DB" w:rsidRDefault="00C646A2" w:rsidP="00B06747">
            <w:pPr>
              <w:rPr>
                <w:rFonts w:ascii="Tahoma" w:eastAsia="Calibri" w:hAnsi="Tahoma" w:cs="Tahoma"/>
                <w:sz w:val="20"/>
                <w:szCs w:val="20"/>
              </w:rPr>
            </w:pPr>
            <w:r>
              <w:rPr>
                <w:rFonts w:ascii="Tahoma" w:eastAsia="Calibri" w:hAnsi="Tahoma" w:cs="Tahoma"/>
                <w:sz w:val="20"/>
                <w:szCs w:val="20"/>
              </w:rPr>
              <w:t>In 2019/20 t</w:t>
            </w:r>
            <w:r w:rsidRPr="002040DB">
              <w:rPr>
                <w:rFonts w:ascii="Tahoma" w:eastAsia="Calibri" w:hAnsi="Tahoma" w:cs="Tahoma"/>
                <w:sz w:val="20"/>
                <w:szCs w:val="20"/>
              </w:rPr>
              <w:t xml:space="preserve">his </w:t>
            </w:r>
            <w:r w:rsidR="00B06747" w:rsidRPr="002040DB">
              <w:rPr>
                <w:rFonts w:ascii="Tahoma" w:eastAsia="Calibri" w:hAnsi="Tahoma" w:cs="Tahoma"/>
                <w:sz w:val="20"/>
                <w:szCs w:val="20"/>
              </w:rPr>
              <w:t>expenditure is recorded against the following Capex Activity types in APA’s Oracle finance system:</w:t>
            </w:r>
          </w:p>
          <w:p w14:paraId="275D6380" w14:textId="77777777" w:rsidR="00B06747" w:rsidRPr="002040DB" w:rsidRDefault="00B06747" w:rsidP="00B06747">
            <w:pPr>
              <w:rPr>
                <w:rFonts w:ascii="Tahoma" w:eastAsia="Calibri" w:hAnsi="Tahoma" w:cs="Tahoma"/>
                <w:sz w:val="20"/>
                <w:szCs w:val="20"/>
              </w:rPr>
            </w:pPr>
          </w:p>
          <w:tbl>
            <w:tblPr>
              <w:tblStyle w:val="TableGrid1"/>
              <w:tblW w:w="0" w:type="auto"/>
              <w:tblLook w:val="04A0" w:firstRow="1" w:lastRow="0" w:firstColumn="1" w:lastColumn="0" w:noHBand="0" w:noVBand="1"/>
            </w:tblPr>
            <w:tblGrid>
              <w:gridCol w:w="3991"/>
              <w:gridCol w:w="4855"/>
            </w:tblGrid>
            <w:tr w:rsidR="00B06747" w:rsidRPr="002040DB" w14:paraId="297E39FB" w14:textId="77777777" w:rsidTr="00B06747">
              <w:tc>
                <w:tcPr>
                  <w:tcW w:w="3991" w:type="dxa"/>
                </w:tcPr>
                <w:p w14:paraId="44BEDF45" w14:textId="77777777" w:rsidR="00B06747" w:rsidRPr="002040DB" w:rsidRDefault="00B06747" w:rsidP="00B06747">
                  <w:pPr>
                    <w:rPr>
                      <w:rFonts w:ascii="Tahoma" w:eastAsia="Calibri" w:hAnsi="Tahoma" w:cs="Tahoma"/>
                      <w:b/>
                      <w:sz w:val="20"/>
                      <w:szCs w:val="20"/>
                    </w:rPr>
                  </w:pPr>
                  <w:r w:rsidRPr="002040DB">
                    <w:rPr>
                      <w:rFonts w:ascii="Tahoma" w:eastAsia="Calibri" w:hAnsi="Tahoma" w:cs="Tahoma"/>
                      <w:b/>
                      <w:sz w:val="20"/>
                      <w:szCs w:val="20"/>
                    </w:rPr>
                    <w:t>Activity</w:t>
                  </w:r>
                </w:p>
              </w:tc>
              <w:tc>
                <w:tcPr>
                  <w:tcW w:w="4855" w:type="dxa"/>
                </w:tcPr>
                <w:p w14:paraId="698835A0" w14:textId="77777777" w:rsidR="00B06747" w:rsidRPr="002040DB" w:rsidRDefault="00B06747" w:rsidP="00B06747">
                  <w:pPr>
                    <w:rPr>
                      <w:rFonts w:ascii="Tahoma" w:eastAsia="Calibri" w:hAnsi="Tahoma" w:cs="Tahoma"/>
                      <w:b/>
                      <w:sz w:val="20"/>
                      <w:szCs w:val="20"/>
                    </w:rPr>
                  </w:pPr>
                  <w:r w:rsidRPr="002040DB">
                    <w:rPr>
                      <w:rFonts w:ascii="Tahoma" w:eastAsia="Calibri" w:hAnsi="Tahoma" w:cs="Tahoma"/>
                      <w:b/>
                      <w:sz w:val="20"/>
                      <w:szCs w:val="20"/>
                    </w:rPr>
                    <w:t>Activity Level6 Desc_MP</w:t>
                  </w:r>
                </w:p>
              </w:tc>
            </w:tr>
            <w:tr w:rsidR="00B06747" w:rsidRPr="002040DB" w14:paraId="5EDC6097" w14:textId="77777777" w:rsidTr="00B06747">
              <w:tc>
                <w:tcPr>
                  <w:tcW w:w="3991" w:type="dxa"/>
                </w:tcPr>
                <w:p w14:paraId="6A831983"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2351 Mains Renewal - Piece</w:t>
                  </w:r>
                </w:p>
              </w:tc>
              <w:tc>
                <w:tcPr>
                  <w:tcW w:w="4855" w:type="dxa"/>
                </w:tcPr>
                <w:p w14:paraId="4276B3CC"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Mains Renewal – No Pressure Change</w:t>
                  </w:r>
                </w:p>
              </w:tc>
            </w:tr>
            <w:tr w:rsidR="00B06747" w:rsidRPr="002040DB" w14:paraId="648990AB" w14:textId="19EB2727" w:rsidTr="00B06747">
              <w:tc>
                <w:tcPr>
                  <w:tcW w:w="3991" w:type="dxa"/>
                </w:tcPr>
                <w:p w14:paraId="477265A2" w14:textId="4BF4C8E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2363 Mains Renewal – HDPE Piece</w:t>
                  </w:r>
                </w:p>
              </w:tc>
              <w:tc>
                <w:tcPr>
                  <w:tcW w:w="4855" w:type="dxa"/>
                </w:tcPr>
                <w:p w14:paraId="0AB1DD75" w14:textId="08CC1FC3"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Mains Renewal – No Pressure Change</w:t>
                  </w:r>
                </w:p>
              </w:tc>
            </w:tr>
          </w:tbl>
          <w:p w14:paraId="0C7FCEAF" w14:textId="77777777" w:rsidR="00B06747" w:rsidRPr="002040DB" w:rsidRDefault="00B06747" w:rsidP="00B06747">
            <w:pPr>
              <w:rPr>
                <w:rFonts w:ascii="Tahoma" w:eastAsia="Calibri" w:hAnsi="Tahoma" w:cs="Tahoma"/>
                <w:sz w:val="20"/>
                <w:szCs w:val="20"/>
              </w:rPr>
            </w:pPr>
          </w:p>
          <w:p w14:paraId="37FE1A2E" w14:textId="09026DFE"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The final amounts of expenditure, identified as relating to Piecemeal Mains Replacement is deducted from the above listed Activities as part of the analysis prepared by AGN Limited to produce the RIN templates data and the corresponding reallocation is to Opex as Repairs and Maintenance expenditure.</w:t>
            </w:r>
          </w:p>
          <w:p w14:paraId="2A3F2AC8" w14:textId="77777777" w:rsidR="00B06747" w:rsidRPr="002040DB" w:rsidRDefault="00B06747" w:rsidP="00B06747">
            <w:pPr>
              <w:rPr>
                <w:rFonts w:ascii="Tahoma" w:eastAsia="Calibri" w:hAnsi="Tahoma" w:cs="Tahoma"/>
                <w:sz w:val="20"/>
                <w:szCs w:val="20"/>
              </w:rPr>
            </w:pPr>
          </w:p>
          <w:p w14:paraId="54590CDA" w14:textId="0125556E" w:rsidR="00B06747" w:rsidRPr="002040DB" w:rsidRDefault="00B06747" w:rsidP="00B06747">
            <w:pPr>
              <w:rPr>
                <w:rFonts w:ascii="Tahoma" w:eastAsia="Calibri" w:hAnsi="Tahoma" w:cs="Tahoma"/>
                <w:sz w:val="20"/>
                <w:szCs w:val="20"/>
                <w:u w:val="single"/>
              </w:rPr>
            </w:pPr>
            <w:r w:rsidRPr="002040DB">
              <w:rPr>
                <w:rFonts w:ascii="Tahoma" w:eastAsia="Calibri" w:hAnsi="Tahoma" w:cs="Tahoma"/>
                <w:sz w:val="20"/>
                <w:szCs w:val="20"/>
                <w:u w:val="single"/>
              </w:rPr>
              <w:t xml:space="preserve">Mapping to the </w:t>
            </w:r>
            <w:r w:rsidR="008214CA" w:rsidRPr="002040DB">
              <w:rPr>
                <w:rFonts w:ascii="Tahoma" w:eastAsia="Calibri" w:hAnsi="Tahoma" w:cs="Tahoma"/>
                <w:sz w:val="20"/>
                <w:szCs w:val="20"/>
                <w:u w:val="single"/>
              </w:rPr>
              <w:t>Annual RIN</w:t>
            </w:r>
            <w:r w:rsidRPr="002040DB">
              <w:rPr>
                <w:rFonts w:ascii="Tahoma" w:eastAsia="Calibri" w:hAnsi="Tahoma" w:cs="Tahoma"/>
                <w:sz w:val="20"/>
                <w:szCs w:val="20"/>
                <w:u w:val="single"/>
              </w:rPr>
              <w:t xml:space="preserve"> templates</w:t>
            </w:r>
          </w:p>
          <w:p w14:paraId="774EEAFF" w14:textId="5E675C96"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 xml:space="preserve">Expenditure and associated adjustments recorded against the activities listed above, are reported in the </w:t>
            </w:r>
            <w:r w:rsidR="008214CA" w:rsidRPr="002040DB">
              <w:rPr>
                <w:rFonts w:ascii="Tahoma" w:eastAsia="Calibri" w:hAnsi="Tahoma" w:cs="Tahoma"/>
                <w:sz w:val="20"/>
                <w:szCs w:val="20"/>
              </w:rPr>
              <w:t>Annual RIN</w:t>
            </w:r>
            <w:r w:rsidRPr="002040DB">
              <w:rPr>
                <w:rFonts w:ascii="Tahoma" w:eastAsia="Calibri" w:hAnsi="Tahoma" w:cs="Tahoma"/>
                <w:sz w:val="20"/>
                <w:szCs w:val="20"/>
              </w:rPr>
              <w:t xml:space="preserve"> tables as follows:</w:t>
            </w:r>
          </w:p>
          <w:p w14:paraId="299A36BE" w14:textId="77777777" w:rsidR="00B06747" w:rsidRPr="002040DB" w:rsidRDefault="00B06747" w:rsidP="00B06747">
            <w:pPr>
              <w:rPr>
                <w:rFonts w:ascii="Tahoma" w:eastAsia="Calibri" w:hAnsi="Tahoma" w:cs="Tahoma"/>
                <w:sz w:val="20"/>
                <w:szCs w:val="20"/>
              </w:rPr>
            </w:pPr>
          </w:p>
          <w:tbl>
            <w:tblPr>
              <w:tblStyle w:val="TableGrid1"/>
              <w:tblW w:w="0" w:type="auto"/>
              <w:tblLook w:val="04A0" w:firstRow="1" w:lastRow="0" w:firstColumn="1" w:lastColumn="0" w:noHBand="0" w:noVBand="1"/>
            </w:tblPr>
            <w:tblGrid>
              <w:gridCol w:w="3991"/>
              <w:gridCol w:w="4855"/>
            </w:tblGrid>
            <w:tr w:rsidR="00B06747" w:rsidRPr="002040DB" w14:paraId="21BAF404" w14:textId="77777777" w:rsidTr="00B06747">
              <w:tc>
                <w:tcPr>
                  <w:tcW w:w="3991" w:type="dxa"/>
                </w:tcPr>
                <w:p w14:paraId="1C32E57A" w14:textId="77777777" w:rsidR="00B06747" w:rsidRPr="002040DB" w:rsidRDefault="00B06747" w:rsidP="00B06747">
                  <w:pPr>
                    <w:rPr>
                      <w:rFonts w:ascii="Tahoma" w:eastAsia="Calibri" w:hAnsi="Tahoma" w:cs="Tahoma"/>
                      <w:b/>
                      <w:sz w:val="20"/>
                      <w:szCs w:val="20"/>
                    </w:rPr>
                  </w:pPr>
                  <w:r w:rsidRPr="002040DB">
                    <w:rPr>
                      <w:rFonts w:ascii="Tahoma" w:eastAsia="Calibri" w:hAnsi="Tahoma" w:cs="Tahoma"/>
                      <w:b/>
                      <w:sz w:val="20"/>
                      <w:szCs w:val="20"/>
                    </w:rPr>
                    <w:t>Activity</w:t>
                  </w:r>
                </w:p>
              </w:tc>
              <w:tc>
                <w:tcPr>
                  <w:tcW w:w="4855" w:type="dxa"/>
                </w:tcPr>
                <w:p w14:paraId="679A339D" w14:textId="209F0EA7" w:rsidR="00B06747" w:rsidRPr="002040DB" w:rsidRDefault="008214CA" w:rsidP="00B06747">
                  <w:pPr>
                    <w:rPr>
                      <w:rFonts w:ascii="Tahoma" w:eastAsia="Calibri" w:hAnsi="Tahoma" w:cs="Tahoma"/>
                      <w:b/>
                      <w:sz w:val="20"/>
                      <w:szCs w:val="20"/>
                    </w:rPr>
                  </w:pPr>
                  <w:r w:rsidRPr="002040DB">
                    <w:rPr>
                      <w:rFonts w:ascii="Tahoma" w:eastAsia="Calibri" w:hAnsi="Tahoma" w:cs="Tahoma"/>
                      <w:b/>
                      <w:sz w:val="20"/>
                      <w:szCs w:val="20"/>
                    </w:rPr>
                    <w:t>Annual RIN</w:t>
                  </w:r>
                  <w:r w:rsidR="00B06747" w:rsidRPr="002040DB">
                    <w:rPr>
                      <w:rFonts w:ascii="Tahoma" w:eastAsia="Calibri" w:hAnsi="Tahoma" w:cs="Tahoma"/>
                      <w:b/>
                      <w:sz w:val="20"/>
                      <w:szCs w:val="20"/>
                    </w:rPr>
                    <w:t xml:space="preserve"> tab / table / category type</w:t>
                  </w:r>
                </w:p>
              </w:tc>
            </w:tr>
            <w:tr w:rsidR="00B06747" w:rsidRPr="002040DB" w14:paraId="7AFF067F" w14:textId="77777777" w:rsidTr="00B06747">
              <w:tc>
                <w:tcPr>
                  <w:tcW w:w="3991" w:type="dxa"/>
                </w:tcPr>
                <w:p w14:paraId="1C2FF919"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2351 Mains Renewal - Piece</w:t>
                  </w:r>
                </w:p>
              </w:tc>
              <w:tc>
                <w:tcPr>
                  <w:tcW w:w="4855" w:type="dxa"/>
                </w:tcPr>
                <w:p w14:paraId="7773FE08"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E1.1 – Capex / E1.1.1 Reference Services – Mains Replacement</w:t>
                  </w:r>
                </w:p>
                <w:p w14:paraId="37E583D3" w14:textId="77777777" w:rsidR="00B06747" w:rsidRPr="002040DB" w:rsidRDefault="00B06747" w:rsidP="00B06747">
                  <w:pPr>
                    <w:rPr>
                      <w:rFonts w:ascii="Tahoma" w:eastAsia="Calibri" w:hAnsi="Tahoma" w:cs="Tahoma"/>
                      <w:sz w:val="20"/>
                      <w:szCs w:val="20"/>
                      <w:highlight w:val="yellow"/>
                    </w:rPr>
                  </w:pPr>
                  <w:r w:rsidRPr="002040DB">
                    <w:rPr>
                      <w:rFonts w:ascii="Tahoma" w:eastAsia="Calibri" w:hAnsi="Tahoma" w:cs="Tahoma"/>
                      <w:sz w:val="20"/>
                      <w:szCs w:val="20"/>
                    </w:rPr>
                    <w:t>F2.4 – Capex by Asset Class / F2.4.2 Actual – As Incurred - Mains</w:t>
                  </w:r>
                </w:p>
              </w:tc>
            </w:tr>
            <w:tr w:rsidR="00B06747" w:rsidRPr="002040DB" w14:paraId="69B38611" w14:textId="1BE6FA81" w:rsidTr="00B06747">
              <w:tc>
                <w:tcPr>
                  <w:tcW w:w="3991" w:type="dxa"/>
                </w:tcPr>
                <w:p w14:paraId="24A935F7" w14:textId="2A30E9C8"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2363 Mains Renewal – HDPE Piece</w:t>
                  </w:r>
                </w:p>
              </w:tc>
              <w:tc>
                <w:tcPr>
                  <w:tcW w:w="4855" w:type="dxa"/>
                </w:tcPr>
                <w:p w14:paraId="0A881A14" w14:textId="31857805"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E1.1 – Capex / E1.1.1 Reference Services – Mains Replacement</w:t>
                  </w:r>
                </w:p>
                <w:p w14:paraId="225D2079" w14:textId="678607D2" w:rsidR="00B06747" w:rsidRPr="002040DB" w:rsidRDefault="00B06747" w:rsidP="00B06747">
                  <w:pPr>
                    <w:rPr>
                      <w:rFonts w:ascii="Tahoma" w:eastAsia="Calibri" w:hAnsi="Tahoma" w:cs="Tahoma"/>
                      <w:sz w:val="20"/>
                      <w:szCs w:val="20"/>
                      <w:highlight w:val="yellow"/>
                    </w:rPr>
                  </w:pPr>
                  <w:r w:rsidRPr="002040DB">
                    <w:rPr>
                      <w:rFonts w:ascii="Tahoma" w:eastAsia="Calibri" w:hAnsi="Tahoma" w:cs="Tahoma"/>
                      <w:sz w:val="20"/>
                      <w:szCs w:val="20"/>
                    </w:rPr>
                    <w:t>F2.4 – Capex by Asset Class / F2.4.2 Actual – As Incurred - Mains</w:t>
                  </w:r>
                </w:p>
              </w:tc>
            </w:tr>
            <w:tr w:rsidR="00B06747" w:rsidRPr="002040DB" w14:paraId="0560D2B5" w14:textId="77777777" w:rsidTr="00B06747">
              <w:tc>
                <w:tcPr>
                  <w:tcW w:w="3991" w:type="dxa"/>
                </w:tcPr>
                <w:p w14:paraId="272B184A"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Corresponding adjustments above are reported as:</w:t>
                  </w:r>
                </w:p>
                <w:p w14:paraId="3B4F87C1" w14:textId="77777777" w:rsidR="00B06747" w:rsidRPr="002040DB" w:rsidRDefault="00B06747" w:rsidP="00B06747">
                  <w:pPr>
                    <w:rPr>
                      <w:rFonts w:ascii="Tahoma" w:eastAsia="Calibri" w:hAnsi="Tahoma" w:cs="Tahoma"/>
                      <w:sz w:val="20"/>
                      <w:szCs w:val="20"/>
                    </w:rPr>
                  </w:pPr>
                </w:p>
                <w:p w14:paraId="7517CBC8"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 xml:space="preserve">Repairs and Maintenance </w:t>
                  </w:r>
                </w:p>
                <w:p w14:paraId="2CF19B3D" w14:textId="77777777" w:rsidR="00B06747" w:rsidRPr="002040DB" w:rsidRDefault="00B06747" w:rsidP="00B06747">
                  <w:pPr>
                    <w:rPr>
                      <w:rFonts w:ascii="Tahoma" w:eastAsia="Calibri" w:hAnsi="Tahoma" w:cs="Tahoma"/>
                      <w:sz w:val="20"/>
                      <w:szCs w:val="20"/>
                    </w:rPr>
                  </w:pPr>
                </w:p>
                <w:p w14:paraId="4BDD3612" w14:textId="77777777" w:rsidR="00B06747" w:rsidRPr="002040DB" w:rsidRDefault="00B06747" w:rsidP="00B06747">
                  <w:pPr>
                    <w:rPr>
                      <w:rFonts w:ascii="Tahoma" w:eastAsia="Calibri" w:hAnsi="Tahoma" w:cs="Tahoma"/>
                      <w:sz w:val="20"/>
                      <w:szCs w:val="20"/>
                    </w:rPr>
                  </w:pPr>
                </w:p>
                <w:p w14:paraId="00703240" w14:textId="77777777" w:rsidR="00B06747" w:rsidRPr="002040DB" w:rsidRDefault="00B06747" w:rsidP="00B06747">
                  <w:pPr>
                    <w:rPr>
                      <w:rFonts w:ascii="Tahoma" w:eastAsia="Calibri" w:hAnsi="Tahoma" w:cs="Tahoma"/>
                      <w:sz w:val="20"/>
                      <w:szCs w:val="20"/>
                    </w:rPr>
                  </w:pPr>
                </w:p>
                <w:p w14:paraId="6B446F54" w14:textId="77777777" w:rsidR="00B06747" w:rsidRPr="002040DB" w:rsidRDefault="00B06747" w:rsidP="00B06747">
                  <w:pPr>
                    <w:rPr>
                      <w:rFonts w:ascii="Tahoma" w:eastAsia="Calibri" w:hAnsi="Tahoma" w:cs="Tahoma"/>
                      <w:sz w:val="20"/>
                      <w:szCs w:val="20"/>
                    </w:rPr>
                  </w:pPr>
                </w:p>
                <w:p w14:paraId="3B6FDE8E"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Operating Expenditure</w:t>
                  </w:r>
                </w:p>
                <w:p w14:paraId="4DB9C853" w14:textId="77777777" w:rsidR="00B06747" w:rsidRPr="002040DB" w:rsidRDefault="00B06747" w:rsidP="00B06747">
                  <w:pPr>
                    <w:rPr>
                      <w:rFonts w:ascii="Tahoma" w:eastAsia="Calibri" w:hAnsi="Tahoma" w:cs="Tahoma"/>
                      <w:sz w:val="20"/>
                      <w:szCs w:val="20"/>
                    </w:rPr>
                  </w:pPr>
                </w:p>
                <w:p w14:paraId="6B46F0B7" w14:textId="77777777" w:rsidR="00B06747" w:rsidRPr="002040DB" w:rsidRDefault="00B06747" w:rsidP="00B06747">
                  <w:pPr>
                    <w:rPr>
                      <w:rFonts w:ascii="Tahoma" w:eastAsia="Calibri" w:hAnsi="Tahoma" w:cs="Tahoma"/>
                      <w:sz w:val="20"/>
                      <w:szCs w:val="20"/>
                    </w:rPr>
                  </w:pPr>
                </w:p>
              </w:tc>
              <w:tc>
                <w:tcPr>
                  <w:tcW w:w="4855" w:type="dxa"/>
                </w:tcPr>
                <w:p w14:paraId="1B8D9125" w14:textId="77777777" w:rsidR="00B06747" w:rsidRPr="002040DB" w:rsidRDefault="00B06747" w:rsidP="00B06747">
                  <w:pPr>
                    <w:rPr>
                      <w:rFonts w:ascii="Tahoma" w:eastAsia="Calibri" w:hAnsi="Tahoma" w:cs="Tahoma"/>
                      <w:sz w:val="20"/>
                      <w:szCs w:val="20"/>
                    </w:rPr>
                  </w:pPr>
                </w:p>
                <w:p w14:paraId="21060B3D" w14:textId="77777777" w:rsidR="00B06747" w:rsidRPr="002040DB" w:rsidRDefault="00B06747" w:rsidP="00B06747">
                  <w:pPr>
                    <w:rPr>
                      <w:rFonts w:ascii="Tahoma" w:eastAsia="Calibri" w:hAnsi="Tahoma" w:cs="Tahoma"/>
                      <w:sz w:val="20"/>
                      <w:szCs w:val="20"/>
                    </w:rPr>
                  </w:pPr>
                </w:p>
                <w:p w14:paraId="7FE9F1FB" w14:textId="77777777" w:rsidR="00B06747" w:rsidRPr="002040DB" w:rsidRDefault="00B06747" w:rsidP="00B06747">
                  <w:pPr>
                    <w:rPr>
                      <w:rFonts w:ascii="Tahoma" w:eastAsia="Calibri" w:hAnsi="Tahoma" w:cs="Tahoma"/>
                      <w:sz w:val="20"/>
                      <w:szCs w:val="20"/>
                    </w:rPr>
                  </w:pPr>
                </w:p>
                <w:p w14:paraId="4CF52DAF"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lastRenderedPageBreak/>
                    <w:t>E1.2 Opex / E1.2.1 Reference Services – Repairs and Maintenance</w:t>
                  </w:r>
                </w:p>
                <w:p w14:paraId="74E66405"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F4. Operating Expenditure / F4.1.3 Distribution Business – Repairs and Maintenance</w:t>
                  </w:r>
                </w:p>
                <w:p w14:paraId="4597FEAA" w14:textId="77777777" w:rsidR="00B06747" w:rsidRPr="002040DB" w:rsidRDefault="00B06747" w:rsidP="00B06747">
                  <w:pPr>
                    <w:rPr>
                      <w:rFonts w:ascii="Tahoma" w:eastAsia="Calibri" w:hAnsi="Tahoma" w:cs="Tahoma"/>
                      <w:sz w:val="20"/>
                      <w:szCs w:val="20"/>
                    </w:rPr>
                  </w:pPr>
                </w:p>
                <w:p w14:paraId="73119A7E"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F1.3 Distribution Business / F1.3.2 Expenditure – Operating Expenditure</w:t>
                  </w:r>
                </w:p>
              </w:tc>
            </w:tr>
          </w:tbl>
          <w:p w14:paraId="6E8011D7" w14:textId="77777777" w:rsidR="00B06747" w:rsidRPr="002040DB" w:rsidRDefault="00B06747" w:rsidP="00B06747">
            <w:pPr>
              <w:rPr>
                <w:rFonts w:ascii="Tahoma" w:eastAsia="Calibri" w:hAnsi="Tahoma" w:cs="Tahoma"/>
                <w:sz w:val="20"/>
                <w:szCs w:val="20"/>
              </w:rPr>
            </w:pPr>
          </w:p>
          <w:p w14:paraId="423945C3"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 xml:space="preserve">As a result of these adjustments, all of the expenditure originally recorded against the above activities is transferred to operating expenditure.  Therefore there are no amounts of capital expenditure to report in this RIN table. </w:t>
            </w:r>
          </w:p>
        </w:tc>
      </w:tr>
      <w:tr w:rsidR="00B06747" w:rsidRPr="002040DB" w14:paraId="363EC130" w14:textId="77777777" w:rsidTr="00B06747">
        <w:tc>
          <w:tcPr>
            <w:tcW w:w="2122" w:type="dxa"/>
          </w:tcPr>
          <w:p w14:paraId="7BDB06AC" w14:textId="77777777" w:rsidR="00B06747" w:rsidRPr="002040DB" w:rsidRDefault="00B06747" w:rsidP="00B06747">
            <w:pPr>
              <w:rPr>
                <w:rFonts w:ascii="Tahoma" w:eastAsia="Calibri" w:hAnsi="Tahoma" w:cs="Tahoma"/>
                <w:b/>
                <w:sz w:val="20"/>
                <w:szCs w:val="20"/>
              </w:rPr>
            </w:pPr>
            <w:r w:rsidRPr="002040DB">
              <w:rPr>
                <w:rFonts w:ascii="Tahoma" w:eastAsia="Calibri" w:hAnsi="Tahoma" w:cs="Tahoma"/>
                <w:b/>
                <w:sz w:val="20"/>
                <w:szCs w:val="20"/>
              </w:rPr>
              <w:lastRenderedPageBreak/>
              <w:t>Marketing Rebates</w:t>
            </w:r>
          </w:p>
          <w:p w14:paraId="1C9BDC90" w14:textId="77777777" w:rsidR="00B06747" w:rsidRPr="002040DB" w:rsidRDefault="00B06747" w:rsidP="00B06747">
            <w:pPr>
              <w:rPr>
                <w:rFonts w:ascii="Tahoma" w:eastAsia="Calibri" w:hAnsi="Tahoma" w:cs="Tahoma"/>
                <w:b/>
                <w:sz w:val="20"/>
                <w:szCs w:val="20"/>
              </w:rPr>
            </w:pPr>
          </w:p>
          <w:p w14:paraId="22693F54" w14:textId="77777777" w:rsidR="00B06747" w:rsidRPr="002040DB" w:rsidRDefault="00B06747" w:rsidP="00B06747">
            <w:pPr>
              <w:rPr>
                <w:rFonts w:ascii="Tahoma" w:eastAsia="Calibri" w:hAnsi="Tahoma" w:cs="Tahoma"/>
                <w:b/>
                <w:sz w:val="20"/>
                <w:szCs w:val="20"/>
              </w:rPr>
            </w:pPr>
          </w:p>
          <w:p w14:paraId="3AAF4A24" w14:textId="77777777" w:rsidR="00B06747" w:rsidRPr="002040DB" w:rsidRDefault="00B06747" w:rsidP="00B06747">
            <w:pPr>
              <w:rPr>
                <w:rFonts w:ascii="Tahoma" w:eastAsia="Calibri" w:hAnsi="Tahoma" w:cs="Tahoma"/>
                <w:b/>
                <w:sz w:val="20"/>
                <w:szCs w:val="20"/>
              </w:rPr>
            </w:pPr>
          </w:p>
          <w:p w14:paraId="71BC0BA3" w14:textId="77777777" w:rsidR="00B06747" w:rsidRPr="002040DB" w:rsidRDefault="00B06747" w:rsidP="00B06747">
            <w:pPr>
              <w:rPr>
                <w:rFonts w:ascii="Tahoma" w:eastAsia="Calibri" w:hAnsi="Tahoma" w:cs="Tahoma"/>
                <w:b/>
                <w:sz w:val="20"/>
                <w:szCs w:val="20"/>
              </w:rPr>
            </w:pPr>
          </w:p>
        </w:tc>
        <w:tc>
          <w:tcPr>
            <w:tcW w:w="2693" w:type="dxa"/>
          </w:tcPr>
          <w:p w14:paraId="56174DC5"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lastRenderedPageBreak/>
              <w:t>Regulatory accounting treatment is different to Statutory accounting</w:t>
            </w:r>
          </w:p>
          <w:p w14:paraId="570F6B96" w14:textId="77777777" w:rsidR="00B06747" w:rsidRPr="002040DB" w:rsidRDefault="00B06747" w:rsidP="00B06747">
            <w:pPr>
              <w:rPr>
                <w:rFonts w:ascii="Tahoma" w:eastAsia="Calibri" w:hAnsi="Tahoma" w:cs="Tahoma"/>
                <w:sz w:val="20"/>
                <w:szCs w:val="20"/>
              </w:rPr>
            </w:pPr>
          </w:p>
        </w:tc>
        <w:tc>
          <w:tcPr>
            <w:tcW w:w="9072" w:type="dxa"/>
          </w:tcPr>
          <w:p w14:paraId="059F3E59"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lastRenderedPageBreak/>
              <w:t xml:space="preserve">In accordance with the Regulatory Accounting Principles and Policies document, AGN Limited has consistently treated expenditure on Marketing Rebates as Opex for regulatory accounting purposes.  </w:t>
            </w:r>
            <w:r w:rsidRPr="002040DB">
              <w:rPr>
                <w:rFonts w:ascii="Tahoma" w:eastAsia="Calibri" w:hAnsi="Tahoma" w:cs="Tahoma"/>
                <w:sz w:val="20"/>
                <w:szCs w:val="20"/>
              </w:rPr>
              <w:lastRenderedPageBreak/>
              <w:t>Since 1 January 2016 AGN Limited has capitalised the rebates relating to existing customers for Statutory accounting purposes.</w:t>
            </w:r>
            <w:r w:rsidRPr="002040DB" w:rsidDel="00577DF1">
              <w:rPr>
                <w:rFonts w:ascii="Tahoma" w:eastAsia="Calibri" w:hAnsi="Tahoma" w:cs="Tahoma"/>
                <w:sz w:val="20"/>
                <w:szCs w:val="20"/>
              </w:rPr>
              <w:t xml:space="preserve"> </w:t>
            </w:r>
          </w:p>
          <w:p w14:paraId="4927A28A" w14:textId="77777777" w:rsidR="00B06747" w:rsidRPr="002040DB" w:rsidRDefault="00B06747" w:rsidP="00B06747">
            <w:pPr>
              <w:rPr>
                <w:rFonts w:ascii="Tahoma" w:eastAsia="Calibri" w:hAnsi="Tahoma" w:cs="Tahoma"/>
                <w:sz w:val="20"/>
                <w:szCs w:val="20"/>
              </w:rPr>
            </w:pPr>
          </w:p>
          <w:p w14:paraId="1093698B"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From January 2016, the methodology applied to determine this adjustment for regulatory accounting purposes is as follows:</w:t>
            </w:r>
          </w:p>
          <w:p w14:paraId="0244B212" w14:textId="77777777" w:rsidR="00B06747" w:rsidRPr="002040DB" w:rsidRDefault="00B06747" w:rsidP="00B06747">
            <w:pPr>
              <w:rPr>
                <w:rFonts w:ascii="Tahoma" w:eastAsia="Calibri" w:hAnsi="Tahoma" w:cs="Tahoma"/>
                <w:sz w:val="20"/>
                <w:szCs w:val="20"/>
              </w:rPr>
            </w:pPr>
          </w:p>
          <w:p w14:paraId="20701556"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 xml:space="preserve">Expenditure on Marketing Rebates is identified by AGN Limited in working papers provided by APA that calculate the rebates paid to existing customers for any additional (applicable) gas appliances they connect. This expenditure is represented by a standard cost multiplied by the number of rebates offered each month. </w:t>
            </w:r>
          </w:p>
          <w:p w14:paraId="06EF51F3" w14:textId="77777777" w:rsidR="00B06747" w:rsidRPr="002040DB" w:rsidRDefault="00B06747" w:rsidP="00B06747">
            <w:pPr>
              <w:rPr>
                <w:rFonts w:ascii="Tahoma" w:eastAsia="Calibri" w:hAnsi="Tahoma" w:cs="Tahoma"/>
                <w:sz w:val="20"/>
                <w:szCs w:val="20"/>
              </w:rPr>
            </w:pPr>
          </w:p>
          <w:p w14:paraId="26278942"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These amounts are totalled for each year and recorded as an adjustment to the following Capex Activity which is the Activity to which the initial expenditure is mapped in APA’s Oracle finance system.  The corresponding adjustments are reported as Opex – Marketing and Retail Incentives.</w:t>
            </w:r>
          </w:p>
          <w:p w14:paraId="55C9625F" w14:textId="77777777" w:rsidR="00B06747" w:rsidRPr="002040DB" w:rsidRDefault="00B06747" w:rsidP="00B06747">
            <w:pPr>
              <w:rPr>
                <w:rFonts w:ascii="Tahoma" w:eastAsia="Calibri" w:hAnsi="Tahoma" w:cs="Tahoma"/>
                <w:sz w:val="20"/>
                <w:szCs w:val="20"/>
              </w:rPr>
            </w:pPr>
          </w:p>
          <w:tbl>
            <w:tblPr>
              <w:tblStyle w:val="TableGrid1"/>
              <w:tblW w:w="0" w:type="auto"/>
              <w:tblLook w:val="04A0" w:firstRow="1" w:lastRow="0" w:firstColumn="1" w:lastColumn="0" w:noHBand="0" w:noVBand="1"/>
            </w:tblPr>
            <w:tblGrid>
              <w:gridCol w:w="3849"/>
              <w:gridCol w:w="4997"/>
            </w:tblGrid>
            <w:tr w:rsidR="00B06747" w:rsidRPr="002040DB" w14:paraId="7B7F69E2" w14:textId="77777777" w:rsidTr="00B06747">
              <w:tc>
                <w:tcPr>
                  <w:tcW w:w="3849" w:type="dxa"/>
                </w:tcPr>
                <w:p w14:paraId="29CFB599" w14:textId="77777777" w:rsidR="00B06747" w:rsidRPr="002040DB" w:rsidRDefault="00B06747" w:rsidP="00B06747">
                  <w:pPr>
                    <w:rPr>
                      <w:rFonts w:ascii="Tahoma" w:eastAsia="Calibri" w:hAnsi="Tahoma" w:cs="Tahoma"/>
                      <w:b/>
                      <w:sz w:val="20"/>
                      <w:szCs w:val="20"/>
                    </w:rPr>
                  </w:pPr>
                  <w:r w:rsidRPr="002040DB">
                    <w:rPr>
                      <w:rFonts w:ascii="Tahoma" w:eastAsia="Calibri" w:hAnsi="Tahoma" w:cs="Tahoma"/>
                      <w:b/>
                      <w:sz w:val="20"/>
                      <w:szCs w:val="20"/>
                    </w:rPr>
                    <w:t>Activity</w:t>
                  </w:r>
                </w:p>
              </w:tc>
              <w:tc>
                <w:tcPr>
                  <w:tcW w:w="4997" w:type="dxa"/>
                </w:tcPr>
                <w:p w14:paraId="20767551" w14:textId="77777777" w:rsidR="00B06747" w:rsidRPr="002040DB" w:rsidRDefault="00B06747" w:rsidP="00B06747">
                  <w:pPr>
                    <w:rPr>
                      <w:rFonts w:ascii="Tahoma" w:eastAsia="Calibri" w:hAnsi="Tahoma" w:cs="Tahoma"/>
                      <w:b/>
                      <w:sz w:val="20"/>
                      <w:szCs w:val="20"/>
                    </w:rPr>
                  </w:pPr>
                  <w:r w:rsidRPr="002040DB">
                    <w:rPr>
                      <w:rFonts w:ascii="Tahoma" w:eastAsia="Calibri" w:hAnsi="Tahoma" w:cs="Tahoma"/>
                      <w:b/>
                      <w:sz w:val="20"/>
                      <w:szCs w:val="20"/>
                    </w:rPr>
                    <w:t>Activity Level6 Desc_MP</w:t>
                  </w:r>
                </w:p>
              </w:tc>
            </w:tr>
            <w:tr w:rsidR="00B06747" w:rsidRPr="002040DB" w14:paraId="1B4C5B85" w14:textId="77777777" w:rsidTr="00B06747">
              <w:tc>
                <w:tcPr>
                  <w:tcW w:w="3849" w:type="dxa"/>
                </w:tcPr>
                <w:p w14:paraId="620DEB8D"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2516 New Service – Existing Home</w:t>
                  </w:r>
                </w:p>
              </w:tc>
              <w:tc>
                <w:tcPr>
                  <w:tcW w:w="4997" w:type="dxa"/>
                </w:tcPr>
                <w:p w14:paraId="4B126227"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Inlets</w:t>
                  </w:r>
                </w:p>
              </w:tc>
            </w:tr>
          </w:tbl>
          <w:p w14:paraId="5B5FBFA0" w14:textId="77777777" w:rsidR="00B06747" w:rsidRPr="002040DB" w:rsidRDefault="00B06747" w:rsidP="00B06747">
            <w:pPr>
              <w:rPr>
                <w:rFonts w:ascii="Tahoma" w:eastAsia="Calibri" w:hAnsi="Tahoma" w:cs="Tahoma"/>
                <w:sz w:val="20"/>
                <w:szCs w:val="20"/>
              </w:rPr>
            </w:pPr>
          </w:p>
          <w:p w14:paraId="034753D1" w14:textId="73201FC4" w:rsidR="00B06747" w:rsidRPr="002040DB" w:rsidRDefault="00B06747" w:rsidP="00B06747">
            <w:pPr>
              <w:rPr>
                <w:rFonts w:ascii="Tahoma" w:eastAsia="Calibri" w:hAnsi="Tahoma" w:cs="Tahoma"/>
                <w:sz w:val="20"/>
                <w:szCs w:val="20"/>
                <w:u w:val="single"/>
              </w:rPr>
            </w:pPr>
            <w:r w:rsidRPr="002040DB">
              <w:rPr>
                <w:rFonts w:ascii="Tahoma" w:eastAsia="Calibri" w:hAnsi="Tahoma" w:cs="Tahoma"/>
                <w:sz w:val="20"/>
                <w:szCs w:val="20"/>
                <w:u w:val="single"/>
              </w:rPr>
              <w:t xml:space="preserve">Mapping to the </w:t>
            </w:r>
            <w:r w:rsidR="008214CA" w:rsidRPr="002040DB">
              <w:rPr>
                <w:rFonts w:ascii="Tahoma" w:eastAsia="Calibri" w:hAnsi="Tahoma" w:cs="Tahoma"/>
                <w:sz w:val="20"/>
                <w:szCs w:val="20"/>
                <w:u w:val="single"/>
              </w:rPr>
              <w:t>Annual RIN</w:t>
            </w:r>
            <w:r w:rsidRPr="002040DB">
              <w:rPr>
                <w:rFonts w:ascii="Tahoma" w:eastAsia="Calibri" w:hAnsi="Tahoma" w:cs="Tahoma"/>
                <w:sz w:val="20"/>
                <w:szCs w:val="20"/>
                <w:u w:val="single"/>
              </w:rPr>
              <w:t xml:space="preserve"> templates</w:t>
            </w:r>
          </w:p>
          <w:p w14:paraId="6267219C" w14:textId="1C07A37E"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 xml:space="preserve">Expenditure and associated adjustments recorded against the activities listed above, are reported in the </w:t>
            </w:r>
            <w:r w:rsidR="008214CA" w:rsidRPr="002040DB">
              <w:rPr>
                <w:rFonts w:ascii="Tahoma" w:eastAsia="Calibri" w:hAnsi="Tahoma" w:cs="Tahoma"/>
                <w:sz w:val="20"/>
                <w:szCs w:val="20"/>
              </w:rPr>
              <w:t>Annual RIN</w:t>
            </w:r>
            <w:r w:rsidRPr="002040DB">
              <w:rPr>
                <w:rFonts w:ascii="Tahoma" w:eastAsia="Calibri" w:hAnsi="Tahoma" w:cs="Tahoma"/>
                <w:sz w:val="20"/>
                <w:szCs w:val="20"/>
              </w:rPr>
              <w:t xml:space="preserve"> tables as follows:</w:t>
            </w:r>
          </w:p>
          <w:p w14:paraId="29814FB7" w14:textId="77777777" w:rsidR="00B06747" w:rsidRPr="002040DB" w:rsidRDefault="00B06747" w:rsidP="00B06747">
            <w:pPr>
              <w:rPr>
                <w:rFonts w:ascii="Tahoma" w:eastAsia="Calibri" w:hAnsi="Tahoma" w:cs="Tahoma"/>
                <w:sz w:val="20"/>
                <w:szCs w:val="20"/>
              </w:rPr>
            </w:pPr>
          </w:p>
          <w:tbl>
            <w:tblPr>
              <w:tblStyle w:val="TableGrid1"/>
              <w:tblW w:w="0" w:type="auto"/>
              <w:tblLook w:val="04A0" w:firstRow="1" w:lastRow="0" w:firstColumn="1" w:lastColumn="0" w:noHBand="0" w:noVBand="1"/>
            </w:tblPr>
            <w:tblGrid>
              <w:gridCol w:w="3849"/>
              <w:gridCol w:w="4997"/>
            </w:tblGrid>
            <w:tr w:rsidR="00B06747" w:rsidRPr="002040DB" w14:paraId="65C4D715" w14:textId="77777777" w:rsidTr="00B06747">
              <w:tc>
                <w:tcPr>
                  <w:tcW w:w="3849" w:type="dxa"/>
                </w:tcPr>
                <w:p w14:paraId="60DBFB7E" w14:textId="77777777" w:rsidR="00B06747" w:rsidRPr="002040DB" w:rsidRDefault="00B06747" w:rsidP="00B06747">
                  <w:pPr>
                    <w:rPr>
                      <w:rFonts w:ascii="Tahoma" w:eastAsia="Calibri" w:hAnsi="Tahoma" w:cs="Tahoma"/>
                      <w:b/>
                      <w:sz w:val="20"/>
                      <w:szCs w:val="20"/>
                    </w:rPr>
                  </w:pPr>
                  <w:r w:rsidRPr="002040DB">
                    <w:rPr>
                      <w:rFonts w:ascii="Tahoma" w:eastAsia="Calibri" w:hAnsi="Tahoma" w:cs="Tahoma"/>
                      <w:b/>
                      <w:sz w:val="20"/>
                      <w:szCs w:val="20"/>
                    </w:rPr>
                    <w:t>Activity</w:t>
                  </w:r>
                </w:p>
              </w:tc>
              <w:tc>
                <w:tcPr>
                  <w:tcW w:w="4997" w:type="dxa"/>
                </w:tcPr>
                <w:p w14:paraId="724BECB5" w14:textId="542A75B7" w:rsidR="00B06747" w:rsidRPr="002040DB" w:rsidRDefault="008214CA" w:rsidP="00B06747">
                  <w:pPr>
                    <w:rPr>
                      <w:rFonts w:ascii="Tahoma" w:eastAsia="Calibri" w:hAnsi="Tahoma" w:cs="Tahoma"/>
                      <w:b/>
                      <w:sz w:val="20"/>
                      <w:szCs w:val="20"/>
                    </w:rPr>
                  </w:pPr>
                  <w:r w:rsidRPr="002040DB">
                    <w:rPr>
                      <w:rFonts w:ascii="Tahoma" w:eastAsia="Calibri" w:hAnsi="Tahoma" w:cs="Tahoma"/>
                      <w:b/>
                      <w:sz w:val="20"/>
                      <w:szCs w:val="20"/>
                    </w:rPr>
                    <w:t>Annual RIN</w:t>
                  </w:r>
                  <w:r w:rsidR="00B06747" w:rsidRPr="002040DB">
                    <w:rPr>
                      <w:rFonts w:ascii="Tahoma" w:eastAsia="Calibri" w:hAnsi="Tahoma" w:cs="Tahoma"/>
                      <w:b/>
                      <w:sz w:val="20"/>
                      <w:szCs w:val="20"/>
                    </w:rPr>
                    <w:t xml:space="preserve"> tab / table / category type</w:t>
                  </w:r>
                </w:p>
              </w:tc>
            </w:tr>
            <w:tr w:rsidR="00B06747" w:rsidRPr="002040DB" w14:paraId="336D6637" w14:textId="77777777" w:rsidTr="00B06747">
              <w:trPr>
                <w:trHeight w:val="683"/>
              </w:trPr>
              <w:tc>
                <w:tcPr>
                  <w:tcW w:w="3849" w:type="dxa"/>
                </w:tcPr>
                <w:p w14:paraId="4B7C403B"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2516 New Service – Existing Home</w:t>
                  </w:r>
                </w:p>
              </w:tc>
              <w:tc>
                <w:tcPr>
                  <w:tcW w:w="4997" w:type="dxa"/>
                </w:tcPr>
                <w:p w14:paraId="78B8FE15"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E1.1 – Capex / E1.1.1 Reference Services / Connections</w:t>
                  </w:r>
                </w:p>
                <w:p w14:paraId="6BF865FC"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F2.4 – Capex by Asset Class / F2.4.2 Actual – As Incurred / Inlets</w:t>
                  </w:r>
                </w:p>
              </w:tc>
            </w:tr>
            <w:tr w:rsidR="00B06747" w:rsidRPr="002040DB" w14:paraId="690C2E89" w14:textId="77777777" w:rsidTr="00B06747">
              <w:trPr>
                <w:trHeight w:val="683"/>
              </w:trPr>
              <w:tc>
                <w:tcPr>
                  <w:tcW w:w="3849" w:type="dxa"/>
                </w:tcPr>
                <w:p w14:paraId="06F71497"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Corresponding adjustments above are reported as:</w:t>
                  </w:r>
                </w:p>
                <w:p w14:paraId="4FDD98B5" w14:textId="77777777" w:rsidR="00B06747" w:rsidRPr="002040DB" w:rsidRDefault="00B06747" w:rsidP="00B06747">
                  <w:pPr>
                    <w:rPr>
                      <w:rFonts w:ascii="Tahoma" w:eastAsia="Calibri" w:hAnsi="Tahoma" w:cs="Tahoma"/>
                      <w:sz w:val="20"/>
                      <w:szCs w:val="20"/>
                    </w:rPr>
                  </w:pPr>
                </w:p>
                <w:p w14:paraId="033825E8"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 xml:space="preserve">Marketing and Retail Incentives </w:t>
                  </w:r>
                </w:p>
                <w:p w14:paraId="1C12FA11" w14:textId="77777777" w:rsidR="00B06747" w:rsidRPr="002040DB" w:rsidRDefault="00B06747" w:rsidP="00B06747">
                  <w:pPr>
                    <w:rPr>
                      <w:rFonts w:ascii="Tahoma" w:eastAsia="Calibri" w:hAnsi="Tahoma" w:cs="Tahoma"/>
                      <w:sz w:val="20"/>
                      <w:szCs w:val="20"/>
                    </w:rPr>
                  </w:pPr>
                </w:p>
                <w:p w14:paraId="1F102E47" w14:textId="77777777" w:rsidR="00B06747" w:rsidRPr="002040DB" w:rsidRDefault="00B06747" w:rsidP="00B06747">
                  <w:pPr>
                    <w:rPr>
                      <w:rFonts w:ascii="Tahoma" w:eastAsia="Calibri" w:hAnsi="Tahoma" w:cs="Tahoma"/>
                      <w:sz w:val="20"/>
                      <w:szCs w:val="20"/>
                    </w:rPr>
                  </w:pPr>
                </w:p>
                <w:p w14:paraId="4ACC2AF1" w14:textId="77777777" w:rsidR="00B06747" w:rsidRPr="002040DB" w:rsidRDefault="00B06747" w:rsidP="00B06747">
                  <w:pPr>
                    <w:rPr>
                      <w:rFonts w:ascii="Tahoma" w:eastAsia="Calibri" w:hAnsi="Tahoma" w:cs="Tahoma"/>
                      <w:sz w:val="20"/>
                      <w:szCs w:val="20"/>
                    </w:rPr>
                  </w:pPr>
                </w:p>
                <w:p w14:paraId="15982E87" w14:textId="77777777" w:rsidR="00B06747" w:rsidRPr="002040DB" w:rsidRDefault="00B06747" w:rsidP="00B06747">
                  <w:pPr>
                    <w:rPr>
                      <w:rFonts w:ascii="Tahoma" w:eastAsia="Calibri" w:hAnsi="Tahoma" w:cs="Tahoma"/>
                      <w:sz w:val="20"/>
                      <w:szCs w:val="20"/>
                    </w:rPr>
                  </w:pPr>
                </w:p>
                <w:p w14:paraId="0A3DB5C1"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Operating Expenditure</w:t>
                  </w:r>
                </w:p>
                <w:p w14:paraId="7C72763D" w14:textId="77777777" w:rsidR="00B06747" w:rsidRPr="002040DB" w:rsidRDefault="00B06747" w:rsidP="00B06747">
                  <w:pPr>
                    <w:rPr>
                      <w:rFonts w:ascii="Tahoma" w:eastAsia="Calibri" w:hAnsi="Tahoma" w:cs="Tahoma"/>
                      <w:sz w:val="20"/>
                      <w:szCs w:val="20"/>
                    </w:rPr>
                  </w:pPr>
                </w:p>
                <w:p w14:paraId="4E2F0D27" w14:textId="77777777" w:rsidR="00B06747" w:rsidRPr="002040DB" w:rsidRDefault="00B06747" w:rsidP="00B06747">
                  <w:pPr>
                    <w:rPr>
                      <w:rFonts w:ascii="Tahoma" w:eastAsia="Calibri" w:hAnsi="Tahoma" w:cs="Tahoma"/>
                      <w:sz w:val="20"/>
                      <w:szCs w:val="20"/>
                    </w:rPr>
                  </w:pPr>
                </w:p>
              </w:tc>
              <w:tc>
                <w:tcPr>
                  <w:tcW w:w="4997" w:type="dxa"/>
                </w:tcPr>
                <w:p w14:paraId="7E1868E8" w14:textId="77777777" w:rsidR="00B06747" w:rsidRPr="002040DB" w:rsidRDefault="00B06747" w:rsidP="00B06747">
                  <w:pPr>
                    <w:rPr>
                      <w:rFonts w:ascii="Tahoma" w:eastAsia="Calibri" w:hAnsi="Tahoma" w:cs="Tahoma"/>
                      <w:sz w:val="20"/>
                      <w:szCs w:val="20"/>
                    </w:rPr>
                  </w:pPr>
                </w:p>
                <w:p w14:paraId="097D8106" w14:textId="77777777" w:rsidR="00B06747" w:rsidRPr="002040DB" w:rsidRDefault="00B06747" w:rsidP="00B06747">
                  <w:pPr>
                    <w:rPr>
                      <w:rFonts w:ascii="Tahoma" w:eastAsia="Calibri" w:hAnsi="Tahoma" w:cs="Tahoma"/>
                      <w:sz w:val="20"/>
                      <w:szCs w:val="20"/>
                    </w:rPr>
                  </w:pPr>
                </w:p>
                <w:p w14:paraId="2ECB76A8" w14:textId="77777777" w:rsidR="00B06747" w:rsidRPr="002040DB" w:rsidRDefault="00B06747" w:rsidP="00B06747">
                  <w:pPr>
                    <w:rPr>
                      <w:rFonts w:ascii="Tahoma" w:eastAsia="Calibri" w:hAnsi="Tahoma" w:cs="Tahoma"/>
                      <w:sz w:val="20"/>
                      <w:szCs w:val="20"/>
                    </w:rPr>
                  </w:pPr>
                </w:p>
                <w:p w14:paraId="4E93DCB4"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E1.2 Opex / E1.2.1 Reference Services – Marketing and Retail Incentives</w:t>
                  </w:r>
                </w:p>
                <w:p w14:paraId="1986BEC8"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F4. Operating Expenditure / F4.1.3 Distribution Business – Marketing and Retail Incentives</w:t>
                  </w:r>
                </w:p>
                <w:p w14:paraId="6151CCE1" w14:textId="77777777" w:rsidR="00B06747" w:rsidRPr="002040DB" w:rsidRDefault="00B06747" w:rsidP="00B06747">
                  <w:pPr>
                    <w:rPr>
                      <w:rFonts w:ascii="Tahoma" w:eastAsia="Calibri" w:hAnsi="Tahoma" w:cs="Tahoma"/>
                      <w:sz w:val="20"/>
                      <w:szCs w:val="20"/>
                    </w:rPr>
                  </w:pPr>
                </w:p>
                <w:p w14:paraId="1A2DC5DB"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F1.3 Distribution Business / F1.3.2 Expenditure – Operating Expenditure</w:t>
                  </w:r>
                </w:p>
              </w:tc>
            </w:tr>
          </w:tbl>
          <w:p w14:paraId="13621EA8" w14:textId="77777777" w:rsidR="00B06747" w:rsidRPr="002040DB" w:rsidRDefault="00B06747" w:rsidP="00B06747">
            <w:pPr>
              <w:rPr>
                <w:rFonts w:ascii="Tahoma" w:eastAsia="Calibri" w:hAnsi="Tahoma" w:cs="Tahoma"/>
                <w:sz w:val="20"/>
                <w:szCs w:val="20"/>
              </w:rPr>
            </w:pPr>
          </w:p>
        </w:tc>
      </w:tr>
      <w:tr w:rsidR="00B06747" w:rsidRPr="002040DB" w14:paraId="220B9F98" w14:textId="77777777" w:rsidTr="00B06747">
        <w:tc>
          <w:tcPr>
            <w:tcW w:w="2122" w:type="dxa"/>
          </w:tcPr>
          <w:p w14:paraId="20862415" w14:textId="77777777" w:rsidR="00B06747" w:rsidRPr="002040DB" w:rsidRDefault="00B06747" w:rsidP="00B06747">
            <w:pPr>
              <w:rPr>
                <w:rFonts w:ascii="Tahoma" w:eastAsia="Calibri" w:hAnsi="Tahoma" w:cs="Tahoma"/>
                <w:b/>
                <w:sz w:val="20"/>
                <w:szCs w:val="20"/>
              </w:rPr>
            </w:pPr>
            <w:r w:rsidRPr="002040DB">
              <w:rPr>
                <w:rFonts w:ascii="Tahoma" w:eastAsia="Calibri" w:hAnsi="Tahoma" w:cs="Tahoma"/>
                <w:b/>
                <w:sz w:val="20"/>
                <w:szCs w:val="20"/>
              </w:rPr>
              <w:lastRenderedPageBreak/>
              <w:t>Head Office Additions and other adjustments</w:t>
            </w:r>
          </w:p>
          <w:p w14:paraId="552304B5" w14:textId="77777777" w:rsidR="00B06747" w:rsidRPr="002040DB" w:rsidRDefault="00B06747" w:rsidP="00B06747">
            <w:pPr>
              <w:rPr>
                <w:rFonts w:ascii="Tahoma" w:eastAsia="Calibri" w:hAnsi="Tahoma" w:cs="Tahoma"/>
                <w:b/>
                <w:sz w:val="20"/>
                <w:szCs w:val="20"/>
              </w:rPr>
            </w:pPr>
          </w:p>
          <w:p w14:paraId="3B786DBE" w14:textId="77777777" w:rsidR="00B06747" w:rsidRPr="002040DB" w:rsidRDefault="00B06747" w:rsidP="00B06747">
            <w:pPr>
              <w:rPr>
                <w:rFonts w:ascii="Tahoma" w:eastAsia="Calibri" w:hAnsi="Tahoma" w:cs="Tahoma"/>
                <w:b/>
                <w:sz w:val="20"/>
                <w:szCs w:val="20"/>
              </w:rPr>
            </w:pPr>
          </w:p>
          <w:p w14:paraId="1616F1A3" w14:textId="77777777" w:rsidR="00B06747" w:rsidRPr="002040DB" w:rsidRDefault="00B06747" w:rsidP="00B06747">
            <w:pPr>
              <w:rPr>
                <w:rFonts w:ascii="Tahoma" w:eastAsia="Calibri" w:hAnsi="Tahoma" w:cs="Tahoma"/>
                <w:b/>
                <w:sz w:val="20"/>
                <w:szCs w:val="20"/>
              </w:rPr>
            </w:pPr>
          </w:p>
          <w:p w14:paraId="0940A501" w14:textId="77777777" w:rsidR="00B06747" w:rsidRPr="002040DB" w:rsidRDefault="00B06747" w:rsidP="00B06747">
            <w:pPr>
              <w:rPr>
                <w:rFonts w:ascii="Tahoma" w:eastAsia="Calibri" w:hAnsi="Tahoma" w:cs="Tahoma"/>
                <w:b/>
                <w:sz w:val="20"/>
                <w:szCs w:val="20"/>
              </w:rPr>
            </w:pPr>
          </w:p>
        </w:tc>
        <w:tc>
          <w:tcPr>
            <w:tcW w:w="2693" w:type="dxa"/>
          </w:tcPr>
          <w:p w14:paraId="1006BFFA"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AGN Limited internal expenditure not included in APA Ring Fenced Accounts data</w:t>
            </w:r>
          </w:p>
        </w:tc>
        <w:tc>
          <w:tcPr>
            <w:tcW w:w="9072" w:type="dxa"/>
          </w:tcPr>
          <w:p w14:paraId="6DFF9E87"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AGN Limited records internal non-network Capex in its SAP Business One finance system.  This expenditure primarily relates to corporate ICT systems and office furniture and fixtures.</w:t>
            </w:r>
          </w:p>
          <w:p w14:paraId="0271908A" w14:textId="77777777" w:rsidR="00B06747" w:rsidRPr="002040DB" w:rsidRDefault="00B06747" w:rsidP="00B06747">
            <w:pPr>
              <w:rPr>
                <w:rFonts w:ascii="Tahoma" w:eastAsia="Calibri" w:hAnsi="Tahoma" w:cs="Tahoma"/>
                <w:sz w:val="20"/>
                <w:szCs w:val="20"/>
              </w:rPr>
            </w:pPr>
          </w:p>
          <w:p w14:paraId="59C2BC66"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Non-network Capex is recorded in the General Ledger on an accruals basis against applicable General Ledger account codes which identifies its purpose and asset class.  Further this expenditure is recorded in AGN Limited’s Fixed Assets Register (FAR) and included in periodic reconciliations of additions to the FAR.</w:t>
            </w:r>
          </w:p>
          <w:p w14:paraId="1EC26CBA" w14:textId="77777777" w:rsidR="00B06747" w:rsidRPr="002040DB" w:rsidRDefault="00B06747" w:rsidP="00B06747">
            <w:pPr>
              <w:rPr>
                <w:rFonts w:ascii="Tahoma" w:eastAsia="Calibri" w:hAnsi="Tahoma" w:cs="Tahoma"/>
                <w:sz w:val="20"/>
                <w:szCs w:val="20"/>
              </w:rPr>
            </w:pPr>
          </w:p>
          <w:p w14:paraId="23D1D39E"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 xml:space="preserve">As explained elsewhere in this basis of preparation, the detailed analysis of AGN Limited’s network Capex program is provided by AGN Limited’s capital delivery contractor APA.  This information, in the form of Microsoft Excel spreadsheets populated with data extracted from APA’s Oracle finance system (e.g. the Capex Data Model) forms the basis of working files prepared by AGN Limited to produce the data and present it in the categories and sub-categories required for AER reporting.    </w:t>
            </w:r>
          </w:p>
          <w:p w14:paraId="43B02924" w14:textId="77777777" w:rsidR="00B06747" w:rsidRPr="002040DB" w:rsidRDefault="00B06747" w:rsidP="00B06747">
            <w:pPr>
              <w:rPr>
                <w:rFonts w:ascii="Tahoma" w:eastAsia="Calibri" w:hAnsi="Tahoma" w:cs="Tahoma"/>
                <w:sz w:val="20"/>
                <w:szCs w:val="20"/>
              </w:rPr>
            </w:pPr>
          </w:p>
          <w:p w14:paraId="582734A0"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 xml:space="preserve">AGN Limited’s internal non-network Capex is manually added to these working files.  </w:t>
            </w:r>
          </w:p>
          <w:p w14:paraId="731AC333" w14:textId="77777777" w:rsidR="00B06747" w:rsidRPr="002040DB" w:rsidRDefault="00B06747" w:rsidP="00B06747">
            <w:pPr>
              <w:rPr>
                <w:rFonts w:ascii="Tahoma" w:eastAsia="Calibri" w:hAnsi="Tahoma" w:cs="Tahoma"/>
                <w:sz w:val="20"/>
                <w:szCs w:val="20"/>
              </w:rPr>
            </w:pPr>
          </w:p>
          <w:p w14:paraId="64BF7D00" w14:textId="77777777"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 xml:space="preserve">Total Capex reported to the AER, being the combination of Capex delivered by APA and AGN Limited’s internal Capex, is reconciled to AGN Limited’s General Ledger and Fixed Assets Register and these reconciliations are provided to auditors as part of the assurance process.   </w:t>
            </w:r>
          </w:p>
          <w:p w14:paraId="212B6469" w14:textId="77777777" w:rsidR="00B06747" w:rsidRPr="002040DB" w:rsidRDefault="00B06747" w:rsidP="00B06747">
            <w:pPr>
              <w:rPr>
                <w:rFonts w:ascii="Tahoma" w:eastAsia="Calibri" w:hAnsi="Tahoma" w:cs="Tahoma"/>
                <w:sz w:val="20"/>
                <w:szCs w:val="20"/>
              </w:rPr>
            </w:pPr>
          </w:p>
          <w:p w14:paraId="18B7C9D8" w14:textId="15041523"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 xml:space="preserve">ICT related Capex is reported in tab E1. Expenditure Summary (Table E1.1.1 – Capex – Reference Services - ICT) and tab F2. Capex (Table F2.4.2 - Capex by Asset Class – Actual – As Incurred – IT system) in the </w:t>
            </w:r>
            <w:r w:rsidR="008214CA" w:rsidRPr="002040DB">
              <w:rPr>
                <w:rFonts w:ascii="Tahoma" w:eastAsia="Calibri" w:hAnsi="Tahoma" w:cs="Tahoma"/>
                <w:sz w:val="20"/>
                <w:szCs w:val="20"/>
              </w:rPr>
              <w:t>Annual RIN</w:t>
            </w:r>
            <w:r w:rsidRPr="002040DB">
              <w:rPr>
                <w:rFonts w:ascii="Tahoma" w:eastAsia="Calibri" w:hAnsi="Tahoma" w:cs="Tahoma"/>
                <w:sz w:val="20"/>
                <w:szCs w:val="20"/>
              </w:rPr>
              <w:t xml:space="preserve"> templates.</w:t>
            </w:r>
          </w:p>
          <w:p w14:paraId="5DC711B3" w14:textId="77777777" w:rsidR="00B06747" w:rsidRPr="002040DB" w:rsidRDefault="00B06747" w:rsidP="00B06747">
            <w:pPr>
              <w:rPr>
                <w:rFonts w:ascii="Tahoma" w:eastAsia="Calibri" w:hAnsi="Tahoma" w:cs="Tahoma"/>
                <w:sz w:val="20"/>
                <w:szCs w:val="20"/>
              </w:rPr>
            </w:pPr>
          </w:p>
          <w:p w14:paraId="38FEDCA4" w14:textId="060D581F" w:rsidR="00B06747" w:rsidRPr="002040DB" w:rsidRDefault="00B06747" w:rsidP="00B06747">
            <w:pPr>
              <w:rPr>
                <w:rFonts w:ascii="Tahoma" w:eastAsia="Calibri" w:hAnsi="Tahoma" w:cs="Tahoma"/>
                <w:sz w:val="20"/>
                <w:szCs w:val="20"/>
              </w:rPr>
            </w:pPr>
            <w:r w:rsidRPr="002040DB">
              <w:rPr>
                <w:rFonts w:ascii="Tahoma" w:eastAsia="Calibri" w:hAnsi="Tahoma" w:cs="Tahoma"/>
                <w:sz w:val="20"/>
                <w:szCs w:val="20"/>
              </w:rPr>
              <w:t xml:space="preserve">Office furniture and fixtures related Capex is reported in tab E1. Expenditure Summary (Table E1.1.1 – Capex – Reference Service – Other Capex) and tab F2. Capex (Table F2.4.2 - Capex by Asset Class – Actual – As Incurred – Other non-distribution equipment) in the </w:t>
            </w:r>
            <w:r w:rsidR="008214CA" w:rsidRPr="002040DB">
              <w:rPr>
                <w:rFonts w:ascii="Tahoma" w:eastAsia="Calibri" w:hAnsi="Tahoma" w:cs="Tahoma"/>
                <w:sz w:val="20"/>
                <w:szCs w:val="20"/>
              </w:rPr>
              <w:t>Annual RIN</w:t>
            </w:r>
            <w:r w:rsidRPr="002040DB">
              <w:rPr>
                <w:rFonts w:ascii="Tahoma" w:eastAsia="Calibri" w:hAnsi="Tahoma" w:cs="Tahoma"/>
                <w:sz w:val="20"/>
                <w:szCs w:val="20"/>
              </w:rPr>
              <w:t xml:space="preserve"> templates. </w:t>
            </w:r>
          </w:p>
          <w:p w14:paraId="2463468A" w14:textId="77777777" w:rsidR="00B06747" w:rsidRPr="002040DB" w:rsidRDefault="00B06747" w:rsidP="00B06747">
            <w:pPr>
              <w:rPr>
                <w:rFonts w:ascii="Tahoma" w:eastAsia="Calibri" w:hAnsi="Tahoma" w:cs="Tahoma"/>
                <w:sz w:val="20"/>
                <w:szCs w:val="20"/>
              </w:rPr>
            </w:pPr>
          </w:p>
          <w:p w14:paraId="015E8471" w14:textId="47BCCF36" w:rsidR="00B06747" w:rsidRPr="002040DB" w:rsidRDefault="00B06747" w:rsidP="00823493">
            <w:pPr>
              <w:rPr>
                <w:rFonts w:ascii="Tahoma" w:eastAsia="Calibri" w:hAnsi="Tahoma" w:cs="Tahoma"/>
                <w:sz w:val="20"/>
                <w:szCs w:val="20"/>
              </w:rPr>
            </w:pPr>
            <w:r w:rsidRPr="002040DB">
              <w:rPr>
                <w:rFonts w:ascii="Tahoma" w:eastAsia="Calibri" w:hAnsi="Tahoma" w:cs="Tahoma"/>
                <w:sz w:val="20"/>
                <w:szCs w:val="20"/>
              </w:rPr>
              <w:lastRenderedPageBreak/>
              <w:t xml:space="preserve">AGN Limited also makes other adjustments to the Capex analysis provided by APA to remove any Capex related to unregulated pipelines, where this has not already been recorded by APA, which is the ordinary process.  </w:t>
            </w:r>
          </w:p>
        </w:tc>
      </w:tr>
    </w:tbl>
    <w:p w14:paraId="34B163C6" w14:textId="77777777" w:rsidR="00823493" w:rsidRPr="00443597" w:rsidRDefault="00823493">
      <w:pPr>
        <w:rPr>
          <w:rFonts w:ascii="Tahoma" w:eastAsiaTheme="majorEastAsia" w:hAnsi="Tahoma" w:cs="Tahoma"/>
          <w:b/>
          <w:color w:val="003C71"/>
          <w:sz w:val="32"/>
          <w:szCs w:val="32"/>
        </w:rPr>
      </w:pPr>
      <w:r w:rsidRPr="00443597">
        <w:rPr>
          <w:rFonts w:ascii="Tahoma" w:hAnsi="Tahoma" w:cs="Tahoma"/>
          <w:b/>
          <w:color w:val="003C71"/>
        </w:rPr>
        <w:lastRenderedPageBreak/>
        <w:br w:type="page"/>
      </w:r>
    </w:p>
    <w:p w14:paraId="0494CD46" w14:textId="316617F2" w:rsidR="00AB6F0B" w:rsidRPr="00443597" w:rsidRDefault="00AB6F0B" w:rsidP="00AB6F0B">
      <w:pPr>
        <w:pStyle w:val="Heading1"/>
        <w:rPr>
          <w:rFonts w:ascii="Tahoma" w:hAnsi="Tahoma" w:cs="Tahoma"/>
          <w:b/>
          <w:color w:val="003C71"/>
        </w:rPr>
      </w:pPr>
      <w:bookmarkStart w:id="77" w:name="_Toc57314110"/>
      <w:r w:rsidRPr="00443597">
        <w:rPr>
          <w:rFonts w:ascii="Tahoma" w:hAnsi="Tahoma" w:cs="Tahoma"/>
          <w:b/>
          <w:color w:val="003C71"/>
        </w:rPr>
        <w:lastRenderedPageBreak/>
        <w:t xml:space="preserve">Appendix </w:t>
      </w:r>
      <w:r w:rsidR="00B06747" w:rsidRPr="00443597">
        <w:rPr>
          <w:rFonts w:ascii="Tahoma" w:hAnsi="Tahoma" w:cs="Tahoma"/>
          <w:b/>
          <w:color w:val="003C71"/>
        </w:rPr>
        <w:t>F</w:t>
      </w:r>
      <w:r w:rsidRPr="00443597">
        <w:rPr>
          <w:rFonts w:ascii="Tahoma" w:hAnsi="Tahoma" w:cs="Tahoma"/>
          <w:b/>
          <w:color w:val="003C71"/>
        </w:rPr>
        <w:t>. Reconciliations for Adjustments between Audited Statutory Accounts and amounts reported for the SA Distribution Business</w:t>
      </w:r>
      <w:bookmarkEnd w:id="77"/>
      <w:r w:rsidRPr="00443597">
        <w:rPr>
          <w:rFonts w:ascii="Tahoma" w:hAnsi="Tahoma" w:cs="Tahoma"/>
          <w:b/>
          <w:color w:val="003C71"/>
        </w:rPr>
        <w:t xml:space="preserve"> </w:t>
      </w:r>
    </w:p>
    <w:p w14:paraId="4710BCEA" w14:textId="792C086F" w:rsidR="00B340F5" w:rsidRDefault="00A50DCF" w:rsidP="00B340F5">
      <w:pPr>
        <w:rPr>
          <w:rFonts w:ascii="Tahoma" w:hAnsi="Tahoma" w:cs="Tahoma"/>
        </w:rPr>
      </w:pPr>
      <w:r>
        <w:rPr>
          <w:noProof/>
          <w:lang w:eastAsia="en-AU"/>
        </w:rPr>
        <w:lastRenderedPageBreak/>
        <w:drawing>
          <wp:inline distT="0" distB="0" distL="0" distR="0" wp14:anchorId="294C8AFA" wp14:editId="12C85092">
            <wp:extent cx="8863330" cy="556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863330" cy="5562600"/>
                    </a:xfrm>
                    <a:prstGeom prst="rect">
                      <a:avLst/>
                    </a:prstGeom>
                  </pic:spPr>
                </pic:pic>
              </a:graphicData>
            </a:graphic>
          </wp:inline>
        </w:drawing>
      </w:r>
    </w:p>
    <w:p w14:paraId="589672C6" w14:textId="77777777" w:rsidR="00FE1419" w:rsidRDefault="00FE1419" w:rsidP="00B340F5">
      <w:pPr>
        <w:rPr>
          <w:noProof/>
          <w:lang w:eastAsia="en-AU"/>
        </w:rPr>
      </w:pPr>
    </w:p>
    <w:p w14:paraId="370C4CA2" w14:textId="40F6817C" w:rsidR="00D869B8" w:rsidRPr="00443597" w:rsidRDefault="00D869B8" w:rsidP="00B340F5">
      <w:pPr>
        <w:rPr>
          <w:rFonts w:ascii="Tahoma" w:hAnsi="Tahoma" w:cs="Tahoma"/>
        </w:rPr>
      </w:pPr>
      <w:r>
        <w:rPr>
          <w:noProof/>
          <w:lang w:eastAsia="en-AU"/>
        </w:rPr>
        <w:drawing>
          <wp:inline distT="0" distB="0" distL="0" distR="0" wp14:anchorId="4BD25567" wp14:editId="23376FE3">
            <wp:extent cx="8863330" cy="17252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863330" cy="1725295"/>
                    </a:xfrm>
                    <a:prstGeom prst="rect">
                      <a:avLst/>
                    </a:prstGeom>
                  </pic:spPr>
                </pic:pic>
              </a:graphicData>
            </a:graphic>
          </wp:inline>
        </w:drawing>
      </w:r>
    </w:p>
    <w:p w14:paraId="6B5BD958" w14:textId="56249545" w:rsidR="00B340F5" w:rsidRDefault="00C95725" w:rsidP="00B340F5">
      <w:pPr>
        <w:rPr>
          <w:rFonts w:ascii="Tahoma" w:hAnsi="Tahoma" w:cs="Tahoma"/>
        </w:rPr>
      </w:pPr>
      <w:r>
        <w:rPr>
          <w:noProof/>
          <w:lang w:eastAsia="en-AU"/>
        </w:rPr>
        <w:lastRenderedPageBreak/>
        <w:drawing>
          <wp:inline distT="0" distB="0" distL="0" distR="0" wp14:anchorId="547F4BC3" wp14:editId="328A4D8F">
            <wp:extent cx="7012305" cy="57315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012305" cy="5731510"/>
                    </a:xfrm>
                    <a:prstGeom prst="rect">
                      <a:avLst/>
                    </a:prstGeom>
                  </pic:spPr>
                </pic:pic>
              </a:graphicData>
            </a:graphic>
          </wp:inline>
        </w:drawing>
      </w:r>
    </w:p>
    <w:p w14:paraId="5DAD3CC1" w14:textId="147702C0" w:rsidR="00613A9B" w:rsidRPr="00443597" w:rsidRDefault="00613A9B" w:rsidP="00613A9B">
      <w:pPr>
        <w:pStyle w:val="Heading1"/>
        <w:rPr>
          <w:rFonts w:ascii="Tahoma" w:hAnsi="Tahoma" w:cs="Tahoma"/>
          <w:b/>
          <w:color w:val="003C71"/>
        </w:rPr>
      </w:pPr>
      <w:bookmarkStart w:id="78" w:name="_Toc57314111"/>
      <w:r w:rsidRPr="00443597">
        <w:rPr>
          <w:rFonts w:ascii="Tahoma" w:hAnsi="Tahoma" w:cs="Tahoma"/>
          <w:b/>
          <w:color w:val="003C71"/>
        </w:rPr>
        <w:lastRenderedPageBreak/>
        <w:t xml:space="preserve">Appendix </w:t>
      </w:r>
      <w:r>
        <w:rPr>
          <w:rFonts w:ascii="Tahoma" w:hAnsi="Tahoma" w:cs="Tahoma"/>
          <w:b/>
          <w:color w:val="003C71"/>
        </w:rPr>
        <w:t>G</w:t>
      </w:r>
      <w:r w:rsidRPr="00443597">
        <w:rPr>
          <w:rFonts w:ascii="Tahoma" w:hAnsi="Tahoma" w:cs="Tahoma"/>
          <w:b/>
          <w:color w:val="003C71"/>
        </w:rPr>
        <w:t xml:space="preserve">. </w:t>
      </w:r>
      <w:r>
        <w:rPr>
          <w:rFonts w:ascii="Tahoma" w:hAnsi="Tahoma" w:cs="Tahoma"/>
          <w:b/>
          <w:color w:val="003C71"/>
        </w:rPr>
        <w:t>Methodology for the preparation of the AGN (SA) trial balance</w:t>
      </w:r>
      <w:bookmarkEnd w:id="78"/>
      <w:r w:rsidRPr="00443597">
        <w:rPr>
          <w:rFonts w:ascii="Tahoma" w:hAnsi="Tahoma" w:cs="Tahoma"/>
          <w:b/>
          <w:color w:val="003C71"/>
        </w:rPr>
        <w:t xml:space="preserve"> </w:t>
      </w:r>
    </w:p>
    <w:p w14:paraId="3C5B848E" w14:textId="2E89D9E0" w:rsidR="00613A9B" w:rsidRDefault="00613A9B" w:rsidP="00B340F5">
      <w:pPr>
        <w:rPr>
          <w:rFonts w:ascii="Tahoma" w:hAnsi="Tahoma" w:cs="Tahoma"/>
        </w:rPr>
      </w:pPr>
    </w:p>
    <w:p w14:paraId="0CEEC9AD" w14:textId="77777777" w:rsidR="006F293A" w:rsidRPr="00432A49" w:rsidRDefault="006F293A" w:rsidP="006F293A">
      <w:pPr>
        <w:rPr>
          <w:rFonts w:ascii="Tahoma" w:hAnsi="Tahoma" w:cs="Tahoma"/>
          <w:b/>
          <w:sz w:val="21"/>
          <w:szCs w:val="21"/>
          <w:u w:val="single"/>
          <w:lang w:val="en-US"/>
        </w:rPr>
      </w:pPr>
      <w:r w:rsidRPr="00432A49">
        <w:rPr>
          <w:rFonts w:ascii="Tahoma" w:hAnsi="Tahoma" w:cs="Tahoma"/>
          <w:b/>
          <w:sz w:val="21"/>
          <w:szCs w:val="21"/>
          <w:u w:val="single"/>
          <w:lang w:val="en-US"/>
        </w:rPr>
        <w:t>Background</w:t>
      </w:r>
    </w:p>
    <w:p w14:paraId="3FBBA0AE" w14:textId="77777777" w:rsidR="006F293A" w:rsidRPr="00432A49" w:rsidRDefault="006F293A" w:rsidP="006F293A">
      <w:pPr>
        <w:rPr>
          <w:rFonts w:ascii="Tahoma" w:hAnsi="Tahoma" w:cs="Tahoma"/>
          <w:sz w:val="21"/>
          <w:szCs w:val="21"/>
          <w:lang w:val="en-US"/>
        </w:rPr>
      </w:pPr>
      <w:r w:rsidRPr="00432A49">
        <w:rPr>
          <w:rFonts w:ascii="Tahoma" w:hAnsi="Tahoma" w:cs="Tahoma"/>
          <w:sz w:val="21"/>
          <w:szCs w:val="21"/>
          <w:lang w:val="en-US"/>
        </w:rPr>
        <w:t xml:space="preserve">The gas distribution network in South Australia is owned and managed by Australian Gas Networks Limited (AGN Limited), which through its 100% owned group of subsidiaries, owns gas pipelines in multiple Australian states including in South Australia, Victoria, Queensland, New South Wales and the Northern Territory.  </w:t>
      </w:r>
    </w:p>
    <w:p w14:paraId="1C0FFAD8" w14:textId="081B53B7" w:rsidR="006F293A" w:rsidRPr="00432A49" w:rsidRDefault="006F293A" w:rsidP="006F293A">
      <w:pPr>
        <w:rPr>
          <w:rFonts w:ascii="Tahoma" w:hAnsi="Tahoma" w:cs="Tahoma"/>
          <w:sz w:val="21"/>
          <w:szCs w:val="21"/>
          <w:lang w:val="en-US"/>
        </w:rPr>
      </w:pPr>
      <w:r w:rsidRPr="00432A49">
        <w:rPr>
          <w:rFonts w:ascii="Tahoma" w:hAnsi="Tahoma" w:cs="Tahoma"/>
          <w:sz w:val="21"/>
          <w:szCs w:val="21"/>
          <w:lang w:val="en-US"/>
        </w:rPr>
        <w:t xml:space="preserve">AGN Limited prepares its audited statutory accounts only at the consolidated group level and therefore, audited statutory accounts do not exist solely for the South Australian Access Arrangement (SA AA), the assets and operations of which is referred to as AGN (SA).  Further, AGN Limited operates on a calendar year </w:t>
      </w:r>
      <w:r w:rsidR="009C010E" w:rsidRPr="00432A49">
        <w:rPr>
          <w:rFonts w:ascii="Tahoma" w:hAnsi="Tahoma" w:cs="Tahoma"/>
          <w:sz w:val="21"/>
          <w:szCs w:val="21"/>
          <w:lang w:val="en-US"/>
        </w:rPr>
        <w:t>reporting cycle</w:t>
      </w:r>
      <w:r w:rsidRPr="00432A49">
        <w:rPr>
          <w:rFonts w:ascii="Tahoma" w:hAnsi="Tahoma" w:cs="Tahoma"/>
          <w:sz w:val="21"/>
          <w:szCs w:val="21"/>
          <w:lang w:val="en-US"/>
        </w:rPr>
        <w:t xml:space="preserve"> and its statutory accounts and income tax returns are prepared for each twelve month period ending 31 December.  However, Access Arrangements and associated regulatory reporting cycles are for twelve month periods ending 30 June each year.</w:t>
      </w:r>
    </w:p>
    <w:p w14:paraId="2C16FCD2" w14:textId="7855D17E" w:rsidR="006F293A" w:rsidRPr="00432A49" w:rsidRDefault="006F293A" w:rsidP="006F293A">
      <w:pPr>
        <w:rPr>
          <w:rFonts w:ascii="Tahoma" w:hAnsi="Tahoma" w:cs="Tahoma"/>
          <w:sz w:val="21"/>
          <w:szCs w:val="21"/>
          <w:lang w:val="en-US"/>
        </w:rPr>
      </w:pPr>
      <w:r w:rsidRPr="00432A49">
        <w:rPr>
          <w:rFonts w:ascii="Tahoma" w:hAnsi="Tahoma" w:cs="Tahoma"/>
          <w:sz w:val="21"/>
          <w:szCs w:val="21"/>
          <w:lang w:val="en-US"/>
        </w:rPr>
        <w:t xml:space="preserve">The AER provided AGN Limited with an exemption from producing audited statutory accounts for AGN (SA), for regulatory years up to and including 2018/19.  </w:t>
      </w:r>
    </w:p>
    <w:p w14:paraId="08EDE1A7" w14:textId="6D89A981" w:rsidR="006F293A" w:rsidRPr="00432A49" w:rsidRDefault="006F293A" w:rsidP="006F293A">
      <w:pPr>
        <w:rPr>
          <w:rFonts w:ascii="Tahoma" w:hAnsi="Tahoma" w:cs="Tahoma"/>
          <w:sz w:val="21"/>
          <w:szCs w:val="21"/>
          <w:lang w:val="en-US"/>
        </w:rPr>
      </w:pPr>
      <w:r w:rsidRPr="00432A49">
        <w:rPr>
          <w:rFonts w:ascii="Tahoma" w:hAnsi="Tahoma" w:cs="Tahoma"/>
          <w:sz w:val="21"/>
          <w:szCs w:val="21"/>
          <w:lang w:val="en-US"/>
        </w:rPr>
        <w:t xml:space="preserve">For regulatory year 2019/20 onwards, AGN Limited is now required to prepare and provide to the AER (in Annual Reporting RINs), an income statement for AGN (SA) that includes revenue and expenditure amounts which are drawn from audited statutory accounts </w:t>
      </w:r>
      <w:r w:rsidR="005C6192">
        <w:rPr>
          <w:rFonts w:ascii="Tahoma" w:hAnsi="Tahoma" w:cs="Tahoma"/>
          <w:sz w:val="21"/>
          <w:szCs w:val="21"/>
          <w:lang w:val="en-US"/>
        </w:rPr>
        <w:t>(</w:t>
      </w:r>
      <w:r w:rsidRPr="00432A49">
        <w:rPr>
          <w:rFonts w:ascii="Tahoma" w:hAnsi="Tahoma" w:cs="Tahoma"/>
          <w:sz w:val="21"/>
          <w:szCs w:val="21"/>
          <w:lang w:val="en-US"/>
        </w:rPr>
        <w:t>or trial balance</w:t>
      </w:r>
      <w:r w:rsidR="005C6192">
        <w:rPr>
          <w:rFonts w:ascii="Tahoma" w:hAnsi="Tahoma" w:cs="Tahoma"/>
          <w:sz w:val="21"/>
          <w:szCs w:val="21"/>
          <w:lang w:val="en-US"/>
        </w:rPr>
        <w:t>)</w:t>
      </w:r>
      <w:r w:rsidRPr="00432A49">
        <w:rPr>
          <w:rFonts w:ascii="Tahoma" w:hAnsi="Tahoma" w:cs="Tahoma"/>
          <w:sz w:val="21"/>
          <w:szCs w:val="21"/>
          <w:lang w:val="en-US"/>
        </w:rPr>
        <w:t xml:space="preserve"> for AGN (SA).  Further, this income statement table must show </w:t>
      </w:r>
      <w:r w:rsidR="005C6192">
        <w:rPr>
          <w:rFonts w:ascii="Tahoma" w:hAnsi="Tahoma" w:cs="Tahoma"/>
          <w:sz w:val="21"/>
          <w:szCs w:val="21"/>
          <w:lang w:val="en-US"/>
        </w:rPr>
        <w:t xml:space="preserve">the </w:t>
      </w:r>
      <w:r w:rsidRPr="00432A49">
        <w:rPr>
          <w:rFonts w:ascii="Tahoma" w:hAnsi="Tahoma" w:cs="Tahoma"/>
          <w:sz w:val="21"/>
          <w:szCs w:val="21"/>
          <w:lang w:val="en-US"/>
        </w:rPr>
        <w:t xml:space="preserve">adjustments to arrive at an income statement for the SA Distribution Business.  In addition, Capex reporting for AGN (SA) must also be derived from the audited statutory accounts </w:t>
      </w:r>
      <w:r w:rsidR="005C6192">
        <w:rPr>
          <w:rFonts w:ascii="Tahoma" w:hAnsi="Tahoma" w:cs="Tahoma"/>
          <w:sz w:val="21"/>
          <w:szCs w:val="21"/>
          <w:lang w:val="en-US"/>
        </w:rPr>
        <w:t>(</w:t>
      </w:r>
      <w:r w:rsidRPr="00432A49">
        <w:rPr>
          <w:rFonts w:ascii="Tahoma" w:hAnsi="Tahoma" w:cs="Tahoma"/>
          <w:sz w:val="21"/>
          <w:szCs w:val="21"/>
          <w:lang w:val="en-US"/>
        </w:rPr>
        <w:t>or trial balance</w:t>
      </w:r>
      <w:r w:rsidR="005C6192">
        <w:rPr>
          <w:rFonts w:ascii="Tahoma" w:hAnsi="Tahoma" w:cs="Tahoma"/>
          <w:sz w:val="21"/>
          <w:szCs w:val="21"/>
          <w:lang w:val="en-US"/>
        </w:rPr>
        <w:t>)</w:t>
      </w:r>
      <w:r w:rsidRPr="00432A49">
        <w:rPr>
          <w:rFonts w:ascii="Tahoma" w:hAnsi="Tahoma" w:cs="Tahoma"/>
          <w:sz w:val="21"/>
          <w:szCs w:val="21"/>
          <w:lang w:val="en-US"/>
        </w:rPr>
        <w:t xml:space="preserve"> for AGN (SA). </w:t>
      </w:r>
    </w:p>
    <w:p w14:paraId="28F68395" w14:textId="77777777" w:rsidR="006F293A" w:rsidRPr="00432A49" w:rsidRDefault="006F293A" w:rsidP="006F293A">
      <w:pPr>
        <w:rPr>
          <w:rFonts w:ascii="Tahoma" w:hAnsi="Tahoma" w:cs="Tahoma"/>
          <w:b/>
          <w:sz w:val="21"/>
          <w:szCs w:val="21"/>
          <w:u w:val="single"/>
          <w:lang w:val="en-US"/>
        </w:rPr>
      </w:pPr>
      <w:r w:rsidRPr="00432A49">
        <w:rPr>
          <w:rFonts w:ascii="Tahoma" w:hAnsi="Tahoma" w:cs="Tahoma"/>
          <w:b/>
          <w:sz w:val="21"/>
          <w:szCs w:val="21"/>
          <w:u w:val="single"/>
          <w:lang w:val="en-US"/>
        </w:rPr>
        <w:t>Current configuration of SAP</w:t>
      </w:r>
    </w:p>
    <w:p w14:paraId="1422C2A6" w14:textId="77777777" w:rsidR="006F293A" w:rsidRPr="00432A49" w:rsidRDefault="006F293A" w:rsidP="006F293A">
      <w:pPr>
        <w:rPr>
          <w:rFonts w:ascii="Tahoma" w:hAnsi="Tahoma" w:cs="Tahoma"/>
          <w:sz w:val="21"/>
          <w:szCs w:val="21"/>
          <w:lang w:val="en-US"/>
        </w:rPr>
      </w:pPr>
      <w:r w:rsidRPr="00432A49">
        <w:rPr>
          <w:rFonts w:ascii="Tahoma" w:hAnsi="Tahoma" w:cs="Tahoma"/>
          <w:sz w:val="21"/>
          <w:szCs w:val="21"/>
          <w:lang w:val="en-US"/>
        </w:rPr>
        <w:t>AGN Limited has a general ledger for AGN (SA) which is used for Capex related purposes only.  This general ledger is also integrated with a dedicated Fixed Assets Register for the AGN (SA) assets.  Opex related transactions for AGN (SA) are recorded in a common general ledger for AGN Limited, however are identifiable through the use of location codes in SAP, as explained further below. This approach is consistent with the AGN Limited operating model, in terms of centralised corporate management, contract management and administration services being provided to the group of gas pipeline businesses owned by AGN Limited.</w:t>
      </w:r>
    </w:p>
    <w:p w14:paraId="149213C7" w14:textId="1151EA83" w:rsidR="006F293A" w:rsidRPr="00432A49" w:rsidRDefault="006F293A" w:rsidP="006F293A">
      <w:pPr>
        <w:rPr>
          <w:rFonts w:ascii="Tahoma" w:hAnsi="Tahoma" w:cs="Tahoma"/>
          <w:sz w:val="21"/>
          <w:szCs w:val="21"/>
          <w:lang w:val="en-US"/>
        </w:rPr>
      </w:pPr>
      <w:r w:rsidRPr="00432A49">
        <w:rPr>
          <w:rFonts w:ascii="Tahoma" w:hAnsi="Tahoma" w:cs="Tahoma"/>
          <w:sz w:val="21"/>
          <w:szCs w:val="21"/>
          <w:lang w:val="en-US"/>
        </w:rPr>
        <w:t xml:space="preserve">With this in mind, in order to prepare a base trial balance for AGN (SA), it is necessary to draw from both the AGN (SA) “Capex” general ledger and the common AGN Limited general ledger.  Balances from both of these ledgers underpin the </w:t>
      </w:r>
      <w:r w:rsidR="008969E4" w:rsidRPr="00432A49">
        <w:rPr>
          <w:rFonts w:ascii="Tahoma" w:hAnsi="Tahoma" w:cs="Tahoma"/>
          <w:sz w:val="21"/>
          <w:szCs w:val="21"/>
          <w:lang w:val="en-US"/>
        </w:rPr>
        <w:t xml:space="preserve">consolidated </w:t>
      </w:r>
      <w:r w:rsidRPr="00432A49">
        <w:rPr>
          <w:rFonts w:ascii="Tahoma" w:hAnsi="Tahoma" w:cs="Tahoma"/>
          <w:sz w:val="21"/>
          <w:szCs w:val="21"/>
          <w:lang w:val="en-US"/>
        </w:rPr>
        <w:t xml:space="preserve">audited statutory financial statements of AGN Limited.  The methodology for producing the base trial balance for AGN (SA) is set out below.  </w:t>
      </w:r>
    </w:p>
    <w:p w14:paraId="76E71E28" w14:textId="77777777" w:rsidR="006F293A" w:rsidRPr="00432A49" w:rsidRDefault="006F293A" w:rsidP="006F293A">
      <w:pPr>
        <w:rPr>
          <w:rFonts w:ascii="Tahoma" w:hAnsi="Tahoma" w:cs="Tahoma"/>
          <w:sz w:val="21"/>
          <w:szCs w:val="21"/>
          <w:lang w:val="en-US"/>
        </w:rPr>
      </w:pPr>
      <w:r w:rsidRPr="00432A49">
        <w:rPr>
          <w:rFonts w:ascii="Tahoma" w:hAnsi="Tahoma" w:cs="Tahoma"/>
          <w:sz w:val="21"/>
          <w:szCs w:val="21"/>
          <w:lang w:val="en-US"/>
        </w:rPr>
        <w:lastRenderedPageBreak/>
        <w:t xml:space="preserve">AGN Limited’s configuration of SAP incorporates a hierarchy of general ledger account codes, department codes, cost centres and location codes, which amongst other things, enables financial transactions to be assigned to and reported by relevant business zones (regulated or unregulated) and the various states in which AGN Limited operates.  </w:t>
      </w:r>
    </w:p>
    <w:p w14:paraId="1B7CD0BB" w14:textId="7192FE5D" w:rsidR="006F293A" w:rsidRPr="00432A49" w:rsidRDefault="006F293A" w:rsidP="006F293A">
      <w:pPr>
        <w:rPr>
          <w:rFonts w:ascii="Tahoma" w:hAnsi="Tahoma" w:cs="Tahoma"/>
          <w:sz w:val="21"/>
          <w:szCs w:val="21"/>
          <w:lang w:val="en-US"/>
        </w:rPr>
      </w:pPr>
      <w:r w:rsidRPr="00432A49">
        <w:rPr>
          <w:rFonts w:ascii="Tahoma" w:hAnsi="Tahoma" w:cs="Tahoma"/>
          <w:sz w:val="21"/>
          <w:szCs w:val="21"/>
          <w:lang w:val="en-US"/>
        </w:rPr>
        <w:t xml:space="preserve">Location codes in the </w:t>
      </w:r>
      <w:r w:rsidR="00432A49">
        <w:rPr>
          <w:rFonts w:ascii="Tahoma" w:hAnsi="Tahoma" w:cs="Tahoma"/>
          <w:sz w:val="21"/>
          <w:szCs w:val="21"/>
          <w:lang w:val="en-US"/>
        </w:rPr>
        <w:t>“</w:t>
      </w:r>
      <w:r w:rsidRPr="00432A49">
        <w:rPr>
          <w:rFonts w:ascii="Tahoma" w:hAnsi="Tahoma" w:cs="Tahoma"/>
          <w:sz w:val="21"/>
          <w:szCs w:val="21"/>
          <w:lang w:val="en-US"/>
        </w:rPr>
        <w:t>500 range</w:t>
      </w:r>
      <w:r w:rsidR="00432A49">
        <w:rPr>
          <w:rFonts w:ascii="Tahoma" w:hAnsi="Tahoma" w:cs="Tahoma"/>
          <w:sz w:val="21"/>
          <w:szCs w:val="21"/>
          <w:lang w:val="en-US"/>
        </w:rPr>
        <w:t>”</w:t>
      </w:r>
      <w:r w:rsidRPr="00432A49">
        <w:rPr>
          <w:rFonts w:ascii="Tahoma" w:hAnsi="Tahoma" w:cs="Tahoma"/>
          <w:sz w:val="21"/>
          <w:szCs w:val="21"/>
          <w:lang w:val="en-US"/>
        </w:rPr>
        <w:t xml:space="preserve"> are generally used to record transactions for South Australia (SA).  However, due to historical internal reporting purposes, for a limited number of Balance Sheet accounts, this location code can also include amounts that relate to operations in Queensland, Mildura and Northern Territory.  However, these amounts not related to SA are identifiable through analysis of transaction reports and working papers maintained by AGN Limited.  Further, location code 500 has also been used to record certain Capex transactions which are for AGN Limited as a whole, for example in relation to non-network assets that are shared across the group.  The initial Capex and ongoing Opex associated with these shared assets is directly attributed or allocated as appropriate to relevant states (and business zones), in accordance with the AGN Limited Cost Allocation Methodology. </w:t>
      </w:r>
    </w:p>
    <w:p w14:paraId="1E605480" w14:textId="77777777" w:rsidR="006F293A" w:rsidRPr="00432A49" w:rsidRDefault="006F293A" w:rsidP="006F293A">
      <w:pPr>
        <w:rPr>
          <w:rFonts w:ascii="Tahoma" w:hAnsi="Tahoma" w:cs="Tahoma"/>
          <w:b/>
          <w:sz w:val="21"/>
          <w:szCs w:val="21"/>
          <w:u w:val="single"/>
          <w:lang w:val="en-US"/>
        </w:rPr>
      </w:pPr>
      <w:r w:rsidRPr="00432A49">
        <w:rPr>
          <w:rFonts w:ascii="Tahoma" w:hAnsi="Tahoma" w:cs="Tahoma"/>
          <w:b/>
          <w:sz w:val="21"/>
          <w:szCs w:val="21"/>
          <w:u w:val="single"/>
          <w:lang w:val="en-US"/>
        </w:rPr>
        <w:t>Interpretation of the Annual RIN tables</w:t>
      </w:r>
    </w:p>
    <w:p w14:paraId="70967FAC" w14:textId="73983811" w:rsidR="006F293A" w:rsidRPr="00432A49" w:rsidRDefault="006F293A" w:rsidP="006F293A">
      <w:pPr>
        <w:rPr>
          <w:rFonts w:ascii="Tahoma" w:hAnsi="Tahoma" w:cs="Tahoma"/>
          <w:sz w:val="21"/>
          <w:szCs w:val="21"/>
          <w:lang w:val="en-US"/>
        </w:rPr>
      </w:pPr>
      <w:r w:rsidRPr="00432A49">
        <w:rPr>
          <w:rFonts w:ascii="Tahoma" w:hAnsi="Tahoma" w:cs="Tahoma"/>
          <w:sz w:val="21"/>
          <w:szCs w:val="21"/>
          <w:lang w:val="en-US"/>
        </w:rPr>
        <w:t>AGN Limited has interpreted the intent of the income statement tables in the Annual RINs such that the base trial balance will represent</w:t>
      </w:r>
      <w:r w:rsidR="008969E4" w:rsidRPr="00432A49">
        <w:rPr>
          <w:rFonts w:ascii="Tahoma" w:hAnsi="Tahoma" w:cs="Tahoma"/>
          <w:sz w:val="21"/>
          <w:szCs w:val="21"/>
          <w:lang w:val="en-US"/>
        </w:rPr>
        <w:t>, in as much as is practically possible,</w:t>
      </w:r>
      <w:r w:rsidRPr="00432A49">
        <w:rPr>
          <w:rFonts w:ascii="Tahoma" w:hAnsi="Tahoma" w:cs="Tahoma"/>
          <w:sz w:val="21"/>
          <w:szCs w:val="21"/>
          <w:lang w:val="en-US"/>
        </w:rPr>
        <w:t xml:space="preserve"> all of the activities of AGN (SA), as reported under the accounting standards and policies which apply to preparation of the audited statutory accounts for AGN Limited and including any unregulated business activities within SA.  </w:t>
      </w:r>
    </w:p>
    <w:p w14:paraId="58ACED22" w14:textId="3DFCAD7F" w:rsidR="006F293A" w:rsidRPr="00432A49" w:rsidRDefault="006F293A" w:rsidP="006F293A">
      <w:pPr>
        <w:rPr>
          <w:rFonts w:ascii="Tahoma" w:hAnsi="Tahoma" w:cs="Tahoma"/>
          <w:sz w:val="21"/>
          <w:szCs w:val="21"/>
          <w:lang w:val="en-US"/>
        </w:rPr>
      </w:pPr>
      <w:r w:rsidRPr="00432A49">
        <w:rPr>
          <w:rFonts w:ascii="Tahoma" w:hAnsi="Tahoma" w:cs="Tahoma"/>
          <w:sz w:val="21"/>
          <w:szCs w:val="21"/>
          <w:lang w:val="en-US"/>
        </w:rPr>
        <w:t xml:space="preserve">The adjustments table in the RIN template will be used to arrive at a “regulatory” </w:t>
      </w:r>
      <w:r w:rsidR="008969E4" w:rsidRPr="00432A49">
        <w:rPr>
          <w:rFonts w:ascii="Tahoma" w:hAnsi="Tahoma" w:cs="Tahoma"/>
          <w:sz w:val="21"/>
          <w:szCs w:val="21"/>
          <w:lang w:val="en-US"/>
        </w:rPr>
        <w:t>Income Statement</w:t>
      </w:r>
      <w:r w:rsidRPr="00432A49">
        <w:rPr>
          <w:rFonts w:ascii="Tahoma" w:hAnsi="Tahoma" w:cs="Tahoma"/>
          <w:sz w:val="21"/>
          <w:szCs w:val="21"/>
          <w:lang w:val="en-US"/>
        </w:rPr>
        <w:t xml:space="preserve"> for AGN (SA) which will represent the activities of the SA distribution business, as reported by applying the regulatory accounting principles and policies for AGN (SA).  To be clear, the SA distribution business will exclude any unregulated business activities carried out within the operations of AGN (SA).  </w:t>
      </w:r>
    </w:p>
    <w:p w14:paraId="7D1210BB" w14:textId="77777777" w:rsidR="006F293A" w:rsidRPr="00432A49" w:rsidRDefault="006F293A" w:rsidP="006F293A">
      <w:pPr>
        <w:rPr>
          <w:rFonts w:ascii="Tahoma" w:hAnsi="Tahoma" w:cs="Tahoma"/>
          <w:b/>
          <w:sz w:val="21"/>
          <w:szCs w:val="21"/>
          <w:u w:val="single"/>
          <w:lang w:val="en-US"/>
        </w:rPr>
      </w:pPr>
      <w:r w:rsidRPr="00432A49">
        <w:rPr>
          <w:rFonts w:ascii="Tahoma" w:hAnsi="Tahoma" w:cs="Tahoma"/>
          <w:b/>
          <w:sz w:val="21"/>
          <w:szCs w:val="21"/>
          <w:u w:val="single"/>
          <w:lang w:val="en-US"/>
        </w:rPr>
        <w:t>Methodology</w:t>
      </w:r>
    </w:p>
    <w:p w14:paraId="3918DEE7" w14:textId="4F92A92C" w:rsidR="006F293A" w:rsidRPr="00432A49" w:rsidRDefault="006F293A" w:rsidP="006F293A">
      <w:pPr>
        <w:rPr>
          <w:rFonts w:ascii="Tahoma" w:hAnsi="Tahoma" w:cs="Tahoma"/>
          <w:sz w:val="21"/>
          <w:szCs w:val="21"/>
          <w:lang w:val="en-US"/>
        </w:rPr>
      </w:pPr>
      <w:r w:rsidRPr="00432A49">
        <w:rPr>
          <w:rFonts w:ascii="Tahoma" w:hAnsi="Tahoma" w:cs="Tahoma"/>
          <w:sz w:val="21"/>
          <w:szCs w:val="21"/>
          <w:lang w:val="en-US"/>
        </w:rPr>
        <w:t xml:space="preserve">The source of data to produce the trial balance for AGN (SA) will be the consolidated detailed trial balance for AGN Limited, to be extracted from the SAP general ledger.  Due to the differences between statutory and regulatory reporting </w:t>
      </w:r>
      <w:r w:rsidR="00FA5774" w:rsidRPr="00432A49">
        <w:rPr>
          <w:rFonts w:ascii="Tahoma" w:hAnsi="Tahoma" w:cs="Tahoma"/>
          <w:sz w:val="21"/>
          <w:szCs w:val="21"/>
          <w:lang w:val="en-US"/>
        </w:rPr>
        <w:t>periods</w:t>
      </w:r>
      <w:r w:rsidRPr="00432A49">
        <w:rPr>
          <w:rFonts w:ascii="Tahoma" w:hAnsi="Tahoma" w:cs="Tahoma"/>
          <w:sz w:val="21"/>
          <w:szCs w:val="21"/>
          <w:lang w:val="en-US"/>
        </w:rPr>
        <w:t xml:space="preserve"> as mentioned above, the relevant trial balances will be the amounts that underpin the </w:t>
      </w:r>
      <w:r w:rsidR="00410EFE">
        <w:rPr>
          <w:rFonts w:ascii="Tahoma" w:hAnsi="Tahoma" w:cs="Tahoma"/>
          <w:sz w:val="21"/>
          <w:szCs w:val="21"/>
          <w:lang w:val="en-US"/>
        </w:rPr>
        <w:t xml:space="preserve">AGN Limited </w:t>
      </w:r>
      <w:r w:rsidRPr="00432A49">
        <w:rPr>
          <w:rFonts w:ascii="Tahoma" w:hAnsi="Tahoma" w:cs="Tahoma"/>
          <w:sz w:val="21"/>
          <w:szCs w:val="21"/>
          <w:lang w:val="en-US"/>
        </w:rPr>
        <w:t xml:space="preserve">audited statutory accounts for the twelve months ending 31 December and the trial balances as at each six month period ending 30 June.  </w:t>
      </w:r>
    </w:p>
    <w:p w14:paraId="25D02BA3" w14:textId="27863FF9" w:rsidR="00432A49" w:rsidRDefault="006F293A" w:rsidP="006F293A">
      <w:pPr>
        <w:rPr>
          <w:rFonts w:ascii="Tahoma" w:hAnsi="Tahoma" w:cs="Tahoma"/>
          <w:sz w:val="21"/>
          <w:szCs w:val="21"/>
          <w:lang w:val="en-US"/>
        </w:rPr>
      </w:pPr>
      <w:r w:rsidRPr="00432A49">
        <w:rPr>
          <w:rFonts w:ascii="Tahoma" w:hAnsi="Tahoma" w:cs="Tahoma"/>
          <w:sz w:val="21"/>
          <w:szCs w:val="21"/>
          <w:lang w:val="en-US"/>
        </w:rPr>
        <w:t xml:space="preserve">The AGN Limited trial balance amounts will be adjusted to deduct the first six month period from the prior regulatory year and add the second six month period for the current regulatory year.  For example, to produce revenue and operating expenditure amounts for the regulatory year ending 30 June 2020, the </w:t>
      </w:r>
      <w:r w:rsidR="00E647A7">
        <w:rPr>
          <w:rFonts w:ascii="Tahoma" w:hAnsi="Tahoma" w:cs="Tahoma"/>
          <w:sz w:val="21"/>
          <w:szCs w:val="21"/>
          <w:lang w:val="en-US"/>
        </w:rPr>
        <w:t>AGN Limited trial balance</w:t>
      </w:r>
      <w:r w:rsidRPr="00432A49">
        <w:rPr>
          <w:rFonts w:ascii="Tahoma" w:hAnsi="Tahoma" w:cs="Tahoma"/>
          <w:sz w:val="21"/>
          <w:szCs w:val="21"/>
          <w:lang w:val="en-US"/>
        </w:rPr>
        <w:t xml:space="preserve"> amounts for the twelve months ending 31 December 2019 will be adjusted, to deduct the six month period January to June 2019 and to add the six month period January to June 2020.</w:t>
      </w:r>
      <w:r w:rsidR="00432A49">
        <w:rPr>
          <w:rFonts w:ascii="Tahoma" w:hAnsi="Tahoma" w:cs="Tahoma"/>
          <w:sz w:val="21"/>
          <w:szCs w:val="21"/>
          <w:lang w:val="en-US"/>
        </w:rPr>
        <w:t xml:space="preserve">  </w:t>
      </w:r>
    </w:p>
    <w:p w14:paraId="51F53372" w14:textId="1F54527E" w:rsidR="00432A49" w:rsidRDefault="00432A49" w:rsidP="006F293A">
      <w:pPr>
        <w:rPr>
          <w:rFonts w:ascii="Tahoma" w:hAnsi="Tahoma" w:cs="Tahoma"/>
          <w:b/>
          <w:sz w:val="21"/>
          <w:szCs w:val="21"/>
          <w:lang w:val="en-US"/>
        </w:rPr>
      </w:pPr>
      <w:r>
        <w:rPr>
          <w:rFonts w:ascii="Tahoma" w:hAnsi="Tahoma" w:cs="Tahoma"/>
          <w:sz w:val="21"/>
          <w:szCs w:val="21"/>
          <w:lang w:val="en-US"/>
        </w:rPr>
        <w:t>Set out below is the standard approach for identifying relevant general ledger accounts to incorporate into the AGN (SA) trial balance.</w:t>
      </w:r>
    </w:p>
    <w:p w14:paraId="6125A471" w14:textId="0376190F" w:rsidR="006F293A" w:rsidRPr="00432A49" w:rsidRDefault="001850E1" w:rsidP="006F293A">
      <w:pPr>
        <w:rPr>
          <w:rFonts w:ascii="Tahoma" w:hAnsi="Tahoma" w:cs="Tahoma"/>
          <w:sz w:val="21"/>
          <w:szCs w:val="21"/>
          <w:lang w:val="en-US"/>
        </w:rPr>
      </w:pPr>
      <w:r w:rsidRPr="00432A49">
        <w:rPr>
          <w:rFonts w:ascii="Tahoma" w:hAnsi="Tahoma" w:cs="Tahoma"/>
          <w:sz w:val="21"/>
          <w:szCs w:val="21"/>
          <w:lang w:val="en-US"/>
        </w:rPr>
        <w:lastRenderedPageBreak/>
        <w:t>Standard approach</w:t>
      </w:r>
      <w:r w:rsidR="006F293A" w:rsidRPr="00432A49">
        <w:rPr>
          <w:rFonts w:ascii="Tahoma" w:hAnsi="Tahoma" w:cs="Tahoma"/>
          <w:sz w:val="21"/>
          <w:szCs w:val="21"/>
          <w:lang w:val="en-US"/>
        </w:rPr>
        <w:t xml:space="preserve"> for identifying </w:t>
      </w:r>
      <w:r w:rsidR="00C56869" w:rsidRPr="00432A49">
        <w:rPr>
          <w:rFonts w:ascii="Tahoma" w:hAnsi="Tahoma" w:cs="Tahoma"/>
          <w:sz w:val="21"/>
          <w:szCs w:val="21"/>
          <w:lang w:val="en-US"/>
        </w:rPr>
        <w:t xml:space="preserve">general ledger </w:t>
      </w:r>
      <w:r w:rsidR="006F293A" w:rsidRPr="00432A49">
        <w:rPr>
          <w:rFonts w:ascii="Tahoma" w:hAnsi="Tahoma" w:cs="Tahoma"/>
          <w:sz w:val="21"/>
          <w:szCs w:val="21"/>
          <w:lang w:val="en-US"/>
        </w:rPr>
        <w:t xml:space="preserve">accounts </w:t>
      </w:r>
      <w:r w:rsidRPr="00432A49">
        <w:rPr>
          <w:rFonts w:ascii="Tahoma" w:hAnsi="Tahoma" w:cs="Tahoma"/>
          <w:sz w:val="21"/>
          <w:szCs w:val="21"/>
          <w:lang w:val="en-US"/>
        </w:rPr>
        <w:t xml:space="preserve">to include in the </w:t>
      </w:r>
      <w:r w:rsidR="006F293A" w:rsidRPr="00432A49">
        <w:rPr>
          <w:rFonts w:ascii="Tahoma" w:hAnsi="Tahoma" w:cs="Tahoma"/>
          <w:sz w:val="21"/>
          <w:szCs w:val="21"/>
          <w:lang w:val="en-US"/>
        </w:rPr>
        <w:t>AGN (SA) trial balance</w:t>
      </w:r>
      <w:r w:rsidRPr="00432A49">
        <w:rPr>
          <w:rFonts w:ascii="Tahoma" w:hAnsi="Tahoma" w:cs="Tahoma"/>
          <w:sz w:val="21"/>
          <w:szCs w:val="21"/>
          <w:lang w:val="en-US"/>
        </w:rPr>
        <w:t>:</w:t>
      </w:r>
    </w:p>
    <w:p w14:paraId="671E1172" w14:textId="4C4F4D4A" w:rsidR="00645E49" w:rsidRPr="00432A49" w:rsidRDefault="006F293A" w:rsidP="00645E49">
      <w:pPr>
        <w:pStyle w:val="ListParagraph"/>
        <w:numPr>
          <w:ilvl w:val="0"/>
          <w:numId w:val="28"/>
        </w:numPr>
        <w:rPr>
          <w:rFonts w:ascii="Tahoma" w:hAnsi="Tahoma" w:cs="Tahoma"/>
          <w:sz w:val="21"/>
          <w:szCs w:val="21"/>
          <w:lang w:val="en-US"/>
        </w:rPr>
      </w:pPr>
      <w:r w:rsidRPr="00432A49">
        <w:rPr>
          <w:rFonts w:ascii="Tahoma" w:hAnsi="Tahoma" w:cs="Tahoma"/>
          <w:sz w:val="21"/>
          <w:szCs w:val="21"/>
          <w:lang w:val="en-US"/>
        </w:rPr>
        <w:t xml:space="preserve">Within the general ledger, accounts with location codes in the </w:t>
      </w:r>
      <w:r w:rsidR="00432A49">
        <w:rPr>
          <w:rFonts w:ascii="Tahoma" w:hAnsi="Tahoma" w:cs="Tahoma"/>
          <w:sz w:val="21"/>
          <w:szCs w:val="21"/>
          <w:lang w:val="en-US"/>
        </w:rPr>
        <w:t>“</w:t>
      </w:r>
      <w:r w:rsidRPr="00432A49">
        <w:rPr>
          <w:rFonts w:ascii="Tahoma" w:hAnsi="Tahoma" w:cs="Tahoma"/>
          <w:sz w:val="21"/>
          <w:szCs w:val="21"/>
          <w:lang w:val="en-US"/>
        </w:rPr>
        <w:t>500 range</w:t>
      </w:r>
      <w:r w:rsidR="00432A49">
        <w:rPr>
          <w:rFonts w:ascii="Tahoma" w:hAnsi="Tahoma" w:cs="Tahoma"/>
          <w:sz w:val="21"/>
          <w:szCs w:val="21"/>
          <w:lang w:val="en-US"/>
        </w:rPr>
        <w:t>”</w:t>
      </w:r>
      <w:r w:rsidRPr="00432A49">
        <w:rPr>
          <w:rFonts w:ascii="Tahoma" w:hAnsi="Tahoma" w:cs="Tahoma"/>
          <w:sz w:val="21"/>
          <w:szCs w:val="21"/>
          <w:lang w:val="en-US"/>
        </w:rPr>
        <w:t xml:space="preserve"> mostly represent balances for SA</w:t>
      </w:r>
      <w:r w:rsidR="00664CC5" w:rsidRPr="00432A49">
        <w:rPr>
          <w:rFonts w:ascii="Tahoma" w:hAnsi="Tahoma" w:cs="Tahoma"/>
          <w:sz w:val="21"/>
          <w:szCs w:val="21"/>
          <w:lang w:val="en-US"/>
        </w:rPr>
        <w:t>.</w:t>
      </w:r>
    </w:p>
    <w:p w14:paraId="09DC6975" w14:textId="626F6DF5" w:rsidR="00645E49" w:rsidRPr="00432A49" w:rsidRDefault="006F293A" w:rsidP="00645E49">
      <w:pPr>
        <w:pStyle w:val="ListParagraph"/>
        <w:numPr>
          <w:ilvl w:val="0"/>
          <w:numId w:val="28"/>
        </w:numPr>
        <w:rPr>
          <w:rFonts w:ascii="Tahoma" w:hAnsi="Tahoma" w:cs="Tahoma"/>
          <w:sz w:val="21"/>
          <w:szCs w:val="21"/>
          <w:lang w:val="en-US"/>
        </w:rPr>
      </w:pPr>
      <w:r w:rsidRPr="00432A49">
        <w:rPr>
          <w:rFonts w:ascii="Tahoma" w:hAnsi="Tahoma" w:cs="Tahoma"/>
          <w:sz w:val="21"/>
          <w:szCs w:val="21"/>
          <w:lang w:val="en-US"/>
        </w:rPr>
        <w:t xml:space="preserve">As a </w:t>
      </w:r>
      <w:r w:rsidR="001850E1" w:rsidRPr="00432A49">
        <w:rPr>
          <w:rFonts w:ascii="Tahoma" w:hAnsi="Tahoma" w:cs="Tahoma"/>
          <w:sz w:val="21"/>
          <w:szCs w:val="21"/>
          <w:lang w:val="en-US"/>
        </w:rPr>
        <w:t>standard approach</w:t>
      </w:r>
      <w:r w:rsidRPr="00432A49">
        <w:rPr>
          <w:rFonts w:ascii="Tahoma" w:hAnsi="Tahoma" w:cs="Tahoma"/>
          <w:sz w:val="21"/>
          <w:szCs w:val="21"/>
          <w:lang w:val="en-US"/>
        </w:rPr>
        <w:t xml:space="preserve">, these </w:t>
      </w:r>
      <w:r w:rsidR="00664CC5" w:rsidRPr="00432A49">
        <w:rPr>
          <w:rFonts w:ascii="Tahoma" w:hAnsi="Tahoma" w:cs="Tahoma"/>
          <w:sz w:val="21"/>
          <w:szCs w:val="21"/>
          <w:lang w:val="en-US"/>
        </w:rPr>
        <w:t>general ledger</w:t>
      </w:r>
      <w:r w:rsidRPr="00432A49">
        <w:rPr>
          <w:rFonts w:ascii="Tahoma" w:hAnsi="Tahoma" w:cs="Tahoma"/>
          <w:sz w:val="21"/>
          <w:szCs w:val="21"/>
          <w:lang w:val="en-US"/>
        </w:rPr>
        <w:t xml:space="preserve"> accounts and </w:t>
      </w:r>
      <w:r w:rsidR="00D765BD" w:rsidRPr="00432A49">
        <w:rPr>
          <w:rFonts w:ascii="Tahoma" w:hAnsi="Tahoma" w:cs="Tahoma"/>
          <w:sz w:val="21"/>
          <w:szCs w:val="21"/>
          <w:lang w:val="en-US"/>
        </w:rPr>
        <w:t>location</w:t>
      </w:r>
      <w:r w:rsidRPr="00432A49">
        <w:rPr>
          <w:rFonts w:ascii="Tahoma" w:hAnsi="Tahoma" w:cs="Tahoma"/>
          <w:sz w:val="21"/>
          <w:szCs w:val="21"/>
          <w:lang w:val="en-US"/>
        </w:rPr>
        <w:t xml:space="preserve"> codes will be used to populate the AGN (SA) </w:t>
      </w:r>
      <w:r w:rsidR="00664CC5" w:rsidRPr="00432A49">
        <w:rPr>
          <w:rFonts w:ascii="Tahoma" w:hAnsi="Tahoma" w:cs="Tahoma"/>
          <w:sz w:val="21"/>
          <w:szCs w:val="21"/>
          <w:lang w:val="en-US"/>
        </w:rPr>
        <w:t>base trial balance.</w:t>
      </w:r>
      <w:r w:rsidRPr="00432A49">
        <w:rPr>
          <w:rFonts w:ascii="Tahoma" w:hAnsi="Tahoma" w:cs="Tahoma"/>
          <w:sz w:val="21"/>
          <w:szCs w:val="21"/>
          <w:lang w:val="en-US"/>
        </w:rPr>
        <w:t xml:space="preserve"> </w:t>
      </w:r>
    </w:p>
    <w:p w14:paraId="2001B957" w14:textId="77777777" w:rsidR="008D0F63" w:rsidRDefault="00664CC5" w:rsidP="00645E49">
      <w:pPr>
        <w:pStyle w:val="ListParagraph"/>
        <w:numPr>
          <w:ilvl w:val="0"/>
          <w:numId w:val="28"/>
        </w:numPr>
        <w:rPr>
          <w:rFonts w:ascii="Tahoma" w:hAnsi="Tahoma" w:cs="Tahoma"/>
          <w:sz w:val="21"/>
          <w:szCs w:val="21"/>
          <w:lang w:val="en-US"/>
        </w:rPr>
      </w:pPr>
      <w:r w:rsidRPr="00432A49">
        <w:rPr>
          <w:rFonts w:ascii="Tahoma" w:hAnsi="Tahoma" w:cs="Tahoma"/>
          <w:sz w:val="21"/>
          <w:szCs w:val="21"/>
          <w:lang w:val="en-US"/>
        </w:rPr>
        <w:t>For</w:t>
      </w:r>
      <w:r w:rsidR="006F293A" w:rsidRPr="00432A49">
        <w:rPr>
          <w:rFonts w:ascii="Tahoma" w:hAnsi="Tahoma" w:cs="Tahoma"/>
          <w:sz w:val="21"/>
          <w:szCs w:val="21"/>
          <w:lang w:val="en-US"/>
        </w:rPr>
        <w:t xml:space="preserve"> </w:t>
      </w:r>
      <w:r w:rsidR="001850E1" w:rsidRPr="00432A49">
        <w:rPr>
          <w:rFonts w:ascii="Tahoma" w:hAnsi="Tahoma" w:cs="Tahoma"/>
          <w:sz w:val="21"/>
          <w:szCs w:val="21"/>
          <w:lang w:val="en-US"/>
        </w:rPr>
        <w:t xml:space="preserve">a limited number of Balance Sheet account balances </w:t>
      </w:r>
      <w:r w:rsidRPr="00432A49">
        <w:rPr>
          <w:rFonts w:ascii="Tahoma" w:hAnsi="Tahoma" w:cs="Tahoma"/>
          <w:sz w:val="21"/>
          <w:szCs w:val="21"/>
          <w:lang w:val="en-US"/>
        </w:rPr>
        <w:t>that may</w:t>
      </w:r>
      <w:r w:rsidR="006F293A" w:rsidRPr="00432A49">
        <w:rPr>
          <w:rFonts w:ascii="Tahoma" w:hAnsi="Tahoma" w:cs="Tahoma"/>
          <w:sz w:val="21"/>
          <w:szCs w:val="21"/>
          <w:lang w:val="en-US"/>
        </w:rPr>
        <w:t xml:space="preserve"> include amounts for businesses in </w:t>
      </w:r>
      <w:r w:rsidR="001850E1" w:rsidRPr="00432A49">
        <w:rPr>
          <w:rFonts w:ascii="Tahoma" w:hAnsi="Tahoma" w:cs="Tahoma"/>
          <w:sz w:val="21"/>
          <w:szCs w:val="21"/>
          <w:lang w:val="en-US"/>
        </w:rPr>
        <w:t xml:space="preserve">other states </w:t>
      </w:r>
      <w:r w:rsidR="006F293A" w:rsidRPr="00432A49">
        <w:rPr>
          <w:rFonts w:ascii="Tahoma" w:hAnsi="Tahoma" w:cs="Tahoma"/>
          <w:sz w:val="21"/>
          <w:szCs w:val="21"/>
          <w:lang w:val="en-US"/>
        </w:rPr>
        <w:t>and for AGN Limited as a whole</w:t>
      </w:r>
      <w:r w:rsidR="00FA5774" w:rsidRPr="00432A49">
        <w:rPr>
          <w:rFonts w:ascii="Tahoma" w:hAnsi="Tahoma" w:cs="Tahoma"/>
          <w:sz w:val="21"/>
          <w:szCs w:val="21"/>
          <w:lang w:val="en-US"/>
        </w:rPr>
        <w:t>, these</w:t>
      </w:r>
      <w:r w:rsidR="00815DB6" w:rsidRPr="00432A49">
        <w:rPr>
          <w:rFonts w:ascii="Tahoma" w:hAnsi="Tahoma" w:cs="Tahoma"/>
          <w:sz w:val="21"/>
          <w:szCs w:val="21"/>
          <w:lang w:val="en-US"/>
        </w:rPr>
        <w:t xml:space="preserve"> accounts will form part of the AGN (SA) trial balance, however </w:t>
      </w:r>
      <w:r w:rsidR="00FA5774" w:rsidRPr="00432A49">
        <w:rPr>
          <w:rFonts w:ascii="Tahoma" w:hAnsi="Tahoma" w:cs="Tahoma"/>
          <w:sz w:val="21"/>
          <w:szCs w:val="21"/>
          <w:lang w:val="en-US"/>
        </w:rPr>
        <w:t>non-SA amounts</w:t>
      </w:r>
      <w:r w:rsidR="006F293A" w:rsidRPr="00432A49">
        <w:rPr>
          <w:rFonts w:ascii="Tahoma" w:hAnsi="Tahoma" w:cs="Tahoma"/>
          <w:sz w:val="21"/>
          <w:szCs w:val="21"/>
          <w:lang w:val="en-US"/>
        </w:rPr>
        <w:t xml:space="preserve"> will be removed through the </w:t>
      </w:r>
      <w:r w:rsidR="00D765BD" w:rsidRPr="00432A49">
        <w:rPr>
          <w:rFonts w:ascii="Tahoma" w:hAnsi="Tahoma" w:cs="Tahoma"/>
          <w:sz w:val="21"/>
          <w:szCs w:val="21"/>
          <w:lang w:val="en-US"/>
        </w:rPr>
        <w:t>“</w:t>
      </w:r>
      <w:r w:rsidR="006F293A" w:rsidRPr="00432A49">
        <w:rPr>
          <w:rFonts w:ascii="Tahoma" w:hAnsi="Tahoma" w:cs="Tahoma"/>
          <w:sz w:val="21"/>
          <w:szCs w:val="21"/>
          <w:lang w:val="en-US"/>
        </w:rPr>
        <w:t>Adjustments” table of the RIN template.</w:t>
      </w:r>
    </w:p>
    <w:p w14:paraId="456ED33D" w14:textId="7429162D" w:rsidR="008D0F63" w:rsidRPr="008D0F63" w:rsidRDefault="008D0F63" w:rsidP="008D0F63">
      <w:pPr>
        <w:pStyle w:val="ListParagraph"/>
        <w:numPr>
          <w:ilvl w:val="0"/>
          <w:numId w:val="28"/>
        </w:numPr>
        <w:rPr>
          <w:rFonts w:ascii="Tahoma" w:hAnsi="Tahoma" w:cs="Tahoma"/>
          <w:sz w:val="21"/>
          <w:szCs w:val="21"/>
          <w:lang w:val="en-US"/>
        </w:rPr>
      </w:pPr>
      <w:r w:rsidRPr="008D0F63">
        <w:rPr>
          <w:rFonts w:ascii="Tahoma" w:hAnsi="Tahoma" w:cs="Tahoma"/>
          <w:sz w:val="21"/>
          <w:szCs w:val="21"/>
          <w:lang w:val="en-US"/>
        </w:rPr>
        <w:t>Further adjustments will be made reflecting the Regulatory Accounting Principles and Policies and the cost allocation policies set out in the Cost Allocation Methodology document, in order to arrive at a “regulatory view” trial balance for AGN (SA).</w:t>
      </w:r>
    </w:p>
    <w:p w14:paraId="47AAA1DA" w14:textId="77777777" w:rsidR="008D0F63" w:rsidRPr="008D0F63" w:rsidRDefault="008D0F63" w:rsidP="008D0F63">
      <w:pPr>
        <w:pStyle w:val="ListParagraph"/>
        <w:numPr>
          <w:ilvl w:val="0"/>
          <w:numId w:val="28"/>
        </w:numPr>
        <w:rPr>
          <w:rFonts w:ascii="Tahoma" w:hAnsi="Tahoma" w:cs="Tahoma"/>
          <w:sz w:val="21"/>
          <w:szCs w:val="21"/>
          <w:lang w:val="en-US"/>
        </w:rPr>
      </w:pPr>
      <w:r w:rsidRPr="008D0F63">
        <w:rPr>
          <w:rFonts w:ascii="Tahoma" w:hAnsi="Tahoma" w:cs="Tahoma"/>
          <w:sz w:val="21"/>
          <w:szCs w:val="21"/>
          <w:lang w:val="en-US"/>
        </w:rPr>
        <w:t>The “regulatory view” trial balance is used to derive the final amounts of Opex and Capex to be reported for the SA Distribution Business in the Annual and Access Arrangement RIN templates.</w:t>
      </w:r>
    </w:p>
    <w:p w14:paraId="79BDA256" w14:textId="2993B203" w:rsidR="008D0F63" w:rsidRPr="008D0F63" w:rsidRDefault="008D0F63" w:rsidP="008D0F63">
      <w:pPr>
        <w:pStyle w:val="ListParagraph"/>
        <w:numPr>
          <w:ilvl w:val="0"/>
          <w:numId w:val="28"/>
        </w:numPr>
        <w:rPr>
          <w:rFonts w:ascii="Tahoma" w:hAnsi="Tahoma" w:cs="Tahoma"/>
          <w:sz w:val="21"/>
          <w:szCs w:val="21"/>
          <w:lang w:val="en-US"/>
        </w:rPr>
      </w:pPr>
      <w:r w:rsidRPr="008D0F63">
        <w:rPr>
          <w:rFonts w:ascii="Tahoma" w:hAnsi="Tahoma" w:cs="Tahoma"/>
          <w:sz w:val="21"/>
          <w:szCs w:val="21"/>
          <w:lang w:val="en-US"/>
        </w:rPr>
        <w:t>The differences between the base trial balance and the “regulatory view” trial balance, in relation to the Income Statement and Opex tables in the Annual RIN templates will be set out in the Adjustments table of the RIN template and supported with further detail breaking down those adjustments in an appendix to the Annual RIN basis of preparation document.</w:t>
      </w:r>
    </w:p>
    <w:p w14:paraId="69F10031" w14:textId="7E3A8772" w:rsidR="00061332" w:rsidRPr="00432A49" w:rsidRDefault="00D765BD" w:rsidP="006F293A">
      <w:pPr>
        <w:rPr>
          <w:rFonts w:ascii="Tahoma" w:hAnsi="Tahoma" w:cs="Tahoma"/>
          <w:sz w:val="21"/>
          <w:szCs w:val="21"/>
          <w:lang w:val="en-US"/>
        </w:rPr>
      </w:pPr>
      <w:r w:rsidRPr="00432A49">
        <w:rPr>
          <w:rFonts w:ascii="Tahoma" w:hAnsi="Tahoma" w:cs="Tahoma"/>
          <w:sz w:val="21"/>
          <w:szCs w:val="21"/>
          <w:lang w:val="en-US"/>
        </w:rPr>
        <w:t>The exceptions to this</w:t>
      </w:r>
      <w:r w:rsidR="00664CC5" w:rsidRPr="00432A49">
        <w:rPr>
          <w:rFonts w:ascii="Tahoma" w:hAnsi="Tahoma" w:cs="Tahoma"/>
          <w:sz w:val="21"/>
          <w:szCs w:val="21"/>
          <w:lang w:val="en-US"/>
        </w:rPr>
        <w:t xml:space="preserve"> standard approach</w:t>
      </w:r>
      <w:r w:rsidRPr="00432A49">
        <w:rPr>
          <w:rFonts w:ascii="Tahoma" w:hAnsi="Tahoma" w:cs="Tahoma"/>
          <w:sz w:val="21"/>
          <w:szCs w:val="21"/>
          <w:lang w:val="en-US"/>
        </w:rPr>
        <w:t>, will be amounts in the trial balance for Net Finance Expenses</w:t>
      </w:r>
      <w:r w:rsidR="001850E1" w:rsidRPr="00432A49">
        <w:rPr>
          <w:rFonts w:ascii="Tahoma" w:hAnsi="Tahoma" w:cs="Tahoma"/>
          <w:sz w:val="21"/>
          <w:szCs w:val="21"/>
          <w:lang w:val="en-US"/>
        </w:rPr>
        <w:t xml:space="preserve"> and </w:t>
      </w:r>
      <w:r w:rsidRPr="00432A49">
        <w:rPr>
          <w:rFonts w:ascii="Tahoma" w:hAnsi="Tahoma" w:cs="Tahoma"/>
          <w:sz w:val="21"/>
          <w:szCs w:val="21"/>
          <w:lang w:val="en-US"/>
        </w:rPr>
        <w:t>Income Tax Expenses</w:t>
      </w:r>
      <w:r w:rsidR="00664CC5" w:rsidRPr="00432A49">
        <w:rPr>
          <w:rFonts w:ascii="Tahoma" w:hAnsi="Tahoma" w:cs="Tahoma"/>
          <w:sz w:val="21"/>
          <w:szCs w:val="21"/>
          <w:lang w:val="en-US"/>
        </w:rPr>
        <w:t>:</w:t>
      </w:r>
      <w:r w:rsidR="006B494E" w:rsidRPr="00432A49">
        <w:rPr>
          <w:rFonts w:ascii="Tahoma" w:hAnsi="Tahoma" w:cs="Tahoma"/>
          <w:sz w:val="21"/>
          <w:szCs w:val="21"/>
          <w:lang w:val="en-US"/>
        </w:rPr>
        <w:t xml:space="preserve">  </w:t>
      </w:r>
    </w:p>
    <w:p w14:paraId="1E2A61EF" w14:textId="05F0716D" w:rsidR="00D765BD" w:rsidRPr="00432A49" w:rsidRDefault="006B494E" w:rsidP="00C56869">
      <w:pPr>
        <w:pStyle w:val="ListParagraph"/>
        <w:numPr>
          <w:ilvl w:val="0"/>
          <w:numId w:val="29"/>
        </w:numPr>
        <w:rPr>
          <w:rFonts w:ascii="Tahoma" w:hAnsi="Tahoma" w:cs="Tahoma"/>
          <w:sz w:val="21"/>
          <w:szCs w:val="21"/>
          <w:lang w:val="en-US"/>
        </w:rPr>
      </w:pPr>
      <w:r w:rsidRPr="00432A49">
        <w:rPr>
          <w:rFonts w:ascii="Tahoma" w:hAnsi="Tahoma" w:cs="Tahoma"/>
          <w:sz w:val="21"/>
          <w:szCs w:val="21"/>
          <w:lang w:val="en-US"/>
        </w:rPr>
        <w:t>Net Finance Expenses will be calculated by allocating an amount of the total Net Finance Expenses for AGN Limited as shown it its audited statutory accounts</w:t>
      </w:r>
      <w:r w:rsidR="00061332" w:rsidRPr="00432A49">
        <w:rPr>
          <w:rFonts w:ascii="Tahoma" w:hAnsi="Tahoma" w:cs="Tahoma"/>
          <w:sz w:val="21"/>
          <w:szCs w:val="21"/>
          <w:lang w:val="en-US"/>
        </w:rPr>
        <w:t xml:space="preserve">.  This amount will be allocated based on the AGN (SA) asset values (including the </w:t>
      </w:r>
      <w:r w:rsidR="001850E1" w:rsidRPr="00432A49">
        <w:rPr>
          <w:rFonts w:ascii="Tahoma" w:hAnsi="Tahoma" w:cs="Tahoma"/>
          <w:sz w:val="21"/>
          <w:szCs w:val="21"/>
          <w:lang w:val="en-US"/>
        </w:rPr>
        <w:t xml:space="preserve">SA </w:t>
      </w:r>
      <w:r w:rsidR="00061332" w:rsidRPr="00432A49">
        <w:rPr>
          <w:rFonts w:ascii="Tahoma" w:hAnsi="Tahoma" w:cs="Tahoma"/>
          <w:sz w:val="21"/>
          <w:szCs w:val="21"/>
          <w:lang w:val="en-US"/>
        </w:rPr>
        <w:t xml:space="preserve">regulatory asset base and other non-regulated assets) as a percentage of the total AGN Limited asset base. </w:t>
      </w:r>
      <w:r w:rsidRPr="00432A49">
        <w:rPr>
          <w:rFonts w:ascii="Tahoma" w:hAnsi="Tahoma" w:cs="Tahoma"/>
          <w:sz w:val="21"/>
          <w:szCs w:val="21"/>
          <w:lang w:val="en-US"/>
        </w:rPr>
        <w:t xml:space="preserve"> </w:t>
      </w:r>
    </w:p>
    <w:p w14:paraId="5CABBC89" w14:textId="5A5635E1" w:rsidR="00061332" w:rsidRPr="00432A49" w:rsidRDefault="00061332" w:rsidP="00C56869">
      <w:pPr>
        <w:pStyle w:val="ListParagraph"/>
        <w:numPr>
          <w:ilvl w:val="0"/>
          <w:numId w:val="29"/>
        </w:numPr>
        <w:rPr>
          <w:rFonts w:ascii="Tahoma" w:hAnsi="Tahoma" w:cs="Tahoma"/>
          <w:sz w:val="21"/>
          <w:szCs w:val="21"/>
          <w:lang w:val="en-US"/>
        </w:rPr>
      </w:pPr>
      <w:r w:rsidRPr="00432A49">
        <w:rPr>
          <w:rFonts w:ascii="Tahoma" w:hAnsi="Tahoma" w:cs="Tahoma"/>
          <w:sz w:val="21"/>
          <w:szCs w:val="21"/>
          <w:lang w:val="en-US"/>
        </w:rPr>
        <w:t>Income Tax Expenses will be calculated by multiplying the Profit (before tax) as determined in the AGN (SA) trial balance (</w:t>
      </w:r>
      <w:r w:rsidR="00FA5774" w:rsidRPr="00432A49">
        <w:rPr>
          <w:rFonts w:ascii="Tahoma" w:hAnsi="Tahoma" w:cs="Tahoma"/>
          <w:sz w:val="21"/>
          <w:szCs w:val="21"/>
          <w:lang w:val="en-US"/>
        </w:rPr>
        <w:t>a</w:t>
      </w:r>
      <w:r w:rsidRPr="00432A49">
        <w:rPr>
          <w:rFonts w:ascii="Tahoma" w:hAnsi="Tahoma" w:cs="Tahoma"/>
          <w:sz w:val="21"/>
          <w:szCs w:val="21"/>
          <w:lang w:val="en-US"/>
        </w:rPr>
        <w:t xml:space="preserve">lso shown in table F1.1.3 – Profit of the RIN template), by the Corporate Income Tax Rate of 30%.  This amount will also be recognised as a Provision for Income Tax in the Balance Sheet section of the AGN (SA) trial balance. </w:t>
      </w:r>
    </w:p>
    <w:p w14:paraId="584F606A" w14:textId="2D61B61A" w:rsidR="00324915" w:rsidRPr="00432A49" w:rsidRDefault="006B494E" w:rsidP="006F293A">
      <w:pPr>
        <w:rPr>
          <w:rFonts w:ascii="Tahoma" w:hAnsi="Tahoma" w:cs="Tahoma"/>
          <w:sz w:val="21"/>
          <w:szCs w:val="21"/>
          <w:lang w:val="en-US"/>
        </w:rPr>
      </w:pPr>
      <w:r w:rsidRPr="00432A49">
        <w:rPr>
          <w:rFonts w:ascii="Tahoma" w:hAnsi="Tahoma" w:cs="Tahoma"/>
          <w:sz w:val="21"/>
          <w:szCs w:val="21"/>
          <w:lang w:val="en-US"/>
        </w:rPr>
        <w:t xml:space="preserve">There will be a “balancing item” in the AGN (SA) trial </w:t>
      </w:r>
      <w:r w:rsidR="004400D4" w:rsidRPr="00432A49">
        <w:rPr>
          <w:rFonts w:ascii="Tahoma" w:hAnsi="Tahoma" w:cs="Tahoma"/>
          <w:sz w:val="21"/>
          <w:szCs w:val="21"/>
          <w:lang w:val="en-US"/>
        </w:rPr>
        <w:t>balance, which</w:t>
      </w:r>
      <w:r w:rsidRPr="00432A49">
        <w:rPr>
          <w:rFonts w:ascii="Tahoma" w:hAnsi="Tahoma" w:cs="Tahoma"/>
          <w:sz w:val="21"/>
          <w:szCs w:val="21"/>
          <w:lang w:val="en-US"/>
        </w:rPr>
        <w:t xml:space="preserve"> essentially represents the inter-company balance between AGN (SA) and other companies in the AGN Limited group.  Amongst other things, this inter-company balance will account for cash balances and corporate debt facilities that are provided for the group as a whole, not for each individual Access Arrangement.</w:t>
      </w:r>
      <w:r w:rsidR="00DE4289" w:rsidRPr="00432A49">
        <w:rPr>
          <w:rFonts w:ascii="Tahoma" w:hAnsi="Tahoma" w:cs="Tahoma"/>
          <w:sz w:val="21"/>
          <w:szCs w:val="21"/>
          <w:lang w:val="en-US"/>
        </w:rPr>
        <w:t xml:space="preserve">  </w:t>
      </w:r>
    </w:p>
    <w:p w14:paraId="1EFE8EB7" w14:textId="021A671E" w:rsidR="00324915" w:rsidRPr="00432A49" w:rsidRDefault="00205BD7" w:rsidP="006F293A">
      <w:pPr>
        <w:rPr>
          <w:rFonts w:ascii="Tahoma" w:hAnsi="Tahoma" w:cs="Tahoma"/>
          <w:sz w:val="21"/>
          <w:szCs w:val="21"/>
          <w:lang w:val="en-US"/>
        </w:rPr>
      </w:pPr>
      <w:r w:rsidRPr="00432A49">
        <w:rPr>
          <w:rFonts w:ascii="Tahoma" w:hAnsi="Tahoma" w:cs="Tahoma"/>
          <w:sz w:val="21"/>
          <w:szCs w:val="21"/>
          <w:lang w:val="en-US"/>
        </w:rPr>
        <w:t xml:space="preserve">Given the </w:t>
      </w:r>
      <w:r w:rsidR="00815DB6" w:rsidRPr="00432A49">
        <w:rPr>
          <w:rFonts w:ascii="Tahoma" w:hAnsi="Tahoma" w:cs="Tahoma"/>
          <w:sz w:val="21"/>
          <w:szCs w:val="21"/>
          <w:lang w:val="en-US"/>
        </w:rPr>
        <w:t xml:space="preserve">group </w:t>
      </w:r>
      <w:r w:rsidRPr="00432A49">
        <w:rPr>
          <w:rFonts w:ascii="Tahoma" w:hAnsi="Tahoma" w:cs="Tahoma"/>
          <w:sz w:val="21"/>
          <w:szCs w:val="21"/>
          <w:lang w:val="en-US"/>
        </w:rPr>
        <w:t>corporate structure of AGN Limited</w:t>
      </w:r>
      <w:r w:rsidR="00B852EA">
        <w:rPr>
          <w:rFonts w:ascii="Tahoma" w:hAnsi="Tahoma" w:cs="Tahoma"/>
          <w:sz w:val="21"/>
          <w:szCs w:val="21"/>
          <w:lang w:val="en-US"/>
        </w:rPr>
        <w:t>,</w:t>
      </w:r>
      <w:r w:rsidRPr="00432A49">
        <w:rPr>
          <w:rFonts w:ascii="Tahoma" w:hAnsi="Tahoma" w:cs="Tahoma"/>
          <w:sz w:val="21"/>
          <w:szCs w:val="21"/>
          <w:lang w:val="en-US"/>
        </w:rPr>
        <w:t xml:space="preserve"> it is not </w:t>
      </w:r>
      <w:r w:rsidR="00324915" w:rsidRPr="00432A49">
        <w:rPr>
          <w:rFonts w:ascii="Tahoma" w:hAnsi="Tahoma" w:cs="Tahoma"/>
          <w:sz w:val="21"/>
          <w:szCs w:val="21"/>
          <w:lang w:val="en-US"/>
        </w:rPr>
        <w:t xml:space="preserve">practically possible to identify </w:t>
      </w:r>
      <w:r w:rsidR="00815DB6" w:rsidRPr="00432A49">
        <w:rPr>
          <w:rFonts w:ascii="Tahoma" w:hAnsi="Tahoma" w:cs="Tahoma"/>
          <w:sz w:val="21"/>
          <w:szCs w:val="21"/>
          <w:lang w:val="en-US"/>
        </w:rPr>
        <w:t xml:space="preserve">after tax </w:t>
      </w:r>
      <w:r w:rsidR="00DE4289" w:rsidRPr="00432A49">
        <w:rPr>
          <w:rFonts w:ascii="Tahoma" w:hAnsi="Tahoma" w:cs="Tahoma"/>
          <w:sz w:val="21"/>
          <w:szCs w:val="21"/>
          <w:lang w:val="en-US"/>
        </w:rPr>
        <w:t>retained earnings and payments of dividends to shareholders on a company by company basis</w:t>
      </w:r>
      <w:r w:rsidR="00324915" w:rsidRPr="00432A49">
        <w:rPr>
          <w:rFonts w:ascii="Tahoma" w:hAnsi="Tahoma" w:cs="Tahoma"/>
          <w:sz w:val="21"/>
          <w:szCs w:val="21"/>
          <w:lang w:val="en-US"/>
        </w:rPr>
        <w:t>. Therefore,</w:t>
      </w:r>
      <w:r w:rsidR="00DE4289" w:rsidRPr="00432A49">
        <w:rPr>
          <w:rFonts w:ascii="Tahoma" w:hAnsi="Tahoma" w:cs="Tahoma"/>
          <w:sz w:val="21"/>
          <w:szCs w:val="21"/>
          <w:lang w:val="en-US"/>
        </w:rPr>
        <w:t xml:space="preserve"> these account balances in AGN Limited’s general ledger, which do not specifically relate to AGN (SA), will be excluded from the AGN (SA) trial balance.  </w:t>
      </w:r>
    </w:p>
    <w:p w14:paraId="0E599C20" w14:textId="15323424" w:rsidR="006B494E" w:rsidRPr="00432A49" w:rsidRDefault="00FA5774" w:rsidP="006F293A">
      <w:pPr>
        <w:rPr>
          <w:rFonts w:ascii="Tahoma" w:hAnsi="Tahoma" w:cs="Tahoma"/>
          <w:sz w:val="21"/>
          <w:szCs w:val="21"/>
          <w:lang w:val="en-US"/>
        </w:rPr>
      </w:pPr>
      <w:r w:rsidRPr="00432A49">
        <w:rPr>
          <w:rFonts w:ascii="Tahoma" w:hAnsi="Tahoma" w:cs="Tahoma"/>
          <w:sz w:val="21"/>
          <w:szCs w:val="21"/>
          <w:lang w:val="en-US"/>
        </w:rPr>
        <w:t>Therefore, in respect to the</w:t>
      </w:r>
      <w:r w:rsidR="00DE4289" w:rsidRPr="00432A49">
        <w:rPr>
          <w:rFonts w:ascii="Tahoma" w:hAnsi="Tahoma" w:cs="Tahoma"/>
          <w:sz w:val="21"/>
          <w:szCs w:val="21"/>
          <w:lang w:val="en-US"/>
        </w:rPr>
        <w:t xml:space="preserve"> Equity section of the AGN (SA) trial balance, the </w:t>
      </w:r>
      <w:r w:rsidRPr="00432A49">
        <w:rPr>
          <w:rFonts w:ascii="Tahoma" w:hAnsi="Tahoma" w:cs="Tahoma"/>
          <w:sz w:val="21"/>
          <w:szCs w:val="21"/>
          <w:lang w:val="en-US"/>
        </w:rPr>
        <w:t xml:space="preserve">only account balances </w:t>
      </w:r>
      <w:r w:rsidR="00DE4289" w:rsidRPr="00432A49">
        <w:rPr>
          <w:rFonts w:ascii="Tahoma" w:hAnsi="Tahoma" w:cs="Tahoma"/>
          <w:sz w:val="21"/>
          <w:szCs w:val="21"/>
          <w:lang w:val="en-US"/>
        </w:rPr>
        <w:t xml:space="preserve">to be included will be the issued share capital of AGN (SA) Limited (which owns the SA gas pipeline assets) and the current year Profit (after tax). </w:t>
      </w:r>
    </w:p>
    <w:p w14:paraId="69967046" w14:textId="3E264B9A" w:rsidR="004400D4" w:rsidRPr="00432A49" w:rsidRDefault="004400D4" w:rsidP="004400D4">
      <w:pPr>
        <w:rPr>
          <w:rFonts w:ascii="Tahoma" w:hAnsi="Tahoma" w:cs="Tahoma"/>
          <w:b/>
          <w:sz w:val="21"/>
          <w:szCs w:val="21"/>
          <w:u w:val="single"/>
          <w:lang w:val="en-US"/>
        </w:rPr>
      </w:pPr>
      <w:r>
        <w:rPr>
          <w:rFonts w:ascii="Tahoma" w:hAnsi="Tahoma" w:cs="Tahoma"/>
          <w:b/>
          <w:sz w:val="21"/>
          <w:szCs w:val="21"/>
          <w:u w:val="single"/>
          <w:lang w:val="en-US"/>
        </w:rPr>
        <w:lastRenderedPageBreak/>
        <w:t>Audit of the AGN (SA) Trial Balance</w:t>
      </w:r>
    </w:p>
    <w:p w14:paraId="797830C7" w14:textId="0255ABC3" w:rsidR="00613A9B" w:rsidRDefault="004400D4" w:rsidP="00B340F5">
      <w:pPr>
        <w:rPr>
          <w:rFonts w:ascii="Tahoma" w:hAnsi="Tahoma" w:cs="Tahoma"/>
          <w:sz w:val="21"/>
          <w:szCs w:val="21"/>
        </w:rPr>
      </w:pPr>
      <w:r>
        <w:rPr>
          <w:rFonts w:ascii="Tahoma" w:hAnsi="Tahoma" w:cs="Tahoma"/>
          <w:sz w:val="21"/>
          <w:szCs w:val="21"/>
        </w:rPr>
        <w:t>In accordance with the requirements of this Annual RIN, the relevant general ledger accounts and amounts shown in the AGN (SA) trial balance which underpin the actual financial information reported in the RIN schedules</w:t>
      </w:r>
      <w:r w:rsidR="002F1F0D">
        <w:rPr>
          <w:rFonts w:ascii="Tahoma" w:hAnsi="Tahoma" w:cs="Tahoma"/>
          <w:sz w:val="21"/>
          <w:szCs w:val="21"/>
        </w:rPr>
        <w:t>,</w:t>
      </w:r>
      <w:r>
        <w:rPr>
          <w:rFonts w:ascii="Tahoma" w:hAnsi="Tahoma" w:cs="Tahoma"/>
          <w:sz w:val="21"/>
          <w:szCs w:val="21"/>
        </w:rPr>
        <w:t xml:space="preserve"> have been subject to audit procedures undertaken by AGN Limited’s external auditor.  </w:t>
      </w:r>
    </w:p>
    <w:p w14:paraId="5265209B" w14:textId="77777777" w:rsidR="0052786D" w:rsidRDefault="0052786D">
      <w:pPr>
        <w:rPr>
          <w:rFonts w:ascii="Tahoma" w:eastAsiaTheme="majorEastAsia" w:hAnsi="Tahoma" w:cs="Tahoma"/>
          <w:b/>
          <w:color w:val="003C71"/>
          <w:sz w:val="32"/>
          <w:szCs w:val="32"/>
        </w:rPr>
      </w:pPr>
      <w:r>
        <w:rPr>
          <w:rFonts w:ascii="Tahoma" w:hAnsi="Tahoma" w:cs="Tahoma"/>
          <w:b/>
          <w:color w:val="003C71"/>
        </w:rPr>
        <w:br w:type="page"/>
      </w:r>
    </w:p>
    <w:p w14:paraId="215B575F" w14:textId="1211DD57" w:rsidR="00425CB9" w:rsidRPr="00443597" w:rsidRDefault="00425CB9" w:rsidP="00425CB9">
      <w:pPr>
        <w:pStyle w:val="Heading1"/>
        <w:rPr>
          <w:rFonts w:ascii="Tahoma" w:hAnsi="Tahoma" w:cs="Tahoma"/>
          <w:b/>
          <w:color w:val="003C71"/>
        </w:rPr>
      </w:pPr>
      <w:bookmarkStart w:id="79" w:name="_Toc57314112"/>
      <w:r w:rsidRPr="00443597">
        <w:rPr>
          <w:rFonts w:ascii="Tahoma" w:hAnsi="Tahoma" w:cs="Tahoma"/>
          <w:b/>
          <w:color w:val="003C71"/>
        </w:rPr>
        <w:lastRenderedPageBreak/>
        <w:t xml:space="preserve">Appendix </w:t>
      </w:r>
      <w:r>
        <w:rPr>
          <w:rFonts w:ascii="Tahoma" w:hAnsi="Tahoma" w:cs="Tahoma"/>
          <w:b/>
          <w:color w:val="003C71"/>
        </w:rPr>
        <w:t>H</w:t>
      </w:r>
      <w:r w:rsidRPr="00443597">
        <w:rPr>
          <w:rFonts w:ascii="Tahoma" w:hAnsi="Tahoma" w:cs="Tahoma"/>
          <w:b/>
          <w:color w:val="003C71"/>
        </w:rPr>
        <w:t xml:space="preserve">. </w:t>
      </w:r>
      <w:r>
        <w:rPr>
          <w:rFonts w:ascii="Tahoma" w:hAnsi="Tahoma" w:cs="Tahoma"/>
          <w:b/>
          <w:color w:val="003C71"/>
        </w:rPr>
        <w:t xml:space="preserve">Supplementary information relating to </w:t>
      </w:r>
      <w:r w:rsidR="002B6C20">
        <w:rPr>
          <w:rFonts w:ascii="Tahoma" w:hAnsi="Tahoma" w:cs="Tahoma"/>
          <w:b/>
          <w:color w:val="003C71"/>
        </w:rPr>
        <w:t xml:space="preserve">the </w:t>
      </w:r>
      <w:r>
        <w:rPr>
          <w:rFonts w:ascii="Tahoma" w:hAnsi="Tahoma" w:cs="Tahoma"/>
          <w:b/>
          <w:color w:val="003C71"/>
        </w:rPr>
        <w:t>polic</w:t>
      </w:r>
      <w:r w:rsidR="002B6C20">
        <w:rPr>
          <w:rFonts w:ascii="Tahoma" w:hAnsi="Tahoma" w:cs="Tahoma"/>
          <w:b/>
          <w:color w:val="003C71"/>
        </w:rPr>
        <w:t>y</w:t>
      </w:r>
      <w:r>
        <w:rPr>
          <w:rFonts w:ascii="Tahoma" w:hAnsi="Tahoma" w:cs="Tahoma"/>
          <w:b/>
          <w:color w:val="003C71"/>
        </w:rPr>
        <w:t xml:space="preserve"> </w:t>
      </w:r>
      <w:r w:rsidR="002B6C20">
        <w:rPr>
          <w:rFonts w:ascii="Tahoma" w:hAnsi="Tahoma" w:cs="Tahoma"/>
          <w:b/>
          <w:color w:val="003C71"/>
        </w:rPr>
        <w:t xml:space="preserve">documents </w:t>
      </w:r>
      <w:r>
        <w:rPr>
          <w:rFonts w:ascii="Tahoma" w:hAnsi="Tahoma" w:cs="Tahoma"/>
          <w:b/>
          <w:color w:val="003C71"/>
        </w:rPr>
        <w:t>provided</w:t>
      </w:r>
      <w:r w:rsidR="002B6C20">
        <w:rPr>
          <w:rFonts w:ascii="Tahoma" w:hAnsi="Tahoma" w:cs="Tahoma"/>
          <w:b/>
          <w:color w:val="003C71"/>
        </w:rPr>
        <w:t xml:space="preserve"> </w:t>
      </w:r>
      <w:r w:rsidR="009010CC">
        <w:rPr>
          <w:rFonts w:ascii="Tahoma" w:hAnsi="Tahoma" w:cs="Tahoma"/>
          <w:b/>
          <w:color w:val="003C71"/>
        </w:rPr>
        <w:t>with</w:t>
      </w:r>
      <w:r w:rsidR="002B6C20">
        <w:rPr>
          <w:rFonts w:ascii="Tahoma" w:hAnsi="Tahoma" w:cs="Tahoma"/>
          <w:b/>
          <w:color w:val="003C71"/>
        </w:rPr>
        <w:t xml:space="preserve"> </w:t>
      </w:r>
      <w:r w:rsidR="009010CC">
        <w:rPr>
          <w:rFonts w:ascii="Tahoma" w:hAnsi="Tahoma" w:cs="Tahoma"/>
          <w:b/>
          <w:color w:val="003C71"/>
        </w:rPr>
        <w:t>the</w:t>
      </w:r>
      <w:r w:rsidR="002B6C20">
        <w:rPr>
          <w:rFonts w:ascii="Tahoma" w:hAnsi="Tahoma" w:cs="Tahoma"/>
          <w:b/>
          <w:color w:val="003C71"/>
        </w:rPr>
        <w:t xml:space="preserve"> Annual RIN</w:t>
      </w:r>
      <w:r w:rsidR="009010CC">
        <w:rPr>
          <w:rFonts w:ascii="Tahoma" w:hAnsi="Tahoma" w:cs="Tahoma"/>
          <w:b/>
          <w:color w:val="003C71"/>
        </w:rPr>
        <w:t xml:space="preserve"> submitted on 30 September 2020</w:t>
      </w:r>
      <w:bookmarkEnd w:id="79"/>
      <w:r w:rsidRPr="00443597">
        <w:rPr>
          <w:rFonts w:ascii="Tahoma" w:hAnsi="Tahoma" w:cs="Tahoma"/>
          <w:b/>
          <w:color w:val="003C71"/>
        </w:rPr>
        <w:t xml:space="preserve"> </w:t>
      </w:r>
    </w:p>
    <w:p w14:paraId="7B603F43" w14:textId="616EDC9A" w:rsidR="00425CB9" w:rsidRDefault="00425CB9" w:rsidP="00B340F5">
      <w:pPr>
        <w:rPr>
          <w:rFonts w:ascii="Tahoma" w:hAnsi="Tahoma" w:cs="Tahoma"/>
          <w:sz w:val="21"/>
          <w:szCs w:val="21"/>
        </w:rPr>
      </w:pPr>
    </w:p>
    <w:p w14:paraId="08FC41DC" w14:textId="7E30ACA2" w:rsidR="00425CB9" w:rsidRPr="00425CB9" w:rsidRDefault="00425CB9" w:rsidP="00DF0920">
      <w:pPr>
        <w:rPr>
          <w:rFonts w:ascii="Tahoma" w:eastAsia="Calibri" w:hAnsi="Tahoma" w:cs="Tahoma"/>
          <w:b/>
          <w:color w:val="0070C0"/>
          <w:sz w:val="24"/>
          <w:szCs w:val="24"/>
        </w:rPr>
      </w:pPr>
      <w:r w:rsidRPr="00425CB9">
        <w:rPr>
          <w:rFonts w:ascii="Tahoma" w:eastAsia="Calibri" w:hAnsi="Tahoma" w:cs="Tahoma"/>
          <w:b/>
          <w:color w:val="0070C0"/>
          <w:sz w:val="24"/>
          <w:szCs w:val="24"/>
        </w:rPr>
        <w:t>U</w:t>
      </w:r>
      <w:r>
        <w:rPr>
          <w:rFonts w:ascii="Tahoma" w:eastAsia="Calibri" w:hAnsi="Tahoma" w:cs="Tahoma"/>
          <w:b/>
          <w:color w:val="0070C0"/>
          <w:sz w:val="24"/>
          <w:szCs w:val="24"/>
        </w:rPr>
        <w:t>pdate</w:t>
      </w:r>
      <w:r w:rsidRPr="00425CB9">
        <w:rPr>
          <w:rFonts w:ascii="Tahoma" w:eastAsia="Calibri" w:hAnsi="Tahoma" w:cs="Tahoma"/>
          <w:b/>
          <w:color w:val="0070C0"/>
          <w:sz w:val="24"/>
          <w:szCs w:val="24"/>
        </w:rPr>
        <w:t xml:space="preserve"> </w:t>
      </w:r>
      <w:r>
        <w:rPr>
          <w:rFonts w:ascii="Tahoma" w:eastAsia="Calibri" w:hAnsi="Tahoma" w:cs="Tahoma"/>
          <w:b/>
          <w:color w:val="0070C0"/>
          <w:sz w:val="24"/>
          <w:szCs w:val="24"/>
        </w:rPr>
        <w:t>to</w:t>
      </w:r>
      <w:r w:rsidRPr="00425CB9">
        <w:rPr>
          <w:rFonts w:ascii="Tahoma" w:eastAsia="Calibri" w:hAnsi="Tahoma" w:cs="Tahoma"/>
          <w:b/>
          <w:color w:val="0070C0"/>
          <w:sz w:val="24"/>
          <w:szCs w:val="24"/>
        </w:rPr>
        <w:t xml:space="preserve"> </w:t>
      </w:r>
      <w:r>
        <w:rPr>
          <w:rFonts w:ascii="Tahoma" w:eastAsia="Calibri" w:hAnsi="Tahoma" w:cs="Tahoma"/>
          <w:b/>
          <w:color w:val="0070C0"/>
          <w:sz w:val="24"/>
          <w:szCs w:val="24"/>
        </w:rPr>
        <w:t>the</w:t>
      </w:r>
      <w:r w:rsidRPr="00425CB9">
        <w:rPr>
          <w:rFonts w:ascii="Tahoma" w:eastAsia="Calibri" w:hAnsi="Tahoma" w:cs="Tahoma"/>
          <w:b/>
          <w:color w:val="0070C0"/>
          <w:sz w:val="24"/>
          <w:szCs w:val="24"/>
        </w:rPr>
        <w:t xml:space="preserve"> AGN L</w:t>
      </w:r>
      <w:r>
        <w:rPr>
          <w:rFonts w:ascii="Tahoma" w:eastAsia="Calibri" w:hAnsi="Tahoma" w:cs="Tahoma"/>
          <w:b/>
          <w:color w:val="0070C0"/>
          <w:sz w:val="24"/>
          <w:szCs w:val="24"/>
        </w:rPr>
        <w:t>imited</w:t>
      </w:r>
      <w:r w:rsidRPr="00425CB9">
        <w:rPr>
          <w:rFonts w:ascii="Tahoma" w:eastAsia="Calibri" w:hAnsi="Tahoma" w:cs="Tahoma"/>
          <w:b/>
          <w:color w:val="0070C0"/>
          <w:sz w:val="24"/>
          <w:szCs w:val="24"/>
        </w:rPr>
        <w:t xml:space="preserve"> </w:t>
      </w:r>
      <w:r w:rsidR="002B6C20">
        <w:rPr>
          <w:rFonts w:ascii="Tahoma" w:eastAsia="Calibri" w:hAnsi="Tahoma" w:cs="Tahoma"/>
          <w:b/>
          <w:color w:val="0070C0"/>
          <w:sz w:val="24"/>
          <w:szCs w:val="24"/>
        </w:rPr>
        <w:t xml:space="preserve">- </w:t>
      </w:r>
      <w:r w:rsidRPr="00425CB9">
        <w:rPr>
          <w:rFonts w:ascii="Tahoma" w:eastAsia="Calibri" w:hAnsi="Tahoma" w:cs="Tahoma"/>
          <w:b/>
          <w:color w:val="0070C0"/>
          <w:sz w:val="24"/>
          <w:szCs w:val="24"/>
        </w:rPr>
        <w:t>C</w:t>
      </w:r>
      <w:r>
        <w:rPr>
          <w:rFonts w:ascii="Tahoma" w:eastAsia="Calibri" w:hAnsi="Tahoma" w:cs="Tahoma"/>
          <w:b/>
          <w:color w:val="0070C0"/>
          <w:sz w:val="24"/>
          <w:szCs w:val="24"/>
        </w:rPr>
        <w:t>ost</w:t>
      </w:r>
      <w:r w:rsidRPr="00425CB9">
        <w:rPr>
          <w:rFonts w:ascii="Tahoma" w:eastAsia="Calibri" w:hAnsi="Tahoma" w:cs="Tahoma"/>
          <w:b/>
          <w:color w:val="0070C0"/>
          <w:sz w:val="24"/>
          <w:szCs w:val="24"/>
        </w:rPr>
        <w:t xml:space="preserve"> A</w:t>
      </w:r>
      <w:r>
        <w:rPr>
          <w:rFonts w:ascii="Tahoma" w:eastAsia="Calibri" w:hAnsi="Tahoma" w:cs="Tahoma"/>
          <w:b/>
          <w:color w:val="0070C0"/>
          <w:sz w:val="24"/>
          <w:szCs w:val="24"/>
        </w:rPr>
        <w:t>llocation</w:t>
      </w:r>
      <w:r w:rsidRPr="00425CB9">
        <w:rPr>
          <w:rFonts w:ascii="Tahoma" w:eastAsia="Calibri" w:hAnsi="Tahoma" w:cs="Tahoma"/>
          <w:b/>
          <w:color w:val="0070C0"/>
          <w:sz w:val="24"/>
          <w:szCs w:val="24"/>
        </w:rPr>
        <w:t xml:space="preserve"> M</w:t>
      </w:r>
      <w:r>
        <w:rPr>
          <w:rFonts w:ascii="Tahoma" w:eastAsia="Calibri" w:hAnsi="Tahoma" w:cs="Tahoma"/>
          <w:b/>
          <w:color w:val="0070C0"/>
          <w:sz w:val="24"/>
          <w:szCs w:val="24"/>
        </w:rPr>
        <w:t>ethodology</w:t>
      </w:r>
      <w:r w:rsidRPr="00425CB9">
        <w:rPr>
          <w:rFonts w:ascii="Tahoma" w:eastAsia="Calibri" w:hAnsi="Tahoma" w:cs="Tahoma"/>
          <w:b/>
          <w:color w:val="0070C0"/>
          <w:sz w:val="24"/>
          <w:szCs w:val="24"/>
        </w:rPr>
        <w:t xml:space="preserve"> </w:t>
      </w:r>
      <w:r w:rsidR="002B6C20">
        <w:rPr>
          <w:rFonts w:ascii="Tahoma" w:eastAsia="Calibri" w:hAnsi="Tahoma" w:cs="Tahoma"/>
          <w:b/>
          <w:color w:val="0070C0"/>
          <w:sz w:val="24"/>
          <w:szCs w:val="24"/>
        </w:rPr>
        <w:t xml:space="preserve">document </w:t>
      </w:r>
      <w:r w:rsidR="00DF0920">
        <w:rPr>
          <w:rFonts w:ascii="Tahoma" w:eastAsia="Calibri" w:hAnsi="Tahoma" w:cs="Tahoma"/>
          <w:b/>
          <w:color w:val="0070C0"/>
          <w:sz w:val="24"/>
          <w:szCs w:val="24"/>
        </w:rPr>
        <w:t>(d</w:t>
      </w:r>
      <w:r>
        <w:rPr>
          <w:rFonts w:ascii="Tahoma" w:eastAsia="Calibri" w:hAnsi="Tahoma" w:cs="Tahoma"/>
          <w:b/>
          <w:color w:val="0070C0"/>
          <w:sz w:val="24"/>
          <w:szCs w:val="24"/>
        </w:rPr>
        <w:t>ated S</w:t>
      </w:r>
      <w:r w:rsidR="00DF0920">
        <w:rPr>
          <w:rFonts w:ascii="Tahoma" w:eastAsia="Calibri" w:hAnsi="Tahoma" w:cs="Tahoma"/>
          <w:b/>
          <w:color w:val="0070C0"/>
          <w:sz w:val="24"/>
          <w:szCs w:val="24"/>
        </w:rPr>
        <w:t>e</w:t>
      </w:r>
      <w:r>
        <w:rPr>
          <w:rFonts w:ascii="Tahoma" w:eastAsia="Calibri" w:hAnsi="Tahoma" w:cs="Tahoma"/>
          <w:b/>
          <w:color w:val="0070C0"/>
          <w:sz w:val="24"/>
          <w:szCs w:val="24"/>
        </w:rPr>
        <w:t>ptember 2020</w:t>
      </w:r>
      <w:r w:rsidR="00DF0920">
        <w:rPr>
          <w:rFonts w:ascii="Tahoma" w:eastAsia="Calibri" w:hAnsi="Tahoma" w:cs="Tahoma"/>
          <w:b/>
          <w:color w:val="0070C0"/>
          <w:sz w:val="24"/>
          <w:szCs w:val="24"/>
        </w:rPr>
        <w:t>)</w:t>
      </w:r>
    </w:p>
    <w:p w14:paraId="507746AC" w14:textId="53D6305B" w:rsidR="00425CB9" w:rsidRPr="00DF0920" w:rsidRDefault="00DF0920" w:rsidP="00DF0920">
      <w:pPr>
        <w:rPr>
          <w:rFonts w:ascii="Tahoma" w:eastAsia="Calibri" w:hAnsi="Tahoma" w:cs="Tahoma"/>
          <w:sz w:val="21"/>
          <w:szCs w:val="21"/>
        </w:rPr>
      </w:pPr>
      <w:r w:rsidRPr="00DF0920">
        <w:rPr>
          <w:rFonts w:ascii="Tahoma" w:eastAsia="Calibri" w:hAnsi="Tahoma" w:cs="Tahoma"/>
          <w:sz w:val="21"/>
          <w:szCs w:val="21"/>
        </w:rPr>
        <w:t>Provided below are the cost allocat</w:t>
      </w:r>
      <w:r w:rsidR="002B6C20">
        <w:rPr>
          <w:rFonts w:ascii="Tahoma" w:eastAsia="Calibri" w:hAnsi="Tahoma" w:cs="Tahoma"/>
          <w:sz w:val="21"/>
          <w:szCs w:val="21"/>
        </w:rPr>
        <w:t>ion factors and their amounts</w:t>
      </w:r>
      <w:r w:rsidRPr="00DF0920">
        <w:rPr>
          <w:rFonts w:ascii="Tahoma" w:eastAsia="Calibri" w:hAnsi="Tahoma" w:cs="Tahoma"/>
          <w:sz w:val="21"/>
          <w:szCs w:val="21"/>
        </w:rPr>
        <w:t xml:space="preserve"> for 2019/20, as provided for </w:t>
      </w:r>
      <w:r w:rsidR="002B6C20">
        <w:rPr>
          <w:rFonts w:ascii="Tahoma" w:eastAsia="Calibri" w:hAnsi="Tahoma" w:cs="Tahoma"/>
          <w:sz w:val="21"/>
          <w:szCs w:val="21"/>
        </w:rPr>
        <w:t xml:space="preserve">the historical </w:t>
      </w:r>
      <w:r w:rsidRPr="00DF0920">
        <w:rPr>
          <w:rFonts w:ascii="Tahoma" w:eastAsia="Calibri" w:hAnsi="Tahoma" w:cs="Tahoma"/>
          <w:sz w:val="21"/>
          <w:szCs w:val="21"/>
        </w:rPr>
        <w:t xml:space="preserve">years </w:t>
      </w:r>
      <w:r w:rsidR="002B6C20">
        <w:rPr>
          <w:rFonts w:ascii="Tahoma" w:eastAsia="Calibri" w:hAnsi="Tahoma" w:cs="Tahoma"/>
          <w:sz w:val="21"/>
          <w:szCs w:val="21"/>
        </w:rPr>
        <w:t xml:space="preserve">(2010/11 to 2018/19) </w:t>
      </w:r>
      <w:r w:rsidRPr="00DF0920">
        <w:rPr>
          <w:rFonts w:ascii="Tahoma" w:eastAsia="Calibri" w:hAnsi="Tahoma" w:cs="Tahoma"/>
          <w:sz w:val="21"/>
          <w:szCs w:val="21"/>
        </w:rPr>
        <w:t xml:space="preserve">in </w:t>
      </w:r>
      <w:r w:rsidRPr="002B6C20">
        <w:rPr>
          <w:rFonts w:ascii="Tahoma" w:eastAsia="Calibri" w:hAnsi="Tahoma" w:cs="Tahoma"/>
          <w:b/>
          <w:sz w:val="21"/>
          <w:szCs w:val="21"/>
        </w:rPr>
        <w:t xml:space="preserve">Appendix A – Tables 4 and 5 </w:t>
      </w:r>
      <w:r w:rsidRPr="002B6C20">
        <w:rPr>
          <w:rFonts w:ascii="Tahoma" w:eastAsia="Calibri" w:hAnsi="Tahoma" w:cs="Tahoma"/>
          <w:sz w:val="21"/>
          <w:szCs w:val="21"/>
        </w:rPr>
        <w:t xml:space="preserve">of the </w:t>
      </w:r>
      <w:r w:rsidRPr="002B6C20">
        <w:rPr>
          <w:rFonts w:ascii="Tahoma" w:eastAsia="Calibri" w:hAnsi="Tahoma" w:cs="Tahoma"/>
          <w:b/>
          <w:sz w:val="21"/>
          <w:szCs w:val="21"/>
        </w:rPr>
        <w:t>Cost Allocation Methodology</w:t>
      </w:r>
      <w:r w:rsidRPr="00DF0920">
        <w:rPr>
          <w:rFonts w:ascii="Tahoma" w:eastAsia="Calibri" w:hAnsi="Tahoma" w:cs="Tahoma"/>
          <w:sz w:val="21"/>
          <w:szCs w:val="21"/>
        </w:rPr>
        <w:t xml:space="preserve"> document.</w:t>
      </w:r>
    </w:p>
    <w:p w14:paraId="1CEC188C" w14:textId="77777777" w:rsidR="00DF0920" w:rsidRPr="00425CB9" w:rsidRDefault="00DF0920" w:rsidP="00DF0920">
      <w:pPr>
        <w:spacing w:after="0"/>
        <w:rPr>
          <w:rFonts w:ascii="Calibri" w:eastAsia="Calibri" w:hAnsi="Calibri" w:cs="Times New Roman"/>
          <w:b/>
        </w:rPr>
      </w:pPr>
    </w:p>
    <w:p w14:paraId="2DB62F7A" w14:textId="7114CEEA" w:rsidR="00425CB9" w:rsidRPr="002B6C20" w:rsidRDefault="00425CB9" w:rsidP="00DF0920">
      <w:pPr>
        <w:rPr>
          <w:rFonts w:ascii="Tahoma" w:eastAsia="Calibri" w:hAnsi="Tahoma" w:cs="Tahoma"/>
          <w:sz w:val="20"/>
          <w:szCs w:val="20"/>
        </w:rPr>
      </w:pPr>
      <w:r w:rsidRPr="002B6C20">
        <w:rPr>
          <w:rFonts w:ascii="Tahoma" w:eastAsia="Calibri" w:hAnsi="Tahoma" w:cs="Tahoma"/>
          <w:sz w:val="20"/>
          <w:szCs w:val="20"/>
        </w:rPr>
        <w:t>Table 4: Allocation Factors and Amounts for 2019/20 – APA Asset Management</w:t>
      </w:r>
    </w:p>
    <w:tbl>
      <w:tblPr>
        <w:tblStyle w:val="AGNTabledefault"/>
        <w:tblW w:w="8080" w:type="dxa"/>
        <w:tblLook w:val="04A0" w:firstRow="1" w:lastRow="0" w:firstColumn="1" w:lastColumn="0" w:noHBand="0" w:noVBand="1"/>
      </w:tblPr>
      <w:tblGrid>
        <w:gridCol w:w="4253"/>
        <w:gridCol w:w="1913"/>
        <w:gridCol w:w="1914"/>
      </w:tblGrid>
      <w:tr w:rsidR="00425CB9" w:rsidRPr="00425CB9" w14:paraId="0342B73A" w14:textId="77777777" w:rsidTr="002B6C20">
        <w:trPr>
          <w:cnfStyle w:val="100000000000" w:firstRow="1" w:lastRow="0" w:firstColumn="0" w:lastColumn="0" w:oddVBand="0" w:evenVBand="0" w:oddHBand="0" w:evenHBand="0" w:firstRowFirstColumn="0" w:firstRowLastColumn="0" w:lastRowFirstColumn="0" w:lastRowLastColumn="0"/>
          <w:tblHeader/>
        </w:trPr>
        <w:tc>
          <w:tcPr>
            <w:tcW w:w="4253" w:type="dxa"/>
          </w:tcPr>
          <w:p w14:paraId="414820EE" w14:textId="77777777" w:rsidR="00425CB9" w:rsidRPr="00425CB9" w:rsidRDefault="00425CB9" w:rsidP="00DF0920">
            <w:pPr>
              <w:spacing w:before="120" w:after="60" w:line="260" w:lineRule="exact"/>
              <w:rPr>
                <w:rFonts w:eastAsia="Times New Roman" w:cs="Times New Roman"/>
                <w:bCs/>
                <w:spacing w:val="6"/>
                <w:szCs w:val="24"/>
                <w:lang w:eastAsia="en-GB"/>
              </w:rPr>
            </w:pPr>
            <w:r w:rsidRPr="00425CB9">
              <w:rPr>
                <w:rFonts w:eastAsia="Times New Roman" w:cs="Times New Roman"/>
                <w:bCs/>
                <w:spacing w:val="6"/>
                <w:szCs w:val="24"/>
                <w:lang w:eastAsia="en-GB"/>
              </w:rPr>
              <w:t>Allocation Factor / Allocation Amounts</w:t>
            </w:r>
          </w:p>
        </w:tc>
        <w:tc>
          <w:tcPr>
            <w:tcW w:w="1913" w:type="dxa"/>
          </w:tcPr>
          <w:p w14:paraId="07241A7D" w14:textId="77777777" w:rsidR="00425CB9" w:rsidRPr="00425CB9" w:rsidRDefault="00425CB9" w:rsidP="00DF0920">
            <w:pPr>
              <w:spacing w:before="120" w:after="60" w:line="260" w:lineRule="exact"/>
              <w:rPr>
                <w:rFonts w:eastAsia="Times New Roman" w:cs="Times New Roman"/>
                <w:bCs/>
                <w:spacing w:val="6"/>
                <w:szCs w:val="24"/>
                <w:lang w:eastAsia="en-GB"/>
              </w:rPr>
            </w:pPr>
            <w:r w:rsidRPr="00425CB9">
              <w:rPr>
                <w:rFonts w:eastAsia="Times New Roman" w:cs="Times New Roman"/>
                <w:bCs/>
                <w:spacing w:val="6"/>
                <w:szCs w:val="24"/>
                <w:lang w:eastAsia="en-GB"/>
              </w:rPr>
              <w:t>Dec</w:t>
            </w:r>
          </w:p>
          <w:p w14:paraId="0F18E097" w14:textId="77777777" w:rsidR="00425CB9" w:rsidRPr="00425CB9" w:rsidRDefault="00425CB9" w:rsidP="00DF0920">
            <w:pPr>
              <w:spacing w:before="120" w:after="60" w:line="260" w:lineRule="exact"/>
              <w:rPr>
                <w:rFonts w:eastAsia="Times New Roman" w:cs="Times New Roman"/>
                <w:bCs/>
                <w:spacing w:val="6"/>
                <w:szCs w:val="24"/>
                <w:lang w:eastAsia="en-GB"/>
              </w:rPr>
            </w:pPr>
            <w:r w:rsidRPr="00425CB9">
              <w:rPr>
                <w:rFonts w:eastAsia="Times New Roman" w:cs="Times New Roman"/>
                <w:bCs/>
                <w:spacing w:val="6"/>
                <w:szCs w:val="24"/>
                <w:lang w:eastAsia="en-GB"/>
              </w:rPr>
              <w:t>2019</w:t>
            </w:r>
          </w:p>
        </w:tc>
        <w:tc>
          <w:tcPr>
            <w:tcW w:w="1914" w:type="dxa"/>
          </w:tcPr>
          <w:p w14:paraId="486CB6A7" w14:textId="77777777" w:rsidR="00425CB9" w:rsidRPr="00425CB9" w:rsidRDefault="00425CB9" w:rsidP="00DF0920">
            <w:pPr>
              <w:spacing w:before="120" w:after="60" w:line="260" w:lineRule="exact"/>
              <w:rPr>
                <w:rFonts w:eastAsia="Times New Roman" w:cs="Times New Roman"/>
                <w:bCs/>
                <w:spacing w:val="6"/>
                <w:szCs w:val="24"/>
                <w:lang w:eastAsia="en-GB"/>
              </w:rPr>
            </w:pPr>
            <w:r w:rsidRPr="00425CB9">
              <w:rPr>
                <w:rFonts w:eastAsia="Times New Roman" w:cs="Times New Roman"/>
                <w:bCs/>
                <w:spacing w:val="6"/>
                <w:szCs w:val="24"/>
                <w:lang w:eastAsia="en-GB"/>
              </w:rPr>
              <w:t>Jun</w:t>
            </w:r>
          </w:p>
          <w:p w14:paraId="0DA80E8C" w14:textId="77777777" w:rsidR="00425CB9" w:rsidRPr="00425CB9" w:rsidRDefault="00425CB9" w:rsidP="00DF0920">
            <w:pPr>
              <w:spacing w:before="120" w:after="60" w:line="260" w:lineRule="exact"/>
              <w:rPr>
                <w:rFonts w:eastAsia="Times New Roman" w:cs="Times New Roman"/>
                <w:bCs/>
                <w:spacing w:val="6"/>
                <w:szCs w:val="24"/>
                <w:lang w:eastAsia="en-GB"/>
              </w:rPr>
            </w:pPr>
            <w:r w:rsidRPr="00425CB9">
              <w:rPr>
                <w:rFonts w:eastAsia="Times New Roman" w:cs="Times New Roman"/>
                <w:bCs/>
                <w:spacing w:val="6"/>
                <w:szCs w:val="24"/>
                <w:lang w:eastAsia="en-GB"/>
              </w:rPr>
              <w:t>2020</w:t>
            </w:r>
          </w:p>
        </w:tc>
      </w:tr>
      <w:tr w:rsidR="00425CB9" w:rsidRPr="00425CB9" w14:paraId="681471A1" w14:textId="77777777" w:rsidTr="002B6C20">
        <w:tc>
          <w:tcPr>
            <w:tcW w:w="4253" w:type="dxa"/>
          </w:tcPr>
          <w:p w14:paraId="317BDF8C" w14:textId="77777777" w:rsidR="00425CB9" w:rsidRPr="00425CB9" w:rsidRDefault="00425CB9" w:rsidP="00DF0920">
            <w:pPr>
              <w:spacing w:before="120" w:after="120" w:line="100" w:lineRule="atLeast"/>
              <w:rPr>
                <w:rFonts w:eastAsia="Times New Roman" w:cs="Times New Roman"/>
                <w:b/>
                <w:bCs/>
                <w:szCs w:val="24"/>
                <w:lang w:eastAsia="en-GB"/>
              </w:rPr>
            </w:pPr>
            <w:r w:rsidRPr="00425CB9">
              <w:rPr>
                <w:rFonts w:eastAsia="Times New Roman" w:cs="Times New Roman"/>
                <w:b/>
                <w:bCs/>
                <w:szCs w:val="24"/>
                <w:lang w:eastAsia="en-GB"/>
              </w:rPr>
              <w:t>STATE ALLOCATORS (APA)</w:t>
            </w:r>
          </w:p>
        </w:tc>
        <w:tc>
          <w:tcPr>
            <w:tcW w:w="1913" w:type="dxa"/>
            <w:shd w:val="clear" w:color="auto" w:fill="DEEAF6"/>
          </w:tcPr>
          <w:p w14:paraId="783BCF88" w14:textId="77777777" w:rsidR="00425CB9" w:rsidRPr="00425CB9" w:rsidRDefault="00425CB9" w:rsidP="00DF0920">
            <w:pPr>
              <w:spacing w:before="120" w:after="120" w:line="100" w:lineRule="atLeast"/>
              <w:rPr>
                <w:rFonts w:eastAsia="Times New Roman" w:cs="Times New Roman"/>
                <w:bCs/>
                <w:szCs w:val="24"/>
                <w:lang w:eastAsia="en-GB"/>
              </w:rPr>
            </w:pPr>
          </w:p>
        </w:tc>
        <w:tc>
          <w:tcPr>
            <w:tcW w:w="1914" w:type="dxa"/>
            <w:shd w:val="clear" w:color="auto" w:fill="DEEAF6"/>
          </w:tcPr>
          <w:p w14:paraId="299584CD" w14:textId="77777777" w:rsidR="00425CB9" w:rsidRPr="00425CB9" w:rsidRDefault="00425CB9" w:rsidP="00DF0920">
            <w:pPr>
              <w:spacing w:before="120" w:after="120" w:line="100" w:lineRule="atLeast"/>
              <w:rPr>
                <w:rFonts w:eastAsia="Times New Roman" w:cs="Times New Roman"/>
                <w:bCs/>
                <w:szCs w:val="24"/>
                <w:lang w:eastAsia="en-GB"/>
              </w:rPr>
            </w:pPr>
          </w:p>
        </w:tc>
      </w:tr>
      <w:tr w:rsidR="00425CB9" w:rsidRPr="00425CB9" w14:paraId="27BAD40A" w14:textId="77777777" w:rsidTr="002B6C20">
        <w:tc>
          <w:tcPr>
            <w:tcW w:w="4253" w:type="dxa"/>
          </w:tcPr>
          <w:p w14:paraId="7358206D"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Total Customer Numbers</w:t>
            </w:r>
          </w:p>
        </w:tc>
        <w:tc>
          <w:tcPr>
            <w:tcW w:w="1913" w:type="dxa"/>
            <w:shd w:val="clear" w:color="auto" w:fill="DEEAF6"/>
          </w:tcPr>
          <w:p w14:paraId="16E0E7DE"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98%</w:t>
            </w:r>
          </w:p>
        </w:tc>
        <w:tc>
          <w:tcPr>
            <w:tcW w:w="1914" w:type="dxa"/>
            <w:shd w:val="clear" w:color="auto" w:fill="DEEAF6"/>
          </w:tcPr>
          <w:p w14:paraId="4D2BE346"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98%</w:t>
            </w:r>
          </w:p>
        </w:tc>
      </w:tr>
      <w:tr w:rsidR="00425CB9" w:rsidRPr="00425CB9" w14:paraId="1A553F72" w14:textId="77777777" w:rsidTr="002B6C20">
        <w:tc>
          <w:tcPr>
            <w:tcW w:w="4253" w:type="dxa"/>
          </w:tcPr>
          <w:p w14:paraId="456554C8"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Total Customers (excl. Small Pipelines)</w:t>
            </w:r>
          </w:p>
        </w:tc>
        <w:tc>
          <w:tcPr>
            <w:tcW w:w="1913" w:type="dxa"/>
            <w:shd w:val="clear" w:color="auto" w:fill="DEEAF6"/>
          </w:tcPr>
          <w:p w14:paraId="5B724BA1"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100%</w:t>
            </w:r>
          </w:p>
        </w:tc>
        <w:tc>
          <w:tcPr>
            <w:tcW w:w="1914" w:type="dxa"/>
            <w:shd w:val="clear" w:color="auto" w:fill="DEEAF6"/>
          </w:tcPr>
          <w:p w14:paraId="4ACC4A8F"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100%</w:t>
            </w:r>
          </w:p>
        </w:tc>
      </w:tr>
      <w:tr w:rsidR="00425CB9" w:rsidRPr="00425CB9" w14:paraId="6D7ED453" w14:textId="77777777" w:rsidTr="002B6C20">
        <w:tc>
          <w:tcPr>
            <w:tcW w:w="4253" w:type="dxa"/>
          </w:tcPr>
          <w:p w14:paraId="536FB6AE"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Kilometres of Distribution Network</w:t>
            </w:r>
          </w:p>
        </w:tc>
        <w:tc>
          <w:tcPr>
            <w:tcW w:w="1913" w:type="dxa"/>
            <w:shd w:val="clear" w:color="auto" w:fill="DEEAF6"/>
          </w:tcPr>
          <w:p w14:paraId="7FC008E0"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92%</w:t>
            </w:r>
          </w:p>
        </w:tc>
        <w:tc>
          <w:tcPr>
            <w:tcW w:w="1914" w:type="dxa"/>
            <w:shd w:val="clear" w:color="auto" w:fill="DEEAF6"/>
          </w:tcPr>
          <w:p w14:paraId="05216726"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92%</w:t>
            </w:r>
          </w:p>
        </w:tc>
      </w:tr>
      <w:tr w:rsidR="00425CB9" w:rsidRPr="00425CB9" w14:paraId="5D96BF8E" w14:textId="77777777" w:rsidTr="002B6C20">
        <w:tc>
          <w:tcPr>
            <w:tcW w:w="4253" w:type="dxa"/>
          </w:tcPr>
          <w:p w14:paraId="35A464D8"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Total Consumption</w:t>
            </w:r>
          </w:p>
        </w:tc>
        <w:tc>
          <w:tcPr>
            <w:tcW w:w="1913" w:type="dxa"/>
            <w:shd w:val="clear" w:color="auto" w:fill="DEEAF6"/>
          </w:tcPr>
          <w:p w14:paraId="7EBD937F"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98%</w:t>
            </w:r>
          </w:p>
        </w:tc>
        <w:tc>
          <w:tcPr>
            <w:tcW w:w="1914" w:type="dxa"/>
            <w:shd w:val="clear" w:color="auto" w:fill="DEEAF6"/>
          </w:tcPr>
          <w:p w14:paraId="49D077F5"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97%</w:t>
            </w:r>
          </w:p>
        </w:tc>
      </w:tr>
      <w:tr w:rsidR="00425CB9" w:rsidRPr="00425CB9" w14:paraId="1C6D8966" w14:textId="77777777" w:rsidTr="002B6C20">
        <w:tc>
          <w:tcPr>
            <w:tcW w:w="4253" w:type="dxa"/>
          </w:tcPr>
          <w:p w14:paraId="7B3F8459"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Total Network Revenue</w:t>
            </w:r>
          </w:p>
        </w:tc>
        <w:tc>
          <w:tcPr>
            <w:tcW w:w="1913" w:type="dxa"/>
            <w:shd w:val="clear" w:color="auto" w:fill="DEEAF6"/>
          </w:tcPr>
          <w:p w14:paraId="4EC53B66"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98%</w:t>
            </w:r>
          </w:p>
        </w:tc>
        <w:tc>
          <w:tcPr>
            <w:tcW w:w="1914" w:type="dxa"/>
            <w:shd w:val="clear" w:color="auto" w:fill="DEEAF6"/>
          </w:tcPr>
          <w:p w14:paraId="7F8495A3"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98%</w:t>
            </w:r>
          </w:p>
        </w:tc>
      </w:tr>
      <w:tr w:rsidR="00425CB9" w:rsidRPr="00425CB9" w14:paraId="38DA4355" w14:textId="77777777" w:rsidTr="002B6C20">
        <w:tc>
          <w:tcPr>
            <w:tcW w:w="4253" w:type="dxa"/>
          </w:tcPr>
          <w:p w14:paraId="313CD936"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
                <w:bCs/>
                <w:szCs w:val="24"/>
                <w:lang w:eastAsia="en-GB"/>
              </w:rPr>
              <w:t>NATIONAL ALLOCATORS (APA)</w:t>
            </w:r>
          </w:p>
        </w:tc>
        <w:tc>
          <w:tcPr>
            <w:tcW w:w="1913" w:type="dxa"/>
            <w:shd w:val="clear" w:color="auto" w:fill="DEEAF6"/>
          </w:tcPr>
          <w:p w14:paraId="0665A737" w14:textId="77777777" w:rsidR="00425CB9" w:rsidRPr="00425CB9" w:rsidRDefault="00425CB9" w:rsidP="00DF0920">
            <w:pPr>
              <w:spacing w:before="120" w:after="120" w:line="100" w:lineRule="atLeast"/>
              <w:rPr>
                <w:rFonts w:eastAsia="Times New Roman" w:cs="Times New Roman"/>
                <w:bCs/>
                <w:szCs w:val="24"/>
                <w:lang w:eastAsia="en-GB"/>
              </w:rPr>
            </w:pPr>
          </w:p>
        </w:tc>
        <w:tc>
          <w:tcPr>
            <w:tcW w:w="1914" w:type="dxa"/>
            <w:shd w:val="clear" w:color="auto" w:fill="DEEAF6"/>
          </w:tcPr>
          <w:p w14:paraId="04CC9E1C" w14:textId="77777777" w:rsidR="00425CB9" w:rsidRPr="00425CB9" w:rsidRDefault="00425CB9" w:rsidP="00DF0920">
            <w:pPr>
              <w:spacing w:before="120" w:after="120" w:line="100" w:lineRule="atLeast"/>
              <w:rPr>
                <w:rFonts w:eastAsia="Times New Roman" w:cs="Times New Roman"/>
                <w:bCs/>
                <w:szCs w:val="24"/>
                <w:lang w:eastAsia="en-GB"/>
              </w:rPr>
            </w:pPr>
          </w:p>
        </w:tc>
      </w:tr>
      <w:tr w:rsidR="00425CB9" w:rsidRPr="00425CB9" w14:paraId="56FE7943" w14:textId="77777777" w:rsidTr="002B6C20">
        <w:tc>
          <w:tcPr>
            <w:tcW w:w="4253" w:type="dxa"/>
          </w:tcPr>
          <w:p w14:paraId="2855DF55"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Total Customer Numbers</w:t>
            </w:r>
          </w:p>
        </w:tc>
        <w:tc>
          <w:tcPr>
            <w:tcW w:w="1913" w:type="dxa"/>
            <w:shd w:val="clear" w:color="auto" w:fill="DEEAF6"/>
          </w:tcPr>
          <w:p w14:paraId="0165965A"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35%</w:t>
            </w:r>
          </w:p>
        </w:tc>
        <w:tc>
          <w:tcPr>
            <w:tcW w:w="1914" w:type="dxa"/>
            <w:shd w:val="clear" w:color="auto" w:fill="DEEAF6"/>
          </w:tcPr>
          <w:p w14:paraId="31459F56"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35%</w:t>
            </w:r>
          </w:p>
        </w:tc>
      </w:tr>
      <w:tr w:rsidR="00425CB9" w:rsidRPr="00425CB9" w14:paraId="2701D014" w14:textId="77777777" w:rsidTr="002B6C20">
        <w:tc>
          <w:tcPr>
            <w:tcW w:w="4253" w:type="dxa"/>
          </w:tcPr>
          <w:p w14:paraId="7B7EEE91"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Total Customers (excl. Small Pipelines)</w:t>
            </w:r>
          </w:p>
        </w:tc>
        <w:tc>
          <w:tcPr>
            <w:tcW w:w="1913" w:type="dxa"/>
            <w:shd w:val="clear" w:color="auto" w:fill="DEEAF6"/>
          </w:tcPr>
          <w:p w14:paraId="4F93367F"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36%</w:t>
            </w:r>
          </w:p>
        </w:tc>
        <w:tc>
          <w:tcPr>
            <w:tcW w:w="1914" w:type="dxa"/>
            <w:shd w:val="clear" w:color="auto" w:fill="DEEAF6"/>
          </w:tcPr>
          <w:p w14:paraId="5D9E8FDC"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36%</w:t>
            </w:r>
          </w:p>
        </w:tc>
      </w:tr>
      <w:tr w:rsidR="00425CB9" w:rsidRPr="00425CB9" w14:paraId="59AF6FB0" w14:textId="77777777" w:rsidTr="002B6C20">
        <w:tc>
          <w:tcPr>
            <w:tcW w:w="4253" w:type="dxa"/>
          </w:tcPr>
          <w:p w14:paraId="0B984AFD"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Kilometres of Distribution Network</w:t>
            </w:r>
          </w:p>
        </w:tc>
        <w:tc>
          <w:tcPr>
            <w:tcW w:w="1913" w:type="dxa"/>
            <w:shd w:val="clear" w:color="auto" w:fill="DEEAF6"/>
          </w:tcPr>
          <w:p w14:paraId="6C817678"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31%</w:t>
            </w:r>
          </w:p>
        </w:tc>
        <w:tc>
          <w:tcPr>
            <w:tcW w:w="1914" w:type="dxa"/>
            <w:shd w:val="clear" w:color="auto" w:fill="DEEAF6"/>
          </w:tcPr>
          <w:p w14:paraId="3DAABA07"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31%</w:t>
            </w:r>
          </w:p>
        </w:tc>
      </w:tr>
      <w:tr w:rsidR="00425CB9" w:rsidRPr="00425CB9" w14:paraId="5E636DE7" w14:textId="77777777" w:rsidTr="002B6C20">
        <w:tc>
          <w:tcPr>
            <w:tcW w:w="4253" w:type="dxa"/>
          </w:tcPr>
          <w:p w14:paraId="3A5CA847"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lastRenderedPageBreak/>
              <w:t>Total Consumption</w:t>
            </w:r>
          </w:p>
        </w:tc>
        <w:tc>
          <w:tcPr>
            <w:tcW w:w="1913" w:type="dxa"/>
            <w:shd w:val="clear" w:color="auto" w:fill="DEEAF6"/>
          </w:tcPr>
          <w:p w14:paraId="0FB07081"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20%</w:t>
            </w:r>
          </w:p>
        </w:tc>
        <w:tc>
          <w:tcPr>
            <w:tcW w:w="1914" w:type="dxa"/>
            <w:shd w:val="clear" w:color="auto" w:fill="DEEAF6"/>
          </w:tcPr>
          <w:p w14:paraId="7ED8CDFD"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18%</w:t>
            </w:r>
          </w:p>
        </w:tc>
      </w:tr>
      <w:tr w:rsidR="00425CB9" w:rsidRPr="00425CB9" w14:paraId="143E59B7" w14:textId="77777777" w:rsidTr="002B6C20">
        <w:tc>
          <w:tcPr>
            <w:tcW w:w="4253" w:type="dxa"/>
          </w:tcPr>
          <w:p w14:paraId="277C0EA9"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Total Network Revenue</w:t>
            </w:r>
          </w:p>
        </w:tc>
        <w:tc>
          <w:tcPr>
            <w:tcW w:w="1913" w:type="dxa"/>
            <w:shd w:val="clear" w:color="auto" w:fill="DEEAF6"/>
          </w:tcPr>
          <w:p w14:paraId="5D4B37C5"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38%</w:t>
            </w:r>
          </w:p>
        </w:tc>
        <w:tc>
          <w:tcPr>
            <w:tcW w:w="1914" w:type="dxa"/>
            <w:shd w:val="clear" w:color="auto" w:fill="DEEAF6"/>
          </w:tcPr>
          <w:p w14:paraId="29A75A42"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36%</w:t>
            </w:r>
          </w:p>
        </w:tc>
      </w:tr>
    </w:tbl>
    <w:p w14:paraId="37047CC0" w14:textId="77777777" w:rsidR="00425CB9" w:rsidRPr="00425CB9" w:rsidRDefault="00425CB9" w:rsidP="00DF0920">
      <w:pPr>
        <w:rPr>
          <w:rFonts w:ascii="Calibri" w:eastAsia="Calibri" w:hAnsi="Calibri" w:cs="Times New Roman"/>
        </w:rPr>
      </w:pPr>
    </w:p>
    <w:p w14:paraId="187DDC18" w14:textId="3AED69B0" w:rsidR="00425CB9" w:rsidRPr="002B6C20" w:rsidRDefault="00425CB9" w:rsidP="00DF0920">
      <w:pPr>
        <w:rPr>
          <w:rFonts w:ascii="Tahoma" w:eastAsia="Calibri" w:hAnsi="Tahoma" w:cs="Tahoma"/>
          <w:sz w:val="20"/>
          <w:szCs w:val="20"/>
        </w:rPr>
      </w:pPr>
      <w:r w:rsidRPr="002B6C20">
        <w:rPr>
          <w:rFonts w:ascii="Tahoma" w:eastAsia="Calibri" w:hAnsi="Tahoma" w:cs="Tahoma"/>
          <w:sz w:val="20"/>
          <w:szCs w:val="20"/>
        </w:rPr>
        <w:t>Table 5: Allocation Factors and Amounts for 2019/20 – AGN Limited</w:t>
      </w:r>
    </w:p>
    <w:tbl>
      <w:tblPr>
        <w:tblStyle w:val="AGNTabledefault1"/>
        <w:tblW w:w="0" w:type="auto"/>
        <w:tblLook w:val="04A0" w:firstRow="1" w:lastRow="0" w:firstColumn="1" w:lastColumn="0" w:noHBand="0" w:noVBand="1"/>
      </w:tblPr>
      <w:tblGrid>
        <w:gridCol w:w="5387"/>
        <w:gridCol w:w="1984"/>
      </w:tblGrid>
      <w:tr w:rsidR="00425CB9" w:rsidRPr="00425CB9" w14:paraId="0471657C" w14:textId="77777777" w:rsidTr="002B6C20">
        <w:trPr>
          <w:cnfStyle w:val="100000000000" w:firstRow="1" w:lastRow="0" w:firstColumn="0" w:lastColumn="0" w:oddVBand="0" w:evenVBand="0" w:oddHBand="0" w:evenHBand="0" w:firstRowFirstColumn="0" w:firstRowLastColumn="0" w:lastRowFirstColumn="0" w:lastRowLastColumn="0"/>
          <w:tblHeader/>
        </w:trPr>
        <w:tc>
          <w:tcPr>
            <w:tcW w:w="5387" w:type="dxa"/>
          </w:tcPr>
          <w:p w14:paraId="2F715618" w14:textId="77777777" w:rsidR="00425CB9" w:rsidRPr="00425CB9" w:rsidRDefault="00425CB9" w:rsidP="00DF0920">
            <w:pPr>
              <w:spacing w:before="120" w:after="60" w:line="260" w:lineRule="exact"/>
              <w:rPr>
                <w:rFonts w:eastAsia="Times New Roman" w:cs="Times New Roman"/>
                <w:bCs/>
                <w:spacing w:val="6"/>
                <w:szCs w:val="24"/>
                <w:lang w:eastAsia="en-GB"/>
              </w:rPr>
            </w:pPr>
            <w:r w:rsidRPr="00425CB9">
              <w:rPr>
                <w:rFonts w:eastAsia="Times New Roman" w:cs="Times New Roman"/>
                <w:bCs/>
                <w:spacing w:val="6"/>
                <w:szCs w:val="24"/>
                <w:lang w:eastAsia="en-GB"/>
              </w:rPr>
              <w:t>Allocation Factor / Allocation Amounts</w:t>
            </w:r>
          </w:p>
        </w:tc>
        <w:tc>
          <w:tcPr>
            <w:tcW w:w="1984" w:type="dxa"/>
          </w:tcPr>
          <w:p w14:paraId="2A00943D" w14:textId="77777777" w:rsidR="00425CB9" w:rsidRPr="00425CB9" w:rsidRDefault="00425CB9" w:rsidP="00DF0920">
            <w:pPr>
              <w:spacing w:before="120" w:after="60" w:line="260" w:lineRule="exact"/>
              <w:rPr>
                <w:rFonts w:eastAsia="Times New Roman" w:cs="Times New Roman"/>
                <w:bCs/>
                <w:spacing w:val="6"/>
                <w:szCs w:val="24"/>
                <w:lang w:eastAsia="en-GB"/>
              </w:rPr>
            </w:pPr>
            <w:r w:rsidRPr="00425CB9">
              <w:rPr>
                <w:rFonts w:eastAsia="Times New Roman" w:cs="Times New Roman"/>
                <w:bCs/>
                <w:spacing w:val="6"/>
                <w:szCs w:val="24"/>
                <w:lang w:eastAsia="en-GB"/>
              </w:rPr>
              <w:t>Jun</w:t>
            </w:r>
          </w:p>
          <w:p w14:paraId="7343A081" w14:textId="77777777" w:rsidR="00425CB9" w:rsidRPr="00425CB9" w:rsidRDefault="00425CB9" w:rsidP="00DF0920">
            <w:pPr>
              <w:spacing w:before="120" w:after="60" w:line="260" w:lineRule="exact"/>
              <w:rPr>
                <w:rFonts w:eastAsia="Times New Roman" w:cs="Times New Roman"/>
                <w:bCs/>
                <w:spacing w:val="6"/>
                <w:szCs w:val="24"/>
                <w:lang w:eastAsia="en-GB"/>
              </w:rPr>
            </w:pPr>
            <w:r w:rsidRPr="00425CB9">
              <w:rPr>
                <w:rFonts w:eastAsia="Times New Roman" w:cs="Times New Roman"/>
                <w:bCs/>
                <w:spacing w:val="6"/>
                <w:szCs w:val="24"/>
                <w:lang w:eastAsia="en-GB"/>
              </w:rPr>
              <w:t>2020</w:t>
            </w:r>
          </w:p>
        </w:tc>
      </w:tr>
      <w:tr w:rsidR="00425CB9" w:rsidRPr="00425CB9" w14:paraId="19220CA6" w14:textId="77777777" w:rsidTr="002B6C20">
        <w:tc>
          <w:tcPr>
            <w:tcW w:w="5387" w:type="dxa"/>
          </w:tcPr>
          <w:p w14:paraId="0D4EF9D3" w14:textId="77777777" w:rsidR="00425CB9" w:rsidRPr="00425CB9" w:rsidRDefault="00425CB9" w:rsidP="00DF0920">
            <w:pPr>
              <w:spacing w:before="120" w:after="120" w:line="100" w:lineRule="atLeast"/>
              <w:rPr>
                <w:rFonts w:eastAsia="Times New Roman" w:cs="Times New Roman"/>
                <w:b/>
                <w:bCs/>
                <w:szCs w:val="24"/>
                <w:lang w:eastAsia="en-GB"/>
              </w:rPr>
            </w:pPr>
            <w:r w:rsidRPr="00425CB9">
              <w:rPr>
                <w:rFonts w:eastAsia="Times New Roman" w:cs="Times New Roman"/>
                <w:b/>
                <w:bCs/>
                <w:szCs w:val="24"/>
                <w:lang w:eastAsia="en-GB"/>
              </w:rPr>
              <w:t>AGN INTERNAL COST ALLOCATORS</w:t>
            </w:r>
          </w:p>
        </w:tc>
        <w:tc>
          <w:tcPr>
            <w:tcW w:w="1984" w:type="dxa"/>
            <w:shd w:val="clear" w:color="auto" w:fill="DEEAF6"/>
          </w:tcPr>
          <w:p w14:paraId="29D2DAD6" w14:textId="77777777" w:rsidR="00425CB9" w:rsidRPr="00425CB9" w:rsidRDefault="00425CB9" w:rsidP="00DF0920">
            <w:pPr>
              <w:spacing w:before="120" w:after="120" w:line="100" w:lineRule="atLeast"/>
              <w:rPr>
                <w:rFonts w:eastAsia="Times New Roman" w:cs="Times New Roman"/>
                <w:bCs/>
                <w:szCs w:val="24"/>
                <w:lang w:eastAsia="en-GB"/>
              </w:rPr>
            </w:pPr>
          </w:p>
        </w:tc>
      </w:tr>
      <w:tr w:rsidR="00425CB9" w:rsidRPr="00425CB9" w14:paraId="6F6469AF" w14:textId="77777777" w:rsidTr="002B6C20">
        <w:tc>
          <w:tcPr>
            <w:tcW w:w="5387" w:type="dxa"/>
          </w:tcPr>
          <w:p w14:paraId="4A4C0C07"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Total Customer Numbers</w:t>
            </w:r>
          </w:p>
        </w:tc>
        <w:tc>
          <w:tcPr>
            <w:tcW w:w="1984" w:type="dxa"/>
            <w:shd w:val="clear" w:color="auto" w:fill="DEEAF6"/>
          </w:tcPr>
          <w:p w14:paraId="62764C92"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35%</w:t>
            </w:r>
          </w:p>
        </w:tc>
      </w:tr>
      <w:tr w:rsidR="00425CB9" w:rsidRPr="00425CB9" w14:paraId="4A4B38D6" w14:textId="77777777" w:rsidTr="002B6C20">
        <w:tc>
          <w:tcPr>
            <w:tcW w:w="5387" w:type="dxa"/>
          </w:tcPr>
          <w:p w14:paraId="7A3746F2"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Total Customer Numbers (excl. Small Pipelines)</w:t>
            </w:r>
          </w:p>
        </w:tc>
        <w:tc>
          <w:tcPr>
            <w:tcW w:w="1984" w:type="dxa"/>
            <w:shd w:val="clear" w:color="auto" w:fill="DEEAF6"/>
          </w:tcPr>
          <w:p w14:paraId="35A9B32B"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36%</w:t>
            </w:r>
          </w:p>
        </w:tc>
      </w:tr>
      <w:tr w:rsidR="00425CB9" w:rsidRPr="00425CB9" w14:paraId="3960E28F" w14:textId="77777777" w:rsidTr="002B6C20">
        <w:tc>
          <w:tcPr>
            <w:tcW w:w="5387" w:type="dxa"/>
          </w:tcPr>
          <w:p w14:paraId="42D036C5"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Increase in Customer Numbers</w:t>
            </w:r>
          </w:p>
        </w:tc>
        <w:tc>
          <w:tcPr>
            <w:tcW w:w="1984" w:type="dxa"/>
            <w:shd w:val="clear" w:color="auto" w:fill="DEEAF6"/>
          </w:tcPr>
          <w:p w14:paraId="48D1F2EA"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27%</w:t>
            </w:r>
          </w:p>
        </w:tc>
      </w:tr>
      <w:tr w:rsidR="00425CB9" w:rsidRPr="00425CB9" w14:paraId="11C340F3" w14:textId="77777777" w:rsidTr="002B6C20">
        <w:tc>
          <w:tcPr>
            <w:tcW w:w="5387" w:type="dxa"/>
          </w:tcPr>
          <w:p w14:paraId="54E062D6"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Total Revenue</w:t>
            </w:r>
          </w:p>
        </w:tc>
        <w:tc>
          <w:tcPr>
            <w:tcW w:w="1984" w:type="dxa"/>
            <w:shd w:val="clear" w:color="auto" w:fill="DEEAF6"/>
          </w:tcPr>
          <w:p w14:paraId="3F3C923F"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49%</w:t>
            </w:r>
          </w:p>
        </w:tc>
      </w:tr>
      <w:tr w:rsidR="00425CB9" w:rsidRPr="00425CB9" w14:paraId="6FCA7DB3" w14:textId="77777777" w:rsidTr="002B6C20">
        <w:tc>
          <w:tcPr>
            <w:tcW w:w="5387" w:type="dxa"/>
          </w:tcPr>
          <w:p w14:paraId="0A9F5763"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Full Time Equivalent Employees (FTE)</w:t>
            </w:r>
          </w:p>
        </w:tc>
        <w:tc>
          <w:tcPr>
            <w:tcW w:w="1984" w:type="dxa"/>
            <w:shd w:val="clear" w:color="auto" w:fill="DEEAF6"/>
          </w:tcPr>
          <w:p w14:paraId="1DE831C8"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17%</w:t>
            </w:r>
          </w:p>
        </w:tc>
      </w:tr>
      <w:tr w:rsidR="00425CB9" w:rsidRPr="00425CB9" w14:paraId="6BFC2580" w14:textId="77777777" w:rsidTr="002B6C20">
        <w:tc>
          <w:tcPr>
            <w:tcW w:w="5387" w:type="dxa"/>
          </w:tcPr>
          <w:p w14:paraId="46453722"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Regulatory Asset Base (SA AA) as percentage of total asset base</w:t>
            </w:r>
          </w:p>
        </w:tc>
        <w:tc>
          <w:tcPr>
            <w:tcW w:w="1984" w:type="dxa"/>
            <w:shd w:val="clear" w:color="auto" w:fill="DEEAF6"/>
          </w:tcPr>
          <w:p w14:paraId="6860FDF9" w14:textId="77777777" w:rsidR="00425CB9" w:rsidRPr="00425CB9" w:rsidRDefault="00425CB9" w:rsidP="00DF0920">
            <w:pPr>
              <w:spacing w:before="120" w:after="120" w:line="100" w:lineRule="atLeast"/>
              <w:rPr>
                <w:rFonts w:eastAsia="Times New Roman" w:cs="Times New Roman"/>
                <w:bCs/>
                <w:szCs w:val="24"/>
                <w:lang w:eastAsia="en-GB"/>
              </w:rPr>
            </w:pPr>
            <w:r w:rsidRPr="00425CB9">
              <w:rPr>
                <w:rFonts w:eastAsia="Times New Roman" w:cs="Times New Roman"/>
                <w:bCs/>
                <w:szCs w:val="24"/>
                <w:lang w:eastAsia="en-GB"/>
              </w:rPr>
              <w:t>41%</w:t>
            </w:r>
          </w:p>
        </w:tc>
      </w:tr>
    </w:tbl>
    <w:p w14:paraId="43379CDB" w14:textId="77777777" w:rsidR="00425CB9" w:rsidRPr="00425CB9" w:rsidRDefault="00425CB9" w:rsidP="00DF0920">
      <w:pPr>
        <w:rPr>
          <w:rFonts w:ascii="Calibri" w:eastAsia="Calibri" w:hAnsi="Calibri" w:cs="Times New Roman"/>
        </w:rPr>
      </w:pPr>
    </w:p>
    <w:p w14:paraId="6C846D3C" w14:textId="77777777" w:rsidR="0052786D" w:rsidRDefault="0052786D">
      <w:pPr>
        <w:rPr>
          <w:rFonts w:ascii="Tahoma" w:eastAsia="Calibri" w:hAnsi="Tahoma" w:cs="Tahoma"/>
          <w:b/>
          <w:color w:val="0070C0"/>
          <w:sz w:val="24"/>
          <w:szCs w:val="24"/>
        </w:rPr>
      </w:pPr>
      <w:r>
        <w:rPr>
          <w:rFonts w:ascii="Tahoma" w:eastAsia="Calibri" w:hAnsi="Tahoma" w:cs="Tahoma"/>
          <w:b/>
          <w:color w:val="0070C0"/>
          <w:sz w:val="24"/>
          <w:szCs w:val="24"/>
        </w:rPr>
        <w:br w:type="page"/>
      </w:r>
    </w:p>
    <w:p w14:paraId="508C4F9C" w14:textId="16EF11A4" w:rsidR="00425CB9" w:rsidRPr="00425CB9" w:rsidRDefault="00425CB9" w:rsidP="00DF0920">
      <w:pPr>
        <w:rPr>
          <w:rFonts w:ascii="Tahoma" w:eastAsia="Calibri" w:hAnsi="Tahoma" w:cs="Tahoma"/>
          <w:b/>
          <w:color w:val="0070C0"/>
          <w:sz w:val="24"/>
          <w:szCs w:val="24"/>
        </w:rPr>
      </w:pPr>
      <w:r w:rsidRPr="00425CB9">
        <w:rPr>
          <w:rFonts w:ascii="Tahoma" w:eastAsia="Calibri" w:hAnsi="Tahoma" w:cs="Tahoma"/>
          <w:b/>
          <w:color w:val="0070C0"/>
          <w:sz w:val="24"/>
          <w:szCs w:val="24"/>
        </w:rPr>
        <w:lastRenderedPageBreak/>
        <w:t>Supplementary information for the AGN Limited - Cost Allocation Methodology document</w:t>
      </w:r>
      <w:r>
        <w:rPr>
          <w:rFonts w:ascii="Tahoma" w:eastAsia="Calibri" w:hAnsi="Tahoma" w:cs="Tahoma"/>
          <w:b/>
          <w:color w:val="0070C0"/>
          <w:sz w:val="24"/>
          <w:szCs w:val="24"/>
        </w:rPr>
        <w:t xml:space="preserve"> </w:t>
      </w:r>
      <w:r w:rsidR="00DF0920">
        <w:rPr>
          <w:rFonts w:ascii="Tahoma" w:eastAsia="Calibri" w:hAnsi="Tahoma" w:cs="Tahoma"/>
          <w:b/>
          <w:color w:val="0070C0"/>
          <w:sz w:val="24"/>
          <w:szCs w:val="24"/>
        </w:rPr>
        <w:t>(d</w:t>
      </w:r>
      <w:r>
        <w:rPr>
          <w:rFonts w:ascii="Tahoma" w:eastAsia="Calibri" w:hAnsi="Tahoma" w:cs="Tahoma"/>
          <w:b/>
          <w:color w:val="0070C0"/>
          <w:sz w:val="24"/>
          <w:szCs w:val="24"/>
        </w:rPr>
        <w:t>ated September 2020</w:t>
      </w:r>
      <w:r w:rsidR="00DF0920">
        <w:rPr>
          <w:rFonts w:ascii="Tahoma" w:eastAsia="Calibri" w:hAnsi="Tahoma" w:cs="Tahoma"/>
          <w:b/>
          <w:color w:val="0070C0"/>
          <w:sz w:val="24"/>
          <w:szCs w:val="24"/>
        </w:rPr>
        <w:t>)</w:t>
      </w:r>
    </w:p>
    <w:p w14:paraId="31D6E366" w14:textId="4012E7DA" w:rsidR="00425CB9" w:rsidRPr="00425CB9" w:rsidRDefault="00425CB9" w:rsidP="00DF0920">
      <w:pPr>
        <w:spacing w:after="240"/>
        <w:rPr>
          <w:rFonts w:ascii="Calibri" w:eastAsia="Calibri" w:hAnsi="Calibri" w:cs="Times New Roman"/>
        </w:rPr>
      </w:pPr>
      <w:r w:rsidRPr="00425CB9">
        <w:rPr>
          <w:rFonts w:ascii="Tahoma" w:hAnsi="Tahoma" w:cs="Tahoma"/>
          <w:sz w:val="21"/>
          <w:szCs w:val="21"/>
          <w:lang w:val="en-US"/>
        </w:rPr>
        <w:t>As set out in Section 6.1.2 of the Cost Allocation Methodology (CAM) document, AGN Limited incurs shared costs through being a company in the AGIG group.  The following description of how national AGIG ICT Capex is allocated, supplements the CAM previously provided to the AER in recent Annual RIN</w:t>
      </w:r>
      <w:r w:rsidR="009010CC">
        <w:rPr>
          <w:rFonts w:ascii="Tahoma" w:hAnsi="Tahoma" w:cs="Tahoma"/>
          <w:sz w:val="21"/>
          <w:szCs w:val="21"/>
          <w:lang w:val="en-US"/>
        </w:rPr>
        <w:t xml:space="preserve"> (Historical Performance Data)</w:t>
      </w:r>
      <w:r w:rsidRPr="00425CB9">
        <w:rPr>
          <w:rFonts w:ascii="Tahoma" w:hAnsi="Tahoma" w:cs="Tahoma"/>
          <w:sz w:val="21"/>
          <w:szCs w:val="21"/>
          <w:lang w:val="en-US"/>
        </w:rPr>
        <w:t xml:space="preserve"> submitted </w:t>
      </w:r>
      <w:r w:rsidR="009010CC">
        <w:rPr>
          <w:rFonts w:ascii="Tahoma" w:hAnsi="Tahoma" w:cs="Tahoma"/>
          <w:sz w:val="21"/>
          <w:szCs w:val="21"/>
          <w:lang w:val="en-US"/>
        </w:rPr>
        <w:t>on 30 S</w:t>
      </w:r>
      <w:r w:rsidRPr="00425CB9">
        <w:rPr>
          <w:rFonts w:ascii="Tahoma" w:hAnsi="Tahoma" w:cs="Tahoma"/>
          <w:sz w:val="21"/>
          <w:szCs w:val="21"/>
          <w:lang w:val="en-US"/>
        </w:rPr>
        <w:t>eptember 2020.</w:t>
      </w:r>
    </w:p>
    <w:p w14:paraId="1BDE7DB9" w14:textId="77777777" w:rsidR="00425CB9" w:rsidRPr="00425CB9" w:rsidRDefault="00425CB9" w:rsidP="00DF0920">
      <w:pPr>
        <w:rPr>
          <w:rFonts w:ascii="Tahoma" w:eastAsia="Calibri" w:hAnsi="Tahoma" w:cs="Tahoma"/>
          <w:b/>
          <w:sz w:val="21"/>
          <w:szCs w:val="21"/>
          <w:u w:val="single"/>
        </w:rPr>
      </w:pPr>
      <w:r w:rsidRPr="00425CB9">
        <w:rPr>
          <w:rFonts w:ascii="Tahoma" w:eastAsia="Calibri" w:hAnsi="Tahoma" w:cs="Tahoma"/>
          <w:b/>
          <w:sz w:val="21"/>
          <w:szCs w:val="21"/>
          <w:u w:val="single"/>
        </w:rPr>
        <w:t>Allocation of AGIG ICT Capex projects</w:t>
      </w:r>
    </w:p>
    <w:p w14:paraId="4189E87D" w14:textId="77777777" w:rsidR="00425CB9" w:rsidRPr="00425CB9" w:rsidRDefault="00425CB9" w:rsidP="00DF0920">
      <w:pPr>
        <w:rPr>
          <w:rFonts w:ascii="Tahoma" w:hAnsi="Tahoma" w:cs="Tahoma"/>
          <w:sz w:val="21"/>
          <w:szCs w:val="21"/>
          <w:lang w:val="en-US"/>
        </w:rPr>
      </w:pPr>
      <w:r w:rsidRPr="00425CB9">
        <w:rPr>
          <w:rFonts w:ascii="Tahoma" w:hAnsi="Tahoma" w:cs="Tahoma"/>
          <w:sz w:val="21"/>
          <w:szCs w:val="21"/>
          <w:lang w:val="en-US"/>
        </w:rPr>
        <w:t>Internal ICT projects managed and delivered at the AGIG level, are allocated to the companies within the AGIG group based on either:</w:t>
      </w:r>
    </w:p>
    <w:p w14:paraId="62A8EBC9" w14:textId="77777777" w:rsidR="00425CB9" w:rsidRPr="00425CB9" w:rsidRDefault="00425CB9" w:rsidP="002B6C20">
      <w:pPr>
        <w:numPr>
          <w:ilvl w:val="0"/>
          <w:numId w:val="31"/>
        </w:numPr>
        <w:ind w:left="0" w:firstLine="284"/>
        <w:contextualSpacing/>
        <w:rPr>
          <w:rFonts w:ascii="Tahoma" w:hAnsi="Tahoma" w:cs="Tahoma"/>
          <w:sz w:val="21"/>
          <w:szCs w:val="21"/>
          <w:lang w:val="en-US"/>
        </w:rPr>
      </w:pPr>
      <w:r w:rsidRPr="00425CB9">
        <w:rPr>
          <w:rFonts w:ascii="Tahoma" w:hAnsi="Tahoma" w:cs="Tahoma"/>
          <w:sz w:val="21"/>
          <w:szCs w:val="21"/>
          <w:lang w:val="en-US"/>
        </w:rPr>
        <w:t>Total Revenue; or</w:t>
      </w:r>
    </w:p>
    <w:p w14:paraId="056A58D6" w14:textId="77777777" w:rsidR="00425CB9" w:rsidRPr="00425CB9" w:rsidRDefault="00425CB9" w:rsidP="002B6C20">
      <w:pPr>
        <w:numPr>
          <w:ilvl w:val="0"/>
          <w:numId w:val="31"/>
        </w:numPr>
        <w:ind w:left="0" w:firstLine="284"/>
        <w:contextualSpacing/>
        <w:rPr>
          <w:rFonts w:ascii="Tahoma" w:hAnsi="Tahoma" w:cs="Tahoma"/>
          <w:sz w:val="21"/>
          <w:szCs w:val="21"/>
          <w:lang w:val="en-US"/>
        </w:rPr>
      </w:pPr>
      <w:r w:rsidRPr="00425CB9">
        <w:rPr>
          <w:rFonts w:ascii="Tahoma" w:hAnsi="Tahoma" w:cs="Tahoma"/>
          <w:sz w:val="21"/>
          <w:szCs w:val="21"/>
          <w:lang w:val="en-US"/>
        </w:rPr>
        <w:t>Full Time Equivalents (FTE)</w:t>
      </w:r>
    </w:p>
    <w:p w14:paraId="272FFC65" w14:textId="77777777" w:rsidR="00425CB9" w:rsidRDefault="00425CB9" w:rsidP="00DF0920">
      <w:pPr>
        <w:spacing w:after="0"/>
        <w:rPr>
          <w:rFonts w:ascii="Tahoma" w:hAnsi="Tahoma" w:cs="Tahoma"/>
          <w:sz w:val="21"/>
          <w:szCs w:val="21"/>
          <w:lang w:val="en-US"/>
        </w:rPr>
      </w:pPr>
    </w:p>
    <w:p w14:paraId="5BDEC2E9" w14:textId="20242F1C" w:rsidR="00425CB9" w:rsidRPr="00425CB9" w:rsidRDefault="00425CB9" w:rsidP="00DF0920">
      <w:pPr>
        <w:rPr>
          <w:rFonts w:ascii="Tahoma" w:hAnsi="Tahoma" w:cs="Tahoma"/>
          <w:sz w:val="21"/>
          <w:szCs w:val="21"/>
          <w:lang w:val="en-US"/>
        </w:rPr>
      </w:pPr>
      <w:r w:rsidRPr="00425CB9">
        <w:rPr>
          <w:rFonts w:ascii="Tahoma" w:hAnsi="Tahoma" w:cs="Tahoma"/>
          <w:sz w:val="21"/>
          <w:szCs w:val="21"/>
          <w:lang w:val="en-US"/>
        </w:rPr>
        <w:t>The “Total Revenue” allocator represents the revenue of each company within the AGIG group, as a percentage of the total AGIG revenue.</w:t>
      </w:r>
    </w:p>
    <w:p w14:paraId="0BE85531" w14:textId="77777777" w:rsidR="00425CB9" w:rsidRPr="00425CB9" w:rsidRDefault="00425CB9" w:rsidP="00DF0920">
      <w:pPr>
        <w:rPr>
          <w:rFonts w:ascii="Tahoma" w:hAnsi="Tahoma" w:cs="Tahoma"/>
          <w:sz w:val="21"/>
          <w:szCs w:val="21"/>
          <w:lang w:val="en-US"/>
        </w:rPr>
      </w:pPr>
      <w:r w:rsidRPr="00425CB9">
        <w:rPr>
          <w:rFonts w:ascii="Tahoma" w:hAnsi="Tahoma" w:cs="Tahoma"/>
          <w:sz w:val="21"/>
          <w:szCs w:val="21"/>
          <w:lang w:val="en-US"/>
        </w:rPr>
        <w:t>The “FTE” allocator represents the FTEs in each company, as a percentage of the total FTEs in AGIG.</w:t>
      </w:r>
    </w:p>
    <w:p w14:paraId="6B18E588" w14:textId="77777777" w:rsidR="00425CB9" w:rsidRPr="00425CB9" w:rsidRDefault="00425CB9" w:rsidP="00DF0920">
      <w:pPr>
        <w:rPr>
          <w:rFonts w:ascii="Tahoma" w:hAnsi="Tahoma" w:cs="Tahoma"/>
          <w:sz w:val="21"/>
          <w:szCs w:val="21"/>
          <w:lang w:val="en-US"/>
        </w:rPr>
      </w:pPr>
      <w:r w:rsidRPr="00425CB9">
        <w:rPr>
          <w:rFonts w:ascii="Tahoma" w:hAnsi="Tahoma" w:cs="Tahoma"/>
          <w:sz w:val="21"/>
          <w:szCs w:val="21"/>
          <w:lang w:val="en-US"/>
        </w:rPr>
        <w:t>The allocator used for AGIG ICT projects, is chosen for being the most appropriate driver of the project’s cost and/or the proportion of ultimate users or beneficiaries of the ICT asset across the AGIG companies.</w:t>
      </w:r>
    </w:p>
    <w:p w14:paraId="352A7D1B" w14:textId="77777777" w:rsidR="00425CB9" w:rsidRPr="00425CB9" w:rsidRDefault="00425CB9" w:rsidP="00DF0920">
      <w:pPr>
        <w:spacing w:after="240"/>
        <w:rPr>
          <w:rFonts w:ascii="Tahoma" w:hAnsi="Tahoma" w:cs="Tahoma"/>
          <w:sz w:val="21"/>
          <w:szCs w:val="21"/>
          <w:lang w:val="en-US"/>
        </w:rPr>
      </w:pPr>
      <w:r w:rsidRPr="00425CB9">
        <w:rPr>
          <w:rFonts w:ascii="Tahoma" w:hAnsi="Tahoma" w:cs="Tahoma"/>
          <w:sz w:val="21"/>
          <w:szCs w:val="21"/>
          <w:lang w:val="en-US"/>
        </w:rPr>
        <w:t>The Capex associated with these AGIG ICT projects that is allocated to AGN Limited, is then further allocated to the separate businesses within AGN Limited using the allocator “Total Customers (excl. Small Pipelines)”.</w:t>
      </w:r>
    </w:p>
    <w:p w14:paraId="3A0E4176" w14:textId="77777777" w:rsidR="00425CB9" w:rsidRPr="00425CB9" w:rsidRDefault="00425CB9" w:rsidP="00DF0920">
      <w:pPr>
        <w:rPr>
          <w:rFonts w:ascii="Tahoma" w:eastAsia="Calibri" w:hAnsi="Tahoma" w:cs="Tahoma"/>
          <w:b/>
          <w:sz w:val="21"/>
          <w:szCs w:val="21"/>
          <w:u w:val="single"/>
        </w:rPr>
      </w:pPr>
      <w:r w:rsidRPr="00425CB9">
        <w:rPr>
          <w:rFonts w:ascii="Tahoma" w:eastAsia="Calibri" w:hAnsi="Tahoma" w:cs="Tahoma"/>
          <w:b/>
          <w:sz w:val="21"/>
          <w:szCs w:val="21"/>
          <w:u w:val="single"/>
        </w:rPr>
        <w:t>Allocation of other ICT Capex</w:t>
      </w:r>
    </w:p>
    <w:p w14:paraId="4FF21EBD" w14:textId="77777777" w:rsidR="00425CB9" w:rsidRPr="00425CB9" w:rsidRDefault="00425CB9" w:rsidP="00DF0920">
      <w:pPr>
        <w:rPr>
          <w:rFonts w:ascii="Tahoma" w:hAnsi="Tahoma" w:cs="Tahoma"/>
          <w:sz w:val="21"/>
          <w:szCs w:val="21"/>
          <w:lang w:val="en-US"/>
        </w:rPr>
      </w:pPr>
      <w:r w:rsidRPr="00425CB9">
        <w:rPr>
          <w:rFonts w:ascii="Tahoma" w:hAnsi="Tahoma" w:cs="Tahoma"/>
          <w:sz w:val="21"/>
          <w:szCs w:val="21"/>
          <w:lang w:val="en-US"/>
        </w:rPr>
        <w:t>National AGN Limited ICT projects and infrastructure renewals, are allocated to the separate businesses within AGN Limited based on the allocator “Total Customers (excl. Small Pipelines)”.  As mentioned above, this is consistent with the treatment of Capex for national AGIG ICT projects that has been allocated to AGN Limited.</w:t>
      </w:r>
    </w:p>
    <w:p w14:paraId="16920E75" w14:textId="77777777" w:rsidR="00425CB9" w:rsidRPr="00425CB9" w:rsidRDefault="00425CB9" w:rsidP="00DF0920">
      <w:pPr>
        <w:rPr>
          <w:rFonts w:ascii="Tahoma" w:eastAsia="Calibri" w:hAnsi="Tahoma" w:cs="Tahoma"/>
          <w:b/>
          <w:sz w:val="21"/>
          <w:szCs w:val="21"/>
          <w:u w:val="single"/>
        </w:rPr>
      </w:pPr>
      <w:r w:rsidRPr="00425CB9">
        <w:rPr>
          <w:rFonts w:ascii="Tahoma" w:eastAsia="Calibri" w:hAnsi="Tahoma" w:cs="Tahoma"/>
          <w:b/>
          <w:sz w:val="21"/>
          <w:szCs w:val="21"/>
          <w:u w:val="single"/>
        </w:rPr>
        <w:t>Capitalisation of Business Overheads</w:t>
      </w:r>
    </w:p>
    <w:p w14:paraId="7C415127" w14:textId="77777777" w:rsidR="00425CB9" w:rsidRPr="00425CB9" w:rsidRDefault="00425CB9" w:rsidP="00DF0920">
      <w:pPr>
        <w:rPr>
          <w:rFonts w:ascii="Tahoma" w:hAnsi="Tahoma" w:cs="Tahoma"/>
          <w:sz w:val="21"/>
          <w:szCs w:val="21"/>
          <w:lang w:val="en-US"/>
        </w:rPr>
      </w:pPr>
      <w:r w:rsidRPr="00425CB9">
        <w:rPr>
          <w:rFonts w:ascii="Tahoma" w:hAnsi="Tahoma" w:cs="Tahoma"/>
          <w:sz w:val="21"/>
          <w:szCs w:val="21"/>
          <w:lang w:val="en-US"/>
        </w:rPr>
        <w:t>As set out in the CAM and consistently throughout other supporting RIN documents, AGN Limited does not account for its internal corporate management and administration expenditure as business overheads.  These are generally treated as Opex costs and reported against the relevant categories of expenditure in Annual RINs, as required by the format of the RIN templates (e.g. in tables F1. Income and F4. Opex).  This expenditure appears in those tables, for example as Other Opex, Marketing and Retail Incentives, Debt Raising Costs and Jurisdictional Charges.</w:t>
      </w:r>
    </w:p>
    <w:p w14:paraId="70D33D46" w14:textId="77777777" w:rsidR="00425CB9" w:rsidRPr="00425CB9" w:rsidRDefault="00425CB9" w:rsidP="00DF0920">
      <w:pPr>
        <w:rPr>
          <w:rFonts w:ascii="Tahoma" w:hAnsi="Tahoma" w:cs="Tahoma"/>
          <w:sz w:val="21"/>
          <w:szCs w:val="21"/>
          <w:lang w:val="en-US"/>
        </w:rPr>
      </w:pPr>
      <w:r w:rsidRPr="00425CB9">
        <w:rPr>
          <w:rFonts w:ascii="Tahoma" w:hAnsi="Tahoma" w:cs="Tahoma"/>
          <w:sz w:val="21"/>
          <w:szCs w:val="21"/>
          <w:lang w:val="en-US"/>
        </w:rPr>
        <w:lastRenderedPageBreak/>
        <w:t xml:space="preserve">The overheads that are capitalised on a systematic basis across almost all of AGN Limited’s Capex projects, with the exception of ICT Capex, are the Network overheads incurred through the OMA with APA.  </w:t>
      </w:r>
    </w:p>
    <w:p w14:paraId="72E2AD39" w14:textId="77777777" w:rsidR="00425CB9" w:rsidRPr="00425CB9" w:rsidRDefault="00425CB9" w:rsidP="00DF0920">
      <w:pPr>
        <w:rPr>
          <w:rFonts w:ascii="Tahoma" w:hAnsi="Tahoma" w:cs="Tahoma"/>
          <w:sz w:val="21"/>
          <w:szCs w:val="21"/>
          <w:lang w:val="en-US"/>
        </w:rPr>
      </w:pPr>
      <w:r w:rsidRPr="00425CB9">
        <w:rPr>
          <w:rFonts w:ascii="Tahoma" w:hAnsi="Tahoma" w:cs="Tahoma"/>
          <w:sz w:val="21"/>
          <w:szCs w:val="21"/>
          <w:lang w:val="en-US"/>
        </w:rPr>
        <w:t>Section 6.2.3 of the CAM states that “Any AGN internal costs that relate to a capital project are directly allocated as incurred, including labour.  Given the nature of its other corporate management and administration functions which support the company generally, AGN does not capitalise any other expenditure that is not already directly allocated.”</w:t>
      </w:r>
    </w:p>
    <w:p w14:paraId="7D1C5B37" w14:textId="77777777" w:rsidR="00425CB9" w:rsidRPr="00425CB9" w:rsidRDefault="00425CB9" w:rsidP="00DF0920">
      <w:pPr>
        <w:rPr>
          <w:rFonts w:ascii="Tahoma" w:hAnsi="Tahoma" w:cs="Tahoma"/>
          <w:sz w:val="21"/>
          <w:szCs w:val="21"/>
          <w:lang w:val="en-US"/>
        </w:rPr>
      </w:pPr>
      <w:r w:rsidRPr="00425CB9">
        <w:rPr>
          <w:rFonts w:ascii="Tahoma" w:hAnsi="Tahoma" w:cs="Tahoma"/>
          <w:sz w:val="21"/>
          <w:szCs w:val="21"/>
          <w:lang w:val="en-US"/>
        </w:rPr>
        <w:t xml:space="preserve">Historically, the AGN internal costs directly allocated to a capital project has not included internal labour costs.  Rather, it has included Direct Contractor Expenditure and Other Internal Direct Expenditure which has been non-labour related (for example, ICT hardware and software, office furniture and fixtures etc.). </w:t>
      </w:r>
    </w:p>
    <w:p w14:paraId="43E44265" w14:textId="77777777" w:rsidR="00425CB9" w:rsidRPr="00425CB9" w:rsidRDefault="00425CB9" w:rsidP="00DF0920">
      <w:pPr>
        <w:rPr>
          <w:rFonts w:ascii="Tahoma" w:hAnsi="Tahoma" w:cs="Tahoma"/>
          <w:sz w:val="21"/>
          <w:szCs w:val="21"/>
          <w:lang w:val="en-US"/>
        </w:rPr>
      </w:pPr>
      <w:r w:rsidRPr="00425CB9">
        <w:rPr>
          <w:rFonts w:ascii="Tahoma" w:hAnsi="Tahoma" w:cs="Tahoma"/>
          <w:sz w:val="21"/>
          <w:szCs w:val="21"/>
          <w:lang w:val="en-US"/>
        </w:rPr>
        <w:t xml:space="preserve">This remains broadly the case, however from 2019/20 AGN Limited has identified specific internal employees that are working on AGIG group ICT Capex projects, for whom a proportion of their salary (incl. on-costs) is being capitalised.  </w:t>
      </w:r>
    </w:p>
    <w:p w14:paraId="26D3E872" w14:textId="77777777" w:rsidR="00425CB9" w:rsidRPr="00425CB9" w:rsidRDefault="00425CB9" w:rsidP="00DF0920">
      <w:pPr>
        <w:rPr>
          <w:rFonts w:ascii="Tahoma" w:hAnsi="Tahoma" w:cs="Tahoma"/>
          <w:sz w:val="21"/>
          <w:szCs w:val="21"/>
          <w:lang w:val="en-US"/>
        </w:rPr>
      </w:pPr>
      <w:r w:rsidRPr="00425CB9">
        <w:rPr>
          <w:rFonts w:ascii="Tahoma" w:hAnsi="Tahoma" w:cs="Tahoma"/>
          <w:sz w:val="21"/>
          <w:szCs w:val="21"/>
          <w:lang w:val="en-US"/>
        </w:rPr>
        <w:t xml:space="preserve">This is done via monthly journal entries in the SAP general ledger and calculated based on the percentage of time spent by those employees on each project, multiplied by their budgeted salary costs.  Journal entries are posted to specific general ledger account codes established for each relevant ICT project.  Therefore this expenditure is easily identifiable for reporting to the AER.   </w:t>
      </w:r>
    </w:p>
    <w:p w14:paraId="2A892965" w14:textId="77777777" w:rsidR="00425CB9" w:rsidRPr="00425CB9" w:rsidRDefault="00425CB9" w:rsidP="00DF0920">
      <w:pPr>
        <w:rPr>
          <w:rFonts w:ascii="Tahoma" w:hAnsi="Tahoma" w:cs="Tahoma"/>
          <w:sz w:val="21"/>
          <w:szCs w:val="21"/>
          <w:lang w:val="en-US"/>
        </w:rPr>
      </w:pPr>
      <w:r w:rsidRPr="00425CB9">
        <w:rPr>
          <w:rFonts w:ascii="Tahoma" w:hAnsi="Tahoma" w:cs="Tahoma"/>
          <w:sz w:val="21"/>
          <w:szCs w:val="21"/>
          <w:lang w:val="en-US"/>
        </w:rPr>
        <w:t xml:space="preserve">AGN Limited has also procured other resources for these AGIG group ICT projects via labour hire arrangements.  The expenditure associated with these resources is being treated as internal labour and capitalised as it is incurred, with invoices being allocated to the relevant general ledger accounts for each ICT project, consistent with other internal employee costs. </w:t>
      </w:r>
    </w:p>
    <w:p w14:paraId="6B05C235" w14:textId="77777777" w:rsidR="00425CB9" w:rsidRPr="00425CB9" w:rsidRDefault="00425CB9" w:rsidP="00DF0920">
      <w:pPr>
        <w:rPr>
          <w:rFonts w:ascii="Tahoma" w:hAnsi="Tahoma" w:cs="Tahoma"/>
          <w:sz w:val="21"/>
          <w:szCs w:val="21"/>
          <w:lang w:val="en-US"/>
        </w:rPr>
      </w:pPr>
      <w:r w:rsidRPr="00425CB9">
        <w:rPr>
          <w:rFonts w:ascii="Tahoma" w:hAnsi="Tahoma" w:cs="Tahoma"/>
          <w:sz w:val="21"/>
          <w:szCs w:val="21"/>
          <w:lang w:val="en-US"/>
        </w:rPr>
        <w:t>The above information should also be noted in relation to the Capitalisation Policy and the Regulatory Accounting Principles and Policies documents previously provided to the AER, where the capitalisation of Overheads is addressed as follows:</w:t>
      </w:r>
    </w:p>
    <w:p w14:paraId="56F86623" w14:textId="77777777" w:rsidR="00425CB9" w:rsidRPr="00DF0920" w:rsidRDefault="00425CB9" w:rsidP="002B6C20">
      <w:pPr>
        <w:numPr>
          <w:ilvl w:val="0"/>
          <w:numId w:val="32"/>
        </w:numPr>
        <w:ind w:left="0" w:firstLine="142"/>
        <w:contextualSpacing/>
        <w:rPr>
          <w:rFonts w:ascii="Tahoma" w:eastAsia="Calibri" w:hAnsi="Tahoma" w:cs="Tahoma"/>
          <w:b/>
          <w:sz w:val="21"/>
          <w:szCs w:val="21"/>
          <w:lang w:val="en-US"/>
        </w:rPr>
      </w:pPr>
      <w:r w:rsidRPr="00DF0920">
        <w:rPr>
          <w:rFonts w:ascii="Tahoma" w:eastAsia="Calibri" w:hAnsi="Tahoma" w:cs="Tahoma"/>
          <w:b/>
          <w:sz w:val="21"/>
          <w:szCs w:val="21"/>
          <w:lang w:val="en-US"/>
        </w:rPr>
        <w:t>Capitalisation Policy – Section 5. Capitalisation of Overheads (Section 5.1 – Policy)</w:t>
      </w:r>
    </w:p>
    <w:p w14:paraId="1273225C" w14:textId="77777777" w:rsidR="00425CB9" w:rsidRPr="00425CB9" w:rsidRDefault="00425CB9" w:rsidP="009010CC">
      <w:pPr>
        <w:ind w:left="720"/>
        <w:rPr>
          <w:rFonts w:ascii="Tahoma" w:eastAsia="Calibri" w:hAnsi="Tahoma" w:cs="Tahoma"/>
          <w:i/>
          <w:sz w:val="21"/>
          <w:szCs w:val="21"/>
          <w:lang w:val="en-US"/>
        </w:rPr>
      </w:pPr>
      <w:r w:rsidRPr="00425CB9">
        <w:rPr>
          <w:rFonts w:ascii="Tahoma" w:eastAsia="Calibri" w:hAnsi="Tahoma" w:cs="Tahoma"/>
          <w:i/>
          <w:sz w:val="21"/>
          <w:szCs w:val="21"/>
          <w:lang w:val="en-US"/>
        </w:rPr>
        <w:t>Only internal overhead costs of AGN Limited that can be specifically linked to a capital activity (e.g. a corporate IT project) are to be capitalised. Otherwise, all other overhead costs of AGN Limited are to be treated as operating expenditure.</w:t>
      </w:r>
    </w:p>
    <w:p w14:paraId="65F9EE7F" w14:textId="77777777" w:rsidR="00425CB9" w:rsidRPr="00DF0920" w:rsidRDefault="00425CB9" w:rsidP="002B6C20">
      <w:pPr>
        <w:numPr>
          <w:ilvl w:val="0"/>
          <w:numId w:val="32"/>
        </w:numPr>
        <w:ind w:left="0" w:firstLine="142"/>
        <w:contextualSpacing/>
        <w:rPr>
          <w:rFonts w:ascii="Tahoma" w:eastAsia="Calibri" w:hAnsi="Tahoma" w:cs="Tahoma"/>
          <w:sz w:val="21"/>
          <w:szCs w:val="21"/>
          <w:lang w:val="en-US"/>
        </w:rPr>
      </w:pPr>
      <w:r w:rsidRPr="00DF0920">
        <w:rPr>
          <w:rFonts w:ascii="Tahoma" w:eastAsia="Calibri" w:hAnsi="Tahoma" w:cs="Tahoma"/>
          <w:b/>
          <w:sz w:val="21"/>
          <w:szCs w:val="21"/>
          <w:lang w:val="en-US"/>
        </w:rPr>
        <w:t>Regulatory Accounting Principles and Policies – Section 8. Overhead Expenditure</w:t>
      </w:r>
    </w:p>
    <w:p w14:paraId="403F7E7D" w14:textId="77777777" w:rsidR="00425CB9" w:rsidRPr="00425CB9" w:rsidRDefault="00425CB9" w:rsidP="009010CC">
      <w:pPr>
        <w:ind w:left="720"/>
        <w:rPr>
          <w:rFonts w:ascii="Tahoma" w:eastAsia="Calibri" w:hAnsi="Tahoma" w:cs="Tahoma"/>
          <w:i/>
          <w:sz w:val="21"/>
          <w:szCs w:val="21"/>
          <w:lang w:val="en-US"/>
        </w:rPr>
      </w:pPr>
      <w:r w:rsidRPr="00425CB9">
        <w:rPr>
          <w:rFonts w:ascii="Tahoma" w:eastAsia="Calibri" w:hAnsi="Tahoma" w:cs="Tahoma"/>
          <w:i/>
          <w:sz w:val="21"/>
          <w:szCs w:val="21"/>
          <w:lang w:val="en-US"/>
        </w:rPr>
        <w:t>In accordance with the Capitalisation Policy, only internal overhead costs of AGN Limited that can be specifically linked to a capital activity (e.g. a corporate IT project) are to be capitalised. Otherwise, all other overhead costs of AGN Limited are to be treated as operating expenditure.</w:t>
      </w:r>
    </w:p>
    <w:p w14:paraId="7A6ACDF6" w14:textId="412C2E3B" w:rsidR="00425CB9" w:rsidRDefault="00425CB9" w:rsidP="002B6C20">
      <w:pPr>
        <w:spacing w:after="0"/>
        <w:rPr>
          <w:rFonts w:ascii="Calibri" w:eastAsia="Calibri" w:hAnsi="Calibri" w:cs="Times New Roman"/>
          <w:lang w:val="en-US"/>
        </w:rPr>
      </w:pPr>
    </w:p>
    <w:p w14:paraId="7FE0152C" w14:textId="336313B9" w:rsidR="00425CB9" w:rsidRPr="009010CC" w:rsidRDefault="00425CB9" w:rsidP="00DF0920">
      <w:pPr>
        <w:rPr>
          <w:rFonts w:ascii="Tahoma" w:eastAsia="Calibri" w:hAnsi="Tahoma" w:cs="Tahoma"/>
          <w:b/>
          <w:color w:val="0070C0"/>
          <w:sz w:val="24"/>
          <w:szCs w:val="24"/>
        </w:rPr>
      </w:pPr>
      <w:r w:rsidRPr="009010CC">
        <w:rPr>
          <w:rFonts w:ascii="Tahoma" w:eastAsia="Calibri" w:hAnsi="Tahoma" w:cs="Tahoma"/>
          <w:b/>
          <w:color w:val="0070C0"/>
          <w:sz w:val="24"/>
          <w:szCs w:val="24"/>
        </w:rPr>
        <w:lastRenderedPageBreak/>
        <w:t>Supplementary information for the AGN Limited – Regulatory Accounting Principles and Policies document</w:t>
      </w:r>
      <w:r w:rsidR="00DF0920" w:rsidRPr="009010CC">
        <w:rPr>
          <w:rFonts w:ascii="Tahoma" w:eastAsia="Calibri" w:hAnsi="Tahoma" w:cs="Tahoma"/>
          <w:b/>
          <w:color w:val="0070C0"/>
          <w:sz w:val="24"/>
          <w:szCs w:val="24"/>
        </w:rPr>
        <w:t xml:space="preserve"> (dated September 2020)</w:t>
      </w:r>
    </w:p>
    <w:p w14:paraId="529942B4" w14:textId="48766C4F" w:rsidR="00425CB9" w:rsidRPr="00425CB9" w:rsidRDefault="00425CB9" w:rsidP="00DF0920">
      <w:pPr>
        <w:rPr>
          <w:rFonts w:ascii="Tahoma" w:hAnsi="Tahoma" w:cs="Tahoma"/>
          <w:sz w:val="21"/>
          <w:szCs w:val="21"/>
          <w:lang w:val="en-US"/>
        </w:rPr>
      </w:pPr>
      <w:r w:rsidRPr="00425CB9">
        <w:rPr>
          <w:rFonts w:ascii="Tahoma" w:hAnsi="Tahoma" w:cs="Tahoma"/>
          <w:sz w:val="21"/>
          <w:szCs w:val="21"/>
          <w:lang w:val="en-US"/>
        </w:rPr>
        <w:t xml:space="preserve">The following information, supplements the Regulatory Accounting Principles and Policies document previously provided to the AER in the recent Annual RIN </w:t>
      </w:r>
      <w:r w:rsidR="00DF0920">
        <w:rPr>
          <w:rFonts w:ascii="Tahoma" w:hAnsi="Tahoma" w:cs="Tahoma"/>
          <w:sz w:val="21"/>
          <w:szCs w:val="21"/>
          <w:lang w:val="en-US"/>
        </w:rPr>
        <w:t xml:space="preserve">(Historical </w:t>
      </w:r>
      <w:r w:rsidR="009010CC">
        <w:rPr>
          <w:rFonts w:ascii="Tahoma" w:hAnsi="Tahoma" w:cs="Tahoma"/>
          <w:sz w:val="21"/>
          <w:szCs w:val="21"/>
          <w:lang w:val="en-US"/>
        </w:rPr>
        <w:t>Performance</w:t>
      </w:r>
      <w:r w:rsidR="00DF0920">
        <w:rPr>
          <w:rFonts w:ascii="Tahoma" w:hAnsi="Tahoma" w:cs="Tahoma"/>
          <w:sz w:val="21"/>
          <w:szCs w:val="21"/>
          <w:lang w:val="en-US"/>
        </w:rPr>
        <w:t xml:space="preserve"> Data) </w:t>
      </w:r>
      <w:r w:rsidRPr="00425CB9">
        <w:rPr>
          <w:rFonts w:ascii="Tahoma" w:hAnsi="Tahoma" w:cs="Tahoma"/>
          <w:sz w:val="21"/>
          <w:szCs w:val="21"/>
          <w:lang w:val="en-US"/>
        </w:rPr>
        <w:t>submitted on 30 September 2020.</w:t>
      </w:r>
    </w:p>
    <w:p w14:paraId="5CA0C7D5" w14:textId="77777777" w:rsidR="00425CB9" w:rsidRPr="00425CB9" w:rsidRDefault="00425CB9" w:rsidP="00DF0920">
      <w:pPr>
        <w:rPr>
          <w:rFonts w:ascii="Tahoma" w:eastAsia="Calibri" w:hAnsi="Tahoma" w:cs="Tahoma"/>
          <w:b/>
          <w:sz w:val="21"/>
          <w:szCs w:val="21"/>
          <w:u w:val="single"/>
        </w:rPr>
      </w:pPr>
      <w:r w:rsidRPr="00425CB9">
        <w:rPr>
          <w:rFonts w:ascii="Tahoma" w:eastAsia="Calibri" w:hAnsi="Tahoma" w:cs="Tahoma"/>
          <w:b/>
          <w:sz w:val="21"/>
          <w:szCs w:val="21"/>
          <w:u w:val="single"/>
        </w:rPr>
        <w:t>Section 5.8 - Other Opex</w:t>
      </w:r>
    </w:p>
    <w:p w14:paraId="1F1F2B6B" w14:textId="77777777" w:rsidR="00425CB9" w:rsidRPr="00425CB9" w:rsidRDefault="00425CB9" w:rsidP="00DF0920">
      <w:pPr>
        <w:rPr>
          <w:rFonts w:ascii="Tahoma" w:hAnsi="Tahoma" w:cs="Tahoma"/>
          <w:sz w:val="21"/>
          <w:szCs w:val="21"/>
          <w:lang w:val="en-US"/>
        </w:rPr>
      </w:pPr>
      <w:r w:rsidRPr="00425CB9">
        <w:rPr>
          <w:rFonts w:ascii="Tahoma" w:hAnsi="Tahoma" w:cs="Tahoma"/>
          <w:sz w:val="21"/>
          <w:szCs w:val="21"/>
          <w:lang w:val="en-US"/>
        </w:rPr>
        <w:t xml:space="preserve">As set out in Section 5.8.1 of the Regulatory Accounting Principles and Policies document, AGN Limited adopted Australian Accounting Standard AASB 16 </w:t>
      </w:r>
      <w:r w:rsidRPr="00DF0920">
        <w:rPr>
          <w:rFonts w:ascii="Tahoma" w:hAnsi="Tahoma" w:cs="Tahoma"/>
          <w:i/>
          <w:sz w:val="21"/>
          <w:szCs w:val="21"/>
          <w:lang w:val="en-US"/>
        </w:rPr>
        <w:t>Leases</w:t>
      </w:r>
      <w:r w:rsidRPr="00425CB9">
        <w:rPr>
          <w:rFonts w:ascii="Tahoma" w:hAnsi="Tahoma" w:cs="Tahoma"/>
          <w:sz w:val="21"/>
          <w:szCs w:val="21"/>
          <w:lang w:val="en-US"/>
        </w:rPr>
        <w:t xml:space="preserve">, from 1 January 2019.  </w:t>
      </w:r>
    </w:p>
    <w:p w14:paraId="09D17713" w14:textId="77777777" w:rsidR="00425CB9" w:rsidRPr="00425CB9" w:rsidRDefault="00425CB9" w:rsidP="00DF0920">
      <w:pPr>
        <w:rPr>
          <w:rFonts w:ascii="Tahoma" w:hAnsi="Tahoma" w:cs="Tahoma"/>
          <w:sz w:val="21"/>
          <w:szCs w:val="21"/>
          <w:lang w:val="en-US"/>
        </w:rPr>
      </w:pPr>
      <w:r w:rsidRPr="00425CB9">
        <w:rPr>
          <w:rFonts w:ascii="Tahoma" w:hAnsi="Tahoma" w:cs="Tahoma"/>
          <w:sz w:val="21"/>
          <w:szCs w:val="21"/>
          <w:lang w:val="en-US"/>
        </w:rPr>
        <w:t xml:space="preserve">Until the regulatory year ending 30 June 2019, the impact of adopting AASB 16 </w:t>
      </w:r>
      <w:r w:rsidRPr="00DF0920">
        <w:rPr>
          <w:rFonts w:ascii="Tahoma" w:hAnsi="Tahoma" w:cs="Tahoma"/>
          <w:i/>
          <w:sz w:val="21"/>
          <w:szCs w:val="21"/>
          <w:lang w:val="en-US"/>
        </w:rPr>
        <w:t>Leases</w:t>
      </w:r>
      <w:r w:rsidRPr="00425CB9">
        <w:rPr>
          <w:rFonts w:ascii="Tahoma" w:hAnsi="Tahoma" w:cs="Tahoma"/>
          <w:sz w:val="21"/>
          <w:szCs w:val="21"/>
          <w:lang w:val="en-US"/>
        </w:rPr>
        <w:t xml:space="preserve"> in relation to financial reporting to the AER, was limited to Rent expenditure for leased business premises occupied by AGN Limited.  The difference between statutory and regulatory accounting treatments for this Rent expenditure from 1 January 2019, is set out in Section 5.8.1 of the Regulatory Accounting Principles and Policies document. </w:t>
      </w:r>
    </w:p>
    <w:p w14:paraId="43D1C727" w14:textId="77777777" w:rsidR="00425CB9" w:rsidRPr="00DF0920" w:rsidRDefault="00425CB9" w:rsidP="00DF0920">
      <w:pPr>
        <w:rPr>
          <w:rFonts w:ascii="Tahoma" w:hAnsi="Tahoma" w:cs="Tahoma"/>
          <w:sz w:val="21"/>
          <w:szCs w:val="21"/>
          <w:lang w:val="en-US"/>
        </w:rPr>
      </w:pPr>
      <w:r w:rsidRPr="00DF0920">
        <w:rPr>
          <w:rFonts w:ascii="Tahoma" w:hAnsi="Tahoma" w:cs="Tahoma"/>
          <w:sz w:val="21"/>
          <w:szCs w:val="21"/>
          <w:lang w:val="en-US"/>
        </w:rPr>
        <w:t xml:space="preserve">From the 2019/20 regulatory year, AGN Limited now has Motor Vehicle Leasing expenditure that is also treated in accordance with standard AASB 16 </w:t>
      </w:r>
      <w:r w:rsidRPr="00DF0920">
        <w:rPr>
          <w:rFonts w:ascii="Tahoma" w:hAnsi="Tahoma" w:cs="Tahoma"/>
          <w:i/>
          <w:sz w:val="21"/>
          <w:szCs w:val="21"/>
          <w:lang w:val="en-US"/>
        </w:rPr>
        <w:t>Leases</w:t>
      </w:r>
      <w:r w:rsidRPr="00DF0920">
        <w:rPr>
          <w:rFonts w:ascii="Tahoma" w:hAnsi="Tahoma" w:cs="Tahoma"/>
          <w:sz w:val="21"/>
          <w:szCs w:val="21"/>
          <w:lang w:val="en-US"/>
        </w:rPr>
        <w:t xml:space="preserve"> for statutory accounting purposes.  That is for statutory purposes, the straight-line Motor Vehicle Lease expense is replaced with a depreciation charge and an interest expense and corresponding assets and liabilities are recognised on the Balance Sheet for future Motor Vehicle Leasing rights and obligations.  </w:t>
      </w:r>
    </w:p>
    <w:p w14:paraId="7511DD61" w14:textId="07435BC0" w:rsidR="00425CB9" w:rsidRPr="00432A49" w:rsidRDefault="00425CB9" w:rsidP="00DF0920">
      <w:pPr>
        <w:rPr>
          <w:rFonts w:ascii="Tahoma" w:hAnsi="Tahoma" w:cs="Tahoma"/>
          <w:sz w:val="21"/>
          <w:szCs w:val="21"/>
        </w:rPr>
      </w:pPr>
      <w:r w:rsidRPr="00DF0920">
        <w:rPr>
          <w:rFonts w:ascii="Tahoma" w:hAnsi="Tahoma" w:cs="Tahoma"/>
          <w:sz w:val="21"/>
          <w:szCs w:val="21"/>
          <w:lang w:val="en-US"/>
        </w:rPr>
        <w:t>As occurs for Rent expenditure, the payment of straight-line Motor Vehicle Leasing expenditure is recognised as Opex for regulatory accounting purposes</w:t>
      </w:r>
      <w:r w:rsidR="00DF0920">
        <w:rPr>
          <w:rFonts w:ascii="Tahoma" w:hAnsi="Tahoma" w:cs="Tahoma"/>
          <w:sz w:val="21"/>
          <w:szCs w:val="21"/>
          <w:lang w:val="en-US"/>
        </w:rPr>
        <w:t xml:space="preserve"> and is reported as Other Opex</w:t>
      </w:r>
      <w:r w:rsidRPr="00DF0920">
        <w:rPr>
          <w:rFonts w:ascii="Tahoma" w:hAnsi="Tahoma" w:cs="Tahoma"/>
          <w:sz w:val="21"/>
          <w:szCs w:val="21"/>
          <w:lang w:val="en-US"/>
        </w:rPr>
        <w:t>.</w:t>
      </w:r>
    </w:p>
    <w:sectPr w:rsidR="00425CB9" w:rsidRPr="00432A49" w:rsidSect="00E61EE8">
      <w:pgSz w:w="16838" w:h="11906" w:orient="landscape"/>
      <w:pgMar w:top="1440" w:right="1440" w:bottom="1440" w:left="1440"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13D15" w14:textId="77777777" w:rsidR="007508AB" w:rsidRDefault="007508AB" w:rsidP="00704D4C">
      <w:pPr>
        <w:spacing w:after="0" w:line="240" w:lineRule="auto"/>
      </w:pPr>
      <w:r>
        <w:separator/>
      </w:r>
    </w:p>
  </w:endnote>
  <w:endnote w:type="continuationSeparator" w:id="0">
    <w:p w14:paraId="75CF9460" w14:textId="77777777" w:rsidR="007508AB" w:rsidRDefault="007508AB" w:rsidP="00704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1CDC4" w14:textId="77777777" w:rsidR="00297570" w:rsidRDefault="00297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5DAA9" w14:textId="656D50A6" w:rsidR="007508AB" w:rsidRPr="00E61EE8" w:rsidRDefault="007508AB">
    <w:pPr>
      <w:pStyle w:val="Footer"/>
      <w:jc w:val="right"/>
      <w:rPr>
        <w:rFonts w:ascii="Tahoma" w:hAnsi="Tahoma" w:cs="Tahoma"/>
        <w:sz w:val="16"/>
        <w:szCs w:val="16"/>
      </w:rPr>
    </w:pPr>
    <w:r w:rsidRPr="00E61EE8">
      <w:rPr>
        <w:rFonts w:ascii="Tahoma" w:hAnsi="Tahoma" w:cs="Tahoma"/>
        <w:sz w:val="16"/>
        <w:szCs w:val="16"/>
      </w:rPr>
      <w:t xml:space="preserve">Page </w:t>
    </w:r>
    <w:sdt>
      <w:sdtPr>
        <w:rPr>
          <w:rFonts w:ascii="Tahoma" w:hAnsi="Tahoma" w:cs="Tahoma"/>
          <w:sz w:val="16"/>
          <w:szCs w:val="16"/>
        </w:rPr>
        <w:id w:val="1414739809"/>
        <w:docPartObj>
          <w:docPartGallery w:val="Page Numbers (Bottom of Page)"/>
          <w:docPartUnique/>
        </w:docPartObj>
      </w:sdtPr>
      <w:sdtEndPr>
        <w:rPr>
          <w:noProof/>
        </w:rPr>
      </w:sdtEndPr>
      <w:sdtContent>
        <w:r w:rsidRPr="00E61EE8">
          <w:rPr>
            <w:rFonts w:ascii="Tahoma" w:hAnsi="Tahoma" w:cs="Tahoma"/>
            <w:sz w:val="16"/>
            <w:szCs w:val="16"/>
          </w:rPr>
          <w:fldChar w:fldCharType="begin"/>
        </w:r>
        <w:r w:rsidRPr="00E61EE8">
          <w:rPr>
            <w:rFonts w:ascii="Tahoma" w:hAnsi="Tahoma" w:cs="Tahoma"/>
            <w:sz w:val="16"/>
            <w:szCs w:val="16"/>
          </w:rPr>
          <w:instrText xml:space="preserve"> PAGE   \* MERGEFORMAT </w:instrText>
        </w:r>
        <w:r w:rsidRPr="00E61EE8">
          <w:rPr>
            <w:rFonts w:ascii="Tahoma" w:hAnsi="Tahoma" w:cs="Tahoma"/>
            <w:sz w:val="16"/>
            <w:szCs w:val="16"/>
          </w:rPr>
          <w:fldChar w:fldCharType="separate"/>
        </w:r>
        <w:r w:rsidR="00297570">
          <w:rPr>
            <w:rFonts w:ascii="Tahoma" w:hAnsi="Tahoma" w:cs="Tahoma"/>
            <w:noProof/>
            <w:sz w:val="16"/>
            <w:szCs w:val="16"/>
          </w:rPr>
          <w:t>155</w:t>
        </w:r>
        <w:r w:rsidRPr="00E61EE8">
          <w:rPr>
            <w:rFonts w:ascii="Tahoma" w:hAnsi="Tahoma" w:cs="Tahoma"/>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9E79F" w14:textId="77777777" w:rsidR="00297570" w:rsidRDefault="00297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2AA8D" w14:textId="77777777" w:rsidR="007508AB" w:rsidRDefault="007508AB" w:rsidP="00704D4C">
      <w:pPr>
        <w:spacing w:after="0" w:line="240" w:lineRule="auto"/>
      </w:pPr>
      <w:r>
        <w:separator/>
      </w:r>
    </w:p>
  </w:footnote>
  <w:footnote w:type="continuationSeparator" w:id="0">
    <w:p w14:paraId="2D8F94CA" w14:textId="77777777" w:rsidR="007508AB" w:rsidRDefault="007508AB" w:rsidP="00704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98B6" w14:textId="77777777" w:rsidR="00297570" w:rsidRDefault="00297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D1F6E" w14:textId="333636EC" w:rsidR="007508AB" w:rsidRDefault="007508AB" w:rsidP="009331AE">
    <w:pPr>
      <w:pStyle w:val="Header"/>
      <w:jc w:val="right"/>
      <w:rPr>
        <w:rFonts w:ascii="Tahoma" w:hAnsi="Tahoma" w:cs="Tahoma"/>
        <w:b/>
        <w:color w:val="003C71"/>
      </w:rPr>
    </w:pPr>
    <w:r w:rsidRPr="002A6410">
      <w:rPr>
        <w:noProof/>
        <w:lang w:eastAsia="en-AU"/>
      </w:rPr>
      <w:drawing>
        <wp:anchor distT="0" distB="0" distL="114300" distR="114300" simplePos="0" relativeHeight="251658240" behindDoc="1" locked="0" layoutInCell="1" allowOverlap="1" wp14:anchorId="5F59AB65" wp14:editId="47B2C65C">
          <wp:simplePos x="0" y="0"/>
          <wp:positionH relativeFrom="margin">
            <wp:posOffset>-19050</wp:posOffset>
          </wp:positionH>
          <wp:positionV relativeFrom="paragraph">
            <wp:posOffset>-106680</wp:posOffset>
          </wp:positionV>
          <wp:extent cx="1309370" cy="5048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N_Master Logo_POS_2CO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9370" cy="504825"/>
                  </a:xfrm>
                  <a:prstGeom prst="rect">
                    <a:avLst/>
                  </a:prstGeom>
                </pic:spPr>
              </pic:pic>
            </a:graphicData>
          </a:graphic>
          <wp14:sizeRelH relativeFrom="page">
            <wp14:pctWidth>0</wp14:pctWidth>
          </wp14:sizeRelH>
          <wp14:sizeRelV relativeFrom="page">
            <wp14:pctHeight>0</wp14:pctHeight>
          </wp14:sizeRelV>
        </wp:anchor>
      </w:drawing>
    </w:r>
    <w:r w:rsidRPr="00E61EE8">
      <w:rPr>
        <w:rFonts w:ascii="Tahoma" w:hAnsi="Tahoma" w:cs="Tahoma"/>
        <w:b/>
        <w:color w:val="003C71"/>
      </w:rPr>
      <w:t>Annual Regulatory Information Notice</w:t>
    </w:r>
    <w:r>
      <w:rPr>
        <w:rFonts w:ascii="Tahoma" w:hAnsi="Tahoma" w:cs="Tahoma"/>
        <w:b/>
        <w:color w:val="003C71"/>
      </w:rPr>
      <w:t xml:space="preserve"> 2019/20</w:t>
    </w:r>
  </w:p>
  <w:p w14:paraId="3B823627" w14:textId="65DB8B03" w:rsidR="007508AB" w:rsidRPr="00E61EE8" w:rsidRDefault="007508AB" w:rsidP="00E61EE8">
    <w:pPr>
      <w:pStyle w:val="Header"/>
      <w:jc w:val="right"/>
      <w:rPr>
        <w:b/>
      </w:rPr>
    </w:pPr>
    <w:r w:rsidRPr="00E61EE8">
      <w:rPr>
        <w:rFonts w:ascii="Tahoma" w:hAnsi="Tahoma" w:cs="Tahoma"/>
        <w:b/>
        <w:color w:val="003C71"/>
      </w:rPr>
      <w:t>Basis of Preparation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9294" w14:textId="1AC17B64" w:rsidR="007508AB" w:rsidRDefault="007508AB">
    <w:pPr>
      <w:pStyle w:val="Header"/>
    </w:pPr>
    <w:r w:rsidRPr="002A6410">
      <w:rPr>
        <w:noProof/>
        <w:lang w:eastAsia="en-AU"/>
      </w:rPr>
      <w:drawing>
        <wp:inline distT="0" distB="0" distL="0" distR="0" wp14:anchorId="0BA75B36" wp14:editId="2E62DCB8">
          <wp:extent cx="1309370" cy="504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N_Master Logo_POS_2CO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9370" cy="504825"/>
                  </a:xfrm>
                  <a:prstGeom prst="rect">
                    <a:avLst/>
                  </a:prstGeom>
                </pic:spPr>
              </pic:pic>
            </a:graphicData>
          </a:graphic>
        </wp:inline>
      </w:drawing>
    </w:r>
  </w:p>
  <w:p w14:paraId="691905ED" w14:textId="77777777" w:rsidR="007508AB" w:rsidRDefault="00750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748"/>
    <w:multiLevelType w:val="hybridMultilevel"/>
    <w:tmpl w:val="75E43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0618B"/>
    <w:multiLevelType w:val="hybridMultilevel"/>
    <w:tmpl w:val="D8D02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110C9"/>
    <w:multiLevelType w:val="hybridMultilevel"/>
    <w:tmpl w:val="235834D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580B00"/>
    <w:multiLevelType w:val="hybridMultilevel"/>
    <w:tmpl w:val="E3C22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51101"/>
    <w:multiLevelType w:val="multilevel"/>
    <w:tmpl w:val="EE3ACFA0"/>
    <w:lvl w:ilvl="0">
      <w:start w:val="29"/>
      <w:numFmt w:val="none"/>
      <w:lvlText w:val="%1"/>
      <w:lvlJc w:val="left"/>
      <w:pPr>
        <w:tabs>
          <w:tab w:val="num" w:pos="0"/>
        </w:tabs>
        <w:ind w:left="0" w:firstLine="0"/>
      </w:pPr>
      <w:rPr>
        <w:rFonts w:hint="default"/>
      </w:rPr>
    </w:lvl>
    <w:lvl w:ilvl="1">
      <w:start w:val="23"/>
      <w:numFmt w:val="decimal"/>
      <w:lvlText w:val="%2."/>
      <w:lvlJc w:val="left"/>
      <w:pPr>
        <w:tabs>
          <w:tab w:val="num" w:pos="2977"/>
        </w:tabs>
        <w:ind w:left="297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3"/>
      <w:lvlJc w:val="left"/>
      <w:pPr>
        <w:tabs>
          <w:tab w:val="num" w:pos="851"/>
        </w:tabs>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tabs>
          <w:tab w:val="num" w:pos="1135"/>
        </w:tabs>
        <w:ind w:left="1135" w:hanging="567"/>
      </w:pPr>
      <w:rPr>
        <w:rFonts w:ascii="Arial" w:hAnsi="Arial" w:hint="default"/>
        <w:b w:val="0"/>
        <w:i w:val="0"/>
      </w:rPr>
    </w:lvl>
    <w:lvl w:ilvl="4">
      <w:start w:val="1"/>
      <w:numFmt w:val="lowerLetter"/>
      <w:lvlText w:val="(%5)"/>
      <w:lvlJc w:val="left"/>
      <w:pPr>
        <w:tabs>
          <w:tab w:val="num" w:pos="1701"/>
        </w:tabs>
        <w:ind w:left="1701" w:hanging="567"/>
      </w:pPr>
      <w:rPr>
        <w:rFonts w:hint="default"/>
      </w:rPr>
    </w:lvl>
    <w:lvl w:ilvl="5">
      <w:start w:val="1"/>
      <w:numFmt w:val="upperLetter"/>
      <w:lvlText w:val="(%6)"/>
      <w:lvlJc w:val="left"/>
      <w:pPr>
        <w:tabs>
          <w:tab w:val="num" w:pos="2268"/>
        </w:tabs>
        <w:ind w:left="226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none"/>
      <w:lvlRestart w:val="0"/>
      <w:lvlText w:val="%7"/>
      <w:lvlJc w:val="left"/>
      <w:pPr>
        <w:ind w:left="0" w:firstLine="0"/>
      </w:pPr>
      <w:rPr>
        <w:rFonts w:hint="default"/>
      </w:rPr>
    </w:lvl>
    <w:lvl w:ilvl="7">
      <w:start w:val="1"/>
      <w:numFmt w:val="decimal"/>
      <w:lvlText w:val="(%8)"/>
      <w:lvlJc w:val="left"/>
      <w:pPr>
        <w:tabs>
          <w:tab w:val="num" w:pos="567"/>
        </w:tabs>
        <w:ind w:left="567" w:hanging="567"/>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AA47FA"/>
    <w:multiLevelType w:val="hybridMultilevel"/>
    <w:tmpl w:val="320E9FC0"/>
    <w:lvl w:ilvl="0" w:tplc="B178BCB4">
      <w:start w:val="1"/>
      <w:numFmt w:val="bullet"/>
      <w:lvlText w:val=""/>
      <w:lvlJc w:val="left"/>
      <w:pPr>
        <w:ind w:left="780" w:hanging="360"/>
      </w:pPr>
      <w:rPr>
        <w:rFonts w:ascii="Symbol" w:hAnsi="Symbol" w:hint="default"/>
        <w:color w:val="auto"/>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0605982"/>
    <w:multiLevelType w:val="hybridMultilevel"/>
    <w:tmpl w:val="D7405C4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16F206B0"/>
    <w:multiLevelType w:val="hybridMultilevel"/>
    <w:tmpl w:val="A17A3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EE48EC"/>
    <w:multiLevelType w:val="hybridMultilevel"/>
    <w:tmpl w:val="280CB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515248"/>
    <w:multiLevelType w:val="hybridMultilevel"/>
    <w:tmpl w:val="9E72E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FE7C8A"/>
    <w:multiLevelType w:val="hybridMultilevel"/>
    <w:tmpl w:val="00FC1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B31109"/>
    <w:multiLevelType w:val="hybridMultilevel"/>
    <w:tmpl w:val="145C7E84"/>
    <w:lvl w:ilvl="0" w:tplc="A552A90E">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D4012A"/>
    <w:multiLevelType w:val="hybridMultilevel"/>
    <w:tmpl w:val="F04E7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C844B3"/>
    <w:multiLevelType w:val="hybridMultilevel"/>
    <w:tmpl w:val="80B04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96653D"/>
    <w:multiLevelType w:val="hybridMultilevel"/>
    <w:tmpl w:val="6980D1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46236B8C"/>
    <w:multiLevelType w:val="hybridMultilevel"/>
    <w:tmpl w:val="BF886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A2206D"/>
    <w:multiLevelType w:val="hybridMultilevel"/>
    <w:tmpl w:val="5A280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6E2A27"/>
    <w:multiLevelType w:val="hybridMultilevel"/>
    <w:tmpl w:val="96689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9318CA"/>
    <w:multiLevelType w:val="hybridMultilevel"/>
    <w:tmpl w:val="2E42FCC2"/>
    <w:lvl w:ilvl="0" w:tplc="5D90BF4A">
      <w:start w:val="28"/>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9F776B"/>
    <w:multiLevelType w:val="hybridMultilevel"/>
    <w:tmpl w:val="10DE6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ED1351"/>
    <w:multiLevelType w:val="hybridMultilevel"/>
    <w:tmpl w:val="83B88FA8"/>
    <w:lvl w:ilvl="0" w:tplc="6C928A3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15:restartNumberingAfterBreak="0">
    <w:nsid w:val="535B18BA"/>
    <w:multiLevelType w:val="hybridMultilevel"/>
    <w:tmpl w:val="C87CB8AE"/>
    <w:lvl w:ilvl="0" w:tplc="334C5622">
      <w:start w:val="2016"/>
      <w:numFmt w:val="bullet"/>
      <w:lvlText w:val="-"/>
      <w:lvlJc w:val="left"/>
      <w:pPr>
        <w:ind w:left="720" w:hanging="360"/>
      </w:pPr>
      <w:rPr>
        <w:rFonts w:ascii="Tahoma" w:eastAsia="Arial"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4E67AF"/>
    <w:multiLevelType w:val="hybridMultilevel"/>
    <w:tmpl w:val="5A6C4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792D86"/>
    <w:multiLevelType w:val="hybridMultilevel"/>
    <w:tmpl w:val="74566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E85D38"/>
    <w:multiLevelType w:val="hybridMultilevel"/>
    <w:tmpl w:val="D2B04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AE77C8"/>
    <w:multiLevelType w:val="hybridMultilevel"/>
    <w:tmpl w:val="0A04BD1E"/>
    <w:lvl w:ilvl="0" w:tplc="0C090001">
      <w:start w:val="1"/>
      <w:numFmt w:val="bullet"/>
      <w:lvlText w:val=""/>
      <w:lvlJc w:val="left"/>
      <w:pPr>
        <w:ind w:left="1516" w:hanging="360"/>
      </w:pPr>
      <w:rPr>
        <w:rFonts w:ascii="Symbol" w:hAnsi="Symbol" w:hint="default"/>
      </w:rPr>
    </w:lvl>
    <w:lvl w:ilvl="1" w:tplc="0C090003" w:tentative="1">
      <w:start w:val="1"/>
      <w:numFmt w:val="bullet"/>
      <w:lvlText w:val="o"/>
      <w:lvlJc w:val="left"/>
      <w:pPr>
        <w:ind w:left="2236" w:hanging="360"/>
      </w:pPr>
      <w:rPr>
        <w:rFonts w:ascii="Courier New" w:hAnsi="Courier New" w:cs="Courier New" w:hint="default"/>
      </w:rPr>
    </w:lvl>
    <w:lvl w:ilvl="2" w:tplc="0C090005" w:tentative="1">
      <w:start w:val="1"/>
      <w:numFmt w:val="bullet"/>
      <w:lvlText w:val=""/>
      <w:lvlJc w:val="left"/>
      <w:pPr>
        <w:ind w:left="2956" w:hanging="360"/>
      </w:pPr>
      <w:rPr>
        <w:rFonts w:ascii="Wingdings" w:hAnsi="Wingdings" w:hint="default"/>
      </w:rPr>
    </w:lvl>
    <w:lvl w:ilvl="3" w:tplc="0C090001" w:tentative="1">
      <w:start w:val="1"/>
      <w:numFmt w:val="bullet"/>
      <w:lvlText w:val=""/>
      <w:lvlJc w:val="left"/>
      <w:pPr>
        <w:ind w:left="3676" w:hanging="360"/>
      </w:pPr>
      <w:rPr>
        <w:rFonts w:ascii="Symbol" w:hAnsi="Symbol" w:hint="default"/>
      </w:rPr>
    </w:lvl>
    <w:lvl w:ilvl="4" w:tplc="0C090003" w:tentative="1">
      <w:start w:val="1"/>
      <w:numFmt w:val="bullet"/>
      <w:lvlText w:val="o"/>
      <w:lvlJc w:val="left"/>
      <w:pPr>
        <w:ind w:left="4396" w:hanging="360"/>
      </w:pPr>
      <w:rPr>
        <w:rFonts w:ascii="Courier New" w:hAnsi="Courier New" w:cs="Courier New" w:hint="default"/>
      </w:rPr>
    </w:lvl>
    <w:lvl w:ilvl="5" w:tplc="0C090005" w:tentative="1">
      <w:start w:val="1"/>
      <w:numFmt w:val="bullet"/>
      <w:lvlText w:val=""/>
      <w:lvlJc w:val="left"/>
      <w:pPr>
        <w:ind w:left="5116" w:hanging="360"/>
      </w:pPr>
      <w:rPr>
        <w:rFonts w:ascii="Wingdings" w:hAnsi="Wingdings" w:hint="default"/>
      </w:rPr>
    </w:lvl>
    <w:lvl w:ilvl="6" w:tplc="0C090001" w:tentative="1">
      <w:start w:val="1"/>
      <w:numFmt w:val="bullet"/>
      <w:lvlText w:val=""/>
      <w:lvlJc w:val="left"/>
      <w:pPr>
        <w:ind w:left="5836" w:hanging="360"/>
      </w:pPr>
      <w:rPr>
        <w:rFonts w:ascii="Symbol" w:hAnsi="Symbol" w:hint="default"/>
      </w:rPr>
    </w:lvl>
    <w:lvl w:ilvl="7" w:tplc="0C090003" w:tentative="1">
      <w:start w:val="1"/>
      <w:numFmt w:val="bullet"/>
      <w:lvlText w:val="o"/>
      <w:lvlJc w:val="left"/>
      <w:pPr>
        <w:ind w:left="6556" w:hanging="360"/>
      </w:pPr>
      <w:rPr>
        <w:rFonts w:ascii="Courier New" w:hAnsi="Courier New" w:cs="Courier New" w:hint="default"/>
      </w:rPr>
    </w:lvl>
    <w:lvl w:ilvl="8" w:tplc="0C090005" w:tentative="1">
      <w:start w:val="1"/>
      <w:numFmt w:val="bullet"/>
      <w:lvlText w:val=""/>
      <w:lvlJc w:val="left"/>
      <w:pPr>
        <w:ind w:left="7276" w:hanging="360"/>
      </w:pPr>
      <w:rPr>
        <w:rFonts w:ascii="Wingdings" w:hAnsi="Wingdings" w:hint="default"/>
      </w:rPr>
    </w:lvl>
  </w:abstractNum>
  <w:abstractNum w:abstractNumId="26" w15:restartNumberingAfterBreak="0">
    <w:nsid w:val="74C201A6"/>
    <w:multiLevelType w:val="hybridMultilevel"/>
    <w:tmpl w:val="E64ED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603A26"/>
    <w:multiLevelType w:val="hybridMultilevel"/>
    <w:tmpl w:val="13261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7A56AE"/>
    <w:multiLevelType w:val="hybridMultilevel"/>
    <w:tmpl w:val="2A64C536"/>
    <w:lvl w:ilvl="0" w:tplc="B178BCB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BC7B70"/>
    <w:multiLevelType w:val="hybridMultilevel"/>
    <w:tmpl w:val="9E968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212892"/>
    <w:multiLevelType w:val="hybridMultilevel"/>
    <w:tmpl w:val="69EE4A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75612"/>
    <w:multiLevelType w:val="hybridMultilevel"/>
    <w:tmpl w:val="570A6F9E"/>
    <w:lvl w:ilvl="0" w:tplc="B178BCB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20"/>
  </w:num>
  <w:num w:numId="4">
    <w:abstractNumId w:val="4"/>
  </w:num>
  <w:num w:numId="5">
    <w:abstractNumId w:val="0"/>
  </w:num>
  <w:num w:numId="6">
    <w:abstractNumId w:val="29"/>
  </w:num>
  <w:num w:numId="7">
    <w:abstractNumId w:val="21"/>
  </w:num>
  <w:num w:numId="8">
    <w:abstractNumId w:val="12"/>
  </w:num>
  <w:num w:numId="9">
    <w:abstractNumId w:val="10"/>
  </w:num>
  <w:num w:numId="10">
    <w:abstractNumId w:val="8"/>
  </w:num>
  <w:num w:numId="11">
    <w:abstractNumId w:val="2"/>
  </w:num>
  <w:num w:numId="12">
    <w:abstractNumId w:val="1"/>
  </w:num>
  <w:num w:numId="13">
    <w:abstractNumId w:val="15"/>
  </w:num>
  <w:num w:numId="14">
    <w:abstractNumId w:val="27"/>
  </w:num>
  <w:num w:numId="15">
    <w:abstractNumId w:val="28"/>
  </w:num>
  <w:num w:numId="16">
    <w:abstractNumId w:val="3"/>
  </w:num>
  <w:num w:numId="17">
    <w:abstractNumId w:val="5"/>
  </w:num>
  <w:num w:numId="18">
    <w:abstractNumId w:val="31"/>
  </w:num>
  <w:num w:numId="19">
    <w:abstractNumId w:val="22"/>
  </w:num>
  <w:num w:numId="20">
    <w:abstractNumId w:val="26"/>
  </w:num>
  <w:num w:numId="21">
    <w:abstractNumId w:val="13"/>
  </w:num>
  <w:num w:numId="22">
    <w:abstractNumId w:val="9"/>
  </w:num>
  <w:num w:numId="23">
    <w:abstractNumId w:val="7"/>
  </w:num>
  <w:num w:numId="24">
    <w:abstractNumId w:val="18"/>
  </w:num>
  <w:num w:numId="25">
    <w:abstractNumId w:val="19"/>
  </w:num>
  <w:num w:numId="26">
    <w:abstractNumId w:val="14"/>
  </w:num>
  <w:num w:numId="27">
    <w:abstractNumId w:val="17"/>
  </w:num>
  <w:num w:numId="28">
    <w:abstractNumId w:val="24"/>
  </w:num>
  <w:num w:numId="29">
    <w:abstractNumId w:val="16"/>
  </w:num>
  <w:num w:numId="30">
    <w:abstractNumId w:val="23"/>
  </w:num>
  <w:num w:numId="31">
    <w:abstractNumId w:val="2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07"/>
    <w:rsid w:val="00001A78"/>
    <w:rsid w:val="00001E0E"/>
    <w:rsid w:val="000023D6"/>
    <w:rsid w:val="0000667C"/>
    <w:rsid w:val="00011FCC"/>
    <w:rsid w:val="00014156"/>
    <w:rsid w:val="00014215"/>
    <w:rsid w:val="00015EAB"/>
    <w:rsid w:val="00016D6F"/>
    <w:rsid w:val="000173E0"/>
    <w:rsid w:val="000173FA"/>
    <w:rsid w:val="00017B16"/>
    <w:rsid w:val="00020DB1"/>
    <w:rsid w:val="000220EE"/>
    <w:rsid w:val="00022E24"/>
    <w:rsid w:val="000231D8"/>
    <w:rsid w:val="00023346"/>
    <w:rsid w:val="00023726"/>
    <w:rsid w:val="000315D6"/>
    <w:rsid w:val="00034067"/>
    <w:rsid w:val="000360AE"/>
    <w:rsid w:val="00036AD3"/>
    <w:rsid w:val="00041C8F"/>
    <w:rsid w:val="00041CE0"/>
    <w:rsid w:val="0004432C"/>
    <w:rsid w:val="00044E7A"/>
    <w:rsid w:val="00045762"/>
    <w:rsid w:val="00046B7C"/>
    <w:rsid w:val="00051466"/>
    <w:rsid w:val="00051E84"/>
    <w:rsid w:val="000520E2"/>
    <w:rsid w:val="000539DF"/>
    <w:rsid w:val="000566D3"/>
    <w:rsid w:val="00057937"/>
    <w:rsid w:val="00061201"/>
    <w:rsid w:val="00061332"/>
    <w:rsid w:val="0007199E"/>
    <w:rsid w:val="00072A60"/>
    <w:rsid w:val="00075499"/>
    <w:rsid w:val="0007560F"/>
    <w:rsid w:val="000806FE"/>
    <w:rsid w:val="000849E6"/>
    <w:rsid w:val="0008546B"/>
    <w:rsid w:val="00092D83"/>
    <w:rsid w:val="00093CB8"/>
    <w:rsid w:val="00097648"/>
    <w:rsid w:val="000A00B3"/>
    <w:rsid w:val="000A09EF"/>
    <w:rsid w:val="000A48A5"/>
    <w:rsid w:val="000A4A7C"/>
    <w:rsid w:val="000A710B"/>
    <w:rsid w:val="000A79A7"/>
    <w:rsid w:val="000B04AC"/>
    <w:rsid w:val="000B4EB9"/>
    <w:rsid w:val="000B5DC3"/>
    <w:rsid w:val="000C1BD1"/>
    <w:rsid w:val="000C3BB5"/>
    <w:rsid w:val="000C4653"/>
    <w:rsid w:val="000C613C"/>
    <w:rsid w:val="000C65E7"/>
    <w:rsid w:val="000C74F4"/>
    <w:rsid w:val="000D06CD"/>
    <w:rsid w:val="000D1C3F"/>
    <w:rsid w:val="000D1C90"/>
    <w:rsid w:val="000D4165"/>
    <w:rsid w:val="000D5B11"/>
    <w:rsid w:val="000E094F"/>
    <w:rsid w:val="000E0D69"/>
    <w:rsid w:val="000E341C"/>
    <w:rsid w:val="000E6150"/>
    <w:rsid w:val="000E6201"/>
    <w:rsid w:val="000E6563"/>
    <w:rsid w:val="000E68CA"/>
    <w:rsid w:val="000F0D42"/>
    <w:rsid w:val="000F0D81"/>
    <w:rsid w:val="000F16EE"/>
    <w:rsid w:val="000F20D2"/>
    <w:rsid w:val="000F3507"/>
    <w:rsid w:val="000F5C66"/>
    <w:rsid w:val="001014BF"/>
    <w:rsid w:val="00103C59"/>
    <w:rsid w:val="001055DB"/>
    <w:rsid w:val="00105F64"/>
    <w:rsid w:val="00106637"/>
    <w:rsid w:val="001119ED"/>
    <w:rsid w:val="001139CB"/>
    <w:rsid w:val="00116999"/>
    <w:rsid w:val="00116D8F"/>
    <w:rsid w:val="00117A9E"/>
    <w:rsid w:val="00122817"/>
    <w:rsid w:val="00122EFF"/>
    <w:rsid w:val="0012447F"/>
    <w:rsid w:val="00125659"/>
    <w:rsid w:val="00126F1C"/>
    <w:rsid w:val="001279EE"/>
    <w:rsid w:val="00130818"/>
    <w:rsid w:val="001335B1"/>
    <w:rsid w:val="0013576C"/>
    <w:rsid w:val="00137678"/>
    <w:rsid w:val="00137D8C"/>
    <w:rsid w:val="0014075B"/>
    <w:rsid w:val="00142BDA"/>
    <w:rsid w:val="00143CCA"/>
    <w:rsid w:val="0014557F"/>
    <w:rsid w:val="001463D1"/>
    <w:rsid w:val="00150110"/>
    <w:rsid w:val="00151A86"/>
    <w:rsid w:val="00151C7D"/>
    <w:rsid w:val="001531E1"/>
    <w:rsid w:val="00155163"/>
    <w:rsid w:val="001566B7"/>
    <w:rsid w:val="001567EF"/>
    <w:rsid w:val="0016009D"/>
    <w:rsid w:val="00161512"/>
    <w:rsid w:val="001652D0"/>
    <w:rsid w:val="00165392"/>
    <w:rsid w:val="00166122"/>
    <w:rsid w:val="001664CF"/>
    <w:rsid w:val="0016705E"/>
    <w:rsid w:val="00172F8E"/>
    <w:rsid w:val="00173298"/>
    <w:rsid w:val="00173C7B"/>
    <w:rsid w:val="00174150"/>
    <w:rsid w:val="00175518"/>
    <w:rsid w:val="00175878"/>
    <w:rsid w:val="00177461"/>
    <w:rsid w:val="0018166B"/>
    <w:rsid w:val="0018179F"/>
    <w:rsid w:val="001850E1"/>
    <w:rsid w:val="001851D0"/>
    <w:rsid w:val="001863B6"/>
    <w:rsid w:val="00186FEC"/>
    <w:rsid w:val="001915C6"/>
    <w:rsid w:val="001959A3"/>
    <w:rsid w:val="00195B4A"/>
    <w:rsid w:val="0019638D"/>
    <w:rsid w:val="00197D50"/>
    <w:rsid w:val="001A05B9"/>
    <w:rsid w:val="001A4567"/>
    <w:rsid w:val="001A6CE3"/>
    <w:rsid w:val="001A6E9E"/>
    <w:rsid w:val="001A6EAD"/>
    <w:rsid w:val="001B40A7"/>
    <w:rsid w:val="001B52B9"/>
    <w:rsid w:val="001B6AAF"/>
    <w:rsid w:val="001C016D"/>
    <w:rsid w:val="001C1EB8"/>
    <w:rsid w:val="001C573E"/>
    <w:rsid w:val="001C67F4"/>
    <w:rsid w:val="001D202A"/>
    <w:rsid w:val="001D2BF0"/>
    <w:rsid w:val="001D4F8A"/>
    <w:rsid w:val="001D5226"/>
    <w:rsid w:val="001E0CF8"/>
    <w:rsid w:val="001E2BFA"/>
    <w:rsid w:val="001E7814"/>
    <w:rsid w:val="001F22A4"/>
    <w:rsid w:val="001F2644"/>
    <w:rsid w:val="001F5ABA"/>
    <w:rsid w:val="001F70AE"/>
    <w:rsid w:val="001F71E9"/>
    <w:rsid w:val="001F7B84"/>
    <w:rsid w:val="00203B3F"/>
    <w:rsid w:val="002040DB"/>
    <w:rsid w:val="00204B54"/>
    <w:rsid w:val="0020544D"/>
    <w:rsid w:val="00205BD7"/>
    <w:rsid w:val="00207A1C"/>
    <w:rsid w:val="00210FA0"/>
    <w:rsid w:val="00212173"/>
    <w:rsid w:val="002131B2"/>
    <w:rsid w:val="00214BAF"/>
    <w:rsid w:val="0021725C"/>
    <w:rsid w:val="002209D0"/>
    <w:rsid w:val="00220C58"/>
    <w:rsid w:val="0022234E"/>
    <w:rsid w:val="0022482A"/>
    <w:rsid w:val="00225391"/>
    <w:rsid w:val="00225A53"/>
    <w:rsid w:val="00225BF0"/>
    <w:rsid w:val="00226895"/>
    <w:rsid w:val="00226C0C"/>
    <w:rsid w:val="00230670"/>
    <w:rsid w:val="00236AD9"/>
    <w:rsid w:val="002370AF"/>
    <w:rsid w:val="002370C5"/>
    <w:rsid w:val="00242102"/>
    <w:rsid w:val="00242411"/>
    <w:rsid w:val="00243FFD"/>
    <w:rsid w:val="002446D1"/>
    <w:rsid w:val="00245618"/>
    <w:rsid w:val="00245C30"/>
    <w:rsid w:val="002463B7"/>
    <w:rsid w:val="00247BB5"/>
    <w:rsid w:val="00252A6B"/>
    <w:rsid w:val="00255626"/>
    <w:rsid w:val="00260710"/>
    <w:rsid w:val="002705FE"/>
    <w:rsid w:val="0027078F"/>
    <w:rsid w:val="00273A8E"/>
    <w:rsid w:val="00276566"/>
    <w:rsid w:val="002839D0"/>
    <w:rsid w:val="00287818"/>
    <w:rsid w:val="002908FE"/>
    <w:rsid w:val="00290983"/>
    <w:rsid w:val="00290D43"/>
    <w:rsid w:val="00291A98"/>
    <w:rsid w:val="002931BA"/>
    <w:rsid w:val="0029515E"/>
    <w:rsid w:val="00295AE3"/>
    <w:rsid w:val="00297570"/>
    <w:rsid w:val="00297AB1"/>
    <w:rsid w:val="002A0842"/>
    <w:rsid w:val="002A0E65"/>
    <w:rsid w:val="002A124B"/>
    <w:rsid w:val="002A1297"/>
    <w:rsid w:val="002A1449"/>
    <w:rsid w:val="002A1D4A"/>
    <w:rsid w:val="002A2C08"/>
    <w:rsid w:val="002A55B8"/>
    <w:rsid w:val="002A5EF6"/>
    <w:rsid w:val="002A6540"/>
    <w:rsid w:val="002A703E"/>
    <w:rsid w:val="002A7FFE"/>
    <w:rsid w:val="002B1A01"/>
    <w:rsid w:val="002B1B92"/>
    <w:rsid w:val="002B1EA0"/>
    <w:rsid w:val="002B2DFA"/>
    <w:rsid w:val="002B3DAC"/>
    <w:rsid w:val="002B4D38"/>
    <w:rsid w:val="002B6C20"/>
    <w:rsid w:val="002C1F85"/>
    <w:rsid w:val="002C316C"/>
    <w:rsid w:val="002C62AD"/>
    <w:rsid w:val="002D2278"/>
    <w:rsid w:val="002D411A"/>
    <w:rsid w:val="002D4306"/>
    <w:rsid w:val="002D6EEA"/>
    <w:rsid w:val="002E1407"/>
    <w:rsid w:val="002E18E0"/>
    <w:rsid w:val="002E1A40"/>
    <w:rsid w:val="002E20FF"/>
    <w:rsid w:val="002E4B7F"/>
    <w:rsid w:val="002F0633"/>
    <w:rsid w:val="002F06C9"/>
    <w:rsid w:val="002F19A2"/>
    <w:rsid w:val="002F1F0D"/>
    <w:rsid w:val="002F5391"/>
    <w:rsid w:val="002F61F9"/>
    <w:rsid w:val="002F7066"/>
    <w:rsid w:val="00303ECE"/>
    <w:rsid w:val="00304AE7"/>
    <w:rsid w:val="0030716C"/>
    <w:rsid w:val="00307608"/>
    <w:rsid w:val="0030791C"/>
    <w:rsid w:val="00307FFA"/>
    <w:rsid w:val="00312EE8"/>
    <w:rsid w:val="003133B8"/>
    <w:rsid w:val="00321CF1"/>
    <w:rsid w:val="00322789"/>
    <w:rsid w:val="00324915"/>
    <w:rsid w:val="00326697"/>
    <w:rsid w:val="003332DB"/>
    <w:rsid w:val="003363C4"/>
    <w:rsid w:val="003367DF"/>
    <w:rsid w:val="003368C8"/>
    <w:rsid w:val="00336D54"/>
    <w:rsid w:val="0033794A"/>
    <w:rsid w:val="00342398"/>
    <w:rsid w:val="00342A00"/>
    <w:rsid w:val="00342E5E"/>
    <w:rsid w:val="00342FA9"/>
    <w:rsid w:val="00343E89"/>
    <w:rsid w:val="00344146"/>
    <w:rsid w:val="0034651F"/>
    <w:rsid w:val="003531DD"/>
    <w:rsid w:val="00356F3B"/>
    <w:rsid w:val="003576F0"/>
    <w:rsid w:val="0036050D"/>
    <w:rsid w:val="003612EF"/>
    <w:rsid w:val="0036179C"/>
    <w:rsid w:val="003632E9"/>
    <w:rsid w:val="00364EE3"/>
    <w:rsid w:val="00365DFA"/>
    <w:rsid w:val="00366B86"/>
    <w:rsid w:val="003677E3"/>
    <w:rsid w:val="00371EE7"/>
    <w:rsid w:val="003732C8"/>
    <w:rsid w:val="00374197"/>
    <w:rsid w:val="00374A67"/>
    <w:rsid w:val="003830F5"/>
    <w:rsid w:val="003834FB"/>
    <w:rsid w:val="00384235"/>
    <w:rsid w:val="0038423C"/>
    <w:rsid w:val="00384BFE"/>
    <w:rsid w:val="00392233"/>
    <w:rsid w:val="00392FCE"/>
    <w:rsid w:val="00393540"/>
    <w:rsid w:val="00396038"/>
    <w:rsid w:val="003972C7"/>
    <w:rsid w:val="00397BE2"/>
    <w:rsid w:val="003A040E"/>
    <w:rsid w:val="003A1E60"/>
    <w:rsid w:val="003A2A32"/>
    <w:rsid w:val="003A49D7"/>
    <w:rsid w:val="003B01CA"/>
    <w:rsid w:val="003B2764"/>
    <w:rsid w:val="003B2BB6"/>
    <w:rsid w:val="003B4AE0"/>
    <w:rsid w:val="003B4E75"/>
    <w:rsid w:val="003B573D"/>
    <w:rsid w:val="003B58DF"/>
    <w:rsid w:val="003C5D39"/>
    <w:rsid w:val="003D014B"/>
    <w:rsid w:val="003D12AA"/>
    <w:rsid w:val="003D19AD"/>
    <w:rsid w:val="003D28BB"/>
    <w:rsid w:val="003D3784"/>
    <w:rsid w:val="003D4504"/>
    <w:rsid w:val="003E02F8"/>
    <w:rsid w:val="003E0454"/>
    <w:rsid w:val="003E3D20"/>
    <w:rsid w:val="003E519F"/>
    <w:rsid w:val="003E5B62"/>
    <w:rsid w:val="003F1870"/>
    <w:rsid w:val="003F237E"/>
    <w:rsid w:val="003F32B5"/>
    <w:rsid w:val="00402DEA"/>
    <w:rsid w:val="0040318E"/>
    <w:rsid w:val="0040468C"/>
    <w:rsid w:val="00410414"/>
    <w:rsid w:val="00410EFE"/>
    <w:rsid w:val="004117A7"/>
    <w:rsid w:val="0041333F"/>
    <w:rsid w:val="00421A91"/>
    <w:rsid w:val="00421EA3"/>
    <w:rsid w:val="004233CA"/>
    <w:rsid w:val="004236D6"/>
    <w:rsid w:val="00425CB9"/>
    <w:rsid w:val="00426FD0"/>
    <w:rsid w:val="004271FC"/>
    <w:rsid w:val="00432257"/>
    <w:rsid w:val="00432A49"/>
    <w:rsid w:val="00433D74"/>
    <w:rsid w:val="00435EDC"/>
    <w:rsid w:val="00437558"/>
    <w:rsid w:val="004400D4"/>
    <w:rsid w:val="0044039D"/>
    <w:rsid w:val="00440C33"/>
    <w:rsid w:val="00441F10"/>
    <w:rsid w:val="00442F19"/>
    <w:rsid w:val="00443597"/>
    <w:rsid w:val="004435A3"/>
    <w:rsid w:val="004453F6"/>
    <w:rsid w:val="0045441A"/>
    <w:rsid w:val="0045479B"/>
    <w:rsid w:val="00454CA4"/>
    <w:rsid w:val="00455A29"/>
    <w:rsid w:val="0045660C"/>
    <w:rsid w:val="004573DA"/>
    <w:rsid w:val="004605F3"/>
    <w:rsid w:val="00462FA3"/>
    <w:rsid w:val="00463564"/>
    <w:rsid w:val="00464415"/>
    <w:rsid w:val="004647BB"/>
    <w:rsid w:val="0046617C"/>
    <w:rsid w:val="00466E76"/>
    <w:rsid w:val="00473F26"/>
    <w:rsid w:val="00473F9A"/>
    <w:rsid w:val="00475FA4"/>
    <w:rsid w:val="00476C77"/>
    <w:rsid w:val="0048170D"/>
    <w:rsid w:val="00484C84"/>
    <w:rsid w:val="00490E1B"/>
    <w:rsid w:val="0049137C"/>
    <w:rsid w:val="00492837"/>
    <w:rsid w:val="00493679"/>
    <w:rsid w:val="00493FA7"/>
    <w:rsid w:val="00494402"/>
    <w:rsid w:val="004969FD"/>
    <w:rsid w:val="004A2064"/>
    <w:rsid w:val="004A421A"/>
    <w:rsid w:val="004A6A8E"/>
    <w:rsid w:val="004B596C"/>
    <w:rsid w:val="004B5E2E"/>
    <w:rsid w:val="004C0411"/>
    <w:rsid w:val="004C1667"/>
    <w:rsid w:val="004C234A"/>
    <w:rsid w:val="004C4918"/>
    <w:rsid w:val="004C5611"/>
    <w:rsid w:val="004C5DAF"/>
    <w:rsid w:val="004C6511"/>
    <w:rsid w:val="004C6B90"/>
    <w:rsid w:val="004D15CB"/>
    <w:rsid w:val="004D34A4"/>
    <w:rsid w:val="004D4A8F"/>
    <w:rsid w:val="004D6098"/>
    <w:rsid w:val="004E1022"/>
    <w:rsid w:val="004E2D18"/>
    <w:rsid w:val="004E33BE"/>
    <w:rsid w:val="004E3907"/>
    <w:rsid w:val="004E3F6D"/>
    <w:rsid w:val="004E5B16"/>
    <w:rsid w:val="004E5CA7"/>
    <w:rsid w:val="004E632E"/>
    <w:rsid w:val="004E6370"/>
    <w:rsid w:val="004E6FAD"/>
    <w:rsid w:val="004F32CE"/>
    <w:rsid w:val="004F6C3E"/>
    <w:rsid w:val="004F6D76"/>
    <w:rsid w:val="00502A36"/>
    <w:rsid w:val="005039E5"/>
    <w:rsid w:val="00503DDF"/>
    <w:rsid w:val="0050420E"/>
    <w:rsid w:val="00504DE9"/>
    <w:rsid w:val="00505466"/>
    <w:rsid w:val="00505989"/>
    <w:rsid w:val="00505D3E"/>
    <w:rsid w:val="00505DD9"/>
    <w:rsid w:val="00505EF6"/>
    <w:rsid w:val="005060CC"/>
    <w:rsid w:val="00506AE4"/>
    <w:rsid w:val="00510E41"/>
    <w:rsid w:val="0051138D"/>
    <w:rsid w:val="00514FCD"/>
    <w:rsid w:val="0051627C"/>
    <w:rsid w:val="00517ED6"/>
    <w:rsid w:val="00521432"/>
    <w:rsid w:val="00523335"/>
    <w:rsid w:val="00523918"/>
    <w:rsid w:val="00523D06"/>
    <w:rsid w:val="00523DF2"/>
    <w:rsid w:val="005251E2"/>
    <w:rsid w:val="005255F2"/>
    <w:rsid w:val="00526A9F"/>
    <w:rsid w:val="0052786D"/>
    <w:rsid w:val="00527955"/>
    <w:rsid w:val="00534DB9"/>
    <w:rsid w:val="00542A1A"/>
    <w:rsid w:val="00543668"/>
    <w:rsid w:val="00550340"/>
    <w:rsid w:val="005514AF"/>
    <w:rsid w:val="0055206F"/>
    <w:rsid w:val="00554037"/>
    <w:rsid w:val="005543D4"/>
    <w:rsid w:val="00554CD8"/>
    <w:rsid w:val="00554D0A"/>
    <w:rsid w:val="00555321"/>
    <w:rsid w:val="00560DAB"/>
    <w:rsid w:val="0056556D"/>
    <w:rsid w:val="00565944"/>
    <w:rsid w:val="005663E4"/>
    <w:rsid w:val="00566A8A"/>
    <w:rsid w:val="00570869"/>
    <w:rsid w:val="0058342C"/>
    <w:rsid w:val="00584114"/>
    <w:rsid w:val="005849C7"/>
    <w:rsid w:val="00585771"/>
    <w:rsid w:val="0058690F"/>
    <w:rsid w:val="00590C47"/>
    <w:rsid w:val="00591232"/>
    <w:rsid w:val="005912B2"/>
    <w:rsid w:val="0059188A"/>
    <w:rsid w:val="005929D1"/>
    <w:rsid w:val="005934B7"/>
    <w:rsid w:val="00596053"/>
    <w:rsid w:val="005A0598"/>
    <w:rsid w:val="005A25C3"/>
    <w:rsid w:val="005A27C3"/>
    <w:rsid w:val="005A32C3"/>
    <w:rsid w:val="005A67A0"/>
    <w:rsid w:val="005B2E19"/>
    <w:rsid w:val="005B33C3"/>
    <w:rsid w:val="005B3C9A"/>
    <w:rsid w:val="005B5F40"/>
    <w:rsid w:val="005B6ED4"/>
    <w:rsid w:val="005C008C"/>
    <w:rsid w:val="005C06DA"/>
    <w:rsid w:val="005C0E7D"/>
    <w:rsid w:val="005C2AC4"/>
    <w:rsid w:val="005C31CB"/>
    <w:rsid w:val="005C36F2"/>
    <w:rsid w:val="005C5B46"/>
    <w:rsid w:val="005C6192"/>
    <w:rsid w:val="005C622C"/>
    <w:rsid w:val="005C7D5B"/>
    <w:rsid w:val="005D32ED"/>
    <w:rsid w:val="005D4D81"/>
    <w:rsid w:val="005D5ACE"/>
    <w:rsid w:val="005D678E"/>
    <w:rsid w:val="005D68B8"/>
    <w:rsid w:val="005D796A"/>
    <w:rsid w:val="005D7D08"/>
    <w:rsid w:val="005E2892"/>
    <w:rsid w:val="005E5628"/>
    <w:rsid w:val="005E6F8D"/>
    <w:rsid w:val="005E7C37"/>
    <w:rsid w:val="005F0CAB"/>
    <w:rsid w:val="005F25EE"/>
    <w:rsid w:val="005F3533"/>
    <w:rsid w:val="005F4D02"/>
    <w:rsid w:val="005F5B85"/>
    <w:rsid w:val="005F670E"/>
    <w:rsid w:val="005F7298"/>
    <w:rsid w:val="005F7A8D"/>
    <w:rsid w:val="00600FD5"/>
    <w:rsid w:val="006024FB"/>
    <w:rsid w:val="00602657"/>
    <w:rsid w:val="0060412F"/>
    <w:rsid w:val="006078CD"/>
    <w:rsid w:val="00613A9B"/>
    <w:rsid w:val="006148C3"/>
    <w:rsid w:val="00615721"/>
    <w:rsid w:val="00616595"/>
    <w:rsid w:val="00620241"/>
    <w:rsid w:val="006227D7"/>
    <w:rsid w:val="00622CAD"/>
    <w:rsid w:val="00623A20"/>
    <w:rsid w:val="00623EF8"/>
    <w:rsid w:val="0062490C"/>
    <w:rsid w:val="006272E0"/>
    <w:rsid w:val="006308C1"/>
    <w:rsid w:val="0063231B"/>
    <w:rsid w:val="00634625"/>
    <w:rsid w:val="006366D5"/>
    <w:rsid w:val="006400DE"/>
    <w:rsid w:val="00641102"/>
    <w:rsid w:val="00641334"/>
    <w:rsid w:val="00642296"/>
    <w:rsid w:val="00645E49"/>
    <w:rsid w:val="00645EAF"/>
    <w:rsid w:val="006467E7"/>
    <w:rsid w:val="0064769B"/>
    <w:rsid w:val="00647EAF"/>
    <w:rsid w:val="006500A2"/>
    <w:rsid w:val="00654EBD"/>
    <w:rsid w:val="00655EF8"/>
    <w:rsid w:val="00656440"/>
    <w:rsid w:val="00661122"/>
    <w:rsid w:val="0066120A"/>
    <w:rsid w:val="0066235F"/>
    <w:rsid w:val="006625F0"/>
    <w:rsid w:val="006631FB"/>
    <w:rsid w:val="0066345E"/>
    <w:rsid w:val="00663904"/>
    <w:rsid w:val="00664CC5"/>
    <w:rsid w:val="0066695A"/>
    <w:rsid w:val="00667A8B"/>
    <w:rsid w:val="006715BC"/>
    <w:rsid w:val="0067191E"/>
    <w:rsid w:val="00672E64"/>
    <w:rsid w:val="006771BA"/>
    <w:rsid w:val="006804C5"/>
    <w:rsid w:val="006814A2"/>
    <w:rsid w:val="00683142"/>
    <w:rsid w:val="0068321D"/>
    <w:rsid w:val="00684E1D"/>
    <w:rsid w:val="006901FE"/>
    <w:rsid w:val="006908FE"/>
    <w:rsid w:val="006924DE"/>
    <w:rsid w:val="006926A6"/>
    <w:rsid w:val="006962D8"/>
    <w:rsid w:val="00696FFD"/>
    <w:rsid w:val="006A29F2"/>
    <w:rsid w:val="006A7BA9"/>
    <w:rsid w:val="006B141D"/>
    <w:rsid w:val="006B3B79"/>
    <w:rsid w:val="006B494E"/>
    <w:rsid w:val="006B5589"/>
    <w:rsid w:val="006B71DC"/>
    <w:rsid w:val="006C0675"/>
    <w:rsid w:val="006C112E"/>
    <w:rsid w:val="006C3A7C"/>
    <w:rsid w:val="006C4E90"/>
    <w:rsid w:val="006C4F92"/>
    <w:rsid w:val="006D0D2A"/>
    <w:rsid w:val="006D1939"/>
    <w:rsid w:val="006D294B"/>
    <w:rsid w:val="006D4D1F"/>
    <w:rsid w:val="006D6D82"/>
    <w:rsid w:val="006E0006"/>
    <w:rsid w:val="006E21FD"/>
    <w:rsid w:val="006E2B8B"/>
    <w:rsid w:val="006E5779"/>
    <w:rsid w:val="006F0FD6"/>
    <w:rsid w:val="006F267E"/>
    <w:rsid w:val="006F293A"/>
    <w:rsid w:val="006F38A1"/>
    <w:rsid w:val="006F3EA3"/>
    <w:rsid w:val="006F6DBD"/>
    <w:rsid w:val="0070061B"/>
    <w:rsid w:val="00704D4C"/>
    <w:rsid w:val="00707D14"/>
    <w:rsid w:val="0071215F"/>
    <w:rsid w:val="00712CE3"/>
    <w:rsid w:val="00713D10"/>
    <w:rsid w:val="00720877"/>
    <w:rsid w:val="00721F5A"/>
    <w:rsid w:val="00722977"/>
    <w:rsid w:val="00722E3C"/>
    <w:rsid w:val="007277F8"/>
    <w:rsid w:val="007362C8"/>
    <w:rsid w:val="00737DE7"/>
    <w:rsid w:val="00740261"/>
    <w:rsid w:val="00743D2C"/>
    <w:rsid w:val="007472DB"/>
    <w:rsid w:val="00750874"/>
    <w:rsid w:val="007508AB"/>
    <w:rsid w:val="00751816"/>
    <w:rsid w:val="00752CDF"/>
    <w:rsid w:val="00754224"/>
    <w:rsid w:val="00757D84"/>
    <w:rsid w:val="00760766"/>
    <w:rsid w:val="0076419B"/>
    <w:rsid w:val="00764CFB"/>
    <w:rsid w:val="007668E8"/>
    <w:rsid w:val="0076744D"/>
    <w:rsid w:val="00767533"/>
    <w:rsid w:val="00767C64"/>
    <w:rsid w:val="00770AAF"/>
    <w:rsid w:val="007715ED"/>
    <w:rsid w:val="00774AE6"/>
    <w:rsid w:val="00774BB8"/>
    <w:rsid w:val="007802DD"/>
    <w:rsid w:val="00781E14"/>
    <w:rsid w:val="007835E4"/>
    <w:rsid w:val="00783EAD"/>
    <w:rsid w:val="0078407D"/>
    <w:rsid w:val="0079235F"/>
    <w:rsid w:val="00794314"/>
    <w:rsid w:val="00795048"/>
    <w:rsid w:val="007A2521"/>
    <w:rsid w:val="007A4E23"/>
    <w:rsid w:val="007A4E73"/>
    <w:rsid w:val="007A6016"/>
    <w:rsid w:val="007A7D03"/>
    <w:rsid w:val="007B0A9C"/>
    <w:rsid w:val="007B0C60"/>
    <w:rsid w:val="007B27ED"/>
    <w:rsid w:val="007B3215"/>
    <w:rsid w:val="007B5588"/>
    <w:rsid w:val="007B668E"/>
    <w:rsid w:val="007B78BD"/>
    <w:rsid w:val="007B7995"/>
    <w:rsid w:val="007C1252"/>
    <w:rsid w:val="007C2807"/>
    <w:rsid w:val="007D1AFD"/>
    <w:rsid w:val="007D23A0"/>
    <w:rsid w:val="007D2EAD"/>
    <w:rsid w:val="007D41E6"/>
    <w:rsid w:val="007D4FD3"/>
    <w:rsid w:val="007D6230"/>
    <w:rsid w:val="007D7AC8"/>
    <w:rsid w:val="007D7D46"/>
    <w:rsid w:val="007E5F27"/>
    <w:rsid w:val="007E7EE2"/>
    <w:rsid w:val="007F2BFF"/>
    <w:rsid w:val="007F33C8"/>
    <w:rsid w:val="007F46C7"/>
    <w:rsid w:val="007F4994"/>
    <w:rsid w:val="007F5F39"/>
    <w:rsid w:val="007F6951"/>
    <w:rsid w:val="007F7296"/>
    <w:rsid w:val="0080114E"/>
    <w:rsid w:val="008033BF"/>
    <w:rsid w:val="0080595E"/>
    <w:rsid w:val="0081010E"/>
    <w:rsid w:val="00810148"/>
    <w:rsid w:val="00813485"/>
    <w:rsid w:val="008138E0"/>
    <w:rsid w:val="008139DB"/>
    <w:rsid w:val="00815DB6"/>
    <w:rsid w:val="008161B4"/>
    <w:rsid w:val="008214CA"/>
    <w:rsid w:val="00821D18"/>
    <w:rsid w:val="00823493"/>
    <w:rsid w:val="00823B92"/>
    <w:rsid w:val="00826074"/>
    <w:rsid w:val="0082637C"/>
    <w:rsid w:val="008275D5"/>
    <w:rsid w:val="008300C6"/>
    <w:rsid w:val="008308B0"/>
    <w:rsid w:val="008313A9"/>
    <w:rsid w:val="00832A9F"/>
    <w:rsid w:val="00835641"/>
    <w:rsid w:val="008418D3"/>
    <w:rsid w:val="008444C1"/>
    <w:rsid w:val="0084478E"/>
    <w:rsid w:val="008473A9"/>
    <w:rsid w:val="00853288"/>
    <w:rsid w:val="00853A48"/>
    <w:rsid w:val="00855D25"/>
    <w:rsid w:val="00857D44"/>
    <w:rsid w:val="00857DEF"/>
    <w:rsid w:val="00864650"/>
    <w:rsid w:val="00864D25"/>
    <w:rsid w:val="008650FF"/>
    <w:rsid w:val="008702DB"/>
    <w:rsid w:val="008740DE"/>
    <w:rsid w:val="008816DE"/>
    <w:rsid w:val="008817E2"/>
    <w:rsid w:val="00883F91"/>
    <w:rsid w:val="00890ECC"/>
    <w:rsid w:val="00893968"/>
    <w:rsid w:val="008969E4"/>
    <w:rsid w:val="00897F62"/>
    <w:rsid w:val="008A1D01"/>
    <w:rsid w:val="008A2D76"/>
    <w:rsid w:val="008A316F"/>
    <w:rsid w:val="008A43A6"/>
    <w:rsid w:val="008A6CC0"/>
    <w:rsid w:val="008A702D"/>
    <w:rsid w:val="008B0DEA"/>
    <w:rsid w:val="008B2991"/>
    <w:rsid w:val="008B58E3"/>
    <w:rsid w:val="008B7889"/>
    <w:rsid w:val="008B7B92"/>
    <w:rsid w:val="008B7DEF"/>
    <w:rsid w:val="008C008B"/>
    <w:rsid w:val="008C51C4"/>
    <w:rsid w:val="008D0C61"/>
    <w:rsid w:val="008D0F63"/>
    <w:rsid w:val="008D1671"/>
    <w:rsid w:val="008D1E02"/>
    <w:rsid w:val="008D3253"/>
    <w:rsid w:val="008D79BC"/>
    <w:rsid w:val="008D7E70"/>
    <w:rsid w:val="008E0715"/>
    <w:rsid w:val="008E0EB5"/>
    <w:rsid w:val="008E1F19"/>
    <w:rsid w:val="008E2DA5"/>
    <w:rsid w:val="008E5611"/>
    <w:rsid w:val="008E5ED5"/>
    <w:rsid w:val="008E7064"/>
    <w:rsid w:val="008E707B"/>
    <w:rsid w:val="008F0618"/>
    <w:rsid w:val="008F0E84"/>
    <w:rsid w:val="008F10D6"/>
    <w:rsid w:val="008F5215"/>
    <w:rsid w:val="008F649A"/>
    <w:rsid w:val="008F6AEA"/>
    <w:rsid w:val="008F7B09"/>
    <w:rsid w:val="009010CC"/>
    <w:rsid w:val="00901BE1"/>
    <w:rsid w:val="00904FB6"/>
    <w:rsid w:val="009102F9"/>
    <w:rsid w:val="00911C09"/>
    <w:rsid w:val="009144DE"/>
    <w:rsid w:val="00914C31"/>
    <w:rsid w:val="00915633"/>
    <w:rsid w:val="00916878"/>
    <w:rsid w:val="009171BC"/>
    <w:rsid w:val="009208F2"/>
    <w:rsid w:val="00921D8D"/>
    <w:rsid w:val="00923C08"/>
    <w:rsid w:val="00925FF3"/>
    <w:rsid w:val="0093046E"/>
    <w:rsid w:val="0093177F"/>
    <w:rsid w:val="009331AE"/>
    <w:rsid w:val="009342A3"/>
    <w:rsid w:val="0093430F"/>
    <w:rsid w:val="00936023"/>
    <w:rsid w:val="00942CFE"/>
    <w:rsid w:val="0094300D"/>
    <w:rsid w:val="009433BB"/>
    <w:rsid w:val="00943D27"/>
    <w:rsid w:val="009443A5"/>
    <w:rsid w:val="00945479"/>
    <w:rsid w:val="00945739"/>
    <w:rsid w:val="00946100"/>
    <w:rsid w:val="00946416"/>
    <w:rsid w:val="00946AAC"/>
    <w:rsid w:val="00950F3B"/>
    <w:rsid w:val="009511CC"/>
    <w:rsid w:val="00952B40"/>
    <w:rsid w:val="00952BE6"/>
    <w:rsid w:val="0095305C"/>
    <w:rsid w:val="009537D6"/>
    <w:rsid w:val="009542C4"/>
    <w:rsid w:val="009544D1"/>
    <w:rsid w:val="009554A9"/>
    <w:rsid w:val="0095552A"/>
    <w:rsid w:val="009608A0"/>
    <w:rsid w:val="00962385"/>
    <w:rsid w:val="009630AA"/>
    <w:rsid w:val="00964961"/>
    <w:rsid w:val="00970ECB"/>
    <w:rsid w:val="00971F6F"/>
    <w:rsid w:val="009735EA"/>
    <w:rsid w:val="00975C10"/>
    <w:rsid w:val="0097603C"/>
    <w:rsid w:val="0097733A"/>
    <w:rsid w:val="00977589"/>
    <w:rsid w:val="00980782"/>
    <w:rsid w:val="009825A1"/>
    <w:rsid w:val="00984D4F"/>
    <w:rsid w:val="009879A2"/>
    <w:rsid w:val="00987F54"/>
    <w:rsid w:val="0099024B"/>
    <w:rsid w:val="0099131F"/>
    <w:rsid w:val="0099275D"/>
    <w:rsid w:val="00992B80"/>
    <w:rsid w:val="0099461B"/>
    <w:rsid w:val="00994772"/>
    <w:rsid w:val="00996C4A"/>
    <w:rsid w:val="00997B28"/>
    <w:rsid w:val="009A02E9"/>
    <w:rsid w:val="009A031F"/>
    <w:rsid w:val="009A1070"/>
    <w:rsid w:val="009A1945"/>
    <w:rsid w:val="009A3E2E"/>
    <w:rsid w:val="009A559D"/>
    <w:rsid w:val="009A7307"/>
    <w:rsid w:val="009B1E4D"/>
    <w:rsid w:val="009B4004"/>
    <w:rsid w:val="009B50A1"/>
    <w:rsid w:val="009C010E"/>
    <w:rsid w:val="009C0183"/>
    <w:rsid w:val="009C0396"/>
    <w:rsid w:val="009C1BE7"/>
    <w:rsid w:val="009C25C7"/>
    <w:rsid w:val="009C2F36"/>
    <w:rsid w:val="009C606E"/>
    <w:rsid w:val="009C6702"/>
    <w:rsid w:val="009D0AE3"/>
    <w:rsid w:val="009D0CFF"/>
    <w:rsid w:val="009D2068"/>
    <w:rsid w:val="009D3416"/>
    <w:rsid w:val="009D4D90"/>
    <w:rsid w:val="009D5573"/>
    <w:rsid w:val="009D5D31"/>
    <w:rsid w:val="009D6E4A"/>
    <w:rsid w:val="009E0656"/>
    <w:rsid w:val="009E1541"/>
    <w:rsid w:val="009E1A2F"/>
    <w:rsid w:val="009E2BF9"/>
    <w:rsid w:val="009E4A7A"/>
    <w:rsid w:val="009E673D"/>
    <w:rsid w:val="009F3422"/>
    <w:rsid w:val="009F3BE5"/>
    <w:rsid w:val="009F5220"/>
    <w:rsid w:val="00A04C8B"/>
    <w:rsid w:val="00A04ECC"/>
    <w:rsid w:val="00A050DF"/>
    <w:rsid w:val="00A051F0"/>
    <w:rsid w:val="00A0634D"/>
    <w:rsid w:val="00A10F09"/>
    <w:rsid w:val="00A1147A"/>
    <w:rsid w:val="00A11A19"/>
    <w:rsid w:val="00A12FC8"/>
    <w:rsid w:val="00A16260"/>
    <w:rsid w:val="00A16A06"/>
    <w:rsid w:val="00A17055"/>
    <w:rsid w:val="00A17507"/>
    <w:rsid w:val="00A235C0"/>
    <w:rsid w:val="00A23724"/>
    <w:rsid w:val="00A24FB5"/>
    <w:rsid w:val="00A3448A"/>
    <w:rsid w:val="00A37A7F"/>
    <w:rsid w:val="00A412BF"/>
    <w:rsid w:val="00A42B45"/>
    <w:rsid w:val="00A43671"/>
    <w:rsid w:val="00A44137"/>
    <w:rsid w:val="00A50991"/>
    <w:rsid w:val="00A50DCF"/>
    <w:rsid w:val="00A557FE"/>
    <w:rsid w:val="00A659B3"/>
    <w:rsid w:val="00A65A5D"/>
    <w:rsid w:val="00A65B4E"/>
    <w:rsid w:val="00A671A5"/>
    <w:rsid w:val="00A70C47"/>
    <w:rsid w:val="00A751D4"/>
    <w:rsid w:val="00A75464"/>
    <w:rsid w:val="00A76759"/>
    <w:rsid w:val="00A80A01"/>
    <w:rsid w:val="00A82CFA"/>
    <w:rsid w:val="00A86E50"/>
    <w:rsid w:val="00A901BB"/>
    <w:rsid w:val="00A90950"/>
    <w:rsid w:val="00A91A54"/>
    <w:rsid w:val="00A947E9"/>
    <w:rsid w:val="00A95443"/>
    <w:rsid w:val="00AA22D9"/>
    <w:rsid w:val="00AA58E6"/>
    <w:rsid w:val="00AB1BA0"/>
    <w:rsid w:val="00AB33C5"/>
    <w:rsid w:val="00AB466C"/>
    <w:rsid w:val="00AB5DF0"/>
    <w:rsid w:val="00AB5F84"/>
    <w:rsid w:val="00AB6F0B"/>
    <w:rsid w:val="00AC0243"/>
    <w:rsid w:val="00AC079A"/>
    <w:rsid w:val="00AC1483"/>
    <w:rsid w:val="00AC34D6"/>
    <w:rsid w:val="00AC3A56"/>
    <w:rsid w:val="00AC75FA"/>
    <w:rsid w:val="00AC7F34"/>
    <w:rsid w:val="00AD02C3"/>
    <w:rsid w:val="00AD083B"/>
    <w:rsid w:val="00AD0A54"/>
    <w:rsid w:val="00AD0D20"/>
    <w:rsid w:val="00AD12C7"/>
    <w:rsid w:val="00AD28AD"/>
    <w:rsid w:val="00AD5EE6"/>
    <w:rsid w:val="00AD7BF0"/>
    <w:rsid w:val="00AD7F0D"/>
    <w:rsid w:val="00AE011A"/>
    <w:rsid w:val="00AE17E5"/>
    <w:rsid w:val="00AE273B"/>
    <w:rsid w:val="00AE3020"/>
    <w:rsid w:val="00AE4449"/>
    <w:rsid w:val="00AF44B9"/>
    <w:rsid w:val="00AF4960"/>
    <w:rsid w:val="00AF792D"/>
    <w:rsid w:val="00B013FC"/>
    <w:rsid w:val="00B030FE"/>
    <w:rsid w:val="00B03C40"/>
    <w:rsid w:val="00B04C85"/>
    <w:rsid w:val="00B05421"/>
    <w:rsid w:val="00B06747"/>
    <w:rsid w:val="00B07632"/>
    <w:rsid w:val="00B07850"/>
    <w:rsid w:val="00B12558"/>
    <w:rsid w:val="00B13A7D"/>
    <w:rsid w:val="00B2134B"/>
    <w:rsid w:val="00B22B6C"/>
    <w:rsid w:val="00B2373C"/>
    <w:rsid w:val="00B239F0"/>
    <w:rsid w:val="00B25B83"/>
    <w:rsid w:val="00B27A18"/>
    <w:rsid w:val="00B319F7"/>
    <w:rsid w:val="00B3321B"/>
    <w:rsid w:val="00B340F5"/>
    <w:rsid w:val="00B34805"/>
    <w:rsid w:val="00B40049"/>
    <w:rsid w:val="00B41DA8"/>
    <w:rsid w:val="00B42001"/>
    <w:rsid w:val="00B448D6"/>
    <w:rsid w:val="00B45607"/>
    <w:rsid w:val="00B5004C"/>
    <w:rsid w:val="00B50D76"/>
    <w:rsid w:val="00B52D3E"/>
    <w:rsid w:val="00B53CD5"/>
    <w:rsid w:val="00B54EFE"/>
    <w:rsid w:val="00B57B08"/>
    <w:rsid w:val="00B630F0"/>
    <w:rsid w:val="00B64BFE"/>
    <w:rsid w:val="00B7434F"/>
    <w:rsid w:val="00B75280"/>
    <w:rsid w:val="00B75F93"/>
    <w:rsid w:val="00B777EA"/>
    <w:rsid w:val="00B77F91"/>
    <w:rsid w:val="00B80751"/>
    <w:rsid w:val="00B83286"/>
    <w:rsid w:val="00B83BA9"/>
    <w:rsid w:val="00B85188"/>
    <w:rsid w:val="00B852EA"/>
    <w:rsid w:val="00B853B5"/>
    <w:rsid w:val="00B85791"/>
    <w:rsid w:val="00B871B2"/>
    <w:rsid w:val="00B87A16"/>
    <w:rsid w:val="00B87B25"/>
    <w:rsid w:val="00B90951"/>
    <w:rsid w:val="00B911B5"/>
    <w:rsid w:val="00B9125C"/>
    <w:rsid w:val="00B91BBF"/>
    <w:rsid w:val="00B937BE"/>
    <w:rsid w:val="00B96022"/>
    <w:rsid w:val="00B9784E"/>
    <w:rsid w:val="00B97DD5"/>
    <w:rsid w:val="00BA4D12"/>
    <w:rsid w:val="00BB42FA"/>
    <w:rsid w:val="00BB4D68"/>
    <w:rsid w:val="00BB57C0"/>
    <w:rsid w:val="00BB5E22"/>
    <w:rsid w:val="00BB5F9C"/>
    <w:rsid w:val="00BB61AA"/>
    <w:rsid w:val="00BB7749"/>
    <w:rsid w:val="00BC058C"/>
    <w:rsid w:val="00BC133B"/>
    <w:rsid w:val="00BC3207"/>
    <w:rsid w:val="00BC336B"/>
    <w:rsid w:val="00BC3D74"/>
    <w:rsid w:val="00BC540E"/>
    <w:rsid w:val="00BC7945"/>
    <w:rsid w:val="00BD3308"/>
    <w:rsid w:val="00BD48EC"/>
    <w:rsid w:val="00BD64EF"/>
    <w:rsid w:val="00BD654B"/>
    <w:rsid w:val="00BD71F8"/>
    <w:rsid w:val="00BE08E6"/>
    <w:rsid w:val="00BE09C7"/>
    <w:rsid w:val="00BE23E5"/>
    <w:rsid w:val="00BE44A5"/>
    <w:rsid w:val="00BE6615"/>
    <w:rsid w:val="00BE6EA3"/>
    <w:rsid w:val="00BE7111"/>
    <w:rsid w:val="00BE7356"/>
    <w:rsid w:val="00BE77B7"/>
    <w:rsid w:val="00BF0F7B"/>
    <w:rsid w:val="00BF3FEF"/>
    <w:rsid w:val="00C00101"/>
    <w:rsid w:val="00C0205D"/>
    <w:rsid w:val="00C0293F"/>
    <w:rsid w:val="00C056E8"/>
    <w:rsid w:val="00C059E5"/>
    <w:rsid w:val="00C063BF"/>
    <w:rsid w:val="00C064F9"/>
    <w:rsid w:val="00C11094"/>
    <w:rsid w:val="00C14059"/>
    <w:rsid w:val="00C15775"/>
    <w:rsid w:val="00C21AA4"/>
    <w:rsid w:val="00C22894"/>
    <w:rsid w:val="00C22D2E"/>
    <w:rsid w:val="00C2608D"/>
    <w:rsid w:val="00C27DE8"/>
    <w:rsid w:val="00C3499D"/>
    <w:rsid w:val="00C35FBF"/>
    <w:rsid w:val="00C36866"/>
    <w:rsid w:val="00C36FB5"/>
    <w:rsid w:val="00C370C7"/>
    <w:rsid w:val="00C3723A"/>
    <w:rsid w:val="00C4077D"/>
    <w:rsid w:val="00C40D85"/>
    <w:rsid w:val="00C42CC4"/>
    <w:rsid w:val="00C42ECE"/>
    <w:rsid w:val="00C43FEB"/>
    <w:rsid w:val="00C46163"/>
    <w:rsid w:val="00C46D6F"/>
    <w:rsid w:val="00C53252"/>
    <w:rsid w:val="00C54E0E"/>
    <w:rsid w:val="00C5564A"/>
    <w:rsid w:val="00C56869"/>
    <w:rsid w:val="00C56A99"/>
    <w:rsid w:val="00C56B3C"/>
    <w:rsid w:val="00C600B5"/>
    <w:rsid w:val="00C625EF"/>
    <w:rsid w:val="00C626F9"/>
    <w:rsid w:val="00C646A2"/>
    <w:rsid w:val="00C646B0"/>
    <w:rsid w:val="00C678A2"/>
    <w:rsid w:val="00C715D6"/>
    <w:rsid w:val="00C731A1"/>
    <w:rsid w:val="00C75686"/>
    <w:rsid w:val="00C75FFA"/>
    <w:rsid w:val="00C80758"/>
    <w:rsid w:val="00C81EC6"/>
    <w:rsid w:val="00C820BE"/>
    <w:rsid w:val="00C832FC"/>
    <w:rsid w:val="00C83AB3"/>
    <w:rsid w:val="00C84325"/>
    <w:rsid w:val="00C910C6"/>
    <w:rsid w:val="00C928B3"/>
    <w:rsid w:val="00C94D6F"/>
    <w:rsid w:val="00C95725"/>
    <w:rsid w:val="00C96BB7"/>
    <w:rsid w:val="00C97516"/>
    <w:rsid w:val="00CA1C82"/>
    <w:rsid w:val="00CA1EE3"/>
    <w:rsid w:val="00CA6FF6"/>
    <w:rsid w:val="00CA72C9"/>
    <w:rsid w:val="00CB2022"/>
    <w:rsid w:val="00CB2604"/>
    <w:rsid w:val="00CB45F5"/>
    <w:rsid w:val="00CB5960"/>
    <w:rsid w:val="00CB7349"/>
    <w:rsid w:val="00CB7787"/>
    <w:rsid w:val="00CB7A95"/>
    <w:rsid w:val="00CC2124"/>
    <w:rsid w:val="00CC4E51"/>
    <w:rsid w:val="00CC677C"/>
    <w:rsid w:val="00CC6BAF"/>
    <w:rsid w:val="00CD11E3"/>
    <w:rsid w:val="00CD1837"/>
    <w:rsid w:val="00CD53DB"/>
    <w:rsid w:val="00CE1E86"/>
    <w:rsid w:val="00CE3F59"/>
    <w:rsid w:val="00CE65F0"/>
    <w:rsid w:val="00CF08A5"/>
    <w:rsid w:val="00CF0F9F"/>
    <w:rsid w:val="00CF506C"/>
    <w:rsid w:val="00CF5913"/>
    <w:rsid w:val="00CF681B"/>
    <w:rsid w:val="00CF7EF9"/>
    <w:rsid w:val="00D01BC9"/>
    <w:rsid w:val="00D03132"/>
    <w:rsid w:val="00D031C4"/>
    <w:rsid w:val="00D05447"/>
    <w:rsid w:val="00D054B5"/>
    <w:rsid w:val="00D067B4"/>
    <w:rsid w:val="00D07EA6"/>
    <w:rsid w:val="00D10F7C"/>
    <w:rsid w:val="00D11B7C"/>
    <w:rsid w:val="00D1229A"/>
    <w:rsid w:val="00D13EFE"/>
    <w:rsid w:val="00D144C2"/>
    <w:rsid w:val="00D15B3F"/>
    <w:rsid w:val="00D21488"/>
    <w:rsid w:val="00D2253C"/>
    <w:rsid w:val="00D22A6F"/>
    <w:rsid w:val="00D2431D"/>
    <w:rsid w:val="00D26C56"/>
    <w:rsid w:val="00D2700E"/>
    <w:rsid w:val="00D32C5C"/>
    <w:rsid w:val="00D41139"/>
    <w:rsid w:val="00D41A59"/>
    <w:rsid w:val="00D44709"/>
    <w:rsid w:val="00D45100"/>
    <w:rsid w:val="00D45A72"/>
    <w:rsid w:val="00D475C2"/>
    <w:rsid w:val="00D51055"/>
    <w:rsid w:val="00D5579B"/>
    <w:rsid w:val="00D55D63"/>
    <w:rsid w:val="00D568E5"/>
    <w:rsid w:val="00D56ABB"/>
    <w:rsid w:val="00D60D6D"/>
    <w:rsid w:val="00D61289"/>
    <w:rsid w:val="00D630EB"/>
    <w:rsid w:val="00D65342"/>
    <w:rsid w:val="00D6699C"/>
    <w:rsid w:val="00D74B93"/>
    <w:rsid w:val="00D750B2"/>
    <w:rsid w:val="00D765BD"/>
    <w:rsid w:val="00D81362"/>
    <w:rsid w:val="00D8301C"/>
    <w:rsid w:val="00D84A12"/>
    <w:rsid w:val="00D84CAB"/>
    <w:rsid w:val="00D84E9F"/>
    <w:rsid w:val="00D85BEA"/>
    <w:rsid w:val="00D869B8"/>
    <w:rsid w:val="00D87CC6"/>
    <w:rsid w:val="00D93F01"/>
    <w:rsid w:val="00D9590F"/>
    <w:rsid w:val="00D961D5"/>
    <w:rsid w:val="00D970CF"/>
    <w:rsid w:val="00D97A27"/>
    <w:rsid w:val="00DA069C"/>
    <w:rsid w:val="00DA0D9B"/>
    <w:rsid w:val="00DA2804"/>
    <w:rsid w:val="00DA4716"/>
    <w:rsid w:val="00DA53C2"/>
    <w:rsid w:val="00DA76CE"/>
    <w:rsid w:val="00DB6462"/>
    <w:rsid w:val="00DB6EE6"/>
    <w:rsid w:val="00DC0033"/>
    <w:rsid w:val="00DC1193"/>
    <w:rsid w:val="00DC5038"/>
    <w:rsid w:val="00DD052C"/>
    <w:rsid w:val="00DD0EB2"/>
    <w:rsid w:val="00DD12F0"/>
    <w:rsid w:val="00DD4B56"/>
    <w:rsid w:val="00DD6B14"/>
    <w:rsid w:val="00DD7DC7"/>
    <w:rsid w:val="00DE1656"/>
    <w:rsid w:val="00DE4289"/>
    <w:rsid w:val="00DE4467"/>
    <w:rsid w:val="00DE4F2F"/>
    <w:rsid w:val="00DE619B"/>
    <w:rsid w:val="00DE6942"/>
    <w:rsid w:val="00DF0920"/>
    <w:rsid w:val="00DF2D4A"/>
    <w:rsid w:val="00DF34A6"/>
    <w:rsid w:val="00DF4DC5"/>
    <w:rsid w:val="00DF6301"/>
    <w:rsid w:val="00DF6E3C"/>
    <w:rsid w:val="00DF7DEE"/>
    <w:rsid w:val="00E0268A"/>
    <w:rsid w:val="00E0310C"/>
    <w:rsid w:val="00E048F3"/>
    <w:rsid w:val="00E049E1"/>
    <w:rsid w:val="00E04CC9"/>
    <w:rsid w:val="00E04DB7"/>
    <w:rsid w:val="00E05E4E"/>
    <w:rsid w:val="00E12618"/>
    <w:rsid w:val="00E13396"/>
    <w:rsid w:val="00E17EC9"/>
    <w:rsid w:val="00E20729"/>
    <w:rsid w:val="00E21E26"/>
    <w:rsid w:val="00E231D8"/>
    <w:rsid w:val="00E2401E"/>
    <w:rsid w:val="00E2488D"/>
    <w:rsid w:val="00E248BA"/>
    <w:rsid w:val="00E26BFB"/>
    <w:rsid w:val="00E332FB"/>
    <w:rsid w:val="00E3529B"/>
    <w:rsid w:val="00E36FB5"/>
    <w:rsid w:val="00E3788B"/>
    <w:rsid w:val="00E40C73"/>
    <w:rsid w:val="00E41DAF"/>
    <w:rsid w:val="00E428D0"/>
    <w:rsid w:val="00E44145"/>
    <w:rsid w:val="00E47609"/>
    <w:rsid w:val="00E47806"/>
    <w:rsid w:val="00E60E92"/>
    <w:rsid w:val="00E61EE8"/>
    <w:rsid w:val="00E62C20"/>
    <w:rsid w:val="00E647A7"/>
    <w:rsid w:val="00E64F8A"/>
    <w:rsid w:val="00E66D9D"/>
    <w:rsid w:val="00E70550"/>
    <w:rsid w:val="00E71F95"/>
    <w:rsid w:val="00E7369C"/>
    <w:rsid w:val="00E81110"/>
    <w:rsid w:val="00E82FF0"/>
    <w:rsid w:val="00E84973"/>
    <w:rsid w:val="00E86148"/>
    <w:rsid w:val="00E87278"/>
    <w:rsid w:val="00E90A18"/>
    <w:rsid w:val="00E91F6E"/>
    <w:rsid w:val="00E94866"/>
    <w:rsid w:val="00EA0D2D"/>
    <w:rsid w:val="00EA1490"/>
    <w:rsid w:val="00EA166C"/>
    <w:rsid w:val="00EA376A"/>
    <w:rsid w:val="00EA54A9"/>
    <w:rsid w:val="00EA65BE"/>
    <w:rsid w:val="00EA7CDA"/>
    <w:rsid w:val="00EA7E65"/>
    <w:rsid w:val="00EB1FAF"/>
    <w:rsid w:val="00EB29C4"/>
    <w:rsid w:val="00EB2D6E"/>
    <w:rsid w:val="00EB31F5"/>
    <w:rsid w:val="00EB3A09"/>
    <w:rsid w:val="00EB6768"/>
    <w:rsid w:val="00EB700D"/>
    <w:rsid w:val="00EB7D9E"/>
    <w:rsid w:val="00EC0029"/>
    <w:rsid w:val="00EC2E98"/>
    <w:rsid w:val="00EC465C"/>
    <w:rsid w:val="00EC5463"/>
    <w:rsid w:val="00EC55FC"/>
    <w:rsid w:val="00ED2AA3"/>
    <w:rsid w:val="00ED5212"/>
    <w:rsid w:val="00ED5440"/>
    <w:rsid w:val="00ED71C4"/>
    <w:rsid w:val="00EE05B8"/>
    <w:rsid w:val="00EE0673"/>
    <w:rsid w:val="00EE15E3"/>
    <w:rsid w:val="00EE57EE"/>
    <w:rsid w:val="00F01F33"/>
    <w:rsid w:val="00F02899"/>
    <w:rsid w:val="00F03BC2"/>
    <w:rsid w:val="00F040E7"/>
    <w:rsid w:val="00F059D6"/>
    <w:rsid w:val="00F062B8"/>
    <w:rsid w:val="00F06CDA"/>
    <w:rsid w:val="00F10BCA"/>
    <w:rsid w:val="00F136F0"/>
    <w:rsid w:val="00F137F5"/>
    <w:rsid w:val="00F20D20"/>
    <w:rsid w:val="00F2119F"/>
    <w:rsid w:val="00F22BAF"/>
    <w:rsid w:val="00F22D7B"/>
    <w:rsid w:val="00F24616"/>
    <w:rsid w:val="00F25CB3"/>
    <w:rsid w:val="00F25F49"/>
    <w:rsid w:val="00F260BB"/>
    <w:rsid w:val="00F26290"/>
    <w:rsid w:val="00F27338"/>
    <w:rsid w:val="00F31B81"/>
    <w:rsid w:val="00F34B97"/>
    <w:rsid w:val="00F352E5"/>
    <w:rsid w:val="00F36CFE"/>
    <w:rsid w:val="00F37F3B"/>
    <w:rsid w:val="00F422C0"/>
    <w:rsid w:val="00F426D7"/>
    <w:rsid w:val="00F43E01"/>
    <w:rsid w:val="00F45FD2"/>
    <w:rsid w:val="00F46C8D"/>
    <w:rsid w:val="00F50525"/>
    <w:rsid w:val="00F50579"/>
    <w:rsid w:val="00F512E4"/>
    <w:rsid w:val="00F516F1"/>
    <w:rsid w:val="00F525C6"/>
    <w:rsid w:val="00F5365D"/>
    <w:rsid w:val="00F56497"/>
    <w:rsid w:val="00F5657D"/>
    <w:rsid w:val="00F57927"/>
    <w:rsid w:val="00F61A1B"/>
    <w:rsid w:val="00F6311B"/>
    <w:rsid w:val="00F66CE7"/>
    <w:rsid w:val="00F67E57"/>
    <w:rsid w:val="00F70928"/>
    <w:rsid w:val="00F72C9C"/>
    <w:rsid w:val="00F7305F"/>
    <w:rsid w:val="00F7310E"/>
    <w:rsid w:val="00F73854"/>
    <w:rsid w:val="00F73AD7"/>
    <w:rsid w:val="00F7477D"/>
    <w:rsid w:val="00F755AA"/>
    <w:rsid w:val="00F81928"/>
    <w:rsid w:val="00F82F7E"/>
    <w:rsid w:val="00F847AE"/>
    <w:rsid w:val="00F85C6A"/>
    <w:rsid w:val="00F86532"/>
    <w:rsid w:val="00F906C6"/>
    <w:rsid w:val="00F9321F"/>
    <w:rsid w:val="00F9445C"/>
    <w:rsid w:val="00F95A1C"/>
    <w:rsid w:val="00F96DC0"/>
    <w:rsid w:val="00F97471"/>
    <w:rsid w:val="00FA10CC"/>
    <w:rsid w:val="00FA1D31"/>
    <w:rsid w:val="00FA24D9"/>
    <w:rsid w:val="00FA28AB"/>
    <w:rsid w:val="00FA3333"/>
    <w:rsid w:val="00FA4F80"/>
    <w:rsid w:val="00FA52E5"/>
    <w:rsid w:val="00FA5774"/>
    <w:rsid w:val="00FA69DF"/>
    <w:rsid w:val="00FA7860"/>
    <w:rsid w:val="00FA7AD4"/>
    <w:rsid w:val="00FB03CC"/>
    <w:rsid w:val="00FB59F4"/>
    <w:rsid w:val="00FB7170"/>
    <w:rsid w:val="00FB7A5F"/>
    <w:rsid w:val="00FC16B0"/>
    <w:rsid w:val="00FC4A8F"/>
    <w:rsid w:val="00FC5199"/>
    <w:rsid w:val="00FC64B1"/>
    <w:rsid w:val="00FC68B4"/>
    <w:rsid w:val="00FC797A"/>
    <w:rsid w:val="00FD1292"/>
    <w:rsid w:val="00FD1E19"/>
    <w:rsid w:val="00FD359E"/>
    <w:rsid w:val="00FD3ADA"/>
    <w:rsid w:val="00FD3BFF"/>
    <w:rsid w:val="00FD58C2"/>
    <w:rsid w:val="00FD7638"/>
    <w:rsid w:val="00FD775A"/>
    <w:rsid w:val="00FE0157"/>
    <w:rsid w:val="00FE073A"/>
    <w:rsid w:val="00FE114A"/>
    <w:rsid w:val="00FE1202"/>
    <w:rsid w:val="00FE1419"/>
    <w:rsid w:val="00FE36BC"/>
    <w:rsid w:val="00FE4D27"/>
    <w:rsid w:val="00FE6F41"/>
    <w:rsid w:val="00FF2727"/>
    <w:rsid w:val="00FF47DB"/>
    <w:rsid w:val="00FF66FF"/>
    <w:rsid w:val="00FF72B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056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E73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C059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266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35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E7356"/>
    <w:pPr>
      <w:outlineLvl w:val="9"/>
    </w:pPr>
    <w:rPr>
      <w:lang w:val="en-US"/>
    </w:rPr>
  </w:style>
  <w:style w:type="table" w:customStyle="1" w:styleId="UETableStyle">
    <w:name w:val="UE Table Style"/>
    <w:basedOn w:val="TableNormal"/>
    <w:uiPriority w:val="99"/>
    <w:qFormat/>
    <w:rsid w:val="00BE7356"/>
    <w:pPr>
      <w:spacing w:before="60" w:after="60" w:line="200" w:lineRule="atLeast"/>
    </w:pPr>
    <w:rPr>
      <w:rFonts w:eastAsia="Arial" w:cs="Times New Roman"/>
      <w:sz w:val="17"/>
      <w:szCs w:val="20"/>
      <w:lang w:eastAsia="en-AU"/>
    </w:rPr>
    <w:tblPr>
      <w:tblInd w:w="57" w:type="dxa"/>
      <w:tblBorders>
        <w:top w:val="single" w:sz="4" w:space="0" w:color="000000" w:themeColor="text1"/>
        <w:left w:val="single" w:sz="4" w:space="0" w:color="999999" w:themeColor="text1" w:themeTint="66"/>
        <w:bottom w:val="single" w:sz="4" w:space="0" w:color="000000" w:themeColor="text1"/>
        <w:right w:val="single" w:sz="4" w:space="0" w:color="999999" w:themeColor="text1" w:themeTint="66"/>
        <w:insideH w:val="single" w:sz="4" w:space="0" w:color="000000" w:themeColor="text1"/>
        <w:insideV w:val="single" w:sz="4" w:space="0" w:color="999999" w:themeColor="text1" w:themeTint="66"/>
      </w:tblBorders>
      <w:tblCellMar>
        <w:top w:w="57" w:type="dxa"/>
        <w:left w:w="57" w:type="dxa"/>
        <w:bottom w:w="57" w:type="dxa"/>
        <w:right w:w="57" w:type="dxa"/>
      </w:tblCellMar>
    </w:tblPr>
    <w:tcPr>
      <w:shd w:val="clear" w:color="auto" w:fill="auto"/>
    </w:tcPr>
    <w:tblStylePr w:type="firstRow">
      <w:rPr>
        <w:b w:val="0"/>
        <w:color w:val="A5A5A5" w:themeColor="accent3"/>
      </w:rPr>
      <w:tblPr/>
      <w:tcPr>
        <w:tcBorders>
          <w:top w:val="nil"/>
          <w:left w:val="single" w:sz="4" w:space="0" w:color="000000" w:themeColor="text1"/>
          <w:bottom w:val="nil"/>
          <w:right w:val="single" w:sz="4" w:space="0" w:color="000000" w:themeColor="text1"/>
          <w:insideH w:val="nil"/>
          <w:insideV w:val="single" w:sz="4" w:space="0" w:color="FFFFFF"/>
          <w:tl2br w:val="nil"/>
          <w:tr2bl w:val="nil"/>
        </w:tcBorders>
        <w:shd w:val="clear" w:color="auto" w:fill="000000" w:themeFill="text1"/>
      </w:tcPr>
    </w:tblStylePr>
    <w:tblStylePr w:type="firstCol">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CCCCCC" w:themeFill="text1" w:themeFillTint="33"/>
      </w:tcPr>
    </w:tblStylePr>
  </w:style>
  <w:style w:type="character" w:customStyle="1" w:styleId="Heading2Char">
    <w:name w:val="Heading 2 Char"/>
    <w:basedOn w:val="DefaultParagraphFont"/>
    <w:link w:val="Heading2"/>
    <w:uiPriority w:val="9"/>
    <w:semiHidden/>
    <w:rsid w:val="00C059E5"/>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C059E5"/>
    <w:pPr>
      <w:spacing w:after="100"/>
    </w:pPr>
    <w:rPr>
      <w:rFonts w:ascii="Tahoma" w:hAnsi="Tahoma"/>
      <w:color w:val="003C71"/>
    </w:rPr>
  </w:style>
  <w:style w:type="paragraph" w:styleId="TOC2">
    <w:name w:val="toc 2"/>
    <w:basedOn w:val="Normal"/>
    <w:next w:val="Normal"/>
    <w:autoRedefine/>
    <w:uiPriority w:val="39"/>
    <w:unhideWhenUsed/>
    <w:rsid w:val="00C059E5"/>
    <w:pPr>
      <w:spacing w:after="100"/>
      <w:ind w:left="220"/>
    </w:pPr>
  </w:style>
  <w:style w:type="character" w:styleId="Hyperlink">
    <w:name w:val="Hyperlink"/>
    <w:basedOn w:val="DefaultParagraphFont"/>
    <w:uiPriority w:val="99"/>
    <w:unhideWhenUsed/>
    <w:rsid w:val="00C059E5"/>
    <w:rPr>
      <w:color w:val="0563C1" w:themeColor="hyperlink"/>
      <w:u w:val="single"/>
    </w:rPr>
  </w:style>
  <w:style w:type="character" w:customStyle="1" w:styleId="Heading3Char">
    <w:name w:val="Heading 3 Char"/>
    <w:basedOn w:val="DefaultParagraphFont"/>
    <w:link w:val="Heading3"/>
    <w:uiPriority w:val="9"/>
    <w:semiHidden/>
    <w:rsid w:val="00326697"/>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E1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A2F"/>
  </w:style>
  <w:style w:type="paragraph" w:styleId="Footer">
    <w:name w:val="footer"/>
    <w:basedOn w:val="Normal"/>
    <w:link w:val="FooterChar"/>
    <w:uiPriority w:val="99"/>
    <w:unhideWhenUsed/>
    <w:rsid w:val="009E1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A2F"/>
  </w:style>
  <w:style w:type="character" w:styleId="CommentReference">
    <w:name w:val="annotation reference"/>
    <w:basedOn w:val="DefaultParagraphFont"/>
    <w:uiPriority w:val="99"/>
    <w:semiHidden/>
    <w:unhideWhenUsed/>
    <w:rsid w:val="00B34805"/>
    <w:rPr>
      <w:sz w:val="16"/>
      <w:szCs w:val="16"/>
    </w:rPr>
  </w:style>
  <w:style w:type="paragraph" w:styleId="CommentText">
    <w:name w:val="annotation text"/>
    <w:basedOn w:val="Normal"/>
    <w:link w:val="CommentTextChar"/>
    <w:uiPriority w:val="99"/>
    <w:unhideWhenUsed/>
    <w:rsid w:val="00B34805"/>
    <w:pPr>
      <w:spacing w:line="240" w:lineRule="auto"/>
    </w:pPr>
    <w:rPr>
      <w:sz w:val="20"/>
      <w:szCs w:val="20"/>
    </w:rPr>
  </w:style>
  <w:style w:type="character" w:customStyle="1" w:styleId="CommentTextChar">
    <w:name w:val="Comment Text Char"/>
    <w:basedOn w:val="DefaultParagraphFont"/>
    <w:link w:val="CommentText"/>
    <w:uiPriority w:val="99"/>
    <w:rsid w:val="00B34805"/>
    <w:rPr>
      <w:sz w:val="20"/>
      <w:szCs w:val="20"/>
    </w:rPr>
  </w:style>
  <w:style w:type="paragraph" w:styleId="CommentSubject">
    <w:name w:val="annotation subject"/>
    <w:basedOn w:val="CommentText"/>
    <w:next w:val="CommentText"/>
    <w:link w:val="CommentSubjectChar"/>
    <w:uiPriority w:val="99"/>
    <w:semiHidden/>
    <w:unhideWhenUsed/>
    <w:rsid w:val="00B34805"/>
    <w:rPr>
      <w:b/>
      <w:bCs/>
    </w:rPr>
  </w:style>
  <w:style w:type="character" w:customStyle="1" w:styleId="CommentSubjectChar">
    <w:name w:val="Comment Subject Char"/>
    <w:basedOn w:val="CommentTextChar"/>
    <w:link w:val="CommentSubject"/>
    <w:uiPriority w:val="99"/>
    <w:semiHidden/>
    <w:rsid w:val="00B34805"/>
    <w:rPr>
      <w:b/>
      <w:bCs/>
      <w:sz w:val="20"/>
      <w:szCs w:val="20"/>
    </w:rPr>
  </w:style>
  <w:style w:type="paragraph" w:styleId="BalloonText">
    <w:name w:val="Balloon Text"/>
    <w:basedOn w:val="Normal"/>
    <w:link w:val="BalloonTextChar"/>
    <w:uiPriority w:val="99"/>
    <w:semiHidden/>
    <w:unhideWhenUsed/>
    <w:rsid w:val="00B34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805"/>
    <w:rPr>
      <w:rFonts w:ascii="Segoe UI" w:hAnsi="Segoe UI" w:cs="Segoe UI"/>
      <w:sz w:val="18"/>
      <w:szCs w:val="18"/>
    </w:rPr>
  </w:style>
  <w:style w:type="paragraph" w:styleId="ListParagraph">
    <w:name w:val="List Paragraph"/>
    <w:aliases w:val="UE List Paragraph"/>
    <w:basedOn w:val="Normal"/>
    <w:link w:val="ListParagraphChar"/>
    <w:uiPriority w:val="34"/>
    <w:qFormat/>
    <w:rsid w:val="005E7C37"/>
    <w:pPr>
      <w:ind w:left="720"/>
      <w:contextualSpacing/>
    </w:pPr>
  </w:style>
  <w:style w:type="paragraph" w:customStyle="1" w:styleId="Numberlist2">
    <w:name w:val="Number list 2"/>
    <w:basedOn w:val="Normal"/>
    <w:qFormat/>
    <w:rsid w:val="00225BF0"/>
    <w:pPr>
      <w:tabs>
        <w:tab w:val="num" w:pos="1135"/>
      </w:tabs>
      <w:spacing w:after="120" w:line="288" w:lineRule="auto"/>
      <w:ind w:left="1135" w:hanging="567"/>
      <w:jc w:val="both"/>
      <w:outlineLvl w:val="1"/>
    </w:pPr>
    <w:rPr>
      <w:rFonts w:ascii="Arial" w:hAnsi="Arial"/>
      <w:bCs/>
      <w:szCs w:val="26"/>
      <w:lang w:eastAsia="en-AU"/>
    </w:rPr>
  </w:style>
  <w:style w:type="paragraph" w:customStyle="1" w:styleId="Numberlist3">
    <w:name w:val="Number list 3"/>
    <w:basedOn w:val="Numberlist2"/>
    <w:qFormat/>
    <w:rsid w:val="00225BF0"/>
    <w:pPr>
      <w:tabs>
        <w:tab w:val="clear" w:pos="1135"/>
        <w:tab w:val="num" w:pos="1701"/>
      </w:tabs>
      <w:ind w:left="1701"/>
    </w:pPr>
  </w:style>
  <w:style w:type="paragraph" w:customStyle="1" w:styleId="Numberlist4">
    <w:name w:val="Number list 4"/>
    <w:basedOn w:val="Numberlist3"/>
    <w:qFormat/>
    <w:rsid w:val="00225BF0"/>
    <w:pPr>
      <w:tabs>
        <w:tab w:val="clear" w:pos="1701"/>
        <w:tab w:val="num" w:pos="2268"/>
      </w:tabs>
      <w:ind w:left="2268"/>
    </w:pPr>
  </w:style>
  <w:style w:type="paragraph" w:styleId="FootnoteText">
    <w:name w:val="footnote text"/>
    <w:basedOn w:val="Normal"/>
    <w:link w:val="FootnoteTextChar"/>
    <w:uiPriority w:val="99"/>
    <w:semiHidden/>
    <w:unhideWhenUsed/>
    <w:rsid w:val="00336D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D54"/>
    <w:rPr>
      <w:sz w:val="20"/>
      <w:szCs w:val="20"/>
    </w:rPr>
  </w:style>
  <w:style w:type="character" w:styleId="FootnoteReference">
    <w:name w:val="footnote reference"/>
    <w:basedOn w:val="DefaultParagraphFont"/>
    <w:uiPriority w:val="99"/>
    <w:semiHidden/>
    <w:unhideWhenUsed/>
    <w:rsid w:val="00336D54"/>
    <w:rPr>
      <w:vertAlign w:val="superscript"/>
    </w:rPr>
  </w:style>
  <w:style w:type="character" w:customStyle="1" w:styleId="ListParagraphChar">
    <w:name w:val="List Paragraph Char"/>
    <w:aliases w:val="UE List Paragraph Char"/>
    <w:basedOn w:val="DefaultParagraphFont"/>
    <w:link w:val="ListParagraph"/>
    <w:uiPriority w:val="34"/>
    <w:rsid w:val="007E7EE2"/>
  </w:style>
  <w:style w:type="table" w:styleId="TableGrid">
    <w:name w:val="Table Grid"/>
    <w:basedOn w:val="TableNormal"/>
    <w:uiPriority w:val="39"/>
    <w:rsid w:val="008D7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411"/>
    <w:pPr>
      <w:spacing w:after="0" w:line="240" w:lineRule="auto"/>
    </w:pPr>
  </w:style>
  <w:style w:type="character" w:styleId="FollowedHyperlink">
    <w:name w:val="FollowedHyperlink"/>
    <w:basedOn w:val="DefaultParagraphFont"/>
    <w:uiPriority w:val="99"/>
    <w:semiHidden/>
    <w:unhideWhenUsed/>
    <w:rsid w:val="00C56B3C"/>
    <w:rPr>
      <w:color w:val="954F72" w:themeColor="followedHyperlink"/>
      <w:u w:val="single"/>
    </w:rPr>
  </w:style>
  <w:style w:type="paragraph" w:customStyle="1" w:styleId="Default">
    <w:name w:val="Default"/>
    <w:rsid w:val="000C3BB5"/>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rsid w:val="006B141D"/>
    <w:pPr>
      <w:spacing w:before="120" w:after="120" w:line="260" w:lineRule="atLeast"/>
    </w:pPr>
    <w:rPr>
      <w:rFonts w:ascii="Tahoma" w:hAnsi="Tahoma"/>
      <w:lang w:val="en-US"/>
    </w:rPr>
  </w:style>
  <w:style w:type="character" w:customStyle="1" w:styleId="BodyTextChar">
    <w:name w:val="Body Text Char"/>
    <w:basedOn w:val="DefaultParagraphFont"/>
    <w:link w:val="BodyText"/>
    <w:uiPriority w:val="1"/>
    <w:rsid w:val="006B141D"/>
    <w:rPr>
      <w:rFonts w:ascii="Tahoma" w:hAnsi="Tahoma"/>
      <w:lang w:val="en-US"/>
    </w:rPr>
  </w:style>
  <w:style w:type="table" w:customStyle="1" w:styleId="TableGrid1">
    <w:name w:val="Table Grid1"/>
    <w:basedOn w:val="TableNormal"/>
    <w:next w:val="TableGrid"/>
    <w:uiPriority w:val="39"/>
    <w:rsid w:val="00B06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GNTabledefault">
    <w:name w:val="AGN Table (default)"/>
    <w:basedOn w:val="TableNormal"/>
    <w:uiPriority w:val="99"/>
    <w:rsid w:val="00425CB9"/>
    <w:pPr>
      <w:spacing w:before="40" w:after="0" w:line="240" w:lineRule="auto"/>
    </w:pPr>
    <w:rPr>
      <w:rFonts w:ascii="Tahoma" w:hAnsi="Tahoma"/>
      <w:sz w:val="18"/>
      <w:lang w:val="en-US"/>
    </w:rPr>
    <w:tblPr>
      <w:tblBorders>
        <w:bottom w:val="single" w:sz="4" w:space="0" w:color="00A3E0"/>
        <w:insideH w:val="single" w:sz="4" w:space="0" w:color="00A3E0"/>
      </w:tblBorders>
    </w:tblPr>
    <w:tblStylePr w:type="firstRow">
      <w:rPr>
        <w:rFonts w:ascii="Tahoma" w:hAnsi="Tahoma"/>
        <w:b/>
        <w:color w:val="auto"/>
        <w:sz w:val="18"/>
      </w:rPr>
      <w:tblPr/>
      <w:tcPr>
        <w:tcBorders>
          <w:bottom w:val="single" w:sz="4" w:space="0" w:color="003C71"/>
        </w:tcBorders>
        <w:shd w:val="clear" w:color="auto" w:fill="003C71"/>
      </w:tcPr>
    </w:tblStylePr>
    <w:tblStylePr w:type="lastRow">
      <w:rPr>
        <w:rFonts w:ascii="Tahoma" w:hAnsi="Tahoma"/>
        <w:b/>
        <w:color w:val="FFFFFF"/>
        <w:sz w:val="18"/>
      </w:rPr>
      <w:tblPr/>
      <w:tcPr>
        <w:shd w:val="clear" w:color="auto" w:fill="00A3E0"/>
      </w:tcPr>
    </w:tblStylePr>
  </w:style>
  <w:style w:type="table" w:customStyle="1" w:styleId="AGNTabledefault1">
    <w:name w:val="AGN Table (default)1"/>
    <w:basedOn w:val="TableNormal"/>
    <w:uiPriority w:val="99"/>
    <w:rsid w:val="00425CB9"/>
    <w:pPr>
      <w:spacing w:before="40" w:after="0" w:line="240" w:lineRule="auto"/>
    </w:pPr>
    <w:rPr>
      <w:rFonts w:ascii="Tahoma" w:hAnsi="Tahoma"/>
      <w:sz w:val="18"/>
      <w:lang w:val="en-US"/>
    </w:rPr>
    <w:tblPr>
      <w:tblBorders>
        <w:bottom w:val="single" w:sz="4" w:space="0" w:color="00A3E0"/>
        <w:insideH w:val="single" w:sz="4" w:space="0" w:color="00A3E0"/>
      </w:tblBorders>
    </w:tblPr>
    <w:tblStylePr w:type="firstRow">
      <w:rPr>
        <w:rFonts w:ascii="Tahoma" w:hAnsi="Tahoma"/>
        <w:b/>
        <w:color w:val="auto"/>
        <w:sz w:val="18"/>
      </w:rPr>
      <w:tblPr/>
      <w:tcPr>
        <w:tcBorders>
          <w:bottom w:val="single" w:sz="4" w:space="0" w:color="003C71"/>
        </w:tcBorders>
        <w:shd w:val="clear" w:color="auto" w:fill="003C71"/>
      </w:tcPr>
    </w:tblStylePr>
    <w:tblStylePr w:type="lastRow">
      <w:rPr>
        <w:rFonts w:ascii="Tahoma" w:hAnsi="Tahoma"/>
        <w:b/>
        <w:color w:val="FFFFFF"/>
        <w:sz w:val="18"/>
      </w:rPr>
      <w:tblPr/>
      <w:tcPr>
        <w:shd w:val="clear" w:color="auto" w:fill="00A3E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87360">
      <w:bodyDiv w:val="1"/>
      <w:marLeft w:val="0"/>
      <w:marRight w:val="0"/>
      <w:marTop w:val="0"/>
      <w:marBottom w:val="0"/>
      <w:divBdr>
        <w:top w:val="none" w:sz="0" w:space="0" w:color="auto"/>
        <w:left w:val="none" w:sz="0" w:space="0" w:color="auto"/>
        <w:bottom w:val="none" w:sz="0" w:space="0" w:color="auto"/>
        <w:right w:val="none" w:sz="0" w:space="0" w:color="auto"/>
      </w:divBdr>
    </w:div>
    <w:div w:id="307978409">
      <w:bodyDiv w:val="1"/>
      <w:marLeft w:val="0"/>
      <w:marRight w:val="0"/>
      <w:marTop w:val="0"/>
      <w:marBottom w:val="0"/>
      <w:divBdr>
        <w:top w:val="none" w:sz="0" w:space="0" w:color="auto"/>
        <w:left w:val="none" w:sz="0" w:space="0" w:color="auto"/>
        <w:bottom w:val="none" w:sz="0" w:space="0" w:color="auto"/>
        <w:right w:val="none" w:sz="0" w:space="0" w:color="auto"/>
      </w:divBdr>
    </w:div>
    <w:div w:id="637760068">
      <w:bodyDiv w:val="1"/>
      <w:marLeft w:val="0"/>
      <w:marRight w:val="0"/>
      <w:marTop w:val="0"/>
      <w:marBottom w:val="0"/>
      <w:divBdr>
        <w:top w:val="none" w:sz="0" w:space="0" w:color="auto"/>
        <w:left w:val="none" w:sz="0" w:space="0" w:color="auto"/>
        <w:bottom w:val="none" w:sz="0" w:space="0" w:color="auto"/>
        <w:right w:val="none" w:sz="0" w:space="0" w:color="auto"/>
      </w:divBdr>
    </w:div>
    <w:div w:id="746880557">
      <w:bodyDiv w:val="1"/>
      <w:marLeft w:val="0"/>
      <w:marRight w:val="0"/>
      <w:marTop w:val="0"/>
      <w:marBottom w:val="0"/>
      <w:divBdr>
        <w:top w:val="none" w:sz="0" w:space="0" w:color="auto"/>
        <w:left w:val="none" w:sz="0" w:space="0" w:color="auto"/>
        <w:bottom w:val="none" w:sz="0" w:space="0" w:color="auto"/>
        <w:right w:val="none" w:sz="0" w:space="0" w:color="auto"/>
      </w:divBdr>
    </w:div>
    <w:div w:id="1060902870">
      <w:bodyDiv w:val="1"/>
      <w:marLeft w:val="0"/>
      <w:marRight w:val="0"/>
      <w:marTop w:val="0"/>
      <w:marBottom w:val="0"/>
      <w:divBdr>
        <w:top w:val="none" w:sz="0" w:space="0" w:color="auto"/>
        <w:left w:val="none" w:sz="0" w:space="0" w:color="auto"/>
        <w:bottom w:val="none" w:sz="0" w:space="0" w:color="auto"/>
        <w:right w:val="none" w:sz="0" w:space="0" w:color="auto"/>
      </w:divBdr>
    </w:div>
    <w:div w:id="1706638954">
      <w:bodyDiv w:val="1"/>
      <w:marLeft w:val="0"/>
      <w:marRight w:val="0"/>
      <w:marTop w:val="0"/>
      <w:marBottom w:val="0"/>
      <w:divBdr>
        <w:top w:val="none" w:sz="0" w:space="0" w:color="auto"/>
        <w:left w:val="none" w:sz="0" w:space="0" w:color="auto"/>
        <w:bottom w:val="none" w:sz="0" w:space="0" w:color="auto"/>
        <w:right w:val="none" w:sz="0" w:space="0" w:color="auto"/>
      </w:divBdr>
    </w:div>
    <w:div w:id="19724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cid:image005.png@01D6BCCB.89C8CEB0" TargetMode="Externa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1.png@01D6BCCB.89C8CEB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gif"/><Relationship Id="rId22"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6D5E7-3046-4C2F-8178-DF372D0F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32362</Words>
  <Characters>184467</Characters>
  <Application>Microsoft Office Word</Application>
  <DocSecurity>0</DocSecurity>
  <Lines>1537</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2021-05-10T04:47:00Z</dcterms:created>
  <dcterms:modified xsi:type="dcterms:W3CDTF">2021-05-10T04:47:00Z</dcterms:modified>
</cp:coreProperties>
</file>