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41" w:rsidRDefault="004A7041" w:rsidP="005813A9"/>
    <w:tbl>
      <w:tblPr>
        <w:tblW w:w="4536" w:type="dxa"/>
        <w:tblInd w:w="8" w:type="dxa"/>
        <w:tblLayout w:type="fixed"/>
        <w:tblCellMar>
          <w:left w:w="0" w:type="dxa"/>
          <w:right w:w="0" w:type="dxa"/>
        </w:tblCellMar>
        <w:tblLook w:val="0000"/>
      </w:tblPr>
      <w:tblGrid>
        <w:gridCol w:w="4536"/>
      </w:tblGrid>
      <w:tr w:rsidR="005D42C8" w:rsidTr="00EC360E">
        <w:trPr>
          <w:cantSplit/>
        </w:trPr>
        <w:tc>
          <w:tcPr>
            <w:tcW w:w="4536" w:type="dxa"/>
          </w:tcPr>
          <w:p w:rsidR="005D42C8" w:rsidRPr="005D42C8" w:rsidRDefault="0007320D" w:rsidP="0007320D">
            <w:pPr>
              <w:pStyle w:val="zreportname"/>
              <w:framePr w:wrap="around"/>
            </w:pPr>
            <w:bookmarkStart w:id="0" w:name="ReportName1" w:colFirst="0" w:colLast="0"/>
            <w:r w:rsidRPr="0007320D">
              <w:rPr>
                <w:b/>
              </w:rPr>
              <w:t>APA GasNet Australia (Operations)</w:t>
            </w:r>
            <w:r>
              <w:rPr>
                <w:b/>
              </w:rPr>
              <w:t xml:space="preserve"> </w:t>
            </w:r>
            <w:r>
              <w:rPr>
                <w:b/>
              </w:rPr>
              <w:br/>
            </w:r>
            <w:r w:rsidRPr="0007320D">
              <w:rPr>
                <w:b/>
              </w:rPr>
              <w:t xml:space="preserve">Pty Ltd </w:t>
            </w:r>
          </w:p>
        </w:tc>
      </w:tr>
      <w:tr w:rsidR="005D42C8" w:rsidTr="00EC360E">
        <w:trPr>
          <w:cantSplit/>
        </w:trPr>
        <w:tc>
          <w:tcPr>
            <w:tcW w:w="4536" w:type="dxa"/>
          </w:tcPr>
          <w:p w:rsidR="005D42C8" w:rsidRDefault="005D42C8" w:rsidP="00544036">
            <w:pPr>
              <w:pStyle w:val="zreportname"/>
              <w:framePr w:wrap="around"/>
            </w:pPr>
            <w:bookmarkStart w:id="1" w:name="Subtitle" w:colFirst="0" w:colLast="0"/>
            <w:bookmarkEnd w:id="0"/>
            <w:r>
              <w:t>Access Arrangement</w:t>
            </w:r>
            <w:r w:rsidR="0047306B">
              <w:t xml:space="preserve"> Information</w:t>
            </w:r>
          </w:p>
        </w:tc>
      </w:tr>
      <w:tr w:rsidR="005D42C8" w:rsidTr="00EC360E">
        <w:trPr>
          <w:cantSplit/>
        </w:trPr>
        <w:tc>
          <w:tcPr>
            <w:tcW w:w="4536" w:type="dxa"/>
          </w:tcPr>
          <w:p w:rsidR="005D42C8" w:rsidRDefault="005D42C8" w:rsidP="00722873">
            <w:pPr>
              <w:pStyle w:val="zreportsubtitle"/>
              <w:framePr w:wrap="around"/>
            </w:pPr>
            <w:r>
              <w:t>Effective</w:t>
            </w:r>
            <w:r w:rsidR="0007320D">
              <w:br/>
              <w:t>01 J</w:t>
            </w:r>
            <w:r w:rsidR="00722873">
              <w:t>uly</w:t>
            </w:r>
            <w:r w:rsidR="0007320D">
              <w:t xml:space="preserve"> 2013</w:t>
            </w:r>
            <w:r>
              <w:t xml:space="preserve"> – 3</w:t>
            </w:r>
            <w:r w:rsidR="0007320D">
              <w:t>1 December 2017</w:t>
            </w:r>
          </w:p>
        </w:tc>
      </w:tr>
      <w:bookmarkEnd w:id="1"/>
    </w:tbl>
    <w:p w:rsidR="004A7041" w:rsidRDefault="004A7041"/>
    <w:tbl>
      <w:tblPr>
        <w:tblW w:w="0" w:type="auto"/>
        <w:tblLayout w:type="fixed"/>
        <w:tblCellMar>
          <w:left w:w="80" w:type="dxa"/>
          <w:right w:w="80" w:type="dxa"/>
        </w:tblCellMar>
        <w:tblLook w:val="0000"/>
      </w:tblPr>
      <w:tblGrid>
        <w:gridCol w:w="5320"/>
      </w:tblGrid>
      <w:tr w:rsidR="004A7041">
        <w:trPr>
          <w:cantSplit/>
        </w:trPr>
        <w:tc>
          <w:tcPr>
            <w:tcW w:w="5320" w:type="dxa"/>
          </w:tcPr>
          <w:p w:rsidR="004A7041" w:rsidRDefault="00544036">
            <w:pPr>
              <w:pStyle w:val="zreportaddinfo"/>
              <w:framePr w:wrap="around"/>
            </w:pPr>
            <w:bookmarkStart w:id="2" w:name="CoreService1" w:colFirst="0" w:colLast="0"/>
            <w:r>
              <w:t>April 2013</w:t>
            </w:r>
          </w:p>
        </w:tc>
      </w:tr>
      <w:tr w:rsidR="004A7041">
        <w:trPr>
          <w:cantSplit/>
        </w:trPr>
        <w:tc>
          <w:tcPr>
            <w:tcW w:w="5320" w:type="dxa"/>
          </w:tcPr>
          <w:p w:rsidR="004A7041" w:rsidRDefault="004A7041">
            <w:pPr>
              <w:pStyle w:val="zreportaddinfo"/>
              <w:framePr w:wrap="around"/>
            </w:pPr>
            <w:bookmarkStart w:id="3" w:name="DocRef1"/>
            <w:bookmarkEnd w:id="2"/>
            <w:bookmarkEnd w:id="3"/>
          </w:p>
        </w:tc>
      </w:tr>
    </w:tbl>
    <w:p w:rsidR="003E1051" w:rsidRDefault="003E1051"/>
    <w:p w:rsidR="003E1051" w:rsidRDefault="003E1051">
      <w:pPr>
        <w:spacing w:before="0" w:after="0"/>
      </w:pPr>
      <w:r>
        <w:br w:type="page"/>
      </w:r>
    </w:p>
    <w:p w:rsidR="004A7041" w:rsidRPr="00E13A33" w:rsidRDefault="004A7041">
      <w:pPr>
        <w:pStyle w:val="zcontents"/>
        <w:rPr>
          <w:color w:val="292929"/>
        </w:rPr>
      </w:pPr>
      <w:r w:rsidRPr="00E13A33">
        <w:rPr>
          <w:b/>
          <w:color w:val="292929"/>
        </w:rPr>
        <w:lastRenderedPageBreak/>
        <w:t>Contents</w:t>
      </w:r>
    </w:p>
    <w:p w:rsidR="006F2E1A" w:rsidRDefault="00751B94">
      <w:pPr>
        <w:pStyle w:val="TOC1"/>
        <w:rPr>
          <w:rFonts w:asciiTheme="minorHAnsi" w:eastAsiaTheme="minorEastAsia" w:hAnsiTheme="minorHAnsi" w:cstheme="minorBidi"/>
          <w:noProof/>
          <w:sz w:val="22"/>
          <w:szCs w:val="22"/>
          <w:lang w:eastAsia="en-AU"/>
        </w:rPr>
      </w:pPr>
      <w:r>
        <w:fldChar w:fldCharType="begin"/>
      </w:r>
      <w:r w:rsidR="00BE0886">
        <w:instrText xml:space="preserve"> TOC \o "1-3" </w:instrText>
      </w:r>
      <w:r>
        <w:fldChar w:fldCharType="separate"/>
      </w:r>
      <w:r w:rsidR="006F2E1A">
        <w:rPr>
          <w:noProof/>
        </w:rPr>
        <w:t>1</w:t>
      </w:r>
      <w:r w:rsidR="006F2E1A">
        <w:rPr>
          <w:rFonts w:asciiTheme="minorHAnsi" w:eastAsiaTheme="minorEastAsia" w:hAnsiTheme="minorHAnsi" w:cstheme="minorBidi"/>
          <w:noProof/>
          <w:sz w:val="22"/>
          <w:szCs w:val="22"/>
          <w:lang w:eastAsia="en-AU"/>
        </w:rPr>
        <w:tab/>
      </w:r>
      <w:r w:rsidR="006F2E1A">
        <w:rPr>
          <w:noProof/>
        </w:rPr>
        <w:t>Introduction</w:t>
      </w:r>
      <w:r w:rsidR="006F2E1A">
        <w:rPr>
          <w:noProof/>
        </w:rPr>
        <w:tab/>
      </w:r>
      <w:r>
        <w:rPr>
          <w:noProof/>
        </w:rPr>
        <w:fldChar w:fldCharType="begin"/>
      </w:r>
      <w:r w:rsidR="006F2E1A">
        <w:rPr>
          <w:noProof/>
        </w:rPr>
        <w:instrText xml:space="preserve"> PAGEREF _Toc340216043 \h </w:instrText>
      </w:r>
      <w:r>
        <w:rPr>
          <w:noProof/>
        </w:rPr>
      </w:r>
      <w:r>
        <w:rPr>
          <w:noProof/>
        </w:rPr>
        <w:fldChar w:fldCharType="separate"/>
      </w:r>
      <w:r w:rsidR="000226EA">
        <w:rPr>
          <w:noProof/>
        </w:rPr>
        <w:t>1</w:t>
      </w:r>
      <w:r>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Structure of this document</w:t>
      </w:r>
      <w:r>
        <w:rPr>
          <w:noProof/>
        </w:rPr>
        <w:tab/>
      </w:r>
      <w:r w:rsidR="00751B94">
        <w:rPr>
          <w:noProof/>
        </w:rPr>
        <w:fldChar w:fldCharType="begin"/>
      </w:r>
      <w:r>
        <w:rPr>
          <w:noProof/>
        </w:rPr>
        <w:instrText xml:space="preserve"> PAGEREF _Toc340216044 \h </w:instrText>
      </w:r>
      <w:r w:rsidR="00751B94">
        <w:rPr>
          <w:noProof/>
        </w:rPr>
      </w:r>
      <w:r w:rsidR="00751B94">
        <w:rPr>
          <w:noProof/>
        </w:rPr>
        <w:fldChar w:fldCharType="separate"/>
      </w:r>
      <w:r w:rsidR="000226EA">
        <w:rPr>
          <w:noProof/>
        </w:rPr>
        <w:t>2</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Information relevant to the earlier access arrangement period</w:t>
      </w:r>
      <w:r>
        <w:rPr>
          <w:noProof/>
        </w:rPr>
        <w:tab/>
      </w:r>
      <w:r w:rsidR="00751B94">
        <w:rPr>
          <w:noProof/>
        </w:rPr>
        <w:fldChar w:fldCharType="begin"/>
      </w:r>
      <w:r>
        <w:rPr>
          <w:noProof/>
        </w:rPr>
        <w:instrText xml:space="preserve"> PAGEREF _Toc340216045 \h </w:instrText>
      </w:r>
      <w:r w:rsidR="00751B94">
        <w:rPr>
          <w:noProof/>
        </w:rPr>
      </w:r>
      <w:r w:rsidR="00751B94">
        <w:rPr>
          <w:noProof/>
        </w:rPr>
        <w:fldChar w:fldCharType="separate"/>
      </w:r>
      <w:r w:rsidR="000226EA">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Capital expenditure</w:t>
      </w:r>
      <w:r>
        <w:rPr>
          <w:noProof/>
        </w:rPr>
        <w:tab/>
      </w:r>
      <w:r w:rsidR="00751B94">
        <w:rPr>
          <w:noProof/>
        </w:rPr>
        <w:fldChar w:fldCharType="begin"/>
      </w:r>
      <w:r>
        <w:rPr>
          <w:noProof/>
        </w:rPr>
        <w:instrText xml:space="preserve"> PAGEREF _Toc340216046 \h </w:instrText>
      </w:r>
      <w:r w:rsidR="00751B94">
        <w:rPr>
          <w:noProof/>
        </w:rPr>
      </w:r>
      <w:r w:rsidR="00751B94">
        <w:rPr>
          <w:noProof/>
        </w:rPr>
        <w:fldChar w:fldCharType="separate"/>
      </w:r>
      <w:r w:rsidR="000226EA">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Operating expenditure</w:t>
      </w:r>
      <w:r>
        <w:rPr>
          <w:noProof/>
        </w:rPr>
        <w:tab/>
      </w:r>
      <w:r w:rsidR="00751B94">
        <w:rPr>
          <w:noProof/>
        </w:rPr>
        <w:fldChar w:fldCharType="begin"/>
      </w:r>
      <w:r>
        <w:rPr>
          <w:noProof/>
        </w:rPr>
        <w:instrText xml:space="preserve"> PAGEREF _Toc340216047 \h </w:instrText>
      </w:r>
      <w:r w:rsidR="00751B94">
        <w:rPr>
          <w:noProof/>
        </w:rPr>
      </w:r>
      <w:r w:rsidR="00751B94">
        <w:rPr>
          <w:noProof/>
        </w:rPr>
        <w:fldChar w:fldCharType="separate"/>
      </w:r>
      <w:r w:rsidR="000226EA">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Pipeline usage</w:t>
      </w:r>
      <w:r>
        <w:rPr>
          <w:noProof/>
        </w:rPr>
        <w:tab/>
      </w:r>
      <w:r w:rsidR="00751B94">
        <w:rPr>
          <w:noProof/>
        </w:rPr>
        <w:fldChar w:fldCharType="begin"/>
      </w:r>
      <w:r>
        <w:rPr>
          <w:noProof/>
        </w:rPr>
        <w:instrText xml:space="preserve"> PAGEREF _Toc340216048 \h </w:instrText>
      </w:r>
      <w:r w:rsidR="00751B94">
        <w:rPr>
          <w:noProof/>
        </w:rPr>
      </w:r>
      <w:r w:rsidR="00751B94">
        <w:rPr>
          <w:noProof/>
        </w:rPr>
        <w:fldChar w:fldCharType="separate"/>
      </w:r>
      <w:r w:rsidR="000226EA">
        <w:rPr>
          <w:noProof/>
        </w:rPr>
        <w:t>5</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capital base</w:t>
      </w:r>
      <w:r>
        <w:rPr>
          <w:noProof/>
        </w:rPr>
        <w:tab/>
      </w:r>
      <w:r w:rsidR="00751B94">
        <w:rPr>
          <w:noProof/>
        </w:rPr>
        <w:fldChar w:fldCharType="begin"/>
      </w:r>
      <w:r>
        <w:rPr>
          <w:noProof/>
        </w:rPr>
        <w:instrText xml:space="preserve"> PAGEREF _Toc340216049 \h </w:instrText>
      </w:r>
      <w:r w:rsidR="00751B94">
        <w:rPr>
          <w:noProof/>
        </w:rPr>
      </w:r>
      <w:r w:rsidR="00751B94">
        <w:rPr>
          <w:noProof/>
        </w:rPr>
        <w:fldChar w:fldCharType="separate"/>
      </w:r>
      <w:r w:rsidR="000226EA">
        <w:rPr>
          <w:noProof/>
        </w:rPr>
        <w:t>7</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Opening capital base</w:t>
      </w:r>
      <w:r>
        <w:rPr>
          <w:noProof/>
        </w:rPr>
        <w:tab/>
      </w:r>
      <w:r w:rsidR="00751B94">
        <w:rPr>
          <w:noProof/>
        </w:rPr>
        <w:fldChar w:fldCharType="begin"/>
      </w:r>
      <w:r>
        <w:rPr>
          <w:noProof/>
        </w:rPr>
        <w:instrText xml:space="preserve"> PAGEREF _Toc340216050 \h </w:instrText>
      </w:r>
      <w:r w:rsidR="00751B94">
        <w:rPr>
          <w:noProof/>
        </w:rPr>
      </w:r>
      <w:r w:rsidR="00751B94">
        <w:rPr>
          <w:noProof/>
        </w:rPr>
        <w:fldChar w:fldCharType="separate"/>
      </w:r>
      <w:r w:rsidR="000226EA">
        <w:rPr>
          <w:noProof/>
        </w:rPr>
        <w:t>7</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Opening capital base for access arrangement period</w:t>
      </w:r>
      <w:r>
        <w:rPr>
          <w:noProof/>
        </w:rPr>
        <w:tab/>
      </w:r>
      <w:r w:rsidR="00751B94">
        <w:rPr>
          <w:noProof/>
        </w:rPr>
        <w:fldChar w:fldCharType="begin"/>
      </w:r>
      <w:r>
        <w:rPr>
          <w:noProof/>
        </w:rPr>
        <w:instrText xml:space="preserve"> PAGEREF _Toc340216051 \h </w:instrText>
      </w:r>
      <w:r w:rsidR="00751B94">
        <w:rPr>
          <w:noProof/>
        </w:rPr>
      </w:r>
      <w:r w:rsidR="00751B94">
        <w:rPr>
          <w:noProof/>
        </w:rPr>
        <w:fldChar w:fldCharType="separate"/>
      </w:r>
      <w:r w:rsidR="000226EA">
        <w:rPr>
          <w:noProof/>
        </w:rPr>
        <w:t>7</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Projected capital base</w:t>
      </w:r>
      <w:r>
        <w:rPr>
          <w:noProof/>
        </w:rPr>
        <w:tab/>
      </w:r>
      <w:r w:rsidR="00751B94">
        <w:rPr>
          <w:noProof/>
        </w:rPr>
        <w:fldChar w:fldCharType="begin"/>
      </w:r>
      <w:r>
        <w:rPr>
          <w:noProof/>
        </w:rPr>
        <w:instrText xml:space="preserve"> PAGEREF _Toc340216052 \h </w:instrText>
      </w:r>
      <w:r w:rsidR="00751B94">
        <w:rPr>
          <w:noProof/>
        </w:rPr>
      </w:r>
      <w:r w:rsidR="00751B94">
        <w:rPr>
          <w:noProof/>
        </w:rPr>
        <w:fldChar w:fldCharType="separate"/>
      </w:r>
      <w:r w:rsidR="000226EA">
        <w:rPr>
          <w:noProof/>
        </w:rPr>
        <w:t>8</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Forecast conforming capital expenditure for the access arrangement period</w:t>
      </w:r>
      <w:r>
        <w:rPr>
          <w:noProof/>
        </w:rPr>
        <w:tab/>
      </w:r>
      <w:r w:rsidR="00751B94">
        <w:rPr>
          <w:noProof/>
        </w:rPr>
        <w:fldChar w:fldCharType="begin"/>
      </w:r>
      <w:r>
        <w:rPr>
          <w:noProof/>
        </w:rPr>
        <w:instrText xml:space="preserve"> PAGEREF _Toc340216053 \h </w:instrText>
      </w:r>
      <w:r w:rsidR="00751B94">
        <w:rPr>
          <w:noProof/>
        </w:rPr>
      </w:r>
      <w:r w:rsidR="00751B94">
        <w:rPr>
          <w:noProof/>
        </w:rPr>
        <w:fldChar w:fldCharType="separate"/>
      </w:r>
      <w:r w:rsidR="000226EA">
        <w:rPr>
          <w:noProof/>
        </w:rPr>
        <w:t>8</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Forecast depreciation</w:t>
      </w:r>
      <w:r>
        <w:rPr>
          <w:noProof/>
        </w:rPr>
        <w:tab/>
      </w:r>
      <w:r w:rsidR="00751B94">
        <w:rPr>
          <w:noProof/>
        </w:rPr>
        <w:fldChar w:fldCharType="begin"/>
      </w:r>
      <w:r>
        <w:rPr>
          <w:noProof/>
        </w:rPr>
        <w:instrText xml:space="preserve"> PAGEREF _Toc340216054 \h </w:instrText>
      </w:r>
      <w:r w:rsidR="00751B94">
        <w:rPr>
          <w:noProof/>
        </w:rPr>
      </w:r>
      <w:r w:rsidR="00751B94">
        <w:rPr>
          <w:noProof/>
        </w:rPr>
        <w:fldChar w:fldCharType="separate"/>
      </w:r>
      <w:r w:rsidR="000226EA">
        <w:rPr>
          <w:noProof/>
        </w:rPr>
        <w:t>10</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Forecast disposals</w:t>
      </w:r>
      <w:r>
        <w:rPr>
          <w:noProof/>
        </w:rPr>
        <w:tab/>
      </w:r>
      <w:r w:rsidR="00751B94">
        <w:rPr>
          <w:noProof/>
        </w:rPr>
        <w:fldChar w:fldCharType="begin"/>
      </w:r>
      <w:r>
        <w:rPr>
          <w:noProof/>
        </w:rPr>
        <w:instrText xml:space="preserve"> PAGEREF _Toc340216055 \h </w:instrText>
      </w:r>
      <w:r w:rsidR="00751B94">
        <w:rPr>
          <w:noProof/>
        </w:rPr>
      </w:r>
      <w:r w:rsidR="00751B94">
        <w:rPr>
          <w:noProof/>
        </w:rPr>
        <w:fldChar w:fldCharType="separate"/>
      </w:r>
      <w:r w:rsidR="000226EA">
        <w:rPr>
          <w:noProof/>
        </w:rPr>
        <w:t>11</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3.2.4</w:t>
      </w:r>
      <w:r>
        <w:rPr>
          <w:rFonts w:asciiTheme="minorHAnsi" w:eastAsiaTheme="minorEastAsia" w:hAnsiTheme="minorHAnsi" w:cstheme="minorBidi"/>
          <w:noProof/>
          <w:sz w:val="22"/>
          <w:szCs w:val="22"/>
          <w:lang w:eastAsia="en-AU"/>
        </w:rPr>
        <w:tab/>
      </w:r>
      <w:r>
        <w:rPr>
          <w:noProof/>
        </w:rPr>
        <w:t>Forecast redundant assets</w:t>
      </w:r>
      <w:r>
        <w:rPr>
          <w:noProof/>
        </w:rPr>
        <w:tab/>
      </w:r>
      <w:r w:rsidR="00751B94">
        <w:rPr>
          <w:noProof/>
        </w:rPr>
        <w:fldChar w:fldCharType="begin"/>
      </w:r>
      <w:r>
        <w:rPr>
          <w:noProof/>
        </w:rPr>
        <w:instrText xml:space="preserve"> PAGEREF _Toc340216056 \h </w:instrText>
      </w:r>
      <w:r w:rsidR="00751B94">
        <w:rPr>
          <w:noProof/>
        </w:rPr>
      </w:r>
      <w:r w:rsidR="00751B94">
        <w:rPr>
          <w:noProof/>
        </w:rPr>
        <w:fldChar w:fldCharType="separate"/>
      </w:r>
      <w:r w:rsidR="000226EA">
        <w:rPr>
          <w:noProof/>
        </w:rPr>
        <w:t>11</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3.2.5</w:t>
      </w:r>
      <w:r>
        <w:rPr>
          <w:rFonts w:asciiTheme="minorHAnsi" w:eastAsiaTheme="minorEastAsia" w:hAnsiTheme="minorHAnsi" w:cstheme="minorBidi"/>
          <w:noProof/>
          <w:sz w:val="22"/>
          <w:szCs w:val="22"/>
          <w:lang w:eastAsia="en-AU"/>
        </w:rPr>
        <w:tab/>
      </w:r>
      <w:r>
        <w:rPr>
          <w:noProof/>
        </w:rPr>
        <w:t>Projected capital base over the access arrangement period</w:t>
      </w:r>
      <w:r>
        <w:rPr>
          <w:noProof/>
        </w:rPr>
        <w:tab/>
      </w:r>
      <w:r w:rsidR="00751B94">
        <w:rPr>
          <w:noProof/>
        </w:rPr>
        <w:fldChar w:fldCharType="begin"/>
      </w:r>
      <w:r>
        <w:rPr>
          <w:noProof/>
        </w:rPr>
        <w:instrText xml:space="preserve"> PAGEREF _Toc340216057 \h </w:instrText>
      </w:r>
      <w:r w:rsidR="00751B94">
        <w:rPr>
          <w:noProof/>
        </w:rPr>
      </w:r>
      <w:r w:rsidR="00751B94">
        <w:rPr>
          <w:noProof/>
        </w:rPr>
        <w:fldChar w:fldCharType="separate"/>
      </w:r>
      <w:r w:rsidR="000226EA">
        <w:rPr>
          <w:noProof/>
        </w:rPr>
        <w:t>12</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Forecast network demand and utilisation</w:t>
      </w:r>
      <w:r>
        <w:rPr>
          <w:noProof/>
        </w:rPr>
        <w:tab/>
      </w:r>
      <w:r w:rsidR="00751B94">
        <w:rPr>
          <w:noProof/>
        </w:rPr>
        <w:fldChar w:fldCharType="begin"/>
      </w:r>
      <w:r>
        <w:rPr>
          <w:noProof/>
        </w:rPr>
        <w:instrText xml:space="preserve"> PAGEREF _Toc340216058 \h </w:instrText>
      </w:r>
      <w:r w:rsidR="00751B94">
        <w:rPr>
          <w:noProof/>
        </w:rPr>
      </w:r>
      <w:r w:rsidR="00751B94">
        <w:rPr>
          <w:noProof/>
        </w:rPr>
        <w:fldChar w:fldCharType="separate"/>
      </w:r>
      <w:r w:rsidR="000226EA">
        <w:rPr>
          <w:noProof/>
        </w:rPr>
        <w:t>13</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Forecast customer numbers and volumes</w:t>
      </w:r>
      <w:r>
        <w:rPr>
          <w:noProof/>
        </w:rPr>
        <w:tab/>
      </w:r>
      <w:r w:rsidR="00751B94">
        <w:rPr>
          <w:noProof/>
        </w:rPr>
        <w:fldChar w:fldCharType="begin"/>
      </w:r>
      <w:r>
        <w:rPr>
          <w:noProof/>
        </w:rPr>
        <w:instrText xml:space="preserve"> PAGEREF _Toc340216059 \h </w:instrText>
      </w:r>
      <w:r w:rsidR="00751B94">
        <w:rPr>
          <w:noProof/>
        </w:rPr>
      </w:r>
      <w:r w:rsidR="00751B94">
        <w:rPr>
          <w:noProof/>
        </w:rPr>
        <w:fldChar w:fldCharType="separate"/>
      </w:r>
      <w:r w:rsidR="000226EA">
        <w:rPr>
          <w:noProof/>
        </w:rPr>
        <w:t>13</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Forecast network capacity and utilisation</w:t>
      </w:r>
      <w:r>
        <w:rPr>
          <w:noProof/>
        </w:rPr>
        <w:tab/>
      </w:r>
      <w:r w:rsidR="00751B94">
        <w:rPr>
          <w:noProof/>
        </w:rPr>
        <w:fldChar w:fldCharType="begin"/>
      </w:r>
      <w:r>
        <w:rPr>
          <w:noProof/>
        </w:rPr>
        <w:instrText xml:space="preserve"> PAGEREF _Toc340216060 \h </w:instrText>
      </w:r>
      <w:r w:rsidR="00751B94">
        <w:rPr>
          <w:noProof/>
        </w:rPr>
      </w:r>
      <w:r w:rsidR="00751B94">
        <w:rPr>
          <w:noProof/>
        </w:rPr>
        <w:fldChar w:fldCharType="separate"/>
      </w:r>
      <w:r w:rsidR="000226EA">
        <w:rPr>
          <w:noProof/>
        </w:rPr>
        <w:t>14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Forecast demand</w:t>
      </w:r>
      <w:r>
        <w:rPr>
          <w:noProof/>
        </w:rPr>
        <w:tab/>
      </w:r>
      <w:r w:rsidR="00751B94">
        <w:rPr>
          <w:noProof/>
        </w:rPr>
        <w:fldChar w:fldCharType="begin"/>
      </w:r>
      <w:r>
        <w:rPr>
          <w:noProof/>
        </w:rPr>
        <w:instrText xml:space="preserve"> PAGEREF _Toc340216061 \h </w:instrText>
      </w:r>
      <w:r w:rsidR="00751B94">
        <w:rPr>
          <w:noProof/>
        </w:rPr>
      </w:r>
      <w:r w:rsidR="00751B94">
        <w:rPr>
          <w:noProof/>
        </w:rPr>
        <w:fldChar w:fldCharType="separate"/>
      </w:r>
      <w:r w:rsidR="000226EA">
        <w:rPr>
          <w:noProof/>
        </w:rPr>
        <w:t>15</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Forecast operating expenditure</w:t>
      </w:r>
      <w:r>
        <w:rPr>
          <w:noProof/>
        </w:rPr>
        <w:tab/>
      </w:r>
      <w:r w:rsidR="00751B94">
        <w:rPr>
          <w:noProof/>
        </w:rPr>
        <w:fldChar w:fldCharType="begin"/>
      </w:r>
      <w:r>
        <w:rPr>
          <w:noProof/>
        </w:rPr>
        <w:instrText xml:space="preserve"> PAGEREF _Toc340216062 \h </w:instrText>
      </w:r>
      <w:r w:rsidR="00751B94">
        <w:rPr>
          <w:noProof/>
        </w:rPr>
      </w:r>
      <w:r w:rsidR="00751B94">
        <w:rPr>
          <w:noProof/>
        </w:rPr>
        <w:fldChar w:fldCharType="separate"/>
      </w:r>
      <w:r w:rsidR="000226EA">
        <w:rPr>
          <w:noProof/>
        </w:rPr>
        <w:t>17</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Key performance indicators</w:t>
      </w:r>
      <w:r>
        <w:rPr>
          <w:noProof/>
        </w:rPr>
        <w:tab/>
      </w:r>
      <w:r w:rsidR="00751B94">
        <w:rPr>
          <w:noProof/>
        </w:rPr>
        <w:fldChar w:fldCharType="begin"/>
      </w:r>
      <w:r>
        <w:rPr>
          <w:noProof/>
        </w:rPr>
        <w:instrText xml:space="preserve"> PAGEREF _Toc340216063 \h </w:instrText>
      </w:r>
      <w:r w:rsidR="00751B94">
        <w:rPr>
          <w:noProof/>
        </w:rPr>
      </w:r>
      <w:r w:rsidR="00751B94">
        <w:rPr>
          <w:noProof/>
        </w:rPr>
        <w:fldChar w:fldCharType="separate"/>
      </w:r>
      <w:r w:rsidR="000226EA">
        <w:rPr>
          <w:noProof/>
        </w:rPr>
        <w:t>18</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Rate of return</w:t>
      </w:r>
      <w:r>
        <w:rPr>
          <w:noProof/>
        </w:rPr>
        <w:tab/>
      </w:r>
      <w:r w:rsidR="00751B94">
        <w:rPr>
          <w:noProof/>
        </w:rPr>
        <w:fldChar w:fldCharType="begin"/>
      </w:r>
      <w:r>
        <w:rPr>
          <w:noProof/>
        </w:rPr>
        <w:instrText xml:space="preserve"> PAGEREF _Toc340216064 \h </w:instrText>
      </w:r>
      <w:r w:rsidR="00751B94">
        <w:rPr>
          <w:noProof/>
        </w:rPr>
      </w:r>
      <w:r w:rsidR="00751B94">
        <w:rPr>
          <w:noProof/>
        </w:rPr>
        <w:fldChar w:fldCharType="separate"/>
      </w:r>
      <w:r w:rsidR="000226EA">
        <w:rPr>
          <w:noProof/>
        </w:rPr>
        <w:t>19</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Taxation</w:t>
      </w:r>
      <w:r>
        <w:rPr>
          <w:noProof/>
        </w:rPr>
        <w:tab/>
      </w:r>
      <w:r w:rsidR="00751B94">
        <w:rPr>
          <w:noProof/>
        </w:rPr>
        <w:fldChar w:fldCharType="begin"/>
      </w:r>
      <w:r>
        <w:rPr>
          <w:noProof/>
        </w:rPr>
        <w:instrText xml:space="preserve"> PAGEREF _Toc340216065 \h </w:instrText>
      </w:r>
      <w:r w:rsidR="00751B94">
        <w:rPr>
          <w:noProof/>
        </w:rPr>
      </w:r>
      <w:r w:rsidR="00751B94">
        <w:rPr>
          <w:noProof/>
        </w:rPr>
        <w:fldChar w:fldCharType="separate"/>
      </w:r>
      <w:r w:rsidR="000226EA">
        <w:rPr>
          <w:noProof/>
        </w:rPr>
        <w:t>21</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lastRenderedPageBreak/>
        <w:t>9</w:t>
      </w:r>
      <w:r>
        <w:rPr>
          <w:rFonts w:asciiTheme="minorHAnsi" w:eastAsiaTheme="minorEastAsia" w:hAnsiTheme="minorHAnsi" w:cstheme="minorBidi"/>
          <w:noProof/>
          <w:sz w:val="22"/>
          <w:szCs w:val="22"/>
          <w:lang w:eastAsia="en-AU"/>
        </w:rPr>
        <w:tab/>
      </w:r>
      <w:r>
        <w:rPr>
          <w:noProof/>
        </w:rPr>
        <w:t>Historical incentive mechanism</w:t>
      </w:r>
      <w:r>
        <w:rPr>
          <w:noProof/>
        </w:rPr>
        <w:tab/>
      </w:r>
      <w:r w:rsidR="00751B94">
        <w:rPr>
          <w:noProof/>
        </w:rPr>
        <w:fldChar w:fldCharType="begin"/>
      </w:r>
      <w:r>
        <w:rPr>
          <w:noProof/>
        </w:rPr>
        <w:instrText xml:space="preserve"> PAGEREF _Toc340216066 \h </w:instrText>
      </w:r>
      <w:r w:rsidR="00751B94">
        <w:rPr>
          <w:noProof/>
        </w:rPr>
      </w:r>
      <w:r w:rsidR="00751B94">
        <w:rPr>
          <w:noProof/>
        </w:rPr>
        <w:fldChar w:fldCharType="separate"/>
      </w:r>
      <w:r w:rsidR="000226EA">
        <w:rPr>
          <w:noProof/>
        </w:rPr>
        <w:t>23</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Approach to tariff setting</w:t>
      </w:r>
      <w:r>
        <w:rPr>
          <w:noProof/>
        </w:rPr>
        <w:tab/>
      </w:r>
      <w:r w:rsidR="00751B94">
        <w:rPr>
          <w:noProof/>
        </w:rPr>
        <w:fldChar w:fldCharType="begin"/>
      </w:r>
      <w:r>
        <w:rPr>
          <w:noProof/>
        </w:rPr>
        <w:instrText xml:space="preserve"> PAGEREF _Toc340216067 \h </w:instrText>
      </w:r>
      <w:r w:rsidR="00751B94">
        <w:rPr>
          <w:noProof/>
        </w:rPr>
      </w:r>
      <w:r w:rsidR="00751B94">
        <w:rPr>
          <w:noProof/>
        </w:rPr>
        <w:fldChar w:fldCharType="separate"/>
      </w:r>
      <w:r w:rsidR="000226EA">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Reference services</w:t>
      </w:r>
      <w:r>
        <w:rPr>
          <w:noProof/>
        </w:rPr>
        <w:tab/>
      </w:r>
      <w:r w:rsidR="00751B94">
        <w:rPr>
          <w:noProof/>
        </w:rPr>
        <w:fldChar w:fldCharType="begin"/>
      </w:r>
      <w:r>
        <w:rPr>
          <w:noProof/>
        </w:rPr>
        <w:instrText xml:space="preserve"> PAGEREF _Toc340216068 \h </w:instrText>
      </w:r>
      <w:r w:rsidR="00751B94">
        <w:rPr>
          <w:noProof/>
        </w:rPr>
      </w:r>
      <w:r w:rsidR="00751B94">
        <w:rPr>
          <w:noProof/>
        </w:rPr>
        <w:fldChar w:fldCharType="separate"/>
      </w:r>
      <w:r w:rsidR="000226EA">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Allocation of revenue to tariffs</w:t>
      </w:r>
      <w:r>
        <w:rPr>
          <w:noProof/>
        </w:rPr>
        <w:tab/>
      </w:r>
      <w:r w:rsidR="00751B94">
        <w:rPr>
          <w:noProof/>
        </w:rPr>
        <w:fldChar w:fldCharType="begin"/>
      </w:r>
      <w:r>
        <w:rPr>
          <w:noProof/>
        </w:rPr>
        <w:instrText xml:space="preserve"> PAGEREF _Toc340216069 \h </w:instrText>
      </w:r>
      <w:r w:rsidR="00751B94">
        <w:rPr>
          <w:noProof/>
        </w:rPr>
      </w:r>
      <w:r w:rsidR="00751B94">
        <w:rPr>
          <w:noProof/>
        </w:rPr>
        <w:fldChar w:fldCharType="separate"/>
      </w:r>
      <w:r w:rsidR="000226EA">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Reference Tariffs</w:t>
      </w:r>
      <w:r>
        <w:rPr>
          <w:noProof/>
        </w:rPr>
        <w:tab/>
      </w:r>
      <w:r w:rsidR="00751B94">
        <w:rPr>
          <w:noProof/>
        </w:rPr>
        <w:fldChar w:fldCharType="begin"/>
      </w:r>
      <w:r>
        <w:rPr>
          <w:noProof/>
        </w:rPr>
        <w:instrText xml:space="preserve"> PAGEREF _Toc340216070 \h </w:instrText>
      </w:r>
      <w:r w:rsidR="00751B94">
        <w:rPr>
          <w:noProof/>
        </w:rPr>
      </w:r>
      <w:r w:rsidR="00751B94">
        <w:rPr>
          <w:noProof/>
        </w:rPr>
        <w:fldChar w:fldCharType="separate"/>
      </w:r>
      <w:r w:rsidR="000226EA">
        <w:rPr>
          <w:noProof/>
        </w:rPr>
        <w:t>25</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10.3.1</w:t>
      </w:r>
      <w:r>
        <w:rPr>
          <w:rFonts w:asciiTheme="minorHAnsi" w:eastAsiaTheme="minorEastAsia" w:hAnsiTheme="minorHAnsi" w:cstheme="minorBidi"/>
          <w:noProof/>
          <w:sz w:val="22"/>
          <w:szCs w:val="22"/>
          <w:lang w:eastAsia="en-AU"/>
        </w:rPr>
        <w:tab/>
      </w:r>
      <w:r>
        <w:rPr>
          <w:noProof/>
        </w:rPr>
        <w:t>Price Control Formula</w:t>
      </w:r>
      <w:r>
        <w:rPr>
          <w:noProof/>
        </w:rPr>
        <w:tab/>
      </w:r>
      <w:r w:rsidR="00751B94">
        <w:rPr>
          <w:noProof/>
        </w:rPr>
        <w:fldChar w:fldCharType="begin"/>
      </w:r>
      <w:r>
        <w:rPr>
          <w:noProof/>
        </w:rPr>
        <w:instrText xml:space="preserve"> PAGEREF _Toc340216071 \h </w:instrText>
      </w:r>
      <w:r w:rsidR="00751B94">
        <w:rPr>
          <w:noProof/>
        </w:rPr>
      </w:r>
      <w:r w:rsidR="00751B94">
        <w:rPr>
          <w:noProof/>
        </w:rPr>
        <w:fldChar w:fldCharType="separate"/>
      </w:r>
      <w:r w:rsidR="000226EA">
        <w:rPr>
          <w:noProof/>
        </w:rPr>
        <w:t>25</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10.3.2</w:t>
      </w:r>
      <w:r>
        <w:rPr>
          <w:rFonts w:asciiTheme="minorHAnsi" w:eastAsiaTheme="minorEastAsia" w:hAnsiTheme="minorHAnsi" w:cstheme="minorBidi"/>
          <w:noProof/>
          <w:sz w:val="22"/>
          <w:szCs w:val="22"/>
          <w:lang w:eastAsia="en-AU"/>
        </w:rPr>
        <w:tab/>
      </w:r>
      <w:r>
        <w:rPr>
          <w:noProof/>
        </w:rPr>
        <w:t>Cost pass-through Reference Tariff adjustment mechanism</w:t>
      </w:r>
      <w:r>
        <w:rPr>
          <w:noProof/>
        </w:rPr>
        <w:tab/>
      </w:r>
      <w:r w:rsidR="00751B94">
        <w:rPr>
          <w:noProof/>
        </w:rPr>
        <w:fldChar w:fldCharType="begin"/>
      </w:r>
      <w:r>
        <w:rPr>
          <w:noProof/>
        </w:rPr>
        <w:instrText xml:space="preserve"> PAGEREF _Toc340216072 \h </w:instrText>
      </w:r>
      <w:r w:rsidR="00751B94">
        <w:rPr>
          <w:noProof/>
        </w:rPr>
      </w:r>
      <w:r w:rsidR="00751B94">
        <w:rPr>
          <w:noProof/>
        </w:rPr>
        <w:fldChar w:fldCharType="separate"/>
      </w:r>
      <w:r w:rsidR="000226EA">
        <w:rPr>
          <w:noProof/>
        </w:rPr>
        <w:t>31</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Proposed incentive mechanism</w:t>
      </w:r>
      <w:r>
        <w:rPr>
          <w:noProof/>
        </w:rPr>
        <w:tab/>
      </w:r>
      <w:r w:rsidR="00751B94">
        <w:rPr>
          <w:noProof/>
        </w:rPr>
        <w:fldChar w:fldCharType="begin"/>
      </w:r>
      <w:r>
        <w:rPr>
          <w:noProof/>
        </w:rPr>
        <w:instrText xml:space="preserve"> PAGEREF _Toc340216073 \h </w:instrText>
      </w:r>
      <w:r w:rsidR="00751B94">
        <w:rPr>
          <w:noProof/>
        </w:rPr>
      </w:r>
      <w:r w:rsidR="00751B94">
        <w:rPr>
          <w:noProof/>
        </w:rPr>
        <w:fldChar w:fldCharType="separate"/>
      </w:r>
      <w:r w:rsidR="000226EA">
        <w:rPr>
          <w:noProof/>
        </w:rPr>
        <w:t>33</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Total revenue</w:t>
      </w:r>
      <w:r>
        <w:rPr>
          <w:noProof/>
        </w:rPr>
        <w:tab/>
      </w:r>
      <w:r w:rsidR="00751B94">
        <w:rPr>
          <w:noProof/>
        </w:rPr>
        <w:fldChar w:fldCharType="begin"/>
      </w:r>
      <w:r>
        <w:rPr>
          <w:noProof/>
        </w:rPr>
        <w:instrText xml:space="preserve"> PAGEREF _Toc340216074 \h </w:instrText>
      </w:r>
      <w:r w:rsidR="00751B94">
        <w:rPr>
          <w:noProof/>
        </w:rPr>
      </w:r>
      <w:r w:rsidR="00751B94">
        <w:rPr>
          <w:noProof/>
        </w:rPr>
        <w:fldChar w:fldCharType="separate"/>
      </w:r>
      <w:r w:rsidR="000226EA">
        <w:rPr>
          <w:noProof/>
        </w:rPr>
        <w:t>34</w:t>
      </w:r>
      <w:r w:rsidR="00751B94">
        <w:rPr>
          <w:noProof/>
        </w:rPr>
        <w:fldChar w:fldCharType="end"/>
      </w:r>
    </w:p>
    <w:p w:rsidR="004A7041" w:rsidRDefault="00751B94">
      <w:pPr>
        <w:sectPr w:rsidR="004A7041" w:rsidSect="00B1545F">
          <w:footerReference w:type="default" r:id="rId9"/>
          <w:pgSz w:w="11907" w:h="16840" w:code="9"/>
          <w:pgMar w:top="2835" w:right="1616" w:bottom="2126" w:left="1616" w:header="737" w:footer="737" w:gutter="454"/>
          <w:pgNumType w:fmt="lowerRoman" w:start="1"/>
          <w:cols w:space="737"/>
          <w:titlePg/>
          <w:docGrid w:linePitch="299"/>
        </w:sectPr>
      </w:pPr>
      <w:r>
        <w:rPr>
          <w:sz w:val="28"/>
        </w:rPr>
        <w:fldChar w:fldCharType="end"/>
      </w:r>
    </w:p>
    <w:p w:rsidR="004A7041" w:rsidRDefault="004A649B" w:rsidP="00770A69">
      <w:pPr>
        <w:pStyle w:val="Heading1"/>
      </w:pPr>
      <w:bookmarkStart w:id="5" w:name="Text"/>
      <w:bookmarkStart w:id="6" w:name="_Toc340216043"/>
      <w:bookmarkEnd w:id="5"/>
      <w:r>
        <w:lastRenderedPageBreak/>
        <w:t>Introduction</w:t>
      </w:r>
      <w:bookmarkEnd w:id="6"/>
    </w:p>
    <w:p w:rsidR="0074341F" w:rsidRDefault="0074341F" w:rsidP="0074341F">
      <w:pPr>
        <w:rPr>
          <w:snapToGrid w:val="0"/>
        </w:rPr>
      </w:pPr>
      <w:r>
        <w:rPr>
          <w:snapToGrid w:val="0"/>
        </w:rPr>
        <w:t xml:space="preserve">This Access Arrangement Information document has been prepared, in accordance with </w:t>
      </w:r>
      <w:r w:rsidR="004D7C4E">
        <w:rPr>
          <w:snapToGrid w:val="0"/>
        </w:rPr>
        <w:t>Rule</w:t>
      </w:r>
      <w:r>
        <w:rPr>
          <w:snapToGrid w:val="0"/>
        </w:rPr>
        <w:t xml:space="preserve"> 43(1) of the National Gas Rules 2008</w:t>
      </w:r>
      <w:r w:rsidR="004F460E">
        <w:rPr>
          <w:snapToGrid w:val="0"/>
        </w:rPr>
        <w:t xml:space="preserve"> (NGR)</w:t>
      </w:r>
      <w:r>
        <w:rPr>
          <w:snapToGrid w:val="0"/>
        </w:rPr>
        <w:t>, to provide Users and Prospective Users with sufficient information to un</w:t>
      </w:r>
      <w:r w:rsidR="00BF3EE2">
        <w:rPr>
          <w:snapToGrid w:val="0"/>
        </w:rPr>
        <w:t>derstand the derivation of the access a</w:t>
      </w:r>
      <w:r>
        <w:rPr>
          <w:snapToGrid w:val="0"/>
        </w:rPr>
        <w:t xml:space="preserve">rrangement and its compliance with the </w:t>
      </w:r>
      <w:r w:rsidR="004F460E">
        <w:rPr>
          <w:snapToGrid w:val="0"/>
        </w:rPr>
        <w:t>NGR</w:t>
      </w:r>
      <w:r>
        <w:rPr>
          <w:snapToGrid w:val="0"/>
        </w:rPr>
        <w:t xml:space="preserve">. </w:t>
      </w:r>
    </w:p>
    <w:p w:rsidR="004D7C4E" w:rsidRDefault="00813B4B" w:rsidP="00F55674">
      <w:pPr>
        <w:pStyle w:val="BodyText"/>
      </w:pPr>
      <w:r>
        <w:t xml:space="preserve">This Access Arrangement Information accompanies </w:t>
      </w:r>
      <w:r w:rsidR="009F0595">
        <w:t xml:space="preserve">the </w:t>
      </w:r>
      <w:r>
        <w:t xml:space="preserve">access arrangement for the </w:t>
      </w:r>
      <w:r w:rsidR="0007320D">
        <w:t>Victorian Transmission System</w:t>
      </w:r>
      <w:r w:rsidR="009F0595">
        <w:t xml:space="preserve"> (</w:t>
      </w:r>
      <w:r w:rsidR="0007320D">
        <w:t>VTS</w:t>
      </w:r>
      <w:r w:rsidR="009F0595">
        <w:t>)</w:t>
      </w:r>
      <w:r w:rsidR="00444DD2">
        <w:t xml:space="preserve"> for the period 1 January 2013 to 31 December 2017</w:t>
      </w:r>
      <w:r w:rsidR="004D7C4E">
        <w:t xml:space="preserve">. The access arrangement </w:t>
      </w:r>
      <w:r w:rsidR="00722873">
        <w:t>will</w:t>
      </w:r>
      <w:r w:rsidR="004D7C4E">
        <w:t xml:space="preserve"> on </w:t>
      </w:r>
      <w:r w:rsidR="00B46960">
        <w:t>1 July</w:t>
      </w:r>
      <w:r w:rsidR="0007320D">
        <w:t xml:space="preserve"> 2013</w:t>
      </w:r>
      <w:r w:rsidR="004D7C4E">
        <w:t>.</w:t>
      </w:r>
    </w:p>
    <w:p w:rsidR="0007320D" w:rsidRDefault="0007320D" w:rsidP="0007320D">
      <w:pPr>
        <w:pStyle w:val="AAHeading4"/>
      </w:pPr>
      <w:r>
        <w:t>Pipeline Overview</w:t>
      </w:r>
    </w:p>
    <w:p w:rsidR="00B000C7" w:rsidRDefault="0007320D" w:rsidP="0007320D">
      <w:pPr>
        <w:pStyle w:val="AAbody0"/>
      </w:pPr>
      <w:r>
        <w:t xml:space="preserve">The Victorian Transmission System (VTS) consists of 45 licensed pipelines and associated facilities supplying the Melbourne metropolitan area, country Victoria and supply to New South Wales and South Australia. The VTS also transports gas across the system and into NSW at Culcairn. </w:t>
      </w:r>
      <w:r w:rsidR="00B000C7">
        <w:t>A map of the VTS is shown below.</w:t>
      </w:r>
    </w:p>
    <w:p w:rsidR="0007320D" w:rsidRDefault="002E4748" w:rsidP="0007320D">
      <w:pPr>
        <w:rPr>
          <w:rFonts w:cs="Arial"/>
          <w:szCs w:val="22"/>
        </w:rPr>
      </w:pPr>
      <w:r>
        <w:rPr>
          <w:rFonts w:cs="Arial"/>
          <w:noProof/>
          <w:szCs w:val="22"/>
          <w:lang w:eastAsia="en-AU"/>
        </w:rPr>
        <w:drawing>
          <wp:inline distT="0" distB="0" distL="0" distR="0">
            <wp:extent cx="5582285" cy="3944620"/>
            <wp:effectExtent l="0" t="0" r="0" b="0"/>
            <wp:docPr id="9" name="Picture 1" descr="Victorian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nSyste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2285" cy="3944620"/>
                    </a:xfrm>
                    <a:prstGeom prst="rect">
                      <a:avLst/>
                    </a:prstGeom>
                    <a:noFill/>
                    <a:ln>
                      <a:noFill/>
                    </a:ln>
                  </pic:spPr>
                </pic:pic>
              </a:graphicData>
            </a:graphic>
          </wp:inline>
        </w:drawing>
      </w:r>
    </w:p>
    <w:p w:rsidR="0007320D" w:rsidRDefault="00B000C7" w:rsidP="0007320D">
      <w:pPr>
        <w:pStyle w:val="AABody"/>
      </w:pPr>
      <w:r w:rsidRPr="00B000C7">
        <w:t xml:space="preserve">Gas enters and exits the system in the West via the </w:t>
      </w:r>
      <w:proofErr w:type="spellStart"/>
      <w:r w:rsidRPr="00B000C7">
        <w:t>SeaGas</w:t>
      </w:r>
      <w:proofErr w:type="spellEnd"/>
      <w:r w:rsidRPr="00B000C7">
        <w:t xml:space="preserve"> connection point and Western Underground Storage (WUGS) facility at Iona, to the North via the APA </w:t>
      </w:r>
      <w:proofErr w:type="spellStart"/>
      <w:r w:rsidRPr="00B000C7">
        <w:t>GasNet</w:t>
      </w:r>
      <w:proofErr w:type="spellEnd"/>
      <w:r w:rsidRPr="00B000C7">
        <w:t xml:space="preserve"> Northern Lateral Pipeline at Culcairn and to the East from Longford, </w:t>
      </w:r>
      <w:proofErr w:type="spellStart"/>
      <w:r w:rsidRPr="00B000C7">
        <w:t>VicHub</w:t>
      </w:r>
      <w:proofErr w:type="spellEnd"/>
      <w:r w:rsidRPr="00B000C7">
        <w:t xml:space="preserve"> and Bass Gas.</w:t>
      </w:r>
    </w:p>
    <w:p w:rsidR="0007320D" w:rsidRDefault="0007320D" w:rsidP="0007320D">
      <w:pPr>
        <w:pStyle w:val="AAHeading4"/>
      </w:pPr>
      <w:r>
        <w:lastRenderedPageBreak/>
        <w:t>Pipelines</w:t>
      </w:r>
    </w:p>
    <w:p w:rsidR="0007320D" w:rsidRDefault="0007320D" w:rsidP="0007320D">
      <w:pPr>
        <w:pStyle w:val="AAbody0"/>
      </w:pPr>
      <w:r>
        <w:t xml:space="preserve">The VTS comprises 45 different pipelines of differing lengths, diameters, ages and construction materials and methodologies. The pipeline is protected by pipeline coating (of various types and quality) and </w:t>
      </w:r>
      <w:proofErr w:type="spellStart"/>
      <w:r>
        <w:t>cathodic</w:t>
      </w:r>
      <w:proofErr w:type="spellEnd"/>
      <w:r>
        <w:t xml:space="preserve"> protection.</w:t>
      </w:r>
    </w:p>
    <w:p w:rsidR="0007320D" w:rsidRDefault="0007320D" w:rsidP="0007320D">
      <w:pPr>
        <w:pStyle w:val="AAbody0"/>
      </w:pPr>
      <w:r>
        <w:t>Pipeline assemblies include scraper assemblies (pig traps), mainline, isolating and b</w:t>
      </w:r>
      <w:r w:rsidRPr="00CF7082">
        <w:t xml:space="preserve">ranch </w:t>
      </w:r>
      <w:r>
        <w:t>v</w:t>
      </w:r>
      <w:r w:rsidRPr="00CF7082">
        <w:t>alve</w:t>
      </w:r>
      <w:r>
        <w:t xml:space="preserve"> assemblies and are generally designed to the same life as the pipeline.</w:t>
      </w:r>
    </w:p>
    <w:p w:rsidR="0007320D" w:rsidRDefault="0007320D" w:rsidP="0007320D">
      <w:pPr>
        <w:pStyle w:val="AAHeading4"/>
      </w:pPr>
      <w:r>
        <w:t>Stations</w:t>
      </w:r>
    </w:p>
    <w:p w:rsidR="0007320D" w:rsidRDefault="0007320D" w:rsidP="0007320D">
      <w:pPr>
        <w:pStyle w:val="AAbody0"/>
      </w:pPr>
      <w:r w:rsidRPr="00CF7082">
        <w:t>The broad category of ‘Stations’ encapsulates the gas f</w:t>
      </w:r>
      <w:r>
        <w:t xml:space="preserve">acilities that allow for control, measurement, storage or pressure maintenance of pipeline fluids within the VTS including compressor stations, </w:t>
      </w:r>
      <w:proofErr w:type="spellStart"/>
      <w:r>
        <w:t>odourisation</w:t>
      </w:r>
      <w:proofErr w:type="spellEnd"/>
      <w:r>
        <w:t xml:space="preserve"> stations, p</w:t>
      </w:r>
      <w:r w:rsidRPr="00CF7082">
        <w:t xml:space="preserve">ressure </w:t>
      </w:r>
      <w:r>
        <w:t>regulation</w:t>
      </w:r>
      <w:r w:rsidRPr="00CF7082">
        <w:t xml:space="preserve"> and </w:t>
      </w:r>
      <w:r>
        <w:t>metering</w:t>
      </w:r>
      <w:r w:rsidRPr="00CF7082">
        <w:t xml:space="preserve"> </w:t>
      </w:r>
      <w:r>
        <w:t>facilities</w:t>
      </w:r>
      <w:r w:rsidRPr="00CF7082">
        <w:t>.</w:t>
      </w:r>
      <w:r w:rsidRPr="00E41CDD">
        <w:t xml:space="preserve"> </w:t>
      </w:r>
    </w:p>
    <w:p w:rsidR="0007320D" w:rsidRDefault="0007320D" w:rsidP="0007320D">
      <w:pPr>
        <w:pStyle w:val="AAHeading4"/>
      </w:pPr>
      <w:r>
        <w:t>Compression facilities</w:t>
      </w:r>
    </w:p>
    <w:p w:rsidR="0007320D" w:rsidRDefault="0007320D" w:rsidP="0007320D">
      <w:pPr>
        <w:pStyle w:val="AAbody0"/>
      </w:pPr>
      <w:r>
        <w:t>The VTS comprises compressor stations at Gooding</w:t>
      </w:r>
      <w:r w:rsidRPr="009F1BA7">
        <w:t>, Brooklyn, Iona, Wollert</w:t>
      </w:r>
      <w:r>
        <w:t>, Euroa</w:t>
      </w:r>
      <w:r w:rsidRPr="009F1BA7">
        <w:t xml:space="preserve"> and Springhurst. </w:t>
      </w:r>
      <w:r>
        <w:t xml:space="preserve"> </w:t>
      </w:r>
      <w:r w:rsidRPr="009F1BA7">
        <w:t>AEMO remotely operate the compressor stations</w:t>
      </w:r>
      <w:r>
        <w:t xml:space="preserve"> in accordance with the SEA</w:t>
      </w:r>
      <w:r w:rsidRPr="009F1BA7">
        <w:t xml:space="preserve">. </w:t>
      </w:r>
    </w:p>
    <w:p w:rsidR="0007320D" w:rsidRDefault="0007320D" w:rsidP="0007320D">
      <w:pPr>
        <w:pStyle w:val="AAHeading4"/>
      </w:pPr>
      <w:r>
        <w:t>Plant and operational assets</w:t>
      </w:r>
    </w:p>
    <w:p w:rsidR="0007320D" w:rsidRPr="002B7043" w:rsidRDefault="0007320D" w:rsidP="0007320D">
      <w:pPr>
        <w:pStyle w:val="AAbody0"/>
        <w:rPr>
          <w:b/>
        </w:rPr>
      </w:pPr>
      <w:r w:rsidRPr="00307E0F">
        <w:t>Plant and operational assets include mobile plant and emergency response tools and equipment such as emergency portable lighting, vehicles, vent systems and emergency vent equipment.</w:t>
      </w:r>
    </w:p>
    <w:p w:rsidR="006B33F2" w:rsidRDefault="006B33F2" w:rsidP="006B33F2">
      <w:pPr>
        <w:pStyle w:val="BodyText"/>
      </w:pPr>
      <w:r w:rsidRPr="00A84482">
        <w:t xml:space="preserve">A more detailed description of the </w:t>
      </w:r>
      <w:r>
        <w:t>Pipeline,</w:t>
      </w:r>
      <w:r w:rsidRPr="00A84482">
        <w:t xml:space="preserve"> including a map, is available on </w:t>
      </w:r>
      <w:r>
        <w:t>APA</w:t>
      </w:r>
      <w:r w:rsidRPr="00A84482">
        <w:t xml:space="preserve"> Group’s website at </w:t>
      </w:r>
      <w:hyperlink r:id="rId11" w:history="1">
        <w:r w:rsidRPr="00A84482">
          <w:t>www.apa.com.au</w:t>
        </w:r>
      </w:hyperlink>
      <w:r>
        <w:t xml:space="preserve">, </w:t>
      </w:r>
      <w:r w:rsidRPr="00A84482">
        <w:t>which shows the general location and key</w:t>
      </w:r>
      <w:r>
        <w:t xml:space="preserve"> </w:t>
      </w:r>
      <w:r w:rsidRPr="00A84482">
        <w:t xml:space="preserve">points of the </w:t>
      </w:r>
      <w:r>
        <w:t xml:space="preserve">pipeline. </w:t>
      </w:r>
    </w:p>
    <w:p w:rsidR="004D7C4E" w:rsidRDefault="004D7C4E" w:rsidP="00770A69">
      <w:pPr>
        <w:pStyle w:val="Heading2"/>
      </w:pPr>
      <w:bookmarkStart w:id="7" w:name="_Toc340216044"/>
      <w:r>
        <w:t>Structure of this document</w:t>
      </w:r>
      <w:bookmarkEnd w:id="7"/>
    </w:p>
    <w:p w:rsidR="00CF15EC" w:rsidRDefault="004D7C4E" w:rsidP="004F460E">
      <w:pPr>
        <w:pStyle w:val="BodyText"/>
      </w:pPr>
      <w:r>
        <w:t>This document follows the structure of Rule 72</w:t>
      </w:r>
      <w:r w:rsidR="00E95616">
        <w:rPr>
          <w:rStyle w:val="FootnoteReference"/>
        </w:rPr>
        <w:footnoteReference w:id="1"/>
      </w:r>
      <w:r>
        <w:t xml:space="preserve"> </w:t>
      </w:r>
      <w:r w:rsidR="0098336A">
        <w:t>setting out</w:t>
      </w:r>
      <w:r>
        <w:t xml:space="preserve"> the requirements for content of the access arrangement information</w:t>
      </w:r>
      <w:r w:rsidRPr="000E0FD0">
        <w:t xml:space="preserve"> </w:t>
      </w:r>
      <w:r>
        <w:t>for a full access arrangement proposal.</w:t>
      </w:r>
      <w:r w:rsidR="004F460E">
        <w:t xml:space="preserve"> </w:t>
      </w:r>
    </w:p>
    <w:p w:rsidR="004F460E" w:rsidRDefault="00326B03" w:rsidP="004F460E">
      <w:pPr>
        <w:pStyle w:val="BodyText"/>
      </w:pPr>
      <w:r>
        <w:t>This current</w:t>
      </w:r>
      <w:r w:rsidR="009F0595">
        <w:t xml:space="preserve"> </w:t>
      </w:r>
      <w:r w:rsidR="004F460E">
        <w:t xml:space="preserve">access arrangement </w:t>
      </w:r>
      <w:r>
        <w:t>for the VTS</w:t>
      </w:r>
      <w:r w:rsidR="004F460E">
        <w:t xml:space="preserve"> commences at the end of an earlier access arrangement period, and therefore contains information </w:t>
      </w:r>
      <w:r w:rsidR="003C66CC">
        <w:t>relevant to</w:t>
      </w:r>
      <w:r w:rsidR="004F460E">
        <w:t xml:space="preserve"> the earlier access arrangement period (in this case spanning from </w:t>
      </w:r>
      <w:r w:rsidR="00B000C7">
        <w:t>01 January 2008</w:t>
      </w:r>
      <w:r w:rsidR="004F460E">
        <w:t xml:space="preserve"> to </w:t>
      </w:r>
      <w:r w:rsidR="00B000C7">
        <w:t>31 December</w:t>
      </w:r>
      <w:r w:rsidR="009F0595">
        <w:t xml:space="preserve"> 2012</w:t>
      </w:r>
      <w:r w:rsidR="004F460E">
        <w:t xml:space="preserve">) as required under the NGR. </w:t>
      </w:r>
      <w:r w:rsidR="003C66CC">
        <w:t>This information is included in Part 2 of the AAI. The remaining parts of this AAI are as follows:</w:t>
      </w:r>
    </w:p>
    <w:p w:rsidR="003C66CC" w:rsidRDefault="003C66CC" w:rsidP="003C66CC">
      <w:pPr>
        <w:pStyle w:val="ListBullet"/>
      </w:pPr>
      <w:r>
        <w:lastRenderedPageBreak/>
        <w:t>Part 3 establishes the capital base for the access arrangement period</w:t>
      </w:r>
      <w:r w:rsidR="00B000C7">
        <w:t xml:space="preserve"> from 01 January 2008 to 31 December 2012</w:t>
      </w:r>
      <w:r>
        <w:t>, including forecast capital expenditure fo</w:t>
      </w:r>
      <w:r w:rsidR="004A68B8">
        <w:t xml:space="preserve">r the </w:t>
      </w:r>
      <w:r w:rsidR="005B0B6A">
        <w:t xml:space="preserve">previous </w:t>
      </w:r>
      <w:r w:rsidR="004A68B8">
        <w:t>access arrangement period</w:t>
      </w:r>
      <w:r w:rsidR="00D65BD0">
        <w:t>;</w:t>
      </w:r>
    </w:p>
    <w:p w:rsidR="004F460E" w:rsidRDefault="003C66CC" w:rsidP="003C66CC">
      <w:pPr>
        <w:pStyle w:val="ListBullet"/>
      </w:pPr>
      <w:r>
        <w:t xml:space="preserve">Part 4 discusses forecast utilisation for the </w:t>
      </w:r>
      <w:r w:rsidR="00D13307">
        <w:t>pipeline</w:t>
      </w:r>
      <w:r>
        <w:t>, including forecast customer numbers</w:t>
      </w:r>
      <w:r w:rsidR="00D13307">
        <w:t>, reserved capacity</w:t>
      </w:r>
      <w:r>
        <w:t xml:space="preserve"> and volumes used to derive</w:t>
      </w:r>
      <w:r w:rsidR="004A68B8">
        <w:t xml:space="preserve"> tariffs</w:t>
      </w:r>
      <w:r w:rsidR="00D65BD0">
        <w:t>;</w:t>
      </w:r>
    </w:p>
    <w:p w:rsidR="003C66CC" w:rsidRDefault="003C66CC" w:rsidP="003C66CC">
      <w:pPr>
        <w:pStyle w:val="ListBullet"/>
      </w:pPr>
      <w:r>
        <w:t>Part 5 outlines forecast operating expenditure fo</w:t>
      </w:r>
      <w:r w:rsidR="004A68B8">
        <w:t>r the access arrangement period</w:t>
      </w:r>
      <w:r w:rsidR="00D65BD0">
        <w:t>;</w:t>
      </w:r>
    </w:p>
    <w:p w:rsidR="003C66CC" w:rsidRDefault="003C66CC" w:rsidP="003C66CC">
      <w:pPr>
        <w:pStyle w:val="ListBullet"/>
      </w:pPr>
      <w:r>
        <w:t>Part 6 sets out key</w:t>
      </w:r>
      <w:r w:rsidR="000A2BD9">
        <w:t xml:space="preserve"> performance indicators for the</w:t>
      </w:r>
      <w:r w:rsidR="00D65BD0">
        <w:t xml:space="preserve"> </w:t>
      </w:r>
      <w:r w:rsidR="00D13307">
        <w:t>pipeline;</w:t>
      </w:r>
    </w:p>
    <w:p w:rsidR="003C66CC" w:rsidRDefault="003C66CC" w:rsidP="003C66CC">
      <w:pPr>
        <w:pStyle w:val="ListBullet"/>
      </w:pPr>
      <w:r>
        <w:t xml:space="preserve">Part 7 </w:t>
      </w:r>
      <w:r w:rsidR="004A68B8">
        <w:t>sets out the rate of return used in the access arrangement</w:t>
      </w:r>
      <w:r w:rsidR="00D65BD0">
        <w:t>;</w:t>
      </w:r>
    </w:p>
    <w:p w:rsidR="004A68B8" w:rsidRDefault="004A68B8" w:rsidP="003C66CC">
      <w:pPr>
        <w:pStyle w:val="ListBullet"/>
      </w:pPr>
      <w:r>
        <w:t>Part 8 outlines</w:t>
      </w:r>
      <w:r w:rsidR="00D65BD0">
        <w:t xml:space="preserve"> the approach to taxation and how the tax asset base has been calculated;</w:t>
      </w:r>
    </w:p>
    <w:p w:rsidR="004A68B8" w:rsidRDefault="004A68B8" w:rsidP="003C66CC">
      <w:pPr>
        <w:pStyle w:val="ListBullet"/>
      </w:pPr>
      <w:r>
        <w:t>Part</w:t>
      </w:r>
      <w:r w:rsidR="00D65BD0">
        <w:t>s</w:t>
      </w:r>
      <w:r>
        <w:t xml:space="preserve"> 9</w:t>
      </w:r>
      <w:r w:rsidR="00D65BD0">
        <w:t xml:space="preserve"> and 11 discuss historical and proposed incentive mechanisms;</w:t>
      </w:r>
    </w:p>
    <w:p w:rsidR="00D65BD0" w:rsidRDefault="00D65BD0" w:rsidP="003C66CC">
      <w:pPr>
        <w:pStyle w:val="ListBullet"/>
      </w:pPr>
      <w:r>
        <w:t>Part 10 describes the reference services, approach to tariff setting and reference tariff variation mechanism; and</w:t>
      </w:r>
    </w:p>
    <w:p w:rsidR="00D65BD0" w:rsidRDefault="00D65BD0" w:rsidP="003C66CC">
      <w:pPr>
        <w:pStyle w:val="ListBullet"/>
      </w:pPr>
      <w:r>
        <w:t xml:space="preserve">Part 12 sets out the total revenue requirement for the </w:t>
      </w:r>
      <w:r w:rsidR="00D13307">
        <w:t xml:space="preserve">pipeline </w:t>
      </w:r>
      <w:r>
        <w:t>for each year of the access arrangement.</w:t>
      </w:r>
    </w:p>
    <w:p w:rsidR="000E0FD0" w:rsidRDefault="00B000C7" w:rsidP="0047306B">
      <w:pPr>
        <w:pStyle w:val="BodyText"/>
      </w:pPr>
      <w:r>
        <w:t>F</w:t>
      </w:r>
      <w:r w:rsidR="001D222F">
        <w:t xml:space="preserve">inancial information in this document is presented on a </w:t>
      </w:r>
      <w:r>
        <w:t>calendar</w:t>
      </w:r>
      <w:r w:rsidR="001D222F">
        <w:t xml:space="preserve"> year basis.</w:t>
      </w:r>
    </w:p>
    <w:p w:rsidR="00871BD3" w:rsidRDefault="00871BD3" w:rsidP="0047306B">
      <w:pPr>
        <w:pStyle w:val="BodyText"/>
      </w:pPr>
    </w:p>
    <w:p w:rsidR="0047306B" w:rsidRDefault="00CF15EC" w:rsidP="00770A69">
      <w:pPr>
        <w:pStyle w:val="Heading1"/>
      </w:pPr>
      <w:bookmarkStart w:id="8" w:name="_Toc340216045"/>
      <w:r>
        <w:lastRenderedPageBreak/>
        <w:t>Information relevant to the earlier access arrangement period</w:t>
      </w:r>
      <w:bookmarkEnd w:id="8"/>
    </w:p>
    <w:p w:rsidR="0047306B" w:rsidRDefault="0047306B" w:rsidP="00770A69">
      <w:pPr>
        <w:pStyle w:val="Heading2"/>
      </w:pPr>
      <w:bookmarkStart w:id="9" w:name="_Ref263943707"/>
      <w:bookmarkStart w:id="10" w:name="_Toc340216046"/>
      <w:r>
        <w:t>Capital expenditure</w:t>
      </w:r>
      <w:bookmarkEnd w:id="9"/>
      <w:bookmarkEnd w:id="10"/>
    </w:p>
    <w:p w:rsidR="000A2BD9" w:rsidRDefault="000A2BD9" w:rsidP="000A2BD9">
      <w:pPr>
        <w:pStyle w:val="BodyText"/>
      </w:pPr>
      <w:r>
        <w:t>Capital expenditure by asset class over the earlier access arrangement period</w:t>
      </w:r>
      <w:r w:rsidR="00CA095D">
        <w:rPr>
          <w:rStyle w:val="FootnoteReference"/>
        </w:rPr>
        <w:footnoteReference w:id="2"/>
      </w:r>
      <w:r>
        <w:t xml:space="preserve"> is set out in </w:t>
      </w:r>
      <w:r w:rsidR="00751B94">
        <w:fldChar w:fldCharType="begin"/>
      </w:r>
      <w:r>
        <w:instrText xml:space="preserve"> REF _Ref273360374 \h </w:instrText>
      </w:r>
      <w:r w:rsidR="00751B94">
        <w:fldChar w:fldCharType="separate"/>
      </w:r>
      <w:r w:rsidR="002E40B2" w:rsidRPr="00ED73A3">
        <w:rPr>
          <w:iCs/>
        </w:rPr>
        <w:t xml:space="preserve">Table </w:t>
      </w:r>
      <w:r w:rsidR="002E40B2">
        <w:rPr>
          <w:bCs/>
          <w:iCs/>
          <w:noProof/>
        </w:rPr>
        <w:t>2</w:t>
      </w:r>
      <w:r w:rsidR="002E40B2">
        <w:rPr>
          <w:iCs/>
        </w:rPr>
        <w:t>.</w:t>
      </w:r>
      <w:r w:rsidR="002E40B2">
        <w:rPr>
          <w:bCs/>
          <w:iCs/>
          <w:noProof/>
        </w:rPr>
        <w:t>1</w:t>
      </w:r>
      <w:r w:rsidR="00751B94">
        <w:fldChar w:fldCharType="end"/>
      </w:r>
      <w:r w:rsidR="00376158">
        <w:t xml:space="preserve"> below</w:t>
      </w:r>
      <w:r>
        <w:t>.</w:t>
      </w:r>
      <w:r w:rsidR="00D23C94" w:rsidRPr="00D23C94">
        <w:t xml:space="preserve"> </w:t>
      </w:r>
      <w:r w:rsidR="00D23C94">
        <w:t>These costs are based on actual costs for financial years 20</w:t>
      </w:r>
      <w:r w:rsidR="00C425F5">
        <w:t>06/</w:t>
      </w:r>
      <w:r w:rsidR="00D23C94">
        <w:t>07 to 20</w:t>
      </w:r>
      <w:r w:rsidR="00D13307">
        <w:t>10</w:t>
      </w:r>
      <w:r w:rsidR="00C425F5">
        <w:t>/</w:t>
      </w:r>
      <w:r w:rsidR="00D23C94">
        <w:t>1</w:t>
      </w:r>
      <w:r w:rsidR="00D13307">
        <w:t>1</w:t>
      </w:r>
      <w:r w:rsidR="00D23C94">
        <w:t>, and forecast costs for financial year 20</w:t>
      </w:r>
      <w:r w:rsidR="00C425F5">
        <w:t>1</w:t>
      </w:r>
      <w:r w:rsidR="00D13307">
        <w:t>1</w:t>
      </w:r>
      <w:r w:rsidR="00C425F5">
        <w:t>/</w:t>
      </w:r>
      <w:r w:rsidR="00D23C94">
        <w:t>1</w:t>
      </w:r>
      <w:r w:rsidR="00D13307">
        <w:t>2</w:t>
      </w:r>
      <w:r w:rsidR="00D23C94">
        <w:t>.</w:t>
      </w:r>
    </w:p>
    <w:p w:rsidR="00F75AD0" w:rsidRPr="00F75AD0" w:rsidRDefault="00A26B8D">
      <w:pPr>
        <w:pStyle w:val="Caption"/>
        <w:keepNext/>
        <w:rPr>
          <w:bCs w:val="0"/>
          <w:iCs/>
          <w:sz w:val="22"/>
        </w:rPr>
      </w:pPr>
      <w:bookmarkStart w:id="11" w:name="_Ref273360374"/>
      <w:proofErr w:type="gramStart"/>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2E40B2">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2E40B2">
        <w:rPr>
          <w:bCs w:val="0"/>
          <w:iCs/>
          <w:noProof/>
          <w:sz w:val="22"/>
        </w:rPr>
        <w:t>1</w:t>
      </w:r>
      <w:r w:rsidR="00751B94">
        <w:rPr>
          <w:bCs w:val="0"/>
          <w:iCs/>
          <w:sz w:val="22"/>
        </w:rPr>
        <w:fldChar w:fldCharType="end"/>
      </w:r>
      <w:bookmarkEnd w:id="11"/>
      <w:r>
        <w:rPr>
          <w:bCs w:val="0"/>
          <w:iCs/>
          <w:sz w:val="22"/>
        </w:rPr>
        <w:t xml:space="preserve"> – Capital expenditure by asset class over the earli</w:t>
      </w:r>
      <w:r w:rsidR="008F7C65">
        <w:rPr>
          <w:bCs w:val="0"/>
          <w:iCs/>
          <w:sz w:val="22"/>
        </w:rPr>
        <w:t>er access arrangement period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4"/>
        <w:gridCol w:w="1157"/>
        <w:gridCol w:w="1158"/>
        <w:gridCol w:w="1158"/>
        <w:gridCol w:w="1157"/>
        <w:gridCol w:w="1158"/>
        <w:gridCol w:w="1158"/>
      </w:tblGrid>
      <w:tr w:rsidR="003E3D51" w:rsidRPr="00476CBC" w:rsidTr="00B000C7">
        <w:trPr>
          <w:tblHeader/>
        </w:trPr>
        <w:tc>
          <w:tcPr>
            <w:tcW w:w="1384"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bookmarkStart w:id="12" w:name="_Ref263943698"/>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57" w:type="dxa"/>
            <w:tcBorders>
              <w:top w:val="nil"/>
              <w:left w:val="nil"/>
              <w:bottom w:val="nil"/>
              <w:right w:val="nil"/>
            </w:tcBorders>
            <w:shd w:val="clear" w:color="auto" w:fill="333333"/>
          </w:tcPr>
          <w:p w:rsidR="003E3D51" w:rsidRPr="001F6F2E" w:rsidRDefault="003E3D51" w:rsidP="00B000C7">
            <w:pPr>
              <w:pStyle w:val="BodyText"/>
              <w:jc w:val="center"/>
              <w:rPr>
                <w:rFonts w:ascii="Arial Narrow" w:hAnsi="Arial Narrow"/>
                <w:b/>
                <w:bCs/>
                <w:color w:val="FFFFFF"/>
                <w:sz w:val="20"/>
              </w:rPr>
            </w:pPr>
            <w:r w:rsidRPr="001F6F2E">
              <w:rPr>
                <w:rFonts w:ascii="Arial Narrow" w:hAnsi="Arial Narrow"/>
                <w:b/>
                <w:bCs/>
                <w:color w:val="FFFFFF"/>
                <w:sz w:val="20"/>
              </w:rPr>
              <w:t>2008</w:t>
            </w:r>
          </w:p>
        </w:tc>
        <w:tc>
          <w:tcPr>
            <w:tcW w:w="1158" w:type="dxa"/>
            <w:tcBorders>
              <w:top w:val="nil"/>
              <w:left w:val="nil"/>
              <w:bottom w:val="nil"/>
              <w:right w:val="nil"/>
            </w:tcBorders>
            <w:shd w:val="clear" w:color="auto" w:fill="333333"/>
          </w:tcPr>
          <w:p w:rsidR="003E3D51" w:rsidRPr="001F6F2E" w:rsidRDefault="003E3D51" w:rsidP="00B000C7">
            <w:pPr>
              <w:pStyle w:val="BodyText"/>
              <w:jc w:val="center"/>
              <w:rPr>
                <w:rFonts w:ascii="Arial Narrow" w:hAnsi="Arial Narrow"/>
                <w:b/>
                <w:bCs/>
                <w:color w:val="FFFFFF"/>
                <w:sz w:val="20"/>
              </w:rPr>
            </w:pPr>
            <w:r w:rsidRPr="001F6F2E">
              <w:rPr>
                <w:rFonts w:ascii="Arial Narrow" w:hAnsi="Arial Narrow"/>
                <w:b/>
                <w:bCs/>
                <w:color w:val="FFFFFF"/>
                <w:sz w:val="20"/>
              </w:rPr>
              <w:t>2009</w:t>
            </w:r>
          </w:p>
        </w:tc>
        <w:tc>
          <w:tcPr>
            <w:tcW w:w="1158" w:type="dxa"/>
            <w:tcBorders>
              <w:top w:val="nil"/>
              <w:left w:val="nil"/>
              <w:bottom w:val="nil"/>
              <w:right w:val="nil"/>
            </w:tcBorders>
            <w:shd w:val="clear" w:color="auto" w:fill="333333"/>
          </w:tcPr>
          <w:p w:rsidR="003E3D51" w:rsidRPr="001F6F2E" w:rsidRDefault="003E3D51" w:rsidP="00B000C7">
            <w:pPr>
              <w:pStyle w:val="BodyText"/>
              <w:jc w:val="center"/>
              <w:rPr>
                <w:rFonts w:ascii="Arial Narrow" w:hAnsi="Arial Narrow"/>
                <w:b/>
                <w:bCs/>
                <w:color w:val="FFFFFF"/>
                <w:sz w:val="20"/>
              </w:rPr>
            </w:pPr>
            <w:r w:rsidRPr="001F6F2E">
              <w:rPr>
                <w:rFonts w:ascii="Arial Narrow" w:hAnsi="Arial Narrow"/>
                <w:b/>
                <w:bCs/>
                <w:color w:val="FFFFFF"/>
                <w:sz w:val="20"/>
              </w:rPr>
              <w:t>2010</w:t>
            </w:r>
          </w:p>
        </w:tc>
        <w:tc>
          <w:tcPr>
            <w:tcW w:w="1157" w:type="dxa"/>
            <w:tcBorders>
              <w:top w:val="nil"/>
              <w:left w:val="nil"/>
              <w:bottom w:val="nil"/>
              <w:right w:val="nil"/>
            </w:tcBorders>
            <w:shd w:val="clear" w:color="auto" w:fill="333333"/>
          </w:tcPr>
          <w:p w:rsidR="003E3D51" w:rsidRPr="001F6F2E" w:rsidRDefault="003E3D51" w:rsidP="00B000C7">
            <w:pPr>
              <w:pStyle w:val="BodyText"/>
              <w:jc w:val="center"/>
              <w:rPr>
                <w:rFonts w:ascii="Arial Narrow" w:hAnsi="Arial Narrow"/>
                <w:b/>
                <w:bCs/>
                <w:color w:val="FFFFFF"/>
                <w:sz w:val="20"/>
              </w:rPr>
            </w:pPr>
            <w:r w:rsidRPr="001F6F2E">
              <w:rPr>
                <w:rFonts w:ascii="Arial Narrow" w:hAnsi="Arial Narrow"/>
                <w:b/>
                <w:bCs/>
                <w:color w:val="FFFFFF"/>
                <w:sz w:val="20"/>
              </w:rPr>
              <w:t>2011</w:t>
            </w:r>
          </w:p>
        </w:tc>
        <w:tc>
          <w:tcPr>
            <w:tcW w:w="1158" w:type="dxa"/>
            <w:tcBorders>
              <w:top w:val="nil"/>
              <w:left w:val="nil"/>
              <w:bottom w:val="nil"/>
              <w:right w:val="nil"/>
            </w:tcBorders>
            <w:shd w:val="clear" w:color="auto" w:fill="333333"/>
          </w:tcPr>
          <w:p w:rsidR="003E3D51" w:rsidRPr="001F6F2E" w:rsidRDefault="003E3D51" w:rsidP="00B000C7">
            <w:pPr>
              <w:pStyle w:val="BodyText"/>
              <w:jc w:val="center"/>
              <w:rPr>
                <w:rFonts w:ascii="Arial Narrow" w:hAnsi="Arial Narrow"/>
                <w:b/>
                <w:bCs/>
                <w:color w:val="FFFFFF"/>
                <w:sz w:val="20"/>
              </w:rPr>
            </w:pPr>
            <w:r w:rsidRPr="001F6F2E">
              <w:rPr>
                <w:rFonts w:ascii="Arial Narrow" w:hAnsi="Arial Narrow"/>
                <w:b/>
                <w:bCs/>
                <w:color w:val="FFFFFF"/>
                <w:sz w:val="20"/>
              </w:rPr>
              <w:t>2012F</w:t>
            </w:r>
          </w:p>
        </w:tc>
        <w:tc>
          <w:tcPr>
            <w:tcW w:w="1158" w:type="dxa"/>
            <w:tcBorders>
              <w:top w:val="nil"/>
              <w:left w:val="nil"/>
              <w:bottom w:val="nil"/>
              <w:right w:val="nil"/>
            </w:tcBorders>
            <w:shd w:val="clear" w:color="auto" w:fill="333333"/>
          </w:tcPr>
          <w:p w:rsidR="003E3D51" w:rsidRPr="001F6F2E" w:rsidRDefault="003E3D51" w:rsidP="00281545">
            <w:pPr>
              <w:pStyle w:val="BodyText"/>
              <w:jc w:val="center"/>
              <w:rPr>
                <w:rFonts w:ascii="Arial Narrow" w:hAnsi="Arial Narrow"/>
                <w:b/>
                <w:bCs/>
                <w:color w:val="FFFFFF"/>
                <w:sz w:val="20"/>
              </w:rPr>
            </w:pPr>
            <w:r w:rsidRPr="001F6F2E">
              <w:rPr>
                <w:rFonts w:ascii="Arial Narrow" w:hAnsi="Arial Narrow"/>
                <w:b/>
                <w:bCs/>
                <w:color w:val="FFFFFF"/>
                <w:sz w:val="20"/>
              </w:rPr>
              <w:t>Total</w:t>
            </w:r>
          </w:p>
        </w:tc>
      </w:tr>
      <w:tr w:rsidR="00F75AD0" w:rsidRPr="00476CBC" w:rsidTr="005864F3">
        <w:tc>
          <w:tcPr>
            <w:tcW w:w="1384" w:type="dxa"/>
          </w:tcPr>
          <w:p w:rsidR="00F75AD0" w:rsidRPr="001F6F2E" w:rsidRDefault="00F75AD0" w:rsidP="00281545">
            <w:pPr>
              <w:pStyle w:val="TableBodyText"/>
              <w:keepNext/>
              <w:jc w:val="left"/>
              <w:rPr>
                <w:sz w:val="20"/>
              </w:rPr>
            </w:pPr>
            <w:r>
              <w:rPr>
                <w:sz w:val="20"/>
              </w:rPr>
              <w:t>Stay in Business</w:t>
            </w:r>
          </w:p>
        </w:tc>
        <w:tc>
          <w:tcPr>
            <w:tcW w:w="115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15.3 </w:t>
            </w:r>
          </w:p>
        </w:tc>
        <w:tc>
          <w:tcPr>
            <w:tcW w:w="115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4.8 </w:t>
            </w:r>
          </w:p>
        </w:tc>
        <w:tc>
          <w:tcPr>
            <w:tcW w:w="115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5.3 </w:t>
            </w:r>
          </w:p>
        </w:tc>
        <w:tc>
          <w:tcPr>
            <w:tcW w:w="115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8.0 </w:t>
            </w:r>
          </w:p>
        </w:tc>
        <w:tc>
          <w:tcPr>
            <w:tcW w:w="115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7.8 </w:t>
            </w:r>
          </w:p>
        </w:tc>
        <w:tc>
          <w:tcPr>
            <w:tcW w:w="1158"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color w:val="000000"/>
                <w:sz w:val="20"/>
              </w:rPr>
              <w:t xml:space="preserve"> 41.3 </w:t>
            </w:r>
          </w:p>
        </w:tc>
      </w:tr>
      <w:tr w:rsidR="00F75AD0" w:rsidRPr="00476CBC" w:rsidTr="005864F3">
        <w:tc>
          <w:tcPr>
            <w:tcW w:w="1384" w:type="dxa"/>
          </w:tcPr>
          <w:p w:rsidR="00F75AD0" w:rsidRPr="001F6F2E" w:rsidRDefault="00F75AD0" w:rsidP="00281545">
            <w:pPr>
              <w:pStyle w:val="TableFooter"/>
              <w:keepNext/>
              <w:jc w:val="left"/>
              <w:rPr>
                <w:b w:val="0"/>
                <w:sz w:val="20"/>
              </w:rPr>
            </w:pPr>
            <w:r>
              <w:rPr>
                <w:b w:val="0"/>
                <w:sz w:val="20"/>
              </w:rPr>
              <w:t>Pipelines and compressors</w:t>
            </w:r>
          </w:p>
        </w:tc>
        <w:tc>
          <w:tcPr>
            <w:tcW w:w="115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22.5 </w:t>
            </w:r>
          </w:p>
        </w:tc>
        <w:tc>
          <w:tcPr>
            <w:tcW w:w="115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5.4 </w:t>
            </w:r>
          </w:p>
        </w:tc>
        <w:tc>
          <w:tcPr>
            <w:tcW w:w="115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5.4 </w:t>
            </w:r>
          </w:p>
        </w:tc>
        <w:tc>
          <w:tcPr>
            <w:tcW w:w="115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45.5 </w:t>
            </w:r>
          </w:p>
        </w:tc>
        <w:tc>
          <w:tcPr>
            <w:tcW w:w="115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 50.2 </w:t>
            </w:r>
          </w:p>
        </w:tc>
        <w:tc>
          <w:tcPr>
            <w:tcW w:w="1158"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color w:val="000000"/>
                <w:sz w:val="20"/>
              </w:rPr>
              <w:t xml:space="preserve"> 129.1 </w:t>
            </w:r>
          </w:p>
        </w:tc>
      </w:tr>
      <w:tr w:rsidR="00F75AD0" w:rsidRPr="00476CBC" w:rsidTr="005864F3">
        <w:tc>
          <w:tcPr>
            <w:tcW w:w="1384" w:type="dxa"/>
          </w:tcPr>
          <w:p w:rsidR="00F75AD0" w:rsidRPr="001F6F2E" w:rsidRDefault="00F75AD0" w:rsidP="005701FE">
            <w:pPr>
              <w:pStyle w:val="TableBodyTextBold"/>
              <w:jc w:val="left"/>
              <w:rPr>
                <w:sz w:val="20"/>
              </w:rPr>
            </w:pPr>
            <w:r w:rsidRPr="001F6F2E">
              <w:rPr>
                <w:sz w:val="20"/>
              </w:rPr>
              <w:t xml:space="preserve">Total </w:t>
            </w:r>
            <w:r>
              <w:rPr>
                <w:sz w:val="20"/>
              </w:rPr>
              <w:t>Capex</w:t>
            </w:r>
          </w:p>
        </w:tc>
        <w:tc>
          <w:tcPr>
            <w:tcW w:w="1157"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sz w:val="20"/>
              </w:rPr>
              <w:t xml:space="preserve"> 37.8 </w:t>
            </w:r>
          </w:p>
        </w:tc>
        <w:tc>
          <w:tcPr>
            <w:tcW w:w="1158"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sz w:val="20"/>
              </w:rPr>
              <w:t xml:space="preserve"> 10.2 </w:t>
            </w:r>
          </w:p>
        </w:tc>
        <w:tc>
          <w:tcPr>
            <w:tcW w:w="1158"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sz w:val="20"/>
              </w:rPr>
              <w:t xml:space="preserve"> 10.7 </w:t>
            </w:r>
          </w:p>
        </w:tc>
        <w:tc>
          <w:tcPr>
            <w:tcW w:w="1157"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sz w:val="20"/>
              </w:rPr>
              <w:t xml:space="preserve"> 53.6 </w:t>
            </w:r>
          </w:p>
        </w:tc>
        <w:tc>
          <w:tcPr>
            <w:tcW w:w="1158"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sz w:val="20"/>
              </w:rPr>
              <w:t xml:space="preserve"> 58.0 </w:t>
            </w:r>
          </w:p>
        </w:tc>
        <w:tc>
          <w:tcPr>
            <w:tcW w:w="1158"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sz w:val="20"/>
              </w:rPr>
              <w:t xml:space="preserve"> 170.3 </w:t>
            </w:r>
          </w:p>
        </w:tc>
      </w:tr>
    </w:tbl>
    <w:p w:rsidR="0047306B" w:rsidRPr="008F473E" w:rsidRDefault="0047306B" w:rsidP="00770A69">
      <w:pPr>
        <w:pStyle w:val="Heading2"/>
      </w:pPr>
      <w:bookmarkStart w:id="13" w:name="_Toc340216047"/>
      <w:r w:rsidRPr="008F473E">
        <w:t>Operating expenditure</w:t>
      </w:r>
      <w:bookmarkEnd w:id="12"/>
      <w:bookmarkEnd w:id="13"/>
    </w:p>
    <w:p w:rsidR="00855AE7" w:rsidRDefault="00855AE7" w:rsidP="00855AE7">
      <w:pPr>
        <w:pStyle w:val="BodyText"/>
      </w:pPr>
      <w:r>
        <w:t>Operating expenditure by category over the earlier access arrangement period</w:t>
      </w:r>
      <w:r w:rsidR="00CA095D">
        <w:rPr>
          <w:rStyle w:val="FootnoteReference"/>
        </w:rPr>
        <w:footnoteReference w:id="3"/>
      </w:r>
      <w:r>
        <w:t xml:space="preserve"> is set out in </w:t>
      </w:r>
      <w:r w:rsidR="00751B94">
        <w:fldChar w:fldCharType="begin"/>
      </w:r>
      <w:r>
        <w:instrText xml:space="preserve"> REF _Ref273360513 \h </w:instrText>
      </w:r>
      <w:r w:rsidR="00751B94">
        <w:fldChar w:fldCharType="separate"/>
      </w:r>
      <w:r w:rsidR="002E40B2" w:rsidRPr="00E36EA0">
        <w:rPr>
          <w:iCs/>
        </w:rPr>
        <w:t xml:space="preserve">Table </w:t>
      </w:r>
      <w:r w:rsidR="002E40B2">
        <w:rPr>
          <w:bCs/>
          <w:iCs/>
          <w:noProof/>
        </w:rPr>
        <w:t>2</w:t>
      </w:r>
      <w:r w:rsidR="002E40B2">
        <w:rPr>
          <w:iCs/>
        </w:rPr>
        <w:t>.</w:t>
      </w:r>
      <w:r w:rsidR="002E40B2">
        <w:rPr>
          <w:bCs/>
          <w:iCs/>
          <w:noProof/>
        </w:rPr>
        <w:t>2</w:t>
      </w:r>
      <w:r w:rsidR="00751B94">
        <w:fldChar w:fldCharType="end"/>
      </w:r>
      <w:r>
        <w:t xml:space="preserve"> below.</w:t>
      </w:r>
      <w:r w:rsidR="00E36EA0" w:rsidRPr="00E36EA0">
        <w:t xml:space="preserve"> </w:t>
      </w:r>
      <w:r w:rsidR="00E36EA0">
        <w:t xml:space="preserve">These costs are based on actual costs for </w:t>
      </w:r>
      <w:r w:rsidR="00B000C7">
        <w:t>calendar</w:t>
      </w:r>
      <w:r w:rsidR="00E36EA0">
        <w:t xml:space="preserve"> years 20</w:t>
      </w:r>
      <w:r w:rsidR="00C425F5">
        <w:t>0</w:t>
      </w:r>
      <w:r w:rsidR="00B000C7">
        <w:t>8</w:t>
      </w:r>
      <w:r w:rsidR="00E36EA0">
        <w:t xml:space="preserve"> to 20</w:t>
      </w:r>
      <w:r w:rsidR="00D13307">
        <w:t>11</w:t>
      </w:r>
      <w:r w:rsidR="00E36EA0">
        <w:t xml:space="preserve">, and forecast costs for </w:t>
      </w:r>
      <w:r w:rsidR="00B000C7">
        <w:t>calendar</w:t>
      </w:r>
      <w:r w:rsidR="00E36EA0">
        <w:t xml:space="preserve"> year 20</w:t>
      </w:r>
      <w:r w:rsidR="00C425F5">
        <w:t>1</w:t>
      </w:r>
      <w:r w:rsidR="00D13307">
        <w:t>2</w:t>
      </w:r>
      <w:r w:rsidR="00E36EA0">
        <w:t>.</w:t>
      </w:r>
    </w:p>
    <w:p w:rsidR="00E36EA0" w:rsidRPr="00E36EA0" w:rsidRDefault="00ED73A3" w:rsidP="00F0786E">
      <w:pPr>
        <w:pStyle w:val="Caption"/>
        <w:keepNext/>
        <w:rPr>
          <w:bCs w:val="0"/>
          <w:iCs/>
          <w:sz w:val="22"/>
        </w:rPr>
      </w:pPr>
      <w:bookmarkStart w:id="14" w:name="_Ref273360513"/>
      <w:proofErr w:type="gramStart"/>
      <w:r w:rsidRPr="00E36EA0">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2E40B2">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2E40B2">
        <w:rPr>
          <w:bCs w:val="0"/>
          <w:iCs/>
          <w:noProof/>
          <w:sz w:val="22"/>
        </w:rPr>
        <w:t>2</w:t>
      </w:r>
      <w:r w:rsidR="00751B94">
        <w:rPr>
          <w:bCs w:val="0"/>
          <w:iCs/>
          <w:sz w:val="22"/>
        </w:rPr>
        <w:fldChar w:fldCharType="end"/>
      </w:r>
      <w:bookmarkEnd w:id="14"/>
      <w:r w:rsidRPr="00E36EA0">
        <w:rPr>
          <w:bCs w:val="0"/>
          <w:iCs/>
          <w:sz w:val="22"/>
        </w:rPr>
        <w:t xml:space="preserve"> – </w:t>
      </w:r>
      <w:r w:rsidR="00855AE7" w:rsidRPr="00E36EA0">
        <w:rPr>
          <w:bCs w:val="0"/>
          <w:iCs/>
          <w:sz w:val="22"/>
        </w:rPr>
        <w:t>Operating expenditure by category over the earlier access arrangement period</w:t>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09"/>
        <w:gridCol w:w="1304"/>
        <w:gridCol w:w="1304"/>
        <w:gridCol w:w="1304"/>
        <w:gridCol w:w="1304"/>
        <w:gridCol w:w="1305"/>
      </w:tblGrid>
      <w:tr w:rsidR="00B000C7" w:rsidRPr="007744A8" w:rsidTr="00B000C7">
        <w:tc>
          <w:tcPr>
            <w:tcW w:w="1809" w:type="dxa"/>
            <w:tcBorders>
              <w:top w:val="nil"/>
              <w:left w:val="nil"/>
              <w:bottom w:val="nil"/>
              <w:right w:val="nil"/>
            </w:tcBorders>
            <w:shd w:val="clear" w:color="auto" w:fill="333333"/>
          </w:tcPr>
          <w:p w:rsidR="00B000C7" w:rsidRPr="007744A8" w:rsidRDefault="00B000C7" w:rsidP="00281545">
            <w:pPr>
              <w:pStyle w:val="BodyText"/>
              <w:keepNext/>
              <w:rPr>
                <w:rFonts w:ascii="Arial Narrow" w:hAnsi="Arial Narrow"/>
                <w:b/>
                <w:bCs/>
                <w:color w:val="FFFFFF"/>
                <w:sz w:val="20"/>
              </w:rPr>
            </w:pPr>
            <w:bookmarkStart w:id="15" w:name="_Ref263943729"/>
            <w:bookmarkStart w:id="16" w:name="_Ref263943736"/>
            <w:bookmarkStart w:id="17" w:name="_Ref263943742"/>
            <w:r w:rsidRPr="007744A8">
              <w:rPr>
                <w:rFonts w:ascii="Arial Narrow" w:hAnsi="Arial Narrow"/>
                <w:b/>
                <w:bCs/>
                <w:color w:val="FFFFFF"/>
                <w:sz w:val="20"/>
              </w:rPr>
              <w:t xml:space="preserve">$’000 </w:t>
            </w:r>
            <w:r w:rsidR="005660AF">
              <w:rPr>
                <w:rFonts w:ascii="Arial Narrow" w:hAnsi="Arial Narrow"/>
                <w:b/>
                <w:bCs/>
                <w:color w:val="FFFFFF"/>
                <w:sz w:val="20"/>
              </w:rPr>
              <w:t>(</w:t>
            </w:r>
            <w:r w:rsidRPr="007744A8">
              <w:rPr>
                <w:rFonts w:ascii="Arial Narrow" w:hAnsi="Arial Narrow"/>
                <w:b/>
                <w:bCs/>
                <w:color w:val="FFFFFF"/>
                <w:sz w:val="20"/>
              </w:rPr>
              <w:t>nominal)</w:t>
            </w:r>
          </w:p>
        </w:tc>
        <w:tc>
          <w:tcPr>
            <w:tcW w:w="1304" w:type="dxa"/>
            <w:tcBorders>
              <w:top w:val="nil"/>
              <w:left w:val="nil"/>
              <w:bottom w:val="nil"/>
              <w:right w:val="nil"/>
            </w:tcBorders>
            <w:shd w:val="clear" w:color="auto" w:fill="333333"/>
          </w:tcPr>
          <w:p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2008</w:t>
            </w:r>
          </w:p>
        </w:tc>
        <w:tc>
          <w:tcPr>
            <w:tcW w:w="1304" w:type="dxa"/>
            <w:tcBorders>
              <w:top w:val="nil"/>
              <w:left w:val="nil"/>
              <w:bottom w:val="nil"/>
              <w:right w:val="nil"/>
            </w:tcBorders>
            <w:shd w:val="clear" w:color="auto" w:fill="333333"/>
          </w:tcPr>
          <w:p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2009</w:t>
            </w:r>
          </w:p>
        </w:tc>
        <w:tc>
          <w:tcPr>
            <w:tcW w:w="1304" w:type="dxa"/>
            <w:tcBorders>
              <w:top w:val="nil"/>
              <w:left w:val="nil"/>
              <w:bottom w:val="nil"/>
              <w:right w:val="nil"/>
            </w:tcBorders>
            <w:shd w:val="clear" w:color="auto" w:fill="333333"/>
          </w:tcPr>
          <w:p w:rsidR="00B000C7" w:rsidRPr="007744A8" w:rsidRDefault="00BB17A0" w:rsidP="00B000C7">
            <w:pPr>
              <w:pStyle w:val="BodyText"/>
              <w:keepNext/>
              <w:jc w:val="center"/>
              <w:rPr>
                <w:rFonts w:ascii="Arial Narrow" w:hAnsi="Arial Narrow"/>
                <w:b/>
                <w:bCs/>
                <w:color w:val="FFFFFF"/>
                <w:sz w:val="20"/>
              </w:rPr>
            </w:pPr>
            <w:r>
              <w:rPr>
                <w:rFonts w:ascii="Arial Narrow" w:hAnsi="Arial Narrow"/>
                <w:b/>
                <w:bCs/>
                <w:color w:val="FFFFFF"/>
                <w:sz w:val="20"/>
              </w:rPr>
              <w:t>201</w:t>
            </w:r>
            <w:r w:rsidR="00B000C7" w:rsidRPr="007744A8">
              <w:rPr>
                <w:rFonts w:ascii="Arial Narrow" w:hAnsi="Arial Narrow"/>
                <w:b/>
                <w:bCs/>
                <w:color w:val="FFFFFF"/>
                <w:sz w:val="20"/>
              </w:rPr>
              <w:t>0</w:t>
            </w:r>
          </w:p>
        </w:tc>
        <w:tc>
          <w:tcPr>
            <w:tcW w:w="1304" w:type="dxa"/>
            <w:tcBorders>
              <w:top w:val="nil"/>
              <w:left w:val="nil"/>
              <w:bottom w:val="nil"/>
              <w:right w:val="nil"/>
            </w:tcBorders>
            <w:shd w:val="clear" w:color="auto" w:fill="333333"/>
          </w:tcPr>
          <w:p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2011</w:t>
            </w:r>
          </w:p>
        </w:tc>
        <w:tc>
          <w:tcPr>
            <w:tcW w:w="1305" w:type="dxa"/>
            <w:tcBorders>
              <w:top w:val="nil"/>
              <w:left w:val="nil"/>
              <w:bottom w:val="nil"/>
              <w:right w:val="nil"/>
            </w:tcBorders>
            <w:shd w:val="clear" w:color="auto" w:fill="333333"/>
          </w:tcPr>
          <w:p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2012</w:t>
            </w:r>
            <w:r>
              <w:rPr>
                <w:rFonts w:ascii="Arial Narrow" w:hAnsi="Arial Narrow"/>
                <w:b/>
                <w:bCs/>
                <w:color w:val="FFFFFF"/>
                <w:sz w:val="20"/>
              </w:rPr>
              <w:t>F</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Wages &amp; Salaries</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6,577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6,648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7,370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8,443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8,943 </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APT Other Corporate Costs</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6,705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8,620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9,262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9,801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10,434 </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Operations and Maintenance, Insurance, License Fees and Security</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9,977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7,774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6,742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8,587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9,618 </w:t>
            </w:r>
          </w:p>
        </w:tc>
      </w:tr>
      <w:tr w:rsidR="00F75AD0" w:rsidRPr="00731D5D" w:rsidTr="005864F3">
        <w:tc>
          <w:tcPr>
            <w:tcW w:w="1809" w:type="dxa"/>
          </w:tcPr>
          <w:p w:rsidR="00F75AD0" w:rsidRPr="00731D5D" w:rsidRDefault="00F75AD0" w:rsidP="00281545">
            <w:pPr>
              <w:pStyle w:val="TableFooter"/>
              <w:rPr>
                <w:sz w:val="20"/>
              </w:rPr>
            </w:pPr>
            <w:r w:rsidRPr="00731D5D">
              <w:rPr>
                <w:sz w:val="20"/>
              </w:rPr>
              <w:t>Total</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23,259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23,042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23,374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26,831 </w:t>
            </w:r>
          </w:p>
        </w:tc>
        <w:tc>
          <w:tcPr>
            <w:tcW w:w="1305" w:type="dxa"/>
            <w:vAlign w:val="center"/>
          </w:tcPr>
          <w:p w:rsidR="00F75AD0" w:rsidRPr="00731D5D" w:rsidRDefault="00F75AD0" w:rsidP="00AA0F11">
            <w:pPr>
              <w:jc w:val="center"/>
              <w:rPr>
                <w:rFonts w:ascii="Arial Narrow" w:hAnsi="Arial Narrow" w:cs="Tahoma"/>
                <w:b/>
                <w:color w:val="000000"/>
                <w:sz w:val="20"/>
              </w:rPr>
            </w:pPr>
            <w:r>
              <w:rPr>
                <w:rFonts w:ascii="Arial Narrow" w:hAnsi="Arial Narrow" w:cs="Tahoma"/>
                <w:b/>
                <w:bCs/>
                <w:color w:val="000000"/>
                <w:sz w:val="20"/>
              </w:rPr>
              <w:t xml:space="preserve">28,995 </w:t>
            </w:r>
          </w:p>
        </w:tc>
      </w:tr>
    </w:tbl>
    <w:p w:rsidR="0047306B" w:rsidRDefault="001D222F" w:rsidP="00770A69">
      <w:pPr>
        <w:pStyle w:val="Heading2"/>
      </w:pPr>
      <w:bookmarkStart w:id="18" w:name="_Toc340216048"/>
      <w:r>
        <w:lastRenderedPageBreak/>
        <w:t xml:space="preserve">Pipeline </w:t>
      </w:r>
      <w:r w:rsidR="0047306B">
        <w:t>usage</w:t>
      </w:r>
      <w:bookmarkEnd w:id="15"/>
      <w:bookmarkEnd w:id="16"/>
      <w:bookmarkEnd w:id="17"/>
      <w:bookmarkEnd w:id="18"/>
    </w:p>
    <w:p w:rsidR="00D9035B" w:rsidRDefault="00D13307" w:rsidP="00D9035B">
      <w:pPr>
        <w:pStyle w:val="BodyText"/>
      </w:pPr>
      <w:r>
        <w:t xml:space="preserve">Pipeline </w:t>
      </w:r>
      <w:r w:rsidR="00376158">
        <w:t>minimum, maximum and average demand figures over the earlier access arrangement period</w:t>
      </w:r>
      <w:r w:rsidR="001312AF">
        <w:rPr>
          <w:rStyle w:val="FootnoteReference"/>
        </w:rPr>
        <w:footnoteReference w:id="4"/>
      </w:r>
      <w:r w:rsidR="00376158">
        <w:t xml:space="preserve"> are set out in </w:t>
      </w:r>
      <w:r w:rsidR="00751B94">
        <w:fldChar w:fldCharType="begin"/>
      </w:r>
      <w:r w:rsidR="00376158">
        <w:instrText xml:space="preserve"> REF _Ref273361637 \h </w:instrText>
      </w:r>
      <w:r w:rsidR="00751B94">
        <w:fldChar w:fldCharType="separate"/>
      </w:r>
      <w:r w:rsidR="002E40B2" w:rsidRPr="00DD6DD1">
        <w:rPr>
          <w:iCs/>
        </w:rPr>
        <w:t xml:space="preserve">Table </w:t>
      </w:r>
      <w:r w:rsidR="002E40B2">
        <w:rPr>
          <w:bCs/>
          <w:iCs/>
          <w:noProof/>
        </w:rPr>
        <w:t>2</w:t>
      </w:r>
      <w:r w:rsidR="002E40B2">
        <w:rPr>
          <w:iCs/>
        </w:rPr>
        <w:t>.</w:t>
      </w:r>
      <w:r w:rsidR="002E40B2">
        <w:rPr>
          <w:bCs/>
          <w:iCs/>
          <w:noProof/>
        </w:rPr>
        <w:t>3</w:t>
      </w:r>
      <w:r w:rsidR="00751B94">
        <w:fldChar w:fldCharType="end"/>
      </w:r>
      <w:r w:rsidR="00376158">
        <w:t xml:space="preserve"> below</w:t>
      </w:r>
      <w:r w:rsidR="00566DCE">
        <w:t xml:space="preserve">. These figures are based on actual demand for </w:t>
      </w:r>
      <w:r w:rsidR="00BB17A0">
        <w:t>calendar</w:t>
      </w:r>
      <w:r w:rsidR="00566DCE">
        <w:t xml:space="preserve"> years 20</w:t>
      </w:r>
      <w:r w:rsidR="00C425F5">
        <w:t>0</w:t>
      </w:r>
      <w:r w:rsidR="00BB17A0">
        <w:t>8</w:t>
      </w:r>
      <w:r w:rsidR="00566DCE">
        <w:t xml:space="preserve"> to 201</w:t>
      </w:r>
      <w:r>
        <w:t>1</w:t>
      </w:r>
      <w:r w:rsidR="00566DCE">
        <w:t xml:space="preserve">, and forecast demand for </w:t>
      </w:r>
      <w:r w:rsidR="00BB17A0">
        <w:t>calendar</w:t>
      </w:r>
      <w:r w:rsidR="00566DCE">
        <w:t xml:space="preserve"> year 20</w:t>
      </w:r>
      <w:r w:rsidR="00C425F5">
        <w:t>1</w:t>
      </w:r>
      <w:r>
        <w:t>2</w:t>
      </w:r>
      <w:r w:rsidR="00566DCE">
        <w:t>.</w:t>
      </w:r>
    </w:p>
    <w:p w:rsidR="00ED73A3" w:rsidRPr="00DD6DD1" w:rsidRDefault="00ED73A3" w:rsidP="00DD6DD1">
      <w:pPr>
        <w:pStyle w:val="Caption"/>
        <w:keepNext/>
        <w:rPr>
          <w:bCs w:val="0"/>
          <w:iCs/>
          <w:sz w:val="22"/>
        </w:rPr>
      </w:pPr>
      <w:bookmarkStart w:id="19" w:name="_Ref273361637"/>
      <w:proofErr w:type="gramStart"/>
      <w:r w:rsidRPr="00DD6DD1">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2E40B2">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2E40B2">
        <w:rPr>
          <w:bCs w:val="0"/>
          <w:iCs/>
          <w:noProof/>
          <w:sz w:val="22"/>
        </w:rPr>
        <w:t>3</w:t>
      </w:r>
      <w:r w:rsidR="00751B94">
        <w:rPr>
          <w:bCs w:val="0"/>
          <w:iCs/>
          <w:sz w:val="22"/>
        </w:rPr>
        <w:fldChar w:fldCharType="end"/>
      </w:r>
      <w:bookmarkEnd w:id="19"/>
      <w:r w:rsidRPr="00DD6DD1">
        <w:rPr>
          <w:bCs w:val="0"/>
          <w:iCs/>
          <w:sz w:val="22"/>
        </w:rPr>
        <w:t xml:space="preserve"> –</w:t>
      </w:r>
      <w:r w:rsidR="001D222F">
        <w:rPr>
          <w:bCs w:val="0"/>
          <w:iCs/>
          <w:sz w:val="22"/>
        </w:rPr>
        <w:t>M</w:t>
      </w:r>
      <w:r w:rsidR="00376158" w:rsidRPr="00DD6DD1">
        <w:rPr>
          <w:bCs w:val="0"/>
          <w:iCs/>
          <w:sz w:val="22"/>
        </w:rPr>
        <w:t>inimum, maximum and average demand over the earlier access arrangement period</w:t>
      </w:r>
    </w:p>
    <w:tbl>
      <w:tblPr>
        <w:tblW w:w="822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679"/>
        <w:gridCol w:w="1308"/>
        <w:gridCol w:w="1309"/>
        <w:gridCol w:w="1308"/>
        <w:gridCol w:w="1309"/>
        <w:gridCol w:w="1309"/>
      </w:tblGrid>
      <w:tr w:rsidR="00BB17A0" w:rsidRPr="00DC1337" w:rsidTr="00BB17A0">
        <w:tc>
          <w:tcPr>
            <w:tcW w:w="1679" w:type="dxa"/>
            <w:tcBorders>
              <w:top w:val="nil"/>
              <w:left w:val="nil"/>
              <w:bottom w:val="nil"/>
              <w:right w:val="nil"/>
              <w:tl2br w:val="nil"/>
              <w:tr2bl w:val="nil"/>
            </w:tcBorders>
            <w:shd w:val="clear" w:color="auto" w:fill="333333"/>
          </w:tcPr>
          <w:p w:rsidR="00BB17A0" w:rsidRPr="00DC1337" w:rsidRDefault="00BB17A0" w:rsidP="00DC1337">
            <w:pPr>
              <w:pStyle w:val="BodyText"/>
              <w:keepNext/>
              <w:rPr>
                <w:rFonts w:ascii="Arial Narrow" w:hAnsi="Arial Narrow"/>
                <w:b/>
                <w:bCs/>
                <w:color w:val="FFFFFF"/>
                <w:sz w:val="20"/>
              </w:rPr>
            </w:pPr>
            <w:r w:rsidRPr="00DC1337">
              <w:rPr>
                <w:rFonts w:ascii="Arial Narrow" w:hAnsi="Arial Narrow"/>
                <w:b/>
                <w:bCs/>
                <w:color w:val="FFFFFF"/>
                <w:sz w:val="20"/>
              </w:rPr>
              <w:t>TJ/day</w:t>
            </w:r>
          </w:p>
        </w:tc>
        <w:tc>
          <w:tcPr>
            <w:tcW w:w="1308"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08"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rsidTr="005864F3">
        <w:tc>
          <w:tcPr>
            <w:tcW w:w="1679" w:type="dxa"/>
            <w:shd w:val="clear" w:color="auto" w:fill="auto"/>
          </w:tcPr>
          <w:p w:rsidR="00F75AD0" w:rsidRPr="00DC1337" w:rsidRDefault="00F75AD0" w:rsidP="00DC1337">
            <w:pPr>
              <w:pStyle w:val="BodyText"/>
              <w:keepNext/>
              <w:rPr>
                <w:rFonts w:ascii="Arial Narrow" w:hAnsi="Arial Narrow"/>
                <w:sz w:val="20"/>
              </w:rPr>
            </w:pPr>
            <w:r w:rsidRPr="00DC1337">
              <w:rPr>
                <w:rFonts w:ascii="Arial Narrow" w:hAnsi="Arial Narrow"/>
                <w:sz w:val="20"/>
              </w:rPr>
              <w:t>Minimum</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306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273 </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294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264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275 </w:t>
            </w:r>
          </w:p>
        </w:tc>
      </w:tr>
      <w:tr w:rsidR="00F75AD0" w:rsidRPr="00DC1337" w:rsidTr="005864F3">
        <w:tc>
          <w:tcPr>
            <w:tcW w:w="1679" w:type="dxa"/>
            <w:shd w:val="clear" w:color="auto" w:fill="auto"/>
          </w:tcPr>
          <w:p w:rsidR="00F75AD0" w:rsidRPr="00DC1337" w:rsidRDefault="00F75AD0" w:rsidP="00DC1337">
            <w:pPr>
              <w:pStyle w:val="BodyText"/>
              <w:keepNext/>
              <w:rPr>
                <w:rFonts w:ascii="Arial Narrow" w:hAnsi="Arial Narrow"/>
                <w:sz w:val="20"/>
              </w:rPr>
            </w:pPr>
            <w:r w:rsidRPr="00DC1337">
              <w:rPr>
                <w:rFonts w:ascii="Arial Narrow" w:hAnsi="Arial Narrow"/>
                <w:sz w:val="20"/>
              </w:rPr>
              <w:t>Average</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675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645 </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648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651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655 </w:t>
            </w:r>
          </w:p>
        </w:tc>
      </w:tr>
      <w:tr w:rsidR="00F75AD0" w:rsidRPr="00DC1337" w:rsidTr="005864F3">
        <w:tc>
          <w:tcPr>
            <w:tcW w:w="1679" w:type="dxa"/>
            <w:tcBorders>
              <w:bottom w:val="single" w:sz="6" w:space="0" w:color="000000"/>
            </w:tcBorders>
            <w:shd w:val="clear" w:color="auto" w:fill="auto"/>
          </w:tcPr>
          <w:p w:rsidR="00F75AD0" w:rsidRPr="00DC1337" w:rsidRDefault="00F75AD0" w:rsidP="00DC1337">
            <w:pPr>
              <w:pStyle w:val="BodyText"/>
              <w:rPr>
                <w:rFonts w:ascii="Arial Narrow" w:hAnsi="Arial Narrow"/>
                <w:b/>
                <w:color w:val="333333"/>
                <w:sz w:val="20"/>
              </w:rPr>
            </w:pPr>
            <w:r w:rsidRPr="00DC1337">
              <w:rPr>
                <w:rFonts w:ascii="Arial Narrow" w:hAnsi="Arial Narrow"/>
                <w:b/>
                <w:color w:val="333333"/>
                <w:sz w:val="20"/>
              </w:rPr>
              <w:t>Maximum</w:t>
            </w:r>
          </w:p>
        </w:tc>
        <w:tc>
          <w:tcPr>
            <w:tcW w:w="1308" w:type="dxa"/>
            <w:tcBorders>
              <w:bottom w:val="single" w:sz="6" w:space="0" w:color="000000"/>
            </w:tcBorders>
            <w:shd w:val="clear" w:color="auto" w:fill="auto"/>
            <w:vAlign w:val="center"/>
          </w:tcPr>
          <w:p w:rsidR="00F75AD0" w:rsidRPr="00731D5D" w:rsidRDefault="00F75AD0">
            <w:pPr>
              <w:jc w:val="center"/>
              <w:rPr>
                <w:rFonts w:ascii="Arial Narrow" w:hAnsi="Arial Narrow" w:cs="Tahoma"/>
                <w:b/>
                <w:bCs/>
                <w:color w:val="000000"/>
                <w:sz w:val="20"/>
              </w:rPr>
            </w:pPr>
            <w:r>
              <w:rPr>
                <w:rFonts w:ascii="Arial Narrow" w:hAnsi="Arial Narrow" w:cs="Tahoma"/>
                <w:color w:val="000000"/>
                <w:sz w:val="20"/>
              </w:rPr>
              <w:t xml:space="preserve">1,259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213</w:t>
            </w:r>
            <w:r>
              <w:rPr>
                <w:rFonts w:ascii="Arial Narrow" w:hAnsi="Arial Narrow" w:cs="Tahoma"/>
                <w:color w:val="000000"/>
                <w:sz w:val="20"/>
              </w:rPr>
              <w:t xml:space="preserve"> </w:t>
            </w:r>
          </w:p>
        </w:tc>
        <w:tc>
          <w:tcPr>
            <w:tcW w:w="1308"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224</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333333"/>
                <w:sz w:val="20"/>
              </w:rPr>
            </w:pPr>
            <w:r>
              <w:rPr>
                <w:rFonts w:ascii="Arial Narrow" w:hAnsi="Arial Narrow" w:cs="Tahoma"/>
                <w:color w:val="000000"/>
                <w:sz w:val="20"/>
              </w:rPr>
              <w:t>1,</w:t>
            </w:r>
            <w:r w:rsidR="007E0CE7">
              <w:rPr>
                <w:rFonts w:ascii="Arial Narrow" w:hAnsi="Arial Narrow" w:cs="Tahoma"/>
                <w:color w:val="000000"/>
                <w:sz w:val="20"/>
              </w:rPr>
              <w:t>190</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290</w:t>
            </w:r>
            <w:r>
              <w:rPr>
                <w:rFonts w:ascii="Arial Narrow" w:hAnsi="Arial Narrow" w:cs="Tahoma"/>
                <w:color w:val="000000"/>
                <w:sz w:val="20"/>
              </w:rPr>
              <w:t xml:space="preserve"> </w:t>
            </w:r>
          </w:p>
        </w:tc>
      </w:tr>
    </w:tbl>
    <w:p w:rsidR="000F5CD5" w:rsidRDefault="000F5CD5" w:rsidP="0047306B">
      <w:pPr>
        <w:pStyle w:val="BodyText"/>
      </w:pPr>
    </w:p>
    <w:p w:rsidR="00577E06" w:rsidRDefault="000F5CD5" w:rsidP="0047306B">
      <w:pPr>
        <w:pStyle w:val="BodyText"/>
      </w:pPr>
      <w:r>
        <w:br w:type="page"/>
      </w:r>
      <w:r w:rsidR="00D13307">
        <w:lastRenderedPageBreak/>
        <w:t xml:space="preserve">Pipeline </w:t>
      </w:r>
      <w:r w:rsidR="00983F0C">
        <w:t>customer numbers in total and by tariff class over the earlier access arrangement period</w:t>
      </w:r>
      <w:r w:rsidR="00A00EDB">
        <w:rPr>
          <w:rStyle w:val="FootnoteReference"/>
        </w:rPr>
        <w:footnoteReference w:id="5"/>
      </w:r>
      <w:r w:rsidR="00983F0C">
        <w:t xml:space="preserve"> are set out in </w:t>
      </w:r>
      <w:r w:rsidR="00751B94">
        <w:fldChar w:fldCharType="begin"/>
      </w:r>
      <w:r w:rsidR="00983F0C">
        <w:instrText xml:space="preserve"> REF _Ref273363197 \h </w:instrText>
      </w:r>
      <w:r w:rsidR="00751B94">
        <w:fldChar w:fldCharType="separate"/>
      </w:r>
      <w:r w:rsidR="002E40B2" w:rsidRPr="00983F0C">
        <w:rPr>
          <w:iCs/>
        </w:rPr>
        <w:t xml:space="preserve">Table </w:t>
      </w:r>
      <w:r w:rsidR="002E40B2">
        <w:rPr>
          <w:bCs/>
          <w:iCs/>
          <w:noProof/>
        </w:rPr>
        <w:t>2</w:t>
      </w:r>
      <w:r w:rsidR="002E40B2">
        <w:rPr>
          <w:iCs/>
        </w:rPr>
        <w:t>.</w:t>
      </w:r>
      <w:r w:rsidR="002E40B2">
        <w:rPr>
          <w:bCs/>
          <w:iCs/>
          <w:noProof/>
        </w:rPr>
        <w:t>4</w:t>
      </w:r>
      <w:r w:rsidR="00751B94">
        <w:fldChar w:fldCharType="end"/>
      </w:r>
      <w:r w:rsidR="00983F0C">
        <w:t xml:space="preserve"> below. These figures are based on actual customer number</w:t>
      </w:r>
      <w:r w:rsidR="00C425F5">
        <w:t>s</w:t>
      </w:r>
      <w:r w:rsidR="00983F0C">
        <w:t xml:space="preserve"> for </w:t>
      </w:r>
      <w:r w:rsidR="00BB17A0">
        <w:t>calendar</w:t>
      </w:r>
      <w:r w:rsidR="00983F0C">
        <w:t xml:space="preserve"> years 200</w:t>
      </w:r>
      <w:r w:rsidR="00BB17A0">
        <w:t>8</w:t>
      </w:r>
      <w:r w:rsidR="00983F0C">
        <w:t xml:space="preserve"> to 201</w:t>
      </w:r>
      <w:r w:rsidR="00D13307">
        <w:t>1</w:t>
      </w:r>
      <w:r w:rsidR="00983F0C">
        <w:t xml:space="preserve">, and forecast customer numbers for </w:t>
      </w:r>
      <w:r w:rsidR="00BB17A0">
        <w:t>calendar</w:t>
      </w:r>
      <w:r w:rsidR="00983F0C">
        <w:t xml:space="preserve"> year 201</w:t>
      </w:r>
      <w:r w:rsidR="00D13307">
        <w:t>2</w:t>
      </w:r>
      <w:r w:rsidR="00983F0C">
        <w:t>.</w:t>
      </w:r>
    </w:p>
    <w:p w:rsidR="00577E06" w:rsidRPr="00983F0C" w:rsidRDefault="00983F0C" w:rsidP="001D222F">
      <w:pPr>
        <w:pStyle w:val="Caption"/>
        <w:keepNext/>
        <w:rPr>
          <w:bCs w:val="0"/>
          <w:iCs/>
          <w:sz w:val="22"/>
        </w:rPr>
      </w:pPr>
      <w:bookmarkStart w:id="20" w:name="_Ref273363197"/>
      <w:proofErr w:type="gramStart"/>
      <w:r w:rsidRPr="00983F0C">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2E40B2">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2E40B2">
        <w:rPr>
          <w:bCs w:val="0"/>
          <w:iCs/>
          <w:noProof/>
          <w:sz w:val="22"/>
        </w:rPr>
        <w:t>4</w:t>
      </w:r>
      <w:r w:rsidR="00751B94">
        <w:rPr>
          <w:bCs w:val="0"/>
          <w:iCs/>
          <w:sz w:val="22"/>
        </w:rPr>
        <w:fldChar w:fldCharType="end"/>
      </w:r>
      <w:bookmarkEnd w:id="20"/>
      <w:r w:rsidRPr="00983F0C">
        <w:rPr>
          <w:bCs w:val="0"/>
          <w:iCs/>
          <w:sz w:val="22"/>
        </w:rPr>
        <w:t xml:space="preserve"> </w:t>
      </w:r>
      <w:r w:rsidR="004B0623">
        <w:rPr>
          <w:bCs w:val="0"/>
          <w:iCs/>
          <w:sz w:val="22"/>
        </w:rPr>
        <w:t xml:space="preserve">– </w:t>
      </w:r>
      <w:r w:rsidR="00C55B9D">
        <w:rPr>
          <w:bCs w:val="0"/>
          <w:iCs/>
          <w:sz w:val="22"/>
        </w:rPr>
        <w:t>C</w:t>
      </w:r>
      <w:r w:rsidR="00F826FC">
        <w:rPr>
          <w:bCs w:val="0"/>
          <w:iCs/>
          <w:sz w:val="22"/>
        </w:rPr>
        <w:t>ustomer numbers</w:t>
      </w:r>
    </w:p>
    <w:tbl>
      <w:tblPr>
        <w:tblW w:w="83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679"/>
        <w:gridCol w:w="1337"/>
        <w:gridCol w:w="1337"/>
        <w:gridCol w:w="1337"/>
        <w:gridCol w:w="1337"/>
        <w:gridCol w:w="1337"/>
      </w:tblGrid>
      <w:tr w:rsidR="00BB17A0" w:rsidRPr="00DC1337" w:rsidTr="00BB17A0">
        <w:tc>
          <w:tcPr>
            <w:tcW w:w="1679" w:type="dxa"/>
            <w:tcBorders>
              <w:top w:val="nil"/>
              <w:left w:val="nil"/>
              <w:bottom w:val="nil"/>
              <w:right w:val="nil"/>
              <w:tl2br w:val="nil"/>
              <w:tr2bl w:val="nil"/>
            </w:tcBorders>
            <w:shd w:val="clear" w:color="auto" w:fill="333333"/>
          </w:tcPr>
          <w:p w:rsidR="00BB17A0" w:rsidRPr="00DC1337" w:rsidRDefault="00BB17A0" w:rsidP="00DC1337">
            <w:pPr>
              <w:pStyle w:val="BodyText"/>
              <w:keepNext/>
              <w:rPr>
                <w:rFonts w:ascii="Arial Narrow" w:hAnsi="Arial Narrow"/>
                <w:b/>
                <w:bCs/>
                <w:color w:val="FFFFFF"/>
                <w:sz w:val="20"/>
              </w:rPr>
            </w:pP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rsidTr="00870495">
        <w:tc>
          <w:tcPr>
            <w:tcW w:w="1679" w:type="dxa"/>
            <w:shd w:val="clear" w:color="auto" w:fill="auto"/>
          </w:tcPr>
          <w:p w:rsidR="00F75AD0" w:rsidRPr="001F6F2E" w:rsidRDefault="00F75AD0" w:rsidP="00281545">
            <w:pPr>
              <w:pStyle w:val="TableFooter"/>
              <w:rPr>
                <w:b w:val="0"/>
                <w:sz w:val="20"/>
              </w:rPr>
            </w:pPr>
            <w:r w:rsidRPr="001F6F2E">
              <w:rPr>
                <w:b w:val="0"/>
                <w:sz w:val="20"/>
              </w:rPr>
              <w:t>Total users</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14</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16</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20</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21</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21</w:t>
            </w:r>
          </w:p>
        </w:tc>
      </w:tr>
    </w:tbl>
    <w:p w:rsidR="0047306B" w:rsidRDefault="0047306B" w:rsidP="00770A69">
      <w:pPr>
        <w:pStyle w:val="Heading1"/>
      </w:pPr>
      <w:bookmarkStart w:id="21" w:name="_Toc340216049"/>
      <w:r>
        <w:lastRenderedPageBreak/>
        <w:t>The capital base</w:t>
      </w:r>
      <w:bookmarkEnd w:id="21"/>
    </w:p>
    <w:p w:rsidR="009F5AF6" w:rsidRDefault="009F5AF6" w:rsidP="00770A69">
      <w:pPr>
        <w:pStyle w:val="Heading2"/>
      </w:pPr>
      <w:bookmarkStart w:id="22" w:name="_Ref263791223"/>
      <w:bookmarkStart w:id="23" w:name="_Toc340216050"/>
      <w:r>
        <w:t>Opening capital base</w:t>
      </w:r>
      <w:bookmarkEnd w:id="22"/>
      <w:bookmarkEnd w:id="23"/>
    </w:p>
    <w:p w:rsidR="009F5AF6" w:rsidRPr="0078657D" w:rsidRDefault="00AF6B5B" w:rsidP="00AF6B5B">
      <w:pPr>
        <w:pStyle w:val="Heading3"/>
      </w:pPr>
      <w:bookmarkStart w:id="24" w:name="_Toc340216051"/>
      <w:r w:rsidRPr="0078657D">
        <w:t>Opening capital base for access arrangement period</w:t>
      </w:r>
      <w:bookmarkEnd w:id="24"/>
    </w:p>
    <w:p w:rsidR="00AF6B5B" w:rsidRDefault="00AF6B5B" w:rsidP="0047306B">
      <w:pPr>
        <w:pStyle w:val="BodyText"/>
      </w:pPr>
      <w:r>
        <w:t>The opening capital base for the access arrangement period</w:t>
      </w:r>
      <w:r w:rsidR="003530FF">
        <w:rPr>
          <w:rStyle w:val="FootnoteReference"/>
        </w:rPr>
        <w:footnoteReference w:id="6"/>
      </w:r>
      <w:r>
        <w:t xml:space="preserve"> </w:t>
      </w:r>
      <w:r w:rsidR="007E045F">
        <w:t xml:space="preserve">is shown in </w:t>
      </w:r>
      <w:r w:rsidR="00751B94">
        <w:fldChar w:fldCharType="begin"/>
      </w:r>
      <w:r w:rsidR="00FD5FB2">
        <w:instrText xml:space="preserve"> REF _Ref273367326 \h </w:instrText>
      </w:r>
      <w:r w:rsidR="00751B94">
        <w:fldChar w:fldCharType="separate"/>
      </w:r>
      <w:r w:rsidR="002E40B2" w:rsidRPr="007E045F">
        <w:rPr>
          <w:iCs/>
        </w:rPr>
        <w:t xml:space="preserve">Table </w:t>
      </w:r>
      <w:r w:rsidR="002E40B2">
        <w:rPr>
          <w:bCs/>
          <w:iCs/>
          <w:noProof/>
        </w:rPr>
        <w:t>3</w:t>
      </w:r>
      <w:r w:rsidR="002E40B2">
        <w:rPr>
          <w:iCs/>
        </w:rPr>
        <w:t>.</w:t>
      </w:r>
      <w:r w:rsidR="002E40B2">
        <w:rPr>
          <w:bCs/>
          <w:iCs/>
          <w:noProof/>
        </w:rPr>
        <w:t>1</w:t>
      </w:r>
      <w:r w:rsidR="00751B94">
        <w:fldChar w:fldCharType="end"/>
      </w:r>
      <w:r w:rsidR="00FD5FB2">
        <w:t xml:space="preserve"> below.</w:t>
      </w:r>
    </w:p>
    <w:p w:rsidR="00A36E71" w:rsidRDefault="007E045F" w:rsidP="007E045F">
      <w:pPr>
        <w:pStyle w:val="Caption"/>
        <w:rPr>
          <w:bCs w:val="0"/>
          <w:iCs/>
          <w:sz w:val="22"/>
        </w:rPr>
      </w:pPr>
      <w:bookmarkStart w:id="25" w:name="_Ref273367326"/>
      <w:proofErr w:type="gramStart"/>
      <w:r w:rsidRPr="007E045F">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2E40B2">
        <w:rPr>
          <w:bCs w:val="0"/>
          <w:iCs/>
          <w:noProof/>
          <w:sz w:val="22"/>
        </w:rPr>
        <w:t>3</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2E40B2">
        <w:rPr>
          <w:bCs w:val="0"/>
          <w:iCs/>
          <w:noProof/>
          <w:sz w:val="22"/>
        </w:rPr>
        <w:t>1</w:t>
      </w:r>
      <w:r w:rsidR="00751B94">
        <w:rPr>
          <w:bCs w:val="0"/>
          <w:iCs/>
          <w:sz w:val="22"/>
        </w:rPr>
        <w:fldChar w:fldCharType="end"/>
      </w:r>
      <w:bookmarkEnd w:id="25"/>
      <w:r w:rsidRPr="007E045F">
        <w:rPr>
          <w:bCs w:val="0"/>
          <w:iCs/>
          <w:sz w:val="22"/>
        </w:rPr>
        <w:t xml:space="preserve"> – Opening capital base for the access arrangement period</w:t>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093"/>
        <w:gridCol w:w="1247"/>
        <w:gridCol w:w="1247"/>
        <w:gridCol w:w="1248"/>
        <w:gridCol w:w="1247"/>
        <w:gridCol w:w="1248"/>
      </w:tblGrid>
      <w:tr w:rsidR="003E3D51" w:rsidRPr="005E66DB" w:rsidTr="00BB17A0">
        <w:tc>
          <w:tcPr>
            <w:tcW w:w="2093"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bookmarkStart w:id="26" w:name="_Ref263943771"/>
            <w:bookmarkStart w:id="27" w:name="_Ref26394449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247" w:type="dxa"/>
            <w:tcBorders>
              <w:top w:val="nil"/>
              <w:left w:val="nil"/>
              <w:bottom w:val="nil"/>
              <w:right w:val="nil"/>
            </w:tcBorders>
            <w:shd w:val="clear" w:color="auto" w:fill="333333"/>
          </w:tcPr>
          <w:p w:rsidR="003E3D51" w:rsidRPr="001F6F2E" w:rsidRDefault="003E3D51" w:rsidP="00BB17A0">
            <w:pPr>
              <w:pStyle w:val="BodyText"/>
              <w:jc w:val="center"/>
              <w:rPr>
                <w:rFonts w:ascii="Arial Narrow" w:hAnsi="Arial Narrow"/>
                <w:b/>
                <w:bCs/>
                <w:color w:val="FFFFFF"/>
                <w:sz w:val="20"/>
              </w:rPr>
            </w:pPr>
            <w:r w:rsidRPr="001F6F2E">
              <w:rPr>
                <w:rFonts w:ascii="Arial Narrow" w:hAnsi="Arial Narrow"/>
                <w:b/>
                <w:bCs/>
                <w:color w:val="FFFFFF"/>
                <w:sz w:val="20"/>
              </w:rPr>
              <w:t>2008</w:t>
            </w:r>
          </w:p>
        </w:tc>
        <w:tc>
          <w:tcPr>
            <w:tcW w:w="1247" w:type="dxa"/>
            <w:tcBorders>
              <w:top w:val="nil"/>
              <w:left w:val="nil"/>
              <w:bottom w:val="nil"/>
              <w:right w:val="nil"/>
            </w:tcBorders>
            <w:shd w:val="clear" w:color="auto" w:fill="333333"/>
          </w:tcPr>
          <w:p w:rsidR="003E3D51" w:rsidRPr="001F6F2E" w:rsidRDefault="003E3D51" w:rsidP="00BB17A0">
            <w:pPr>
              <w:pStyle w:val="BodyText"/>
              <w:jc w:val="center"/>
              <w:rPr>
                <w:rFonts w:ascii="Arial Narrow" w:hAnsi="Arial Narrow"/>
                <w:b/>
                <w:bCs/>
                <w:color w:val="FFFFFF"/>
                <w:sz w:val="20"/>
              </w:rPr>
            </w:pPr>
            <w:r w:rsidRPr="001F6F2E">
              <w:rPr>
                <w:rFonts w:ascii="Arial Narrow" w:hAnsi="Arial Narrow"/>
                <w:b/>
                <w:bCs/>
                <w:color w:val="FFFFFF"/>
                <w:sz w:val="20"/>
              </w:rPr>
              <w:t>2009</w:t>
            </w:r>
          </w:p>
        </w:tc>
        <w:tc>
          <w:tcPr>
            <w:tcW w:w="1248" w:type="dxa"/>
            <w:tcBorders>
              <w:top w:val="nil"/>
              <w:left w:val="nil"/>
              <w:bottom w:val="nil"/>
              <w:right w:val="nil"/>
            </w:tcBorders>
            <w:shd w:val="clear" w:color="auto" w:fill="333333"/>
          </w:tcPr>
          <w:p w:rsidR="003E3D51" w:rsidRPr="001F6F2E" w:rsidRDefault="003E3D51" w:rsidP="00BB17A0">
            <w:pPr>
              <w:pStyle w:val="BodyText"/>
              <w:jc w:val="center"/>
              <w:rPr>
                <w:rFonts w:ascii="Arial Narrow" w:hAnsi="Arial Narrow"/>
                <w:b/>
                <w:bCs/>
                <w:color w:val="FFFFFF"/>
                <w:sz w:val="20"/>
              </w:rPr>
            </w:pPr>
            <w:r w:rsidRPr="001F6F2E">
              <w:rPr>
                <w:rFonts w:ascii="Arial Narrow" w:hAnsi="Arial Narrow"/>
                <w:b/>
                <w:bCs/>
                <w:color w:val="FFFFFF"/>
                <w:sz w:val="20"/>
              </w:rPr>
              <w:t>2010</w:t>
            </w:r>
          </w:p>
        </w:tc>
        <w:tc>
          <w:tcPr>
            <w:tcW w:w="1247" w:type="dxa"/>
            <w:tcBorders>
              <w:top w:val="nil"/>
              <w:left w:val="nil"/>
              <w:bottom w:val="nil"/>
              <w:right w:val="nil"/>
            </w:tcBorders>
            <w:shd w:val="clear" w:color="auto" w:fill="333333"/>
          </w:tcPr>
          <w:p w:rsidR="003E3D51" w:rsidRPr="001F6F2E" w:rsidRDefault="003E3D51" w:rsidP="00BB17A0">
            <w:pPr>
              <w:pStyle w:val="BodyText"/>
              <w:jc w:val="center"/>
              <w:rPr>
                <w:rFonts w:ascii="Arial Narrow" w:hAnsi="Arial Narrow"/>
                <w:b/>
                <w:bCs/>
                <w:color w:val="FFFFFF"/>
                <w:sz w:val="20"/>
              </w:rPr>
            </w:pPr>
            <w:r w:rsidRPr="001F6F2E">
              <w:rPr>
                <w:rFonts w:ascii="Arial Narrow" w:hAnsi="Arial Narrow"/>
                <w:b/>
                <w:bCs/>
                <w:color w:val="FFFFFF"/>
                <w:sz w:val="20"/>
              </w:rPr>
              <w:t>2011</w:t>
            </w:r>
          </w:p>
        </w:tc>
        <w:tc>
          <w:tcPr>
            <w:tcW w:w="1248" w:type="dxa"/>
            <w:tcBorders>
              <w:top w:val="nil"/>
              <w:left w:val="nil"/>
              <w:bottom w:val="nil"/>
              <w:right w:val="nil"/>
            </w:tcBorders>
            <w:shd w:val="clear" w:color="auto" w:fill="333333"/>
          </w:tcPr>
          <w:p w:rsidR="003E3D51" w:rsidRPr="001F6F2E" w:rsidRDefault="003E3D51" w:rsidP="00BB17A0">
            <w:pPr>
              <w:pStyle w:val="BodyText"/>
              <w:jc w:val="center"/>
              <w:rPr>
                <w:rFonts w:ascii="Arial Narrow" w:hAnsi="Arial Narrow"/>
                <w:b/>
                <w:bCs/>
                <w:color w:val="FFFFFF"/>
                <w:sz w:val="20"/>
              </w:rPr>
            </w:pPr>
            <w:r w:rsidRPr="001F6F2E">
              <w:rPr>
                <w:rFonts w:ascii="Arial Narrow" w:hAnsi="Arial Narrow"/>
                <w:b/>
                <w:bCs/>
                <w:color w:val="FFFFFF"/>
                <w:sz w:val="20"/>
              </w:rPr>
              <w:t>2012</w:t>
            </w:r>
          </w:p>
        </w:tc>
      </w:tr>
      <w:tr w:rsidR="00F75AD0" w:rsidRPr="005E66DB" w:rsidTr="005864F3">
        <w:tc>
          <w:tcPr>
            <w:tcW w:w="2093" w:type="dxa"/>
            <w:vAlign w:val="center"/>
          </w:tcPr>
          <w:p w:rsidR="00F75AD0" w:rsidRPr="001F6F2E" w:rsidRDefault="00F75AD0">
            <w:pPr>
              <w:pStyle w:val="TableBodyText"/>
              <w:keepNext/>
              <w:jc w:val="left"/>
              <w:rPr>
                <w:sz w:val="20"/>
              </w:rPr>
            </w:pPr>
            <w:r w:rsidRPr="001F6F2E">
              <w:rPr>
                <w:sz w:val="20"/>
              </w:rPr>
              <w:t>Opening capital base</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559.6</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591.1</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583.2</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575.9</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613.0</w:t>
            </w:r>
          </w:p>
        </w:tc>
      </w:tr>
      <w:tr w:rsidR="00F75AD0" w:rsidRPr="005E66DB" w:rsidTr="005864F3">
        <w:tc>
          <w:tcPr>
            <w:tcW w:w="2093" w:type="dxa"/>
            <w:vAlign w:val="center"/>
          </w:tcPr>
          <w:p w:rsidR="00F75AD0" w:rsidRPr="001F6F2E" w:rsidRDefault="00F75AD0">
            <w:pPr>
              <w:pStyle w:val="TableBodyText"/>
              <w:keepNext/>
              <w:jc w:val="left"/>
              <w:rPr>
                <w:sz w:val="20"/>
              </w:rPr>
            </w:pPr>
            <w:r w:rsidRPr="001F6F2E">
              <w:rPr>
                <w:sz w:val="20"/>
              </w:rPr>
              <w:t>Plus capex</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37.8</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10.2</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10.6</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53.6</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58.0</w:t>
            </w:r>
          </w:p>
        </w:tc>
      </w:tr>
      <w:tr w:rsidR="00F75AD0" w:rsidRPr="005E66DB" w:rsidTr="005864F3">
        <w:tc>
          <w:tcPr>
            <w:tcW w:w="2093" w:type="dxa"/>
            <w:vAlign w:val="center"/>
          </w:tcPr>
          <w:p w:rsidR="00F75AD0" w:rsidRPr="001F6F2E" w:rsidRDefault="00F75AD0">
            <w:pPr>
              <w:pStyle w:val="TableBodyText"/>
              <w:keepNext/>
              <w:jc w:val="left"/>
              <w:rPr>
                <w:sz w:val="20"/>
              </w:rPr>
            </w:pPr>
            <w:r w:rsidRPr="001F6F2E">
              <w:rPr>
                <w:sz w:val="20"/>
              </w:rPr>
              <w:t>Plus speculative capex</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r>
      <w:tr w:rsidR="00F75AD0" w:rsidRPr="005E66DB" w:rsidTr="005864F3">
        <w:tc>
          <w:tcPr>
            <w:tcW w:w="2093" w:type="dxa"/>
            <w:vAlign w:val="center"/>
          </w:tcPr>
          <w:p w:rsidR="00F75AD0" w:rsidRPr="001F6F2E" w:rsidRDefault="00F75AD0">
            <w:pPr>
              <w:pStyle w:val="TableBodyText"/>
              <w:keepNext/>
              <w:jc w:val="left"/>
              <w:rPr>
                <w:sz w:val="20"/>
              </w:rPr>
            </w:pPr>
            <w:r w:rsidRPr="001F6F2E">
              <w:rPr>
                <w:sz w:val="20"/>
              </w:rPr>
              <w:t>Plus reused redundant assets</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r>
      <w:tr w:rsidR="00F75AD0" w:rsidRPr="005E66DB" w:rsidTr="005864F3">
        <w:tc>
          <w:tcPr>
            <w:tcW w:w="2093" w:type="dxa"/>
            <w:vAlign w:val="center"/>
          </w:tcPr>
          <w:p w:rsidR="00F75AD0" w:rsidRPr="001F6F2E" w:rsidRDefault="00F75AD0">
            <w:pPr>
              <w:pStyle w:val="TableBodyText"/>
              <w:keepNext/>
              <w:jc w:val="left"/>
              <w:rPr>
                <w:sz w:val="20"/>
              </w:rPr>
            </w:pPr>
            <w:r w:rsidRPr="001F6F2E">
              <w:rPr>
                <w:sz w:val="20"/>
              </w:rPr>
              <w:t>Less depreciation</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-27.0</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-30.7</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-33.4</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-34.3</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-35.5</w:t>
            </w:r>
          </w:p>
        </w:tc>
      </w:tr>
      <w:tr w:rsidR="00F75AD0" w:rsidRPr="005E66DB" w:rsidTr="005864F3">
        <w:tc>
          <w:tcPr>
            <w:tcW w:w="2093" w:type="dxa"/>
            <w:vAlign w:val="center"/>
          </w:tcPr>
          <w:p w:rsidR="00F75AD0" w:rsidRPr="001F6F2E" w:rsidRDefault="00F75AD0">
            <w:pPr>
              <w:pStyle w:val="TableBodyText"/>
              <w:keepNext/>
              <w:jc w:val="left"/>
              <w:rPr>
                <w:sz w:val="20"/>
              </w:rPr>
            </w:pPr>
            <w:r w:rsidRPr="001F6F2E">
              <w:rPr>
                <w:sz w:val="20"/>
              </w:rPr>
              <w:t>Plus indexation</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20.6</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12.5</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15.5</w:t>
            </w:r>
          </w:p>
        </w:tc>
        <w:tc>
          <w:tcPr>
            <w:tcW w:w="1247"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17.9</w:t>
            </w:r>
          </w:p>
        </w:tc>
        <w:tc>
          <w:tcPr>
            <w:tcW w:w="1248" w:type="dxa"/>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15.3</w:t>
            </w:r>
          </w:p>
        </w:tc>
      </w:tr>
      <w:tr w:rsidR="00F75AD0" w:rsidRPr="005E66DB" w:rsidTr="005864F3">
        <w:tc>
          <w:tcPr>
            <w:tcW w:w="2093" w:type="dxa"/>
            <w:vAlign w:val="center"/>
          </w:tcPr>
          <w:p w:rsidR="00F75AD0" w:rsidRPr="001F6F2E" w:rsidRDefault="00F75AD0">
            <w:pPr>
              <w:pStyle w:val="TableBodyText"/>
              <w:keepNext/>
              <w:jc w:val="left"/>
              <w:rPr>
                <w:sz w:val="20"/>
              </w:rPr>
            </w:pPr>
            <w:r w:rsidRPr="001F6F2E">
              <w:rPr>
                <w:sz w:val="20"/>
              </w:rPr>
              <w:t>Less redundant assets</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r>
      <w:tr w:rsidR="00F75AD0" w:rsidRPr="005E66DB" w:rsidTr="005864F3">
        <w:tc>
          <w:tcPr>
            <w:tcW w:w="2093" w:type="dxa"/>
            <w:vAlign w:val="center"/>
          </w:tcPr>
          <w:p w:rsidR="00F75AD0" w:rsidRPr="001F6F2E" w:rsidRDefault="00F75AD0">
            <w:pPr>
              <w:pStyle w:val="TableBodyText"/>
              <w:keepNext/>
              <w:jc w:val="left"/>
              <w:rPr>
                <w:rFonts w:ascii="Arial" w:hAnsi="Arial" w:cs="Arial"/>
                <w:i/>
                <w:iCs/>
                <w:sz w:val="18"/>
                <w:szCs w:val="18"/>
              </w:rPr>
            </w:pPr>
            <w:r w:rsidRPr="001F6F2E">
              <w:rPr>
                <w:sz w:val="20"/>
              </w:rPr>
              <w:t>Less disposals</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7"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c>
          <w:tcPr>
            <w:tcW w:w="1248" w:type="dxa"/>
            <w:vAlign w:val="center"/>
          </w:tcPr>
          <w:p w:rsidR="00F75AD0" w:rsidRPr="00731D5D" w:rsidRDefault="004A7C4F">
            <w:pPr>
              <w:jc w:val="center"/>
              <w:rPr>
                <w:rFonts w:ascii="Arial Narrow" w:hAnsi="Arial Narrow" w:cs="Tahoma"/>
                <w:color w:val="000000"/>
                <w:sz w:val="20"/>
              </w:rPr>
            </w:pPr>
            <w:r>
              <w:rPr>
                <w:rFonts w:ascii="Arial Narrow" w:hAnsi="Arial Narrow" w:cs="Tahoma"/>
                <w:color w:val="000000"/>
                <w:sz w:val="20"/>
              </w:rPr>
              <w:t>0</w:t>
            </w:r>
          </w:p>
        </w:tc>
      </w:tr>
      <w:tr w:rsidR="00F75AD0" w:rsidRPr="005E66DB" w:rsidTr="005864F3">
        <w:tc>
          <w:tcPr>
            <w:tcW w:w="2093" w:type="dxa"/>
            <w:vAlign w:val="center"/>
          </w:tcPr>
          <w:p w:rsidR="00F75AD0" w:rsidRPr="001F6F2E" w:rsidRDefault="00F75AD0">
            <w:pPr>
              <w:pStyle w:val="TableBodyTextBold"/>
              <w:jc w:val="left"/>
              <w:rPr>
                <w:sz w:val="20"/>
              </w:rPr>
            </w:pPr>
            <w:r w:rsidRPr="001F6F2E">
              <w:rPr>
                <w:sz w:val="20"/>
              </w:rPr>
              <w:t>Closing capital base</w:t>
            </w:r>
          </w:p>
        </w:tc>
        <w:tc>
          <w:tcPr>
            <w:tcW w:w="1247" w:type="dxa"/>
            <w:tcBorders>
              <w:bottom w:val="single" w:sz="4" w:space="0" w:color="auto"/>
            </w:tcBorders>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color w:val="000000"/>
                <w:sz w:val="20"/>
              </w:rPr>
              <w:t>591.1</w:t>
            </w:r>
          </w:p>
        </w:tc>
        <w:tc>
          <w:tcPr>
            <w:tcW w:w="1247" w:type="dxa"/>
            <w:tcBorders>
              <w:bottom w:val="single" w:sz="4" w:space="0" w:color="auto"/>
            </w:tcBorders>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color w:val="000000"/>
                <w:sz w:val="20"/>
              </w:rPr>
              <w:t>583.2</w:t>
            </w:r>
          </w:p>
        </w:tc>
        <w:tc>
          <w:tcPr>
            <w:tcW w:w="1248" w:type="dxa"/>
            <w:tcBorders>
              <w:bottom w:val="single" w:sz="4" w:space="0" w:color="auto"/>
            </w:tcBorders>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color w:val="000000"/>
                <w:sz w:val="20"/>
              </w:rPr>
              <w:t>575.9</w:t>
            </w:r>
          </w:p>
        </w:tc>
        <w:tc>
          <w:tcPr>
            <w:tcW w:w="1247" w:type="dxa"/>
            <w:tcBorders>
              <w:bottom w:val="single" w:sz="4" w:space="0" w:color="auto"/>
            </w:tcBorders>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color w:val="000000"/>
                <w:sz w:val="20"/>
              </w:rPr>
              <w:t>613.0</w:t>
            </w:r>
          </w:p>
        </w:tc>
        <w:tc>
          <w:tcPr>
            <w:tcW w:w="1248" w:type="dxa"/>
            <w:vAlign w:val="center"/>
          </w:tcPr>
          <w:p w:rsidR="00F75AD0" w:rsidRPr="00731D5D" w:rsidRDefault="00F75AD0">
            <w:pPr>
              <w:jc w:val="center"/>
              <w:rPr>
                <w:rFonts w:ascii="Arial Narrow" w:hAnsi="Arial Narrow" w:cs="Tahoma"/>
                <w:b/>
                <w:bCs/>
                <w:color w:val="333333"/>
                <w:sz w:val="20"/>
              </w:rPr>
            </w:pPr>
            <w:r>
              <w:rPr>
                <w:rFonts w:ascii="Arial Narrow" w:hAnsi="Arial Narrow" w:cs="Tahoma"/>
                <w:b/>
                <w:bCs/>
                <w:color w:val="000000"/>
                <w:sz w:val="20"/>
              </w:rPr>
              <w:t>650.8</w:t>
            </w:r>
          </w:p>
        </w:tc>
      </w:tr>
      <w:tr w:rsidR="00F75AD0" w:rsidRPr="005E66DB" w:rsidTr="005864F3">
        <w:tc>
          <w:tcPr>
            <w:tcW w:w="2093" w:type="dxa"/>
            <w:tcBorders>
              <w:right w:val="single" w:sz="4" w:space="0" w:color="auto"/>
            </w:tcBorders>
            <w:vAlign w:val="center"/>
          </w:tcPr>
          <w:p w:rsidR="00F75AD0" w:rsidRPr="001F6F2E" w:rsidRDefault="00F75AD0">
            <w:pPr>
              <w:pStyle w:val="TableBodyTextBold"/>
              <w:jc w:val="left"/>
              <w:rPr>
                <w:sz w:val="20"/>
              </w:rPr>
            </w:pPr>
            <w:r>
              <w:rPr>
                <w:rFonts w:cs="Tahoma"/>
                <w:color w:val="000000"/>
                <w:sz w:val="20"/>
              </w:rPr>
              <w:t>Less: Difference between 2007 forecast and actual capex</w:t>
            </w:r>
          </w:p>
        </w:tc>
        <w:tc>
          <w:tcPr>
            <w:tcW w:w="1247" w:type="dxa"/>
            <w:tcBorders>
              <w:top w:val="single" w:sz="4" w:space="0" w:color="auto"/>
              <w:left w:val="single" w:sz="4" w:space="0" w:color="auto"/>
            </w:tcBorders>
            <w:vAlign w:val="center"/>
          </w:tcPr>
          <w:p w:rsidR="00F75AD0" w:rsidRDefault="00F75AD0">
            <w:pPr>
              <w:jc w:val="center"/>
              <w:rPr>
                <w:rFonts w:ascii="Arial Narrow" w:hAnsi="Arial Narrow" w:cs="Tahoma"/>
                <w:b/>
                <w:bCs/>
                <w:color w:val="000000"/>
                <w:sz w:val="20"/>
              </w:rPr>
            </w:pPr>
          </w:p>
        </w:tc>
        <w:tc>
          <w:tcPr>
            <w:tcW w:w="1247" w:type="dxa"/>
            <w:tcBorders>
              <w:top w:val="single" w:sz="4" w:space="0" w:color="auto"/>
            </w:tcBorders>
            <w:vAlign w:val="center"/>
          </w:tcPr>
          <w:p w:rsidR="00F75AD0" w:rsidRDefault="00F75AD0">
            <w:pPr>
              <w:jc w:val="center"/>
              <w:rPr>
                <w:rFonts w:ascii="Arial Narrow" w:hAnsi="Arial Narrow" w:cs="Tahoma"/>
                <w:b/>
                <w:bCs/>
                <w:color w:val="000000"/>
                <w:sz w:val="20"/>
              </w:rPr>
            </w:pPr>
          </w:p>
        </w:tc>
        <w:tc>
          <w:tcPr>
            <w:tcW w:w="1248" w:type="dxa"/>
            <w:tcBorders>
              <w:top w:val="single" w:sz="4" w:space="0" w:color="auto"/>
            </w:tcBorders>
            <w:vAlign w:val="center"/>
          </w:tcPr>
          <w:p w:rsidR="00F75AD0" w:rsidRDefault="00F75AD0">
            <w:pPr>
              <w:jc w:val="center"/>
              <w:rPr>
                <w:rFonts w:ascii="Arial Narrow" w:hAnsi="Arial Narrow" w:cs="Tahoma"/>
                <w:b/>
                <w:bCs/>
                <w:color w:val="000000"/>
                <w:sz w:val="20"/>
              </w:rPr>
            </w:pPr>
          </w:p>
        </w:tc>
        <w:tc>
          <w:tcPr>
            <w:tcW w:w="1247" w:type="dxa"/>
            <w:tcBorders>
              <w:top w:val="single" w:sz="4" w:space="0" w:color="auto"/>
              <w:right w:val="single" w:sz="4" w:space="0" w:color="auto"/>
            </w:tcBorders>
            <w:vAlign w:val="center"/>
          </w:tcPr>
          <w:p w:rsidR="00F75AD0" w:rsidRDefault="00F75AD0">
            <w:pPr>
              <w:jc w:val="center"/>
              <w:rPr>
                <w:rFonts w:ascii="Arial Narrow" w:hAnsi="Arial Narrow" w:cs="Tahoma"/>
                <w:b/>
                <w:bCs/>
                <w:color w:val="000000"/>
                <w:sz w:val="20"/>
              </w:rPr>
            </w:pPr>
          </w:p>
        </w:tc>
        <w:tc>
          <w:tcPr>
            <w:tcW w:w="1248" w:type="dxa"/>
            <w:tcBorders>
              <w:left w:val="single" w:sz="4" w:space="0" w:color="auto"/>
            </w:tcBorders>
            <w:vAlign w:val="center"/>
          </w:tcPr>
          <w:p w:rsidR="00F75AD0" w:rsidRDefault="00F75AD0">
            <w:pPr>
              <w:jc w:val="center"/>
              <w:rPr>
                <w:rFonts w:ascii="Arial Narrow" w:hAnsi="Arial Narrow" w:cs="Tahoma"/>
                <w:b/>
                <w:bCs/>
                <w:color w:val="000000"/>
                <w:sz w:val="20"/>
              </w:rPr>
            </w:pPr>
            <w:r>
              <w:rPr>
                <w:rFonts w:ascii="Arial Narrow" w:hAnsi="Arial Narrow" w:cs="Tahoma"/>
                <w:color w:val="000000"/>
                <w:sz w:val="20"/>
              </w:rPr>
              <w:t>-20.0</w:t>
            </w:r>
          </w:p>
        </w:tc>
      </w:tr>
      <w:tr w:rsidR="00812E0B" w:rsidRPr="005E66DB" w:rsidTr="00812E0B">
        <w:tc>
          <w:tcPr>
            <w:tcW w:w="2093" w:type="dxa"/>
            <w:tcBorders>
              <w:right w:val="single" w:sz="4" w:space="0" w:color="auto"/>
            </w:tcBorders>
          </w:tcPr>
          <w:p w:rsidR="00812E0B" w:rsidRDefault="00751B94">
            <w:pPr>
              <w:pStyle w:val="TableBodyTextBold"/>
              <w:jc w:val="left"/>
              <w:rPr>
                <w:rFonts w:cs="Tahoma"/>
                <w:b w:val="0"/>
                <w:bCs w:val="0"/>
                <w:sz w:val="20"/>
              </w:rPr>
            </w:pPr>
            <w:r w:rsidRPr="00751B94">
              <w:rPr>
                <w:rFonts w:cs="Tahoma"/>
                <w:color w:val="000000"/>
                <w:sz w:val="20"/>
              </w:rPr>
              <w:t>Less: return on difference for 2007 capex</w:t>
            </w:r>
          </w:p>
        </w:tc>
        <w:tc>
          <w:tcPr>
            <w:tcW w:w="1247" w:type="dxa"/>
            <w:tcBorders>
              <w:left w:val="single" w:sz="4" w:space="0" w:color="auto"/>
              <w:bottom w:val="single" w:sz="4" w:space="0" w:color="auto"/>
            </w:tcBorders>
          </w:tcPr>
          <w:p w:rsidR="00812E0B" w:rsidRDefault="00812E0B">
            <w:pPr>
              <w:jc w:val="center"/>
              <w:rPr>
                <w:rFonts w:ascii="Arial Narrow" w:hAnsi="Arial Narrow" w:cs="Tahoma"/>
                <w:b/>
                <w:bCs/>
                <w:color w:val="000000"/>
                <w:sz w:val="20"/>
              </w:rPr>
            </w:pPr>
          </w:p>
        </w:tc>
        <w:tc>
          <w:tcPr>
            <w:tcW w:w="1247" w:type="dxa"/>
            <w:tcBorders>
              <w:bottom w:val="single" w:sz="4" w:space="0" w:color="auto"/>
            </w:tcBorders>
          </w:tcPr>
          <w:p w:rsidR="00812E0B" w:rsidRDefault="00812E0B">
            <w:pPr>
              <w:jc w:val="center"/>
              <w:rPr>
                <w:rFonts w:ascii="Arial Narrow" w:hAnsi="Arial Narrow" w:cs="Tahoma"/>
                <w:b/>
                <w:bCs/>
                <w:color w:val="000000"/>
                <w:sz w:val="20"/>
              </w:rPr>
            </w:pPr>
          </w:p>
        </w:tc>
        <w:tc>
          <w:tcPr>
            <w:tcW w:w="1248" w:type="dxa"/>
            <w:tcBorders>
              <w:bottom w:val="single" w:sz="4" w:space="0" w:color="auto"/>
            </w:tcBorders>
          </w:tcPr>
          <w:p w:rsidR="00812E0B" w:rsidRDefault="00812E0B">
            <w:pPr>
              <w:jc w:val="center"/>
              <w:rPr>
                <w:rFonts w:ascii="Arial Narrow" w:hAnsi="Arial Narrow" w:cs="Tahoma"/>
                <w:b/>
                <w:bCs/>
                <w:color w:val="000000"/>
                <w:sz w:val="20"/>
              </w:rPr>
            </w:pPr>
          </w:p>
        </w:tc>
        <w:tc>
          <w:tcPr>
            <w:tcW w:w="1247" w:type="dxa"/>
            <w:tcBorders>
              <w:bottom w:val="single" w:sz="4" w:space="0" w:color="auto"/>
              <w:right w:val="single" w:sz="4" w:space="0" w:color="auto"/>
            </w:tcBorders>
          </w:tcPr>
          <w:p w:rsidR="00812E0B" w:rsidRDefault="00812E0B">
            <w:pPr>
              <w:jc w:val="center"/>
              <w:rPr>
                <w:rFonts w:ascii="Arial Narrow" w:hAnsi="Arial Narrow" w:cs="Tahoma"/>
                <w:b/>
                <w:bCs/>
                <w:color w:val="000000"/>
                <w:sz w:val="20"/>
              </w:rPr>
            </w:pPr>
          </w:p>
        </w:tc>
        <w:tc>
          <w:tcPr>
            <w:tcW w:w="1248" w:type="dxa"/>
            <w:tcBorders>
              <w:left w:val="single" w:sz="4" w:space="0" w:color="auto"/>
            </w:tcBorders>
          </w:tcPr>
          <w:p w:rsidR="00812E0B" w:rsidRDefault="004A7C4F">
            <w:pPr>
              <w:jc w:val="center"/>
              <w:rPr>
                <w:rFonts w:ascii="Arial Narrow" w:hAnsi="Arial Narrow" w:cs="Tahoma"/>
                <w:b/>
                <w:bCs/>
                <w:color w:val="000000"/>
                <w:sz w:val="20"/>
              </w:rPr>
            </w:pPr>
            <w:r>
              <w:rPr>
                <w:rFonts w:ascii="Arial Narrow" w:hAnsi="Arial Narrow" w:cs="Tahoma"/>
                <w:color w:val="000000"/>
                <w:sz w:val="20"/>
              </w:rPr>
              <w:t>-</w:t>
            </w:r>
            <w:r w:rsidR="00751B94" w:rsidRPr="00751B94">
              <w:rPr>
                <w:rFonts w:ascii="Arial Narrow" w:hAnsi="Arial Narrow" w:cs="Tahoma"/>
                <w:color w:val="000000"/>
                <w:sz w:val="20"/>
              </w:rPr>
              <w:t>13.2</w:t>
            </w:r>
          </w:p>
        </w:tc>
      </w:tr>
      <w:tr w:rsidR="00F75AD0" w:rsidRPr="005E66DB" w:rsidTr="005864F3">
        <w:tc>
          <w:tcPr>
            <w:tcW w:w="2093" w:type="dxa"/>
            <w:tcBorders>
              <w:right w:val="single" w:sz="4" w:space="0" w:color="auto"/>
            </w:tcBorders>
            <w:vAlign w:val="center"/>
          </w:tcPr>
          <w:p w:rsidR="00F75AD0" w:rsidRPr="0054781D" w:rsidRDefault="00751B94">
            <w:pPr>
              <w:pStyle w:val="TableBodyTextBold"/>
              <w:jc w:val="left"/>
              <w:rPr>
                <w:sz w:val="20"/>
              </w:rPr>
            </w:pPr>
            <w:r w:rsidRPr="00751B94">
              <w:rPr>
                <w:rFonts w:cs="Tahoma"/>
                <w:bCs w:val="0"/>
                <w:sz w:val="20"/>
              </w:rPr>
              <w:t>Opening capital base at 1 January 2013</w:t>
            </w:r>
          </w:p>
        </w:tc>
        <w:tc>
          <w:tcPr>
            <w:tcW w:w="1247" w:type="dxa"/>
            <w:tcBorders>
              <w:left w:val="single" w:sz="4" w:space="0" w:color="auto"/>
              <w:bottom w:val="single" w:sz="4" w:space="0" w:color="auto"/>
            </w:tcBorders>
            <w:vAlign w:val="center"/>
          </w:tcPr>
          <w:p w:rsidR="00F75AD0" w:rsidRDefault="00F75AD0">
            <w:pPr>
              <w:jc w:val="center"/>
              <w:rPr>
                <w:rFonts w:ascii="Arial Narrow" w:hAnsi="Arial Narrow" w:cs="Tahoma"/>
                <w:b/>
                <w:bCs/>
                <w:color w:val="000000"/>
                <w:sz w:val="20"/>
              </w:rPr>
            </w:pPr>
          </w:p>
        </w:tc>
        <w:tc>
          <w:tcPr>
            <w:tcW w:w="1247" w:type="dxa"/>
            <w:tcBorders>
              <w:bottom w:val="single" w:sz="4" w:space="0" w:color="auto"/>
            </w:tcBorders>
            <w:vAlign w:val="center"/>
          </w:tcPr>
          <w:p w:rsidR="00F75AD0" w:rsidRDefault="00F75AD0">
            <w:pPr>
              <w:jc w:val="center"/>
              <w:rPr>
                <w:rFonts w:ascii="Arial Narrow" w:hAnsi="Arial Narrow" w:cs="Tahoma"/>
                <w:b/>
                <w:bCs/>
                <w:color w:val="000000"/>
                <w:sz w:val="20"/>
              </w:rPr>
            </w:pPr>
          </w:p>
        </w:tc>
        <w:tc>
          <w:tcPr>
            <w:tcW w:w="1248" w:type="dxa"/>
            <w:tcBorders>
              <w:bottom w:val="single" w:sz="4" w:space="0" w:color="auto"/>
            </w:tcBorders>
            <w:vAlign w:val="center"/>
          </w:tcPr>
          <w:p w:rsidR="00F75AD0" w:rsidRDefault="00F75AD0">
            <w:pPr>
              <w:jc w:val="center"/>
              <w:rPr>
                <w:rFonts w:ascii="Arial Narrow" w:hAnsi="Arial Narrow" w:cs="Tahoma"/>
                <w:b/>
                <w:bCs/>
                <w:color w:val="000000"/>
                <w:sz w:val="20"/>
              </w:rPr>
            </w:pPr>
          </w:p>
        </w:tc>
        <w:tc>
          <w:tcPr>
            <w:tcW w:w="1247" w:type="dxa"/>
            <w:tcBorders>
              <w:bottom w:val="single" w:sz="4" w:space="0" w:color="auto"/>
              <w:right w:val="single" w:sz="4" w:space="0" w:color="auto"/>
            </w:tcBorders>
            <w:vAlign w:val="center"/>
          </w:tcPr>
          <w:p w:rsidR="00F75AD0" w:rsidRDefault="00F75AD0">
            <w:pPr>
              <w:jc w:val="center"/>
              <w:rPr>
                <w:rFonts w:ascii="Arial Narrow" w:hAnsi="Arial Narrow" w:cs="Tahoma"/>
                <w:b/>
                <w:bCs/>
                <w:color w:val="000000"/>
                <w:sz w:val="20"/>
              </w:rPr>
            </w:pPr>
          </w:p>
        </w:tc>
        <w:tc>
          <w:tcPr>
            <w:tcW w:w="1248" w:type="dxa"/>
            <w:tcBorders>
              <w:left w:val="single" w:sz="4" w:space="0" w:color="auto"/>
            </w:tcBorders>
            <w:vAlign w:val="center"/>
          </w:tcPr>
          <w:p w:rsidR="00F75AD0" w:rsidRDefault="00F75AD0" w:rsidP="00812E0B">
            <w:pPr>
              <w:jc w:val="center"/>
              <w:rPr>
                <w:rFonts w:ascii="Arial Narrow" w:hAnsi="Arial Narrow" w:cs="Tahoma"/>
                <w:b/>
                <w:bCs/>
                <w:color w:val="000000"/>
                <w:sz w:val="20"/>
              </w:rPr>
            </w:pPr>
            <w:r>
              <w:rPr>
                <w:rFonts w:ascii="Arial Narrow" w:hAnsi="Arial Narrow" w:cs="Tahoma"/>
                <w:b/>
                <w:bCs/>
                <w:color w:val="000000"/>
                <w:sz w:val="20"/>
              </w:rPr>
              <w:t>6</w:t>
            </w:r>
            <w:r w:rsidR="00812E0B">
              <w:rPr>
                <w:rFonts w:ascii="Arial Narrow" w:hAnsi="Arial Narrow" w:cs="Tahoma"/>
                <w:b/>
                <w:bCs/>
                <w:color w:val="000000"/>
                <w:sz w:val="20"/>
              </w:rPr>
              <w:t>17.6</w:t>
            </w:r>
          </w:p>
        </w:tc>
      </w:tr>
    </w:tbl>
    <w:p w:rsidR="00D825FF" w:rsidRDefault="00D825FF" w:rsidP="00D825FF">
      <w:pPr>
        <w:pStyle w:val="Caption"/>
      </w:pPr>
      <w:bookmarkStart w:id="28" w:name="_Ref321068760"/>
    </w:p>
    <w:p w:rsidR="001631B1" w:rsidRPr="001631B1" w:rsidRDefault="001631B1" w:rsidP="005864F3">
      <w:pPr>
        <w:pStyle w:val="BodyText"/>
      </w:pPr>
      <w:r>
        <w:t>The regulatory depreciation for the previous access arrangement period is shown in Table 3.2 after adjusting for the impacts of inflation</w:t>
      </w:r>
      <w:r w:rsidR="00C022D7">
        <w:t>.</w:t>
      </w:r>
    </w:p>
    <w:bookmarkEnd w:id="28"/>
    <w:p w:rsidR="00C022D7" w:rsidRPr="005864F3" w:rsidRDefault="00D825FF" w:rsidP="005864F3">
      <w:pPr>
        <w:pStyle w:val="Caption"/>
        <w:keepNext/>
        <w:rPr>
          <w:rStyle w:val="StyleCaption11ptCustomColorRGB414141Char"/>
        </w:rPr>
      </w:pPr>
      <w:r w:rsidRPr="005864F3">
        <w:rPr>
          <w:rStyle w:val="StyleCaption11ptCustomColorRGB414141Char"/>
        </w:rPr>
        <w:lastRenderedPageBreak/>
        <w:t xml:space="preserve">Table </w:t>
      </w:r>
      <w:r w:rsidR="00751B94" w:rsidRPr="005864F3">
        <w:rPr>
          <w:rStyle w:val="StyleCaption11ptCustomColorRGB414141Char"/>
        </w:rPr>
        <w:fldChar w:fldCharType="begin"/>
      </w:r>
      <w:r w:rsidRPr="005864F3">
        <w:rPr>
          <w:rStyle w:val="StyleCaption11ptCustomColorRGB414141Char"/>
        </w:rPr>
        <w:instrText xml:space="preserve"> STYLEREF 1 \s </w:instrText>
      </w:r>
      <w:r w:rsidR="00751B94" w:rsidRPr="005864F3">
        <w:rPr>
          <w:rStyle w:val="StyleCaption11ptCustomColorRGB414141Char"/>
        </w:rPr>
        <w:fldChar w:fldCharType="separate"/>
      </w:r>
      <w:r w:rsidR="002E40B2">
        <w:rPr>
          <w:rStyle w:val="StyleCaption11ptCustomColorRGB414141Char"/>
          <w:noProof/>
        </w:rPr>
        <w:t>3</w:t>
      </w:r>
      <w:r w:rsidR="00751B94" w:rsidRPr="005864F3">
        <w:rPr>
          <w:rStyle w:val="StyleCaption11ptCustomColorRGB414141Char"/>
        </w:rPr>
        <w:fldChar w:fldCharType="end"/>
      </w:r>
      <w:r w:rsidRPr="005864F3">
        <w:rPr>
          <w:rStyle w:val="StyleCaption11ptCustomColorRGB414141Char"/>
        </w:rPr>
        <w:t>.2 – Outturn depreciation and indexation over the earlier access arrangement period</w:t>
      </w:r>
    </w:p>
    <w:tbl>
      <w:tblPr>
        <w:tblW w:w="8520" w:type="dxa"/>
        <w:tblInd w:w="93" w:type="dxa"/>
        <w:tblLook w:val="04A0"/>
      </w:tblPr>
      <w:tblGrid>
        <w:gridCol w:w="2992"/>
        <w:gridCol w:w="1105"/>
        <w:gridCol w:w="1106"/>
        <w:gridCol w:w="1105"/>
        <w:gridCol w:w="1106"/>
        <w:gridCol w:w="1106"/>
      </w:tblGrid>
      <w:tr w:rsidR="00C022D7" w:rsidRPr="00C022D7" w:rsidTr="005864F3">
        <w:trPr>
          <w:trHeight w:val="450"/>
        </w:trPr>
        <w:tc>
          <w:tcPr>
            <w:tcW w:w="2992" w:type="dxa"/>
            <w:tcBorders>
              <w:top w:val="nil"/>
              <w:left w:val="nil"/>
              <w:bottom w:val="nil"/>
              <w:right w:val="nil"/>
            </w:tcBorders>
            <w:shd w:val="clear" w:color="000000" w:fill="333333"/>
            <w:vAlign w:val="center"/>
            <w:hideMark/>
          </w:tcPr>
          <w:p w:rsidR="00C022D7" w:rsidRPr="005864F3" w:rsidRDefault="00C022D7" w:rsidP="005864F3">
            <w:pPr>
              <w:pStyle w:val="AAtabletopleft"/>
              <w:keepNext/>
              <w:rPr>
                <w:b w:val="0"/>
                <w:sz w:val="20"/>
              </w:rPr>
            </w:pPr>
            <w:r w:rsidRPr="005864F3">
              <w:rPr>
                <w:sz w:val="20"/>
                <w:szCs w:val="20"/>
              </w:rPr>
              <w:t>$m (nominal)</w:t>
            </w:r>
          </w:p>
        </w:tc>
        <w:tc>
          <w:tcPr>
            <w:tcW w:w="1105" w:type="dxa"/>
            <w:tcBorders>
              <w:top w:val="nil"/>
              <w:left w:val="nil"/>
              <w:bottom w:val="nil"/>
              <w:right w:val="nil"/>
            </w:tcBorders>
            <w:shd w:val="clear" w:color="000000" w:fill="333333"/>
            <w:vAlign w:val="center"/>
            <w:hideMark/>
          </w:tcPr>
          <w:p w:rsidR="00C022D7" w:rsidRPr="005864F3" w:rsidRDefault="00C022D7" w:rsidP="005864F3">
            <w:pPr>
              <w:pStyle w:val="AAtableyear"/>
              <w:keepNext/>
              <w:rPr>
                <w:b w:val="0"/>
                <w:bCs w:val="0"/>
                <w:sz w:val="20"/>
              </w:rPr>
            </w:pPr>
            <w:r w:rsidRPr="005864F3">
              <w:rPr>
                <w:sz w:val="20"/>
                <w:szCs w:val="20"/>
              </w:rPr>
              <w:t>2008</w:t>
            </w:r>
          </w:p>
        </w:tc>
        <w:tc>
          <w:tcPr>
            <w:tcW w:w="1106" w:type="dxa"/>
            <w:tcBorders>
              <w:top w:val="nil"/>
              <w:left w:val="nil"/>
              <w:bottom w:val="nil"/>
              <w:right w:val="nil"/>
            </w:tcBorders>
            <w:shd w:val="clear" w:color="000000" w:fill="333333"/>
            <w:vAlign w:val="center"/>
            <w:hideMark/>
          </w:tcPr>
          <w:p w:rsidR="00C022D7" w:rsidRPr="005864F3" w:rsidRDefault="00C022D7" w:rsidP="005864F3">
            <w:pPr>
              <w:pStyle w:val="AAtableyear"/>
              <w:keepNext/>
              <w:rPr>
                <w:b w:val="0"/>
                <w:bCs w:val="0"/>
                <w:sz w:val="20"/>
              </w:rPr>
            </w:pPr>
            <w:r w:rsidRPr="005864F3">
              <w:rPr>
                <w:sz w:val="20"/>
                <w:szCs w:val="20"/>
              </w:rPr>
              <w:t>2009</w:t>
            </w:r>
          </w:p>
        </w:tc>
        <w:tc>
          <w:tcPr>
            <w:tcW w:w="1105" w:type="dxa"/>
            <w:tcBorders>
              <w:top w:val="nil"/>
              <w:left w:val="nil"/>
              <w:bottom w:val="nil"/>
              <w:right w:val="nil"/>
            </w:tcBorders>
            <w:shd w:val="clear" w:color="000000" w:fill="333333"/>
            <w:vAlign w:val="center"/>
            <w:hideMark/>
          </w:tcPr>
          <w:p w:rsidR="00C022D7" w:rsidRPr="005864F3" w:rsidRDefault="00C022D7" w:rsidP="005864F3">
            <w:pPr>
              <w:pStyle w:val="AAtableyear"/>
              <w:keepNext/>
              <w:rPr>
                <w:b w:val="0"/>
                <w:bCs w:val="0"/>
                <w:sz w:val="20"/>
              </w:rPr>
            </w:pPr>
            <w:r w:rsidRPr="005864F3">
              <w:rPr>
                <w:sz w:val="20"/>
                <w:szCs w:val="20"/>
              </w:rPr>
              <w:t>2010</w:t>
            </w:r>
          </w:p>
        </w:tc>
        <w:tc>
          <w:tcPr>
            <w:tcW w:w="1106" w:type="dxa"/>
            <w:tcBorders>
              <w:top w:val="nil"/>
              <w:left w:val="nil"/>
              <w:bottom w:val="nil"/>
              <w:right w:val="nil"/>
            </w:tcBorders>
            <w:shd w:val="clear" w:color="000000" w:fill="333333"/>
            <w:vAlign w:val="center"/>
            <w:hideMark/>
          </w:tcPr>
          <w:p w:rsidR="00C022D7" w:rsidRPr="005864F3" w:rsidRDefault="00C022D7" w:rsidP="005864F3">
            <w:pPr>
              <w:pStyle w:val="AAtableyear"/>
              <w:keepNext/>
              <w:rPr>
                <w:b w:val="0"/>
                <w:bCs w:val="0"/>
                <w:sz w:val="20"/>
              </w:rPr>
            </w:pPr>
            <w:r w:rsidRPr="005864F3">
              <w:rPr>
                <w:sz w:val="20"/>
                <w:szCs w:val="20"/>
              </w:rPr>
              <w:t>2011</w:t>
            </w:r>
          </w:p>
        </w:tc>
        <w:tc>
          <w:tcPr>
            <w:tcW w:w="1106" w:type="dxa"/>
            <w:tcBorders>
              <w:top w:val="nil"/>
              <w:left w:val="nil"/>
              <w:bottom w:val="nil"/>
              <w:right w:val="nil"/>
            </w:tcBorders>
            <w:shd w:val="clear" w:color="000000" w:fill="333333"/>
            <w:vAlign w:val="center"/>
            <w:hideMark/>
          </w:tcPr>
          <w:p w:rsidR="00C022D7" w:rsidRPr="005864F3" w:rsidRDefault="00C022D7" w:rsidP="005864F3">
            <w:pPr>
              <w:pStyle w:val="AAtableyear"/>
              <w:keepNext/>
              <w:rPr>
                <w:b w:val="0"/>
                <w:bCs w:val="0"/>
                <w:sz w:val="20"/>
              </w:rPr>
            </w:pPr>
            <w:r w:rsidRPr="005864F3">
              <w:rPr>
                <w:sz w:val="20"/>
                <w:szCs w:val="20"/>
              </w:rPr>
              <w:t>2012</w:t>
            </w:r>
          </w:p>
        </w:tc>
      </w:tr>
      <w:tr w:rsidR="00C022D7" w:rsidRPr="00C022D7" w:rsidTr="005864F3">
        <w:trPr>
          <w:trHeight w:val="315"/>
        </w:trPr>
        <w:tc>
          <w:tcPr>
            <w:tcW w:w="2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022D7" w:rsidRPr="005864F3" w:rsidRDefault="00C022D7" w:rsidP="005864F3">
            <w:pPr>
              <w:pStyle w:val="AAtablecolumn1"/>
              <w:keepNext/>
              <w:rPr>
                <w:sz w:val="20"/>
              </w:rPr>
            </w:pPr>
            <w:r w:rsidRPr="005864F3">
              <w:rPr>
                <w:sz w:val="20"/>
              </w:rPr>
              <w:t>Depreciation</w:t>
            </w:r>
          </w:p>
        </w:tc>
        <w:tc>
          <w:tcPr>
            <w:tcW w:w="1105" w:type="dxa"/>
            <w:tcBorders>
              <w:top w:val="single" w:sz="8" w:space="0" w:color="000000"/>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-27.0 </w:t>
            </w:r>
          </w:p>
        </w:tc>
        <w:tc>
          <w:tcPr>
            <w:tcW w:w="1106" w:type="dxa"/>
            <w:tcBorders>
              <w:top w:val="single" w:sz="8" w:space="0" w:color="000000"/>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-30.7 </w:t>
            </w:r>
          </w:p>
        </w:tc>
        <w:tc>
          <w:tcPr>
            <w:tcW w:w="1105" w:type="dxa"/>
            <w:tcBorders>
              <w:top w:val="single" w:sz="8" w:space="0" w:color="000000"/>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-33.4 </w:t>
            </w:r>
          </w:p>
        </w:tc>
        <w:tc>
          <w:tcPr>
            <w:tcW w:w="1106" w:type="dxa"/>
            <w:tcBorders>
              <w:top w:val="single" w:sz="8" w:space="0" w:color="000000"/>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-34.3 </w:t>
            </w:r>
          </w:p>
        </w:tc>
        <w:tc>
          <w:tcPr>
            <w:tcW w:w="1106" w:type="dxa"/>
            <w:tcBorders>
              <w:top w:val="single" w:sz="8" w:space="0" w:color="000000"/>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-35.5 </w:t>
            </w:r>
          </w:p>
        </w:tc>
      </w:tr>
      <w:tr w:rsidR="00C022D7" w:rsidRPr="00C022D7" w:rsidTr="005864F3">
        <w:trPr>
          <w:trHeight w:val="315"/>
        </w:trPr>
        <w:tc>
          <w:tcPr>
            <w:tcW w:w="2992" w:type="dxa"/>
            <w:tcBorders>
              <w:top w:val="nil"/>
              <w:left w:val="single" w:sz="8" w:space="0" w:color="000000"/>
              <w:bottom w:val="single" w:sz="8" w:space="0" w:color="000000"/>
              <w:right w:val="single" w:sz="8" w:space="0" w:color="000000"/>
            </w:tcBorders>
            <w:shd w:val="clear" w:color="auto" w:fill="auto"/>
            <w:vAlign w:val="center"/>
            <w:hideMark/>
          </w:tcPr>
          <w:p w:rsidR="00C022D7" w:rsidRPr="005864F3" w:rsidRDefault="00C022D7" w:rsidP="005864F3">
            <w:pPr>
              <w:pStyle w:val="AAtablecolumn1"/>
              <w:keepNext/>
              <w:rPr>
                <w:sz w:val="20"/>
              </w:rPr>
            </w:pPr>
            <w:r w:rsidRPr="005864F3">
              <w:rPr>
                <w:sz w:val="20"/>
              </w:rPr>
              <w:t>Indexation</w:t>
            </w:r>
          </w:p>
        </w:tc>
        <w:tc>
          <w:tcPr>
            <w:tcW w:w="1105"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20.6 </w:t>
            </w:r>
          </w:p>
        </w:tc>
        <w:tc>
          <w:tcPr>
            <w:tcW w:w="1106"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12.5 </w:t>
            </w:r>
          </w:p>
        </w:tc>
        <w:tc>
          <w:tcPr>
            <w:tcW w:w="1105"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15.5 </w:t>
            </w:r>
          </w:p>
        </w:tc>
        <w:tc>
          <w:tcPr>
            <w:tcW w:w="1106"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17.9 </w:t>
            </w:r>
          </w:p>
        </w:tc>
        <w:tc>
          <w:tcPr>
            <w:tcW w:w="1106"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sz w:val="20"/>
              </w:rPr>
            </w:pPr>
            <w:r w:rsidRPr="00C022D7">
              <w:rPr>
                <w:rFonts w:ascii="Arial Narrow" w:hAnsi="Arial Narrow" w:cs="Tahoma"/>
                <w:sz w:val="20"/>
              </w:rPr>
              <w:t xml:space="preserve">15.3 </w:t>
            </w:r>
          </w:p>
        </w:tc>
      </w:tr>
      <w:tr w:rsidR="00C022D7" w:rsidRPr="00C022D7" w:rsidTr="005864F3">
        <w:trPr>
          <w:trHeight w:val="270"/>
        </w:trPr>
        <w:tc>
          <w:tcPr>
            <w:tcW w:w="2992" w:type="dxa"/>
            <w:tcBorders>
              <w:top w:val="nil"/>
              <w:left w:val="single" w:sz="8" w:space="0" w:color="000000"/>
              <w:bottom w:val="single" w:sz="8" w:space="0" w:color="000000"/>
              <w:right w:val="single" w:sz="8" w:space="0" w:color="000000"/>
            </w:tcBorders>
            <w:shd w:val="clear" w:color="auto" w:fill="auto"/>
            <w:vAlign w:val="center"/>
            <w:hideMark/>
          </w:tcPr>
          <w:p w:rsidR="00C022D7" w:rsidRPr="005864F3" w:rsidRDefault="00C022D7" w:rsidP="005864F3">
            <w:pPr>
              <w:pStyle w:val="AAtablecolumn1"/>
              <w:keepNext/>
              <w:jc w:val="left"/>
              <w:rPr>
                <w:b/>
                <w:bCs/>
                <w:sz w:val="20"/>
              </w:rPr>
            </w:pPr>
            <w:r w:rsidRPr="005864F3">
              <w:rPr>
                <w:b/>
                <w:bCs/>
                <w:sz w:val="20"/>
              </w:rPr>
              <w:t>Net Regulatory Depreciation</w:t>
            </w:r>
          </w:p>
        </w:tc>
        <w:tc>
          <w:tcPr>
            <w:tcW w:w="1105"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b/>
                <w:bCs/>
                <w:sz w:val="20"/>
              </w:rPr>
            </w:pPr>
            <w:r w:rsidRPr="00C022D7">
              <w:rPr>
                <w:rFonts w:ascii="Arial Narrow" w:hAnsi="Arial Narrow" w:cs="Tahoma"/>
                <w:b/>
                <w:bCs/>
                <w:sz w:val="20"/>
              </w:rPr>
              <w:t xml:space="preserve">-6.4 </w:t>
            </w:r>
          </w:p>
        </w:tc>
        <w:tc>
          <w:tcPr>
            <w:tcW w:w="1106"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b/>
                <w:bCs/>
                <w:sz w:val="20"/>
              </w:rPr>
            </w:pPr>
            <w:r w:rsidRPr="00C022D7">
              <w:rPr>
                <w:rFonts w:ascii="Arial Narrow" w:hAnsi="Arial Narrow" w:cs="Tahoma"/>
                <w:b/>
                <w:bCs/>
                <w:sz w:val="20"/>
              </w:rPr>
              <w:t xml:space="preserve">-18.2 </w:t>
            </w:r>
          </w:p>
        </w:tc>
        <w:tc>
          <w:tcPr>
            <w:tcW w:w="1105"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b/>
                <w:bCs/>
                <w:sz w:val="20"/>
              </w:rPr>
            </w:pPr>
            <w:r w:rsidRPr="00C022D7">
              <w:rPr>
                <w:rFonts w:ascii="Arial Narrow" w:hAnsi="Arial Narrow" w:cs="Tahoma"/>
                <w:b/>
                <w:bCs/>
                <w:sz w:val="20"/>
              </w:rPr>
              <w:t xml:space="preserve">-17.9 </w:t>
            </w:r>
          </w:p>
        </w:tc>
        <w:tc>
          <w:tcPr>
            <w:tcW w:w="1106"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b/>
                <w:bCs/>
                <w:sz w:val="20"/>
              </w:rPr>
            </w:pPr>
            <w:r w:rsidRPr="00C022D7">
              <w:rPr>
                <w:rFonts w:ascii="Arial Narrow" w:hAnsi="Arial Narrow" w:cs="Tahoma"/>
                <w:b/>
                <w:bCs/>
                <w:sz w:val="20"/>
              </w:rPr>
              <w:t xml:space="preserve">-16.5 </w:t>
            </w:r>
          </w:p>
        </w:tc>
        <w:tc>
          <w:tcPr>
            <w:tcW w:w="1106" w:type="dxa"/>
            <w:tcBorders>
              <w:top w:val="nil"/>
              <w:left w:val="nil"/>
              <w:bottom w:val="single" w:sz="8" w:space="0" w:color="000000"/>
              <w:right w:val="single" w:sz="8" w:space="0" w:color="000000"/>
            </w:tcBorders>
            <w:shd w:val="clear" w:color="auto" w:fill="auto"/>
            <w:vAlign w:val="center"/>
            <w:hideMark/>
          </w:tcPr>
          <w:p w:rsidR="00C022D7" w:rsidRPr="00C022D7" w:rsidRDefault="00C022D7" w:rsidP="005864F3">
            <w:pPr>
              <w:pStyle w:val="AAtablecolumn1"/>
              <w:keepNext/>
              <w:jc w:val="center"/>
              <w:rPr>
                <w:rFonts w:ascii="Arial Narrow" w:hAnsi="Arial Narrow" w:cs="Tahoma"/>
                <w:b/>
                <w:bCs/>
                <w:sz w:val="20"/>
              </w:rPr>
            </w:pPr>
            <w:r w:rsidRPr="00C022D7">
              <w:rPr>
                <w:rFonts w:ascii="Arial Narrow" w:hAnsi="Arial Narrow" w:cs="Tahoma"/>
                <w:b/>
                <w:bCs/>
                <w:sz w:val="20"/>
              </w:rPr>
              <w:t xml:space="preserve">-20.2 </w:t>
            </w:r>
          </w:p>
        </w:tc>
      </w:tr>
    </w:tbl>
    <w:p w:rsidR="0047306B" w:rsidRDefault="0047306B" w:rsidP="00770A69">
      <w:pPr>
        <w:pStyle w:val="Heading2"/>
      </w:pPr>
      <w:bookmarkStart w:id="29" w:name="_Toc340216052"/>
      <w:r>
        <w:t>Projected capital base</w:t>
      </w:r>
      <w:bookmarkEnd w:id="26"/>
      <w:bookmarkEnd w:id="27"/>
      <w:bookmarkEnd w:id="29"/>
    </w:p>
    <w:p w:rsidR="00302471" w:rsidRDefault="00302471" w:rsidP="008072B5">
      <w:pPr>
        <w:pStyle w:val="BodyText"/>
      </w:pPr>
      <w:r>
        <w:t>The projected capital base for the access arrangement period is made up of the following components:</w:t>
      </w:r>
    </w:p>
    <w:p w:rsidR="00302471" w:rsidRDefault="0098336A" w:rsidP="00701B49">
      <w:pPr>
        <w:pStyle w:val="ListBullet"/>
        <w:spacing w:after="60"/>
      </w:pPr>
      <w:r>
        <w:t>O</w:t>
      </w:r>
      <w:r w:rsidR="00302471">
        <w:t>pening capital base; plus</w:t>
      </w:r>
    </w:p>
    <w:p w:rsidR="00302471" w:rsidRDefault="00302471" w:rsidP="00701B49">
      <w:pPr>
        <w:pStyle w:val="ListBullet"/>
        <w:spacing w:after="60"/>
      </w:pPr>
      <w:r>
        <w:t>Forecast conforming capital expenditure; less</w:t>
      </w:r>
    </w:p>
    <w:p w:rsidR="00302471" w:rsidRDefault="00302471" w:rsidP="00701B49">
      <w:pPr>
        <w:pStyle w:val="ListBullet"/>
        <w:spacing w:after="60"/>
      </w:pPr>
      <w:r>
        <w:t>Forecast depreciation; less</w:t>
      </w:r>
    </w:p>
    <w:p w:rsidR="00302471" w:rsidRDefault="00302471" w:rsidP="00701B49">
      <w:pPr>
        <w:pStyle w:val="ListBullet"/>
        <w:spacing w:after="60"/>
      </w:pPr>
      <w:r>
        <w:t>Forecast disposals.</w:t>
      </w:r>
    </w:p>
    <w:p w:rsidR="00302471" w:rsidRDefault="00302471" w:rsidP="008072B5">
      <w:pPr>
        <w:pStyle w:val="BodyText"/>
      </w:pPr>
      <w:r>
        <w:t>These components are described in the following sections, a</w:t>
      </w:r>
      <w:r w:rsidR="00F133D8">
        <w:t>nd</w:t>
      </w:r>
      <w:r>
        <w:t xml:space="preserve"> the projected capital base is provided in section </w:t>
      </w:r>
      <w:r w:rsidR="00751B94">
        <w:rPr>
          <w:highlight w:val="yellow"/>
        </w:rPr>
        <w:fldChar w:fldCharType="begin"/>
      </w:r>
      <w:r w:rsidR="0028260E">
        <w:instrText xml:space="preserve"> REF _Ref305531065 \r \h </w:instrText>
      </w:r>
      <w:r w:rsidR="00751B94">
        <w:rPr>
          <w:highlight w:val="yellow"/>
        </w:rPr>
      </w:r>
      <w:r w:rsidR="00751B94">
        <w:rPr>
          <w:highlight w:val="yellow"/>
        </w:rPr>
        <w:fldChar w:fldCharType="separate"/>
      </w:r>
      <w:r w:rsidR="00E10DCB">
        <w:t>3.2.5</w:t>
      </w:r>
      <w:r w:rsidR="00751B94">
        <w:rPr>
          <w:highlight w:val="yellow"/>
        </w:rPr>
        <w:fldChar w:fldCharType="end"/>
      </w:r>
      <w:r>
        <w:t xml:space="preserve"> below.</w:t>
      </w:r>
    </w:p>
    <w:p w:rsidR="0047306B" w:rsidRDefault="009F5AF6" w:rsidP="0047306B">
      <w:pPr>
        <w:pStyle w:val="Heading3"/>
      </w:pPr>
      <w:bookmarkStart w:id="30" w:name="_Ref263790788"/>
      <w:bookmarkStart w:id="31" w:name="_Ref263791055"/>
      <w:bookmarkStart w:id="32" w:name="_Toc340216053"/>
      <w:r>
        <w:t>Forecast c</w:t>
      </w:r>
      <w:r w:rsidR="0047306B">
        <w:t>onforming capital expenditure</w:t>
      </w:r>
      <w:bookmarkEnd w:id="30"/>
      <w:bookmarkEnd w:id="31"/>
      <w:r w:rsidR="008072B5">
        <w:t xml:space="preserve"> for the access arrangement period</w:t>
      </w:r>
      <w:bookmarkEnd w:id="32"/>
    </w:p>
    <w:p w:rsidR="00302471" w:rsidRDefault="008072B5" w:rsidP="008072B5">
      <w:pPr>
        <w:pStyle w:val="BodyText"/>
        <w:rPr>
          <w:i/>
        </w:rPr>
      </w:pPr>
      <w:r>
        <w:t>Forecast conforming capital expenditure by asset class over the access arrangement period</w:t>
      </w:r>
      <w:r w:rsidR="00302471">
        <w:rPr>
          <w:rStyle w:val="FootnoteReference"/>
        </w:rPr>
        <w:footnoteReference w:id="7"/>
      </w:r>
      <w:r>
        <w:t xml:space="preserve"> is set out</w:t>
      </w:r>
      <w:r w:rsidR="00701B49">
        <w:t xml:space="preserve"> in Table 3.3</w:t>
      </w:r>
      <w:r>
        <w:t xml:space="preserve"> </w:t>
      </w:r>
      <w:r w:rsidRPr="00302471">
        <w:t>below</w:t>
      </w:r>
      <w:r w:rsidRPr="00475793">
        <w:t>.</w:t>
      </w:r>
    </w:p>
    <w:p w:rsidR="00302471" w:rsidRDefault="000C65E5" w:rsidP="001631B1">
      <w:pPr>
        <w:pStyle w:val="Caption"/>
        <w:keepNext/>
        <w:rPr>
          <w:rStyle w:val="StyleCaption11ptCustomColorRGB414141Char"/>
        </w:rPr>
      </w:pPr>
      <w:bookmarkStart w:id="33" w:name="_Ref273369080"/>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2E40B2">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33"/>
      <w:r w:rsidR="00701B49">
        <w:rPr>
          <w:rStyle w:val="StyleCaption11ptCustomColorRGB414141Char"/>
        </w:rPr>
        <w:t>3</w:t>
      </w:r>
      <w:r w:rsidR="00216B42">
        <w:rPr>
          <w:rStyle w:val="StyleCaption11ptCustomColorRGB414141Char"/>
        </w:rPr>
        <w:t xml:space="preserve"> – </w:t>
      </w:r>
      <w:r>
        <w:rPr>
          <w:rStyle w:val="StyleCaption11ptCustomColorRGB414141Char"/>
        </w:rPr>
        <w:t xml:space="preserve">Forecast capital expenditure </w:t>
      </w:r>
      <w:r w:rsidR="008072B5">
        <w:rPr>
          <w:rStyle w:val="StyleCaption11ptCustomColorRGB414141Char"/>
        </w:rPr>
        <w:t>by asset class over the access arrangement period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039"/>
        <w:gridCol w:w="1040"/>
        <w:gridCol w:w="1039"/>
        <w:gridCol w:w="1040"/>
        <w:gridCol w:w="1039"/>
        <w:gridCol w:w="1040"/>
      </w:tblGrid>
      <w:tr w:rsidR="003E3D51" w:rsidRPr="00D33215" w:rsidTr="006C41B1">
        <w:tc>
          <w:tcPr>
            <w:tcW w:w="2235" w:type="dxa"/>
            <w:tcBorders>
              <w:top w:val="nil"/>
              <w:left w:val="nil"/>
              <w:bottom w:val="nil"/>
              <w:right w:val="nil"/>
            </w:tcBorders>
            <w:shd w:val="clear" w:color="auto" w:fill="333333"/>
          </w:tcPr>
          <w:p w:rsidR="003E3D51" w:rsidRPr="001F6F2E" w:rsidRDefault="003E3D51"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039"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2013</w:t>
            </w:r>
          </w:p>
        </w:tc>
        <w:tc>
          <w:tcPr>
            <w:tcW w:w="1040"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039"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w:t>
            </w:r>
            <w:r>
              <w:rPr>
                <w:rFonts w:ascii="Arial Narrow" w:hAnsi="Arial Narrow"/>
                <w:b/>
                <w:bCs/>
                <w:color w:val="FFFFFF"/>
                <w:sz w:val="20"/>
              </w:rPr>
              <w:t>0</w:t>
            </w:r>
            <w:r w:rsidRPr="001F6F2E">
              <w:rPr>
                <w:rFonts w:ascii="Arial Narrow" w:hAnsi="Arial Narrow"/>
                <w:b/>
                <w:bCs/>
                <w:color w:val="FFFFFF"/>
                <w:sz w:val="20"/>
              </w:rPr>
              <w:t>15</w:t>
            </w:r>
          </w:p>
        </w:tc>
        <w:tc>
          <w:tcPr>
            <w:tcW w:w="1040"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039"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c>
          <w:tcPr>
            <w:tcW w:w="1040"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Total</w:t>
            </w:r>
          </w:p>
        </w:tc>
      </w:tr>
      <w:tr w:rsidR="00C507B7" w:rsidRPr="00D33215" w:rsidTr="005864F3">
        <w:tc>
          <w:tcPr>
            <w:tcW w:w="2235" w:type="dxa"/>
            <w:vAlign w:val="center"/>
          </w:tcPr>
          <w:p w:rsidR="00000000" w:rsidRDefault="00C507B7" w:rsidP="000226EA">
            <w:pPr>
              <w:pStyle w:val="BodyText"/>
              <w:keepNext/>
              <w:spacing w:beforeLines="40" w:afterLines="40"/>
              <w:jc w:val="left"/>
              <w:rPr>
                <w:rFonts w:ascii="Arial Narrow" w:hAnsi="Arial Narrow"/>
                <w:b/>
                <w:color w:val="333333"/>
                <w:sz w:val="20"/>
              </w:rPr>
            </w:pPr>
            <w:r>
              <w:rPr>
                <w:rFonts w:ascii="Arial Narrow" w:hAnsi="Arial Narrow" w:cs="Tahoma"/>
                <w:color w:val="333333"/>
                <w:sz w:val="20"/>
              </w:rPr>
              <w:t xml:space="preserve"> Pipelines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7.5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45.7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16.4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9.4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5.2 </w:t>
            </w:r>
          </w:p>
        </w:tc>
        <w:tc>
          <w:tcPr>
            <w:tcW w:w="1040" w:type="dxa"/>
            <w:vAlign w:val="center"/>
          </w:tcPr>
          <w:p w:rsidR="00000000" w:rsidRDefault="00C507B7" w:rsidP="000226EA">
            <w:pPr>
              <w:keepNext/>
              <w:spacing w:beforeLines="40" w:afterLines="40"/>
              <w:jc w:val="center"/>
              <w:rPr>
                <w:rFonts w:ascii="Arial Narrow" w:hAnsi="Arial Narrow"/>
                <w:b/>
                <w:color w:val="333333"/>
                <w:sz w:val="20"/>
              </w:rPr>
            </w:pPr>
            <w:r>
              <w:rPr>
                <w:rFonts w:ascii="Arial Narrow" w:hAnsi="Arial Narrow" w:cs="Tahoma"/>
                <w:sz w:val="20"/>
              </w:rPr>
              <w:t xml:space="preserve">84.2 </w:t>
            </w:r>
          </w:p>
        </w:tc>
      </w:tr>
      <w:tr w:rsidR="00C507B7" w:rsidRPr="00D33215" w:rsidTr="005864F3">
        <w:tc>
          <w:tcPr>
            <w:tcW w:w="2235" w:type="dxa"/>
            <w:vAlign w:val="center"/>
          </w:tcPr>
          <w:p w:rsidR="00000000" w:rsidRDefault="00C507B7" w:rsidP="000226EA">
            <w:pPr>
              <w:pStyle w:val="BodyText"/>
              <w:keepNext/>
              <w:spacing w:beforeLines="40" w:afterLines="40"/>
              <w:jc w:val="left"/>
              <w:rPr>
                <w:rFonts w:ascii="Arial Narrow" w:hAnsi="Arial Narrow"/>
                <w:sz w:val="20"/>
              </w:rPr>
            </w:pPr>
            <w:r>
              <w:rPr>
                <w:rFonts w:ascii="Arial Narrow" w:hAnsi="Arial Narrow" w:cs="Tahoma"/>
                <w:color w:val="333333"/>
                <w:sz w:val="20"/>
              </w:rPr>
              <w:t xml:space="preserve"> Compressors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10.7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38.8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2.2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0.5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0.5 </w:t>
            </w:r>
          </w:p>
        </w:tc>
        <w:tc>
          <w:tcPr>
            <w:tcW w:w="1040" w:type="dxa"/>
            <w:vAlign w:val="center"/>
          </w:tcPr>
          <w:p w:rsidR="00000000" w:rsidRDefault="00C507B7" w:rsidP="000226EA">
            <w:pPr>
              <w:keepNext/>
              <w:spacing w:beforeLines="40" w:afterLines="40"/>
              <w:jc w:val="center"/>
              <w:rPr>
                <w:rFonts w:ascii="Arial Narrow" w:hAnsi="Arial Narrow"/>
                <w:b/>
                <w:color w:val="333333"/>
                <w:sz w:val="20"/>
              </w:rPr>
            </w:pPr>
            <w:r>
              <w:rPr>
                <w:rFonts w:ascii="Arial Narrow" w:hAnsi="Arial Narrow" w:cs="Tahoma"/>
                <w:sz w:val="20"/>
              </w:rPr>
              <w:t xml:space="preserve">52.7 </w:t>
            </w:r>
          </w:p>
        </w:tc>
      </w:tr>
      <w:tr w:rsidR="00C507B7" w:rsidRPr="00D33215" w:rsidTr="005864F3">
        <w:tc>
          <w:tcPr>
            <w:tcW w:w="2235" w:type="dxa"/>
            <w:vAlign w:val="center"/>
          </w:tcPr>
          <w:p w:rsidR="00000000" w:rsidRDefault="00C507B7" w:rsidP="000226EA">
            <w:pPr>
              <w:pStyle w:val="BodyText"/>
              <w:keepNext/>
              <w:spacing w:beforeLines="40" w:afterLines="40"/>
              <w:jc w:val="left"/>
              <w:rPr>
                <w:rFonts w:ascii="Arial Narrow" w:hAnsi="Arial Narrow"/>
                <w:sz w:val="20"/>
              </w:rPr>
            </w:pPr>
            <w:r>
              <w:rPr>
                <w:rFonts w:ascii="Arial Narrow" w:hAnsi="Arial Narrow" w:cs="Tahoma"/>
                <w:color w:val="333333"/>
                <w:sz w:val="20"/>
              </w:rPr>
              <w:t xml:space="preserve"> City gates &amp; Field regulators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6.4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9.3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4.5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1.7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0.6 </w:t>
            </w:r>
          </w:p>
        </w:tc>
        <w:tc>
          <w:tcPr>
            <w:tcW w:w="1040" w:type="dxa"/>
            <w:vAlign w:val="center"/>
          </w:tcPr>
          <w:p w:rsidR="00000000" w:rsidRDefault="00C507B7" w:rsidP="000226EA">
            <w:pPr>
              <w:keepNext/>
              <w:spacing w:beforeLines="40" w:afterLines="40"/>
              <w:jc w:val="center"/>
              <w:rPr>
                <w:rFonts w:ascii="Arial Narrow" w:hAnsi="Arial Narrow"/>
                <w:b/>
                <w:color w:val="333333"/>
                <w:sz w:val="20"/>
              </w:rPr>
            </w:pPr>
            <w:r>
              <w:rPr>
                <w:rFonts w:ascii="Arial Narrow" w:hAnsi="Arial Narrow" w:cs="Tahoma"/>
                <w:sz w:val="20"/>
              </w:rPr>
              <w:t xml:space="preserve">22.4 </w:t>
            </w:r>
          </w:p>
        </w:tc>
      </w:tr>
      <w:tr w:rsidR="00C507B7" w:rsidRPr="00D33215" w:rsidTr="005864F3">
        <w:tc>
          <w:tcPr>
            <w:tcW w:w="2235" w:type="dxa"/>
            <w:vAlign w:val="center"/>
          </w:tcPr>
          <w:p w:rsidR="00000000" w:rsidRDefault="00C507B7" w:rsidP="000226EA">
            <w:pPr>
              <w:pStyle w:val="BodyText"/>
              <w:keepNext/>
              <w:spacing w:beforeLines="40" w:afterLines="40"/>
              <w:jc w:val="left"/>
              <w:rPr>
                <w:rFonts w:ascii="Arial Narrow" w:hAnsi="Arial Narrow"/>
                <w:sz w:val="20"/>
              </w:rPr>
            </w:pPr>
            <w:r>
              <w:rPr>
                <w:rFonts w:ascii="Arial Narrow" w:hAnsi="Arial Narrow" w:cs="Tahoma"/>
                <w:color w:val="333333"/>
                <w:sz w:val="20"/>
              </w:rPr>
              <w:t xml:space="preserve"> </w:t>
            </w:r>
            <w:proofErr w:type="spellStart"/>
            <w:r>
              <w:rPr>
                <w:rFonts w:ascii="Arial Narrow" w:hAnsi="Arial Narrow" w:cs="Tahoma"/>
                <w:color w:val="333333"/>
                <w:sz w:val="20"/>
              </w:rPr>
              <w:t>Odourant</w:t>
            </w:r>
            <w:proofErr w:type="spellEnd"/>
            <w:r>
              <w:rPr>
                <w:rFonts w:ascii="Arial Narrow" w:hAnsi="Arial Narrow" w:cs="Tahoma"/>
                <w:color w:val="333333"/>
                <w:sz w:val="20"/>
              </w:rPr>
              <w:t xml:space="preserve"> plants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000000" w:rsidRDefault="00C507B7" w:rsidP="000226EA">
            <w:pPr>
              <w:keepNext/>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000000" w:rsidRDefault="00C507B7" w:rsidP="000226EA">
            <w:pPr>
              <w:keepNext/>
              <w:spacing w:beforeLines="40" w:afterLines="40"/>
              <w:jc w:val="center"/>
              <w:rPr>
                <w:rFonts w:ascii="Arial Narrow" w:hAnsi="Arial Narrow"/>
                <w:b/>
                <w:color w:val="333333"/>
                <w:sz w:val="20"/>
              </w:rPr>
            </w:pPr>
            <w:r>
              <w:rPr>
                <w:rFonts w:ascii="Arial Narrow" w:hAnsi="Arial Narrow" w:cs="Tahoma"/>
                <w:sz w:val="20"/>
              </w:rPr>
              <w:t xml:space="preserve">0.0 </w:t>
            </w:r>
          </w:p>
        </w:tc>
      </w:tr>
      <w:tr w:rsidR="00C507B7" w:rsidRPr="00D33215" w:rsidTr="005864F3">
        <w:tc>
          <w:tcPr>
            <w:tcW w:w="2235" w:type="dxa"/>
            <w:vAlign w:val="center"/>
          </w:tcPr>
          <w:p w:rsidR="00000000" w:rsidRDefault="00C507B7" w:rsidP="000226EA">
            <w:pPr>
              <w:pStyle w:val="BodyText"/>
              <w:spacing w:beforeLines="40" w:afterLines="40"/>
              <w:jc w:val="left"/>
              <w:rPr>
                <w:rFonts w:ascii="Arial Narrow" w:hAnsi="Arial Narrow"/>
                <w:sz w:val="20"/>
              </w:rPr>
            </w:pPr>
            <w:r>
              <w:rPr>
                <w:rFonts w:ascii="Arial Narrow" w:hAnsi="Arial Narrow" w:cs="Tahoma"/>
                <w:color w:val="333333"/>
                <w:sz w:val="20"/>
              </w:rPr>
              <w:t xml:space="preserve"> Gas quality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0.2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0.4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0.1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0.1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000000" w:rsidRDefault="00C507B7" w:rsidP="000226EA">
            <w:pPr>
              <w:spacing w:beforeLines="40" w:afterLines="40"/>
              <w:jc w:val="center"/>
              <w:rPr>
                <w:rFonts w:ascii="Arial Narrow" w:hAnsi="Arial Narrow"/>
                <w:b/>
                <w:color w:val="333333"/>
                <w:sz w:val="20"/>
              </w:rPr>
            </w:pPr>
            <w:r>
              <w:rPr>
                <w:rFonts w:ascii="Arial Narrow" w:hAnsi="Arial Narrow" w:cs="Tahoma"/>
                <w:sz w:val="20"/>
              </w:rPr>
              <w:t xml:space="preserve">0.8 </w:t>
            </w:r>
          </w:p>
        </w:tc>
      </w:tr>
      <w:tr w:rsidR="00C507B7" w:rsidRPr="00D33215" w:rsidTr="005864F3">
        <w:tc>
          <w:tcPr>
            <w:tcW w:w="2235" w:type="dxa"/>
            <w:vAlign w:val="center"/>
          </w:tcPr>
          <w:p w:rsidR="00000000" w:rsidRDefault="00C507B7" w:rsidP="000226EA">
            <w:pPr>
              <w:pStyle w:val="BodyText"/>
              <w:spacing w:beforeLines="40" w:afterLines="40"/>
              <w:jc w:val="left"/>
              <w:rPr>
                <w:rFonts w:ascii="Arial Narrow" w:hAnsi="Arial Narrow"/>
                <w:sz w:val="20"/>
              </w:rPr>
            </w:pPr>
            <w:r>
              <w:rPr>
                <w:rFonts w:ascii="Arial Narrow" w:hAnsi="Arial Narrow" w:cs="Tahoma"/>
                <w:color w:val="333333"/>
                <w:sz w:val="20"/>
              </w:rPr>
              <w:t xml:space="preserve"> Other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1.7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0.6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1.7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2.5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3.4 </w:t>
            </w:r>
          </w:p>
        </w:tc>
        <w:tc>
          <w:tcPr>
            <w:tcW w:w="1040" w:type="dxa"/>
            <w:vAlign w:val="center"/>
          </w:tcPr>
          <w:p w:rsidR="00000000" w:rsidRDefault="00C507B7" w:rsidP="000226EA">
            <w:pPr>
              <w:spacing w:beforeLines="40" w:afterLines="40"/>
              <w:jc w:val="center"/>
              <w:rPr>
                <w:rFonts w:ascii="Arial Narrow" w:hAnsi="Arial Narrow"/>
                <w:b/>
                <w:color w:val="333333"/>
                <w:sz w:val="20"/>
              </w:rPr>
            </w:pPr>
            <w:r>
              <w:rPr>
                <w:rFonts w:ascii="Arial Narrow" w:hAnsi="Arial Narrow" w:cs="Tahoma"/>
                <w:sz w:val="20"/>
              </w:rPr>
              <w:t xml:space="preserve">9.9 </w:t>
            </w:r>
          </w:p>
        </w:tc>
      </w:tr>
      <w:tr w:rsidR="00C507B7" w:rsidRPr="00D33215" w:rsidTr="005864F3">
        <w:tc>
          <w:tcPr>
            <w:tcW w:w="2235" w:type="dxa"/>
            <w:vAlign w:val="center"/>
          </w:tcPr>
          <w:p w:rsidR="00000000" w:rsidRDefault="00C507B7" w:rsidP="000226EA">
            <w:pPr>
              <w:pStyle w:val="BodyText"/>
              <w:spacing w:beforeLines="40" w:afterLines="40"/>
              <w:jc w:val="left"/>
              <w:rPr>
                <w:rFonts w:ascii="Arial Narrow" w:hAnsi="Arial Narrow"/>
                <w:sz w:val="20"/>
              </w:rPr>
            </w:pPr>
            <w:r>
              <w:rPr>
                <w:rFonts w:ascii="Arial Narrow" w:hAnsi="Arial Narrow" w:cs="Tahoma"/>
                <w:color w:val="333333"/>
                <w:sz w:val="20"/>
              </w:rPr>
              <w:lastRenderedPageBreak/>
              <w:t xml:space="preserve"> General buildings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4.8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5.9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0.2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0.2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000000" w:rsidRDefault="00C507B7" w:rsidP="000226EA">
            <w:pPr>
              <w:spacing w:beforeLines="40" w:afterLines="40"/>
              <w:jc w:val="center"/>
              <w:rPr>
                <w:rFonts w:ascii="Arial Narrow" w:hAnsi="Arial Narrow"/>
                <w:b/>
                <w:color w:val="333333"/>
                <w:sz w:val="20"/>
              </w:rPr>
            </w:pPr>
            <w:r>
              <w:rPr>
                <w:rFonts w:ascii="Arial Narrow" w:hAnsi="Arial Narrow" w:cs="Tahoma"/>
                <w:sz w:val="20"/>
              </w:rPr>
              <w:t xml:space="preserve">11.1 </w:t>
            </w:r>
          </w:p>
        </w:tc>
      </w:tr>
      <w:tr w:rsidR="00C507B7" w:rsidRPr="00D33215" w:rsidTr="005864F3">
        <w:tc>
          <w:tcPr>
            <w:tcW w:w="2235" w:type="dxa"/>
            <w:vAlign w:val="center"/>
          </w:tcPr>
          <w:p w:rsidR="00000000" w:rsidRDefault="00C507B7" w:rsidP="000226EA">
            <w:pPr>
              <w:pStyle w:val="BodyText"/>
              <w:spacing w:beforeLines="40" w:afterLines="40"/>
              <w:jc w:val="left"/>
              <w:rPr>
                <w:rFonts w:ascii="Arial Narrow" w:hAnsi="Arial Narrow"/>
                <w:sz w:val="20"/>
              </w:rPr>
            </w:pPr>
            <w:r>
              <w:rPr>
                <w:rFonts w:ascii="Arial Narrow" w:hAnsi="Arial Narrow" w:cs="Tahoma"/>
                <w:color w:val="333333"/>
                <w:sz w:val="20"/>
              </w:rPr>
              <w:t xml:space="preserve"> General land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0.3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000000" w:rsidRDefault="00C507B7" w:rsidP="000226EA">
            <w:pPr>
              <w:spacing w:beforeLines="40" w:afterLines="40"/>
              <w:jc w:val="center"/>
              <w:rPr>
                <w:rFonts w:ascii="Arial Narrow" w:hAnsi="Arial Narrow"/>
                <w:b/>
                <w:color w:val="333333"/>
                <w:sz w:val="20"/>
              </w:rPr>
            </w:pPr>
            <w:r>
              <w:rPr>
                <w:rFonts w:ascii="Arial Narrow" w:hAnsi="Arial Narrow" w:cs="Tahoma"/>
                <w:sz w:val="20"/>
              </w:rPr>
              <w:t xml:space="preserve">0.3 </w:t>
            </w:r>
          </w:p>
        </w:tc>
      </w:tr>
      <w:tr w:rsidR="00C507B7" w:rsidRPr="00D33215" w:rsidTr="005864F3">
        <w:tc>
          <w:tcPr>
            <w:tcW w:w="2235" w:type="dxa"/>
            <w:vAlign w:val="center"/>
          </w:tcPr>
          <w:p w:rsidR="00000000" w:rsidRDefault="00C507B7" w:rsidP="000226EA">
            <w:pPr>
              <w:pStyle w:val="BodyText"/>
              <w:spacing w:beforeLines="40" w:afterLines="40"/>
              <w:jc w:val="left"/>
              <w:rPr>
                <w:rFonts w:ascii="Arial Narrow" w:hAnsi="Arial Narrow"/>
                <w:sz w:val="20"/>
              </w:rPr>
            </w:pPr>
            <w:r>
              <w:rPr>
                <w:rFonts w:ascii="Arial Narrow" w:hAnsi="Arial Narrow" w:cs="Tahoma"/>
                <w:color w:val="333333"/>
                <w:sz w:val="20"/>
              </w:rPr>
              <w:t xml:space="preserve"> Equity Raising Costs </w:t>
            </w:r>
          </w:p>
        </w:tc>
        <w:tc>
          <w:tcPr>
            <w:tcW w:w="1039" w:type="dxa"/>
            <w:vAlign w:val="center"/>
          </w:tcPr>
          <w:p w:rsidR="00000000" w:rsidRDefault="00C507B7" w:rsidP="000226EA">
            <w:pPr>
              <w:spacing w:beforeLines="40" w:afterLines="40"/>
              <w:jc w:val="center"/>
              <w:rPr>
                <w:rFonts w:ascii="Arial Narrow" w:hAnsi="Arial Narrow" w:cs="Tahoma"/>
                <w:b/>
                <w:bCs/>
                <w:color w:val="000000"/>
                <w:sz w:val="20"/>
              </w:rPr>
            </w:pPr>
            <w:r>
              <w:rPr>
                <w:rFonts w:ascii="Arial Narrow" w:hAnsi="Arial Narrow" w:cs="Tahoma"/>
                <w:sz w:val="20"/>
              </w:rPr>
              <w:t xml:space="preserve">0.0 </w:t>
            </w:r>
          </w:p>
        </w:tc>
        <w:tc>
          <w:tcPr>
            <w:tcW w:w="1040" w:type="dxa"/>
            <w:vAlign w:val="center"/>
          </w:tcPr>
          <w:p w:rsidR="00000000" w:rsidRDefault="00C507B7" w:rsidP="000226EA">
            <w:pPr>
              <w:spacing w:beforeLines="40" w:afterLines="40"/>
              <w:jc w:val="center"/>
              <w:rPr>
                <w:rFonts w:ascii="Arial Narrow" w:hAnsi="Arial Narrow" w:cs="Tahoma"/>
                <w:b/>
                <w:bCs/>
                <w:color w:val="000000"/>
                <w:sz w:val="20"/>
              </w:rPr>
            </w:pPr>
            <w:r>
              <w:rPr>
                <w:rFonts w:ascii="Arial Narrow" w:hAnsi="Arial Narrow" w:cs="Tahoma"/>
                <w:sz w:val="20"/>
              </w:rPr>
              <w:t xml:space="preserve">0.0 </w:t>
            </w:r>
          </w:p>
        </w:tc>
        <w:tc>
          <w:tcPr>
            <w:tcW w:w="1039" w:type="dxa"/>
            <w:vAlign w:val="center"/>
          </w:tcPr>
          <w:p w:rsidR="00000000" w:rsidRDefault="00C507B7" w:rsidP="000226EA">
            <w:pPr>
              <w:spacing w:beforeLines="40" w:afterLines="40"/>
              <w:jc w:val="center"/>
              <w:rPr>
                <w:rFonts w:ascii="Arial Narrow" w:hAnsi="Arial Narrow" w:cs="Tahoma"/>
                <w:b/>
                <w:bCs/>
                <w:color w:val="000000"/>
                <w:sz w:val="20"/>
              </w:rPr>
            </w:pPr>
            <w:r>
              <w:rPr>
                <w:rFonts w:ascii="Arial Narrow" w:hAnsi="Arial Narrow" w:cs="Tahoma"/>
                <w:sz w:val="20"/>
              </w:rPr>
              <w:t xml:space="preserve">0.0 </w:t>
            </w:r>
          </w:p>
        </w:tc>
        <w:tc>
          <w:tcPr>
            <w:tcW w:w="1040" w:type="dxa"/>
            <w:vAlign w:val="center"/>
          </w:tcPr>
          <w:p w:rsidR="00000000" w:rsidRDefault="00C507B7" w:rsidP="000226EA">
            <w:pPr>
              <w:spacing w:beforeLines="40" w:afterLines="40"/>
              <w:jc w:val="center"/>
              <w:rPr>
                <w:rFonts w:ascii="Arial Narrow" w:hAnsi="Arial Narrow" w:cs="Tahoma"/>
                <w:b/>
                <w:bCs/>
                <w:color w:val="000000"/>
                <w:sz w:val="20"/>
              </w:rPr>
            </w:pPr>
            <w:r>
              <w:rPr>
                <w:rFonts w:ascii="Arial Narrow" w:hAnsi="Arial Narrow" w:cs="Tahoma"/>
                <w:sz w:val="20"/>
              </w:rPr>
              <w:t xml:space="preserve">0.0 </w:t>
            </w:r>
          </w:p>
        </w:tc>
        <w:tc>
          <w:tcPr>
            <w:tcW w:w="1039" w:type="dxa"/>
            <w:vAlign w:val="center"/>
          </w:tcPr>
          <w:p w:rsidR="00000000" w:rsidRDefault="00C507B7" w:rsidP="000226EA">
            <w:pPr>
              <w:spacing w:beforeLines="40" w:afterLines="40"/>
              <w:jc w:val="center"/>
              <w:rPr>
                <w:rFonts w:ascii="Arial Narrow" w:hAnsi="Arial Narrow" w:cs="Tahoma"/>
                <w:b/>
                <w:bCs/>
                <w:color w:val="000000"/>
                <w:sz w:val="20"/>
              </w:rPr>
            </w:pPr>
            <w:r>
              <w:rPr>
                <w:rFonts w:ascii="Arial Narrow" w:hAnsi="Arial Narrow" w:cs="Tahoma"/>
                <w:sz w:val="20"/>
              </w:rPr>
              <w:t xml:space="preserve">0.0 </w:t>
            </w:r>
          </w:p>
        </w:tc>
        <w:tc>
          <w:tcPr>
            <w:tcW w:w="1040" w:type="dxa"/>
            <w:vAlign w:val="center"/>
          </w:tcPr>
          <w:p w:rsidR="00000000" w:rsidRDefault="00C507B7" w:rsidP="000226EA">
            <w:pPr>
              <w:spacing w:beforeLines="40" w:afterLines="40"/>
              <w:jc w:val="center"/>
              <w:rPr>
                <w:rFonts w:ascii="Arial Narrow" w:hAnsi="Arial Narrow"/>
                <w:b/>
                <w:color w:val="333333"/>
                <w:sz w:val="20"/>
              </w:rPr>
            </w:pPr>
            <w:r>
              <w:rPr>
                <w:rFonts w:ascii="Arial Narrow" w:hAnsi="Arial Narrow" w:cs="Tahoma"/>
                <w:sz w:val="20"/>
              </w:rPr>
              <w:t xml:space="preserve">0.0 </w:t>
            </w:r>
          </w:p>
        </w:tc>
      </w:tr>
      <w:tr w:rsidR="00C507B7" w:rsidRPr="00D33215" w:rsidTr="005864F3">
        <w:tc>
          <w:tcPr>
            <w:tcW w:w="2235" w:type="dxa"/>
            <w:vAlign w:val="center"/>
          </w:tcPr>
          <w:p w:rsidR="00000000" w:rsidRDefault="00C507B7" w:rsidP="000226EA">
            <w:pPr>
              <w:pStyle w:val="BodyText"/>
              <w:spacing w:beforeLines="40" w:afterLines="40"/>
              <w:jc w:val="left"/>
              <w:rPr>
                <w:rFonts w:ascii="Arial Narrow" w:hAnsi="Arial Narrow" w:cs="Tahoma"/>
                <w:color w:val="333333"/>
                <w:sz w:val="20"/>
              </w:rPr>
            </w:pPr>
            <w:r>
              <w:rPr>
                <w:rFonts w:ascii="Arial Narrow" w:hAnsi="Arial Narrow" w:cs="Tahoma"/>
                <w:b/>
                <w:bCs/>
                <w:color w:val="333333"/>
                <w:sz w:val="20"/>
              </w:rPr>
              <w:t xml:space="preserve"> Total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b/>
                <w:bCs/>
                <w:sz w:val="20"/>
              </w:rPr>
              <w:t xml:space="preserve">31.3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b/>
                <w:bCs/>
                <w:sz w:val="20"/>
              </w:rPr>
              <w:t xml:space="preserve">100.7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b/>
                <w:bCs/>
                <w:sz w:val="20"/>
              </w:rPr>
              <w:t xml:space="preserve">25.4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b/>
                <w:bCs/>
                <w:sz w:val="20"/>
              </w:rPr>
              <w:t xml:space="preserve">14.4 </w:t>
            </w:r>
          </w:p>
        </w:tc>
        <w:tc>
          <w:tcPr>
            <w:tcW w:w="1039"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b/>
                <w:bCs/>
                <w:sz w:val="20"/>
              </w:rPr>
              <w:t xml:space="preserve">9.6 </w:t>
            </w:r>
          </w:p>
        </w:tc>
        <w:tc>
          <w:tcPr>
            <w:tcW w:w="1040" w:type="dxa"/>
            <w:vAlign w:val="center"/>
          </w:tcPr>
          <w:p w:rsidR="00000000" w:rsidRDefault="00C507B7" w:rsidP="000226EA">
            <w:pPr>
              <w:spacing w:beforeLines="40" w:afterLines="40"/>
              <w:jc w:val="center"/>
              <w:rPr>
                <w:rFonts w:ascii="Arial Narrow" w:hAnsi="Arial Narrow" w:cs="Tahoma"/>
                <w:b/>
                <w:color w:val="333333"/>
                <w:sz w:val="20"/>
              </w:rPr>
            </w:pPr>
            <w:r>
              <w:rPr>
                <w:rFonts w:ascii="Arial Narrow" w:hAnsi="Arial Narrow" w:cs="Tahoma"/>
                <w:b/>
                <w:bCs/>
                <w:sz w:val="20"/>
              </w:rPr>
              <w:t xml:space="preserve">181.4 </w:t>
            </w:r>
          </w:p>
        </w:tc>
      </w:tr>
    </w:tbl>
    <w:p w:rsidR="00216B42" w:rsidRPr="000853DB" w:rsidRDefault="00BB17A0" w:rsidP="000853DB">
      <w:pPr>
        <w:pStyle w:val="BodyText"/>
      </w:pPr>
      <w:r>
        <w:t xml:space="preserve">APA </w:t>
      </w:r>
      <w:proofErr w:type="spellStart"/>
      <w:r>
        <w:t>GasNet</w:t>
      </w:r>
      <w:r w:rsidR="009F0595">
        <w:t>’s</w:t>
      </w:r>
      <w:proofErr w:type="spellEnd"/>
      <w:r w:rsidR="001D1240">
        <w:t xml:space="preserve"> </w:t>
      </w:r>
      <w:r w:rsidR="007266EE" w:rsidRPr="000853DB">
        <w:t xml:space="preserve">capital expenditure forecast is derived based </w:t>
      </w:r>
      <w:r w:rsidR="00216B42" w:rsidRPr="000853DB">
        <w:t>on purpose</w:t>
      </w:r>
      <w:r w:rsidR="00FC4515">
        <w:t>,</w:t>
      </w:r>
      <w:r w:rsidR="00216B42" w:rsidRPr="000853DB">
        <w:t xml:space="preserve"> in </w:t>
      </w:r>
      <w:r w:rsidR="00FC4515">
        <w:t xml:space="preserve">the following </w:t>
      </w:r>
      <w:r w:rsidR="00216B42" w:rsidRPr="000853DB">
        <w:t>categories:</w:t>
      </w:r>
    </w:p>
    <w:p w:rsidR="00271959" w:rsidRDefault="00271959" w:rsidP="00271959">
      <w:pPr>
        <w:pStyle w:val="ListBullet"/>
      </w:pPr>
      <w:r>
        <w:t xml:space="preserve">Augmentations, which are required to increase the capacity of transmission assets to ensure that the VTS can continue to supply services as demand changes (for example growth or change in flow paths); </w:t>
      </w:r>
    </w:p>
    <w:p w:rsidR="00271959" w:rsidRDefault="00271959" w:rsidP="00271959">
      <w:pPr>
        <w:pStyle w:val="ListBullet"/>
      </w:pPr>
      <w:r>
        <w:t>Refurbishments and upgrades, which are required to maintain the service potential of existing facilities as they age and deteriorate over time, as well as expenditure to upgrade and improve assets because of obsolescence, to deal with changed operating requirements (such as a wider gas specification), to meet new regulatory or legislated obligations, or to meet higher environmental or safety standards over time; and</w:t>
      </w:r>
    </w:p>
    <w:p w:rsidR="00271959" w:rsidRDefault="00271959" w:rsidP="00271959">
      <w:pPr>
        <w:pStyle w:val="ListBullet"/>
      </w:pPr>
      <w:r>
        <w:t xml:space="preserve">Non-system, which is required to augment, </w:t>
      </w:r>
      <w:proofErr w:type="gramStart"/>
      <w:r>
        <w:t>maintain</w:t>
      </w:r>
      <w:proofErr w:type="gramEnd"/>
      <w:r>
        <w:t xml:space="preserve"> or replace capital facilities that are essential for the delivery of pipeline services, but which do not make up part of the pipeline system itself. Types of expenditure include buildings, vehicles, office equipment and IT and SCADA systems. </w:t>
      </w:r>
    </w:p>
    <w:p w:rsidR="00F133D8" w:rsidRPr="000853DB" w:rsidRDefault="00F133D8" w:rsidP="001631B1">
      <w:pPr>
        <w:pStyle w:val="BodyText"/>
        <w:keepNext/>
      </w:pPr>
      <w:r w:rsidRPr="000853DB">
        <w:t xml:space="preserve">Forecast conforming </w:t>
      </w:r>
      <w:r w:rsidR="00C55B9D">
        <w:t xml:space="preserve">capital expenditure </w:t>
      </w:r>
      <w:r w:rsidR="000853DB" w:rsidRPr="000853DB">
        <w:t xml:space="preserve">by category </w:t>
      </w:r>
      <w:r w:rsidR="00C55B9D">
        <w:t xml:space="preserve">over the access arrangement period </w:t>
      </w:r>
      <w:r w:rsidR="00701B49">
        <w:t xml:space="preserve">is </w:t>
      </w:r>
      <w:r w:rsidR="000853DB" w:rsidRPr="000853DB">
        <w:t>shown</w:t>
      </w:r>
      <w:r w:rsidR="00701B49">
        <w:t xml:space="preserve"> in Table 3.4</w:t>
      </w:r>
      <w:r w:rsidR="000853DB">
        <w:t xml:space="preserve"> </w:t>
      </w:r>
      <w:r w:rsidR="00751B94">
        <w:fldChar w:fldCharType="begin"/>
      </w:r>
      <w:r w:rsidR="000853DB">
        <w:instrText xml:space="preserve"> REF _Ref273427238 \p \h </w:instrText>
      </w:r>
      <w:r w:rsidR="00751B94">
        <w:fldChar w:fldCharType="separate"/>
      </w:r>
      <w:r w:rsidR="002E40B2">
        <w:t>below</w:t>
      </w:r>
      <w:r w:rsidR="00751B94">
        <w:fldChar w:fldCharType="end"/>
      </w:r>
      <w:r w:rsidR="000853DB">
        <w:t>.</w:t>
      </w:r>
    </w:p>
    <w:p w:rsidR="00F133D8" w:rsidRPr="000853DB" w:rsidRDefault="000853DB" w:rsidP="001631B1">
      <w:pPr>
        <w:pStyle w:val="Caption"/>
        <w:keepNext/>
        <w:rPr>
          <w:rStyle w:val="StyleCaption11ptCustomColorRGB414141Char"/>
        </w:rPr>
      </w:pPr>
      <w:bookmarkStart w:id="34" w:name="_Ref273427234"/>
      <w:bookmarkStart w:id="35" w:name="_Ref273427238"/>
      <w:r w:rsidRPr="000853DB">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2E40B2">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34"/>
      <w:r w:rsidR="00701B49">
        <w:rPr>
          <w:rStyle w:val="StyleCaption11ptCustomColorRGB414141Char"/>
        </w:rPr>
        <w:t>4</w:t>
      </w:r>
      <w:r w:rsidRPr="000853DB">
        <w:rPr>
          <w:rStyle w:val="StyleCaption11ptCustomColorRGB414141Char"/>
        </w:rPr>
        <w:t xml:space="preserve"> – Forecast conforming</w:t>
      </w:r>
      <w:r w:rsidR="00C04A8D">
        <w:rPr>
          <w:rStyle w:val="StyleCaption11ptCustomColorRGB414141Char"/>
        </w:rPr>
        <w:t xml:space="preserve"> capital expenditure by category</w:t>
      </w:r>
      <w:r w:rsidRPr="000853DB">
        <w:rPr>
          <w:rStyle w:val="StyleCaption11ptCustomColorRGB414141Char"/>
        </w:rPr>
        <w:t xml:space="preserve"> </w:t>
      </w:r>
      <w:r w:rsidR="00C04A8D">
        <w:rPr>
          <w:rStyle w:val="StyleCaption11ptCustomColorRGB414141Char"/>
        </w:rPr>
        <w:t>over the access arrangement period</w:t>
      </w:r>
      <w:bookmarkEnd w:id="35"/>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843"/>
        <w:gridCol w:w="992"/>
        <w:gridCol w:w="1134"/>
        <w:gridCol w:w="1134"/>
        <w:gridCol w:w="1134"/>
        <w:gridCol w:w="1134"/>
        <w:gridCol w:w="1134"/>
      </w:tblGrid>
      <w:tr w:rsidR="003E3D51" w:rsidRPr="0023074A" w:rsidTr="005701FE">
        <w:tc>
          <w:tcPr>
            <w:tcW w:w="1843" w:type="dxa"/>
            <w:tcBorders>
              <w:top w:val="nil"/>
              <w:left w:val="nil"/>
              <w:bottom w:val="nil"/>
              <w:right w:val="nil"/>
              <w:tl2br w:val="nil"/>
              <w:tr2bl w:val="nil"/>
            </w:tcBorders>
            <w:shd w:val="clear" w:color="auto" w:fill="333333"/>
          </w:tcPr>
          <w:p w:rsidR="003E3D51" w:rsidRPr="001F6F2E" w:rsidRDefault="003E3D51" w:rsidP="000C7811">
            <w:pPr>
              <w:pStyle w:val="BodyText"/>
              <w:keepNext/>
              <w:rPr>
                <w:rFonts w:ascii="Arial Narrow" w:hAnsi="Arial Narrow"/>
                <w:b/>
                <w:bCs/>
                <w:color w:val="FFFFFF"/>
                <w:sz w:val="20"/>
              </w:rPr>
            </w:pPr>
            <w:bookmarkStart w:id="36" w:name="_Ref263790853"/>
            <w:bookmarkStart w:id="37" w:name="_Ref26379113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992"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C507B7" w:rsidRPr="000B66A3" w:rsidTr="005864F3">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D41121" w:rsidRDefault="00C507B7" w:rsidP="00D41121">
            <w:pPr>
              <w:pStyle w:val="BodyText"/>
              <w:jc w:val="left"/>
              <w:rPr>
                <w:rFonts w:ascii="Arial Narrow" w:hAnsi="Arial Narrow"/>
                <w:sz w:val="20"/>
              </w:rPr>
            </w:pPr>
            <w:r>
              <w:rPr>
                <w:rFonts w:ascii="Arial Narrow" w:hAnsi="Arial Narrow" w:cs="Tahoma"/>
                <w:color w:val="000000"/>
                <w:sz w:val="20"/>
              </w:rPr>
              <w:t>Augmentation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12.3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78.9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12.4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0.0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0.0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b/>
                <w:bCs/>
                <w:color w:val="333333"/>
                <w:sz w:val="20"/>
              </w:rPr>
            </w:pPr>
            <w:r>
              <w:rPr>
                <w:rFonts w:ascii="Arial Narrow" w:hAnsi="Arial Narrow" w:cs="Tahoma"/>
                <w:sz w:val="20"/>
              </w:rPr>
              <w:t xml:space="preserve">103.7 </w:t>
            </w:r>
          </w:p>
        </w:tc>
      </w:tr>
      <w:tr w:rsidR="00C507B7" w:rsidRPr="000B66A3" w:rsidTr="005864F3">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D41121" w:rsidRDefault="00C507B7" w:rsidP="00D41121">
            <w:pPr>
              <w:pStyle w:val="BodyText"/>
              <w:jc w:val="left"/>
              <w:rPr>
                <w:rFonts w:ascii="Arial Narrow" w:hAnsi="Arial Narrow"/>
                <w:sz w:val="20"/>
              </w:rPr>
            </w:pPr>
            <w:r>
              <w:rPr>
                <w:rFonts w:ascii="Arial Narrow" w:hAnsi="Arial Narrow" w:cs="Tahoma"/>
                <w:color w:val="000000"/>
                <w:sz w:val="20"/>
              </w:rPr>
              <w:t>Refurbishment and upgrade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13.7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15.7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11.9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12.6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color w:val="333333"/>
                <w:sz w:val="20"/>
              </w:rPr>
            </w:pPr>
            <w:r>
              <w:rPr>
                <w:rFonts w:ascii="Arial Narrow" w:hAnsi="Arial Narrow" w:cs="Tahoma"/>
                <w:sz w:val="20"/>
              </w:rPr>
              <w:t xml:space="preserve">6.7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507B7" w:rsidRPr="00B111C8" w:rsidRDefault="00C507B7">
            <w:pPr>
              <w:jc w:val="center"/>
              <w:rPr>
                <w:rFonts w:ascii="Arial Narrow" w:hAnsi="Arial Narrow" w:cs="Tahoma"/>
                <w:b/>
                <w:bCs/>
                <w:color w:val="333333"/>
                <w:sz w:val="20"/>
              </w:rPr>
            </w:pPr>
            <w:r>
              <w:rPr>
                <w:rFonts w:ascii="Arial Narrow" w:hAnsi="Arial Narrow" w:cs="Tahoma"/>
                <w:sz w:val="20"/>
              </w:rPr>
              <w:t xml:space="preserve">60.5 </w:t>
            </w:r>
          </w:p>
        </w:tc>
      </w:tr>
      <w:tr w:rsidR="00C507B7" w:rsidRPr="0023074A" w:rsidTr="005864F3">
        <w:tc>
          <w:tcPr>
            <w:tcW w:w="1843" w:type="dxa"/>
            <w:shd w:val="clear" w:color="auto" w:fill="auto"/>
            <w:vAlign w:val="center"/>
          </w:tcPr>
          <w:p w:rsidR="00C507B7" w:rsidRPr="0023074A" w:rsidRDefault="00C507B7" w:rsidP="00DC1337">
            <w:pPr>
              <w:pStyle w:val="BodyText"/>
              <w:rPr>
                <w:rFonts w:ascii="Arial Narrow" w:hAnsi="Arial Narrow"/>
                <w:b/>
                <w:sz w:val="20"/>
              </w:rPr>
            </w:pPr>
            <w:r>
              <w:rPr>
                <w:rFonts w:ascii="Arial Narrow" w:hAnsi="Arial Narrow" w:cs="Tahoma"/>
                <w:b/>
                <w:bCs/>
                <w:color w:val="000000"/>
                <w:sz w:val="20"/>
              </w:rPr>
              <w:t>System Total</w:t>
            </w:r>
          </w:p>
        </w:tc>
        <w:tc>
          <w:tcPr>
            <w:tcW w:w="992" w:type="dxa"/>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26.0 </w:t>
            </w:r>
          </w:p>
        </w:tc>
        <w:tc>
          <w:tcPr>
            <w:tcW w:w="1134" w:type="dxa"/>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94.6 </w:t>
            </w:r>
          </w:p>
        </w:tc>
        <w:tc>
          <w:tcPr>
            <w:tcW w:w="1134" w:type="dxa"/>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24.3 </w:t>
            </w:r>
          </w:p>
        </w:tc>
        <w:tc>
          <w:tcPr>
            <w:tcW w:w="1134" w:type="dxa"/>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12.6 </w:t>
            </w:r>
          </w:p>
        </w:tc>
        <w:tc>
          <w:tcPr>
            <w:tcW w:w="1134" w:type="dxa"/>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6.7 </w:t>
            </w:r>
          </w:p>
        </w:tc>
        <w:tc>
          <w:tcPr>
            <w:tcW w:w="1134" w:type="dxa"/>
            <w:shd w:val="clear" w:color="auto" w:fill="auto"/>
            <w:vAlign w:val="center"/>
          </w:tcPr>
          <w:p w:rsidR="00C507B7" w:rsidRPr="00B111C8" w:rsidRDefault="00C507B7">
            <w:pPr>
              <w:jc w:val="center"/>
              <w:rPr>
                <w:rFonts w:ascii="Arial Narrow" w:hAnsi="Arial Narrow" w:cs="Tahoma"/>
                <w:b/>
                <w:bCs/>
                <w:color w:val="333333"/>
                <w:sz w:val="20"/>
              </w:rPr>
            </w:pPr>
            <w:r>
              <w:rPr>
                <w:rFonts w:ascii="Arial Narrow" w:hAnsi="Arial Narrow" w:cs="Tahoma"/>
                <w:b/>
                <w:bCs/>
                <w:sz w:val="20"/>
              </w:rPr>
              <w:t xml:space="preserve">164.2 </w:t>
            </w:r>
          </w:p>
        </w:tc>
      </w:tr>
      <w:tr w:rsidR="00C507B7" w:rsidRPr="0023074A" w:rsidTr="005864F3">
        <w:tc>
          <w:tcPr>
            <w:tcW w:w="1843" w:type="dxa"/>
            <w:shd w:val="clear" w:color="auto" w:fill="auto"/>
            <w:vAlign w:val="center"/>
          </w:tcPr>
          <w:p w:rsidR="00C507B7" w:rsidRPr="0023074A" w:rsidRDefault="00CF679A" w:rsidP="00CF679A">
            <w:pPr>
              <w:pStyle w:val="BodyText"/>
              <w:rPr>
                <w:rFonts w:ascii="Arial Narrow" w:hAnsi="Arial Narrow"/>
                <w:sz w:val="20"/>
              </w:rPr>
            </w:pPr>
            <w:r>
              <w:rPr>
                <w:rFonts w:ascii="Arial Narrow" w:hAnsi="Arial Narrow" w:cs="Tahoma"/>
                <w:color w:val="000000"/>
                <w:sz w:val="20"/>
              </w:rPr>
              <w:t xml:space="preserve">Non-system </w:t>
            </w:r>
          </w:p>
        </w:tc>
        <w:tc>
          <w:tcPr>
            <w:tcW w:w="992" w:type="dxa"/>
            <w:shd w:val="clear" w:color="auto" w:fill="auto"/>
            <w:vAlign w:val="center"/>
          </w:tcPr>
          <w:p w:rsidR="00C507B7" w:rsidRPr="00B111C8" w:rsidRDefault="00C507B7">
            <w:pPr>
              <w:jc w:val="center"/>
              <w:rPr>
                <w:rFonts w:ascii="Arial Narrow" w:hAnsi="Arial Narrow" w:cs="Tahoma"/>
                <w:color w:val="000000"/>
                <w:sz w:val="20"/>
              </w:rPr>
            </w:pPr>
            <w:r>
              <w:rPr>
                <w:rFonts w:ascii="Arial Narrow" w:hAnsi="Arial Narrow" w:cs="Tahoma"/>
                <w:sz w:val="20"/>
              </w:rPr>
              <w:t xml:space="preserve">5.2 </w:t>
            </w:r>
          </w:p>
        </w:tc>
        <w:tc>
          <w:tcPr>
            <w:tcW w:w="1134" w:type="dxa"/>
            <w:shd w:val="clear" w:color="auto" w:fill="auto"/>
            <w:vAlign w:val="center"/>
          </w:tcPr>
          <w:p w:rsidR="00C507B7" w:rsidRPr="00B111C8" w:rsidRDefault="00C507B7">
            <w:pPr>
              <w:jc w:val="center"/>
              <w:rPr>
                <w:rFonts w:ascii="Arial Narrow" w:hAnsi="Arial Narrow" w:cs="Tahoma"/>
                <w:color w:val="000000"/>
                <w:sz w:val="20"/>
              </w:rPr>
            </w:pPr>
            <w:r>
              <w:rPr>
                <w:rFonts w:ascii="Arial Narrow" w:hAnsi="Arial Narrow" w:cs="Tahoma"/>
                <w:sz w:val="20"/>
              </w:rPr>
              <w:t xml:space="preserve">6.1 </w:t>
            </w:r>
          </w:p>
        </w:tc>
        <w:tc>
          <w:tcPr>
            <w:tcW w:w="1134" w:type="dxa"/>
            <w:shd w:val="clear" w:color="auto" w:fill="auto"/>
            <w:vAlign w:val="center"/>
          </w:tcPr>
          <w:p w:rsidR="00C507B7" w:rsidRPr="00B111C8" w:rsidRDefault="00C507B7">
            <w:pPr>
              <w:jc w:val="center"/>
              <w:rPr>
                <w:rFonts w:ascii="Arial Narrow" w:hAnsi="Arial Narrow" w:cs="Tahoma"/>
                <w:color w:val="000000"/>
                <w:sz w:val="20"/>
              </w:rPr>
            </w:pPr>
            <w:r>
              <w:rPr>
                <w:rFonts w:ascii="Arial Narrow" w:hAnsi="Arial Narrow" w:cs="Tahoma"/>
                <w:sz w:val="20"/>
              </w:rPr>
              <w:t xml:space="preserve">1.1 </w:t>
            </w:r>
          </w:p>
        </w:tc>
        <w:tc>
          <w:tcPr>
            <w:tcW w:w="1134" w:type="dxa"/>
            <w:shd w:val="clear" w:color="auto" w:fill="auto"/>
            <w:vAlign w:val="center"/>
          </w:tcPr>
          <w:p w:rsidR="00C507B7" w:rsidRPr="00B111C8" w:rsidRDefault="00C507B7">
            <w:pPr>
              <w:jc w:val="center"/>
              <w:rPr>
                <w:rFonts w:ascii="Arial Narrow" w:hAnsi="Arial Narrow" w:cs="Tahoma"/>
                <w:color w:val="000000"/>
                <w:sz w:val="20"/>
              </w:rPr>
            </w:pPr>
            <w:r>
              <w:rPr>
                <w:rFonts w:ascii="Arial Narrow" w:hAnsi="Arial Narrow" w:cs="Tahoma"/>
                <w:sz w:val="20"/>
              </w:rPr>
              <w:t xml:space="preserve">1.8 </w:t>
            </w:r>
          </w:p>
        </w:tc>
        <w:tc>
          <w:tcPr>
            <w:tcW w:w="1134" w:type="dxa"/>
            <w:shd w:val="clear" w:color="auto" w:fill="auto"/>
            <w:vAlign w:val="center"/>
          </w:tcPr>
          <w:p w:rsidR="00C507B7" w:rsidRPr="00B111C8" w:rsidRDefault="00C507B7">
            <w:pPr>
              <w:jc w:val="center"/>
              <w:rPr>
                <w:rFonts w:ascii="Arial Narrow" w:hAnsi="Arial Narrow" w:cs="Tahoma"/>
                <w:color w:val="000000"/>
                <w:sz w:val="20"/>
              </w:rPr>
            </w:pPr>
            <w:r>
              <w:rPr>
                <w:rFonts w:ascii="Arial Narrow" w:hAnsi="Arial Narrow" w:cs="Tahoma"/>
                <w:sz w:val="20"/>
              </w:rPr>
              <w:t xml:space="preserve">3.0 </w:t>
            </w:r>
          </w:p>
        </w:tc>
        <w:tc>
          <w:tcPr>
            <w:tcW w:w="1134" w:type="dxa"/>
            <w:shd w:val="clear" w:color="auto" w:fill="auto"/>
            <w:vAlign w:val="center"/>
          </w:tcPr>
          <w:p w:rsidR="00C507B7" w:rsidRPr="00B111C8" w:rsidRDefault="00C507B7">
            <w:pPr>
              <w:jc w:val="center"/>
              <w:rPr>
                <w:rFonts w:ascii="Arial Narrow" w:hAnsi="Arial Narrow" w:cs="Tahoma"/>
                <w:b/>
                <w:bCs/>
                <w:color w:val="333333"/>
                <w:sz w:val="20"/>
              </w:rPr>
            </w:pPr>
            <w:r>
              <w:rPr>
                <w:rFonts w:ascii="Arial Narrow" w:hAnsi="Arial Narrow" w:cs="Tahoma"/>
                <w:sz w:val="20"/>
              </w:rPr>
              <w:t xml:space="preserve">17.2 </w:t>
            </w:r>
          </w:p>
        </w:tc>
      </w:tr>
      <w:tr w:rsidR="00C507B7" w:rsidRPr="0023074A" w:rsidTr="005864F3">
        <w:tc>
          <w:tcPr>
            <w:tcW w:w="1843" w:type="dxa"/>
            <w:tcBorders>
              <w:bottom w:val="single" w:sz="6" w:space="0" w:color="000000"/>
            </w:tcBorders>
            <w:shd w:val="clear" w:color="auto" w:fill="auto"/>
            <w:vAlign w:val="center"/>
          </w:tcPr>
          <w:p w:rsidR="00C507B7" w:rsidRPr="0023074A" w:rsidRDefault="00C507B7" w:rsidP="00DC1337">
            <w:pPr>
              <w:pStyle w:val="BodyText"/>
              <w:rPr>
                <w:rFonts w:ascii="Arial Narrow" w:hAnsi="Arial Narrow"/>
                <w:b/>
                <w:color w:val="333333"/>
                <w:sz w:val="20"/>
              </w:rPr>
            </w:pPr>
            <w:r>
              <w:rPr>
                <w:rFonts w:ascii="Arial Narrow" w:hAnsi="Arial Narrow" w:cs="Tahoma"/>
                <w:b/>
                <w:bCs/>
                <w:color w:val="333333"/>
                <w:sz w:val="20"/>
              </w:rPr>
              <w:t>Total</w:t>
            </w:r>
          </w:p>
        </w:tc>
        <w:tc>
          <w:tcPr>
            <w:tcW w:w="992" w:type="dxa"/>
            <w:tcBorders>
              <w:bottom w:val="single" w:sz="6" w:space="0" w:color="000000"/>
            </w:tcBorders>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31.3 </w:t>
            </w:r>
          </w:p>
        </w:tc>
        <w:tc>
          <w:tcPr>
            <w:tcW w:w="1134" w:type="dxa"/>
            <w:tcBorders>
              <w:bottom w:val="single" w:sz="6" w:space="0" w:color="000000"/>
            </w:tcBorders>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100.7 </w:t>
            </w:r>
          </w:p>
        </w:tc>
        <w:tc>
          <w:tcPr>
            <w:tcW w:w="1134" w:type="dxa"/>
            <w:tcBorders>
              <w:bottom w:val="single" w:sz="6" w:space="0" w:color="000000"/>
            </w:tcBorders>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25.4 </w:t>
            </w:r>
          </w:p>
        </w:tc>
        <w:tc>
          <w:tcPr>
            <w:tcW w:w="1134" w:type="dxa"/>
            <w:tcBorders>
              <w:bottom w:val="single" w:sz="6" w:space="0" w:color="000000"/>
            </w:tcBorders>
            <w:shd w:val="clear" w:color="auto" w:fill="auto"/>
            <w:vAlign w:val="center"/>
          </w:tcPr>
          <w:p w:rsidR="00C507B7" w:rsidRPr="00B111C8" w:rsidRDefault="00C507B7">
            <w:pPr>
              <w:jc w:val="center"/>
              <w:rPr>
                <w:rFonts w:ascii="Arial Narrow" w:hAnsi="Arial Narrow" w:cs="Tahoma"/>
                <w:b/>
                <w:bCs/>
                <w:color w:val="000000"/>
                <w:sz w:val="20"/>
              </w:rPr>
            </w:pPr>
            <w:r>
              <w:rPr>
                <w:rFonts w:ascii="Arial Narrow" w:hAnsi="Arial Narrow" w:cs="Tahoma"/>
                <w:b/>
                <w:bCs/>
                <w:sz w:val="20"/>
              </w:rPr>
              <w:t xml:space="preserve">14.4 </w:t>
            </w:r>
          </w:p>
        </w:tc>
        <w:tc>
          <w:tcPr>
            <w:tcW w:w="1134" w:type="dxa"/>
            <w:tcBorders>
              <w:bottom w:val="single" w:sz="6" w:space="0" w:color="000000"/>
            </w:tcBorders>
            <w:shd w:val="clear" w:color="auto" w:fill="auto"/>
            <w:vAlign w:val="center"/>
          </w:tcPr>
          <w:p w:rsidR="00C507B7" w:rsidRPr="00B111C8" w:rsidRDefault="00C507B7">
            <w:pPr>
              <w:jc w:val="center"/>
              <w:rPr>
                <w:rFonts w:ascii="Arial Narrow" w:hAnsi="Arial Narrow" w:cs="Tahoma"/>
                <w:b/>
                <w:bCs/>
                <w:color w:val="333333"/>
                <w:sz w:val="20"/>
              </w:rPr>
            </w:pPr>
            <w:r>
              <w:rPr>
                <w:rFonts w:ascii="Arial Narrow" w:hAnsi="Arial Narrow" w:cs="Tahoma"/>
                <w:b/>
                <w:bCs/>
                <w:sz w:val="20"/>
              </w:rPr>
              <w:t xml:space="preserve">9.6 </w:t>
            </w:r>
          </w:p>
        </w:tc>
        <w:tc>
          <w:tcPr>
            <w:tcW w:w="1134" w:type="dxa"/>
            <w:tcBorders>
              <w:bottom w:val="single" w:sz="6" w:space="0" w:color="000000"/>
            </w:tcBorders>
            <w:shd w:val="clear" w:color="auto" w:fill="auto"/>
            <w:vAlign w:val="center"/>
          </w:tcPr>
          <w:p w:rsidR="00C507B7" w:rsidRPr="00B111C8" w:rsidRDefault="00C507B7">
            <w:pPr>
              <w:jc w:val="center"/>
              <w:rPr>
                <w:rFonts w:ascii="Arial Narrow" w:hAnsi="Arial Narrow" w:cs="Tahoma"/>
                <w:b/>
                <w:bCs/>
                <w:color w:val="333333"/>
                <w:sz w:val="20"/>
              </w:rPr>
            </w:pPr>
            <w:r>
              <w:rPr>
                <w:rFonts w:ascii="Arial Narrow" w:hAnsi="Arial Narrow" w:cs="Tahoma"/>
                <w:b/>
                <w:bCs/>
                <w:sz w:val="20"/>
              </w:rPr>
              <w:t xml:space="preserve">181.4 </w:t>
            </w:r>
          </w:p>
        </w:tc>
      </w:tr>
    </w:tbl>
    <w:p w:rsidR="0047306B" w:rsidRDefault="009F5AF6" w:rsidP="00701B49">
      <w:pPr>
        <w:pStyle w:val="Heading3"/>
      </w:pPr>
      <w:bookmarkStart w:id="38" w:name="_Toc340216054"/>
      <w:r>
        <w:lastRenderedPageBreak/>
        <w:t>Forecast d</w:t>
      </w:r>
      <w:r w:rsidR="0047306B">
        <w:t>epreciation</w:t>
      </w:r>
      <w:bookmarkEnd w:id="36"/>
      <w:bookmarkEnd w:id="37"/>
      <w:bookmarkEnd w:id="38"/>
    </w:p>
    <w:p w:rsidR="00A4308B" w:rsidRDefault="00836E2A" w:rsidP="00701B49">
      <w:pPr>
        <w:pStyle w:val="BodyText"/>
        <w:keepNext/>
      </w:pPr>
      <w:r>
        <w:t>Forecast depreciation by asset class over the access arrangement period</w:t>
      </w:r>
      <w:r w:rsidR="008B09F6">
        <w:rPr>
          <w:rStyle w:val="FootnoteReference"/>
        </w:rPr>
        <w:footnoteReference w:id="8"/>
      </w:r>
      <w:r>
        <w:t xml:space="preserve"> is shown </w:t>
      </w:r>
      <w:r w:rsidR="001631B1">
        <w:t>in Table 3.5</w:t>
      </w:r>
      <w:r w:rsidR="0078657D">
        <w:t xml:space="preserve"> below.</w:t>
      </w:r>
      <w:bookmarkStart w:id="39" w:name="_Ref273370105"/>
    </w:p>
    <w:p w:rsidR="000C65E5" w:rsidRPr="00CF679A" w:rsidRDefault="000C65E5" w:rsidP="00701B49">
      <w:pPr>
        <w:pStyle w:val="BodyText"/>
        <w:keepNext/>
        <w:jc w:val="left"/>
        <w:rPr>
          <w:rStyle w:val="StyleCaption11ptCustomColorRGB414141Char"/>
          <w:i w:val="0"/>
        </w:rPr>
      </w:pPr>
      <w:bookmarkStart w:id="40" w:name="_Ref273598220"/>
      <w:r w:rsidRPr="00CF679A">
        <w:rPr>
          <w:rStyle w:val="StyleCaption11ptCustomColorRGB414141Char"/>
          <w:i w:val="0"/>
        </w:rPr>
        <w:t>Table</w:t>
      </w:r>
      <w:r w:rsidR="00A4308B" w:rsidRPr="00CF679A">
        <w:rPr>
          <w:rStyle w:val="StyleCaption11ptCustomColorRGB414141Char"/>
          <w:i w:val="0"/>
        </w:rPr>
        <w:t xml:space="preserve"> </w:t>
      </w:r>
      <w:r w:rsidR="00751B94" w:rsidRPr="00CF679A">
        <w:rPr>
          <w:rStyle w:val="StyleCaption11ptCustomColorRGB414141Char"/>
          <w:i w:val="0"/>
        </w:rPr>
        <w:fldChar w:fldCharType="begin"/>
      </w:r>
      <w:r w:rsidR="00751B94" w:rsidRPr="00751B94">
        <w:rPr>
          <w:rStyle w:val="StyleCaption11ptCustomColorRGB414141Char"/>
          <w:i w:val="0"/>
        </w:rPr>
        <w:instrText xml:space="preserve"> STYLEREF 1 \s </w:instrText>
      </w:r>
      <w:r w:rsidR="00751B94" w:rsidRPr="00CF679A">
        <w:rPr>
          <w:rStyle w:val="StyleCaption11ptCustomColorRGB414141Char"/>
          <w:i w:val="0"/>
        </w:rPr>
        <w:fldChar w:fldCharType="separate"/>
      </w:r>
      <w:r w:rsidR="002E40B2">
        <w:rPr>
          <w:rStyle w:val="StyleCaption11ptCustomColorRGB414141Char"/>
          <w:noProof/>
        </w:rPr>
        <w:t>3</w:t>
      </w:r>
      <w:r w:rsidR="00751B94" w:rsidRPr="00CF679A">
        <w:rPr>
          <w:rStyle w:val="StyleCaption11ptCustomColorRGB414141Char"/>
          <w:i w:val="0"/>
        </w:rPr>
        <w:fldChar w:fldCharType="end"/>
      </w:r>
      <w:r w:rsidR="00BA6B4B" w:rsidRPr="00CF679A">
        <w:rPr>
          <w:rStyle w:val="StyleCaption11ptCustomColorRGB414141Char"/>
          <w:i w:val="0"/>
        </w:rPr>
        <w:t>.</w:t>
      </w:r>
      <w:bookmarkEnd w:id="39"/>
      <w:bookmarkEnd w:id="40"/>
      <w:r w:rsidR="00701B49" w:rsidRPr="00CF679A">
        <w:rPr>
          <w:rStyle w:val="StyleCaption11ptCustomColorRGB414141Char"/>
          <w:i w:val="0"/>
        </w:rPr>
        <w:t>5</w:t>
      </w:r>
      <w:r w:rsidR="00836E2A" w:rsidRPr="00CF679A">
        <w:rPr>
          <w:rStyle w:val="StyleCaption11ptCustomColorRGB414141Char"/>
          <w:i w:val="0"/>
        </w:rPr>
        <w:t xml:space="preserve"> – </w:t>
      </w:r>
      <w:r w:rsidR="00736576" w:rsidRPr="00736576">
        <w:rPr>
          <w:rStyle w:val="StyleCaption11ptCustomColorRGB414141Char"/>
          <w:i w:val="0"/>
        </w:rPr>
        <w:t>Forecast depreciation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812E0B" w:rsidRPr="0023074A" w:rsidTr="00812E0B">
        <w:tc>
          <w:tcPr>
            <w:tcW w:w="1701" w:type="dxa"/>
            <w:shd w:val="clear" w:color="auto" w:fill="auto"/>
          </w:tcPr>
          <w:p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Straight-line depreciation</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24.7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26.2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30.2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31.9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30.5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143.5</w:t>
            </w:r>
          </w:p>
        </w:tc>
      </w:tr>
      <w:tr w:rsidR="00812E0B" w:rsidRPr="0023074A" w:rsidTr="00812E0B">
        <w:tc>
          <w:tcPr>
            <w:tcW w:w="1701" w:type="dxa"/>
            <w:shd w:val="clear" w:color="auto" w:fill="auto"/>
          </w:tcPr>
          <w:p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Less: indexation on opening capital base</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15.4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16.0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18.3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rsidR="00812E0B" w:rsidRPr="00812E0B" w:rsidRDefault="004A7C4F" w:rsidP="00654A3E">
            <w:pPr>
              <w:keepNext/>
              <w:jc w:val="center"/>
              <w:rPr>
                <w:rFonts w:ascii="Arial Narrow" w:hAnsi="Arial Narrow" w:cs="Tahoma"/>
                <w:sz w:val="20"/>
              </w:rPr>
            </w:pPr>
            <w:r>
              <w:rPr>
                <w:rFonts w:ascii="Arial Narrow" w:hAnsi="Arial Narrow"/>
                <w:sz w:val="20"/>
              </w:rPr>
              <w:t>-</w:t>
            </w:r>
            <w:r w:rsidR="00751B94" w:rsidRPr="00751B94">
              <w:rPr>
                <w:rFonts w:ascii="Arial Narrow" w:hAnsi="Arial Narrow"/>
                <w:sz w:val="20"/>
              </w:rPr>
              <w:t>87.2</w:t>
            </w:r>
          </w:p>
        </w:tc>
      </w:tr>
      <w:tr w:rsidR="00812E0B" w:rsidRPr="0023074A" w:rsidTr="00812E0B">
        <w:tc>
          <w:tcPr>
            <w:tcW w:w="1701" w:type="dxa"/>
            <w:shd w:val="clear" w:color="auto" w:fill="auto"/>
          </w:tcPr>
          <w:p w:rsidR="00812E0B" w:rsidRPr="004A7C4F" w:rsidRDefault="00751B94" w:rsidP="00DC1337">
            <w:pPr>
              <w:pStyle w:val="BodyText"/>
              <w:rPr>
                <w:rFonts w:ascii="Arial Narrow" w:hAnsi="Arial Narrow"/>
                <w:b/>
                <w:color w:val="333333"/>
                <w:sz w:val="20"/>
              </w:rPr>
            </w:pPr>
            <w:r w:rsidRPr="00751B94">
              <w:rPr>
                <w:rFonts w:ascii="Arial Narrow" w:hAnsi="Arial Narrow"/>
                <w:b/>
                <w:sz w:val="20"/>
              </w:rPr>
              <w:t>Regulatory depreciation</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9.3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10.2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11.9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13.2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11.8 </w:t>
            </w:r>
          </w:p>
        </w:tc>
        <w:tc>
          <w:tcPr>
            <w:tcW w:w="1134" w:type="dxa"/>
            <w:shd w:val="clear" w:color="auto" w:fill="auto"/>
          </w:tcPr>
          <w:p w:rsidR="00812E0B" w:rsidRPr="00812E0B" w:rsidRDefault="00751B94" w:rsidP="00654A3E">
            <w:pPr>
              <w:keepNext/>
              <w:jc w:val="center"/>
              <w:rPr>
                <w:rFonts w:ascii="Arial Narrow" w:hAnsi="Arial Narrow" w:cs="Tahoma"/>
                <w:b/>
                <w:bCs/>
                <w:color w:val="333333"/>
                <w:sz w:val="20"/>
              </w:rPr>
            </w:pPr>
            <w:r w:rsidRPr="00751B94">
              <w:rPr>
                <w:rFonts w:ascii="Arial Narrow" w:hAnsi="Arial Narrow"/>
                <w:sz w:val="20"/>
              </w:rPr>
              <w:t>56.3</w:t>
            </w:r>
          </w:p>
        </w:tc>
      </w:tr>
    </w:tbl>
    <w:p w:rsidR="00D41121" w:rsidRDefault="00D41121" w:rsidP="000C65E5">
      <w:pPr>
        <w:pStyle w:val="BodyText"/>
      </w:pPr>
    </w:p>
    <w:p w:rsidR="008B09F6" w:rsidRDefault="00701B49" w:rsidP="00654A3E">
      <w:pPr>
        <w:pStyle w:val="BodyText"/>
        <w:keepNext/>
      </w:pPr>
      <w:r>
        <w:t>Table 3.6</w:t>
      </w:r>
      <w:r w:rsidR="00AB4EB3">
        <w:t xml:space="preserve"> sets</w:t>
      </w:r>
      <w:r w:rsidR="001D222F">
        <w:t xml:space="preserve"> out</w:t>
      </w:r>
      <w:r w:rsidR="00AB4EB3">
        <w:t xml:space="preserve"> </w:t>
      </w:r>
      <w:r w:rsidR="00BB17A0">
        <w:t xml:space="preserve">APA </w:t>
      </w:r>
      <w:proofErr w:type="spellStart"/>
      <w:r w:rsidR="00BB17A0">
        <w:t>GasNet</w:t>
      </w:r>
      <w:r w:rsidR="009F0595">
        <w:t>’s</w:t>
      </w:r>
      <w:proofErr w:type="spellEnd"/>
      <w:r w:rsidR="001D222F">
        <w:t xml:space="preserve"> </w:t>
      </w:r>
      <w:r w:rsidR="00AB4EB3">
        <w:t>asset economic lives.</w:t>
      </w:r>
    </w:p>
    <w:p w:rsidR="00AB4EB3" w:rsidRPr="00AB4EB3" w:rsidRDefault="00AB4EB3" w:rsidP="0028260E">
      <w:pPr>
        <w:pStyle w:val="Caption"/>
        <w:keepNext/>
        <w:rPr>
          <w:bCs w:val="0"/>
          <w:iCs/>
          <w:sz w:val="22"/>
        </w:rPr>
      </w:pPr>
      <w:bookmarkStart w:id="41" w:name="_Ref273370623"/>
      <w:r w:rsidRPr="00AB4EB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2E40B2">
        <w:rPr>
          <w:bCs w:val="0"/>
          <w:iCs/>
          <w:noProof/>
          <w:sz w:val="22"/>
        </w:rPr>
        <w:t>3</w:t>
      </w:r>
      <w:r w:rsidR="00751B94">
        <w:rPr>
          <w:bCs w:val="0"/>
          <w:iCs/>
          <w:sz w:val="22"/>
        </w:rPr>
        <w:fldChar w:fldCharType="end"/>
      </w:r>
      <w:r w:rsidR="00BA6B4B">
        <w:rPr>
          <w:bCs w:val="0"/>
          <w:iCs/>
          <w:sz w:val="22"/>
        </w:rPr>
        <w:t>.</w:t>
      </w:r>
      <w:bookmarkEnd w:id="41"/>
      <w:r w:rsidR="00701B49">
        <w:rPr>
          <w:bCs w:val="0"/>
          <w:iCs/>
          <w:sz w:val="22"/>
        </w:rPr>
        <w:t xml:space="preserve">6 </w:t>
      </w:r>
      <w:r w:rsidRPr="00AB4EB3">
        <w:rPr>
          <w:bCs w:val="0"/>
          <w:iCs/>
          <w:sz w:val="22"/>
        </w:rPr>
        <w:t>– Asset economic lives (years)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A0"/>
      </w:tblPr>
      <w:tblGrid>
        <w:gridCol w:w="2518"/>
        <w:gridCol w:w="1479"/>
        <w:gridCol w:w="1480"/>
        <w:gridCol w:w="1480"/>
        <w:gridCol w:w="1480"/>
      </w:tblGrid>
      <w:tr w:rsidR="00D41121" w:rsidRPr="00D41121" w:rsidTr="00281545">
        <w:tc>
          <w:tcPr>
            <w:tcW w:w="2518" w:type="dxa"/>
            <w:tcBorders>
              <w:top w:val="nil"/>
              <w:left w:val="nil"/>
              <w:bottom w:val="nil"/>
              <w:right w:val="nil"/>
            </w:tcBorders>
            <w:shd w:val="clear" w:color="auto" w:fill="333333"/>
          </w:tcPr>
          <w:p w:rsidR="00D41121" w:rsidRPr="00D41121" w:rsidRDefault="00D41121" w:rsidP="00281545">
            <w:pPr>
              <w:pStyle w:val="BodyText"/>
              <w:keepNext/>
              <w:jc w:val="left"/>
              <w:rPr>
                <w:rFonts w:ascii="Arial Narrow" w:hAnsi="Arial Narrow"/>
                <w:b/>
                <w:bCs/>
                <w:color w:val="FFFFFF"/>
                <w:sz w:val="20"/>
              </w:rPr>
            </w:pPr>
            <w:r w:rsidRPr="00D41121">
              <w:rPr>
                <w:rFonts w:ascii="Arial Narrow" w:hAnsi="Arial Narrow"/>
                <w:b/>
                <w:bCs/>
                <w:color w:val="FFFFFF"/>
                <w:sz w:val="20"/>
              </w:rPr>
              <w:t>Asset Class</w:t>
            </w:r>
          </w:p>
        </w:tc>
        <w:tc>
          <w:tcPr>
            <w:tcW w:w="1479"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Standard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Tax Statutory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tax life</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2" w:name="RANGE!G7"/>
            <w:bookmarkEnd w:id="42"/>
            <w:r>
              <w:rPr>
                <w:rFonts w:ascii="Arial Narrow" w:hAnsi="Arial Narrow" w:cs="Tahoma"/>
                <w:color w:val="000000"/>
                <w:sz w:val="20"/>
              </w:rPr>
              <w:t>Pipelines</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55</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29.4</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10.8</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3" w:name="RANGE!G8"/>
            <w:bookmarkEnd w:id="43"/>
            <w:r>
              <w:rPr>
                <w:rFonts w:ascii="Arial Narrow" w:hAnsi="Arial Narrow" w:cs="Tahoma"/>
                <w:color w:val="000000"/>
                <w:sz w:val="20"/>
              </w:rPr>
              <w:t>Compressors</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30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23.7</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16.5</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4" w:name="RANGE!G9"/>
            <w:bookmarkEnd w:id="44"/>
            <w:r>
              <w:rPr>
                <w:rFonts w:ascii="Arial Narrow" w:hAnsi="Arial Narrow" w:cs="Tahoma"/>
                <w:color w:val="000000"/>
                <w:sz w:val="20"/>
              </w:rPr>
              <w:t>City gates &amp; Field regulators</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30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24.1</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14.3</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5" w:name="RANGE!G10"/>
            <w:bookmarkEnd w:id="45"/>
            <w:proofErr w:type="spellStart"/>
            <w:r>
              <w:rPr>
                <w:rFonts w:ascii="Arial Narrow" w:hAnsi="Arial Narrow" w:cs="Tahoma"/>
                <w:color w:val="000000"/>
                <w:sz w:val="20"/>
              </w:rPr>
              <w:t>Odourant</w:t>
            </w:r>
            <w:proofErr w:type="spellEnd"/>
            <w:r>
              <w:rPr>
                <w:rFonts w:ascii="Arial Narrow" w:hAnsi="Arial Narrow" w:cs="Tahoma"/>
                <w:color w:val="000000"/>
                <w:sz w:val="20"/>
              </w:rPr>
              <w:t xml:space="preserve"> plants</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30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23.0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18.5</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6" w:name="RANGE!G11"/>
            <w:bookmarkEnd w:id="46"/>
            <w:r>
              <w:rPr>
                <w:rFonts w:ascii="Arial Narrow" w:hAnsi="Arial Narrow" w:cs="Tahoma"/>
                <w:color w:val="000000"/>
                <w:sz w:val="20"/>
              </w:rPr>
              <w:t>Gas quality</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10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0.9</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20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4.2</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7" w:name="RANGE!G12"/>
            <w:bookmarkEnd w:id="47"/>
            <w:r>
              <w:rPr>
                <w:rFonts w:ascii="Arial Narrow" w:hAnsi="Arial Narrow" w:cs="Tahoma"/>
                <w:color w:val="000000"/>
                <w:sz w:val="20"/>
              </w:rPr>
              <w:t>Other</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5</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4.1</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7.5</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6.5</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8" w:name="RANGE!G13"/>
            <w:bookmarkEnd w:id="48"/>
            <w:r>
              <w:rPr>
                <w:rFonts w:ascii="Arial Narrow" w:hAnsi="Arial Narrow" w:cs="Tahoma"/>
                <w:color w:val="000000"/>
                <w:sz w:val="20"/>
              </w:rPr>
              <w:t>General buildings</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60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34.4</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60</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49.5</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9" w:name="RANGE!G14"/>
            <w:bookmarkEnd w:id="49"/>
            <w:r>
              <w:rPr>
                <w:rFonts w:ascii="Arial Narrow" w:hAnsi="Arial Narrow" w:cs="Tahoma"/>
                <w:color w:val="000000"/>
                <w:sz w:val="20"/>
              </w:rPr>
              <w:t>General land</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r>
    </w:tbl>
    <w:p w:rsidR="00006589" w:rsidRDefault="00BB17A0" w:rsidP="008B09F6">
      <w:pPr>
        <w:pStyle w:val="BodyText"/>
      </w:pPr>
      <w:bookmarkStart w:id="50" w:name="RANGE!G15"/>
      <w:bookmarkEnd w:id="50"/>
      <w:r>
        <w:t xml:space="preserve">APA </w:t>
      </w:r>
      <w:proofErr w:type="spellStart"/>
      <w:r>
        <w:t>GasNet</w:t>
      </w:r>
      <w:proofErr w:type="spellEnd"/>
      <w:r w:rsidR="008B09F6">
        <w:t xml:space="preserve"> has applied a straight-line methodology in determining future depreciation. </w:t>
      </w:r>
    </w:p>
    <w:p w:rsidR="009F5AF6" w:rsidRDefault="009F5AF6" w:rsidP="00701B49">
      <w:pPr>
        <w:pStyle w:val="Heading3"/>
      </w:pPr>
      <w:bookmarkStart w:id="51" w:name="_Ref263791154"/>
      <w:bookmarkStart w:id="52" w:name="_Toc340216055"/>
      <w:bookmarkStart w:id="53" w:name="_Ref263790881"/>
      <w:r>
        <w:lastRenderedPageBreak/>
        <w:t>Forecast disposals</w:t>
      </w:r>
      <w:bookmarkEnd w:id="51"/>
      <w:bookmarkEnd w:id="52"/>
    </w:p>
    <w:p w:rsidR="009F5AF6" w:rsidRDefault="004F1A85" w:rsidP="00701B49">
      <w:pPr>
        <w:pStyle w:val="BodyText"/>
        <w:keepNext/>
      </w:pPr>
      <w:r>
        <w:t>Forecast disposals for the access arrangement period are set out</w:t>
      </w:r>
      <w:r w:rsidR="00701B49">
        <w:t xml:space="preserve"> in Table 3.7</w:t>
      </w:r>
      <w:r>
        <w:t xml:space="preserve"> below.</w:t>
      </w:r>
    </w:p>
    <w:p w:rsidR="000C65E5" w:rsidRPr="00A10A56" w:rsidRDefault="000C65E5" w:rsidP="00701B49">
      <w:pPr>
        <w:pStyle w:val="Caption"/>
        <w:keepNext/>
        <w:rPr>
          <w:rStyle w:val="StyleCaption11ptCustomColorRGB414141Char"/>
        </w:rPr>
      </w:pPr>
      <w:bookmarkStart w:id="54" w:name="_Ref273371091"/>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2E40B2">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54"/>
      <w:r w:rsidR="00701B49">
        <w:rPr>
          <w:rStyle w:val="StyleCaption11ptCustomColorRGB414141Char"/>
        </w:rPr>
        <w:t>7</w:t>
      </w:r>
      <w:r w:rsidR="00A13EEA">
        <w:rPr>
          <w:rStyle w:val="StyleCaption11ptCustomColorRGB414141Char"/>
        </w:rPr>
        <w:t xml:space="preserve"> – </w:t>
      </w:r>
      <w:r>
        <w:rPr>
          <w:rStyle w:val="StyleCaption11ptCustomColorRGB414141Char"/>
        </w:rPr>
        <w:t>Forecast disposals</w:t>
      </w:r>
      <w:r w:rsidR="004F1A85">
        <w:rPr>
          <w:rStyle w:val="StyleCaption11ptCustomColorRGB414141Char"/>
        </w:rPr>
        <w:t xml:space="preserv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bookmarkEnd w:id="53"/>
          <w:p w:rsidR="003E3D51" w:rsidRPr="001F6F2E" w:rsidRDefault="003E3D51" w:rsidP="00701B49">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2013</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rsidTr="005864F3">
        <w:tc>
          <w:tcPr>
            <w:tcW w:w="1701" w:type="dxa"/>
            <w:shd w:val="clear" w:color="auto" w:fill="auto"/>
            <w:vAlign w:val="center"/>
          </w:tcPr>
          <w:p w:rsidR="00C022D7" w:rsidRPr="0023074A" w:rsidRDefault="00C022D7" w:rsidP="00701B49">
            <w:pPr>
              <w:pStyle w:val="BodyText"/>
              <w:keepNext/>
              <w:rPr>
                <w:rFonts w:ascii="Arial Narrow" w:hAnsi="Arial Narrow"/>
                <w:b/>
                <w:color w:val="333333"/>
                <w:sz w:val="20"/>
              </w:rPr>
            </w:pPr>
            <w:r>
              <w:rPr>
                <w:rFonts w:ascii="Arial Narrow" w:hAnsi="Arial Narrow" w:cs="Tahoma"/>
                <w:b/>
                <w:bCs/>
                <w:color w:val="333333"/>
                <w:sz w:val="20"/>
              </w:rPr>
              <w:t>Disposals</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r>
    </w:tbl>
    <w:p w:rsidR="00C4659B" w:rsidRDefault="000E0FD0" w:rsidP="000E0FD0">
      <w:pPr>
        <w:pStyle w:val="Heading3"/>
      </w:pPr>
      <w:bookmarkStart w:id="55" w:name="_Toc340216056"/>
      <w:r>
        <w:t>Forecast redundant assets</w:t>
      </w:r>
      <w:bookmarkEnd w:id="55"/>
    </w:p>
    <w:p w:rsidR="00C4659B" w:rsidRDefault="004F1A85" w:rsidP="0047306B">
      <w:pPr>
        <w:pStyle w:val="BodyText"/>
      </w:pPr>
      <w:r>
        <w:t>The forecast of assets that will be made redundant in the access arrangement period in set out</w:t>
      </w:r>
      <w:r w:rsidR="00701B49">
        <w:t xml:space="preserve"> in Table </w:t>
      </w:r>
      <w:proofErr w:type="gramStart"/>
      <w:r w:rsidR="00701B49">
        <w:t>3.8</w:t>
      </w:r>
      <w:r>
        <w:t xml:space="preserve">  below</w:t>
      </w:r>
      <w:proofErr w:type="gramEnd"/>
      <w:r>
        <w:t xml:space="preserve">. </w:t>
      </w:r>
    </w:p>
    <w:p w:rsidR="000C65E5" w:rsidRPr="00A10A56" w:rsidRDefault="000C65E5" w:rsidP="002C6B89">
      <w:pPr>
        <w:pStyle w:val="Caption"/>
        <w:keepNext/>
        <w:rPr>
          <w:rStyle w:val="StyleCaption11ptCustomColorRGB414141Char"/>
        </w:rPr>
      </w:pPr>
      <w:bookmarkStart w:id="56" w:name="_Ref273371192"/>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2E40B2">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56"/>
      <w:r w:rsidR="00701B49">
        <w:rPr>
          <w:rStyle w:val="StyleCaption11ptCustomColorRGB414141Char"/>
        </w:rPr>
        <w:t>8</w:t>
      </w:r>
      <w:r w:rsidR="00A13EEA">
        <w:rPr>
          <w:rStyle w:val="StyleCaption11ptCustomColorRGB414141Char"/>
        </w:rPr>
        <w:t xml:space="preserve"> – </w:t>
      </w:r>
      <w:r>
        <w:rPr>
          <w:rStyle w:val="StyleCaption11ptCustomColorRGB414141Char"/>
        </w:rPr>
        <w:t xml:space="preserve">Forecast redundant assets </w:t>
      </w:r>
      <w:r w:rsidR="004F1A85">
        <w:rPr>
          <w:rStyle w:val="StyleCaption11ptCustomColorRGB414141Char"/>
        </w:rPr>
        <w:t>over t</w:t>
      </w:r>
      <w:r w:rsidR="004E6967">
        <w:rPr>
          <w:rStyle w:val="StyleCaption11ptCustomColorRGB414141Char"/>
        </w:rPr>
        <w: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p w:rsidR="003E3D51" w:rsidRPr="001F6F2E" w:rsidRDefault="003E3D51" w:rsidP="000C7811">
            <w:pPr>
              <w:pStyle w:val="BodyText"/>
              <w:keepNext/>
              <w:rPr>
                <w:rFonts w:ascii="Arial Narrow" w:hAnsi="Arial Narrow"/>
                <w:b/>
                <w:bCs/>
                <w:color w:val="FFFFFF"/>
                <w:sz w:val="20"/>
              </w:rPr>
            </w:pPr>
            <w:bookmarkStart w:id="57" w:name="_Ref27336935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rsidTr="005864F3">
        <w:tc>
          <w:tcPr>
            <w:tcW w:w="1701" w:type="dxa"/>
            <w:shd w:val="clear" w:color="auto" w:fill="auto"/>
            <w:vAlign w:val="center"/>
          </w:tcPr>
          <w:p w:rsidR="00C022D7" w:rsidRPr="0023074A" w:rsidRDefault="00C022D7" w:rsidP="00DC1337">
            <w:pPr>
              <w:pStyle w:val="BodyText"/>
              <w:rPr>
                <w:rFonts w:ascii="Arial Narrow" w:hAnsi="Arial Narrow"/>
                <w:b/>
                <w:color w:val="333333"/>
                <w:sz w:val="20"/>
              </w:rPr>
            </w:pPr>
            <w:r>
              <w:rPr>
                <w:rFonts w:ascii="Arial Narrow" w:hAnsi="Arial Narrow" w:cs="Tahoma"/>
                <w:b/>
                <w:bCs/>
                <w:color w:val="333333"/>
                <w:sz w:val="20"/>
              </w:rPr>
              <w:t>Redundant Assets</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r>
    </w:tbl>
    <w:p w:rsidR="000C65E5" w:rsidRDefault="00A13EEA" w:rsidP="000C65E5">
      <w:pPr>
        <w:pStyle w:val="Heading3"/>
      </w:pPr>
      <w:bookmarkStart w:id="58" w:name="_Ref305531065"/>
      <w:bookmarkStart w:id="59" w:name="_Toc340216057"/>
      <w:r>
        <w:lastRenderedPageBreak/>
        <w:t>Projected capital base</w:t>
      </w:r>
      <w:bookmarkEnd w:id="57"/>
      <w:r w:rsidR="00076D6F">
        <w:t xml:space="preserve"> over the access arrangement period</w:t>
      </w:r>
      <w:bookmarkEnd w:id="58"/>
      <w:bookmarkEnd w:id="59"/>
    </w:p>
    <w:p w:rsidR="000C65E5" w:rsidRDefault="00D74152" w:rsidP="001631B1">
      <w:pPr>
        <w:pStyle w:val="BodyText"/>
        <w:keepNext/>
      </w:pPr>
      <w:r>
        <w:t>The p</w:t>
      </w:r>
      <w:r w:rsidR="00A13EEA">
        <w:t>rojected capital base for the access arrangement period</w:t>
      </w:r>
      <w:r w:rsidR="00A13EEA">
        <w:rPr>
          <w:rStyle w:val="FootnoteReference"/>
        </w:rPr>
        <w:footnoteReference w:id="9"/>
      </w:r>
      <w:r w:rsidR="00A13EEA">
        <w:t xml:space="preserve"> is shown </w:t>
      </w:r>
      <w:r w:rsidR="00A13EEA" w:rsidRPr="00A13EEA">
        <w:t>in</w:t>
      </w:r>
      <w:r w:rsidR="00A13EEA" w:rsidRPr="00A13EEA">
        <w:rPr>
          <w:i/>
        </w:rPr>
        <w:t xml:space="preserve"> </w:t>
      </w:r>
      <w:r w:rsidR="00701B49" w:rsidRPr="00701B49">
        <w:t>Table 3.9</w:t>
      </w:r>
      <w:r w:rsidR="00A13EEA" w:rsidRPr="00701B49">
        <w:t xml:space="preserve"> </w:t>
      </w:r>
      <w:r w:rsidR="00A13EEA">
        <w:t xml:space="preserve">below. </w:t>
      </w:r>
    </w:p>
    <w:p w:rsidR="000C65E5" w:rsidRDefault="000C65E5" w:rsidP="001631B1">
      <w:pPr>
        <w:pStyle w:val="BodyText"/>
        <w:keepNext/>
        <w:jc w:val="left"/>
        <w:rPr>
          <w:rStyle w:val="StyleCaption11ptCustomColorRGB414141Char"/>
        </w:rPr>
      </w:pPr>
      <w:bookmarkStart w:id="60" w:name="_Ref273371545"/>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2E40B2">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60"/>
      <w:r w:rsidR="00701B49">
        <w:rPr>
          <w:rStyle w:val="StyleCaption11ptCustomColorRGB414141Char"/>
        </w:rPr>
        <w:t>9</w:t>
      </w:r>
      <w:r w:rsidR="00076D6F">
        <w:rPr>
          <w:rStyle w:val="StyleCaption11ptCustomColorRGB414141Char"/>
        </w:rPr>
        <w:t xml:space="preserve"> –</w:t>
      </w:r>
      <w:r w:rsidR="00D74152">
        <w:rPr>
          <w:rStyle w:val="StyleCaption11ptCustomColorRGB414141Char"/>
        </w:rPr>
        <w:t xml:space="preserve"> Projected</w:t>
      </w:r>
      <w:r w:rsidR="00076D6F">
        <w:rPr>
          <w:rStyle w:val="StyleCaption11ptCustomColorRGB414141Char"/>
        </w:rPr>
        <w:t xml:space="preserve"> </w:t>
      </w:r>
      <w:r w:rsidR="00D74152">
        <w:rPr>
          <w:rStyle w:val="StyleCaption11ptCustomColorRGB414141Char"/>
        </w:rPr>
        <w:t>capital base for the access arrangement period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60"/>
        <w:gridCol w:w="1162"/>
        <w:gridCol w:w="1162"/>
        <w:gridCol w:w="1163"/>
        <w:gridCol w:w="1162"/>
        <w:gridCol w:w="1163"/>
      </w:tblGrid>
      <w:tr w:rsidR="003E3D51" w:rsidTr="00281545">
        <w:tc>
          <w:tcPr>
            <w:tcW w:w="2660" w:type="dxa"/>
            <w:tcBorders>
              <w:top w:val="nil"/>
              <w:left w:val="nil"/>
              <w:bottom w:val="nil"/>
              <w:right w:val="nil"/>
            </w:tcBorders>
            <w:shd w:val="clear" w:color="auto" w:fill="333333"/>
          </w:tcPr>
          <w:p w:rsidR="003E3D51" w:rsidRPr="001F6F2E" w:rsidRDefault="003E3D51"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2013</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163"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2015</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163"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r>
      <w:tr w:rsidR="00DC78BD" w:rsidTr="00DC78BD">
        <w:tc>
          <w:tcPr>
            <w:tcW w:w="2660" w:type="dxa"/>
            <w:vAlign w:val="center"/>
          </w:tcPr>
          <w:p w:rsidR="00DC78BD" w:rsidRPr="001F6F2E" w:rsidRDefault="00DC78BD" w:rsidP="001631B1">
            <w:pPr>
              <w:pStyle w:val="TableBodyText"/>
              <w:keepNext/>
              <w:jc w:val="left"/>
              <w:rPr>
                <w:sz w:val="20"/>
              </w:rPr>
            </w:pPr>
            <w:r>
              <w:rPr>
                <w:rFonts w:cs="Tahoma"/>
                <w:color w:val="000000"/>
                <w:sz w:val="20"/>
              </w:rPr>
              <w:t>Opening capital base</w:t>
            </w:r>
          </w:p>
        </w:tc>
        <w:tc>
          <w:tcPr>
            <w:tcW w:w="1162" w:type="dxa"/>
          </w:tcPr>
          <w:p w:rsidR="00DC78BD" w:rsidRPr="00DC78BD" w:rsidRDefault="00736576" w:rsidP="001631B1">
            <w:pPr>
              <w:keepNext/>
              <w:jc w:val="center"/>
              <w:rPr>
                <w:rFonts w:ascii="Arial Narrow" w:hAnsi="Arial Narrow" w:cs="Tahoma"/>
                <w:b/>
                <w:bCs/>
                <w:color w:val="333333"/>
                <w:sz w:val="20"/>
              </w:rPr>
            </w:pPr>
            <w:r w:rsidRPr="00736576">
              <w:rPr>
                <w:rFonts w:ascii="Arial Narrow" w:hAnsi="Arial Narrow"/>
                <w:sz w:val="20"/>
              </w:rPr>
              <w:t xml:space="preserve"> 617.6 </w:t>
            </w:r>
          </w:p>
        </w:tc>
        <w:tc>
          <w:tcPr>
            <w:tcW w:w="1162" w:type="dxa"/>
          </w:tcPr>
          <w:p w:rsidR="00DC78BD" w:rsidRPr="00DC78BD" w:rsidRDefault="00736576" w:rsidP="001631B1">
            <w:pPr>
              <w:keepNext/>
              <w:jc w:val="center"/>
              <w:rPr>
                <w:rFonts w:ascii="Arial Narrow" w:hAnsi="Arial Narrow" w:cs="Tahoma"/>
                <w:b/>
                <w:bCs/>
                <w:color w:val="333333"/>
                <w:sz w:val="20"/>
              </w:rPr>
            </w:pPr>
            <w:r w:rsidRPr="00736576">
              <w:rPr>
                <w:rFonts w:ascii="Arial Narrow" w:hAnsi="Arial Narrow"/>
                <w:sz w:val="20"/>
              </w:rPr>
              <w:t xml:space="preserve"> 640.3 </w:t>
            </w:r>
          </w:p>
        </w:tc>
        <w:tc>
          <w:tcPr>
            <w:tcW w:w="1163" w:type="dxa"/>
          </w:tcPr>
          <w:p w:rsidR="00DC78BD" w:rsidRPr="00DC78BD" w:rsidRDefault="00736576" w:rsidP="001631B1">
            <w:pPr>
              <w:keepNext/>
              <w:jc w:val="center"/>
              <w:rPr>
                <w:rFonts w:ascii="Arial Narrow" w:hAnsi="Arial Narrow" w:cs="Tahoma"/>
                <w:b/>
                <w:bCs/>
                <w:color w:val="333333"/>
                <w:sz w:val="20"/>
              </w:rPr>
            </w:pPr>
            <w:r w:rsidRPr="00736576">
              <w:rPr>
                <w:rFonts w:ascii="Arial Narrow" w:hAnsi="Arial Narrow"/>
                <w:sz w:val="20"/>
              </w:rPr>
              <w:t xml:space="preserve"> 733.1 </w:t>
            </w:r>
          </w:p>
        </w:tc>
        <w:tc>
          <w:tcPr>
            <w:tcW w:w="1162" w:type="dxa"/>
          </w:tcPr>
          <w:p w:rsidR="00DC78BD" w:rsidRPr="00DC78BD" w:rsidRDefault="00736576" w:rsidP="001631B1">
            <w:pPr>
              <w:keepNext/>
              <w:jc w:val="center"/>
              <w:rPr>
                <w:rFonts w:ascii="Arial Narrow" w:hAnsi="Arial Narrow" w:cs="Tahoma"/>
                <w:b/>
                <w:bCs/>
                <w:color w:val="333333"/>
                <w:sz w:val="20"/>
              </w:rPr>
            </w:pPr>
            <w:r w:rsidRPr="00736576">
              <w:rPr>
                <w:rFonts w:ascii="Arial Narrow" w:hAnsi="Arial Narrow"/>
                <w:sz w:val="20"/>
              </w:rPr>
              <w:t xml:space="preserve"> 747.2 </w:t>
            </w:r>
          </w:p>
        </w:tc>
        <w:tc>
          <w:tcPr>
            <w:tcW w:w="1163" w:type="dxa"/>
          </w:tcPr>
          <w:p w:rsidR="00DC78BD" w:rsidRPr="00DC78BD" w:rsidRDefault="00736576" w:rsidP="001631B1">
            <w:pPr>
              <w:keepNext/>
              <w:jc w:val="center"/>
              <w:rPr>
                <w:rFonts w:ascii="Arial Narrow" w:hAnsi="Arial Narrow" w:cs="Tahoma"/>
                <w:b/>
                <w:bCs/>
                <w:color w:val="333333"/>
                <w:sz w:val="20"/>
              </w:rPr>
            </w:pPr>
            <w:r w:rsidRPr="00736576">
              <w:rPr>
                <w:rFonts w:ascii="Arial Narrow" w:hAnsi="Arial Narrow"/>
                <w:sz w:val="20"/>
              </w:rPr>
              <w:t xml:space="preserve"> 748.7 </w:t>
            </w:r>
          </w:p>
        </w:tc>
      </w:tr>
      <w:tr w:rsidR="00DC78BD" w:rsidTr="00DC78BD">
        <w:tc>
          <w:tcPr>
            <w:tcW w:w="2660" w:type="dxa"/>
            <w:vAlign w:val="center"/>
          </w:tcPr>
          <w:p w:rsidR="00DC78BD" w:rsidRPr="001F6F2E" w:rsidRDefault="00DC78BD" w:rsidP="001631B1">
            <w:pPr>
              <w:pStyle w:val="TableBodyText"/>
              <w:keepNext/>
              <w:jc w:val="left"/>
              <w:rPr>
                <w:sz w:val="20"/>
              </w:rPr>
            </w:pPr>
            <w:r>
              <w:rPr>
                <w:rFonts w:cs="Tahoma"/>
                <w:color w:val="000000"/>
                <w:sz w:val="20"/>
              </w:rPr>
              <w:t>Plus capex</w:t>
            </w:r>
          </w:p>
        </w:tc>
        <w:tc>
          <w:tcPr>
            <w:tcW w:w="1162" w:type="dxa"/>
          </w:tcPr>
          <w:p w:rsidR="00DC78BD" w:rsidRPr="00DC78BD" w:rsidRDefault="00736576" w:rsidP="001631B1">
            <w:pPr>
              <w:keepNext/>
              <w:jc w:val="center"/>
              <w:rPr>
                <w:rFonts w:ascii="Arial Narrow" w:hAnsi="Arial Narrow" w:cs="Tahoma"/>
                <w:color w:val="000000"/>
                <w:sz w:val="20"/>
              </w:rPr>
            </w:pPr>
            <w:r w:rsidRPr="00736576">
              <w:rPr>
                <w:rFonts w:ascii="Arial Narrow" w:hAnsi="Arial Narrow"/>
                <w:sz w:val="20"/>
              </w:rPr>
              <w:t xml:space="preserve"> 32.0 </w:t>
            </w:r>
          </w:p>
        </w:tc>
        <w:tc>
          <w:tcPr>
            <w:tcW w:w="1162" w:type="dxa"/>
          </w:tcPr>
          <w:p w:rsidR="00DC78BD" w:rsidRPr="00DC78BD" w:rsidRDefault="00736576" w:rsidP="001631B1">
            <w:pPr>
              <w:keepNext/>
              <w:jc w:val="center"/>
              <w:rPr>
                <w:rFonts w:ascii="Arial Narrow" w:hAnsi="Arial Narrow" w:cs="Tahoma"/>
                <w:color w:val="000000"/>
                <w:sz w:val="20"/>
              </w:rPr>
            </w:pPr>
            <w:r w:rsidRPr="00736576">
              <w:rPr>
                <w:rFonts w:ascii="Arial Narrow" w:hAnsi="Arial Narrow"/>
                <w:sz w:val="20"/>
              </w:rPr>
              <w:t xml:space="preserve"> 102.9 </w:t>
            </w:r>
          </w:p>
        </w:tc>
        <w:tc>
          <w:tcPr>
            <w:tcW w:w="1163" w:type="dxa"/>
          </w:tcPr>
          <w:p w:rsidR="00DC78BD" w:rsidRPr="00DC78BD" w:rsidRDefault="00736576" w:rsidP="001631B1">
            <w:pPr>
              <w:keepNext/>
              <w:jc w:val="center"/>
              <w:rPr>
                <w:rFonts w:ascii="Arial Narrow" w:hAnsi="Arial Narrow" w:cs="Tahoma"/>
                <w:color w:val="000000"/>
                <w:sz w:val="20"/>
              </w:rPr>
            </w:pPr>
            <w:r w:rsidRPr="00736576">
              <w:rPr>
                <w:rFonts w:ascii="Arial Narrow" w:hAnsi="Arial Narrow"/>
                <w:sz w:val="20"/>
              </w:rPr>
              <w:t xml:space="preserve"> 26.0 </w:t>
            </w:r>
          </w:p>
        </w:tc>
        <w:tc>
          <w:tcPr>
            <w:tcW w:w="1162" w:type="dxa"/>
          </w:tcPr>
          <w:p w:rsidR="00DC78BD" w:rsidRPr="00DC78BD" w:rsidRDefault="00736576" w:rsidP="001631B1">
            <w:pPr>
              <w:keepNext/>
              <w:jc w:val="center"/>
              <w:rPr>
                <w:rFonts w:ascii="Arial Narrow" w:hAnsi="Arial Narrow" w:cs="Tahoma"/>
                <w:color w:val="000000"/>
                <w:sz w:val="20"/>
              </w:rPr>
            </w:pPr>
            <w:r w:rsidRPr="00736576">
              <w:rPr>
                <w:rFonts w:ascii="Arial Narrow" w:hAnsi="Arial Narrow"/>
                <w:sz w:val="20"/>
              </w:rPr>
              <w:t xml:space="preserve"> 14.7 </w:t>
            </w:r>
          </w:p>
        </w:tc>
        <w:tc>
          <w:tcPr>
            <w:tcW w:w="1163" w:type="dxa"/>
          </w:tcPr>
          <w:p w:rsidR="00DC78BD" w:rsidRPr="00DC78BD" w:rsidRDefault="00736576" w:rsidP="001631B1">
            <w:pPr>
              <w:keepNext/>
              <w:jc w:val="center"/>
              <w:rPr>
                <w:rFonts w:ascii="Arial Narrow" w:hAnsi="Arial Narrow" w:cs="Tahoma"/>
                <w:color w:val="000000"/>
                <w:sz w:val="20"/>
              </w:rPr>
            </w:pPr>
            <w:r w:rsidRPr="00736576">
              <w:rPr>
                <w:rFonts w:ascii="Arial Narrow" w:hAnsi="Arial Narrow"/>
                <w:sz w:val="20"/>
              </w:rPr>
              <w:t xml:space="preserve"> 9.8 </w:t>
            </w:r>
          </w:p>
        </w:tc>
      </w:tr>
      <w:tr w:rsidR="00C063F0" w:rsidTr="005864F3">
        <w:tc>
          <w:tcPr>
            <w:tcW w:w="2660" w:type="dxa"/>
            <w:vAlign w:val="center"/>
          </w:tcPr>
          <w:p w:rsidR="00C063F0" w:rsidRPr="001F6F2E" w:rsidRDefault="00C063F0" w:rsidP="001631B1">
            <w:pPr>
              <w:pStyle w:val="TableBodyText"/>
              <w:keepNext/>
              <w:jc w:val="left"/>
              <w:rPr>
                <w:sz w:val="20"/>
              </w:rPr>
            </w:pPr>
            <w:r>
              <w:rPr>
                <w:rFonts w:cs="Tahoma"/>
                <w:color w:val="000000"/>
                <w:sz w:val="20"/>
              </w:rPr>
              <w:t>Plus speculative capex</w:t>
            </w:r>
          </w:p>
        </w:tc>
        <w:tc>
          <w:tcPr>
            <w:tcW w:w="1162" w:type="dxa"/>
            <w:vAlign w:val="center"/>
          </w:tcPr>
          <w:p w:rsidR="00C063F0" w:rsidRPr="002C4A3A" w:rsidRDefault="00C063F0" w:rsidP="001631B1">
            <w:pPr>
              <w:keepNext/>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2" w:type="dxa"/>
            <w:vAlign w:val="center"/>
          </w:tcPr>
          <w:p w:rsidR="00C063F0" w:rsidRPr="002C4A3A" w:rsidRDefault="00C063F0" w:rsidP="001631B1">
            <w:pPr>
              <w:keepNext/>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3" w:type="dxa"/>
            <w:vAlign w:val="center"/>
          </w:tcPr>
          <w:p w:rsidR="00C063F0" w:rsidRPr="002C4A3A" w:rsidRDefault="00C063F0" w:rsidP="001631B1">
            <w:pPr>
              <w:keepNext/>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2" w:type="dxa"/>
            <w:vAlign w:val="center"/>
          </w:tcPr>
          <w:p w:rsidR="00C063F0" w:rsidRPr="002C4A3A" w:rsidRDefault="004A7C4F" w:rsidP="001631B1">
            <w:pPr>
              <w:keepNext/>
              <w:jc w:val="center"/>
              <w:rPr>
                <w:rFonts w:ascii="Arial Narrow" w:hAnsi="Arial Narrow" w:cs="Tahoma"/>
                <w:color w:val="000000"/>
                <w:sz w:val="20"/>
              </w:rPr>
            </w:pPr>
            <w:r>
              <w:rPr>
                <w:rFonts w:ascii="Arial Narrow" w:hAnsi="Arial Narrow" w:cs="Tahoma"/>
                <w:sz w:val="20"/>
              </w:rPr>
              <w:t>0</w:t>
            </w:r>
            <w:r w:rsidR="00C063F0">
              <w:rPr>
                <w:rFonts w:ascii="Arial Narrow" w:hAnsi="Arial Narrow" w:cs="Tahoma"/>
                <w:sz w:val="20"/>
              </w:rPr>
              <w:t> </w:t>
            </w:r>
          </w:p>
        </w:tc>
        <w:tc>
          <w:tcPr>
            <w:tcW w:w="1163" w:type="dxa"/>
            <w:vAlign w:val="center"/>
          </w:tcPr>
          <w:p w:rsidR="00C063F0" w:rsidRPr="002C4A3A" w:rsidRDefault="00C063F0" w:rsidP="001631B1">
            <w:pPr>
              <w:keepNext/>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r>
      <w:tr w:rsidR="00C063F0" w:rsidTr="005864F3">
        <w:tc>
          <w:tcPr>
            <w:tcW w:w="2660" w:type="dxa"/>
            <w:vAlign w:val="center"/>
          </w:tcPr>
          <w:p w:rsidR="00C063F0" w:rsidRPr="001F6F2E" w:rsidRDefault="00C063F0" w:rsidP="00281545">
            <w:pPr>
              <w:pStyle w:val="TableBodyText"/>
              <w:keepNext/>
              <w:jc w:val="left"/>
              <w:rPr>
                <w:sz w:val="20"/>
              </w:rPr>
            </w:pPr>
            <w:r>
              <w:rPr>
                <w:rFonts w:cs="Tahoma"/>
                <w:color w:val="000000"/>
                <w:sz w:val="20"/>
              </w:rPr>
              <w:t>Plus reused redundant assets</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2"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r w:rsidR="00C063F0">
              <w:rPr>
                <w:rFonts w:ascii="Arial Narrow" w:hAnsi="Arial Narrow" w:cs="Tahoma"/>
                <w:sz w:val="20"/>
              </w:rPr>
              <w:t> </w:t>
            </w:r>
          </w:p>
        </w:tc>
        <w:tc>
          <w:tcPr>
            <w:tcW w:w="1163"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r w:rsidR="00C063F0">
              <w:rPr>
                <w:rFonts w:ascii="Arial Narrow" w:hAnsi="Arial Narrow" w:cs="Tahoma"/>
                <w:sz w:val="20"/>
              </w:rPr>
              <w:t> </w:t>
            </w:r>
          </w:p>
        </w:tc>
      </w:tr>
      <w:tr w:rsidR="00DC78BD" w:rsidTr="00DC78BD">
        <w:tc>
          <w:tcPr>
            <w:tcW w:w="2660" w:type="dxa"/>
            <w:vAlign w:val="center"/>
          </w:tcPr>
          <w:p w:rsidR="00DC78BD" w:rsidRPr="00DC78BD" w:rsidRDefault="00DC78BD" w:rsidP="00281545">
            <w:pPr>
              <w:pStyle w:val="TableBodyText"/>
              <w:keepNext/>
              <w:jc w:val="left"/>
              <w:rPr>
                <w:rFonts w:cs="Tahoma"/>
                <w:color w:val="000000"/>
                <w:sz w:val="20"/>
              </w:rPr>
            </w:pPr>
            <w:r w:rsidRPr="00DC78BD">
              <w:rPr>
                <w:rFonts w:cs="Tahoma"/>
                <w:color w:val="000000"/>
                <w:sz w:val="20"/>
              </w:rPr>
              <w:t>Plus indexation</w:t>
            </w:r>
          </w:p>
        </w:tc>
        <w:tc>
          <w:tcPr>
            <w:tcW w:w="1162" w:type="dxa"/>
          </w:tcPr>
          <w:p w:rsidR="00DC78BD" w:rsidRPr="00DC78BD" w:rsidRDefault="00736576">
            <w:pPr>
              <w:jc w:val="center"/>
              <w:rPr>
                <w:rFonts w:ascii="Arial Narrow" w:hAnsi="Arial Narrow" w:cs="Tahoma"/>
                <w:sz w:val="20"/>
              </w:rPr>
            </w:pPr>
            <w:r w:rsidRPr="00736576">
              <w:rPr>
                <w:rFonts w:ascii="Arial Narrow" w:hAnsi="Arial Narrow"/>
                <w:sz w:val="20"/>
              </w:rPr>
              <w:t xml:space="preserve"> 15.4 </w:t>
            </w:r>
          </w:p>
        </w:tc>
        <w:tc>
          <w:tcPr>
            <w:tcW w:w="1162" w:type="dxa"/>
          </w:tcPr>
          <w:p w:rsidR="00DC78BD" w:rsidRPr="00DC78BD" w:rsidRDefault="00736576">
            <w:pPr>
              <w:jc w:val="center"/>
              <w:rPr>
                <w:rFonts w:ascii="Arial Narrow" w:hAnsi="Arial Narrow" w:cs="Tahoma"/>
                <w:sz w:val="20"/>
              </w:rPr>
            </w:pPr>
            <w:r w:rsidRPr="00736576">
              <w:rPr>
                <w:rFonts w:ascii="Arial Narrow" w:hAnsi="Arial Narrow"/>
                <w:sz w:val="20"/>
              </w:rPr>
              <w:t xml:space="preserve"> 16.0 </w:t>
            </w:r>
          </w:p>
        </w:tc>
        <w:tc>
          <w:tcPr>
            <w:tcW w:w="1163" w:type="dxa"/>
          </w:tcPr>
          <w:p w:rsidR="00DC78BD" w:rsidRPr="00DC78BD" w:rsidRDefault="00736576">
            <w:pPr>
              <w:jc w:val="center"/>
              <w:rPr>
                <w:rFonts w:ascii="Arial Narrow" w:hAnsi="Arial Narrow" w:cs="Tahoma"/>
                <w:sz w:val="20"/>
              </w:rPr>
            </w:pPr>
            <w:r w:rsidRPr="00736576">
              <w:rPr>
                <w:rFonts w:ascii="Arial Narrow" w:hAnsi="Arial Narrow"/>
                <w:sz w:val="20"/>
              </w:rPr>
              <w:t xml:space="preserve"> 18.3 </w:t>
            </w:r>
          </w:p>
        </w:tc>
        <w:tc>
          <w:tcPr>
            <w:tcW w:w="1162" w:type="dxa"/>
          </w:tcPr>
          <w:p w:rsidR="00DC78BD" w:rsidRPr="00DC78BD" w:rsidRDefault="00736576">
            <w:pPr>
              <w:jc w:val="center"/>
              <w:rPr>
                <w:rFonts w:ascii="Arial Narrow" w:hAnsi="Arial Narrow" w:cs="Tahoma"/>
                <w:sz w:val="20"/>
              </w:rPr>
            </w:pPr>
            <w:r w:rsidRPr="00736576">
              <w:rPr>
                <w:rFonts w:ascii="Arial Narrow" w:hAnsi="Arial Narrow"/>
                <w:sz w:val="20"/>
              </w:rPr>
              <w:t xml:space="preserve"> 18.7 </w:t>
            </w:r>
          </w:p>
        </w:tc>
        <w:tc>
          <w:tcPr>
            <w:tcW w:w="1163" w:type="dxa"/>
          </w:tcPr>
          <w:p w:rsidR="00DC78BD" w:rsidRPr="00DC78BD" w:rsidRDefault="00736576">
            <w:pPr>
              <w:jc w:val="center"/>
              <w:rPr>
                <w:rFonts w:ascii="Arial Narrow" w:hAnsi="Arial Narrow" w:cs="Tahoma"/>
                <w:sz w:val="20"/>
              </w:rPr>
            </w:pPr>
            <w:r w:rsidRPr="00736576">
              <w:rPr>
                <w:rFonts w:ascii="Arial Narrow" w:hAnsi="Arial Narrow"/>
                <w:sz w:val="20"/>
              </w:rPr>
              <w:t xml:space="preserve"> 18.7 </w:t>
            </w:r>
          </w:p>
        </w:tc>
      </w:tr>
      <w:tr w:rsidR="00C063F0" w:rsidTr="005864F3">
        <w:tc>
          <w:tcPr>
            <w:tcW w:w="2660" w:type="dxa"/>
            <w:vAlign w:val="center"/>
          </w:tcPr>
          <w:p w:rsidR="00C063F0" w:rsidRPr="001F6F2E" w:rsidRDefault="00C063F0" w:rsidP="00281545">
            <w:pPr>
              <w:pStyle w:val="TableBodyText"/>
              <w:keepNext/>
              <w:jc w:val="left"/>
              <w:rPr>
                <w:sz w:val="20"/>
              </w:rPr>
            </w:pPr>
            <w:r>
              <w:rPr>
                <w:rFonts w:cs="Tahoma"/>
                <w:color w:val="000000"/>
                <w:sz w:val="20"/>
              </w:rPr>
              <w:t xml:space="preserve">Less </w:t>
            </w:r>
            <w:r w:rsidR="00DC78BD">
              <w:rPr>
                <w:rFonts w:cs="Tahoma"/>
                <w:color w:val="000000"/>
                <w:sz w:val="20"/>
              </w:rPr>
              <w:t xml:space="preserve">straight-line </w:t>
            </w:r>
            <w:r>
              <w:rPr>
                <w:rFonts w:cs="Tahoma"/>
                <w:color w:val="000000"/>
                <w:sz w:val="20"/>
              </w:rPr>
              <w:t>depreciation</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-24.7</w:t>
            </w:r>
          </w:p>
        </w:tc>
        <w:tc>
          <w:tcPr>
            <w:tcW w:w="1162" w:type="dxa"/>
            <w:vAlign w:val="center"/>
          </w:tcPr>
          <w:p w:rsidR="00C063F0" w:rsidRPr="002C4A3A" w:rsidRDefault="00C063F0" w:rsidP="004A7C4F">
            <w:pPr>
              <w:jc w:val="center"/>
              <w:rPr>
                <w:rFonts w:ascii="Arial Narrow" w:hAnsi="Arial Narrow" w:cs="Tahoma"/>
                <w:color w:val="000000"/>
                <w:sz w:val="20"/>
              </w:rPr>
            </w:pPr>
            <w:r>
              <w:rPr>
                <w:rFonts w:ascii="Arial Narrow" w:hAnsi="Arial Narrow" w:cs="Tahoma"/>
                <w:sz w:val="20"/>
              </w:rPr>
              <w:t>-2</w:t>
            </w:r>
            <w:r w:rsidR="004A7C4F">
              <w:rPr>
                <w:rFonts w:ascii="Arial Narrow" w:hAnsi="Arial Narrow" w:cs="Tahoma"/>
                <w:sz w:val="20"/>
              </w:rPr>
              <w:t>6</w:t>
            </w:r>
            <w:r>
              <w:rPr>
                <w:rFonts w:ascii="Arial Narrow" w:hAnsi="Arial Narrow" w:cs="Tahoma"/>
                <w:sz w:val="20"/>
              </w:rPr>
              <w:t>.</w:t>
            </w:r>
            <w:r w:rsidR="004A7C4F">
              <w:rPr>
                <w:rFonts w:ascii="Arial Narrow" w:hAnsi="Arial Narrow" w:cs="Tahoma"/>
                <w:sz w:val="20"/>
              </w:rPr>
              <w:t>2</w:t>
            </w:r>
          </w:p>
        </w:tc>
        <w:tc>
          <w:tcPr>
            <w:tcW w:w="1163" w:type="dxa"/>
            <w:vAlign w:val="center"/>
          </w:tcPr>
          <w:p w:rsidR="00C063F0" w:rsidRPr="002C4A3A" w:rsidRDefault="00C063F0" w:rsidP="004A7C4F">
            <w:pPr>
              <w:jc w:val="center"/>
              <w:rPr>
                <w:rFonts w:ascii="Arial Narrow" w:hAnsi="Arial Narrow" w:cs="Tahoma"/>
                <w:color w:val="000000"/>
                <w:sz w:val="20"/>
              </w:rPr>
            </w:pPr>
            <w:r>
              <w:rPr>
                <w:rFonts w:ascii="Arial Narrow" w:hAnsi="Arial Narrow" w:cs="Tahoma"/>
                <w:sz w:val="20"/>
              </w:rPr>
              <w:t>-</w:t>
            </w:r>
            <w:r w:rsidR="004A7C4F">
              <w:rPr>
                <w:rFonts w:ascii="Arial Narrow" w:hAnsi="Arial Narrow" w:cs="Tahoma"/>
                <w:sz w:val="20"/>
              </w:rPr>
              <w:t>30.2</w:t>
            </w:r>
          </w:p>
        </w:tc>
        <w:tc>
          <w:tcPr>
            <w:tcW w:w="1162" w:type="dxa"/>
            <w:vAlign w:val="center"/>
          </w:tcPr>
          <w:p w:rsidR="00C063F0" w:rsidRPr="002C4A3A" w:rsidRDefault="00C063F0" w:rsidP="004A7C4F">
            <w:pPr>
              <w:jc w:val="center"/>
              <w:rPr>
                <w:rFonts w:ascii="Arial Narrow" w:hAnsi="Arial Narrow" w:cs="Tahoma"/>
                <w:color w:val="000000"/>
                <w:sz w:val="20"/>
              </w:rPr>
            </w:pPr>
            <w:r>
              <w:rPr>
                <w:rFonts w:ascii="Arial Narrow" w:hAnsi="Arial Narrow" w:cs="Tahoma"/>
                <w:sz w:val="20"/>
              </w:rPr>
              <w:t>-</w:t>
            </w:r>
            <w:r w:rsidR="004A7C4F">
              <w:rPr>
                <w:rFonts w:ascii="Arial Narrow" w:hAnsi="Arial Narrow" w:cs="Tahoma"/>
                <w:sz w:val="20"/>
              </w:rPr>
              <w:t>31.9</w:t>
            </w:r>
          </w:p>
        </w:tc>
        <w:tc>
          <w:tcPr>
            <w:tcW w:w="1163" w:type="dxa"/>
            <w:vAlign w:val="center"/>
          </w:tcPr>
          <w:p w:rsidR="00C063F0" w:rsidRPr="002C4A3A" w:rsidRDefault="00C063F0" w:rsidP="004A7C4F">
            <w:pPr>
              <w:jc w:val="center"/>
              <w:rPr>
                <w:rFonts w:ascii="Arial Narrow" w:hAnsi="Arial Narrow" w:cs="Tahoma"/>
                <w:color w:val="000000"/>
                <w:sz w:val="20"/>
              </w:rPr>
            </w:pPr>
            <w:r>
              <w:rPr>
                <w:rFonts w:ascii="Arial Narrow" w:hAnsi="Arial Narrow" w:cs="Tahoma"/>
                <w:sz w:val="20"/>
              </w:rPr>
              <w:t>-</w:t>
            </w:r>
            <w:r w:rsidR="004A7C4F">
              <w:rPr>
                <w:rFonts w:ascii="Arial Narrow" w:hAnsi="Arial Narrow" w:cs="Tahoma"/>
                <w:sz w:val="20"/>
              </w:rPr>
              <w:t>30.5</w:t>
            </w:r>
          </w:p>
        </w:tc>
      </w:tr>
      <w:tr w:rsidR="00C063F0" w:rsidTr="005864F3">
        <w:tc>
          <w:tcPr>
            <w:tcW w:w="2660" w:type="dxa"/>
            <w:vAlign w:val="center"/>
          </w:tcPr>
          <w:p w:rsidR="00C063F0" w:rsidRPr="001F6F2E" w:rsidRDefault="00C063F0" w:rsidP="00281545">
            <w:pPr>
              <w:pStyle w:val="TableBodyText"/>
              <w:keepNext/>
              <w:jc w:val="left"/>
              <w:rPr>
                <w:sz w:val="20"/>
              </w:rPr>
            </w:pPr>
            <w:r>
              <w:rPr>
                <w:rFonts w:cs="Tahoma"/>
                <w:color w:val="000000"/>
                <w:sz w:val="20"/>
              </w:rPr>
              <w:t>Less redundant assets</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3"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3"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r>
      <w:tr w:rsidR="00C063F0" w:rsidTr="005864F3">
        <w:tc>
          <w:tcPr>
            <w:tcW w:w="2660" w:type="dxa"/>
            <w:vAlign w:val="center"/>
          </w:tcPr>
          <w:p w:rsidR="00C063F0" w:rsidRPr="001F6F2E" w:rsidRDefault="00C063F0" w:rsidP="00281545">
            <w:pPr>
              <w:pStyle w:val="TableBodyText"/>
              <w:keepNext/>
              <w:jc w:val="left"/>
              <w:rPr>
                <w:rFonts w:ascii="Arial" w:hAnsi="Arial" w:cs="Arial"/>
                <w:i/>
                <w:iCs/>
                <w:sz w:val="18"/>
                <w:szCs w:val="18"/>
              </w:rPr>
            </w:pPr>
            <w:r>
              <w:rPr>
                <w:rFonts w:cs="Tahoma"/>
                <w:color w:val="000000"/>
                <w:sz w:val="20"/>
              </w:rPr>
              <w:t>Less disposals</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2"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r w:rsidR="00C063F0">
              <w:rPr>
                <w:rFonts w:ascii="Arial Narrow" w:hAnsi="Arial Narrow" w:cs="Tahoma"/>
                <w:sz w:val="20"/>
              </w:rPr>
              <w:t> </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r w:rsidR="00C063F0">
              <w:rPr>
                <w:rFonts w:ascii="Arial Narrow" w:hAnsi="Arial Narrow" w:cs="Tahoma"/>
                <w:sz w:val="20"/>
              </w:rPr>
              <w:t> </w:t>
            </w:r>
          </w:p>
        </w:tc>
        <w:tc>
          <w:tcPr>
            <w:tcW w:w="1162"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c>
          <w:tcPr>
            <w:tcW w:w="1163" w:type="dxa"/>
            <w:vAlign w:val="center"/>
          </w:tcPr>
          <w:p w:rsidR="00C063F0" w:rsidRPr="002C4A3A" w:rsidRDefault="00C063F0">
            <w:pPr>
              <w:jc w:val="center"/>
              <w:rPr>
                <w:rFonts w:ascii="Arial Narrow" w:hAnsi="Arial Narrow" w:cs="Tahoma"/>
                <w:color w:val="000000"/>
                <w:sz w:val="20"/>
              </w:rPr>
            </w:pPr>
            <w:r>
              <w:rPr>
                <w:rFonts w:ascii="Arial Narrow" w:hAnsi="Arial Narrow" w:cs="Tahoma"/>
                <w:sz w:val="20"/>
              </w:rPr>
              <w:t> </w:t>
            </w:r>
            <w:r w:rsidR="004A7C4F">
              <w:rPr>
                <w:rFonts w:ascii="Arial Narrow" w:hAnsi="Arial Narrow" w:cs="Tahoma"/>
                <w:sz w:val="20"/>
              </w:rPr>
              <w:t>0</w:t>
            </w:r>
          </w:p>
        </w:tc>
      </w:tr>
      <w:tr w:rsidR="00DC78BD" w:rsidRPr="00EA54DD" w:rsidTr="00DC78BD">
        <w:tc>
          <w:tcPr>
            <w:tcW w:w="2660" w:type="dxa"/>
            <w:vAlign w:val="center"/>
          </w:tcPr>
          <w:p w:rsidR="00DC78BD" w:rsidRPr="0054781D" w:rsidRDefault="00736576" w:rsidP="00281545">
            <w:pPr>
              <w:pStyle w:val="TableBodyTextBold"/>
              <w:jc w:val="left"/>
              <w:rPr>
                <w:sz w:val="20"/>
              </w:rPr>
            </w:pPr>
            <w:r w:rsidRPr="00736576">
              <w:rPr>
                <w:rFonts w:cs="Tahoma"/>
                <w:bCs w:val="0"/>
                <w:sz w:val="20"/>
              </w:rPr>
              <w:t>Closing capital base</w:t>
            </w:r>
          </w:p>
        </w:tc>
        <w:tc>
          <w:tcPr>
            <w:tcW w:w="1162" w:type="dxa"/>
          </w:tcPr>
          <w:p w:rsidR="00DC78BD" w:rsidRPr="00DC78BD" w:rsidRDefault="00736576">
            <w:pPr>
              <w:jc w:val="center"/>
              <w:rPr>
                <w:rFonts w:ascii="Arial Narrow" w:hAnsi="Arial Narrow" w:cs="Tahoma"/>
                <w:b/>
                <w:bCs/>
                <w:color w:val="333333"/>
                <w:sz w:val="20"/>
              </w:rPr>
            </w:pPr>
            <w:r w:rsidRPr="00736576">
              <w:rPr>
                <w:rFonts w:ascii="Arial Narrow" w:hAnsi="Arial Narrow"/>
                <w:b/>
                <w:sz w:val="20"/>
              </w:rPr>
              <w:t xml:space="preserve"> 640.3 </w:t>
            </w:r>
          </w:p>
        </w:tc>
        <w:tc>
          <w:tcPr>
            <w:tcW w:w="1162" w:type="dxa"/>
          </w:tcPr>
          <w:p w:rsidR="00DC78BD" w:rsidRPr="00DC78BD" w:rsidRDefault="00736576">
            <w:pPr>
              <w:jc w:val="center"/>
              <w:rPr>
                <w:rFonts w:ascii="Arial Narrow" w:hAnsi="Arial Narrow" w:cs="Tahoma"/>
                <w:b/>
                <w:bCs/>
                <w:color w:val="333333"/>
                <w:sz w:val="20"/>
              </w:rPr>
            </w:pPr>
            <w:r w:rsidRPr="00736576">
              <w:rPr>
                <w:rFonts w:ascii="Arial Narrow" w:hAnsi="Arial Narrow"/>
                <w:b/>
                <w:sz w:val="20"/>
              </w:rPr>
              <w:t xml:space="preserve"> 733.1 </w:t>
            </w:r>
          </w:p>
        </w:tc>
        <w:tc>
          <w:tcPr>
            <w:tcW w:w="1163" w:type="dxa"/>
          </w:tcPr>
          <w:p w:rsidR="00DC78BD" w:rsidRPr="00DC78BD" w:rsidRDefault="00736576">
            <w:pPr>
              <w:jc w:val="center"/>
              <w:rPr>
                <w:rFonts w:ascii="Arial Narrow" w:hAnsi="Arial Narrow" w:cs="Tahoma"/>
                <w:b/>
                <w:bCs/>
                <w:color w:val="333333"/>
                <w:sz w:val="20"/>
              </w:rPr>
            </w:pPr>
            <w:r w:rsidRPr="00736576">
              <w:rPr>
                <w:rFonts w:ascii="Arial Narrow" w:hAnsi="Arial Narrow"/>
                <w:b/>
                <w:sz w:val="20"/>
              </w:rPr>
              <w:t xml:space="preserve"> 747.2 </w:t>
            </w:r>
          </w:p>
        </w:tc>
        <w:tc>
          <w:tcPr>
            <w:tcW w:w="1162" w:type="dxa"/>
          </w:tcPr>
          <w:p w:rsidR="00DC78BD" w:rsidRPr="00DC78BD" w:rsidRDefault="00736576">
            <w:pPr>
              <w:jc w:val="center"/>
              <w:rPr>
                <w:rFonts w:ascii="Arial Narrow" w:hAnsi="Arial Narrow" w:cs="Tahoma"/>
                <w:b/>
                <w:bCs/>
                <w:color w:val="333333"/>
                <w:sz w:val="20"/>
              </w:rPr>
            </w:pPr>
            <w:r w:rsidRPr="00736576">
              <w:rPr>
                <w:rFonts w:ascii="Arial Narrow" w:hAnsi="Arial Narrow"/>
                <w:b/>
                <w:sz w:val="20"/>
              </w:rPr>
              <w:t xml:space="preserve"> 748.7 </w:t>
            </w:r>
          </w:p>
        </w:tc>
        <w:tc>
          <w:tcPr>
            <w:tcW w:w="1163" w:type="dxa"/>
          </w:tcPr>
          <w:p w:rsidR="00DC78BD" w:rsidRPr="00DC78BD" w:rsidRDefault="00736576">
            <w:pPr>
              <w:jc w:val="center"/>
              <w:rPr>
                <w:rFonts w:ascii="Arial Narrow" w:hAnsi="Arial Narrow" w:cs="Tahoma"/>
                <w:b/>
                <w:bCs/>
                <w:color w:val="333333"/>
                <w:sz w:val="20"/>
              </w:rPr>
            </w:pPr>
            <w:r w:rsidRPr="00736576">
              <w:rPr>
                <w:rFonts w:ascii="Arial Narrow" w:hAnsi="Arial Narrow"/>
                <w:b/>
                <w:sz w:val="20"/>
              </w:rPr>
              <w:t xml:space="preserve"> 746.7 </w:t>
            </w:r>
          </w:p>
        </w:tc>
      </w:tr>
    </w:tbl>
    <w:p w:rsidR="0047306B" w:rsidRDefault="0047306B" w:rsidP="00770A69">
      <w:pPr>
        <w:pStyle w:val="Heading1"/>
      </w:pPr>
      <w:bookmarkStart w:id="61" w:name="_Toc340216058"/>
      <w:r>
        <w:lastRenderedPageBreak/>
        <w:t xml:space="preserve">Forecast </w:t>
      </w:r>
      <w:r w:rsidR="005B6047">
        <w:t xml:space="preserve">network demand and </w:t>
      </w:r>
      <w:r>
        <w:t>utilisation</w:t>
      </w:r>
      <w:bookmarkEnd w:id="61"/>
    </w:p>
    <w:p w:rsidR="00F12C71" w:rsidRPr="002C6B89" w:rsidRDefault="00F12C71" w:rsidP="00770A69">
      <w:pPr>
        <w:pStyle w:val="Heading2"/>
      </w:pPr>
      <w:bookmarkStart w:id="62" w:name="_Toc340216059"/>
      <w:r>
        <w:t>Forecast c</w:t>
      </w:r>
      <w:r w:rsidRPr="002C6B89">
        <w:t>ustomer numbers</w:t>
      </w:r>
      <w:r>
        <w:t xml:space="preserve"> and volumes</w:t>
      </w:r>
      <w:bookmarkEnd w:id="62"/>
    </w:p>
    <w:p w:rsidR="00A71659" w:rsidRDefault="001462F3" w:rsidP="001462F3">
      <w:pPr>
        <w:pStyle w:val="BodyText"/>
      </w:pPr>
      <w:r>
        <w:t xml:space="preserve">APA </w:t>
      </w:r>
      <w:proofErr w:type="spellStart"/>
      <w:r>
        <w:t>GasNet</w:t>
      </w:r>
      <w:proofErr w:type="spellEnd"/>
      <w:r>
        <w:t xml:space="preserve"> provides </w:t>
      </w:r>
      <w:r w:rsidR="00A71659">
        <w:t>two</w:t>
      </w:r>
      <w:r>
        <w:t xml:space="preserve"> Pipeline Service</w:t>
      </w:r>
      <w:r w:rsidR="005B5EF0">
        <w:t>s</w:t>
      </w:r>
      <w:r>
        <w:t xml:space="preserve"> which </w:t>
      </w:r>
      <w:r w:rsidR="00A71659">
        <w:t xml:space="preserve">are </w:t>
      </w:r>
      <w:r>
        <w:t>also the Reference Service</w:t>
      </w:r>
      <w:r w:rsidR="00A71659">
        <w:t>s</w:t>
      </w:r>
      <w:r>
        <w:t>. Th</w:t>
      </w:r>
      <w:r w:rsidR="00A71659">
        <w:t>ese services are:</w:t>
      </w:r>
    </w:p>
    <w:p w:rsidR="00000000" w:rsidRDefault="001462F3">
      <w:pPr>
        <w:pStyle w:val="BodyText"/>
        <w:numPr>
          <w:ilvl w:val="0"/>
          <w:numId w:val="3"/>
        </w:numPr>
      </w:pPr>
      <w:proofErr w:type="spellStart"/>
      <w:r>
        <w:t>Tariffed</w:t>
      </w:r>
      <w:proofErr w:type="spellEnd"/>
      <w:r>
        <w:t xml:space="preserve"> Transmission Service </w:t>
      </w:r>
      <w:r w:rsidR="00A71659">
        <w:t xml:space="preserve">which </w:t>
      </w:r>
      <w:r>
        <w:t>comprises the transportation of gas in accordance with the National Gas Rules for a declared transmission system. This service is provided to AEMO, who is the only User of the pipeline under the National Gas Law definition</w:t>
      </w:r>
      <w:r w:rsidR="00A71659">
        <w:t>; and</w:t>
      </w:r>
    </w:p>
    <w:p w:rsidR="00000000" w:rsidRDefault="00A71659">
      <w:pPr>
        <w:pStyle w:val="BodyText"/>
        <w:numPr>
          <w:ilvl w:val="0"/>
          <w:numId w:val="3"/>
        </w:numPr>
      </w:pPr>
      <w:r>
        <w:t xml:space="preserve">AMDQ CC Reference </w:t>
      </w:r>
      <w:proofErr w:type="gramStart"/>
      <w:r>
        <w:t xml:space="preserve">Service </w:t>
      </w:r>
      <w:r w:rsidR="00252EB6">
        <w:t>.</w:t>
      </w:r>
      <w:proofErr w:type="gramEnd"/>
    </w:p>
    <w:p w:rsidR="001462F3" w:rsidRDefault="001462F3" w:rsidP="001462F3">
      <w:pPr>
        <w:pStyle w:val="BodyText"/>
      </w:pPr>
      <w:r>
        <w:t>T</w:t>
      </w:r>
      <w:r w:rsidR="00F10D9D">
        <w:t>h</w:t>
      </w:r>
      <w:r w:rsidR="00A71659">
        <w:t>e</w:t>
      </w:r>
      <w:r>
        <w:t xml:space="preserve"> legal arrangement</w:t>
      </w:r>
      <w:r w:rsidR="00A71659">
        <w:t xml:space="preserve"> of the </w:t>
      </w:r>
      <w:proofErr w:type="spellStart"/>
      <w:r w:rsidR="00A71659">
        <w:t>Tariffed</w:t>
      </w:r>
      <w:proofErr w:type="spellEnd"/>
      <w:r w:rsidR="00A71659">
        <w:t xml:space="preserve"> Transmission Service </w:t>
      </w:r>
      <w:r>
        <w:t xml:space="preserve">arises from the Market Carriage Model set out in the National Gas Law and Rules. Under these arrangements, AEMO operates the VTS. Shippers (registered Market Participants of the Victorian Declared Wholesale Gas Market) access the Reference Service through AEMO in accordance with the National Gas Law and Rules. The only relationship between APA </w:t>
      </w:r>
      <w:proofErr w:type="spellStart"/>
      <w:r>
        <w:t>GasNet</w:t>
      </w:r>
      <w:proofErr w:type="spellEnd"/>
      <w:r>
        <w:t xml:space="preserve"> and Shippers is through the Transmission Payment Deed, key term</w:t>
      </w:r>
      <w:r w:rsidR="00BF3EE2">
        <w:t>s of which make up part of the access a</w:t>
      </w:r>
      <w:r>
        <w:t xml:space="preserve">rrangement (Schedule F). For clarity, APA </w:t>
      </w:r>
      <w:proofErr w:type="spellStart"/>
      <w:r>
        <w:t>GasNet</w:t>
      </w:r>
      <w:proofErr w:type="spellEnd"/>
      <w:r>
        <w:t xml:space="preserve"> does not provide any service directly to Shippers on the pipeline.</w:t>
      </w:r>
    </w:p>
    <w:p w:rsidR="005B6047" w:rsidRDefault="005B6047" w:rsidP="002854C3">
      <w:pPr>
        <w:pStyle w:val="Heading2"/>
      </w:pPr>
      <w:bookmarkStart w:id="63" w:name="_Toc340216060"/>
      <w:r>
        <w:lastRenderedPageBreak/>
        <w:t>Forecast network capacity and utilisation</w:t>
      </w:r>
      <w:bookmarkEnd w:id="63"/>
    </w:p>
    <w:p w:rsidR="00200541" w:rsidRPr="00200541" w:rsidRDefault="00200541" w:rsidP="002854C3">
      <w:pPr>
        <w:pStyle w:val="BodyText"/>
        <w:keepNext/>
      </w:pPr>
      <w:r w:rsidRPr="00200541">
        <w:t>Forecast network capacity and utilisation for the access arrangement period</w:t>
      </w:r>
      <w:r w:rsidR="002C6B89">
        <w:rPr>
          <w:rStyle w:val="FootnoteReference"/>
        </w:rPr>
        <w:footnoteReference w:id="10"/>
      </w:r>
      <w:r w:rsidRPr="00200541">
        <w:t xml:space="preserve"> is shown in </w:t>
      </w:r>
      <w:fldSimple w:instr=" REF _Ref273427965 \h  \* MERGEFORMAT ">
        <w:r w:rsidR="000226EA" w:rsidRPr="000226EA">
          <w:t xml:space="preserve">Table </w:t>
        </w:r>
        <w:r w:rsidR="000226EA">
          <w:rPr>
            <w:bCs/>
            <w:iCs/>
            <w:noProof/>
          </w:rPr>
          <w:t>4</w:t>
        </w:r>
        <w:r w:rsidR="000226EA" w:rsidRPr="000226EA">
          <w:rPr>
            <w:bCs/>
            <w:iCs/>
            <w:noProof/>
          </w:rPr>
          <w:t>.</w:t>
        </w:r>
        <w:r w:rsidR="000226EA">
          <w:rPr>
            <w:bCs/>
            <w:iCs/>
            <w:noProof/>
          </w:rPr>
          <w:t>1</w:t>
        </w:r>
      </w:fldSimple>
      <w:r w:rsidRPr="00200541">
        <w:t xml:space="preserve"> </w:t>
      </w:r>
      <w:fldSimple w:instr=" REF _Ref273427967 \p \h  \* MERGEFORMAT ">
        <w:r w:rsidR="000226EA">
          <w:t>below</w:t>
        </w:r>
      </w:fldSimple>
      <w:r w:rsidRPr="00200541">
        <w:t xml:space="preserve">. </w:t>
      </w:r>
      <w:r w:rsidR="0028260E">
        <w:t xml:space="preserve">Pipeline </w:t>
      </w:r>
      <w:r w:rsidRPr="00200541">
        <w:t xml:space="preserve">capacity has been calculated using aggregated </w:t>
      </w:r>
      <w:r w:rsidR="0028260E">
        <w:t>contracted</w:t>
      </w:r>
      <w:r w:rsidRPr="00200541">
        <w:t xml:space="preserve"> maximum daily quantities.</w:t>
      </w:r>
    </w:p>
    <w:p w:rsidR="003B121C" w:rsidRDefault="003B121C" w:rsidP="007528ED">
      <w:pPr>
        <w:pStyle w:val="Caption"/>
        <w:keepNext/>
        <w:rPr>
          <w:bCs w:val="0"/>
          <w:iCs/>
          <w:sz w:val="22"/>
        </w:rPr>
      </w:pPr>
      <w:bookmarkStart w:id="64" w:name="_Ref273427965"/>
      <w:bookmarkStart w:id="65" w:name="_Ref273427967"/>
      <w:proofErr w:type="gramStart"/>
      <w:r w:rsidRPr="00ED73A3">
        <w:rPr>
          <w:bCs w:val="0"/>
          <w:iCs/>
          <w:sz w:val="22"/>
        </w:rPr>
        <w:t xml:space="preserve">Table </w:t>
      </w:r>
      <w:proofErr w:type="gramEnd"/>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0226EA">
        <w:rPr>
          <w:bCs w:val="0"/>
          <w:iCs/>
          <w:noProof/>
          <w:sz w:val="22"/>
        </w:rPr>
        <w:t>4</w:t>
      </w:r>
      <w:r w:rsidR="00751B94">
        <w:rPr>
          <w:bCs w:val="0"/>
          <w:iCs/>
          <w:sz w:val="22"/>
        </w:rPr>
        <w:fldChar w:fldCharType="end"/>
      </w:r>
      <w:proofErr w:type="gramStart"/>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0226EA">
        <w:rPr>
          <w:bCs w:val="0"/>
          <w:iCs/>
          <w:noProof/>
          <w:sz w:val="22"/>
        </w:rPr>
        <w:t>1</w:t>
      </w:r>
      <w:r w:rsidR="00751B94">
        <w:rPr>
          <w:bCs w:val="0"/>
          <w:iCs/>
          <w:sz w:val="22"/>
        </w:rPr>
        <w:fldChar w:fldCharType="end"/>
      </w:r>
      <w:bookmarkEnd w:id="64"/>
      <w:bookmarkEnd w:id="65"/>
      <w:r w:rsidR="002C4A3A">
        <w:rPr>
          <w:bCs w:val="0"/>
          <w:iCs/>
          <w:sz w:val="22"/>
        </w:rPr>
        <w:t xml:space="preserve"> – Forecast pipeline</w:t>
      </w:r>
      <w:r w:rsidR="00200541">
        <w:rPr>
          <w:bCs w:val="0"/>
          <w:iCs/>
          <w:sz w:val="22"/>
        </w:rPr>
        <w:t xml:space="preserve"> capacity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2125"/>
        <w:gridCol w:w="1276"/>
        <w:gridCol w:w="1276"/>
        <w:gridCol w:w="1276"/>
        <w:gridCol w:w="1276"/>
        <w:gridCol w:w="1276"/>
      </w:tblGrid>
      <w:tr w:rsidR="000A2D21" w:rsidRPr="0023074A" w:rsidTr="007528ED">
        <w:tc>
          <w:tcPr>
            <w:tcW w:w="2125" w:type="dxa"/>
            <w:tcBorders>
              <w:top w:val="nil"/>
              <w:left w:val="nil"/>
              <w:bottom w:val="nil"/>
              <w:right w:val="nil"/>
              <w:tl2br w:val="nil"/>
              <w:tr2bl w:val="nil"/>
            </w:tcBorders>
            <w:shd w:val="clear" w:color="auto" w:fill="333333"/>
          </w:tcPr>
          <w:p w:rsidR="000A2D21" w:rsidRPr="0023074A" w:rsidRDefault="007528ED" w:rsidP="007528ED">
            <w:pPr>
              <w:pStyle w:val="BodyText"/>
              <w:keepNext/>
              <w:jc w:val="left"/>
              <w:rPr>
                <w:rFonts w:ascii="Arial Narrow" w:hAnsi="Arial Narrow"/>
                <w:b/>
                <w:bCs/>
                <w:color w:val="FFFFFF"/>
                <w:sz w:val="20"/>
              </w:rPr>
            </w:pPr>
            <w:r w:rsidRPr="007528ED">
              <w:rPr>
                <w:rFonts w:ascii="Arial Narrow" w:hAnsi="Arial Narrow"/>
                <w:b/>
                <w:bCs/>
                <w:color w:val="FFFFFF"/>
                <w:sz w:val="20"/>
              </w:rPr>
              <w:t>Forecast capacity</w:t>
            </w:r>
            <w:r>
              <w:rPr>
                <w:rFonts w:ascii="Arial Narrow" w:hAnsi="Arial Narrow"/>
                <w:b/>
                <w:bCs/>
                <w:color w:val="FFFFFF"/>
                <w:sz w:val="20"/>
              </w:rPr>
              <w:t xml:space="preserve"> </w:t>
            </w:r>
            <w:r>
              <w:rPr>
                <w:rFonts w:ascii="Arial Narrow" w:hAnsi="Arial Narrow"/>
                <w:b/>
                <w:bCs/>
                <w:color w:val="FFFFFF"/>
                <w:sz w:val="20"/>
              </w:rPr>
              <w:br/>
            </w:r>
            <w:r w:rsidRPr="007528ED">
              <w:rPr>
                <w:rFonts w:ascii="Arial Narrow" w:hAnsi="Arial Narrow"/>
                <w:b/>
                <w:bCs/>
                <w:color w:val="FFFFFF"/>
                <w:sz w:val="20"/>
              </w:rPr>
              <w:t>(TJ/day)</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Longford to Melbourne</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(from Iona)</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(to Iona)</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Western Transmission System</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(to Vic)</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(summer))</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(winter))</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r>
    </w:tbl>
    <w:p w:rsidR="007528ED" w:rsidRDefault="007528ED" w:rsidP="007528ED">
      <w:pPr>
        <w:pStyle w:val="BodyText"/>
      </w:pPr>
      <w:bookmarkStart w:id="66" w:name="_Ref263943822"/>
    </w:p>
    <w:p w:rsidR="007528ED" w:rsidRDefault="007528ED" w:rsidP="007528ED">
      <w:pPr>
        <w:pStyle w:val="Caption"/>
        <w:keepNext/>
        <w:rPr>
          <w:bCs w:val="0"/>
          <w:iCs/>
          <w:sz w:val="22"/>
        </w:rPr>
      </w:pPr>
      <w:proofErr w:type="gramStart"/>
      <w:r w:rsidRPr="00ED73A3">
        <w:rPr>
          <w:bCs w:val="0"/>
          <w:iCs/>
          <w:sz w:val="22"/>
        </w:rPr>
        <w:lastRenderedPageBreak/>
        <w:t xml:space="preserve">Table </w:t>
      </w:r>
      <w:proofErr w:type="gramEnd"/>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0226EA">
        <w:rPr>
          <w:bCs w:val="0"/>
          <w:iCs/>
          <w:noProof/>
          <w:sz w:val="22"/>
        </w:rPr>
        <w:t>4</w:t>
      </w:r>
      <w:r w:rsidR="00751B94">
        <w:rPr>
          <w:bCs w:val="0"/>
          <w:iCs/>
          <w:sz w:val="22"/>
        </w:rPr>
        <w:fldChar w:fldCharType="end"/>
      </w:r>
      <w:proofErr w:type="gramStart"/>
      <w:r>
        <w:rPr>
          <w:bCs w:val="0"/>
          <w:iCs/>
          <w:sz w:val="22"/>
        </w:rPr>
        <w:t>.</w:t>
      </w:r>
      <w:proofErr w:type="gramEnd"/>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0226EA">
        <w:rPr>
          <w:bCs w:val="0"/>
          <w:iCs/>
          <w:noProof/>
          <w:sz w:val="22"/>
        </w:rPr>
        <w:t>2</w:t>
      </w:r>
      <w:r w:rsidR="00751B94">
        <w:rPr>
          <w:bCs w:val="0"/>
          <w:iCs/>
          <w:sz w:val="22"/>
        </w:rPr>
        <w:fldChar w:fldCharType="end"/>
      </w:r>
      <w:r>
        <w:rPr>
          <w:bCs w:val="0"/>
          <w:iCs/>
          <w:sz w:val="22"/>
        </w:rPr>
        <w:t xml:space="preserve"> – Forecast network utilisation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2125"/>
        <w:gridCol w:w="1276"/>
        <w:gridCol w:w="1276"/>
        <w:gridCol w:w="1276"/>
        <w:gridCol w:w="1276"/>
        <w:gridCol w:w="1276"/>
      </w:tblGrid>
      <w:tr w:rsidR="007528ED" w:rsidRPr="0023074A" w:rsidTr="007528ED">
        <w:tc>
          <w:tcPr>
            <w:tcW w:w="2125" w:type="dxa"/>
            <w:tcBorders>
              <w:top w:val="nil"/>
              <w:left w:val="nil"/>
              <w:bottom w:val="nil"/>
              <w:right w:val="nil"/>
              <w:tl2br w:val="nil"/>
              <w:tr2bl w:val="nil"/>
            </w:tcBorders>
            <w:shd w:val="clear" w:color="auto" w:fill="333333"/>
          </w:tcPr>
          <w:p w:rsidR="007528ED" w:rsidRPr="0023074A" w:rsidRDefault="007528ED" w:rsidP="00870495">
            <w:pPr>
              <w:pStyle w:val="BodyText"/>
              <w:keepNext/>
              <w:jc w:val="left"/>
              <w:rPr>
                <w:rFonts w:ascii="Arial Narrow" w:hAnsi="Arial Narrow"/>
                <w:b/>
                <w:bCs/>
                <w:color w:val="FFFFFF"/>
                <w:sz w:val="20"/>
              </w:rPr>
            </w:pPr>
            <w:r w:rsidRPr="007528ED">
              <w:rPr>
                <w:rFonts w:ascii="Arial Narrow" w:hAnsi="Arial Narrow"/>
                <w:b/>
                <w:bCs/>
                <w:color w:val="FFFFFF"/>
                <w:sz w:val="20"/>
              </w:rPr>
              <w:t>Forecast utilisation (%)</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Longford to Melbourne</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41.2</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40.9</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40.3</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40.2</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(from Iona)</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32.8</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32.6</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33.0</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(to Iona)</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Western Transmission System</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43.7</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43.1</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42.7</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42.4</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42.5</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(to Vic)</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(summer))</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(winter))</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r>
    </w:tbl>
    <w:p w:rsidR="007528ED" w:rsidRDefault="007528ED" w:rsidP="007528ED">
      <w:pPr>
        <w:pStyle w:val="BodyText"/>
      </w:pPr>
    </w:p>
    <w:p w:rsidR="000A6A51" w:rsidRPr="00DA4DD9" w:rsidRDefault="00EC636D" w:rsidP="00770A69">
      <w:pPr>
        <w:pStyle w:val="Heading2"/>
      </w:pPr>
      <w:bookmarkStart w:id="67" w:name="_Toc340216061"/>
      <w:r w:rsidRPr="00DA4DD9">
        <w:t>Forecast demand</w:t>
      </w:r>
      <w:bookmarkEnd w:id="67"/>
    </w:p>
    <w:p w:rsidR="000A6A51" w:rsidRPr="00EC636D" w:rsidRDefault="00EC636D" w:rsidP="00EC636D">
      <w:pPr>
        <w:pStyle w:val="BodyText"/>
      </w:pPr>
      <w:r w:rsidRPr="00EC636D">
        <w:t xml:space="preserve">Forecast </w:t>
      </w:r>
      <w:r>
        <w:t xml:space="preserve">maximum and average </w:t>
      </w:r>
      <w:r w:rsidRPr="00EC636D">
        <w:t xml:space="preserve">demand </w:t>
      </w:r>
      <w:r w:rsidR="0098336A">
        <w:t xml:space="preserve">for the </w:t>
      </w:r>
      <w:r w:rsidR="0028260E">
        <w:t xml:space="preserve">pipeline </w:t>
      </w:r>
      <w:r w:rsidR="0098336A">
        <w:t>over</w:t>
      </w:r>
      <w:r>
        <w:t xml:space="preserve"> the access arrangement period is shown in </w:t>
      </w:r>
      <w:r w:rsidR="00751B94">
        <w:fldChar w:fldCharType="begin"/>
      </w:r>
      <w:r>
        <w:instrText xml:space="preserve"> REF _Ref273429052 \h </w:instrText>
      </w:r>
      <w:r w:rsidR="00751B94">
        <w:fldChar w:fldCharType="separate"/>
      </w:r>
      <w:r w:rsidR="000226EA" w:rsidRPr="00ED73A3">
        <w:rPr>
          <w:iCs/>
        </w:rPr>
        <w:t xml:space="preserve">Table </w:t>
      </w:r>
      <w:r w:rsidR="000226EA">
        <w:rPr>
          <w:bCs/>
          <w:iCs/>
          <w:noProof/>
        </w:rPr>
        <w:t>4</w:t>
      </w:r>
      <w:r w:rsidR="000226EA">
        <w:rPr>
          <w:iCs/>
        </w:rPr>
        <w:t>.</w:t>
      </w:r>
      <w:r w:rsidR="000226EA">
        <w:rPr>
          <w:bCs/>
          <w:iCs/>
          <w:noProof/>
        </w:rPr>
        <w:t>3</w:t>
      </w:r>
      <w:r w:rsidR="00751B94">
        <w:fldChar w:fldCharType="end"/>
      </w:r>
      <w:r>
        <w:t xml:space="preserve"> below.</w:t>
      </w:r>
    </w:p>
    <w:p w:rsidR="00EC636D" w:rsidRDefault="00EC636D" w:rsidP="0028260E">
      <w:pPr>
        <w:pStyle w:val="Caption"/>
        <w:keepNext/>
        <w:rPr>
          <w:bCs w:val="0"/>
          <w:iCs/>
          <w:sz w:val="22"/>
        </w:rPr>
      </w:pPr>
      <w:bookmarkStart w:id="68" w:name="_Ref273429052"/>
      <w:proofErr w:type="gramStart"/>
      <w:r w:rsidRPr="00ED73A3">
        <w:rPr>
          <w:bCs w:val="0"/>
          <w:iCs/>
          <w:sz w:val="22"/>
        </w:rPr>
        <w:t xml:space="preserve">Table </w:t>
      </w:r>
      <w:proofErr w:type="gramEnd"/>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0226EA">
        <w:rPr>
          <w:bCs w:val="0"/>
          <w:iCs/>
          <w:noProof/>
          <w:sz w:val="22"/>
        </w:rPr>
        <w:t>4</w:t>
      </w:r>
      <w:r w:rsidR="00751B94">
        <w:rPr>
          <w:bCs w:val="0"/>
          <w:iCs/>
          <w:sz w:val="22"/>
        </w:rPr>
        <w:fldChar w:fldCharType="end"/>
      </w:r>
      <w:proofErr w:type="gramStart"/>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0226EA">
        <w:rPr>
          <w:bCs w:val="0"/>
          <w:iCs/>
          <w:noProof/>
          <w:sz w:val="22"/>
        </w:rPr>
        <w:t>3</w:t>
      </w:r>
      <w:r w:rsidR="00751B94">
        <w:rPr>
          <w:bCs w:val="0"/>
          <w:iCs/>
          <w:sz w:val="22"/>
        </w:rPr>
        <w:fldChar w:fldCharType="end"/>
      </w:r>
      <w:bookmarkEnd w:id="68"/>
      <w:r>
        <w:rPr>
          <w:bCs w:val="0"/>
          <w:iCs/>
          <w:sz w:val="22"/>
        </w:rPr>
        <w:t xml:space="preserve"> – Forecast maximum and average demand </w:t>
      </w:r>
      <w:r w:rsidR="0098336A">
        <w:rPr>
          <w:bCs w:val="0"/>
          <w:iCs/>
          <w:sz w:val="22"/>
        </w:rPr>
        <w:t xml:space="preserve">for the </w:t>
      </w:r>
      <w:r w:rsidR="0028260E">
        <w:rPr>
          <w:bCs w:val="0"/>
          <w:iCs/>
          <w:sz w:val="22"/>
        </w:rPr>
        <w:t xml:space="preserve">pipeline </w:t>
      </w:r>
      <w:r w:rsidR="0098336A">
        <w:rPr>
          <w:bCs w:val="0"/>
          <w:iCs/>
          <w:sz w:val="22"/>
        </w:rPr>
        <w:t>over</w:t>
      </w:r>
      <w:r>
        <w:rPr>
          <w:bCs w:val="0"/>
          <w:iCs/>
          <w:sz w:val="22"/>
        </w:rPr>
        <w:t xml:space="preserve"> the access arrangement period (TJ/d)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2125"/>
        <w:gridCol w:w="1276"/>
        <w:gridCol w:w="1276"/>
        <w:gridCol w:w="1276"/>
        <w:gridCol w:w="1276"/>
        <w:gridCol w:w="1276"/>
      </w:tblGrid>
      <w:tr w:rsidR="000A2D21" w:rsidRPr="0023074A" w:rsidTr="00681BA2">
        <w:tc>
          <w:tcPr>
            <w:tcW w:w="2125" w:type="dxa"/>
            <w:tcBorders>
              <w:top w:val="nil"/>
              <w:left w:val="nil"/>
              <w:bottom w:val="nil"/>
              <w:right w:val="nil"/>
              <w:tl2br w:val="nil"/>
              <w:tr2bl w:val="nil"/>
            </w:tcBorders>
            <w:shd w:val="clear" w:color="auto" w:fill="333333"/>
          </w:tcPr>
          <w:p w:rsidR="000A2D21" w:rsidRPr="0023074A" w:rsidRDefault="00BB17A0" w:rsidP="00DC1337">
            <w:pPr>
              <w:pStyle w:val="BodyText"/>
              <w:keepNext/>
              <w:jc w:val="left"/>
              <w:rPr>
                <w:rFonts w:ascii="Arial Narrow" w:hAnsi="Arial Narrow"/>
                <w:b/>
                <w:bCs/>
                <w:color w:val="FFFFFF"/>
                <w:sz w:val="20"/>
              </w:rPr>
            </w:pPr>
            <w:r>
              <w:rPr>
                <w:rFonts w:ascii="Arial Narrow" w:hAnsi="Arial Narrow"/>
                <w:b/>
                <w:bCs/>
                <w:color w:val="FFFFFF"/>
                <w:sz w:val="20"/>
              </w:rPr>
              <w:t>TJ/day</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5864F3">
        <w:tc>
          <w:tcPr>
            <w:tcW w:w="2125" w:type="dxa"/>
            <w:shd w:val="clear" w:color="auto" w:fill="auto"/>
            <w:vAlign w:val="center"/>
          </w:tcPr>
          <w:p w:rsidR="00C063F0" w:rsidRPr="0023074A" w:rsidRDefault="00C063F0" w:rsidP="00DC1337">
            <w:pPr>
              <w:pStyle w:val="BodyText"/>
              <w:keepNext/>
              <w:jc w:val="left"/>
              <w:rPr>
                <w:rFonts w:ascii="Arial Narrow" w:hAnsi="Arial Narrow"/>
                <w:sz w:val="20"/>
              </w:rPr>
            </w:pPr>
            <w:r>
              <w:rPr>
                <w:rFonts w:ascii="Arial Narrow" w:hAnsi="Arial Narrow" w:cs="Tahoma"/>
                <w:color w:val="000000"/>
                <w:sz w:val="20"/>
              </w:rPr>
              <w:t xml:space="preserve">Maximum demand </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1167.0</w:t>
            </w:r>
            <w:r w:rsidR="00C063F0">
              <w:rPr>
                <w:rFonts w:ascii="Arial Narrow" w:hAnsi="Arial Narrow" w:cs="Tahoma"/>
                <w:color w:val="000000"/>
                <w:sz w:val="20"/>
              </w:rPr>
              <w:t xml:space="preserve"> </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1158.1</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1182.1</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1177.4</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1175.5</w:t>
            </w:r>
          </w:p>
        </w:tc>
      </w:tr>
      <w:tr w:rsidR="00C063F0" w:rsidRPr="0023074A" w:rsidTr="005864F3">
        <w:tc>
          <w:tcPr>
            <w:tcW w:w="2125" w:type="dxa"/>
            <w:shd w:val="clear" w:color="auto" w:fill="auto"/>
            <w:vAlign w:val="center"/>
          </w:tcPr>
          <w:p w:rsidR="00C063F0" w:rsidRPr="0023074A" w:rsidRDefault="00AD750C" w:rsidP="00AD750C">
            <w:pPr>
              <w:pStyle w:val="BodyText"/>
              <w:jc w:val="left"/>
              <w:rPr>
                <w:rFonts w:ascii="Arial Narrow" w:hAnsi="Arial Narrow"/>
                <w:b/>
                <w:color w:val="333333"/>
                <w:sz w:val="20"/>
              </w:rPr>
            </w:pPr>
            <w:r>
              <w:rPr>
                <w:rFonts w:ascii="Arial Narrow" w:hAnsi="Arial Narrow" w:cs="Tahoma"/>
                <w:color w:val="333333"/>
                <w:sz w:val="20"/>
              </w:rPr>
              <w:t>Average demand</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574.8</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574.6</w:t>
            </w:r>
          </w:p>
        </w:tc>
        <w:tc>
          <w:tcPr>
            <w:tcW w:w="1276" w:type="dxa"/>
            <w:shd w:val="clear" w:color="auto" w:fill="auto"/>
            <w:vAlign w:val="center"/>
          </w:tcPr>
          <w:p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588.6</w:t>
            </w:r>
          </w:p>
        </w:tc>
        <w:tc>
          <w:tcPr>
            <w:tcW w:w="1276" w:type="dxa"/>
            <w:shd w:val="clear" w:color="auto" w:fill="auto"/>
            <w:vAlign w:val="center"/>
          </w:tcPr>
          <w:p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586.8</w:t>
            </w:r>
            <w:r w:rsidR="00C063F0" w:rsidRPr="007E0BCC">
              <w:rPr>
                <w:rFonts w:ascii="Arial Narrow" w:hAnsi="Arial Narrow"/>
                <w:sz w:val="20"/>
              </w:rPr>
              <w:t xml:space="preserve"> </w:t>
            </w:r>
          </w:p>
        </w:tc>
        <w:tc>
          <w:tcPr>
            <w:tcW w:w="1276"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587.2</w:t>
            </w:r>
          </w:p>
        </w:tc>
      </w:tr>
    </w:tbl>
    <w:p w:rsidR="009C75E1" w:rsidRPr="00DA4DD9" w:rsidRDefault="009C75E1" w:rsidP="009C75E1">
      <w:pPr>
        <w:pStyle w:val="Heading2"/>
      </w:pPr>
      <w:bookmarkStart w:id="69" w:name="_Toc321138877"/>
      <w:bookmarkEnd w:id="66"/>
      <w:r>
        <w:lastRenderedPageBreak/>
        <w:t>Forecast weather</w:t>
      </w:r>
      <w:bookmarkEnd w:id="69"/>
    </w:p>
    <w:p w:rsidR="009C75E1" w:rsidRPr="00CB7D1F" w:rsidRDefault="009C75E1" w:rsidP="009C75E1">
      <w:pPr>
        <w:pStyle w:val="BodyText"/>
        <w:keepNext/>
      </w:pPr>
      <w:r w:rsidRPr="00CB7D1F">
        <w:t xml:space="preserve">Forecast standard weather and sensitivity to changes in weather for the pipeline over the access arrangement period is shown in </w:t>
      </w:r>
      <w:r>
        <w:t>Table 4.4</w:t>
      </w:r>
      <w:r w:rsidRPr="00CB7D1F">
        <w:t xml:space="preserve"> below.</w:t>
      </w:r>
    </w:p>
    <w:p w:rsidR="009C75E1" w:rsidRPr="00CB7D1F" w:rsidRDefault="009C75E1" w:rsidP="009C75E1">
      <w:pPr>
        <w:pStyle w:val="Caption"/>
        <w:keepNext/>
      </w:pPr>
      <w:r w:rsidRPr="00CB7D1F">
        <w:rPr>
          <w:bCs w:val="0"/>
          <w:iCs/>
          <w:sz w:val="22"/>
        </w:rPr>
        <w:t xml:space="preserve">Table </w:t>
      </w:r>
      <w:r w:rsidR="00751B94" w:rsidRPr="00CB7D1F">
        <w:rPr>
          <w:bCs w:val="0"/>
          <w:iCs/>
          <w:sz w:val="22"/>
        </w:rPr>
        <w:fldChar w:fldCharType="begin"/>
      </w:r>
      <w:r w:rsidRPr="00CB7D1F">
        <w:rPr>
          <w:bCs w:val="0"/>
          <w:iCs/>
          <w:sz w:val="22"/>
        </w:rPr>
        <w:instrText xml:space="preserve"> STYLEREF 1 \s </w:instrText>
      </w:r>
      <w:r w:rsidR="00751B94" w:rsidRPr="00CB7D1F">
        <w:rPr>
          <w:bCs w:val="0"/>
          <w:iCs/>
          <w:sz w:val="22"/>
        </w:rPr>
        <w:fldChar w:fldCharType="separate"/>
      </w:r>
      <w:r w:rsidR="000226EA">
        <w:rPr>
          <w:bCs w:val="0"/>
          <w:iCs/>
          <w:noProof/>
          <w:sz w:val="22"/>
        </w:rPr>
        <w:t>4</w:t>
      </w:r>
      <w:r w:rsidR="00751B94" w:rsidRPr="00CB7D1F">
        <w:rPr>
          <w:bCs w:val="0"/>
          <w:iCs/>
          <w:sz w:val="22"/>
        </w:rPr>
        <w:fldChar w:fldCharType="end"/>
      </w:r>
      <w:r w:rsidRPr="00CB7D1F">
        <w:rPr>
          <w:bCs w:val="0"/>
          <w:iCs/>
          <w:sz w:val="22"/>
        </w:rPr>
        <w:t>.4 – Effective Degree Days (EDD) and temperature sensitivity for the pipeline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tblPr>
      <w:tblGrid>
        <w:gridCol w:w="2125"/>
        <w:gridCol w:w="1276"/>
        <w:gridCol w:w="1276"/>
        <w:gridCol w:w="1276"/>
        <w:gridCol w:w="1276"/>
        <w:gridCol w:w="1276"/>
      </w:tblGrid>
      <w:tr w:rsidR="009C75E1" w:rsidRPr="00CB7D1F" w:rsidTr="00812E0B">
        <w:tc>
          <w:tcPr>
            <w:tcW w:w="2125" w:type="dxa"/>
            <w:tcBorders>
              <w:top w:val="nil"/>
              <w:left w:val="nil"/>
              <w:bottom w:val="nil"/>
              <w:right w:val="nil"/>
              <w:tl2br w:val="nil"/>
              <w:tr2bl w:val="nil"/>
            </w:tcBorders>
            <w:shd w:val="clear" w:color="auto" w:fill="333333"/>
          </w:tcPr>
          <w:p w:rsidR="009C75E1" w:rsidRPr="00CB7D1F" w:rsidRDefault="009C75E1" w:rsidP="00812E0B">
            <w:pPr>
              <w:pStyle w:val="BodyText"/>
              <w:keepNext/>
              <w:jc w:val="left"/>
              <w:rPr>
                <w:rFonts w:ascii="Arial Narrow" w:hAnsi="Arial Narrow"/>
                <w:b/>
                <w:bCs/>
                <w:color w:val="FFFFFF"/>
                <w:sz w:val="20"/>
              </w:rPr>
            </w:pP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2017</w:t>
            </w:r>
          </w:p>
        </w:tc>
      </w:tr>
      <w:tr w:rsidR="009C75E1" w:rsidRPr="00CB7D1F" w:rsidTr="00812E0B">
        <w:tc>
          <w:tcPr>
            <w:tcW w:w="2125" w:type="dxa"/>
            <w:shd w:val="clear" w:color="auto" w:fill="auto"/>
          </w:tcPr>
          <w:p w:rsidR="009C75E1" w:rsidRPr="00CB7D1F" w:rsidRDefault="009C75E1" w:rsidP="00812E0B">
            <w:pPr>
              <w:pStyle w:val="BodyText"/>
              <w:keepNext/>
              <w:jc w:val="left"/>
              <w:rPr>
                <w:rFonts w:ascii="Arial Narrow" w:hAnsi="Arial Narrow"/>
                <w:sz w:val="20"/>
              </w:rPr>
            </w:pPr>
            <w:r w:rsidRPr="00CB7D1F">
              <w:rPr>
                <w:rFonts w:ascii="Arial Narrow" w:hAnsi="Arial Narrow"/>
                <w:sz w:val="20"/>
              </w:rPr>
              <w:t>Effective Degree Days (EDD)</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r>
      <w:tr w:rsidR="009C75E1" w:rsidRPr="0023074A" w:rsidTr="00812E0B">
        <w:tc>
          <w:tcPr>
            <w:tcW w:w="2125" w:type="dxa"/>
            <w:shd w:val="clear" w:color="auto" w:fill="auto"/>
          </w:tcPr>
          <w:p w:rsidR="009C75E1" w:rsidRPr="00CB7D1F" w:rsidRDefault="009C75E1" w:rsidP="00812E0B">
            <w:pPr>
              <w:pStyle w:val="BodyText"/>
              <w:jc w:val="left"/>
              <w:rPr>
                <w:rFonts w:ascii="Arial Narrow" w:hAnsi="Arial Narrow"/>
                <w:b/>
                <w:color w:val="333333"/>
                <w:sz w:val="20"/>
              </w:rPr>
            </w:pPr>
            <w:r w:rsidRPr="00CB7D1F">
              <w:rPr>
                <w:rFonts w:ascii="Arial Narrow" w:hAnsi="Arial Narrow"/>
                <w:b/>
                <w:color w:val="333333"/>
                <w:sz w:val="20"/>
              </w:rPr>
              <w:t>Weather Sensitivity</w:t>
            </w:r>
            <w:r w:rsidRPr="00CB7D1F">
              <w:rPr>
                <w:rFonts w:ascii="Arial Narrow" w:hAnsi="Arial Narrow"/>
                <w:b/>
                <w:color w:val="333333"/>
                <w:sz w:val="20"/>
              </w:rPr>
              <w:br/>
              <w:t>(TJ/EDD)</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r>
    </w:tbl>
    <w:p w:rsidR="0047306B" w:rsidRDefault="0047306B" w:rsidP="0047306B">
      <w:pPr>
        <w:pStyle w:val="BodyText"/>
      </w:pPr>
    </w:p>
    <w:p w:rsidR="0047306B" w:rsidRPr="008F473E" w:rsidRDefault="0047306B" w:rsidP="00770A69">
      <w:pPr>
        <w:pStyle w:val="Heading1"/>
      </w:pPr>
      <w:bookmarkStart w:id="70" w:name="_Ref263943830"/>
      <w:bookmarkStart w:id="71" w:name="_Toc340216062"/>
      <w:r w:rsidRPr="008F473E">
        <w:lastRenderedPageBreak/>
        <w:t>Forecast operating expenditure</w:t>
      </w:r>
      <w:bookmarkEnd w:id="70"/>
      <w:bookmarkEnd w:id="71"/>
    </w:p>
    <w:p w:rsidR="00BB44BF" w:rsidRDefault="00BB44BF" w:rsidP="00BB44BF">
      <w:pPr>
        <w:pStyle w:val="BodyText"/>
      </w:pPr>
      <w:r>
        <w:t xml:space="preserve">Forecast operating expenditure by category over the access arrangement period is set out in </w:t>
      </w:r>
      <w:r w:rsidR="00751B94">
        <w:fldChar w:fldCharType="begin"/>
      </w:r>
      <w:r>
        <w:instrText xml:space="preserve"> REF _Ref273372158 \h </w:instrText>
      </w:r>
      <w:r w:rsidR="00751B94">
        <w:fldChar w:fldCharType="separate"/>
      </w:r>
      <w:r w:rsidR="000226EA" w:rsidRPr="00ED73A3">
        <w:rPr>
          <w:iCs/>
        </w:rPr>
        <w:t xml:space="preserve">Table </w:t>
      </w:r>
      <w:r w:rsidR="000226EA">
        <w:rPr>
          <w:bCs/>
          <w:iCs/>
          <w:noProof/>
        </w:rPr>
        <w:t>5</w:t>
      </w:r>
      <w:r w:rsidR="000226EA">
        <w:rPr>
          <w:iCs/>
        </w:rPr>
        <w:t>.</w:t>
      </w:r>
      <w:r w:rsidR="000226EA">
        <w:rPr>
          <w:bCs/>
          <w:iCs/>
          <w:noProof/>
        </w:rPr>
        <w:t>1</w:t>
      </w:r>
      <w:r w:rsidR="00751B94">
        <w:fldChar w:fldCharType="end"/>
      </w:r>
      <w:r>
        <w:t xml:space="preserve"> below.</w:t>
      </w:r>
    </w:p>
    <w:p w:rsidR="003B121C" w:rsidRPr="00ED73A3" w:rsidRDefault="003B121C" w:rsidP="003B121C">
      <w:pPr>
        <w:pStyle w:val="Caption"/>
        <w:rPr>
          <w:bCs w:val="0"/>
          <w:iCs/>
          <w:sz w:val="22"/>
        </w:rPr>
      </w:pPr>
      <w:bookmarkStart w:id="72" w:name="_Ref273372158"/>
      <w:proofErr w:type="gramStart"/>
      <w:r w:rsidRPr="00ED73A3">
        <w:rPr>
          <w:bCs w:val="0"/>
          <w:iCs/>
          <w:sz w:val="22"/>
        </w:rPr>
        <w:t xml:space="preserve">Table </w:t>
      </w:r>
      <w:proofErr w:type="gramEnd"/>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0226EA">
        <w:rPr>
          <w:bCs w:val="0"/>
          <w:iCs/>
          <w:noProof/>
          <w:sz w:val="22"/>
        </w:rPr>
        <w:t>5</w:t>
      </w:r>
      <w:r w:rsidR="00751B94">
        <w:rPr>
          <w:bCs w:val="0"/>
          <w:iCs/>
          <w:sz w:val="22"/>
        </w:rPr>
        <w:fldChar w:fldCharType="end"/>
      </w:r>
      <w:proofErr w:type="gramStart"/>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0226EA">
        <w:rPr>
          <w:bCs w:val="0"/>
          <w:iCs/>
          <w:noProof/>
          <w:sz w:val="22"/>
        </w:rPr>
        <w:t>1</w:t>
      </w:r>
      <w:r w:rsidR="00751B94">
        <w:rPr>
          <w:bCs w:val="0"/>
          <w:iCs/>
          <w:sz w:val="22"/>
        </w:rPr>
        <w:fldChar w:fldCharType="end"/>
      </w:r>
      <w:bookmarkEnd w:id="72"/>
      <w:r>
        <w:rPr>
          <w:bCs w:val="0"/>
          <w:iCs/>
          <w:sz w:val="22"/>
        </w:rPr>
        <w:t xml:space="preserve"> – </w:t>
      </w:r>
      <w:r w:rsidR="00BB44BF">
        <w:rPr>
          <w:bCs w:val="0"/>
          <w:iCs/>
          <w:sz w:val="22"/>
        </w:rPr>
        <w:t xml:space="preserve">Forecast operating expenditure by category over the access arrangement period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1"/>
        <w:gridCol w:w="1131"/>
        <w:gridCol w:w="1131"/>
        <w:gridCol w:w="1131"/>
        <w:gridCol w:w="1174"/>
        <w:gridCol w:w="1174"/>
      </w:tblGrid>
      <w:tr w:rsidR="007E61B7" w:rsidRPr="00B0628E" w:rsidTr="000B7EF2">
        <w:tc>
          <w:tcPr>
            <w:tcW w:w="2731" w:type="dxa"/>
            <w:shd w:val="clear" w:color="auto" w:fill="000000"/>
          </w:tcPr>
          <w:p w:rsidR="007E61B7" w:rsidRPr="00B46EDB" w:rsidRDefault="007E61B7" w:rsidP="000B7EF2">
            <w:pPr>
              <w:keepNext/>
              <w:rPr>
                <w:rFonts w:ascii="Arial Narrow" w:hAnsi="Arial Narrow"/>
                <w:b/>
                <w:sz w:val="20"/>
              </w:rPr>
            </w:pPr>
            <w:r>
              <w:rPr>
                <w:rFonts w:ascii="Arial Narrow" w:hAnsi="Arial Narrow"/>
                <w:b/>
                <w:sz w:val="20"/>
              </w:rPr>
              <w:t>$</w:t>
            </w:r>
            <w:r w:rsidR="00D335CD">
              <w:rPr>
                <w:rFonts w:ascii="Arial Narrow" w:hAnsi="Arial Narrow"/>
                <w:b/>
                <w:sz w:val="20"/>
              </w:rPr>
              <w:t xml:space="preserve">m </w:t>
            </w:r>
            <w:r w:rsidR="000B7EF2">
              <w:rPr>
                <w:rFonts w:ascii="Arial Narrow" w:hAnsi="Arial Narrow"/>
                <w:b/>
                <w:sz w:val="20"/>
              </w:rPr>
              <w:t>nominal</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2013</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2014</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2015</w:t>
            </w:r>
          </w:p>
        </w:tc>
        <w:tc>
          <w:tcPr>
            <w:tcW w:w="1174"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2016</w:t>
            </w:r>
          </w:p>
        </w:tc>
        <w:tc>
          <w:tcPr>
            <w:tcW w:w="1174"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2017</w:t>
            </w:r>
          </w:p>
        </w:tc>
      </w:tr>
      <w:tr w:rsidR="00C063F0" w:rsidRPr="00B0628E" w:rsidTr="000B7EF2">
        <w:tc>
          <w:tcPr>
            <w:tcW w:w="2731" w:type="dxa"/>
            <w:vAlign w:val="center"/>
          </w:tcPr>
          <w:p w:rsidR="00C063F0" w:rsidRPr="00B46EDB" w:rsidRDefault="00D335CD" w:rsidP="00E47FE1">
            <w:pPr>
              <w:keepNext/>
              <w:rPr>
                <w:rFonts w:ascii="Arial Narrow" w:hAnsi="Arial Narrow"/>
                <w:sz w:val="20"/>
              </w:rPr>
            </w:pPr>
            <w:r>
              <w:rPr>
                <w:rFonts w:ascii="Arial Narrow" w:hAnsi="Arial Narrow" w:cs="Tahoma"/>
                <w:color w:val="000000"/>
                <w:sz w:val="20"/>
              </w:rPr>
              <w:t xml:space="preserve">Controllable </w:t>
            </w:r>
            <w:proofErr w:type="spellStart"/>
            <w:r>
              <w:rPr>
                <w:rFonts w:ascii="Arial Narrow" w:hAnsi="Arial Narrow" w:cs="Tahoma"/>
                <w:color w:val="000000"/>
                <w:sz w:val="20"/>
              </w:rPr>
              <w:t>opex</w:t>
            </w:r>
            <w:proofErr w:type="spellEnd"/>
          </w:p>
        </w:tc>
        <w:tc>
          <w:tcPr>
            <w:tcW w:w="1131" w:type="dxa"/>
            <w:vAlign w:val="center"/>
          </w:tcPr>
          <w:p w:rsidR="00C063F0" w:rsidRDefault="00D335CD">
            <w:pPr>
              <w:jc w:val="center"/>
              <w:rPr>
                <w:rFonts w:ascii="Arial Narrow" w:hAnsi="Arial Narrow" w:cs="Tahoma"/>
                <w:color w:val="000000"/>
                <w:sz w:val="20"/>
              </w:rPr>
            </w:pPr>
            <w:r>
              <w:rPr>
                <w:rFonts w:ascii="Arial Narrow" w:hAnsi="Arial Narrow" w:cs="Tahoma"/>
                <w:color w:val="000000"/>
                <w:sz w:val="20"/>
              </w:rPr>
              <w:t>28.9</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30.1</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31.8</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33.7</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34.5</w:t>
            </w:r>
            <w:r w:rsidR="00C063F0">
              <w:rPr>
                <w:rFonts w:ascii="Arial Narrow" w:hAnsi="Arial Narrow" w:cs="Tahoma"/>
                <w:color w:val="000000"/>
                <w:sz w:val="20"/>
              </w:rPr>
              <w:t xml:space="preserve"> </w:t>
            </w:r>
          </w:p>
        </w:tc>
      </w:tr>
      <w:tr w:rsidR="00C063F0" w:rsidRPr="00B0628E" w:rsidTr="000B7EF2">
        <w:tc>
          <w:tcPr>
            <w:tcW w:w="2731" w:type="dxa"/>
            <w:vAlign w:val="center"/>
          </w:tcPr>
          <w:p w:rsidR="00C063F0" w:rsidRPr="00B46EDB" w:rsidRDefault="000B7EF2" w:rsidP="00E47FE1">
            <w:pPr>
              <w:keepNext/>
              <w:rPr>
                <w:rFonts w:ascii="Arial Narrow" w:hAnsi="Arial Narrow"/>
                <w:sz w:val="20"/>
              </w:rPr>
            </w:pPr>
            <w:r>
              <w:rPr>
                <w:rFonts w:ascii="Arial Narrow" w:hAnsi="Arial Narrow" w:cs="Tahoma"/>
                <w:color w:val="000000"/>
                <w:sz w:val="20"/>
              </w:rPr>
              <w:t>Reset costs</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1.1</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r>
      <w:tr w:rsidR="00C063F0" w:rsidRPr="00B0628E" w:rsidTr="000B7EF2">
        <w:tc>
          <w:tcPr>
            <w:tcW w:w="2731" w:type="dxa"/>
            <w:vAlign w:val="center"/>
          </w:tcPr>
          <w:p w:rsidR="00C063F0" w:rsidRPr="00B46EDB" w:rsidRDefault="000B7EF2" w:rsidP="00E47FE1">
            <w:pPr>
              <w:keepNext/>
              <w:rPr>
                <w:rFonts w:ascii="Arial Narrow" w:hAnsi="Arial Narrow"/>
                <w:sz w:val="20"/>
              </w:rPr>
            </w:pPr>
            <w:r>
              <w:rPr>
                <w:rFonts w:ascii="Arial Narrow" w:hAnsi="Arial Narrow" w:cs="Tahoma"/>
                <w:color w:val="000000"/>
                <w:sz w:val="20"/>
              </w:rPr>
              <w:t>Other allowances</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r>
      <w:tr w:rsidR="000B7EF2" w:rsidRPr="00B0628E" w:rsidTr="003A108A">
        <w:tc>
          <w:tcPr>
            <w:tcW w:w="2731" w:type="dxa"/>
            <w:vAlign w:val="center"/>
          </w:tcPr>
          <w:p w:rsidR="000B7EF2" w:rsidRPr="00B46EDB" w:rsidRDefault="000B7EF2" w:rsidP="00E47FE1">
            <w:pPr>
              <w:keepNext/>
              <w:rPr>
                <w:rFonts w:ascii="Arial Narrow" w:hAnsi="Arial Narrow"/>
                <w:sz w:val="20"/>
              </w:rPr>
            </w:pPr>
            <w:r>
              <w:rPr>
                <w:rFonts w:ascii="Arial Narrow" w:hAnsi="Arial Narrow" w:cs="Tahoma"/>
                <w:color w:val="000000"/>
                <w:sz w:val="20"/>
              </w:rPr>
              <w:t>Debt raising costs</w:t>
            </w:r>
          </w:p>
        </w:tc>
        <w:tc>
          <w:tcPr>
            <w:tcW w:w="1131"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31"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31"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r>
      <w:tr w:rsidR="000B7EF2" w:rsidRPr="00B0628E" w:rsidTr="003A108A">
        <w:tc>
          <w:tcPr>
            <w:tcW w:w="2731" w:type="dxa"/>
            <w:vAlign w:val="center"/>
          </w:tcPr>
          <w:p w:rsidR="000B7EF2" w:rsidRPr="00B46EDB" w:rsidRDefault="000B7EF2" w:rsidP="00E47FE1">
            <w:pPr>
              <w:keepNext/>
              <w:rPr>
                <w:rFonts w:ascii="Arial Narrow" w:hAnsi="Arial Narrow"/>
                <w:b/>
                <w:sz w:val="20"/>
              </w:rPr>
            </w:pPr>
            <w:r>
              <w:rPr>
                <w:rFonts w:ascii="Arial Narrow" w:hAnsi="Arial Narrow" w:cs="Tahoma"/>
                <w:b/>
                <w:bCs/>
                <w:color w:val="000000"/>
                <w:sz w:val="20"/>
              </w:rPr>
              <w:t>Total Operating Expenditure</w:t>
            </w:r>
          </w:p>
        </w:tc>
        <w:tc>
          <w:tcPr>
            <w:tcW w:w="1131"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30.6 </w:t>
            </w:r>
          </w:p>
        </w:tc>
        <w:tc>
          <w:tcPr>
            <w:tcW w:w="1131"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30.7 </w:t>
            </w:r>
          </w:p>
        </w:tc>
        <w:tc>
          <w:tcPr>
            <w:tcW w:w="1131"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32.4 </w:t>
            </w:r>
          </w:p>
        </w:tc>
        <w:tc>
          <w:tcPr>
            <w:tcW w:w="1174"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34.3 </w:t>
            </w:r>
          </w:p>
        </w:tc>
        <w:tc>
          <w:tcPr>
            <w:tcW w:w="1174"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35.1 </w:t>
            </w:r>
          </w:p>
        </w:tc>
      </w:tr>
    </w:tbl>
    <w:p w:rsidR="003A1D1B" w:rsidRDefault="00C17801" w:rsidP="003A1D1B">
      <w:pPr>
        <w:pStyle w:val="BodyText"/>
      </w:pPr>
      <w:r>
        <w:t xml:space="preserve">APA </w:t>
      </w:r>
      <w:proofErr w:type="spellStart"/>
      <w:r>
        <w:t>GasNet</w:t>
      </w:r>
      <w:r w:rsidR="009F0595">
        <w:t>’s</w:t>
      </w:r>
      <w:proofErr w:type="spellEnd"/>
      <w:r w:rsidR="00F826FC">
        <w:t xml:space="preserve"> </w:t>
      </w:r>
      <w:r w:rsidR="00325026">
        <w:t xml:space="preserve">forecast of </w:t>
      </w:r>
      <w:r w:rsidR="003A1D1B">
        <w:t xml:space="preserve">operating expenditure for the access arrangement period </w:t>
      </w:r>
      <w:r w:rsidR="00325026">
        <w:t xml:space="preserve">has been prepared </w:t>
      </w:r>
      <w:r w:rsidR="003A1D1B">
        <w:t>using the base year methodology.  This methodology involves the following steps:</w:t>
      </w:r>
    </w:p>
    <w:p w:rsidR="003A1D1B" w:rsidRDefault="003A1D1B" w:rsidP="003A1D1B">
      <w:pPr>
        <w:pStyle w:val="ListBullet"/>
      </w:pPr>
      <w:r>
        <w:t>Selection of an appropriate base year in which to measure costs;</w:t>
      </w:r>
    </w:p>
    <w:p w:rsidR="003A1D1B" w:rsidRDefault="003A1D1B" w:rsidP="003A1D1B">
      <w:pPr>
        <w:pStyle w:val="ListBullet"/>
      </w:pPr>
      <w:r>
        <w:t xml:space="preserve">Modification of the base year costs to ensure that all costs required for future operation of the </w:t>
      </w:r>
      <w:r w:rsidR="0028260E">
        <w:t xml:space="preserve">pipeline </w:t>
      </w:r>
      <w:r>
        <w:t xml:space="preserve">are added to the base year costs, and all costs in the base year costs which are not relevant to future operation of the </w:t>
      </w:r>
      <w:r w:rsidR="0028260E">
        <w:t xml:space="preserve">pipeline </w:t>
      </w:r>
      <w:r>
        <w:t>are subtracted from the base year costs;</w:t>
      </w:r>
    </w:p>
    <w:p w:rsidR="003A1D1B" w:rsidRDefault="003A1D1B" w:rsidP="003A1D1B">
      <w:pPr>
        <w:pStyle w:val="ListBullet"/>
      </w:pPr>
      <w:r>
        <w:t xml:space="preserve">Modification of base year costs as required to reflect changed consumer numbers, additional </w:t>
      </w:r>
      <w:r w:rsidR="0028260E">
        <w:t xml:space="preserve">pipeline </w:t>
      </w:r>
      <w:r>
        <w:t>facilities required to supply gas to these additional consumers, and increased loads from existing consumers;</w:t>
      </w:r>
    </w:p>
    <w:p w:rsidR="003A1D1B" w:rsidRDefault="003A1D1B" w:rsidP="003A1D1B">
      <w:pPr>
        <w:pStyle w:val="ListBullet"/>
      </w:pPr>
      <w:r>
        <w:t>Modification of the base year costs to reflect changes in input costs anticipated over the access arrangement period; and</w:t>
      </w:r>
    </w:p>
    <w:p w:rsidR="003A1D1B" w:rsidRDefault="003A1D1B" w:rsidP="003A1D1B">
      <w:pPr>
        <w:pStyle w:val="ListBullet"/>
      </w:pPr>
      <w:r>
        <w:t>Modification of the base year costs to reflect appropriate productivity improvements.</w:t>
      </w:r>
    </w:p>
    <w:p w:rsidR="0047306B" w:rsidRPr="00F01635" w:rsidRDefault="0047306B" w:rsidP="00770A69">
      <w:pPr>
        <w:pStyle w:val="Heading1"/>
      </w:pPr>
      <w:bookmarkStart w:id="73" w:name="_Ref263943837"/>
      <w:bookmarkStart w:id="74" w:name="_Toc340216063"/>
      <w:r w:rsidRPr="00F01635">
        <w:lastRenderedPageBreak/>
        <w:t>Key performance indicators</w:t>
      </w:r>
      <w:bookmarkEnd w:id="73"/>
      <w:bookmarkEnd w:id="74"/>
    </w:p>
    <w:p w:rsidR="00032E6F" w:rsidRDefault="00032E6F" w:rsidP="003B121C">
      <w:pPr>
        <w:pStyle w:val="BodyText"/>
      </w:pPr>
      <w:r>
        <w:t>Key performance indicators for the access arrangement period</w:t>
      </w:r>
      <w:r>
        <w:rPr>
          <w:rStyle w:val="FootnoteReference"/>
        </w:rPr>
        <w:footnoteReference w:id="11"/>
      </w:r>
      <w:r>
        <w:t xml:space="preserve"> are shown in </w:t>
      </w:r>
      <w:r w:rsidR="00751B94">
        <w:fldChar w:fldCharType="begin"/>
      </w:r>
      <w:r>
        <w:instrText xml:space="preserve"> REF _Ref273373557 \h </w:instrText>
      </w:r>
      <w:r w:rsidR="00751B94">
        <w:fldChar w:fldCharType="separate"/>
      </w:r>
      <w:r w:rsidR="000226EA" w:rsidRPr="00ED73A3">
        <w:rPr>
          <w:iCs/>
        </w:rPr>
        <w:t xml:space="preserve">Table </w:t>
      </w:r>
      <w:r w:rsidR="000226EA">
        <w:rPr>
          <w:bCs/>
          <w:iCs/>
          <w:noProof/>
        </w:rPr>
        <w:t>6</w:t>
      </w:r>
      <w:r w:rsidR="000226EA">
        <w:rPr>
          <w:iCs/>
        </w:rPr>
        <w:t>.</w:t>
      </w:r>
      <w:r w:rsidR="000226EA">
        <w:rPr>
          <w:iCs/>
          <w:noProof/>
        </w:rPr>
        <w:t>1</w:t>
      </w:r>
      <w:r w:rsidR="00751B94">
        <w:fldChar w:fldCharType="end"/>
      </w:r>
      <w:r>
        <w:t xml:space="preserve"> below.</w:t>
      </w:r>
    </w:p>
    <w:p w:rsidR="003B121C" w:rsidRPr="00ED73A3" w:rsidRDefault="003B121C" w:rsidP="003B121C">
      <w:pPr>
        <w:pStyle w:val="Caption"/>
        <w:rPr>
          <w:bCs w:val="0"/>
          <w:iCs/>
          <w:sz w:val="22"/>
        </w:rPr>
      </w:pPr>
      <w:bookmarkStart w:id="76" w:name="_Ref273373557"/>
      <w:r w:rsidRPr="00ED73A3">
        <w:rPr>
          <w:bCs w:val="0"/>
          <w:iCs/>
          <w:sz w:val="22"/>
        </w:rPr>
        <w:t xml:space="preserve">Table </w:t>
      </w:r>
      <w:r w:rsidR="00751B94">
        <w:rPr>
          <w:bCs w:val="0"/>
          <w:iCs/>
        </w:rPr>
        <w:fldChar w:fldCharType="begin"/>
      </w:r>
      <w:r w:rsidR="00BA6B4B">
        <w:rPr>
          <w:bCs w:val="0"/>
          <w:iCs/>
          <w:sz w:val="22"/>
        </w:rPr>
        <w:instrText xml:space="preserve"> STYLEREF 1 \s </w:instrText>
      </w:r>
      <w:r w:rsidR="00751B94">
        <w:rPr>
          <w:bCs w:val="0"/>
          <w:iCs/>
        </w:rPr>
        <w:fldChar w:fldCharType="separate"/>
      </w:r>
      <w:r w:rsidR="000226EA">
        <w:rPr>
          <w:bCs w:val="0"/>
          <w:iCs/>
          <w:noProof/>
          <w:sz w:val="22"/>
        </w:rPr>
        <w:t>6</w:t>
      </w:r>
      <w:r w:rsidR="00751B94">
        <w:rPr>
          <w:bCs w:val="0"/>
          <w:iCs/>
        </w:rPr>
        <w:fldChar w:fldCharType="end"/>
      </w:r>
      <w:r w:rsidR="00BA6B4B">
        <w:rPr>
          <w:bCs w:val="0"/>
          <w:iCs/>
          <w:sz w:val="22"/>
        </w:rPr>
        <w:t>.</w:t>
      </w:r>
      <w:r w:rsidR="00751B94">
        <w:rPr>
          <w:bCs w:val="0"/>
          <w:iCs/>
        </w:rPr>
        <w:fldChar w:fldCharType="begin"/>
      </w:r>
      <w:r w:rsidR="00BA6B4B">
        <w:rPr>
          <w:bCs w:val="0"/>
          <w:iCs/>
          <w:sz w:val="22"/>
        </w:rPr>
        <w:instrText xml:space="preserve"> SEQ Table \* ARABIC \s 1 </w:instrText>
      </w:r>
      <w:r w:rsidR="00751B94">
        <w:rPr>
          <w:bCs w:val="0"/>
          <w:iCs/>
        </w:rPr>
        <w:fldChar w:fldCharType="separate"/>
      </w:r>
      <w:r w:rsidR="002E40B2">
        <w:rPr>
          <w:bCs w:val="0"/>
          <w:iCs/>
          <w:noProof/>
          <w:sz w:val="22"/>
        </w:rPr>
        <w:t>1</w:t>
      </w:r>
      <w:r w:rsidR="00751B94">
        <w:rPr>
          <w:bCs w:val="0"/>
          <w:iCs/>
        </w:rPr>
        <w:fldChar w:fldCharType="end"/>
      </w:r>
      <w:bookmarkEnd w:id="76"/>
      <w:r>
        <w:rPr>
          <w:bCs w:val="0"/>
          <w:iCs/>
          <w:sz w:val="22"/>
        </w:rPr>
        <w:t xml:space="preserve"> – </w:t>
      </w:r>
      <w:r w:rsidR="00FC4E96">
        <w:rPr>
          <w:bCs w:val="0"/>
          <w:iCs/>
          <w:sz w:val="22"/>
        </w:rPr>
        <w:t>Key Performance indicators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7"/>
        <w:gridCol w:w="1138"/>
        <w:gridCol w:w="1132"/>
        <w:gridCol w:w="1132"/>
        <w:gridCol w:w="1132"/>
        <w:gridCol w:w="1132"/>
        <w:gridCol w:w="1132"/>
      </w:tblGrid>
      <w:tr w:rsidR="00D6461E" w:rsidRPr="00345167" w:rsidTr="00281545">
        <w:tc>
          <w:tcPr>
            <w:tcW w:w="1707" w:type="dxa"/>
            <w:shd w:val="clear" w:color="auto" w:fill="000000"/>
          </w:tcPr>
          <w:p w:rsidR="00D6461E" w:rsidRPr="00345167" w:rsidRDefault="00D6461E" w:rsidP="00281545">
            <w:pPr>
              <w:jc w:val="both"/>
              <w:rPr>
                <w:rFonts w:ascii="Arial Narrow" w:hAnsi="Arial Narrow"/>
                <w:b/>
                <w:sz w:val="20"/>
              </w:rPr>
            </w:pPr>
            <w:r w:rsidRPr="00345167">
              <w:rPr>
                <w:rFonts w:ascii="Arial Narrow" w:hAnsi="Arial Narrow"/>
                <w:b/>
                <w:sz w:val="20"/>
              </w:rPr>
              <w:t>Indicator</w:t>
            </w:r>
          </w:p>
        </w:tc>
        <w:tc>
          <w:tcPr>
            <w:tcW w:w="1138" w:type="dxa"/>
            <w:shd w:val="clear" w:color="auto" w:fill="000000"/>
          </w:tcPr>
          <w:p w:rsidR="00D6461E" w:rsidRPr="00345167" w:rsidRDefault="00D6461E" w:rsidP="00281545">
            <w:pPr>
              <w:jc w:val="center"/>
              <w:rPr>
                <w:rFonts w:ascii="Arial Narrow" w:hAnsi="Arial Narrow"/>
                <w:b/>
                <w:sz w:val="20"/>
              </w:rPr>
            </w:pPr>
            <w:r w:rsidRPr="00345167">
              <w:rPr>
                <w:rFonts w:ascii="Arial Narrow" w:hAnsi="Arial Narrow"/>
                <w:b/>
                <w:sz w:val="20"/>
              </w:rPr>
              <w:t>Unit</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13</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14</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15</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16</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17</w:t>
            </w:r>
          </w:p>
        </w:tc>
      </w:tr>
      <w:tr w:rsidR="00C063F0" w:rsidRPr="00345167" w:rsidTr="00281545">
        <w:tc>
          <w:tcPr>
            <w:tcW w:w="1707" w:type="dxa"/>
          </w:tcPr>
          <w:p w:rsidR="00C063F0" w:rsidRPr="00345167" w:rsidRDefault="00C063F0" w:rsidP="00281545">
            <w:pPr>
              <w:rPr>
                <w:rFonts w:ascii="Arial Narrow" w:hAnsi="Arial Narrow"/>
                <w:sz w:val="20"/>
              </w:rPr>
            </w:pPr>
            <w:r w:rsidRPr="00345167">
              <w:rPr>
                <w:rFonts w:ascii="Arial Narrow" w:hAnsi="Arial Narrow"/>
                <w:sz w:val="20"/>
              </w:rPr>
              <w:t xml:space="preserve">Total Operating Costs per km </w:t>
            </w:r>
          </w:p>
        </w:tc>
        <w:tc>
          <w:tcPr>
            <w:tcW w:w="1138" w:type="dxa"/>
            <w:vAlign w:val="center"/>
          </w:tcPr>
          <w:p w:rsidR="00C063F0" w:rsidRPr="00345167" w:rsidRDefault="00C063F0" w:rsidP="00281545">
            <w:pPr>
              <w:jc w:val="center"/>
              <w:rPr>
                <w:rFonts w:ascii="Arial Narrow" w:hAnsi="Arial Narrow"/>
                <w:sz w:val="20"/>
              </w:rPr>
            </w:pPr>
            <w:r>
              <w:rPr>
                <w:rFonts w:ascii="Arial Narrow" w:hAnsi="Arial Narrow" w:cs="Tahoma"/>
                <w:color w:val="000000"/>
                <w:sz w:val="20"/>
              </w:rPr>
              <w:t>$/km</w:t>
            </w:r>
          </w:p>
        </w:tc>
        <w:tc>
          <w:tcPr>
            <w:tcW w:w="1132" w:type="dxa"/>
            <w:vAlign w:val="center"/>
          </w:tcPr>
          <w:p w:rsidR="00C063F0" w:rsidRPr="007714A8" w:rsidRDefault="00E10DCB" w:rsidP="007E0CE7">
            <w:pPr>
              <w:jc w:val="center"/>
              <w:rPr>
                <w:rFonts w:ascii="Arial Narrow" w:hAnsi="Arial Narrow"/>
                <w:sz w:val="20"/>
              </w:rPr>
            </w:pPr>
            <w:r w:rsidRPr="001A2C37">
              <w:rPr>
                <w:rFonts w:cs="Arial"/>
                <w:sz w:val="20"/>
                <w:lang w:eastAsia="en-AU"/>
              </w:rPr>
              <w:t>15</w:t>
            </w:r>
            <w:r>
              <w:rPr>
                <w:rFonts w:cs="Arial"/>
                <w:sz w:val="20"/>
                <w:lang w:eastAsia="en-AU"/>
              </w:rPr>
              <w:t xml:space="preserve"> </w:t>
            </w:r>
            <w:r w:rsidRPr="001A2C37">
              <w:rPr>
                <w:rFonts w:cs="Arial"/>
                <w:sz w:val="20"/>
                <w:lang w:eastAsia="en-AU"/>
              </w:rPr>
              <w:t>344</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15</w:t>
            </w:r>
            <w:r>
              <w:rPr>
                <w:rFonts w:cs="Arial"/>
                <w:sz w:val="20"/>
                <w:lang w:eastAsia="en-AU"/>
              </w:rPr>
              <w:t> </w:t>
            </w:r>
            <w:r w:rsidRPr="001A2C37">
              <w:rPr>
                <w:rFonts w:cs="Arial"/>
                <w:sz w:val="20"/>
                <w:lang w:eastAsia="en-AU"/>
              </w:rPr>
              <w:t>395</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16</w:t>
            </w:r>
            <w:r>
              <w:rPr>
                <w:rFonts w:cs="Arial"/>
                <w:sz w:val="20"/>
                <w:lang w:eastAsia="en-AU"/>
              </w:rPr>
              <w:t> </w:t>
            </w:r>
            <w:r w:rsidRPr="001A2C37">
              <w:rPr>
                <w:rFonts w:cs="Arial"/>
                <w:sz w:val="20"/>
                <w:lang w:eastAsia="en-AU"/>
              </w:rPr>
              <w:t>247</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17</w:t>
            </w:r>
            <w:r>
              <w:rPr>
                <w:rFonts w:cs="Arial"/>
                <w:sz w:val="20"/>
                <w:lang w:eastAsia="en-AU"/>
              </w:rPr>
              <w:t> </w:t>
            </w:r>
            <w:r w:rsidRPr="001A2C37">
              <w:rPr>
                <w:rFonts w:cs="Arial"/>
                <w:sz w:val="20"/>
                <w:lang w:eastAsia="en-AU"/>
              </w:rPr>
              <w:t>200</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17601</w:t>
            </w:r>
            <w:r>
              <w:rPr>
                <w:rFonts w:cs="Arial"/>
                <w:sz w:val="20"/>
                <w:lang w:eastAsia="en-AU"/>
              </w:rPr>
              <w:t xml:space="preserve"> </w:t>
            </w:r>
          </w:p>
        </w:tc>
      </w:tr>
      <w:tr w:rsidR="00C063F0" w:rsidRPr="00345167" w:rsidTr="00281545">
        <w:tc>
          <w:tcPr>
            <w:tcW w:w="1707" w:type="dxa"/>
          </w:tcPr>
          <w:p w:rsidR="00C063F0" w:rsidRPr="00345167" w:rsidRDefault="00C063F0" w:rsidP="00281545">
            <w:pPr>
              <w:rPr>
                <w:rFonts w:ascii="Arial Narrow" w:hAnsi="Arial Narrow"/>
                <w:sz w:val="20"/>
              </w:rPr>
            </w:pPr>
            <w:r w:rsidRPr="00345167">
              <w:rPr>
                <w:rFonts w:ascii="Arial Narrow" w:hAnsi="Arial Narrow"/>
                <w:sz w:val="20"/>
              </w:rPr>
              <w:t xml:space="preserve">Total Operating Costs per </w:t>
            </w:r>
            <w:proofErr w:type="spellStart"/>
            <w:r w:rsidRPr="00345167">
              <w:rPr>
                <w:rFonts w:ascii="Arial Narrow" w:hAnsi="Arial Narrow"/>
                <w:sz w:val="20"/>
              </w:rPr>
              <w:t>mmkm</w:t>
            </w:r>
            <w:proofErr w:type="spellEnd"/>
          </w:p>
        </w:tc>
        <w:tc>
          <w:tcPr>
            <w:tcW w:w="1138" w:type="dxa"/>
            <w:vAlign w:val="center"/>
          </w:tcPr>
          <w:p w:rsidR="00C063F0" w:rsidRPr="00345167" w:rsidRDefault="00C063F0" w:rsidP="00281545">
            <w:pPr>
              <w:jc w:val="center"/>
              <w:rPr>
                <w:rFonts w:ascii="Arial Narrow" w:hAnsi="Arial Narrow"/>
                <w:sz w:val="20"/>
              </w:rPr>
            </w:pPr>
            <w:r>
              <w:rPr>
                <w:rFonts w:ascii="Arial Narrow" w:hAnsi="Arial Narrow" w:cs="Tahoma"/>
                <w:color w:val="000000"/>
                <w:sz w:val="20"/>
              </w:rPr>
              <w:t>$/</w:t>
            </w:r>
            <w:proofErr w:type="spellStart"/>
            <w:r>
              <w:rPr>
                <w:rFonts w:ascii="Arial Narrow" w:hAnsi="Arial Narrow" w:cs="Tahoma"/>
                <w:color w:val="000000"/>
                <w:sz w:val="20"/>
              </w:rPr>
              <w:t>mmkm</w:t>
            </w:r>
            <w:proofErr w:type="spellEnd"/>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39.82</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39.95</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42.16</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44.63</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45.67</w:t>
            </w:r>
          </w:p>
        </w:tc>
      </w:tr>
    </w:tbl>
    <w:p w:rsidR="0047306B" w:rsidRDefault="0047306B" w:rsidP="0047306B">
      <w:pPr>
        <w:pStyle w:val="BodyText"/>
      </w:pPr>
    </w:p>
    <w:p w:rsidR="0047306B" w:rsidRPr="0047306B" w:rsidRDefault="0047306B" w:rsidP="00770A69">
      <w:pPr>
        <w:pStyle w:val="Heading1"/>
      </w:pPr>
      <w:bookmarkStart w:id="77" w:name="_Ref263943844"/>
      <w:bookmarkStart w:id="78" w:name="_Toc340216064"/>
      <w:r>
        <w:lastRenderedPageBreak/>
        <w:t>R</w:t>
      </w:r>
      <w:r w:rsidRPr="0047306B">
        <w:t>ate of return</w:t>
      </w:r>
      <w:bookmarkEnd w:id="77"/>
      <w:bookmarkEnd w:id="78"/>
    </w:p>
    <w:p w:rsidR="00B64C21" w:rsidRDefault="004E2CE4" w:rsidP="00B64C21">
      <w:pPr>
        <w:pStyle w:val="BodyText"/>
      </w:pPr>
      <w:r>
        <w:t xml:space="preserve">The rate of return is derived using </w:t>
      </w:r>
      <w:r w:rsidR="00C52A86">
        <w:t xml:space="preserve">a nominal vanilla weighted average cost of capital (WACC). </w:t>
      </w:r>
      <w:r w:rsidR="00B64C21">
        <w:t xml:space="preserve">The formula </w:t>
      </w:r>
      <w:r w:rsidR="00CD5558">
        <w:t xml:space="preserve">it </w:t>
      </w:r>
      <w:r w:rsidR="00B64C21">
        <w:t xml:space="preserve">used to derive the nominal vanilla WACC is set out below. </w:t>
      </w:r>
    </w:p>
    <w:p w:rsidR="00B64C21" w:rsidRPr="007A27F5" w:rsidRDefault="00B64C21" w:rsidP="00B64C21">
      <w:pPr>
        <w:pStyle w:val="BodyText"/>
        <w:ind w:firstLine="567"/>
        <w:rPr>
          <w:rFonts w:cs="Arial"/>
          <w:i/>
          <w:iCs/>
          <w:sz w:val="30"/>
          <w:szCs w:val="30"/>
          <w:lang w:eastAsia="en-AU"/>
        </w:rPr>
      </w:pPr>
      <w:r w:rsidRPr="007A27F5">
        <w:rPr>
          <w:rFonts w:cs="Arial"/>
          <w:i/>
          <w:iCs/>
          <w:sz w:val="30"/>
          <w:szCs w:val="30"/>
          <w:lang w:eastAsia="en-AU"/>
        </w:rPr>
        <w:t xml:space="preserve">WACC </w:t>
      </w:r>
      <w:r w:rsidRPr="007A27F5">
        <w:rPr>
          <w:rFonts w:eastAsia="SymbolMT" w:cs="Arial"/>
          <w:sz w:val="30"/>
          <w:szCs w:val="30"/>
          <w:lang w:eastAsia="en-AU"/>
        </w:rPr>
        <w:t xml:space="preserve">= </w:t>
      </w:r>
      <w:proofErr w:type="spellStart"/>
      <w:r w:rsidRPr="007A27F5">
        <w:rPr>
          <w:rFonts w:cs="Arial"/>
          <w:i/>
          <w:iCs/>
          <w:sz w:val="30"/>
          <w:szCs w:val="30"/>
          <w:lang w:eastAsia="en-AU"/>
        </w:rPr>
        <w:t>K</w:t>
      </w:r>
      <w:r w:rsidRPr="007A27F5">
        <w:rPr>
          <w:rFonts w:cs="Arial"/>
          <w:i/>
          <w:iCs/>
          <w:sz w:val="30"/>
          <w:szCs w:val="30"/>
          <w:vertAlign w:val="subscript"/>
          <w:lang w:eastAsia="en-AU"/>
        </w:rPr>
        <w:t>e</w:t>
      </w:r>
      <w:proofErr w:type="spellEnd"/>
      <w:r w:rsidRPr="007A27F5">
        <w:rPr>
          <w:rFonts w:cs="Arial"/>
          <w:i/>
          <w:iCs/>
          <w:sz w:val="30"/>
          <w:szCs w:val="30"/>
          <w:lang w:eastAsia="en-AU"/>
        </w:rPr>
        <w:t xml:space="preserve"> </w:t>
      </w:r>
      <w:r w:rsidRPr="007A27F5">
        <w:rPr>
          <w:rFonts w:cs="Arial"/>
          <w:i/>
          <w:iCs/>
          <w:position w:val="-24"/>
          <w:sz w:val="30"/>
          <w:szCs w:val="30"/>
          <w:lang w:eastAsia="en-AU"/>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3.6pt;height:32.6pt" o:ole="">
            <v:imagedata r:id="rId12" o:title=""/>
          </v:shape>
          <o:OLEObject Type="Embed" ProgID="Equation.3" ShapeID="_x0000_i1105" DrawAspect="Content" ObjectID="_1428325603" r:id="rId13"/>
        </w:object>
      </w:r>
      <w:r w:rsidRPr="007A27F5">
        <w:rPr>
          <w:rFonts w:cs="Arial"/>
          <w:i/>
          <w:iCs/>
          <w:sz w:val="30"/>
          <w:szCs w:val="30"/>
          <w:lang w:eastAsia="en-AU"/>
        </w:rPr>
        <w:t xml:space="preserve">+ </w:t>
      </w:r>
      <w:proofErr w:type="spellStart"/>
      <w:proofErr w:type="gramStart"/>
      <w:r w:rsidRPr="007A27F5">
        <w:rPr>
          <w:rFonts w:cs="Arial"/>
          <w:i/>
          <w:iCs/>
          <w:sz w:val="30"/>
          <w:szCs w:val="30"/>
          <w:lang w:eastAsia="en-AU"/>
        </w:rPr>
        <w:t>K</w:t>
      </w:r>
      <w:r w:rsidRPr="007A27F5">
        <w:rPr>
          <w:rFonts w:cs="Arial"/>
          <w:i/>
          <w:iCs/>
          <w:sz w:val="30"/>
          <w:szCs w:val="30"/>
          <w:vertAlign w:val="subscript"/>
          <w:lang w:eastAsia="en-AU"/>
        </w:rPr>
        <w:t>d</w:t>
      </w:r>
      <w:proofErr w:type="spellEnd"/>
      <w:proofErr w:type="gramEnd"/>
      <w:r w:rsidRPr="007A27F5">
        <w:rPr>
          <w:rFonts w:cs="Arial"/>
          <w:i/>
          <w:iCs/>
          <w:sz w:val="30"/>
          <w:szCs w:val="30"/>
          <w:vertAlign w:val="subscript"/>
          <w:lang w:eastAsia="en-AU"/>
        </w:rPr>
        <w:t xml:space="preserve">  </w:t>
      </w:r>
      <w:r w:rsidRPr="007A27F5">
        <w:rPr>
          <w:rFonts w:cs="Arial"/>
          <w:i/>
          <w:iCs/>
          <w:position w:val="-24"/>
          <w:sz w:val="30"/>
          <w:szCs w:val="30"/>
          <w:lang w:eastAsia="en-AU"/>
        </w:rPr>
        <w:object w:dxaOrig="300" w:dyaOrig="620">
          <v:shape id="_x0000_i1106" type="#_x0000_t75" style="width:14.95pt;height:32.6pt" o:ole="">
            <v:imagedata r:id="rId14" o:title=""/>
          </v:shape>
          <o:OLEObject Type="Embed" ProgID="Equation.3" ShapeID="_x0000_i1106" DrawAspect="Content" ObjectID="_1428325604" r:id="rId15"/>
        </w:object>
      </w:r>
    </w:p>
    <w:p w:rsidR="00B64C21" w:rsidRDefault="00B64C21" w:rsidP="00B64C21">
      <w:pPr>
        <w:pStyle w:val="BodyText"/>
      </w:pPr>
      <w:proofErr w:type="gramStart"/>
      <w:r w:rsidRPr="007A27F5">
        <w:t>where</w:t>
      </w:r>
      <w:proofErr w:type="gramEnd"/>
      <w:r w:rsidRPr="007A27F5">
        <w:t>:</w:t>
      </w:r>
    </w:p>
    <w:tbl>
      <w:tblPr>
        <w:tblW w:w="0" w:type="auto"/>
        <w:tblLook w:val="01E0"/>
      </w:tblPr>
      <w:tblGrid>
        <w:gridCol w:w="1951"/>
        <w:gridCol w:w="6486"/>
      </w:tblGrid>
      <w:tr w:rsidR="00B64C21" w:rsidTr="00DC1337">
        <w:tc>
          <w:tcPr>
            <w:tcW w:w="1951" w:type="dxa"/>
            <w:shd w:val="clear" w:color="auto" w:fill="auto"/>
          </w:tcPr>
          <w:p w:rsidR="00B64C21" w:rsidRDefault="00B64C21" w:rsidP="00B64C21">
            <w:pPr>
              <w:pStyle w:val="BodyText"/>
            </w:pPr>
            <w:proofErr w:type="spellStart"/>
            <w:r w:rsidRPr="00DC1337">
              <w:rPr>
                <w:i/>
                <w:iCs/>
                <w:sz w:val="30"/>
                <w:szCs w:val="30"/>
                <w:lang w:eastAsia="en-AU"/>
              </w:rPr>
              <w:t>K</w:t>
            </w:r>
            <w:r w:rsidRPr="00DC1337">
              <w:rPr>
                <w:i/>
                <w:iCs/>
                <w:sz w:val="30"/>
                <w:szCs w:val="30"/>
                <w:vertAlign w:val="subscript"/>
                <w:lang w:eastAsia="en-AU"/>
              </w:rPr>
              <w:t>e</w:t>
            </w:r>
            <w:proofErr w:type="spellEnd"/>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equity or cost of equity</w:t>
            </w:r>
          </w:p>
        </w:tc>
      </w:tr>
      <w:tr w:rsidR="00B64C21" w:rsidTr="00DC1337">
        <w:tc>
          <w:tcPr>
            <w:tcW w:w="1951" w:type="dxa"/>
            <w:shd w:val="clear" w:color="auto" w:fill="auto"/>
          </w:tcPr>
          <w:p w:rsidR="00B64C21" w:rsidRDefault="00B64C21" w:rsidP="00B64C21">
            <w:pPr>
              <w:pStyle w:val="BodyText"/>
            </w:pPr>
            <w:proofErr w:type="spellStart"/>
            <w:r w:rsidRPr="00DC1337">
              <w:rPr>
                <w:i/>
                <w:iCs/>
                <w:sz w:val="30"/>
                <w:szCs w:val="30"/>
                <w:lang w:eastAsia="en-AU"/>
              </w:rPr>
              <w:t>K</w:t>
            </w:r>
            <w:r w:rsidRPr="00DC1337">
              <w:rPr>
                <w:i/>
                <w:iCs/>
                <w:sz w:val="30"/>
                <w:szCs w:val="30"/>
                <w:vertAlign w:val="subscript"/>
                <w:lang w:eastAsia="en-AU"/>
              </w:rPr>
              <w:t>d</w:t>
            </w:r>
            <w:proofErr w:type="spellEnd"/>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debt or cost of debt</w: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Cs w:val="22"/>
                <w:lang w:eastAsia="en-AU"/>
              </w:rPr>
              <w:object w:dxaOrig="279" w:dyaOrig="620">
                <v:shape id="_x0000_i1107" type="#_x0000_t75" style="width:13.6pt;height:32.6pt" o:ole="">
                  <v:imagedata r:id="rId12" o:title=""/>
                </v:shape>
                <o:OLEObject Type="Embed" ProgID="Equation.3" ShapeID="_x0000_i1107" DrawAspect="Content" ObjectID="_1428325605" r:id="rId16"/>
              </w:object>
            </w:r>
            <w:r w:rsidRPr="00DC1337">
              <w:rPr>
                <w:rFonts w:cs="Arial"/>
                <w:szCs w:val="22"/>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 xml:space="preserve">the market value of equity as a proportion of the market value of equity  and debt, which is 1 – </w:t>
            </w:r>
            <w:r w:rsidRPr="00DC1337">
              <w:rPr>
                <w:rFonts w:cs="Arial"/>
                <w:i/>
                <w:iCs/>
                <w:position w:val="-24"/>
                <w:szCs w:val="22"/>
                <w:lang w:eastAsia="en-AU"/>
              </w:rPr>
              <w:object w:dxaOrig="300" w:dyaOrig="620">
                <v:shape id="_x0000_i1108" type="#_x0000_t75" style="width:14.95pt;height:32.6pt" o:ole="">
                  <v:imagedata r:id="rId14" o:title=""/>
                </v:shape>
                <o:OLEObject Type="Embed" ProgID="Equation.3" ShapeID="_x0000_i1108" DrawAspect="Content" ObjectID="_1428325606" r:id="rId17"/>
              </w:objec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 w:val="30"/>
                <w:szCs w:val="30"/>
                <w:lang w:eastAsia="en-AU"/>
              </w:rPr>
              <w:object w:dxaOrig="300" w:dyaOrig="620">
                <v:shape id="_x0000_i1109" type="#_x0000_t75" style="width:14.95pt;height:32.6pt" o:ole="">
                  <v:imagedata r:id="rId14" o:title=""/>
                </v:shape>
                <o:OLEObject Type="Embed" ProgID="Equation.3" ShapeID="_x0000_i1109" DrawAspect="Content" ObjectID="_1428325607" r:id="rId18"/>
              </w:object>
            </w:r>
            <w:r w:rsidRPr="00DC1337">
              <w:rPr>
                <w:rFonts w:cs="Arial"/>
                <w:sz w:val="24"/>
                <w:szCs w:val="24"/>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the market value of debt as a proportion of the market value of equity and debt</w:t>
            </w:r>
          </w:p>
        </w:tc>
      </w:tr>
    </w:tbl>
    <w:p w:rsidR="00B64C21" w:rsidRPr="007A27F5" w:rsidRDefault="00B64C21" w:rsidP="00B64C21">
      <w:pPr>
        <w:pStyle w:val="BodyText"/>
        <w:rPr>
          <w:rFonts w:eastAsia="SymbolMT" w:cs="Arial"/>
          <w:szCs w:val="22"/>
          <w:lang w:eastAsia="en-AU"/>
        </w:rPr>
      </w:pPr>
      <w:r w:rsidRPr="007A27F5">
        <w:rPr>
          <w:rFonts w:eastAsia="SymbolMT" w:cs="Arial"/>
          <w:szCs w:val="22"/>
          <w:lang w:eastAsia="en-AU"/>
        </w:rPr>
        <w:t>The cost of equity,</w:t>
      </w:r>
      <w:r w:rsidRPr="007A27F5">
        <w:rPr>
          <w:rFonts w:cs="Arial"/>
          <w:i/>
          <w:iCs/>
          <w:szCs w:val="22"/>
          <w:lang w:eastAsia="en-AU"/>
        </w:rPr>
        <w:t xml:space="preserve"> </w:t>
      </w:r>
      <w:proofErr w:type="spellStart"/>
      <w:r w:rsidRPr="007A27F5">
        <w:rPr>
          <w:rFonts w:cs="Arial"/>
          <w:i/>
          <w:iCs/>
          <w:szCs w:val="22"/>
          <w:lang w:eastAsia="en-AU"/>
        </w:rPr>
        <w:t>K</w:t>
      </w:r>
      <w:r w:rsidRPr="007A27F5">
        <w:rPr>
          <w:rFonts w:cs="Arial"/>
          <w:i/>
          <w:iCs/>
          <w:szCs w:val="22"/>
          <w:vertAlign w:val="subscript"/>
          <w:lang w:eastAsia="en-AU"/>
        </w:rPr>
        <w:t>e</w:t>
      </w:r>
      <w:proofErr w:type="spellEnd"/>
      <w:r w:rsidRPr="007A27F5">
        <w:rPr>
          <w:rFonts w:eastAsia="SymbolMT" w:cs="Arial"/>
          <w:szCs w:val="22"/>
          <w:lang w:eastAsia="en-AU"/>
        </w:rPr>
        <w:t xml:space="preserve">, is calculated with the following formula: </w:t>
      </w:r>
    </w:p>
    <w:p w:rsidR="00B64C21" w:rsidRPr="007A27F5" w:rsidRDefault="00B64C21" w:rsidP="00B64C21">
      <w:pPr>
        <w:pStyle w:val="BodyText"/>
        <w:ind w:left="567"/>
        <w:rPr>
          <w:rFonts w:eastAsia="SymbolMT"/>
          <w:sz w:val="24"/>
          <w:szCs w:val="24"/>
          <w:lang w:eastAsia="en-AU"/>
        </w:rPr>
      </w:pPr>
      <w:proofErr w:type="spellStart"/>
      <w:r w:rsidRPr="007A27F5">
        <w:rPr>
          <w:sz w:val="24"/>
          <w:szCs w:val="24"/>
          <w:lang w:eastAsia="en-AU"/>
        </w:rPr>
        <w:t>K</w:t>
      </w:r>
      <w:r w:rsidRPr="007A27F5">
        <w:rPr>
          <w:sz w:val="24"/>
          <w:szCs w:val="24"/>
          <w:vertAlign w:val="subscript"/>
          <w:lang w:eastAsia="en-AU"/>
        </w:rPr>
        <w:t>e</w:t>
      </w:r>
      <w:proofErr w:type="spellEnd"/>
      <w:r w:rsidRPr="007A27F5">
        <w:rPr>
          <w:sz w:val="24"/>
          <w:szCs w:val="24"/>
          <w:vertAlign w:val="subscript"/>
          <w:lang w:eastAsia="en-AU"/>
        </w:rPr>
        <w:t xml:space="preserve"> </w:t>
      </w:r>
      <w:r w:rsidRPr="007A27F5">
        <w:rPr>
          <w:sz w:val="24"/>
          <w:szCs w:val="24"/>
          <w:lang w:eastAsia="en-AU"/>
        </w:rPr>
        <w:t>=</w:t>
      </w:r>
      <w:proofErr w:type="spellStart"/>
      <w:proofErr w:type="gramStart"/>
      <w:r w:rsidRPr="007A27F5">
        <w:rPr>
          <w:sz w:val="24"/>
          <w:szCs w:val="24"/>
          <w:lang w:eastAsia="en-AU"/>
        </w:rPr>
        <w:t>R</w:t>
      </w:r>
      <w:r w:rsidRPr="007A27F5">
        <w:rPr>
          <w:sz w:val="24"/>
          <w:szCs w:val="24"/>
          <w:vertAlign w:val="subscript"/>
          <w:lang w:eastAsia="en-AU"/>
        </w:rPr>
        <w:t>f</w:t>
      </w:r>
      <w:proofErr w:type="spellEnd"/>
      <w:proofErr w:type="gramEnd"/>
      <w:r w:rsidRPr="007A27F5">
        <w:rPr>
          <w:sz w:val="24"/>
          <w:szCs w:val="24"/>
          <w:lang w:eastAsia="en-AU"/>
        </w:rPr>
        <w:t xml:space="preserve"> + </w:t>
      </w:r>
      <w:proofErr w:type="spellStart"/>
      <w:r w:rsidRPr="007A27F5">
        <w:rPr>
          <w:sz w:val="24"/>
          <w:szCs w:val="24"/>
          <w:lang w:eastAsia="en-AU"/>
        </w:rPr>
        <w:t>β</w:t>
      </w:r>
      <w:r w:rsidRPr="007A27F5">
        <w:rPr>
          <w:sz w:val="24"/>
          <w:szCs w:val="24"/>
          <w:vertAlign w:val="subscript"/>
          <w:lang w:eastAsia="en-AU"/>
        </w:rPr>
        <w:t>e</w:t>
      </w:r>
      <w:proofErr w:type="spellEnd"/>
      <w:r w:rsidRPr="007A27F5">
        <w:rPr>
          <w:sz w:val="24"/>
          <w:szCs w:val="24"/>
          <w:lang w:eastAsia="en-AU"/>
        </w:rPr>
        <w:t xml:space="preserve"> x MRP</w:t>
      </w:r>
    </w:p>
    <w:p w:rsidR="00B64C21" w:rsidRPr="007A27F5" w:rsidRDefault="00B64C21" w:rsidP="00B64C21">
      <w:pPr>
        <w:pStyle w:val="BodyText"/>
        <w:ind w:left="567" w:firstLine="567"/>
      </w:pPr>
      <w:proofErr w:type="gramStart"/>
      <w:r w:rsidRPr="007A27F5">
        <w:t>where</w:t>
      </w:r>
      <w:proofErr w:type="gramEnd"/>
      <w:r w:rsidRPr="007A27F5">
        <w:t>:</w:t>
      </w:r>
    </w:p>
    <w:tbl>
      <w:tblPr>
        <w:tblW w:w="7230" w:type="dxa"/>
        <w:tblInd w:w="1242" w:type="dxa"/>
        <w:tblLook w:val="01E0"/>
      </w:tblPr>
      <w:tblGrid>
        <w:gridCol w:w="1560"/>
        <w:gridCol w:w="5670"/>
      </w:tblGrid>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proofErr w:type="spellStart"/>
            <w:r w:rsidRPr="00DC1337">
              <w:rPr>
                <w:rFonts w:cs="Arial"/>
                <w:i/>
                <w:iCs/>
                <w:szCs w:val="22"/>
                <w:lang w:eastAsia="en-AU"/>
              </w:rPr>
              <w:t>R</w:t>
            </w:r>
            <w:r w:rsidRPr="00DC1337">
              <w:rPr>
                <w:rFonts w:cs="Arial"/>
                <w:i/>
                <w:iCs/>
                <w:szCs w:val="22"/>
                <w:vertAlign w:val="subscript"/>
                <w:lang w:eastAsia="en-AU"/>
              </w:rPr>
              <w:t>f</w:t>
            </w:r>
            <w:proofErr w:type="spellEnd"/>
            <w:r w:rsidRPr="00DC1337">
              <w:rPr>
                <w:rFonts w:cs="Arial"/>
                <w:i/>
                <w:iCs/>
                <w:szCs w:val="22"/>
                <w:vertAlign w:val="subscript"/>
                <w:lang w:eastAsia="en-AU"/>
              </w:rPr>
              <w:t xml:space="preserve"> </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 free rate of return</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proofErr w:type="spellStart"/>
            <w:r w:rsidRPr="00DC1337">
              <w:rPr>
                <w:rFonts w:cs="Arial"/>
                <w:i/>
                <w:iCs/>
                <w:szCs w:val="22"/>
                <w:lang w:eastAsia="en-AU"/>
              </w:rPr>
              <w:t>β</w:t>
            </w:r>
            <w:r w:rsidRPr="00DC1337">
              <w:rPr>
                <w:rFonts w:cs="Arial"/>
                <w:i/>
                <w:iCs/>
                <w:szCs w:val="22"/>
                <w:vertAlign w:val="subscript"/>
                <w:lang w:eastAsia="en-AU"/>
              </w:rPr>
              <w:t>e</w:t>
            </w:r>
            <w:proofErr w:type="spellEnd"/>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equity beta</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MRP</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expected market risk premium</w:t>
            </w:r>
          </w:p>
        </w:tc>
      </w:tr>
    </w:tbl>
    <w:p w:rsidR="00B64C21" w:rsidRPr="007A27F5" w:rsidRDefault="00B64C21" w:rsidP="00B64C21">
      <w:pPr>
        <w:pStyle w:val="BodyText"/>
        <w:rPr>
          <w:rFonts w:eastAsia="SymbolMT"/>
          <w:lang w:eastAsia="en-AU"/>
        </w:rPr>
      </w:pPr>
      <w:r w:rsidRPr="007A27F5">
        <w:rPr>
          <w:rFonts w:eastAsia="SymbolMT"/>
          <w:lang w:eastAsia="en-AU"/>
        </w:rPr>
        <w:t xml:space="preserve">The cost of debt, </w:t>
      </w:r>
      <w:proofErr w:type="spellStart"/>
      <w:proofErr w:type="gramStart"/>
      <w:r w:rsidRPr="007A27F5">
        <w:rPr>
          <w:i/>
          <w:iCs/>
          <w:lang w:eastAsia="en-AU"/>
        </w:rPr>
        <w:t>K</w:t>
      </w:r>
      <w:r w:rsidRPr="007A27F5">
        <w:rPr>
          <w:i/>
          <w:iCs/>
          <w:vertAlign w:val="subscript"/>
          <w:lang w:eastAsia="en-AU"/>
        </w:rPr>
        <w:t>d</w:t>
      </w:r>
      <w:proofErr w:type="spellEnd"/>
      <w:proofErr w:type="gramEnd"/>
      <w:r w:rsidRPr="007A27F5">
        <w:rPr>
          <w:rFonts w:eastAsia="SymbolMT"/>
          <w:lang w:eastAsia="en-AU"/>
        </w:rPr>
        <w:t>, is calculated with the following formula:</w:t>
      </w:r>
    </w:p>
    <w:p w:rsidR="00B64C21" w:rsidRPr="00B7139C" w:rsidRDefault="00B64C21" w:rsidP="00B64C21">
      <w:pPr>
        <w:autoSpaceDE w:val="0"/>
        <w:autoSpaceDN w:val="0"/>
        <w:adjustRightInd w:val="0"/>
        <w:rPr>
          <w:rFonts w:eastAsia="SymbolMT"/>
          <w:lang w:eastAsia="en-AU"/>
        </w:rPr>
      </w:pPr>
    </w:p>
    <w:p w:rsidR="00B64C21" w:rsidRPr="007A27F5" w:rsidRDefault="00B64C21" w:rsidP="00B64C21">
      <w:pPr>
        <w:autoSpaceDE w:val="0"/>
        <w:autoSpaceDN w:val="0"/>
        <w:adjustRightInd w:val="0"/>
        <w:ind w:firstLine="567"/>
        <w:rPr>
          <w:rFonts w:cs="Arial"/>
          <w:iCs/>
          <w:sz w:val="24"/>
          <w:szCs w:val="24"/>
          <w:vertAlign w:val="subscript"/>
          <w:lang w:eastAsia="en-AU"/>
        </w:rPr>
      </w:pPr>
      <w:proofErr w:type="spellStart"/>
      <w:proofErr w:type="gramStart"/>
      <w:r w:rsidRPr="007A27F5">
        <w:rPr>
          <w:rFonts w:cs="Arial"/>
          <w:iCs/>
          <w:sz w:val="24"/>
          <w:szCs w:val="24"/>
          <w:lang w:eastAsia="en-AU"/>
        </w:rPr>
        <w:t>K</w:t>
      </w:r>
      <w:r w:rsidRPr="007A27F5">
        <w:rPr>
          <w:rFonts w:cs="Arial"/>
          <w:iCs/>
          <w:sz w:val="24"/>
          <w:szCs w:val="24"/>
          <w:vertAlign w:val="subscript"/>
          <w:lang w:eastAsia="en-AU"/>
        </w:rPr>
        <w:t>d</w:t>
      </w:r>
      <w:proofErr w:type="spellEnd"/>
      <w:proofErr w:type="gramEnd"/>
      <w:r w:rsidRPr="007A27F5">
        <w:rPr>
          <w:rFonts w:cs="Arial"/>
          <w:iCs/>
          <w:sz w:val="24"/>
          <w:szCs w:val="24"/>
          <w:vertAlign w:val="subscript"/>
          <w:lang w:eastAsia="en-AU"/>
        </w:rPr>
        <w:t xml:space="preserve"> = </w:t>
      </w:r>
      <w:proofErr w:type="spellStart"/>
      <w:r w:rsidRPr="007A27F5">
        <w:rPr>
          <w:rFonts w:cs="Arial"/>
          <w:iCs/>
          <w:sz w:val="24"/>
          <w:szCs w:val="24"/>
          <w:lang w:eastAsia="en-AU"/>
        </w:rPr>
        <w:t>R</w:t>
      </w:r>
      <w:r w:rsidRPr="007A27F5">
        <w:rPr>
          <w:rFonts w:cs="Arial"/>
          <w:iCs/>
          <w:sz w:val="24"/>
          <w:szCs w:val="24"/>
          <w:vertAlign w:val="subscript"/>
          <w:lang w:eastAsia="en-AU"/>
        </w:rPr>
        <w:t>f</w:t>
      </w:r>
      <w:proofErr w:type="spellEnd"/>
      <w:r w:rsidRPr="007A27F5">
        <w:rPr>
          <w:rFonts w:cs="Arial"/>
          <w:iCs/>
          <w:sz w:val="24"/>
          <w:szCs w:val="24"/>
          <w:vertAlign w:val="subscript"/>
          <w:lang w:eastAsia="en-AU"/>
        </w:rPr>
        <w:t xml:space="preserve"> </w:t>
      </w:r>
      <w:r w:rsidRPr="007A27F5">
        <w:rPr>
          <w:rFonts w:cs="Arial"/>
          <w:iCs/>
          <w:sz w:val="24"/>
          <w:szCs w:val="24"/>
          <w:lang w:eastAsia="en-AU"/>
        </w:rPr>
        <w:t>+ DRP</w:t>
      </w:r>
    </w:p>
    <w:p w:rsidR="00B64C21" w:rsidRPr="007A27F5" w:rsidRDefault="00B64C21" w:rsidP="00B64C21">
      <w:pPr>
        <w:pStyle w:val="BodyText"/>
        <w:ind w:left="567" w:firstLine="567"/>
      </w:pPr>
      <w:proofErr w:type="gramStart"/>
      <w:r w:rsidRPr="007A27F5">
        <w:t>where</w:t>
      </w:r>
      <w:proofErr w:type="gramEnd"/>
      <w:r w:rsidRPr="007A27F5">
        <w:t>:</w:t>
      </w:r>
    </w:p>
    <w:tbl>
      <w:tblPr>
        <w:tblW w:w="0" w:type="auto"/>
        <w:tblInd w:w="1242" w:type="dxa"/>
        <w:tblLook w:val="01E0"/>
      </w:tblPr>
      <w:tblGrid>
        <w:gridCol w:w="1560"/>
        <w:gridCol w:w="5635"/>
      </w:tblGrid>
      <w:tr w:rsidR="00B64C21" w:rsidTr="00DC1337">
        <w:tc>
          <w:tcPr>
            <w:tcW w:w="1560" w:type="dxa"/>
            <w:shd w:val="clear" w:color="auto" w:fill="auto"/>
          </w:tcPr>
          <w:p w:rsidR="00B64C21" w:rsidRPr="00DC1337" w:rsidRDefault="00B64C21" w:rsidP="00B64C21">
            <w:pPr>
              <w:pStyle w:val="BodyText"/>
              <w:rPr>
                <w:rFonts w:cs="Arial"/>
                <w:szCs w:val="22"/>
              </w:rPr>
            </w:pPr>
            <w:proofErr w:type="spellStart"/>
            <w:r w:rsidRPr="00DC1337">
              <w:rPr>
                <w:rFonts w:cs="Arial"/>
                <w:i/>
                <w:iCs/>
                <w:szCs w:val="22"/>
                <w:lang w:eastAsia="en-AU"/>
              </w:rPr>
              <w:t>R</w:t>
            </w:r>
            <w:r w:rsidRPr="00DC1337">
              <w:rPr>
                <w:rFonts w:cs="Arial"/>
                <w:i/>
                <w:iCs/>
                <w:szCs w:val="22"/>
                <w:vertAlign w:val="subscript"/>
                <w:lang w:eastAsia="en-AU"/>
              </w:rPr>
              <w:t>f</w:t>
            </w:r>
            <w:proofErr w:type="spellEnd"/>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risk-free rate of return</w:t>
            </w:r>
          </w:p>
        </w:tc>
      </w:tr>
      <w:tr w:rsidR="00B64C21" w:rsidTr="00DC1337">
        <w:tc>
          <w:tcPr>
            <w:tcW w:w="1560" w:type="dxa"/>
            <w:shd w:val="clear" w:color="auto" w:fill="auto"/>
          </w:tcPr>
          <w:p w:rsidR="00B64C21" w:rsidRPr="00DC1337" w:rsidRDefault="00B64C21" w:rsidP="00B64C21">
            <w:pPr>
              <w:pStyle w:val="BodyText"/>
              <w:rPr>
                <w:rFonts w:cs="Arial"/>
                <w:szCs w:val="22"/>
              </w:rPr>
            </w:pPr>
            <w:r w:rsidRPr="00DC1337">
              <w:rPr>
                <w:rFonts w:cs="Arial"/>
                <w:i/>
                <w:iCs/>
                <w:szCs w:val="22"/>
                <w:lang w:eastAsia="en-AU"/>
              </w:rPr>
              <w:t>DRP</w:t>
            </w:r>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proofErr w:type="gramStart"/>
            <w:r w:rsidRPr="00DC1337">
              <w:rPr>
                <w:rFonts w:cs="Arial"/>
                <w:szCs w:val="22"/>
                <w:lang w:eastAsia="en-AU"/>
              </w:rPr>
              <w:t>the</w:t>
            </w:r>
            <w:proofErr w:type="gramEnd"/>
            <w:r w:rsidRPr="00DC1337">
              <w:rPr>
                <w:rFonts w:cs="Arial"/>
                <w:szCs w:val="22"/>
                <w:lang w:eastAsia="en-AU"/>
              </w:rPr>
              <w:t xml:space="preserve"> debt risk premium.</w:t>
            </w:r>
          </w:p>
        </w:tc>
      </w:tr>
    </w:tbl>
    <w:p w:rsidR="00B64C21" w:rsidRDefault="00B64C21" w:rsidP="00B64C21">
      <w:pPr>
        <w:pStyle w:val="BodyText"/>
      </w:pPr>
    </w:p>
    <w:p w:rsidR="008C6C05" w:rsidRDefault="00751B94" w:rsidP="00166A0B">
      <w:pPr>
        <w:pStyle w:val="BodyText"/>
      </w:pPr>
      <w:r>
        <w:lastRenderedPageBreak/>
        <w:fldChar w:fldCharType="begin"/>
      </w:r>
      <w:r w:rsidR="008C6C05">
        <w:instrText xml:space="preserve"> REF _Ref273430376 \h </w:instrText>
      </w:r>
      <w:r>
        <w:fldChar w:fldCharType="separate"/>
      </w:r>
      <w:r w:rsidR="000226EA" w:rsidRPr="00987744">
        <w:rPr>
          <w:iCs/>
        </w:rPr>
        <w:t xml:space="preserve">Table </w:t>
      </w:r>
      <w:r w:rsidR="000226EA">
        <w:rPr>
          <w:bCs/>
          <w:iCs/>
          <w:noProof/>
        </w:rPr>
        <w:t>7</w:t>
      </w:r>
      <w:r w:rsidR="000226EA">
        <w:rPr>
          <w:iCs/>
        </w:rPr>
        <w:t>.</w:t>
      </w:r>
      <w:r w:rsidR="000226EA">
        <w:rPr>
          <w:bCs/>
          <w:iCs/>
          <w:noProof/>
        </w:rPr>
        <w:t>1</w:t>
      </w:r>
      <w:r>
        <w:fldChar w:fldCharType="end"/>
      </w:r>
      <w:r w:rsidR="008C6C05">
        <w:t xml:space="preserve"> below sets out proposed input parameters and </w:t>
      </w:r>
      <w:r w:rsidR="00C52A86">
        <w:t xml:space="preserve">the </w:t>
      </w:r>
      <w:r w:rsidR="008C6C05">
        <w:t xml:space="preserve">calculated rate of return used to derive </w:t>
      </w:r>
      <w:r w:rsidR="008F3C7B">
        <w:t xml:space="preserve">APA </w:t>
      </w:r>
      <w:proofErr w:type="spellStart"/>
      <w:r w:rsidR="008F3C7B">
        <w:t>GasNet</w:t>
      </w:r>
      <w:r w:rsidR="009F0595">
        <w:t>’s</w:t>
      </w:r>
      <w:proofErr w:type="spellEnd"/>
      <w:r w:rsidR="007E3098">
        <w:t xml:space="preserve"> </w:t>
      </w:r>
      <w:r w:rsidR="008C6C05">
        <w:t>revenue requirement for the access arrangement period</w:t>
      </w:r>
      <w:r w:rsidR="00C52A86">
        <w:rPr>
          <w:rStyle w:val="FootnoteReference"/>
        </w:rPr>
        <w:footnoteReference w:id="12"/>
      </w:r>
      <w:r w:rsidR="008C6C05">
        <w:t>.</w:t>
      </w:r>
    </w:p>
    <w:p w:rsidR="00987744" w:rsidRPr="00987744" w:rsidRDefault="00987744" w:rsidP="00987744">
      <w:pPr>
        <w:pStyle w:val="Caption"/>
        <w:rPr>
          <w:bCs w:val="0"/>
          <w:iCs/>
          <w:sz w:val="22"/>
        </w:rPr>
      </w:pPr>
      <w:bookmarkStart w:id="79" w:name="_Ref273430376"/>
      <w:proofErr w:type="gramStart"/>
      <w:r w:rsidRPr="00987744">
        <w:rPr>
          <w:bCs w:val="0"/>
          <w:iCs/>
          <w:sz w:val="22"/>
        </w:rPr>
        <w:t xml:space="preserve">Table </w:t>
      </w:r>
      <w:proofErr w:type="gramEnd"/>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0226EA">
        <w:rPr>
          <w:bCs w:val="0"/>
          <w:iCs/>
          <w:noProof/>
          <w:sz w:val="22"/>
        </w:rPr>
        <w:t>7</w:t>
      </w:r>
      <w:r w:rsidR="00751B94">
        <w:rPr>
          <w:bCs w:val="0"/>
          <w:iCs/>
          <w:sz w:val="22"/>
        </w:rPr>
        <w:fldChar w:fldCharType="end"/>
      </w:r>
      <w:proofErr w:type="gramStart"/>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0226EA">
        <w:rPr>
          <w:bCs w:val="0"/>
          <w:iCs/>
          <w:noProof/>
          <w:sz w:val="22"/>
        </w:rPr>
        <w:t>1</w:t>
      </w:r>
      <w:r w:rsidR="00751B94">
        <w:rPr>
          <w:bCs w:val="0"/>
          <w:iCs/>
          <w:sz w:val="22"/>
        </w:rPr>
        <w:fldChar w:fldCharType="end"/>
      </w:r>
      <w:bookmarkEnd w:id="79"/>
      <w:r w:rsidRPr="00987744">
        <w:rPr>
          <w:bCs w:val="0"/>
          <w:iCs/>
          <w:sz w:val="22"/>
        </w:rPr>
        <w:t xml:space="preserve"> – Proposed weighted average cost of capital for the access arrangement period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248"/>
        <w:gridCol w:w="2880"/>
      </w:tblGrid>
      <w:tr w:rsidR="00D6461E" w:rsidRPr="009D0728" w:rsidTr="00281545">
        <w:tc>
          <w:tcPr>
            <w:tcW w:w="4248" w:type="dxa"/>
            <w:tcBorders>
              <w:top w:val="nil"/>
              <w:left w:val="nil"/>
              <w:bottom w:val="nil"/>
              <w:right w:val="nil"/>
            </w:tcBorders>
            <w:shd w:val="clear" w:color="auto" w:fill="333333"/>
          </w:tcPr>
          <w:p w:rsidR="00D6461E" w:rsidRPr="001F6F2E" w:rsidRDefault="00D6461E" w:rsidP="00281545">
            <w:pPr>
              <w:pStyle w:val="BodyText"/>
              <w:keepNext/>
              <w:rPr>
                <w:rFonts w:ascii="Arial Narrow" w:hAnsi="Arial Narrow"/>
                <w:b/>
                <w:bCs/>
                <w:color w:val="FFFFFF"/>
                <w:sz w:val="20"/>
              </w:rPr>
            </w:pPr>
            <w:bookmarkStart w:id="80" w:name="_Ref263943851"/>
            <w:r w:rsidRPr="001F6F2E">
              <w:rPr>
                <w:rFonts w:ascii="Arial Narrow" w:hAnsi="Arial Narrow"/>
                <w:b/>
                <w:bCs/>
                <w:color w:val="FFFFFF"/>
                <w:sz w:val="20"/>
              </w:rPr>
              <w:t>Parameter</w:t>
            </w:r>
          </w:p>
        </w:tc>
        <w:tc>
          <w:tcPr>
            <w:tcW w:w="2880"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Estimate</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Risk free rate</w:t>
            </w:r>
          </w:p>
        </w:tc>
        <w:tc>
          <w:tcPr>
            <w:tcW w:w="2880" w:type="dxa"/>
            <w:vAlign w:val="center"/>
          </w:tcPr>
          <w:p w:rsidR="00C063F0" w:rsidRPr="001C7456" w:rsidRDefault="00C063F0" w:rsidP="006C41B1">
            <w:pPr>
              <w:pStyle w:val="AAtablecolumn1"/>
              <w:jc w:val="center"/>
            </w:pPr>
            <w:r>
              <w:rPr>
                <w:rFonts w:ascii="Arial Narrow" w:hAnsi="Arial Narrow" w:cs="Tahoma"/>
                <w:sz w:val="20"/>
              </w:rPr>
              <w:t>3.22%</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Forecast inflation</w:t>
            </w:r>
          </w:p>
        </w:tc>
        <w:tc>
          <w:tcPr>
            <w:tcW w:w="2880" w:type="dxa"/>
            <w:vAlign w:val="center"/>
          </w:tcPr>
          <w:p w:rsidR="00C063F0" w:rsidRPr="001C7456" w:rsidRDefault="00C063F0" w:rsidP="006C41B1">
            <w:pPr>
              <w:pStyle w:val="AAtablecolumn1"/>
              <w:jc w:val="center"/>
            </w:pPr>
            <w:r>
              <w:rPr>
                <w:rFonts w:ascii="Arial Narrow" w:hAnsi="Arial Narrow" w:cs="Tahoma"/>
                <w:sz w:val="20"/>
              </w:rPr>
              <w:t>2.50%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Real risk free rate</w:t>
            </w:r>
          </w:p>
        </w:tc>
        <w:tc>
          <w:tcPr>
            <w:tcW w:w="2880" w:type="dxa"/>
            <w:vAlign w:val="center"/>
          </w:tcPr>
          <w:p w:rsidR="00C063F0" w:rsidRPr="001C7456" w:rsidRDefault="00C063F0" w:rsidP="00646FF4">
            <w:pPr>
              <w:pStyle w:val="AAtablecolumn1"/>
              <w:jc w:val="center"/>
            </w:pPr>
            <w:r>
              <w:rPr>
                <w:rFonts w:ascii="Arial Narrow" w:hAnsi="Arial Narrow" w:cs="Tahoma"/>
                <w:sz w:val="20"/>
              </w:rPr>
              <w:t>0.70%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Gearing (debt to value)</w:t>
            </w:r>
          </w:p>
        </w:tc>
        <w:tc>
          <w:tcPr>
            <w:tcW w:w="2880" w:type="dxa"/>
            <w:vAlign w:val="center"/>
          </w:tcPr>
          <w:p w:rsidR="00C063F0" w:rsidRPr="001C7456" w:rsidRDefault="00C063F0" w:rsidP="006C41B1">
            <w:pPr>
              <w:pStyle w:val="AAtablecolumn1"/>
              <w:jc w:val="center"/>
            </w:pPr>
            <w:r>
              <w:rPr>
                <w:rFonts w:ascii="Arial Narrow" w:hAnsi="Arial Narrow" w:cs="Tahoma"/>
                <w:sz w:val="20"/>
              </w:rPr>
              <w:t>60%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Debt risk margin</w:t>
            </w:r>
          </w:p>
        </w:tc>
        <w:tc>
          <w:tcPr>
            <w:tcW w:w="2880" w:type="dxa"/>
            <w:vAlign w:val="center"/>
          </w:tcPr>
          <w:p w:rsidR="00C063F0" w:rsidRPr="001C7456" w:rsidRDefault="00C063F0" w:rsidP="006C41B1">
            <w:pPr>
              <w:pStyle w:val="AAtablecolumn1"/>
              <w:jc w:val="center"/>
            </w:pPr>
            <w:r>
              <w:rPr>
                <w:rFonts w:ascii="Arial Narrow" w:hAnsi="Arial Narrow" w:cs="Tahoma"/>
                <w:sz w:val="20"/>
              </w:rPr>
              <w:t>3.46%</w:t>
            </w:r>
          </w:p>
        </w:tc>
      </w:tr>
      <w:tr w:rsidR="00C063F0" w:rsidRPr="009D0728" w:rsidTr="005864F3">
        <w:tc>
          <w:tcPr>
            <w:tcW w:w="4248" w:type="dxa"/>
            <w:vAlign w:val="center"/>
          </w:tcPr>
          <w:p w:rsidR="00C063F0" w:rsidRPr="001F6F2E" w:rsidRDefault="00C063F0" w:rsidP="00281545">
            <w:pPr>
              <w:pStyle w:val="TableBodyTextBold"/>
              <w:keepNext/>
              <w:jc w:val="left"/>
              <w:rPr>
                <w:sz w:val="20"/>
              </w:rPr>
            </w:pPr>
            <w:r>
              <w:rPr>
                <w:rFonts w:cs="Tahoma"/>
                <w:color w:val="000000"/>
                <w:sz w:val="20"/>
              </w:rPr>
              <w:t>Nominal pre-tax cost of debt</w:t>
            </w:r>
          </w:p>
        </w:tc>
        <w:tc>
          <w:tcPr>
            <w:tcW w:w="2880" w:type="dxa"/>
            <w:vAlign w:val="center"/>
          </w:tcPr>
          <w:p w:rsidR="00C063F0" w:rsidRPr="00E25F76" w:rsidRDefault="00C063F0" w:rsidP="006C41B1">
            <w:pPr>
              <w:pStyle w:val="AAtablecolumn1"/>
              <w:jc w:val="center"/>
              <w:rPr>
                <w:b/>
              </w:rPr>
            </w:pPr>
            <w:r>
              <w:rPr>
                <w:rFonts w:ascii="Arial Narrow" w:hAnsi="Arial Narrow" w:cs="Tahoma"/>
                <w:sz w:val="20"/>
              </w:rPr>
              <w:t>6.68%</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Market risk premium</w:t>
            </w:r>
          </w:p>
        </w:tc>
        <w:tc>
          <w:tcPr>
            <w:tcW w:w="2880" w:type="dxa"/>
            <w:vAlign w:val="center"/>
          </w:tcPr>
          <w:p w:rsidR="00C063F0" w:rsidRPr="001C7456" w:rsidRDefault="00DC78BD" w:rsidP="006C41B1">
            <w:pPr>
              <w:pStyle w:val="AAtablecolumn1"/>
              <w:jc w:val="center"/>
            </w:pPr>
            <w:r>
              <w:rPr>
                <w:rFonts w:ascii="Arial Narrow" w:hAnsi="Arial Narrow" w:cs="Tahoma"/>
                <w:sz w:val="20"/>
              </w:rPr>
              <w:t>6.00</w:t>
            </w:r>
            <w:r w:rsidR="00C063F0">
              <w:rPr>
                <w:rFonts w:ascii="Arial Narrow" w:hAnsi="Arial Narrow" w:cs="Tahoma"/>
                <w:sz w:val="20"/>
              </w:rPr>
              <w:t>%</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Equity beta</w:t>
            </w:r>
          </w:p>
        </w:tc>
        <w:tc>
          <w:tcPr>
            <w:tcW w:w="2880" w:type="dxa"/>
            <w:vAlign w:val="center"/>
          </w:tcPr>
          <w:p w:rsidR="00C063F0" w:rsidRPr="001C7456" w:rsidRDefault="00C063F0" w:rsidP="006C41B1">
            <w:pPr>
              <w:pStyle w:val="AAtablecolumn1"/>
              <w:jc w:val="center"/>
            </w:pPr>
            <w:r>
              <w:rPr>
                <w:rFonts w:ascii="Arial Narrow" w:hAnsi="Arial Narrow" w:cs="Tahoma"/>
                <w:sz w:val="20"/>
              </w:rPr>
              <w:t>0.80</w:t>
            </w:r>
          </w:p>
        </w:tc>
      </w:tr>
      <w:tr w:rsidR="00C063F0" w:rsidRPr="009D0728" w:rsidTr="005864F3">
        <w:tc>
          <w:tcPr>
            <w:tcW w:w="4248" w:type="dxa"/>
            <w:vAlign w:val="center"/>
          </w:tcPr>
          <w:p w:rsidR="00C063F0" w:rsidRPr="001F6F2E" w:rsidRDefault="00C063F0" w:rsidP="00281545">
            <w:pPr>
              <w:pStyle w:val="TableBodyTextBold"/>
              <w:keepNext/>
              <w:jc w:val="left"/>
              <w:rPr>
                <w:sz w:val="20"/>
              </w:rPr>
            </w:pPr>
            <w:r>
              <w:rPr>
                <w:rFonts w:cs="Tahoma"/>
                <w:color w:val="000000"/>
                <w:sz w:val="20"/>
              </w:rPr>
              <w:t>Nominal post-tax cost of equity</w:t>
            </w:r>
          </w:p>
        </w:tc>
        <w:tc>
          <w:tcPr>
            <w:tcW w:w="2880" w:type="dxa"/>
            <w:vAlign w:val="center"/>
          </w:tcPr>
          <w:p w:rsidR="00C063F0" w:rsidRPr="00E25F76" w:rsidRDefault="00DC78BD" w:rsidP="00646FF4">
            <w:pPr>
              <w:pStyle w:val="AAtablecolumn1"/>
              <w:jc w:val="center"/>
              <w:rPr>
                <w:b/>
              </w:rPr>
            </w:pPr>
            <w:r>
              <w:rPr>
                <w:rFonts w:ascii="Arial Narrow" w:hAnsi="Arial Narrow" w:cs="Tahoma"/>
                <w:sz w:val="20"/>
              </w:rPr>
              <w:t>8.02</w:t>
            </w:r>
            <w:r w:rsidR="00C063F0">
              <w:rPr>
                <w:rFonts w:ascii="Arial Narrow" w:hAnsi="Arial Narrow" w:cs="Tahoma"/>
                <w:sz w:val="20"/>
              </w:rPr>
              <w:t>%</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Gamma</w:t>
            </w:r>
          </w:p>
        </w:tc>
        <w:tc>
          <w:tcPr>
            <w:tcW w:w="2880" w:type="dxa"/>
            <w:vAlign w:val="center"/>
          </w:tcPr>
          <w:p w:rsidR="00C063F0" w:rsidRPr="001C7456" w:rsidRDefault="00C063F0" w:rsidP="006C41B1">
            <w:pPr>
              <w:pStyle w:val="AAtablecolumn1"/>
              <w:jc w:val="center"/>
            </w:pPr>
            <w:r>
              <w:rPr>
                <w:rFonts w:ascii="Arial Narrow" w:hAnsi="Arial Narrow" w:cs="Tahoma"/>
                <w:sz w:val="20"/>
              </w:rPr>
              <w:t>25%</w:t>
            </w:r>
          </w:p>
        </w:tc>
      </w:tr>
      <w:tr w:rsidR="00C063F0" w:rsidRPr="009D0728" w:rsidTr="005864F3">
        <w:tc>
          <w:tcPr>
            <w:tcW w:w="4248" w:type="dxa"/>
            <w:vAlign w:val="center"/>
          </w:tcPr>
          <w:p w:rsidR="00C063F0" w:rsidRPr="001F6F2E" w:rsidRDefault="00C063F0" w:rsidP="00281545">
            <w:pPr>
              <w:pStyle w:val="TableFooter"/>
              <w:keepNext/>
              <w:rPr>
                <w:b w:val="0"/>
                <w:sz w:val="20"/>
              </w:rPr>
            </w:pPr>
            <w:r>
              <w:rPr>
                <w:rFonts w:cs="Tahoma"/>
                <w:color w:val="000000"/>
                <w:sz w:val="20"/>
              </w:rPr>
              <w:t>Nominal post-tax WACC</w:t>
            </w:r>
          </w:p>
        </w:tc>
        <w:tc>
          <w:tcPr>
            <w:tcW w:w="2880" w:type="dxa"/>
            <w:vAlign w:val="center"/>
          </w:tcPr>
          <w:p w:rsidR="00C063F0" w:rsidRPr="001F6F2E" w:rsidRDefault="00DC78BD" w:rsidP="00281545">
            <w:pPr>
              <w:pStyle w:val="TableBodyTextBold"/>
              <w:rPr>
                <w:sz w:val="20"/>
              </w:rPr>
            </w:pPr>
            <w:r>
              <w:rPr>
                <w:rFonts w:cs="Tahoma"/>
                <w:sz w:val="20"/>
              </w:rPr>
              <w:t>7.22</w:t>
            </w:r>
            <w:r w:rsidR="00C063F0">
              <w:rPr>
                <w:rFonts w:cs="Tahoma"/>
                <w:sz w:val="20"/>
              </w:rPr>
              <w:t>%</w:t>
            </w:r>
          </w:p>
        </w:tc>
      </w:tr>
    </w:tbl>
    <w:p w:rsidR="0047306B" w:rsidRDefault="0047306B" w:rsidP="00770A69">
      <w:pPr>
        <w:pStyle w:val="Heading1"/>
      </w:pPr>
      <w:bookmarkStart w:id="81" w:name="_Toc340216065"/>
      <w:r>
        <w:lastRenderedPageBreak/>
        <w:t>Taxation</w:t>
      </w:r>
      <w:bookmarkEnd w:id="80"/>
      <w:bookmarkEnd w:id="81"/>
    </w:p>
    <w:p w:rsidR="0096788F" w:rsidRDefault="004E2CE4" w:rsidP="0096788F">
      <w:pPr>
        <w:pStyle w:val="BodyText"/>
      </w:pPr>
      <w:r>
        <w:t xml:space="preserve">APA </w:t>
      </w:r>
      <w:proofErr w:type="spellStart"/>
      <w:r>
        <w:t>GasNet’s</w:t>
      </w:r>
      <w:proofErr w:type="spellEnd"/>
      <w:r>
        <w:t xml:space="preserve"> revenue requirement for the access arrangement period is derived using a </w:t>
      </w:r>
      <w:r w:rsidR="003011E4">
        <w:t>post tax framework</w:t>
      </w:r>
      <w:r w:rsidR="007E3098">
        <w:t>.</w:t>
      </w:r>
      <w:r w:rsidR="005310EE">
        <w:rPr>
          <w:rStyle w:val="FootnoteReference"/>
        </w:rPr>
        <w:footnoteReference w:id="13"/>
      </w:r>
      <w:r w:rsidR="003011E4">
        <w:t xml:space="preserve"> This </w:t>
      </w:r>
      <w:r w:rsidR="007E3098">
        <w:t xml:space="preserve">has been calculated based on the Tax Asset </w:t>
      </w:r>
      <w:r w:rsidR="0028260E">
        <w:t>B</w:t>
      </w:r>
      <w:r w:rsidR="007E3098">
        <w:t>ase (TAB) established by the ACCC in the last AA review.</w:t>
      </w:r>
    </w:p>
    <w:p w:rsidR="003011E4" w:rsidRDefault="003011E4" w:rsidP="003011E4">
      <w:pPr>
        <w:pStyle w:val="BodyText"/>
      </w:pPr>
      <w:r>
        <w:t xml:space="preserve">The estimated cost of corporate income tax for each year </w:t>
      </w:r>
      <w:r w:rsidR="00D82239">
        <w:t xml:space="preserve">of the access arrangement period </w:t>
      </w:r>
      <w:r>
        <w:t>(</w:t>
      </w:r>
      <w:proofErr w:type="spellStart"/>
      <w:r>
        <w:t>ETC</w:t>
      </w:r>
      <w:r w:rsidRPr="00E33524">
        <w:rPr>
          <w:vertAlign w:val="subscript"/>
        </w:rPr>
        <w:t>t</w:t>
      </w:r>
      <w:proofErr w:type="spellEnd"/>
      <w:r>
        <w:t>) is calculated in accordance with the following formula:</w:t>
      </w:r>
    </w:p>
    <w:p w:rsidR="003011E4" w:rsidRDefault="003011E4" w:rsidP="003011E4">
      <w:pPr>
        <w:pStyle w:val="BodyText"/>
      </w:pPr>
      <w:proofErr w:type="spellStart"/>
      <w:r>
        <w:t>ETC</w:t>
      </w:r>
      <w:r w:rsidRPr="00E33524">
        <w:rPr>
          <w:vertAlign w:val="subscript"/>
        </w:rPr>
        <w:t>t</w:t>
      </w:r>
      <w:proofErr w:type="spellEnd"/>
      <w:r>
        <w:t xml:space="preserve"> = (</w:t>
      </w:r>
      <w:proofErr w:type="spellStart"/>
      <w:r>
        <w:t>ETI</w:t>
      </w:r>
      <w:r w:rsidRPr="00E33524">
        <w:rPr>
          <w:vertAlign w:val="subscript"/>
        </w:rPr>
        <w:t>t</w:t>
      </w:r>
      <w:proofErr w:type="spellEnd"/>
      <w:r>
        <w:t xml:space="preserve"> × </w:t>
      </w:r>
      <w:proofErr w:type="spellStart"/>
      <w:proofErr w:type="gramStart"/>
      <w:r>
        <w:t>r</w:t>
      </w:r>
      <w:r w:rsidRPr="00090F0C">
        <w:rPr>
          <w:vertAlign w:val="subscript"/>
        </w:rPr>
        <w:t>t</w:t>
      </w:r>
      <w:proofErr w:type="spellEnd"/>
      <w:proofErr w:type="gramEnd"/>
      <w:r>
        <w:t>) (1 – γ)</w:t>
      </w:r>
    </w:p>
    <w:p w:rsidR="003011E4" w:rsidRDefault="003011E4" w:rsidP="003011E4">
      <w:pPr>
        <w:pStyle w:val="BodyText"/>
      </w:pPr>
      <w:r>
        <w:t>Where:</w:t>
      </w:r>
    </w:p>
    <w:tbl>
      <w:tblPr>
        <w:tblW w:w="0" w:type="auto"/>
        <w:tblLook w:val="01E0"/>
      </w:tblPr>
      <w:tblGrid>
        <w:gridCol w:w="828"/>
        <w:gridCol w:w="7609"/>
      </w:tblGrid>
      <w:tr w:rsidR="003011E4" w:rsidTr="00DC1337">
        <w:tc>
          <w:tcPr>
            <w:tcW w:w="828" w:type="dxa"/>
            <w:shd w:val="clear" w:color="auto" w:fill="auto"/>
          </w:tcPr>
          <w:p w:rsidR="003011E4" w:rsidRDefault="003011E4" w:rsidP="0077455F">
            <w:pPr>
              <w:pStyle w:val="BodyText"/>
            </w:pPr>
            <w:proofErr w:type="spellStart"/>
            <w:r>
              <w:t>ETI</w:t>
            </w:r>
            <w:r w:rsidRPr="00DC1337">
              <w:rPr>
                <w:vertAlign w:val="subscript"/>
              </w:rPr>
              <w:t>t</w:t>
            </w:r>
            <w:proofErr w:type="spellEnd"/>
          </w:p>
        </w:tc>
        <w:tc>
          <w:tcPr>
            <w:tcW w:w="7609" w:type="dxa"/>
            <w:shd w:val="clear" w:color="auto" w:fill="auto"/>
          </w:tcPr>
          <w:p w:rsidR="003011E4" w:rsidRDefault="003011E4" w:rsidP="00066F18">
            <w:pPr>
              <w:pStyle w:val="BodyText"/>
            </w:pPr>
            <w:r>
              <w:t xml:space="preserve">is an estimate of the taxable income for regulatory year t that would be earned by a benchmark efficient entity as a result of the provision of regulated services if such an entity, rather than the service provider, operated the business of the service provider, such estimate being determined in </w:t>
            </w:r>
            <w:r w:rsidR="00066F18">
              <w:t>a manner consistent with</w:t>
            </w:r>
            <w:r>
              <w:t xml:space="preserve"> the AER’s post-tax revenue model</w:t>
            </w:r>
          </w:p>
        </w:tc>
      </w:tr>
      <w:tr w:rsidR="003011E4" w:rsidTr="00DC1337">
        <w:tc>
          <w:tcPr>
            <w:tcW w:w="828" w:type="dxa"/>
            <w:shd w:val="clear" w:color="auto" w:fill="auto"/>
          </w:tcPr>
          <w:p w:rsidR="003011E4" w:rsidRDefault="003011E4" w:rsidP="0077455F">
            <w:pPr>
              <w:pStyle w:val="BodyText"/>
            </w:pPr>
            <w:proofErr w:type="spellStart"/>
            <w:r>
              <w:t>r</w:t>
            </w:r>
            <w:r w:rsidRPr="00DC1337">
              <w:rPr>
                <w:vertAlign w:val="subscript"/>
              </w:rPr>
              <w:t>t</w:t>
            </w:r>
            <w:proofErr w:type="spellEnd"/>
          </w:p>
        </w:tc>
        <w:tc>
          <w:tcPr>
            <w:tcW w:w="7609" w:type="dxa"/>
            <w:shd w:val="clear" w:color="auto" w:fill="auto"/>
          </w:tcPr>
          <w:p w:rsidR="003011E4" w:rsidRDefault="003011E4" w:rsidP="0077455F">
            <w:pPr>
              <w:pStyle w:val="BodyText"/>
            </w:pPr>
            <w:r>
              <w:t>is the expected statutory income tax rate for that regulatory year assumed to be 30 per cent</w:t>
            </w:r>
          </w:p>
        </w:tc>
      </w:tr>
      <w:tr w:rsidR="003011E4" w:rsidTr="00DC1337">
        <w:tc>
          <w:tcPr>
            <w:tcW w:w="828" w:type="dxa"/>
            <w:shd w:val="clear" w:color="auto" w:fill="auto"/>
          </w:tcPr>
          <w:p w:rsidR="003011E4" w:rsidRDefault="003011E4" w:rsidP="0077455F">
            <w:pPr>
              <w:pStyle w:val="BodyText"/>
            </w:pPr>
            <w:r>
              <w:t>γ</w:t>
            </w:r>
          </w:p>
        </w:tc>
        <w:tc>
          <w:tcPr>
            <w:tcW w:w="7609" w:type="dxa"/>
            <w:shd w:val="clear" w:color="auto" w:fill="auto"/>
          </w:tcPr>
          <w:p w:rsidR="003011E4" w:rsidRDefault="003011E4" w:rsidP="0054781D">
            <w:pPr>
              <w:pStyle w:val="BodyText"/>
            </w:pPr>
            <w:r>
              <w:t xml:space="preserve">(gamma, the assumed utilisation of imputation credits) is </w:t>
            </w:r>
            <w:r w:rsidR="0054781D">
              <w:t>assumed</w:t>
            </w:r>
            <w:r>
              <w:t xml:space="preserve"> to be 0.2</w:t>
            </w:r>
            <w:r w:rsidR="007E3098">
              <w:t>5</w:t>
            </w:r>
          </w:p>
        </w:tc>
      </w:tr>
    </w:tbl>
    <w:p w:rsidR="00A8652C" w:rsidRDefault="0018342E" w:rsidP="0096788F">
      <w:pPr>
        <w:pStyle w:val="BodyText"/>
      </w:pPr>
      <w:r>
        <w:t xml:space="preserve">Asset class standard lives (in years) or the Australian Tax Office statutory cap </w:t>
      </w:r>
      <w:r w:rsidR="0054781D">
        <w:t xml:space="preserve">were </w:t>
      </w:r>
      <w:r>
        <w:t>us</w:t>
      </w:r>
      <w:r w:rsidR="00386CB0">
        <w:t xml:space="preserve">ed to prepare the </w:t>
      </w:r>
      <w:r w:rsidR="00C17801">
        <w:t xml:space="preserve">APA </w:t>
      </w:r>
      <w:proofErr w:type="spellStart"/>
      <w:r w:rsidR="00C17801">
        <w:t>GasNet</w:t>
      </w:r>
      <w:proofErr w:type="spellEnd"/>
      <w:r w:rsidR="00386CB0">
        <w:t xml:space="preserve"> TAB</w:t>
      </w:r>
      <w:r>
        <w:t xml:space="preserve"> are set out in </w:t>
      </w:r>
      <w:r w:rsidR="001631B1">
        <w:t>Table 3.6</w:t>
      </w:r>
      <w:r w:rsidR="00D6461E">
        <w:t xml:space="preserve"> above</w:t>
      </w:r>
      <w:r>
        <w:t>.</w:t>
      </w:r>
    </w:p>
    <w:p w:rsidR="005D06ED" w:rsidRDefault="005D06ED" w:rsidP="005D06ED">
      <w:pPr>
        <w:pStyle w:val="BodyText"/>
      </w:pPr>
      <w:r>
        <w:t xml:space="preserve">APA </w:t>
      </w:r>
      <w:proofErr w:type="spellStart"/>
      <w:r>
        <w:t>GasNet’s</w:t>
      </w:r>
      <w:proofErr w:type="spellEnd"/>
      <w:r>
        <w:t xml:space="preserve"> tax asset base roll forward for the previous access arrangement period is shown in </w:t>
      </w:r>
      <w:r w:rsidR="00751B94">
        <w:fldChar w:fldCharType="begin"/>
      </w:r>
      <w:r w:rsidR="00C34676">
        <w:instrText xml:space="preserve"> REF _Ref321117535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1</w:t>
      </w:r>
      <w:r w:rsidR="00751B94">
        <w:fldChar w:fldCharType="end"/>
      </w:r>
      <w:r>
        <w:t xml:space="preserve"> below.</w:t>
      </w:r>
    </w:p>
    <w:p w:rsidR="005D06ED" w:rsidRPr="00D82239" w:rsidRDefault="005D06ED" w:rsidP="005D06ED">
      <w:pPr>
        <w:pStyle w:val="Caption"/>
        <w:keepNext/>
        <w:rPr>
          <w:bCs w:val="0"/>
          <w:iCs/>
          <w:sz w:val="22"/>
        </w:rPr>
      </w:pPr>
      <w:bookmarkStart w:id="82" w:name="_Ref321117535"/>
      <w:proofErr w:type="gramStart"/>
      <w:r w:rsidRPr="00D82239">
        <w:rPr>
          <w:bCs w:val="0"/>
          <w:iCs/>
          <w:sz w:val="22"/>
        </w:rPr>
        <w:t xml:space="preserve">Table </w:t>
      </w:r>
      <w:proofErr w:type="gramEnd"/>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0226EA">
        <w:rPr>
          <w:bCs w:val="0"/>
          <w:iCs/>
          <w:noProof/>
          <w:sz w:val="22"/>
        </w:rPr>
        <w:t>8</w:t>
      </w:r>
      <w:r w:rsidR="00751B94">
        <w:rPr>
          <w:bCs w:val="0"/>
          <w:iCs/>
          <w:sz w:val="22"/>
        </w:rPr>
        <w:fldChar w:fldCharType="end"/>
      </w:r>
      <w:proofErr w:type="gramStart"/>
      <w:r>
        <w:rPr>
          <w:bCs w:val="0"/>
          <w:iCs/>
          <w:sz w:val="22"/>
        </w:rPr>
        <w:t>.</w:t>
      </w:r>
      <w:proofErr w:type="gramEnd"/>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0226EA">
        <w:rPr>
          <w:bCs w:val="0"/>
          <w:iCs/>
          <w:noProof/>
          <w:sz w:val="22"/>
        </w:rPr>
        <w:t>1</w:t>
      </w:r>
      <w:r w:rsidR="00751B94">
        <w:rPr>
          <w:bCs w:val="0"/>
          <w:iCs/>
          <w:sz w:val="22"/>
        </w:rPr>
        <w:fldChar w:fldCharType="end"/>
      </w:r>
      <w:bookmarkEnd w:id="82"/>
      <w:r w:rsidRPr="00D82239">
        <w:rPr>
          <w:bCs w:val="0"/>
          <w:iCs/>
          <w:sz w:val="22"/>
        </w:rPr>
        <w:t xml:space="preserve"> – Tax asset base roll forward for</w:t>
      </w:r>
      <w:r>
        <w:rPr>
          <w:bCs w:val="0"/>
          <w:iCs/>
          <w:sz w:val="22"/>
        </w:rPr>
        <w:t xml:space="preserve"> the </w:t>
      </w:r>
      <w:r w:rsidR="009662CF">
        <w:rPr>
          <w:bCs w:val="0"/>
          <w:iCs/>
          <w:sz w:val="22"/>
        </w:rPr>
        <w:t xml:space="preserve">previous </w:t>
      </w:r>
      <w:r>
        <w:rPr>
          <w:bCs w:val="0"/>
          <w:iCs/>
          <w:sz w:val="22"/>
        </w:rPr>
        <w:t>access arrangement period</w:t>
      </w:r>
      <w:r w:rsidR="002C4A3A">
        <w:rPr>
          <w:bCs w:val="0"/>
          <w:iCs/>
          <w:sz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09"/>
        <w:gridCol w:w="1325"/>
        <w:gridCol w:w="1326"/>
        <w:gridCol w:w="1325"/>
        <w:gridCol w:w="1326"/>
        <w:gridCol w:w="1326"/>
      </w:tblGrid>
      <w:tr w:rsidR="005D06ED" w:rsidRPr="00E65520" w:rsidTr="008F3C7B">
        <w:tc>
          <w:tcPr>
            <w:tcW w:w="1809" w:type="dxa"/>
            <w:tcBorders>
              <w:top w:val="nil"/>
              <w:left w:val="nil"/>
              <w:bottom w:val="nil"/>
              <w:right w:val="nil"/>
            </w:tcBorders>
            <w:shd w:val="clear" w:color="auto" w:fill="333333"/>
          </w:tcPr>
          <w:p w:rsidR="005D06ED" w:rsidRPr="001F6F2E" w:rsidRDefault="005D06ED" w:rsidP="008F3C7B">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325" w:type="dxa"/>
            <w:tcBorders>
              <w:top w:val="nil"/>
              <w:left w:val="nil"/>
              <w:bottom w:val="nil"/>
              <w:right w:val="nil"/>
            </w:tcBorders>
            <w:shd w:val="clear" w:color="auto" w:fill="333333"/>
            <w:vAlign w:val="center"/>
          </w:tcPr>
          <w:p w:rsidR="005D06ED" w:rsidRPr="001F6F2E" w:rsidRDefault="005D06ED" w:rsidP="008F3C7B">
            <w:pPr>
              <w:pStyle w:val="BodyText"/>
              <w:jc w:val="center"/>
              <w:rPr>
                <w:rFonts w:ascii="Arial Narrow" w:hAnsi="Arial Narrow"/>
                <w:b/>
                <w:bCs/>
                <w:color w:val="FFFFFF"/>
                <w:sz w:val="20"/>
              </w:rPr>
            </w:pPr>
            <w:r>
              <w:rPr>
                <w:rFonts w:ascii="Arial Narrow" w:hAnsi="Arial Narrow" w:cs="Tahoma"/>
                <w:b/>
                <w:bCs/>
                <w:color w:val="FFFFFF"/>
                <w:sz w:val="20"/>
              </w:rPr>
              <w:t>2008</w:t>
            </w:r>
          </w:p>
        </w:tc>
        <w:tc>
          <w:tcPr>
            <w:tcW w:w="1326" w:type="dxa"/>
            <w:tcBorders>
              <w:top w:val="nil"/>
              <w:left w:val="nil"/>
              <w:bottom w:val="nil"/>
              <w:right w:val="nil"/>
            </w:tcBorders>
            <w:shd w:val="clear" w:color="auto" w:fill="333333"/>
            <w:vAlign w:val="center"/>
          </w:tcPr>
          <w:p w:rsidR="005D06ED" w:rsidRPr="001F6F2E" w:rsidRDefault="005D06ED" w:rsidP="008F3C7B">
            <w:pPr>
              <w:pStyle w:val="BodyText"/>
              <w:jc w:val="center"/>
              <w:rPr>
                <w:rFonts w:ascii="Arial Narrow" w:hAnsi="Arial Narrow"/>
                <w:b/>
                <w:bCs/>
                <w:color w:val="FFFFFF"/>
                <w:sz w:val="20"/>
              </w:rPr>
            </w:pPr>
            <w:r>
              <w:rPr>
                <w:rFonts w:ascii="Arial Narrow" w:hAnsi="Arial Narrow" w:cs="Tahoma"/>
                <w:b/>
                <w:bCs/>
                <w:color w:val="FFFFFF"/>
                <w:sz w:val="20"/>
              </w:rPr>
              <w:t>2009</w:t>
            </w:r>
          </w:p>
        </w:tc>
        <w:tc>
          <w:tcPr>
            <w:tcW w:w="1325" w:type="dxa"/>
            <w:tcBorders>
              <w:top w:val="nil"/>
              <w:left w:val="nil"/>
              <w:bottom w:val="nil"/>
              <w:right w:val="nil"/>
            </w:tcBorders>
            <w:shd w:val="clear" w:color="auto" w:fill="333333"/>
            <w:vAlign w:val="center"/>
          </w:tcPr>
          <w:p w:rsidR="005D06ED" w:rsidRPr="001F6F2E" w:rsidRDefault="005D06ED" w:rsidP="008F3C7B">
            <w:pPr>
              <w:pStyle w:val="BodyText"/>
              <w:jc w:val="center"/>
              <w:rPr>
                <w:rFonts w:ascii="Arial Narrow" w:hAnsi="Arial Narrow"/>
                <w:b/>
                <w:bCs/>
                <w:color w:val="FFFFFF"/>
                <w:sz w:val="20"/>
              </w:rPr>
            </w:pPr>
            <w:r>
              <w:rPr>
                <w:rFonts w:ascii="Arial Narrow" w:hAnsi="Arial Narrow" w:cs="Tahoma"/>
                <w:b/>
                <w:bCs/>
                <w:color w:val="FFFFFF"/>
                <w:sz w:val="20"/>
              </w:rPr>
              <w:t>2010</w:t>
            </w:r>
          </w:p>
        </w:tc>
        <w:tc>
          <w:tcPr>
            <w:tcW w:w="1326" w:type="dxa"/>
            <w:tcBorders>
              <w:top w:val="nil"/>
              <w:left w:val="nil"/>
              <w:bottom w:val="nil"/>
              <w:right w:val="nil"/>
            </w:tcBorders>
            <w:shd w:val="clear" w:color="auto" w:fill="333333"/>
            <w:vAlign w:val="center"/>
          </w:tcPr>
          <w:p w:rsidR="005D06ED" w:rsidRPr="001F6F2E" w:rsidRDefault="005D06ED" w:rsidP="008F3C7B">
            <w:pPr>
              <w:pStyle w:val="BodyText"/>
              <w:jc w:val="center"/>
              <w:rPr>
                <w:rFonts w:ascii="Arial Narrow" w:hAnsi="Arial Narrow"/>
                <w:b/>
                <w:bCs/>
                <w:color w:val="FFFFFF"/>
                <w:sz w:val="20"/>
              </w:rPr>
            </w:pPr>
            <w:r>
              <w:rPr>
                <w:rFonts w:ascii="Arial Narrow" w:hAnsi="Arial Narrow" w:cs="Tahoma"/>
                <w:b/>
                <w:bCs/>
                <w:color w:val="FFFFFF"/>
                <w:sz w:val="20"/>
              </w:rPr>
              <w:t>2011</w:t>
            </w:r>
          </w:p>
        </w:tc>
        <w:tc>
          <w:tcPr>
            <w:tcW w:w="1326" w:type="dxa"/>
            <w:tcBorders>
              <w:top w:val="nil"/>
              <w:left w:val="nil"/>
              <w:bottom w:val="nil"/>
              <w:right w:val="nil"/>
            </w:tcBorders>
            <w:shd w:val="clear" w:color="auto" w:fill="333333"/>
            <w:vAlign w:val="center"/>
          </w:tcPr>
          <w:p w:rsidR="005D06ED" w:rsidRPr="001F6F2E" w:rsidRDefault="005D06ED" w:rsidP="008F3C7B">
            <w:pPr>
              <w:pStyle w:val="BodyText"/>
              <w:jc w:val="center"/>
              <w:rPr>
                <w:rFonts w:ascii="Arial Narrow" w:hAnsi="Arial Narrow"/>
                <w:b/>
                <w:bCs/>
                <w:color w:val="FFFFFF"/>
                <w:sz w:val="20"/>
              </w:rPr>
            </w:pPr>
            <w:r>
              <w:rPr>
                <w:rFonts w:ascii="Arial Narrow" w:hAnsi="Arial Narrow" w:cs="Tahoma"/>
                <w:b/>
                <w:bCs/>
                <w:color w:val="FFFFFF"/>
                <w:sz w:val="20"/>
              </w:rPr>
              <w:t>2012</w:t>
            </w:r>
          </w:p>
        </w:tc>
      </w:tr>
      <w:tr w:rsidR="00C063F0" w:rsidRPr="00E65520" w:rsidTr="005864F3">
        <w:tc>
          <w:tcPr>
            <w:tcW w:w="1809" w:type="dxa"/>
          </w:tcPr>
          <w:p w:rsidR="00C063F0" w:rsidRPr="001F6F2E" w:rsidRDefault="00C063F0" w:rsidP="008F3C7B">
            <w:pPr>
              <w:pStyle w:val="TableBodyText"/>
              <w:keepNext/>
              <w:rPr>
                <w:sz w:val="20"/>
              </w:rPr>
            </w:pPr>
            <w:r w:rsidRPr="001F6F2E">
              <w:rPr>
                <w:sz w:val="20"/>
              </w:rPr>
              <w:t>Opening TAB</w:t>
            </w:r>
          </w:p>
        </w:tc>
        <w:tc>
          <w:tcPr>
            <w:tcW w:w="1325"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165.7</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186.1</w:t>
            </w:r>
          </w:p>
        </w:tc>
        <w:tc>
          <w:tcPr>
            <w:tcW w:w="1325"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177.0</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167.7</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201.4</w:t>
            </w:r>
          </w:p>
        </w:tc>
      </w:tr>
      <w:tr w:rsidR="00C063F0" w:rsidRPr="00E65520" w:rsidTr="005864F3">
        <w:tc>
          <w:tcPr>
            <w:tcW w:w="1809" w:type="dxa"/>
          </w:tcPr>
          <w:p w:rsidR="00C063F0" w:rsidRPr="001F6F2E" w:rsidRDefault="00C063F0" w:rsidP="008F3C7B">
            <w:pPr>
              <w:pStyle w:val="TableBodyText"/>
              <w:keepNext/>
              <w:rPr>
                <w:sz w:val="20"/>
              </w:rPr>
            </w:pPr>
            <w:r w:rsidRPr="001F6F2E">
              <w:rPr>
                <w:sz w:val="20"/>
              </w:rPr>
              <w:t>Capital expenditure</w:t>
            </w:r>
            <w:r>
              <w:rPr>
                <w:rStyle w:val="FootnoteReference"/>
                <w:sz w:val="20"/>
              </w:rPr>
              <w:footnoteReference w:id="14"/>
            </w:r>
          </w:p>
        </w:tc>
        <w:tc>
          <w:tcPr>
            <w:tcW w:w="1325"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37.8</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10.2</w:t>
            </w:r>
          </w:p>
        </w:tc>
        <w:tc>
          <w:tcPr>
            <w:tcW w:w="1325"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10.6</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53.6</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58.0</w:t>
            </w:r>
          </w:p>
        </w:tc>
      </w:tr>
      <w:tr w:rsidR="00C063F0" w:rsidRPr="00E65520" w:rsidTr="005864F3">
        <w:tc>
          <w:tcPr>
            <w:tcW w:w="1809" w:type="dxa"/>
          </w:tcPr>
          <w:p w:rsidR="00C063F0" w:rsidRPr="001F6F2E" w:rsidRDefault="0054781D" w:rsidP="0054781D">
            <w:pPr>
              <w:pStyle w:val="TableBodyText"/>
              <w:keepNext/>
              <w:rPr>
                <w:sz w:val="20"/>
              </w:rPr>
            </w:pPr>
            <w:r>
              <w:rPr>
                <w:sz w:val="20"/>
              </w:rPr>
              <w:t>Less t</w:t>
            </w:r>
            <w:r w:rsidR="00C063F0" w:rsidRPr="001F6F2E">
              <w:rPr>
                <w:sz w:val="20"/>
              </w:rPr>
              <w:t>ax depreciation</w:t>
            </w:r>
          </w:p>
        </w:tc>
        <w:tc>
          <w:tcPr>
            <w:tcW w:w="1325"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-17.4</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-19.3</w:t>
            </w:r>
          </w:p>
        </w:tc>
        <w:tc>
          <w:tcPr>
            <w:tcW w:w="1325"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-19.9</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-19.9</w:t>
            </w:r>
          </w:p>
        </w:tc>
        <w:tc>
          <w:tcPr>
            <w:tcW w:w="1326" w:type="dxa"/>
            <w:vAlign w:val="center"/>
          </w:tcPr>
          <w:p w:rsidR="00C063F0" w:rsidRPr="006E0632" w:rsidRDefault="00C063F0" w:rsidP="008F3C7B">
            <w:pPr>
              <w:jc w:val="center"/>
              <w:rPr>
                <w:rFonts w:ascii="Arial Narrow" w:hAnsi="Arial Narrow" w:cs="Tahoma"/>
                <w:color w:val="000000"/>
                <w:sz w:val="20"/>
              </w:rPr>
            </w:pPr>
            <w:r>
              <w:rPr>
                <w:rFonts w:ascii="Arial Narrow" w:hAnsi="Arial Narrow" w:cs="Tahoma"/>
                <w:sz w:val="20"/>
              </w:rPr>
              <w:t>-22.4</w:t>
            </w:r>
          </w:p>
        </w:tc>
      </w:tr>
      <w:tr w:rsidR="00C063F0" w:rsidRPr="00E65520" w:rsidTr="005864F3">
        <w:tc>
          <w:tcPr>
            <w:tcW w:w="1809" w:type="dxa"/>
          </w:tcPr>
          <w:p w:rsidR="00C063F0" w:rsidRPr="001F6F2E" w:rsidRDefault="0054781D" w:rsidP="008F3C7B">
            <w:pPr>
              <w:pStyle w:val="TableBodyTextBold"/>
              <w:jc w:val="left"/>
              <w:rPr>
                <w:b w:val="0"/>
                <w:sz w:val="20"/>
              </w:rPr>
            </w:pPr>
            <w:r>
              <w:rPr>
                <w:sz w:val="20"/>
              </w:rPr>
              <w:t>Closing TAB</w:t>
            </w:r>
          </w:p>
        </w:tc>
        <w:tc>
          <w:tcPr>
            <w:tcW w:w="1325" w:type="dxa"/>
            <w:vAlign w:val="center"/>
          </w:tcPr>
          <w:p w:rsidR="00C063F0" w:rsidRPr="006E0632" w:rsidRDefault="00C063F0" w:rsidP="008F3C7B">
            <w:pPr>
              <w:jc w:val="center"/>
              <w:rPr>
                <w:rFonts w:ascii="Arial Narrow" w:hAnsi="Arial Narrow" w:cs="Tahoma"/>
                <w:b/>
                <w:bCs/>
                <w:color w:val="333333"/>
                <w:sz w:val="20"/>
              </w:rPr>
            </w:pPr>
            <w:r>
              <w:rPr>
                <w:rFonts w:ascii="Arial Narrow" w:hAnsi="Arial Narrow" w:cs="Tahoma"/>
                <w:b/>
                <w:bCs/>
                <w:sz w:val="20"/>
              </w:rPr>
              <w:t>186.1</w:t>
            </w:r>
          </w:p>
        </w:tc>
        <w:tc>
          <w:tcPr>
            <w:tcW w:w="1326" w:type="dxa"/>
            <w:vAlign w:val="center"/>
          </w:tcPr>
          <w:p w:rsidR="00C063F0" w:rsidRPr="006E0632" w:rsidRDefault="00C063F0" w:rsidP="008F3C7B">
            <w:pPr>
              <w:jc w:val="center"/>
              <w:rPr>
                <w:rFonts w:ascii="Arial Narrow" w:hAnsi="Arial Narrow" w:cs="Tahoma"/>
                <w:b/>
                <w:bCs/>
                <w:color w:val="333333"/>
                <w:sz w:val="20"/>
              </w:rPr>
            </w:pPr>
            <w:r>
              <w:rPr>
                <w:rFonts w:ascii="Arial Narrow" w:hAnsi="Arial Narrow" w:cs="Tahoma"/>
                <w:b/>
                <w:bCs/>
                <w:sz w:val="20"/>
              </w:rPr>
              <w:t>177.0</w:t>
            </w:r>
          </w:p>
        </w:tc>
        <w:tc>
          <w:tcPr>
            <w:tcW w:w="1325" w:type="dxa"/>
            <w:vAlign w:val="center"/>
          </w:tcPr>
          <w:p w:rsidR="00C063F0" w:rsidRPr="006E0632" w:rsidRDefault="00C063F0" w:rsidP="008F3C7B">
            <w:pPr>
              <w:jc w:val="center"/>
              <w:rPr>
                <w:rFonts w:ascii="Arial Narrow" w:hAnsi="Arial Narrow" w:cs="Tahoma"/>
                <w:b/>
                <w:bCs/>
                <w:color w:val="333333"/>
                <w:sz w:val="20"/>
              </w:rPr>
            </w:pPr>
            <w:r>
              <w:rPr>
                <w:rFonts w:ascii="Arial Narrow" w:hAnsi="Arial Narrow" w:cs="Tahoma"/>
                <w:b/>
                <w:bCs/>
                <w:sz w:val="20"/>
              </w:rPr>
              <w:t>167.7</w:t>
            </w:r>
          </w:p>
        </w:tc>
        <w:tc>
          <w:tcPr>
            <w:tcW w:w="1326" w:type="dxa"/>
            <w:vAlign w:val="center"/>
          </w:tcPr>
          <w:p w:rsidR="00C063F0" w:rsidRPr="006E0632" w:rsidRDefault="00C063F0" w:rsidP="008F3C7B">
            <w:pPr>
              <w:jc w:val="center"/>
              <w:rPr>
                <w:rFonts w:ascii="Arial Narrow" w:hAnsi="Arial Narrow" w:cs="Tahoma"/>
                <w:b/>
                <w:bCs/>
                <w:color w:val="333333"/>
                <w:sz w:val="20"/>
              </w:rPr>
            </w:pPr>
            <w:r>
              <w:rPr>
                <w:rFonts w:ascii="Arial Narrow" w:hAnsi="Arial Narrow" w:cs="Tahoma"/>
                <w:b/>
                <w:bCs/>
                <w:sz w:val="20"/>
              </w:rPr>
              <w:t>201.4</w:t>
            </w:r>
          </w:p>
        </w:tc>
        <w:tc>
          <w:tcPr>
            <w:tcW w:w="1326" w:type="dxa"/>
            <w:vAlign w:val="center"/>
          </w:tcPr>
          <w:p w:rsidR="00C063F0" w:rsidRPr="006E0632" w:rsidRDefault="00C063F0" w:rsidP="008F3C7B">
            <w:pPr>
              <w:jc w:val="center"/>
              <w:rPr>
                <w:rFonts w:ascii="Arial Narrow" w:hAnsi="Arial Narrow" w:cs="Tahoma"/>
                <w:b/>
                <w:bCs/>
                <w:color w:val="333333"/>
                <w:sz w:val="20"/>
              </w:rPr>
            </w:pPr>
            <w:r>
              <w:rPr>
                <w:rFonts w:ascii="Arial Narrow" w:hAnsi="Arial Narrow" w:cs="Tahoma"/>
                <w:b/>
                <w:bCs/>
                <w:sz w:val="20"/>
              </w:rPr>
              <w:t>237.0</w:t>
            </w:r>
          </w:p>
        </w:tc>
      </w:tr>
    </w:tbl>
    <w:p w:rsidR="005D06ED" w:rsidRDefault="005D06ED" w:rsidP="005D06ED">
      <w:pPr>
        <w:pStyle w:val="BodyText"/>
      </w:pPr>
    </w:p>
    <w:p w:rsidR="005D06ED" w:rsidRDefault="005D06ED" w:rsidP="0096788F">
      <w:pPr>
        <w:pStyle w:val="BodyText"/>
      </w:pPr>
    </w:p>
    <w:p w:rsidR="0047306B" w:rsidRDefault="00C17801" w:rsidP="0047306B">
      <w:pPr>
        <w:pStyle w:val="BodyText"/>
      </w:pPr>
      <w:r>
        <w:lastRenderedPageBreak/>
        <w:t xml:space="preserve">APA </w:t>
      </w:r>
      <w:proofErr w:type="spellStart"/>
      <w:r>
        <w:t>GasNet</w:t>
      </w:r>
      <w:r w:rsidR="009F0595">
        <w:t>’s</w:t>
      </w:r>
      <w:proofErr w:type="spellEnd"/>
      <w:r w:rsidR="007E3098">
        <w:t xml:space="preserve"> </w:t>
      </w:r>
      <w:r w:rsidR="00D77E27">
        <w:t xml:space="preserve">tax asset base roll forward for the access arrangement period is shown in </w:t>
      </w:r>
      <w:r w:rsidR="00751B94">
        <w:fldChar w:fldCharType="begin"/>
      </w:r>
      <w:r w:rsidR="00D77E27">
        <w:instrText xml:space="preserve"> REF _Ref273433342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2</w:t>
      </w:r>
      <w:r w:rsidR="00751B94">
        <w:fldChar w:fldCharType="end"/>
      </w:r>
      <w:r w:rsidR="00D77E27">
        <w:t xml:space="preserve"> below.</w:t>
      </w:r>
    </w:p>
    <w:p w:rsidR="00D82239" w:rsidRPr="00D82239" w:rsidRDefault="00D82239" w:rsidP="0028260E">
      <w:pPr>
        <w:pStyle w:val="Caption"/>
        <w:keepNext/>
        <w:rPr>
          <w:bCs w:val="0"/>
          <w:iCs/>
          <w:sz w:val="22"/>
        </w:rPr>
      </w:pPr>
      <w:bookmarkStart w:id="83" w:name="_Ref273433342"/>
      <w:proofErr w:type="gramStart"/>
      <w:r w:rsidRPr="00D82239">
        <w:rPr>
          <w:bCs w:val="0"/>
          <w:iCs/>
          <w:sz w:val="22"/>
        </w:rPr>
        <w:t xml:space="preserve">Table </w:t>
      </w:r>
      <w:proofErr w:type="gramEnd"/>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0226EA">
        <w:rPr>
          <w:bCs w:val="0"/>
          <w:iCs/>
          <w:noProof/>
          <w:sz w:val="22"/>
        </w:rPr>
        <w:t>8</w:t>
      </w:r>
      <w:r w:rsidR="00751B94">
        <w:rPr>
          <w:bCs w:val="0"/>
          <w:iCs/>
          <w:sz w:val="22"/>
        </w:rPr>
        <w:fldChar w:fldCharType="end"/>
      </w:r>
      <w:proofErr w:type="gramStart"/>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0226EA">
        <w:rPr>
          <w:bCs w:val="0"/>
          <w:iCs/>
          <w:noProof/>
          <w:sz w:val="22"/>
        </w:rPr>
        <w:t>2</w:t>
      </w:r>
      <w:r w:rsidR="00751B94">
        <w:rPr>
          <w:bCs w:val="0"/>
          <w:iCs/>
          <w:sz w:val="22"/>
        </w:rPr>
        <w:fldChar w:fldCharType="end"/>
      </w:r>
      <w:bookmarkEnd w:id="83"/>
      <w:r w:rsidRPr="00D82239">
        <w:rPr>
          <w:bCs w:val="0"/>
          <w:iCs/>
          <w:sz w:val="22"/>
        </w:rPr>
        <w:t xml:space="preserve"> – Tax asset base roll forward for</w:t>
      </w:r>
      <w:r w:rsidR="007E3098">
        <w:rPr>
          <w:bCs w:val="0"/>
          <w:iCs/>
          <w:sz w:val="22"/>
        </w:rPr>
        <w:t xml:space="preserve"> the access arrangement period</w:t>
      </w:r>
      <w:r w:rsidR="002C4A3A">
        <w:rPr>
          <w:bCs w:val="0"/>
          <w:iCs/>
          <w:sz w:val="22"/>
        </w:rPr>
        <w:t xml:space="preserve"> (as commissioned)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951"/>
        <w:gridCol w:w="1183"/>
        <w:gridCol w:w="1326"/>
        <w:gridCol w:w="1325"/>
        <w:gridCol w:w="1326"/>
        <w:gridCol w:w="1326"/>
      </w:tblGrid>
      <w:tr w:rsidR="003E3D51" w:rsidRPr="00E65520" w:rsidTr="00C62A1B">
        <w:tc>
          <w:tcPr>
            <w:tcW w:w="1951"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83"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2013</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2014</w:t>
            </w:r>
          </w:p>
        </w:tc>
        <w:tc>
          <w:tcPr>
            <w:tcW w:w="1325"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2015</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2016</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2017</w:t>
            </w:r>
          </w:p>
        </w:tc>
      </w:tr>
      <w:tr w:rsidR="00C62A1B" w:rsidRPr="00E65520" w:rsidTr="00C62A1B">
        <w:tc>
          <w:tcPr>
            <w:tcW w:w="1951" w:type="dxa"/>
          </w:tcPr>
          <w:p w:rsidR="00C62A1B" w:rsidRPr="001F6F2E" w:rsidRDefault="00C62A1B" w:rsidP="00281545">
            <w:pPr>
              <w:pStyle w:val="TableBodyText"/>
              <w:keepNext/>
              <w:rPr>
                <w:sz w:val="20"/>
              </w:rPr>
            </w:pPr>
            <w:r w:rsidRPr="001F6F2E">
              <w:rPr>
                <w:sz w:val="20"/>
              </w:rPr>
              <w:t>Opening TAB</w:t>
            </w:r>
          </w:p>
        </w:tc>
        <w:tc>
          <w:tcPr>
            <w:tcW w:w="1183" w:type="dxa"/>
            <w:vAlign w:val="center"/>
          </w:tcPr>
          <w:p w:rsidR="00C62A1B" w:rsidRPr="006E0632" w:rsidRDefault="00C62A1B">
            <w:pPr>
              <w:jc w:val="center"/>
              <w:rPr>
                <w:rFonts w:ascii="Arial Narrow" w:hAnsi="Arial Narrow" w:cs="Tahoma"/>
                <w:color w:val="000000"/>
                <w:sz w:val="20"/>
              </w:rPr>
            </w:pPr>
            <w:r>
              <w:rPr>
                <w:rFonts w:ascii="Arial Narrow" w:hAnsi="Arial Narrow" w:cs="Tahoma"/>
                <w:sz w:val="20"/>
              </w:rPr>
              <w:t>237.0</w:t>
            </w:r>
          </w:p>
        </w:tc>
        <w:tc>
          <w:tcPr>
            <w:tcW w:w="1326"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229.8 </w:t>
            </w:r>
          </w:p>
        </w:tc>
        <w:tc>
          <w:tcPr>
            <w:tcW w:w="1325"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331.9 </w:t>
            </w:r>
          </w:p>
        </w:tc>
        <w:tc>
          <w:tcPr>
            <w:tcW w:w="1326"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334.3 </w:t>
            </w:r>
          </w:p>
        </w:tc>
        <w:tc>
          <w:tcPr>
            <w:tcW w:w="1326"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322.3 </w:t>
            </w:r>
          </w:p>
        </w:tc>
      </w:tr>
      <w:tr w:rsidR="00C62A1B" w:rsidRPr="00E65520" w:rsidTr="00C62A1B">
        <w:tc>
          <w:tcPr>
            <w:tcW w:w="1951" w:type="dxa"/>
          </w:tcPr>
          <w:p w:rsidR="00C62A1B" w:rsidRPr="001F6F2E" w:rsidRDefault="00C62A1B" w:rsidP="00281545">
            <w:pPr>
              <w:pStyle w:val="TableBodyText"/>
              <w:keepNext/>
              <w:rPr>
                <w:sz w:val="20"/>
              </w:rPr>
            </w:pPr>
            <w:r w:rsidRPr="001F6F2E">
              <w:rPr>
                <w:sz w:val="20"/>
              </w:rPr>
              <w:t>Capital expenditure</w:t>
            </w:r>
            <w:r>
              <w:rPr>
                <w:rStyle w:val="FootnoteReference"/>
                <w:sz w:val="20"/>
              </w:rPr>
              <w:footnoteReference w:id="15"/>
            </w:r>
          </w:p>
        </w:tc>
        <w:tc>
          <w:tcPr>
            <w:tcW w:w="1183"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10.5</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120.5</w:t>
            </w:r>
          </w:p>
        </w:tc>
        <w:tc>
          <w:tcPr>
            <w:tcW w:w="1325"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26.5</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13.5</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10.9</w:t>
            </w:r>
          </w:p>
        </w:tc>
      </w:tr>
      <w:tr w:rsidR="00C62A1B" w:rsidRPr="00E65520" w:rsidTr="00C62A1B">
        <w:tc>
          <w:tcPr>
            <w:tcW w:w="1951" w:type="dxa"/>
          </w:tcPr>
          <w:p w:rsidR="00C62A1B" w:rsidRPr="001F6F2E" w:rsidRDefault="00C62A1B" w:rsidP="00281545">
            <w:pPr>
              <w:pStyle w:val="TableBodyText"/>
              <w:keepNext/>
              <w:rPr>
                <w:sz w:val="20"/>
              </w:rPr>
            </w:pPr>
            <w:r>
              <w:rPr>
                <w:sz w:val="20"/>
              </w:rPr>
              <w:t xml:space="preserve">Less </w:t>
            </w:r>
            <w:r w:rsidR="0054781D">
              <w:rPr>
                <w:sz w:val="20"/>
              </w:rPr>
              <w:t>t</w:t>
            </w:r>
            <w:r w:rsidRPr="001F6F2E">
              <w:rPr>
                <w:sz w:val="20"/>
              </w:rPr>
              <w:t>ax depreciation</w:t>
            </w:r>
          </w:p>
        </w:tc>
        <w:tc>
          <w:tcPr>
            <w:tcW w:w="1183"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Pr="00751B94">
              <w:rPr>
                <w:rFonts w:ascii="Arial Narrow" w:hAnsi="Arial Narrow"/>
                <w:sz w:val="20"/>
              </w:rPr>
              <w:t xml:space="preserve">17.7 </w:t>
            </w:r>
          </w:p>
        </w:tc>
        <w:tc>
          <w:tcPr>
            <w:tcW w:w="1326"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Pr="00751B94">
              <w:rPr>
                <w:rFonts w:ascii="Arial Narrow" w:hAnsi="Arial Narrow"/>
                <w:sz w:val="20"/>
              </w:rPr>
              <w:t xml:space="preserve">18.4 </w:t>
            </w:r>
          </w:p>
        </w:tc>
        <w:tc>
          <w:tcPr>
            <w:tcW w:w="1325"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Pr="00751B94">
              <w:rPr>
                <w:rFonts w:ascii="Arial Narrow" w:hAnsi="Arial Narrow"/>
                <w:sz w:val="20"/>
              </w:rPr>
              <w:t xml:space="preserve">24.1 </w:t>
            </w:r>
          </w:p>
        </w:tc>
        <w:tc>
          <w:tcPr>
            <w:tcW w:w="1326"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Pr="00751B94">
              <w:rPr>
                <w:rFonts w:ascii="Arial Narrow" w:hAnsi="Arial Narrow"/>
                <w:sz w:val="20"/>
              </w:rPr>
              <w:t xml:space="preserve">25.5 </w:t>
            </w:r>
          </w:p>
        </w:tc>
        <w:tc>
          <w:tcPr>
            <w:tcW w:w="1326" w:type="dxa"/>
          </w:tcPr>
          <w:p w:rsidR="00C62A1B" w:rsidRPr="00C62A1B" w:rsidRDefault="00751B94">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Pr="00751B94">
              <w:rPr>
                <w:rFonts w:ascii="Arial Narrow" w:hAnsi="Arial Narrow"/>
                <w:sz w:val="20"/>
              </w:rPr>
              <w:t xml:space="preserve">26.3 </w:t>
            </w:r>
          </w:p>
        </w:tc>
      </w:tr>
      <w:tr w:rsidR="00C62A1B" w:rsidRPr="00E65520" w:rsidTr="00C62A1B">
        <w:tc>
          <w:tcPr>
            <w:tcW w:w="1951" w:type="dxa"/>
          </w:tcPr>
          <w:p w:rsidR="00C62A1B" w:rsidRPr="001F6F2E" w:rsidRDefault="0054781D" w:rsidP="0054781D">
            <w:pPr>
              <w:pStyle w:val="TableBodyTextBold"/>
              <w:jc w:val="left"/>
              <w:rPr>
                <w:b w:val="0"/>
                <w:sz w:val="20"/>
              </w:rPr>
            </w:pPr>
            <w:r>
              <w:rPr>
                <w:sz w:val="20"/>
              </w:rPr>
              <w:t>Closing TAB</w:t>
            </w:r>
          </w:p>
        </w:tc>
        <w:tc>
          <w:tcPr>
            <w:tcW w:w="1183" w:type="dxa"/>
          </w:tcPr>
          <w:p w:rsidR="00C62A1B" w:rsidRPr="0054781D" w:rsidRDefault="00751B94">
            <w:pPr>
              <w:jc w:val="center"/>
              <w:rPr>
                <w:rFonts w:ascii="Arial Narrow" w:hAnsi="Arial Narrow" w:cs="Tahoma"/>
                <w:b/>
                <w:bCs/>
                <w:color w:val="333333"/>
                <w:sz w:val="20"/>
              </w:rPr>
            </w:pPr>
            <w:r w:rsidRPr="00751B94">
              <w:rPr>
                <w:rFonts w:ascii="Arial Narrow" w:hAnsi="Arial Narrow"/>
                <w:b/>
                <w:sz w:val="20"/>
              </w:rPr>
              <w:t xml:space="preserve"> 229.8 </w:t>
            </w:r>
          </w:p>
        </w:tc>
        <w:tc>
          <w:tcPr>
            <w:tcW w:w="1326" w:type="dxa"/>
          </w:tcPr>
          <w:p w:rsidR="00C62A1B" w:rsidRPr="0054781D" w:rsidRDefault="00751B94">
            <w:pPr>
              <w:jc w:val="center"/>
              <w:rPr>
                <w:rFonts w:ascii="Arial Narrow" w:hAnsi="Arial Narrow" w:cs="Tahoma"/>
                <w:b/>
                <w:bCs/>
                <w:color w:val="333333"/>
                <w:sz w:val="20"/>
              </w:rPr>
            </w:pPr>
            <w:r w:rsidRPr="00751B94">
              <w:rPr>
                <w:rFonts w:ascii="Arial Narrow" w:hAnsi="Arial Narrow"/>
                <w:b/>
                <w:sz w:val="20"/>
              </w:rPr>
              <w:t xml:space="preserve"> 331.9 </w:t>
            </w:r>
          </w:p>
        </w:tc>
        <w:tc>
          <w:tcPr>
            <w:tcW w:w="1325" w:type="dxa"/>
          </w:tcPr>
          <w:p w:rsidR="00C62A1B" w:rsidRPr="0054781D" w:rsidRDefault="00751B94">
            <w:pPr>
              <w:jc w:val="center"/>
              <w:rPr>
                <w:rFonts w:ascii="Arial Narrow" w:hAnsi="Arial Narrow" w:cs="Tahoma"/>
                <w:b/>
                <w:bCs/>
                <w:color w:val="333333"/>
                <w:sz w:val="20"/>
              </w:rPr>
            </w:pPr>
            <w:r w:rsidRPr="00751B94">
              <w:rPr>
                <w:rFonts w:ascii="Arial Narrow" w:hAnsi="Arial Narrow"/>
                <w:b/>
                <w:sz w:val="20"/>
              </w:rPr>
              <w:t xml:space="preserve"> 334.3 </w:t>
            </w:r>
          </w:p>
        </w:tc>
        <w:tc>
          <w:tcPr>
            <w:tcW w:w="1326" w:type="dxa"/>
          </w:tcPr>
          <w:p w:rsidR="00C62A1B" w:rsidRPr="0054781D" w:rsidRDefault="00751B94">
            <w:pPr>
              <w:jc w:val="center"/>
              <w:rPr>
                <w:rFonts w:ascii="Arial Narrow" w:hAnsi="Arial Narrow" w:cs="Tahoma"/>
                <w:b/>
                <w:bCs/>
                <w:color w:val="333333"/>
                <w:sz w:val="20"/>
              </w:rPr>
            </w:pPr>
            <w:r w:rsidRPr="00751B94">
              <w:rPr>
                <w:rFonts w:ascii="Arial Narrow" w:hAnsi="Arial Narrow"/>
                <w:b/>
                <w:sz w:val="20"/>
              </w:rPr>
              <w:t xml:space="preserve"> 322.3 </w:t>
            </w:r>
          </w:p>
        </w:tc>
        <w:tc>
          <w:tcPr>
            <w:tcW w:w="1326" w:type="dxa"/>
          </w:tcPr>
          <w:p w:rsidR="00C62A1B" w:rsidRPr="0054781D" w:rsidRDefault="00751B94">
            <w:pPr>
              <w:jc w:val="center"/>
              <w:rPr>
                <w:rFonts w:ascii="Arial Narrow" w:hAnsi="Arial Narrow" w:cs="Tahoma"/>
                <w:b/>
                <w:bCs/>
                <w:color w:val="333333"/>
                <w:sz w:val="20"/>
              </w:rPr>
            </w:pPr>
            <w:r w:rsidRPr="00751B94">
              <w:rPr>
                <w:rFonts w:ascii="Arial Narrow" w:hAnsi="Arial Narrow"/>
                <w:b/>
                <w:sz w:val="20"/>
              </w:rPr>
              <w:t xml:space="preserve"> 307.0 </w:t>
            </w:r>
          </w:p>
        </w:tc>
      </w:tr>
    </w:tbl>
    <w:p w:rsidR="0047306B" w:rsidRDefault="0047306B" w:rsidP="0047306B">
      <w:pPr>
        <w:pStyle w:val="BodyText"/>
      </w:pPr>
    </w:p>
    <w:p w:rsidR="0047306B" w:rsidRDefault="000E0FD0" w:rsidP="00770A69">
      <w:pPr>
        <w:pStyle w:val="Heading1"/>
      </w:pPr>
      <w:bookmarkStart w:id="84" w:name="_Ref263943870"/>
      <w:bookmarkStart w:id="85" w:name="_Toc340216066"/>
      <w:r>
        <w:lastRenderedPageBreak/>
        <w:t>Historical i</w:t>
      </w:r>
      <w:r w:rsidR="0047306B">
        <w:t>ncentive mechanism</w:t>
      </w:r>
      <w:bookmarkEnd w:id="84"/>
      <w:bookmarkEnd w:id="85"/>
    </w:p>
    <w:p w:rsidR="00D52402" w:rsidRDefault="00D52402" w:rsidP="00D52402">
      <w:pPr>
        <w:pStyle w:val="BodyText"/>
      </w:pPr>
      <w:r>
        <w:t xml:space="preserve">APA </w:t>
      </w:r>
      <w:proofErr w:type="spellStart"/>
      <w:r>
        <w:t>GasNet’s</w:t>
      </w:r>
      <w:proofErr w:type="spellEnd"/>
      <w:r>
        <w:t xml:space="preserve"> earlier access arrangement included Efficiency Benefit Sharing Scheme (EBSS) with a methodology for calculating the efficiency benefit sharing allowance to apply in the forecast period.</w:t>
      </w:r>
      <w:r>
        <w:rPr>
          <w:rStyle w:val="FootnoteReference"/>
        </w:rPr>
        <w:footnoteReference w:id="16"/>
      </w:r>
      <w:r>
        <w:t xml:space="preserve"> </w:t>
      </w:r>
    </w:p>
    <w:p w:rsidR="00D52402" w:rsidRDefault="00D52402" w:rsidP="00D52402">
      <w:pPr>
        <w:pStyle w:val="BodyText"/>
      </w:pPr>
      <w:r>
        <w:t xml:space="preserve">Under the EBSS, APA </w:t>
      </w:r>
      <w:proofErr w:type="spellStart"/>
      <w:r>
        <w:t>GasNet</w:t>
      </w:r>
      <w:proofErr w:type="spellEnd"/>
      <w:r>
        <w:t xml:space="preserve"> retains any benefits (or penalties) for a period of five years after the year in which it was realised. This means that the benefits carry over into the next access arrangement period. The EBSS only applies to the first four years of an access arrangement period as the final year has not been completed when the calculation is made.</w:t>
      </w:r>
    </w:p>
    <w:p w:rsidR="00D52402" w:rsidRDefault="00D52402" w:rsidP="00D52402">
      <w:pPr>
        <w:pStyle w:val="BodyText"/>
      </w:pPr>
      <w:r>
        <w:t xml:space="preserve">The calculation of the efficiency benefit for each year is cumulative, </w:t>
      </w:r>
      <w:proofErr w:type="spellStart"/>
      <w:r>
        <w:t>ie</w:t>
      </w:r>
      <w:proofErr w:type="spellEnd"/>
      <w:r>
        <w:t>,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D52402" w:rsidRDefault="00D52402" w:rsidP="00034E43">
      <w:pPr>
        <w:pStyle w:val="BodyText"/>
      </w:pPr>
      <w:r>
        <w:t>The</w:t>
      </w:r>
      <w:r w:rsidRPr="00D52402">
        <w:t xml:space="preserve"> proposed carry-over of increments for efficiency gains or decrements for efficiency losses in the previous access arrangement period</w:t>
      </w:r>
      <w:r>
        <w:t xml:space="preserve"> is shown below:</w:t>
      </w:r>
      <w:r w:rsidRPr="00D52402">
        <w:rPr>
          <w:rStyle w:val="FootnoteReference"/>
        </w:rPr>
        <w:t xml:space="preserve"> </w:t>
      </w:r>
      <w:r>
        <w:rPr>
          <w:rStyle w:val="FootnoteReference"/>
        </w:rPr>
        <w:footnoteReference w:id="17"/>
      </w:r>
    </w:p>
    <w:p w:rsidR="00D52402" w:rsidRPr="00D52402" w:rsidRDefault="00D52402" w:rsidP="00D52402">
      <w:pPr>
        <w:pStyle w:val="Caption"/>
        <w:rPr>
          <w:bCs w:val="0"/>
          <w:iCs/>
          <w:sz w:val="22"/>
        </w:rPr>
      </w:pPr>
      <w:bookmarkStart w:id="86" w:name="_Ref320639178"/>
      <w:bookmarkStart w:id="87" w:name="_Toc320859266"/>
      <w:proofErr w:type="gramStart"/>
      <w:r w:rsidRPr="007E0CE7">
        <w:rPr>
          <w:bCs w:val="0"/>
          <w:iCs/>
          <w:sz w:val="22"/>
        </w:rPr>
        <w:t xml:space="preserve">Table </w:t>
      </w:r>
      <w:proofErr w:type="gramEnd"/>
      <w:r w:rsidR="00751B94" w:rsidRPr="007E0CE7">
        <w:rPr>
          <w:bCs w:val="0"/>
          <w:iCs/>
          <w:sz w:val="22"/>
        </w:rPr>
        <w:fldChar w:fldCharType="begin"/>
      </w:r>
      <w:r w:rsidRPr="007E0CE7">
        <w:rPr>
          <w:bCs w:val="0"/>
          <w:iCs/>
          <w:sz w:val="22"/>
        </w:rPr>
        <w:instrText xml:space="preserve"> STYLEREF 1 \s </w:instrText>
      </w:r>
      <w:r w:rsidR="00751B94" w:rsidRPr="007E0CE7">
        <w:rPr>
          <w:bCs w:val="0"/>
          <w:iCs/>
          <w:sz w:val="22"/>
        </w:rPr>
        <w:fldChar w:fldCharType="separate"/>
      </w:r>
      <w:r w:rsidR="000226EA">
        <w:rPr>
          <w:bCs w:val="0"/>
          <w:iCs/>
          <w:noProof/>
          <w:sz w:val="22"/>
        </w:rPr>
        <w:t>9</w:t>
      </w:r>
      <w:r w:rsidR="00751B94" w:rsidRPr="007E0CE7">
        <w:rPr>
          <w:bCs w:val="0"/>
          <w:iCs/>
          <w:sz w:val="22"/>
        </w:rPr>
        <w:fldChar w:fldCharType="end"/>
      </w:r>
      <w:proofErr w:type="gramStart"/>
      <w:r w:rsidRPr="007E0CE7">
        <w:rPr>
          <w:bCs w:val="0"/>
          <w:iCs/>
          <w:sz w:val="22"/>
        </w:rPr>
        <w:t>.</w:t>
      </w:r>
      <w:proofErr w:type="gramEnd"/>
      <w:r w:rsidR="00751B94" w:rsidRPr="007E0CE7">
        <w:rPr>
          <w:bCs w:val="0"/>
          <w:iCs/>
          <w:sz w:val="22"/>
        </w:rPr>
        <w:fldChar w:fldCharType="begin"/>
      </w:r>
      <w:r w:rsidRPr="007E0CE7">
        <w:rPr>
          <w:bCs w:val="0"/>
          <w:iCs/>
          <w:sz w:val="22"/>
        </w:rPr>
        <w:instrText xml:space="preserve"> SEQ Table \* ARABIC \s 1 </w:instrText>
      </w:r>
      <w:r w:rsidR="00751B94" w:rsidRPr="007E0CE7">
        <w:rPr>
          <w:bCs w:val="0"/>
          <w:iCs/>
          <w:sz w:val="22"/>
        </w:rPr>
        <w:fldChar w:fldCharType="separate"/>
      </w:r>
      <w:r w:rsidR="000226EA">
        <w:rPr>
          <w:bCs w:val="0"/>
          <w:iCs/>
          <w:noProof/>
          <w:sz w:val="22"/>
        </w:rPr>
        <w:t>1</w:t>
      </w:r>
      <w:r w:rsidR="00751B94" w:rsidRPr="007E0CE7">
        <w:rPr>
          <w:bCs w:val="0"/>
          <w:iCs/>
          <w:sz w:val="22"/>
        </w:rPr>
        <w:fldChar w:fldCharType="end"/>
      </w:r>
      <w:bookmarkEnd w:id="86"/>
      <w:r w:rsidRPr="007E0CE7">
        <w:rPr>
          <w:bCs w:val="0"/>
          <w:iCs/>
          <w:sz w:val="22"/>
        </w:rPr>
        <w:t xml:space="preserve"> – Incremental EBSS savings</w:t>
      </w:r>
      <w:bookmarkEnd w:id="87"/>
      <w:r w:rsidRPr="00D52402">
        <w:rPr>
          <w:bCs w:val="0"/>
          <w:i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1347"/>
        <w:gridCol w:w="1348"/>
        <w:gridCol w:w="1347"/>
        <w:gridCol w:w="1348"/>
        <w:gridCol w:w="1349"/>
      </w:tblGrid>
      <w:tr w:rsidR="00D52402" w:rsidRPr="00831667" w:rsidTr="000C7811">
        <w:tc>
          <w:tcPr>
            <w:tcW w:w="1704"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left"/>
            </w:pPr>
            <w:r w:rsidRPr="00831667">
              <w:t>$’000</w:t>
            </w:r>
            <w:r w:rsidR="005660AF">
              <w:t xml:space="preserve"> (</w:t>
            </w:r>
            <w:r w:rsidR="005660AF" w:rsidRPr="00831667">
              <w:t>2006</w:t>
            </w:r>
            <w:r w:rsidR="005660AF">
              <w:t>)</w:t>
            </w:r>
          </w:p>
        </w:tc>
        <w:tc>
          <w:tcPr>
            <w:tcW w:w="1353"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2008</w:t>
            </w:r>
          </w:p>
        </w:tc>
        <w:tc>
          <w:tcPr>
            <w:tcW w:w="1354"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2009</w:t>
            </w:r>
          </w:p>
        </w:tc>
        <w:tc>
          <w:tcPr>
            <w:tcW w:w="1353"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2010</w:t>
            </w:r>
          </w:p>
        </w:tc>
        <w:tc>
          <w:tcPr>
            <w:tcW w:w="1354"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2011</w:t>
            </w:r>
          </w:p>
        </w:tc>
        <w:tc>
          <w:tcPr>
            <w:tcW w:w="1354" w:type="dxa"/>
            <w:tcBorders>
              <w:top w:val="single" w:sz="4" w:space="0" w:color="auto"/>
              <w:left w:val="single" w:sz="4" w:space="0" w:color="auto"/>
              <w:bottom w:val="single" w:sz="4" w:space="0" w:color="auto"/>
              <w:right w:val="single" w:sz="4" w:space="0" w:color="auto"/>
            </w:tcBorders>
            <w:shd w:val="clear" w:color="auto" w:fill="000000"/>
            <w:vAlign w:val="center"/>
          </w:tcPr>
          <w:p w:rsidR="00D52402" w:rsidRPr="00831667" w:rsidRDefault="00D52402" w:rsidP="000C7811">
            <w:pPr>
              <w:pStyle w:val="AAtabletopleft"/>
              <w:jc w:val="center"/>
            </w:pPr>
            <w:r w:rsidRPr="00831667">
              <w:t>Total</w:t>
            </w:r>
          </w:p>
        </w:tc>
      </w:tr>
      <w:tr w:rsidR="00D52402" w:rsidRPr="00831667" w:rsidTr="005864F3">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402" w:rsidRPr="00575D2D" w:rsidRDefault="00D52402" w:rsidP="000C7811">
            <w:pPr>
              <w:pStyle w:val="AAtablecolumn1"/>
              <w:jc w:val="left"/>
            </w:pPr>
            <w:r w:rsidRPr="00575D2D">
              <w:t>Annual Efficiency</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52402" w:rsidRPr="00575D2D" w:rsidRDefault="007E0CE7" w:rsidP="000C7811">
            <w:pPr>
              <w:pStyle w:val="AAtablecolumn1"/>
              <w:jc w:val="center"/>
            </w:pPr>
            <w:r>
              <w:t>-2,634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D52402" w:rsidRPr="00575D2D" w:rsidRDefault="007E0CE7" w:rsidP="000C7811">
            <w:pPr>
              <w:pStyle w:val="AAtablecolumn1"/>
              <w:jc w:val="center"/>
            </w:pPr>
            <w:r>
              <w:t>-4,204</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D52402" w:rsidRPr="00575D2D" w:rsidRDefault="007E0CE7" w:rsidP="000C7811">
            <w:pPr>
              <w:pStyle w:val="AAtablecolumn1"/>
              <w:jc w:val="center"/>
            </w:pPr>
            <w:r>
              <w:t>-4,905</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D52402" w:rsidRPr="00575D2D" w:rsidRDefault="007E0CE7" w:rsidP="000C7811">
            <w:pPr>
              <w:pStyle w:val="AAtablecolumn1"/>
              <w:jc w:val="center"/>
            </w:pPr>
            <w:r>
              <w:t>-2,984</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D52402" w:rsidRPr="00575D2D" w:rsidRDefault="007E0CE7" w:rsidP="000C7811">
            <w:pPr>
              <w:pStyle w:val="AAtablecolumn1"/>
              <w:jc w:val="center"/>
            </w:pPr>
            <w:r>
              <w:t>-14,726</w:t>
            </w:r>
          </w:p>
        </w:tc>
      </w:tr>
    </w:tbl>
    <w:p w:rsidR="00D52402" w:rsidRDefault="00D52402" w:rsidP="00034E43">
      <w:pPr>
        <w:pStyle w:val="BodyText"/>
      </w:pPr>
    </w:p>
    <w:p w:rsidR="00D52402" w:rsidRDefault="00D52402" w:rsidP="00034E43">
      <w:pPr>
        <w:pStyle w:val="BodyText"/>
      </w:pPr>
      <w:r>
        <w:t xml:space="preserve">The forecast revenue requirement </w:t>
      </w:r>
      <w:r w:rsidR="00C34676">
        <w:t xml:space="preserve">in </w:t>
      </w:r>
      <w:fldSimple w:instr=" REF _Ref272831995 \h  \* MERGEFORMAT ">
        <w:r w:rsidR="000226EA">
          <w:t xml:space="preserve">Table </w:t>
        </w:r>
        <w:r w:rsidR="000226EA">
          <w:rPr>
            <w:noProof/>
          </w:rPr>
          <w:t>12.1</w:t>
        </w:r>
      </w:fldSimple>
      <w:r w:rsidR="00C34676">
        <w:t xml:space="preserve"> </w:t>
      </w:r>
      <w:r>
        <w:t>includes an</w:t>
      </w:r>
      <w:r w:rsidRPr="00D52402">
        <w:t xml:space="preserve"> allowance for any </w:t>
      </w:r>
      <w:r>
        <w:t xml:space="preserve">these </w:t>
      </w:r>
      <w:r w:rsidRPr="00D52402">
        <w:t>increments or decrements</w:t>
      </w:r>
      <w:r>
        <w:t xml:space="preserve"> as follows:</w:t>
      </w:r>
    </w:p>
    <w:p w:rsidR="00870495" w:rsidRPr="00D52402" w:rsidRDefault="00870495" w:rsidP="00870495">
      <w:pPr>
        <w:pStyle w:val="Caption"/>
        <w:rPr>
          <w:bCs w:val="0"/>
          <w:iCs/>
          <w:sz w:val="22"/>
        </w:rPr>
      </w:pPr>
      <w:bookmarkStart w:id="88" w:name="_Ref320639209"/>
      <w:bookmarkStart w:id="89" w:name="_Toc320859267"/>
      <w:proofErr w:type="gramStart"/>
      <w:r w:rsidRPr="00D52402">
        <w:rPr>
          <w:bCs w:val="0"/>
          <w:iCs/>
          <w:sz w:val="22"/>
        </w:rPr>
        <w:t xml:space="preserve">Table </w:t>
      </w:r>
      <w:proofErr w:type="gramEnd"/>
      <w:r w:rsidR="00751B94" w:rsidRPr="00D52402">
        <w:rPr>
          <w:bCs w:val="0"/>
          <w:iCs/>
          <w:sz w:val="22"/>
        </w:rPr>
        <w:fldChar w:fldCharType="begin"/>
      </w:r>
      <w:r w:rsidRPr="00D52402">
        <w:rPr>
          <w:bCs w:val="0"/>
          <w:iCs/>
          <w:sz w:val="22"/>
        </w:rPr>
        <w:instrText xml:space="preserve"> STYLEREF 1 \s </w:instrText>
      </w:r>
      <w:r w:rsidR="00751B94" w:rsidRPr="00D52402">
        <w:rPr>
          <w:bCs w:val="0"/>
          <w:iCs/>
          <w:sz w:val="22"/>
        </w:rPr>
        <w:fldChar w:fldCharType="separate"/>
      </w:r>
      <w:r w:rsidR="000226EA">
        <w:rPr>
          <w:bCs w:val="0"/>
          <w:iCs/>
          <w:noProof/>
          <w:sz w:val="22"/>
        </w:rPr>
        <w:t>9</w:t>
      </w:r>
      <w:r w:rsidR="00751B94" w:rsidRPr="00D52402">
        <w:rPr>
          <w:bCs w:val="0"/>
          <w:iCs/>
          <w:sz w:val="22"/>
        </w:rPr>
        <w:fldChar w:fldCharType="end"/>
      </w:r>
      <w:proofErr w:type="gramStart"/>
      <w:r w:rsidRPr="00D52402">
        <w:rPr>
          <w:bCs w:val="0"/>
          <w:iCs/>
          <w:sz w:val="22"/>
        </w:rPr>
        <w:t>.</w:t>
      </w:r>
      <w:proofErr w:type="gramEnd"/>
      <w:r w:rsidR="00751B94" w:rsidRPr="00D52402">
        <w:rPr>
          <w:bCs w:val="0"/>
          <w:iCs/>
          <w:sz w:val="22"/>
        </w:rPr>
        <w:fldChar w:fldCharType="begin"/>
      </w:r>
      <w:r w:rsidRPr="00D52402">
        <w:rPr>
          <w:bCs w:val="0"/>
          <w:iCs/>
          <w:sz w:val="22"/>
        </w:rPr>
        <w:instrText xml:space="preserve"> SEQ Table \* ARABIC \s 1 </w:instrText>
      </w:r>
      <w:r w:rsidR="00751B94" w:rsidRPr="00D52402">
        <w:rPr>
          <w:bCs w:val="0"/>
          <w:iCs/>
          <w:sz w:val="22"/>
        </w:rPr>
        <w:fldChar w:fldCharType="separate"/>
      </w:r>
      <w:r w:rsidR="000226EA">
        <w:rPr>
          <w:bCs w:val="0"/>
          <w:iCs/>
          <w:noProof/>
          <w:sz w:val="22"/>
        </w:rPr>
        <w:t>2</w:t>
      </w:r>
      <w:r w:rsidR="00751B94" w:rsidRPr="00D52402">
        <w:rPr>
          <w:bCs w:val="0"/>
          <w:iCs/>
          <w:sz w:val="22"/>
        </w:rPr>
        <w:fldChar w:fldCharType="end"/>
      </w:r>
      <w:bookmarkEnd w:id="88"/>
      <w:r w:rsidRPr="00D52402">
        <w:rPr>
          <w:bCs w:val="0"/>
          <w:iCs/>
          <w:sz w:val="22"/>
        </w:rPr>
        <w:t xml:space="preserve"> – Efficiency </w:t>
      </w:r>
      <w:proofErr w:type="gramStart"/>
      <w:r w:rsidRPr="00D52402">
        <w:rPr>
          <w:bCs w:val="0"/>
          <w:iCs/>
          <w:sz w:val="22"/>
        </w:rPr>
        <w:t>carry</w:t>
      </w:r>
      <w:proofErr w:type="gramEnd"/>
      <w:r w:rsidRPr="00D52402">
        <w:rPr>
          <w:bCs w:val="0"/>
          <w:iCs/>
          <w:sz w:val="22"/>
        </w:rPr>
        <w:t xml:space="preserve"> over</w:t>
      </w:r>
      <w:bookmarkEnd w:id="89"/>
      <w:r w:rsidRPr="00D52402">
        <w:rPr>
          <w:bCs w:val="0"/>
          <w:i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1348"/>
        <w:gridCol w:w="1348"/>
        <w:gridCol w:w="1348"/>
        <w:gridCol w:w="1349"/>
        <w:gridCol w:w="1349"/>
      </w:tblGrid>
      <w:tr w:rsidR="00870495" w:rsidRPr="00831667" w:rsidTr="00C063F0">
        <w:tc>
          <w:tcPr>
            <w:tcW w:w="1695"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left"/>
            </w:pPr>
            <w:r w:rsidRPr="00831667">
              <w:t>$’000</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2013</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2014</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2015</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2016</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tcPr>
          <w:p w:rsidR="00870495" w:rsidRPr="00831667" w:rsidRDefault="00C063F0" w:rsidP="00870495">
            <w:pPr>
              <w:pStyle w:val="AAtabletopleft"/>
              <w:jc w:val="center"/>
            </w:pPr>
            <w:r>
              <w:t>2017</w:t>
            </w:r>
          </w:p>
        </w:tc>
      </w:tr>
      <w:tr w:rsidR="00C063F0" w:rsidRPr="00575D2D"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left"/>
            </w:pPr>
            <w:r w:rsidRPr="00575D2D">
              <w:t>$2006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823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-1,374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-1,715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-1,457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063F0" w:rsidRPr="00575D2D" w:rsidRDefault="00C063F0" w:rsidP="00870495">
            <w:pPr>
              <w:pStyle w:val="AAtablecolumn1"/>
              <w:jc w:val="center"/>
            </w:pPr>
            <w:r>
              <w:rPr>
                <w:rFonts w:ascii="Arial Narrow" w:hAnsi="Arial Narrow" w:cs="Tahoma"/>
                <w:color w:val="000000"/>
                <w:sz w:val="20"/>
              </w:rPr>
              <w:t xml:space="preserve">0 </w:t>
            </w:r>
          </w:p>
        </w:tc>
      </w:tr>
      <w:tr w:rsidR="00C063F0" w:rsidRPr="00831667"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left"/>
            </w:pPr>
            <w:r w:rsidRPr="00575D2D">
              <w:t>$ of day</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996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-1,705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-2,181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center"/>
            </w:pPr>
            <w:r>
              <w:rPr>
                <w:rFonts w:ascii="Arial Narrow" w:hAnsi="Arial Narrow" w:cs="Tahoma"/>
                <w:color w:val="000000"/>
                <w:sz w:val="20"/>
              </w:rPr>
              <w:t xml:space="preserve">-1,899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063F0" w:rsidRPr="00BC01A7" w:rsidRDefault="00C063F0" w:rsidP="00870495">
            <w:pPr>
              <w:pStyle w:val="AAtablecolumn1"/>
              <w:jc w:val="center"/>
            </w:pPr>
            <w:r>
              <w:rPr>
                <w:rFonts w:ascii="Arial Narrow" w:hAnsi="Arial Narrow" w:cs="Tahoma"/>
                <w:color w:val="000000"/>
                <w:sz w:val="20"/>
              </w:rPr>
              <w:t xml:space="preserve">0 </w:t>
            </w:r>
          </w:p>
        </w:tc>
      </w:tr>
    </w:tbl>
    <w:p w:rsidR="00870495" w:rsidRDefault="00870495" w:rsidP="00034E43">
      <w:pPr>
        <w:pStyle w:val="BodyText"/>
      </w:pPr>
    </w:p>
    <w:p w:rsidR="0047306B" w:rsidRDefault="0047306B" w:rsidP="00770A69">
      <w:pPr>
        <w:pStyle w:val="Heading1"/>
      </w:pPr>
      <w:bookmarkStart w:id="90" w:name="_Ref263943913"/>
      <w:bookmarkStart w:id="91" w:name="_Toc340216067"/>
      <w:r>
        <w:lastRenderedPageBreak/>
        <w:t>Approach to tariff setting</w:t>
      </w:r>
      <w:bookmarkEnd w:id="90"/>
      <w:bookmarkEnd w:id="91"/>
    </w:p>
    <w:p w:rsidR="00981477" w:rsidRDefault="00981477" w:rsidP="00770A69">
      <w:pPr>
        <w:pStyle w:val="Heading2"/>
      </w:pPr>
      <w:bookmarkStart w:id="92" w:name="_Toc340216068"/>
      <w:r>
        <w:t>Reference services</w:t>
      </w:r>
      <w:bookmarkEnd w:id="92"/>
    </w:p>
    <w:p w:rsidR="00252EB6" w:rsidRDefault="001462F3" w:rsidP="001462F3">
      <w:pPr>
        <w:pStyle w:val="BodyText"/>
      </w:pPr>
      <w:r w:rsidRPr="001462F3">
        <w:t xml:space="preserve">APA </w:t>
      </w:r>
      <w:proofErr w:type="spellStart"/>
      <w:r w:rsidRPr="001462F3">
        <w:t>GasNet</w:t>
      </w:r>
      <w:proofErr w:type="spellEnd"/>
      <w:r w:rsidRPr="001462F3">
        <w:t xml:space="preserve"> provides </w:t>
      </w:r>
      <w:r w:rsidR="00252EB6">
        <w:t>two</w:t>
      </w:r>
      <w:r w:rsidR="00252EB6" w:rsidRPr="001462F3">
        <w:t xml:space="preserve"> </w:t>
      </w:r>
      <w:r w:rsidRPr="001462F3">
        <w:t>Pipeline Service</w:t>
      </w:r>
      <w:r w:rsidR="00252EB6">
        <w:t>s:</w:t>
      </w:r>
    </w:p>
    <w:p w:rsidR="00000000" w:rsidRDefault="001462F3">
      <w:pPr>
        <w:pStyle w:val="BodyText"/>
        <w:numPr>
          <w:ilvl w:val="0"/>
          <w:numId w:val="13"/>
        </w:numPr>
      </w:pPr>
      <w:proofErr w:type="spellStart"/>
      <w:r w:rsidRPr="001462F3">
        <w:t>Tariffed</w:t>
      </w:r>
      <w:proofErr w:type="spellEnd"/>
      <w:r w:rsidRPr="001462F3">
        <w:t xml:space="preserve"> Transmission Service</w:t>
      </w:r>
      <w:r w:rsidR="00252EB6">
        <w:t>;</w:t>
      </w:r>
      <w:r w:rsidRPr="001462F3">
        <w:t xml:space="preserve"> and </w:t>
      </w:r>
    </w:p>
    <w:p w:rsidR="00000000" w:rsidRDefault="00252EB6">
      <w:pPr>
        <w:pStyle w:val="BodyText"/>
        <w:numPr>
          <w:ilvl w:val="0"/>
          <w:numId w:val="13"/>
        </w:numPr>
      </w:pPr>
      <w:r>
        <w:t>AMDQ CC Reference Service.</w:t>
      </w:r>
    </w:p>
    <w:p w:rsidR="00FD6A6F" w:rsidRDefault="00FD6A6F" w:rsidP="00FD6A6F">
      <w:pPr>
        <w:pStyle w:val="Heading5"/>
      </w:pPr>
      <w:r>
        <w:t>Tariff structure</w:t>
      </w:r>
    </w:p>
    <w:p w:rsidR="001462F3" w:rsidRDefault="001462F3" w:rsidP="001462F3">
      <w:pPr>
        <w:pStyle w:val="BodyText"/>
      </w:pPr>
      <w:r w:rsidRPr="001462F3">
        <w:t xml:space="preserve">The </w:t>
      </w:r>
      <w:proofErr w:type="spellStart"/>
      <w:r w:rsidRPr="001462F3">
        <w:t>Tariffed</w:t>
      </w:r>
      <w:proofErr w:type="spellEnd"/>
      <w:r w:rsidRPr="001462F3">
        <w:t xml:space="preserve"> Transmission Service is a </w:t>
      </w:r>
      <w:proofErr w:type="spellStart"/>
      <w:r w:rsidRPr="001462F3">
        <w:t>zonal</w:t>
      </w:r>
      <w:proofErr w:type="spellEnd"/>
      <w:r w:rsidRPr="001462F3">
        <w:t>-distance-based volume tariff, with no capacity component.</w:t>
      </w:r>
    </w:p>
    <w:p w:rsidR="00C940AC" w:rsidRPr="00AF420C" w:rsidRDefault="00CE1F33" w:rsidP="00770A69">
      <w:pPr>
        <w:pStyle w:val="Heading2"/>
      </w:pPr>
      <w:bookmarkStart w:id="93" w:name="_Toc340216069"/>
      <w:r w:rsidRPr="00AF420C">
        <w:t>Allocation of revenue to tariffs</w:t>
      </w:r>
      <w:bookmarkEnd w:id="93"/>
    </w:p>
    <w:p w:rsidR="00CE1F33" w:rsidRDefault="00CE1F33" w:rsidP="00CE1F33">
      <w:pPr>
        <w:pStyle w:val="BodyText"/>
        <w:rPr>
          <w:snapToGrid w:val="0"/>
        </w:rPr>
      </w:pPr>
      <w:r>
        <w:rPr>
          <w:snapToGrid w:val="0"/>
        </w:rPr>
        <w:t xml:space="preserve">Reference tariffs are designed to recover the total revenue allocated to </w:t>
      </w:r>
      <w:r w:rsidR="00643618">
        <w:rPr>
          <w:snapToGrid w:val="0"/>
        </w:rPr>
        <w:t>the Reference Service based on costs allocated to the Reference Service.</w:t>
      </w:r>
      <w:r>
        <w:rPr>
          <w:snapToGrid w:val="0"/>
        </w:rPr>
        <w:t xml:space="preserve"> This approach equalises revenue derived from the application of reference tariffs with the total</w:t>
      </w:r>
      <w:r w:rsidR="00643618">
        <w:rPr>
          <w:snapToGrid w:val="0"/>
        </w:rPr>
        <w:t xml:space="preserve"> Reference Service</w:t>
      </w:r>
      <w:r>
        <w:rPr>
          <w:snapToGrid w:val="0"/>
        </w:rPr>
        <w:t xml:space="preserve"> revenue requirement, assuming that assumptions regarding costs and demand hold. </w:t>
      </w:r>
    </w:p>
    <w:p w:rsidR="00CE1F33" w:rsidRDefault="00CE1F33" w:rsidP="00CE1F33">
      <w:pPr>
        <w:pStyle w:val="BodyText"/>
        <w:rPr>
          <w:snapToGrid w:val="0"/>
        </w:rPr>
      </w:pPr>
      <w:r>
        <w:rPr>
          <w:snapToGrid w:val="0"/>
        </w:rPr>
        <w:t xml:space="preserve">The </w:t>
      </w:r>
      <w:r w:rsidR="00FA1180">
        <w:rPr>
          <w:snapToGrid w:val="0"/>
        </w:rPr>
        <w:t>f</w:t>
      </w:r>
      <w:r>
        <w:rPr>
          <w:snapToGrid w:val="0"/>
        </w:rPr>
        <w:t xml:space="preserve">orecast </w:t>
      </w:r>
      <w:r w:rsidR="00FA1180">
        <w:rPr>
          <w:snapToGrid w:val="0"/>
        </w:rPr>
        <w:t>r</w:t>
      </w:r>
      <w:r>
        <w:rPr>
          <w:snapToGrid w:val="0"/>
        </w:rPr>
        <w:t xml:space="preserve">evenue </w:t>
      </w:r>
      <w:r w:rsidR="00FA1180">
        <w:rPr>
          <w:snapToGrid w:val="0"/>
        </w:rPr>
        <w:t>r</w:t>
      </w:r>
      <w:r>
        <w:rPr>
          <w:snapToGrid w:val="0"/>
        </w:rPr>
        <w:t xml:space="preserve">equirement </w:t>
      </w:r>
      <w:r w:rsidR="00BA6B4B">
        <w:rPr>
          <w:snapToGrid w:val="0"/>
        </w:rPr>
        <w:t xml:space="preserve">for the access arrangement period is shown in </w:t>
      </w:r>
      <w:r w:rsidR="00751B94">
        <w:rPr>
          <w:snapToGrid w:val="0"/>
        </w:rPr>
        <w:fldChar w:fldCharType="begin"/>
      </w:r>
      <w:r w:rsidR="00BA6B4B">
        <w:rPr>
          <w:snapToGrid w:val="0"/>
        </w:rPr>
        <w:instrText xml:space="preserve"> REF _Ref273440263 \h </w:instrText>
      </w:r>
      <w:r w:rsidR="00751B94">
        <w:rPr>
          <w:snapToGrid w:val="0"/>
        </w:rPr>
      </w:r>
      <w:r w:rsidR="00751B94">
        <w:rPr>
          <w:snapToGrid w:val="0"/>
        </w:rPr>
        <w:fldChar w:fldCharType="separate"/>
      </w:r>
      <w:r w:rsidR="000226EA" w:rsidRPr="00E464B8">
        <w:rPr>
          <w:iCs/>
        </w:rPr>
        <w:t xml:space="preserve">Table </w:t>
      </w:r>
      <w:r w:rsidR="000226EA">
        <w:rPr>
          <w:bCs/>
          <w:iCs/>
          <w:noProof/>
        </w:rPr>
        <w:t>10</w:t>
      </w:r>
      <w:r w:rsidR="000226EA" w:rsidRPr="00E464B8">
        <w:rPr>
          <w:iCs/>
        </w:rPr>
        <w:t>.</w:t>
      </w:r>
      <w:r w:rsidR="000226EA">
        <w:rPr>
          <w:bCs/>
          <w:iCs/>
          <w:noProof/>
        </w:rPr>
        <w:t>1</w:t>
      </w:r>
      <w:r w:rsidR="00751B94">
        <w:rPr>
          <w:snapToGrid w:val="0"/>
        </w:rPr>
        <w:fldChar w:fldCharType="end"/>
      </w:r>
      <w:r w:rsidR="0098336A">
        <w:rPr>
          <w:snapToGrid w:val="0"/>
        </w:rPr>
        <w:t xml:space="preserve"> </w:t>
      </w:r>
      <w:r w:rsidR="00BA6B4B">
        <w:rPr>
          <w:snapToGrid w:val="0"/>
        </w:rPr>
        <w:t xml:space="preserve">below. </w:t>
      </w:r>
    </w:p>
    <w:p w:rsidR="00CE1F33" w:rsidRPr="00E464B8" w:rsidRDefault="00BA6B4B" w:rsidP="00E464B8">
      <w:pPr>
        <w:pStyle w:val="Caption"/>
        <w:rPr>
          <w:bCs w:val="0"/>
          <w:iCs/>
          <w:sz w:val="22"/>
        </w:rPr>
      </w:pPr>
      <w:bookmarkStart w:id="94" w:name="_Ref273440263"/>
      <w:proofErr w:type="gramStart"/>
      <w:r w:rsidRPr="00E464B8">
        <w:rPr>
          <w:bCs w:val="0"/>
          <w:iCs/>
          <w:sz w:val="22"/>
        </w:rPr>
        <w:t xml:space="preserve">Table </w:t>
      </w:r>
      <w:proofErr w:type="gramEnd"/>
      <w:r w:rsidR="00751B94" w:rsidRPr="00E464B8">
        <w:rPr>
          <w:bCs w:val="0"/>
          <w:iCs/>
          <w:sz w:val="22"/>
        </w:rPr>
        <w:fldChar w:fldCharType="begin"/>
      </w:r>
      <w:r w:rsidRPr="00E464B8">
        <w:rPr>
          <w:bCs w:val="0"/>
          <w:iCs/>
          <w:sz w:val="22"/>
        </w:rPr>
        <w:instrText xml:space="preserve"> STYLEREF 1 \s </w:instrText>
      </w:r>
      <w:r w:rsidR="00751B94" w:rsidRPr="00E464B8">
        <w:rPr>
          <w:bCs w:val="0"/>
          <w:iCs/>
          <w:sz w:val="22"/>
        </w:rPr>
        <w:fldChar w:fldCharType="separate"/>
      </w:r>
      <w:r w:rsidR="000226EA">
        <w:rPr>
          <w:bCs w:val="0"/>
          <w:iCs/>
          <w:noProof/>
          <w:sz w:val="22"/>
        </w:rPr>
        <w:t>10</w:t>
      </w:r>
      <w:r w:rsidR="00751B94" w:rsidRPr="00E464B8">
        <w:rPr>
          <w:bCs w:val="0"/>
          <w:iCs/>
          <w:sz w:val="22"/>
        </w:rPr>
        <w:fldChar w:fldCharType="end"/>
      </w:r>
      <w:proofErr w:type="gramStart"/>
      <w:r w:rsidRPr="00E464B8">
        <w:rPr>
          <w:bCs w:val="0"/>
          <w:iCs/>
          <w:sz w:val="22"/>
        </w:rPr>
        <w:t>.</w:t>
      </w:r>
      <w:proofErr w:type="gramEnd"/>
      <w:r w:rsidR="00751B94" w:rsidRPr="00E464B8">
        <w:rPr>
          <w:bCs w:val="0"/>
          <w:iCs/>
          <w:sz w:val="22"/>
        </w:rPr>
        <w:fldChar w:fldCharType="begin"/>
      </w:r>
      <w:r w:rsidRPr="00E464B8">
        <w:rPr>
          <w:bCs w:val="0"/>
          <w:iCs/>
          <w:sz w:val="22"/>
        </w:rPr>
        <w:instrText xml:space="preserve"> SEQ Table \* ARABIC \s 1 </w:instrText>
      </w:r>
      <w:r w:rsidR="00751B94" w:rsidRPr="00E464B8">
        <w:rPr>
          <w:bCs w:val="0"/>
          <w:iCs/>
          <w:sz w:val="22"/>
        </w:rPr>
        <w:fldChar w:fldCharType="separate"/>
      </w:r>
      <w:r w:rsidR="000226EA">
        <w:rPr>
          <w:bCs w:val="0"/>
          <w:iCs/>
          <w:noProof/>
          <w:sz w:val="22"/>
        </w:rPr>
        <w:t>1</w:t>
      </w:r>
      <w:r w:rsidR="00751B94" w:rsidRPr="00E464B8">
        <w:rPr>
          <w:bCs w:val="0"/>
          <w:iCs/>
          <w:sz w:val="22"/>
        </w:rPr>
        <w:fldChar w:fldCharType="end"/>
      </w:r>
      <w:bookmarkEnd w:id="94"/>
      <w:r w:rsidR="009A3F67" w:rsidRPr="00E464B8">
        <w:rPr>
          <w:bCs w:val="0"/>
          <w:iCs/>
          <w:sz w:val="22"/>
        </w:rPr>
        <w:t xml:space="preserve"> – Forecast</w:t>
      </w:r>
      <w:r w:rsidR="007E61B7">
        <w:rPr>
          <w:bCs w:val="0"/>
          <w:iCs/>
          <w:sz w:val="22"/>
        </w:rPr>
        <w:t xml:space="preserve"> Reference Service</w:t>
      </w:r>
      <w:r w:rsidR="00CE1F33" w:rsidRPr="00E464B8">
        <w:rPr>
          <w:bCs w:val="0"/>
          <w:iCs/>
          <w:sz w:val="22"/>
        </w:rPr>
        <w:t xml:space="preserve"> </w:t>
      </w:r>
      <w:r w:rsidRPr="00E464B8">
        <w:rPr>
          <w:bCs w:val="0"/>
          <w:iCs/>
          <w:sz w:val="22"/>
        </w:rPr>
        <w:t>r</w:t>
      </w:r>
      <w:r w:rsidR="00CE1F33" w:rsidRPr="00E464B8">
        <w:rPr>
          <w:bCs w:val="0"/>
          <w:iCs/>
          <w:sz w:val="22"/>
        </w:rPr>
        <w:t xml:space="preserve">evenue </w:t>
      </w:r>
      <w:r w:rsidRPr="00E464B8">
        <w:rPr>
          <w:bCs w:val="0"/>
          <w:iCs/>
          <w:sz w:val="22"/>
        </w:rPr>
        <w:t>r</w:t>
      </w:r>
      <w:r w:rsidR="00CE1F33" w:rsidRPr="00E464B8">
        <w:rPr>
          <w:bCs w:val="0"/>
          <w:iCs/>
          <w:sz w:val="22"/>
        </w:rPr>
        <w:t xml:space="preserve">equirement </w:t>
      </w:r>
      <w:r w:rsidRPr="00E464B8">
        <w:rPr>
          <w:bCs w:val="0"/>
          <w:iCs/>
          <w:sz w:val="22"/>
        </w:rPr>
        <w:t>fo</w:t>
      </w:r>
      <w:r w:rsidR="00A204FD">
        <w:rPr>
          <w:bCs w:val="0"/>
          <w:iCs/>
          <w:sz w:val="22"/>
        </w:rPr>
        <w:t>r the access arrangement period</w:t>
      </w:r>
    </w:p>
    <w:tbl>
      <w:tblPr>
        <w:tblW w:w="8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71"/>
        <w:gridCol w:w="1129"/>
        <w:gridCol w:w="1247"/>
        <w:gridCol w:w="1248"/>
        <w:gridCol w:w="1247"/>
        <w:gridCol w:w="1248"/>
      </w:tblGrid>
      <w:tr w:rsidR="003E3D51" w:rsidRPr="009272CB" w:rsidTr="00FA1180">
        <w:tc>
          <w:tcPr>
            <w:tcW w:w="2471"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FA1180">
        <w:tc>
          <w:tcPr>
            <w:tcW w:w="2471" w:type="dxa"/>
            <w:vAlign w:val="center"/>
          </w:tcPr>
          <w:p w:rsidR="00A740CD" w:rsidRPr="001F6F2E" w:rsidRDefault="00FA1180" w:rsidP="00281545">
            <w:pPr>
              <w:pStyle w:val="TableBodyTextBold"/>
              <w:jc w:val="left"/>
              <w:rPr>
                <w:sz w:val="20"/>
              </w:rPr>
            </w:pPr>
            <w:r>
              <w:rPr>
                <w:rFonts w:cs="Tahoma"/>
                <w:b w:val="0"/>
                <w:bCs w:val="0"/>
                <w:sz w:val="20"/>
              </w:rPr>
              <w:t xml:space="preserve">Forecast </w:t>
            </w:r>
            <w:r w:rsidR="00A740CD">
              <w:rPr>
                <w:rFonts w:cs="Tahoma"/>
                <w:b w:val="0"/>
                <w:bCs w:val="0"/>
                <w:sz w:val="20"/>
              </w:rPr>
              <w:t>Reference Service revenue requirement</w:t>
            </w:r>
          </w:p>
        </w:tc>
        <w:tc>
          <w:tcPr>
            <w:tcW w:w="1129"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 87.7 </w:t>
            </w:r>
          </w:p>
        </w:tc>
        <w:tc>
          <w:tcPr>
            <w:tcW w:w="1247"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 90.6 </w:t>
            </w:r>
          </w:p>
        </w:tc>
        <w:tc>
          <w:tcPr>
            <w:tcW w:w="1248"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 100.5 </w:t>
            </w:r>
          </w:p>
        </w:tc>
        <w:tc>
          <w:tcPr>
            <w:tcW w:w="1247"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 104.8 </w:t>
            </w:r>
          </w:p>
        </w:tc>
        <w:tc>
          <w:tcPr>
            <w:tcW w:w="1248"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 103.7 </w:t>
            </w:r>
          </w:p>
        </w:tc>
      </w:tr>
    </w:tbl>
    <w:p w:rsidR="00FA1180" w:rsidRDefault="00FA1180" w:rsidP="00FA1180">
      <w:pPr>
        <w:pStyle w:val="BodyText"/>
        <w:rPr>
          <w:snapToGrid w:val="0"/>
        </w:rPr>
      </w:pPr>
      <w:bookmarkStart w:id="95" w:name="_Ref272832091"/>
      <w:r>
        <w:rPr>
          <w:snapToGrid w:val="0"/>
        </w:rPr>
        <w:t xml:space="preserve">The forecast revenue stream for the access arrangement period is shown in </w:t>
      </w:r>
      <w:r w:rsidR="00751B94">
        <w:rPr>
          <w:snapToGrid w:val="0"/>
        </w:rPr>
        <w:fldChar w:fldCharType="begin"/>
      </w:r>
      <w:r>
        <w:rPr>
          <w:snapToGrid w:val="0"/>
        </w:rPr>
        <w:instrText xml:space="preserve"> REF _Ref273440263 \h </w:instrText>
      </w:r>
      <w:r w:rsidR="00751B94">
        <w:rPr>
          <w:snapToGrid w:val="0"/>
        </w:rPr>
      </w:r>
      <w:r w:rsidR="00751B94">
        <w:rPr>
          <w:snapToGrid w:val="0"/>
        </w:rPr>
        <w:fldChar w:fldCharType="separate"/>
      </w:r>
      <w:r w:rsidR="000226EA" w:rsidRPr="00E464B8">
        <w:rPr>
          <w:iCs/>
        </w:rPr>
        <w:t xml:space="preserve">Table </w:t>
      </w:r>
      <w:r w:rsidR="000226EA">
        <w:rPr>
          <w:bCs/>
          <w:iCs/>
          <w:noProof/>
        </w:rPr>
        <w:t>10</w:t>
      </w:r>
      <w:r w:rsidR="000226EA" w:rsidRPr="00E464B8">
        <w:rPr>
          <w:iCs/>
        </w:rPr>
        <w:t>.</w:t>
      </w:r>
      <w:r w:rsidR="000226EA">
        <w:rPr>
          <w:bCs/>
          <w:iCs/>
          <w:noProof/>
        </w:rPr>
        <w:t>1</w:t>
      </w:r>
      <w:r w:rsidR="00751B94">
        <w:rPr>
          <w:snapToGrid w:val="0"/>
        </w:rPr>
        <w:fldChar w:fldCharType="end"/>
      </w:r>
      <w:r>
        <w:rPr>
          <w:snapToGrid w:val="0"/>
        </w:rPr>
        <w:t xml:space="preserve"> below. </w:t>
      </w:r>
    </w:p>
    <w:p w:rsidR="00CE1F33" w:rsidRPr="00015B74" w:rsidRDefault="00CE1F33" w:rsidP="00CE1F33">
      <w:pPr>
        <w:pStyle w:val="StyleCaption11ptBlueBefore6ptAfter6ptLinespac"/>
        <w:keepNext/>
      </w:pPr>
      <w:proofErr w:type="gramStart"/>
      <w:r>
        <w:t xml:space="preserve">Table </w:t>
      </w:r>
      <w:proofErr w:type="gramEnd"/>
      <w:r w:rsidR="00751B94">
        <w:fldChar w:fldCharType="begin"/>
      </w:r>
      <w:r w:rsidR="003E0D64">
        <w:instrText xml:space="preserve"> STYLEREF 1 \s </w:instrText>
      </w:r>
      <w:r w:rsidR="00751B94">
        <w:fldChar w:fldCharType="separate"/>
      </w:r>
      <w:r w:rsidR="000226EA">
        <w:rPr>
          <w:noProof/>
        </w:rPr>
        <w:t>10</w:t>
      </w:r>
      <w:r w:rsidR="00751B94">
        <w:rPr>
          <w:noProof/>
        </w:rPr>
        <w:fldChar w:fldCharType="end"/>
      </w:r>
      <w:proofErr w:type="gramStart"/>
      <w:r w:rsidR="00BA6B4B">
        <w:t>.</w:t>
      </w:r>
      <w:proofErr w:type="gramEnd"/>
      <w:r w:rsidR="00751B94">
        <w:fldChar w:fldCharType="begin"/>
      </w:r>
      <w:r w:rsidR="003E0D64">
        <w:instrText xml:space="preserve"> SEQ Table \* ARABIC \s 1 </w:instrText>
      </w:r>
      <w:r w:rsidR="00751B94">
        <w:fldChar w:fldCharType="separate"/>
      </w:r>
      <w:r w:rsidR="000226EA">
        <w:rPr>
          <w:noProof/>
        </w:rPr>
        <w:t>2</w:t>
      </w:r>
      <w:r w:rsidR="00751B94">
        <w:rPr>
          <w:noProof/>
        </w:rPr>
        <w:fldChar w:fldCharType="end"/>
      </w:r>
      <w:bookmarkEnd w:id="95"/>
      <w:r>
        <w:t xml:space="preserve"> </w:t>
      </w:r>
      <w:r w:rsidR="00F91DF8">
        <w:t xml:space="preserve">– </w:t>
      </w:r>
      <w:r w:rsidR="00FA1180">
        <w:t>Forecast</w:t>
      </w:r>
      <w:r>
        <w:t xml:space="preserve"> Reference Tariff </w:t>
      </w:r>
      <w:r w:rsidR="00FA1180">
        <w:t>r</w:t>
      </w:r>
      <w:r>
        <w:t xml:space="preserve">evenue </w:t>
      </w:r>
      <w:r w:rsidR="00FA1180">
        <w:t>s</w:t>
      </w:r>
      <w:r w:rsidRPr="009A3F67">
        <w:t>tream</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247"/>
        <w:gridCol w:w="1247"/>
        <w:gridCol w:w="1248"/>
        <w:gridCol w:w="1247"/>
        <w:gridCol w:w="1248"/>
      </w:tblGrid>
      <w:tr w:rsidR="003E3D51" w:rsidRPr="009272CB" w:rsidTr="00281545">
        <w:tc>
          <w:tcPr>
            <w:tcW w:w="2235"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A740CD">
        <w:tc>
          <w:tcPr>
            <w:tcW w:w="2235" w:type="dxa"/>
            <w:vAlign w:val="center"/>
          </w:tcPr>
          <w:p w:rsidR="00A740CD" w:rsidRPr="001F6F2E" w:rsidRDefault="00A740CD" w:rsidP="00281545">
            <w:pPr>
              <w:pStyle w:val="TableBodyTextBold"/>
              <w:jc w:val="left"/>
              <w:rPr>
                <w:sz w:val="20"/>
              </w:rPr>
            </w:pPr>
            <w:r>
              <w:rPr>
                <w:rFonts w:cs="Tahoma"/>
                <w:b w:val="0"/>
                <w:bCs w:val="0"/>
                <w:sz w:val="20"/>
              </w:rPr>
              <w:t xml:space="preserve">Forecast Reference Service revenue </w:t>
            </w:r>
          </w:p>
        </w:tc>
        <w:tc>
          <w:tcPr>
            <w:tcW w:w="1247"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102.1 </w:t>
            </w:r>
          </w:p>
        </w:tc>
        <w:tc>
          <w:tcPr>
            <w:tcW w:w="1247"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90.1 </w:t>
            </w:r>
          </w:p>
        </w:tc>
        <w:tc>
          <w:tcPr>
            <w:tcW w:w="1248"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95.1 </w:t>
            </w:r>
          </w:p>
        </w:tc>
        <w:tc>
          <w:tcPr>
            <w:tcW w:w="1247"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97.2 </w:t>
            </w:r>
          </w:p>
        </w:tc>
        <w:tc>
          <w:tcPr>
            <w:tcW w:w="1248" w:type="dxa"/>
          </w:tcPr>
          <w:p w:rsidR="00A740CD" w:rsidRPr="00A740CD" w:rsidRDefault="00751B94" w:rsidP="006E0632">
            <w:pPr>
              <w:spacing w:before="240"/>
              <w:jc w:val="center"/>
              <w:rPr>
                <w:rFonts w:ascii="Arial Narrow" w:hAnsi="Arial Narrow" w:cs="Tahoma"/>
                <w:b/>
                <w:bCs/>
                <w:color w:val="333333"/>
                <w:sz w:val="20"/>
              </w:rPr>
            </w:pPr>
            <w:r w:rsidRPr="00751B94">
              <w:rPr>
                <w:rFonts w:ascii="Arial Narrow" w:hAnsi="Arial Narrow"/>
                <w:sz w:val="20"/>
              </w:rPr>
              <w:t xml:space="preserve">99.7 </w:t>
            </w:r>
          </w:p>
        </w:tc>
      </w:tr>
    </w:tbl>
    <w:p w:rsidR="00DD2707" w:rsidRPr="00E8148D" w:rsidRDefault="00DD2707" w:rsidP="00DD2707">
      <w:pPr>
        <w:pStyle w:val="BodyText"/>
      </w:pPr>
      <w:r w:rsidRPr="00E8148D">
        <w:t xml:space="preserve">The net present value of the </w:t>
      </w:r>
      <w:r w:rsidR="00FA1180">
        <w:t>forecast R</w:t>
      </w:r>
      <w:r w:rsidRPr="00E8148D">
        <w:t xml:space="preserve">eference </w:t>
      </w:r>
      <w:r w:rsidR="00FA1180">
        <w:t>T</w:t>
      </w:r>
      <w:r w:rsidRPr="00E8148D">
        <w:t>ariff revenue stream</w:t>
      </w:r>
      <w:r>
        <w:t xml:space="preserve"> when discounted at the </w:t>
      </w:r>
      <w:r w:rsidR="00FD6A6F">
        <w:t>nominal</w:t>
      </w:r>
      <w:r>
        <w:t xml:space="preserve"> WACC of </w:t>
      </w:r>
      <w:r w:rsidR="00A740CD">
        <w:t>7.22</w:t>
      </w:r>
      <w:r>
        <w:t xml:space="preserve">% </w:t>
      </w:r>
      <w:r w:rsidRPr="00AF420C">
        <w:t>is $</w:t>
      </w:r>
      <w:r w:rsidR="00A740CD">
        <w:t>395</w:t>
      </w:r>
      <w:r w:rsidRPr="00AF420C">
        <w:t xml:space="preserve"> million</w:t>
      </w:r>
      <w:r w:rsidR="0081338B">
        <w:t>,</w:t>
      </w:r>
      <w:r w:rsidRPr="00AF420C">
        <w:t xml:space="preserve"> which</w:t>
      </w:r>
      <w:r>
        <w:t xml:space="preserve"> is equal to the </w:t>
      </w:r>
      <w:r w:rsidR="00D6461E">
        <w:t xml:space="preserve">present value of the </w:t>
      </w:r>
      <w:r w:rsidR="007E61B7">
        <w:t xml:space="preserve">Reference Service </w:t>
      </w:r>
      <w:r>
        <w:t>revenue requirement.</w:t>
      </w:r>
    </w:p>
    <w:p w:rsidR="00C940AC" w:rsidRPr="006725DA" w:rsidRDefault="006725DA" w:rsidP="00770A69">
      <w:pPr>
        <w:pStyle w:val="Heading2"/>
      </w:pPr>
      <w:bookmarkStart w:id="96" w:name="_Toc340216070"/>
      <w:r w:rsidRPr="006725DA">
        <w:lastRenderedPageBreak/>
        <w:t>Reference Tariffs</w:t>
      </w:r>
      <w:bookmarkEnd w:id="96"/>
      <w:r w:rsidRPr="006725DA">
        <w:t xml:space="preserve"> </w:t>
      </w:r>
    </w:p>
    <w:p w:rsidR="009D0268" w:rsidRDefault="006725DA" w:rsidP="009D0268">
      <w:pPr>
        <w:pStyle w:val="BodyText"/>
      </w:pPr>
      <w:r>
        <w:t>Tariffs for reference services are set out in the access arrangement. Tariffs are published for 201</w:t>
      </w:r>
      <w:r w:rsidR="0028260E">
        <w:t>3</w:t>
      </w:r>
      <w:r>
        <w:t xml:space="preserve"> (in $</w:t>
      </w:r>
      <w:r w:rsidRPr="008F5F17">
        <w:t>201</w:t>
      </w:r>
      <w:r w:rsidR="0028260E" w:rsidRPr="008F5F17">
        <w:t>3</w:t>
      </w:r>
      <w:r>
        <w:t xml:space="preserve">) and are exclusive of </w:t>
      </w:r>
      <w:r w:rsidR="008713F6">
        <w:t>g</w:t>
      </w:r>
      <w:r>
        <w:t xml:space="preserve">oods and </w:t>
      </w:r>
      <w:r w:rsidR="008713F6">
        <w:t>s</w:t>
      </w:r>
      <w:r>
        <w:t xml:space="preserve">ervices </w:t>
      </w:r>
      <w:r w:rsidR="008713F6">
        <w:t>t</w:t>
      </w:r>
      <w:r>
        <w:t xml:space="preserve">ax (GST). </w:t>
      </w:r>
    </w:p>
    <w:p w:rsidR="00A87A5D" w:rsidRPr="008F5F17" w:rsidRDefault="00A87A5D" w:rsidP="00A87A5D">
      <w:pPr>
        <w:pStyle w:val="BodyText"/>
      </w:pPr>
      <w:r w:rsidRPr="008F5F17">
        <w:t>Reference Tariffs are varied in later years of the access arrangement period through the operation of the reference tariff adjustment mechanism, made up of:</w:t>
      </w:r>
    </w:p>
    <w:p w:rsidR="00A87A5D" w:rsidRPr="00FD6A6F" w:rsidRDefault="000F5CD5" w:rsidP="00A87A5D">
      <w:pPr>
        <w:pStyle w:val="ListBullet"/>
      </w:pPr>
      <w:proofErr w:type="spellStart"/>
      <w:r>
        <w:t>aplication</w:t>
      </w:r>
      <w:proofErr w:type="spellEnd"/>
      <w:r>
        <w:t xml:space="preserve"> of the Price Control</w:t>
      </w:r>
      <w:r w:rsidR="00A87A5D" w:rsidRPr="00A87A5D">
        <w:t xml:space="preserve"> Formula - which applies in respect of each Year during the Access Arrangement Period</w:t>
      </w:r>
      <w:r w:rsidR="00A87A5D">
        <w:t>;</w:t>
      </w:r>
      <w:r w:rsidR="00A87A5D" w:rsidRPr="00FD6A6F">
        <w:t xml:space="preserve"> and</w:t>
      </w:r>
    </w:p>
    <w:p w:rsidR="00A87A5D" w:rsidRDefault="00A87A5D" w:rsidP="00A87A5D">
      <w:pPr>
        <w:pStyle w:val="ListBullet"/>
      </w:pPr>
      <w:r w:rsidRPr="00A87A5D">
        <w:t>a Cost Pass-through Reference Tariff Adjustment Mechanism - under which Service Provider may seek to vary one or more of the Reference Tariffs as a result of a Cost Pass-through Event</w:t>
      </w:r>
      <w:r w:rsidRPr="00FD6A6F">
        <w:t>.</w:t>
      </w:r>
    </w:p>
    <w:p w:rsidR="008F5F17" w:rsidRPr="008F5F17" w:rsidRDefault="000F5CD5" w:rsidP="008F5F17">
      <w:pPr>
        <w:pStyle w:val="Heading3"/>
        <w:tabs>
          <w:tab w:val="clear" w:pos="964"/>
        </w:tabs>
        <w:ind w:left="0"/>
      </w:pPr>
      <w:bookmarkStart w:id="97" w:name="_Toc340216071"/>
      <w:r>
        <w:t>Price Control Formula</w:t>
      </w:r>
      <w:bookmarkEnd w:id="97"/>
      <w:r w:rsidR="008F5F17" w:rsidRPr="008F5F17">
        <w:t xml:space="preserve"> </w:t>
      </w:r>
    </w:p>
    <w:p w:rsidR="00A34E9B" w:rsidRDefault="00A87A5D" w:rsidP="008F5F17">
      <w:pPr>
        <w:pStyle w:val="BodyText"/>
      </w:pPr>
      <w:r>
        <w:t xml:space="preserve">The </w:t>
      </w:r>
      <w:r w:rsidR="000F5CD5">
        <w:t>price Control Formula</w:t>
      </w:r>
      <w:r>
        <w:t xml:space="preserve"> is specified in </w:t>
      </w:r>
      <w:r w:rsidR="00BE6B19">
        <w:t>Schedule D</w:t>
      </w:r>
      <w:r w:rsidR="00BE6B19" w:rsidRPr="008F5F17">
        <w:t xml:space="preserve"> of </w:t>
      </w:r>
      <w:r w:rsidR="00A76F3A">
        <w:t>the access a</w:t>
      </w:r>
      <w:r>
        <w:t>rrangement as follows:</w:t>
      </w:r>
    </w:p>
    <w:p w:rsidR="00000000" w:rsidRDefault="00A77FBE">
      <w:pPr>
        <w:pStyle w:val="a"/>
        <w:ind w:left="0" w:firstLine="0"/>
        <w:rPr>
          <w:rFonts w:ascii="Arial Bold" w:hAnsi="Arial Bold"/>
          <w:b/>
          <w:i/>
          <w:color w:val="333333"/>
          <w:sz w:val="28"/>
        </w:rPr>
      </w:pPr>
      <w:r>
        <w:rPr>
          <w:rFonts w:ascii="Arial Bold" w:hAnsi="Arial Bold"/>
          <w:b/>
          <w:i/>
          <w:color w:val="333333"/>
          <w:sz w:val="28"/>
        </w:rPr>
        <w:t>D.1</w:t>
      </w:r>
      <w:r>
        <w:rPr>
          <w:rFonts w:ascii="Arial Bold" w:hAnsi="Arial Bold"/>
          <w:b/>
          <w:i/>
          <w:color w:val="333333"/>
          <w:sz w:val="28"/>
        </w:rPr>
        <w:tab/>
      </w:r>
      <w:r w:rsidRPr="00A77FBE">
        <w:rPr>
          <w:rFonts w:ascii="Arial Bold" w:hAnsi="Arial Bold"/>
          <w:b/>
          <w:i/>
          <w:color w:val="333333"/>
          <w:sz w:val="28"/>
        </w:rPr>
        <w:t>Revenue control principles</w:t>
      </w:r>
    </w:p>
    <w:p w:rsidR="00A77FBE" w:rsidRDefault="00A77FBE" w:rsidP="00A77FBE">
      <w:pPr>
        <w:pStyle w:val="a"/>
      </w:pPr>
      <w:r>
        <w:t>(a)</w:t>
      </w:r>
      <w:r>
        <w:tab/>
        <w:t>The revenue control model permits individual components of the Transmission Tariffs to be adjusted up or down for a given Regulatory Year after the first Regulatory Year provided that:</w:t>
      </w:r>
    </w:p>
    <w:p w:rsidR="00A77FBE" w:rsidRDefault="00A77FBE" w:rsidP="00A77FBE">
      <w:pPr>
        <w:pStyle w:val="i"/>
      </w:pPr>
      <w:r>
        <w:t>(</w:t>
      </w:r>
      <w:proofErr w:type="spellStart"/>
      <w:r>
        <w:t>i</w:t>
      </w:r>
      <w:proofErr w:type="spellEnd"/>
      <w:r>
        <w:t>)</w:t>
      </w:r>
      <w:r>
        <w:tab/>
        <w:t xml:space="preserve">the NPV of the actual revenues (AR) (determined in accordance with clause </w:t>
      </w:r>
      <w:r w:rsidR="009E4E7D">
        <w:t>D.2</w:t>
      </w:r>
      <w:r>
        <w:t xml:space="preserve"> below) achieved is to be no greater than the NPV of the adjusted target revenues (ATR) (determined in accordance with clause D.3 below); and </w:t>
      </w:r>
    </w:p>
    <w:p w:rsidR="00A77FBE" w:rsidRDefault="00A77FBE" w:rsidP="00A77FBE">
      <w:pPr>
        <w:pStyle w:val="i"/>
      </w:pPr>
      <w:r>
        <w:t>(ii)</w:t>
      </w:r>
      <w:r>
        <w:tab/>
      </w:r>
      <w:proofErr w:type="gramStart"/>
      <w:r>
        <w:t>no</w:t>
      </w:r>
      <w:proofErr w:type="gramEnd"/>
      <w:r>
        <w:t xml:space="preserve"> component of the Transmission Tariffs can be increased by more than (CPI - X)* (1 + Y) for any Regulatory Year, where:</w:t>
      </w:r>
    </w:p>
    <w:p w:rsidR="00A77FBE" w:rsidRDefault="00A77FBE" w:rsidP="00A77FBE">
      <w:pPr>
        <w:pStyle w:val="i"/>
        <w:ind w:left="2007"/>
      </w:pPr>
      <w:r>
        <w:t>(A)</w:t>
      </w:r>
      <w:r>
        <w:tab/>
        <w:t>X is the tariff path factor prescribed for that Transm</w:t>
      </w:r>
      <w:r w:rsidR="001B7EC1">
        <w:t>ission Tariff component in the access a</w:t>
      </w:r>
      <w:r>
        <w:t>rrangement; and</w:t>
      </w:r>
    </w:p>
    <w:p w:rsidR="00A77FBE" w:rsidRDefault="00A77FBE" w:rsidP="00A77FBE">
      <w:pPr>
        <w:pStyle w:val="i"/>
        <w:ind w:left="2007"/>
      </w:pPr>
      <w:r>
        <w:t>(B)</w:t>
      </w:r>
      <w:r>
        <w:tab/>
        <w:t>Y is 2%.</w:t>
      </w:r>
    </w:p>
    <w:p w:rsidR="00A77FBE" w:rsidRDefault="00A77FBE" w:rsidP="00A77FBE">
      <w:pPr>
        <w:pStyle w:val="a"/>
      </w:pPr>
      <w:r>
        <w:t>(b)</w:t>
      </w:r>
      <w:r>
        <w:tab/>
        <w:t xml:space="preserve">All monetary calculations and figures used in calculations in this Schedule </w:t>
      </w:r>
      <w:r w:rsidR="009E4E7D">
        <w:t>D</w:t>
      </w:r>
      <w:r>
        <w:t xml:space="preserve"> are to be expressed in real dollar values using a CPI indexed at December 2012, and using the best estimate of the CPI at December of each year of the Fourth Regulatory Period and in respect to target revenue</w:t>
      </w:r>
      <w:r w:rsidR="00BC1107">
        <w:t>s, the forecast CPI used in the access a</w:t>
      </w:r>
      <w:r>
        <w:t xml:space="preserve">rrangement.  </w:t>
      </w:r>
    </w:p>
    <w:p w:rsidR="00A77FBE" w:rsidRDefault="00A77FBE" w:rsidP="00A77FBE">
      <w:pPr>
        <w:pStyle w:val="a"/>
      </w:pPr>
      <w:r>
        <w:t>(c)</w:t>
      </w:r>
      <w:r>
        <w:tab/>
        <w:t>All calc</w:t>
      </w:r>
      <w:r w:rsidR="00A76F3A">
        <w:t xml:space="preserve">ulations and figures used in </w:t>
      </w:r>
      <w:r>
        <w:t xml:space="preserve">Schedule </w:t>
      </w:r>
      <w:r w:rsidR="009E4E7D">
        <w:t>D</w:t>
      </w:r>
      <w:r w:rsidR="00A76F3A">
        <w:t xml:space="preserve"> of the access arrangement</w:t>
      </w:r>
      <w:r>
        <w:t xml:space="preserve">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costs </w:t>
      </w:r>
      <w:r>
        <w:lastRenderedPageBreak/>
        <w:t>passed through under the Cost Pass-through Reference Tariff Adjustment Mechanism, etc).</w:t>
      </w:r>
    </w:p>
    <w:p w:rsidR="00A77FBE" w:rsidRDefault="00A77FBE" w:rsidP="00A77FBE">
      <w:pPr>
        <w:pStyle w:val="a"/>
      </w:pPr>
      <w:r>
        <w:t>(d)</w:t>
      </w:r>
      <w:r>
        <w:tab/>
        <w:t>The NPV is to be calculated using a discount rate equal to the real W</w:t>
      </w:r>
      <w:r w:rsidR="00A76F3A">
        <w:t>ACC as approved for the Fourth Access Arrangement P</w:t>
      </w:r>
      <w:r>
        <w:t>eriod.</w:t>
      </w:r>
    </w:p>
    <w:p w:rsidR="00A77FBE" w:rsidRDefault="003227CC" w:rsidP="00770A69">
      <w:pPr>
        <w:pStyle w:val="AppendixHeading2"/>
        <w:numPr>
          <w:ilvl w:val="0"/>
          <w:numId w:val="0"/>
        </w:numPr>
      </w:pPr>
      <w:r>
        <w:t>(e)</w:t>
      </w:r>
      <w:r>
        <w:tab/>
      </w:r>
      <w:r w:rsidRPr="00BE4641">
        <w:t>Separately report contracted AMDQ CC volume and actual injection volume under of the price control model.</w:t>
      </w:r>
      <w:bookmarkStart w:id="98" w:name="_Ref312156593"/>
      <w:bookmarkStart w:id="99" w:name="_Toc321061281"/>
      <w:bookmarkStart w:id="100" w:name="_Toc321062711"/>
      <w:r w:rsidR="00A77FBE">
        <w:t>D.2</w:t>
      </w:r>
      <w:r w:rsidR="00A77FBE">
        <w:tab/>
        <w:t>AR</w:t>
      </w:r>
      <w:bookmarkEnd w:id="98"/>
      <w:bookmarkEnd w:id="99"/>
      <w:bookmarkEnd w:id="100"/>
    </w:p>
    <w:p w:rsidR="00A77FBE" w:rsidRDefault="00A77FBE" w:rsidP="00A77FBE">
      <w:pPr>
        <w:pStyle w:val="AABody"/>
      </w:pPr>
      <w:r>
        <w:t>Each determination of AR will be equal to the best estimate of the actual revenues received for the whole of the Fourth Access Arrangement Period at the time of calculation, using both actual data (Actual Revenues) (where available) and best estimates of forecast revenues (Forecast Revenues) where required.</w:t>
      </w:r>
    </w:p>
    <w:p w:rsidR="00A77FBE" w:rsidRDefault="00A77FBE" w:rsidP="00A77FBE">
      <w:pPr>
        <w:pStyle w:val="AABody"/>
      </w:pPr>
      <w:r>
        <w:t>For example, for a determination of AR in November 2014, the best estimate of actual revenues will be the Actual Revenues in 2013 and the Forecast Revenues expected for the remainder of the Fourth Access Arrangement Period.  A determination of AR in subsequent years will use the Actual Revenues received where available, and the best revised forecasts for the remaining years, where the revised forecasts may differ from those forecasts made at earlier determinations.</w:t>
      </w:r>
    </w:p>
    <w:p w:rsidR="00A77FBE" w:rsidRDefault="00A77FBE" w:rsidP="00770A69">
      <w:pPr>
        <w:pStyle w:val="AppendixHeading2"/>
        <w:numPr>
          <w:ilvl w:val="0"/>
          <w:numId w:val="0"/>
        </w:numPr>
      </w:pPr>
      <w:bookmarkStart w:id="101" w:name="_Toc321061282"/>
      <w:bookmarkStart w:id="102" w:name="_Toc321062712"/>
      <w:r>
        <w:t>D.3</w:t>
      </w:r>
      <w:r>
        <w:tab/>
        <w:t>ATR</w:t>
      </w:r>
      <w:bookmarkEnd w:id="101"/>
      <w:bookmarkEnd w:id="102"/>
    </w:p>
    <w:p w:rsidR="003227CC" w:rsidRPr="00506892" w:rsidRDefault="003227CC" w:rsidP="003227CC">
      <w:pPr>
        <w:pStyle w:val="BodyText"/>
      </w:pPr>
      <w:r w:rsidRPr="00506892">
        <w:t>For the price control formula, the target revenue (TR) for 2013 is 50.08m in nominal 2013 dollars. Further, the total volume withdrawn from the VTS for 2013, excluding NRRV, is 104.097 PJ. These adjustments are to account for the late commencement date on the 1 July 2013 instead of 1 January 2013 for the fourth access arrangement period.</w:t>
      </w:r>
    </w:p>
    <w:p w:rsidR="00000000" w:rsidRDefault="008A21B6">
      <w:pPr>
        <w:pStyle w:val="BodyText"/>
      </w:pPr>
    </w:p>
    <w:p w:rsidR="00A77FBE" w:rsidRDefault="00A77FBE" w:rsidP="00A77FBE">
      <w:pPr>
        <w:pStyle w:val="AABody"/>
      </w:pPr>
      <w:r>
        <w:t xml:space="preserve"> </w:t>
      </w:r>
      <w:r w:rsidR="00075231" w:rsidRPr="0021662B">
        <w:rPr>
          <w:position w:val="-6"/>
        </w:rPr>
        <w:object w:dxaOrig="2880" w:dyaOrig="279">
          <v:shape id="_x0000_i1110" type="#_x0000_t75" style="width:2in;height:13.6pt" o:ole="">
            <v:imagedata r:id="rId19" o:title=""/>
          </v:shape>
          <o:OLEObject Type="Embed" ProgID="Equation.3" ShapeID="_x0000_i1110" DrawAspect="Content" ObjectID="_1428325608" r:id="rId20"/>
        </w:object>
      </w:r>
      <w:r w:rsidR="003227CC">
        <w:t>- FIDA - SIDA</w:t>
      </w:r>
    </w:p>
    <w:p w:rsidR="00A77FBE" w:rsidRDefault="00A77FBE" w:rsidP="00A77FBE">
      <w:pPr>
        <w:pStyle w:val="AABody"/>
        <w:ind w:left="720"/>
      </w:pPr>
      <w:r>
        <w:t>Where:</w:t>
      </w:r>
    </w:p>
    <w:p w:rsidR="00A77FBE" w:rsidRDefault="00A77FBE" w:rsidP="00A77FBE">
      <w:pPr>
        <w:pStyle w:val="AABody"/>
        <w:ind w:left="1440" w:hanging="720"/>
      </w:pPr>
      <w:r>
        <w:t>VATR</w:t>
      </w:r>
      <w:r>
        <w:tab/>
        <w:t xml:space="preserve">is volume adjusted target revenue calculated in accordance with clause </w:t>
      </w:r>
      <w:r w:rsidR="009E4E7D">
        <w:t>D.4</w:t>
      </w:r>
      <w:r>
        <w:t>;</w:t>
      </w:r>
    </w:p>
    <w:p w:rsidR="00A77FBE" w:rsidRDefault="00A77FBE" w:rsidP="00A77FBE">
      <w:pPr>
        <w:pStyle w:val="AABody"/>
        <w:ind w:left="720"/>
      </w:pPr>
      <w:r>
        <w:t>PTA</w:t>
      </w:r>
      <w:r>
        <w:tab/>
        <w:t xml:space="preserve">is the Pass </w:t>
      </w:r>
      <w:proofErr w:type="gramStart"/>
      <w:r>
        <w:t>Through</w:t>
      </w:r>
      <w:proofErr w:type="gramEnd"/>
      <w:r>
        <w:t xml:space="preserve"> Adjustment; and</w:t>
      </w:r>
    </w:p>
    <w:p w:rsidR="00A77FBE" w:rsidRDefault="00A77FBE" w:rsidP="00A77FBE">
      <w:pPr>
        <w:pStyle w:val="AABody"/>
        <w:ind w:left="1440" w:hanging="720"/>
      </w:pPr>
      <w:r>
        <w:t>CFA</w:t>
      </w:r>
      <w:r>
        <w:tab/>
        <w:t>is, for the Regulatory Year 2014 only, the amount target revenue NPV shortfall or over recovery calculated for 2012 in accordance with schedule 4 of the Third Access Arrangement.</w:t>
      </w:r>
    </w:p>
    <w:p w:rsidR="00075231" w:rsidRDefault="00075231" w:rsidP="00075231">
      <w:pPr>
        <w:pStyle w:val="AABody"/>
        <w:ind w:left="1440" w:hanging="720"/>
      </w:pPr>
      <w:r w:rsidRPr="00506892">
        <w:t xml:space="preserve">FIDA </w:t>
      </w:r>
      <w:r>
        <w:tab/>
      </w:r>
      <w:r w:rsidRPr="00506892">
        <w:t xml:space="preserve">is for 2014 only and is the estimated amount of the adjustment required </w:t>
      </w:r>
      <w:r>
        <w:t xml:space="preserve">for withdrawal tariffs </w:t>
      </w:r>
      <w:r w:rsidRPr="00506892">
        <w:t xml:space="preserve">to account for the 6 month of delay. </w:t>
      </w:r>
    </w:p>
    <w:p w:rsidR="000A17C5" w:rsidRDefault="00075231" w:rsidP="00306317">
      <w:pPr>
        <w:pStyle w:val="AABody"/>
        <w:ind w:left="1440" w:hanging="720"/>
      </w:pPr>
      <w:proofErr w:type="gramStart"/>
      <w:r w:rsidRPr="00506892">
        <w:lastRenderedPageBreak/>
        <w:t xml:space="preserve">SIDA </w:t>
      </w:r>
      <w:r w:rsidR="00306317">
        <w:t xml:space="preserve"> </w:t>
      </w:r>
      <w:r w:rsidRPr="00506892">
        <w:t>is</w:t>
      </w:r>
      <w:proofErr w:type="gramEnd"/>
      <w:r w:rsidRPr="00506892">
        <w:t xml:space="preserve"> for 2015 only and is the correction to the FIDA. SIDA may be positive or negative.</w:t>
      </w:r>
    </w:p>
    <w:p w:rsidR="00A77FBE" w:rsidRDefault="00A77FBE" w:rsidP="00A77FBE">
      <w:pPr>
        <w:pStyle w:val="AABody"/>
        <w:ind w:left="720"/>
      </w:pPr>
      <w:r>
        <w:t>Notes:</w:t>
      </w:r>
    </w:p>
    <w:p w:rsidR="00A77FBE" w:rsidRDefault="00A77FBE" w:rsidP="00A77FBE">
      <w:pPr>
        <w:pStyle w:val="a"/>
      </w:pPr>
      <w:r>
        <w:t>1.</w:t>
      </w:r>
      <w:r>
        <w:tab/>
        <w:t>The best estimates of the CFA costs are included in the Non-Capital Costs (as defined in the Code) for the Fourth Access Arrangement Period, but the correct values for these factors will not be known until the first year of the Fourth Access Arrangement Period.</w:t>
      </w:r>
    </w:p>
    <w:p w:rsidR="00A77FBE" w:rsidRDefault="00A77FBE" w:rsidP="00A77FBE">
      <w:pPr>
        <w:pStyle w:val="a"/>
      </w:pPr>
      <w:r>
        <w:t>2.</w:t>
      </w:r>
      <w:r>
        <w:tab/>
        <w:t>CFA and PTA may be positive or negative.</w:t>
      </w:r>
    </w:p>
    <w:p w:rsidR="00A77FBE" w:rsidRDefault="00A77FBE" w:rsidP="00770A69">
      <w:pPr>
        <w:pStyle w:val="AppendixHeading2"/>
        <w:numPr>
          <w:ilvl w:val="0"/>
          <w:numId w:val="0"/>
        </w:numPr>
      </w:pPr>
      <w:bookmarkStart w:id="103" w:name="_Ref312156654"/>
      <w:bookmarkStart w:id="104" w:name="_Toc321061283"/>
      <w:bookmarkStart w:id="105" w:name="_Toc321062713"/>
      <w:r>
        <w:t>D.4</w:t>
      </w:r>
      <w:r>
        <w:tab/>
        <w:t>VATR</w:t>
      </w:r>
      <w:bookmarkEnd w:id="103"/>
      <w:bookmarkEnd w:id="104"/>
      <w:bookmarkEnd w:id="105"/>
    </w:p>
    <w:p w:rsidR="00A77FBE" w:rsidRDefault="001B7EC1" w:rsidP="00A77FBE">
      <w:pPr>
        <w:pStyle w:val="AABody"/>
      </w:pPr>
      <w:r w:rsidRPr="001B7EC1">
        <w:rPr>
          <w:position w:val="-34"/>
        </w:rPr>
        <w:object w:dxaOrig="2380" w:dyaOrig="760">
          <v:shape id="_x0000_i1111" type="#_x0000_t75" style="width:118.85pt;height:37.35pt" o:ole="">
            <v:imagedata r:id="rId21" o:title=""/>
          </v:shape>
          <o:OLEObject Type="Embed" ProgID="Equation.3" ShapeID="_x0000_i1111" DrawAspect="Content" ObjectID="_1428325609" r:id="rId22"/>
        </w:object>
      </w:r>
    </w:p>
    <w:p w:rsidR="00A77FBE" w:rsidRDefault="00A77FBE" w:rsidP="00A77FBE">
      <w:pPr>
        <w:pStyle w:val="AABody"/>
        <w:ind w:left="720"/>
      </w:pPr>
      <w:r>
        <w:t>Where:</w:t>
      </w:r>
    </w:p>
    <w:p w:rsidR="00A77FBE" w:rsidRDefault="00A77FBE" w:rsidP="00A77FBE">
      <w:pPr>
        <w:pStyle w:val="AABody"/>
        <w:ind w:left="1440" w:hanging="720"/>
      </w:pPr>
      <w:r>
        <w:t>TR</w:t>
      </w:r>
      <w:r>
        <w:tab/>
        <w:t xml:space="preserve">is the target revenue as set out in </w:t>
      </w:r>
      <w:r w:rsidRPr="00C34676">
        <w:t xml:space="preserve">Table </w:t>
      </w:r>
      <w:r w:rsidR="001B7EC1" w:rsidRPr="00C34676">
        <w:t>1</w:t>
      </w:r>
      <w:r w:rsidR="00BC1107" w:rsidRPr="00C34676">
        <w:t>2</w:t>
      </w:r>
      <w:r w:rsidR="001B7EC1" w:rsidRPr="00C34676">
        <w:t>.1</w:t>
      </w:r>
      <w:r>
        <w:t xml:space="preserve"> of th</w:t>
      </w:r>
      <w:r w:rsidR="001B7EC1">
        <w:t>is</w:t>
      </w:r>
      <w:r>
        <w:t xml:space="preserve"> Access Arrangement Information, excluding NRRV;</w:t>
      </w:r>
    </w:p>
    <w:p w:rsidR="00A77FBE" w:rsidRDefault="00A77FBE" w:rsidP="00A77FBE">
      <w:pPr>
        <w:pStyle w:val="AABody"/>
        <w:ind w:left="1440" w:hanging="720"/>
      </w:pPr>
      <w:r w:rsidRPr="00E2049E">
        <w:t>TV</w:t>
      </w:r>
      <w:r w:rsidRPr="00E2049E">
        <w:tab/>
        <w:t xml:space="preserve">is the total volume withdrawn from the </w:t>
      </w:r>
      <w:r w:rsidRPr="00E1791A">
        <w:t>VTS</w:t>
      </w:r>
      <w:r w:rsidRPr="00E2049E">
        <w:t xml:space="preserve"> as set out in section 2</w:t>
      </w:r>
      <w:r w:rsidR="001B7EC1">
        <w:t xml:space="preserve"> in this</w:t>
      </w:r>
      <w:r w:rsidRPr="00E2049E">
        <w:t xml:space="preserve"> Access Arrangement Information, excluding</w:t>
      </w:r>
      <w:r>
        <w:t xml:space="preserve"> NRRV; </w:t>
      </w:r>
    </w:p>
    <w:p w:rsidR="00A77FBE" w:rsidRDefault="001B7EC1" w:rsidP="00A77FBE">
      <w:pPr>
        <w:pStyle w:val="AABody"/>
        <w:ind w:left="1440" w:hanging="720"/>
      </w:pPr>
      <w:r>
        <w:t>W</w:t>
      </w:r>
      <w:r w:rsidR="00A77FBE">
        <w:t>AAV</w:t>
      </w:r>
      <w:r w:rsidR="00A77FBE">
        <w:tab/>
        <w:t xml:space="preserve">is the </w:t>
      </w:r>
      <w:r w:rsidR="000B6A76">
        <w:t xml:space="preserve">weather </w:t>
      </w:r>
      <w:r w:rsidR="00A77FBE">
        <w:t>adjusted actual volume, calculated in accordance with clause D.5; and</w:t>
      </w:r>
    </w:p>
    <w:p w:rsidR="00A77FBE" w:rsidRDefault="00A77FBE" w:rsidP="001B7EC1">
      <w:pPr>
        <w:pStyle w:val="AABody"/>
        <w:ind w:left="1418" w:hanging="698"/>
      </w:pPr>
      <w:r>
        <w:t>NRRV</w:t>
      </w:r>
      <w:r w:rsidR="001B7EC1">
        <w:t xml:space="preserve"> </w:t>
      </w:r>
      <w:r>
        <w:t>is, for the purposes of TR, the target revenue and for the purposes of TV, the volume, associated with:</w:t>
      </w:r>
    </w:p>
    <w:p w:rsidR="00A77FBE" w:rsidRDefault="00A77FBE" w:rsidP="00A77FBE">
      <w:pPr>
        <w:pStyle w:val="i"/>
      </w:pPr>
      <w:r>
        <w:t>(</w:t>
      </w:r>
      <w:proofErr w:type="spellStart"/>
      <w:r>
        <w:t>i</w:t>
      </w:r>
      <w:proofErr w:type="spellEnd"/>
      <w:r>
        <w:t>)</w:t>
      </w:r>
      <w:r>
        <w:tab/>
      </w:r>
      <w:proofErr w:type="gramStart"/>
      <w:r>
        <w:t>any</w:t>
      </w:r>
      <w:proofErr w:type="gramEnd"/>
      <w:r>
        <w:t xml:space="preserve"> transmission refills at WUGS or the LNG Storage Facility; and </w:t>
      </w:r>
    </w:p>
    <w:p w:rsidR="00A77FBE" w:rsidRDefault="00A77FBE" w:rsidP="00A77FBE">
      <w:pPr>
        <w:pStyle w:val="i"/>
      </w:pPr>
      <w:r>
        <w:t>(ii)</w:t>
      </w:r>
      <w:r>
        <w:tab/>
      </w:r>
      <w:proofErr w:type="gramStart"/>
      <w:r>
        <w:t>the</w:t>
      </w:r>
      <w:proofErr w:type="gramEnd"/>
      <w:r>
        <w:t xml:space="preserve"> incremental Murray Valley tariff.</w:t>
      </w:r>
    </w:p>
    <w:p w:rsidR="00A77FBE" w:rsidRDefault="00A77FBE" w:rsidP="00770A69">
      <w:pPr>
        <w:pStyle w:val="AppendixHeading2"/>
        <w:numPr>
          <w:ilvl w:val="0"/>
          <w:numId w:val="0"/>
        </w:numPr>
      </w:pPr>
      <w:bookmarkStart w:id="106" w:name="_Toc321061284"/>
      <w:bookmarkStart w:id="107" w:name="_Toc321062714"/>
      <w:r>
        <w:t>D.5</w:t>
      </w:r>
      <w:r>
        <w:tab/>
        <w:t>WAAV</w:t>
      </w:r>
      <w:bookmarkEnd w:id="106"/>
      <w:bookmarkEnd w:id="107"/>
    </w:p>
    <w:p w:rsidR="00A77FBE" w:rsidRDefault="00A77FBE" w:rsidP="00A77FBE">
      <w:pPr>
        <w:pStyle w:val="AABody"/>
      </w:pPr>
      <w:r>
        <w:t xml:space="preserve"> </w:t>
      </w:r>
      <w:r w:rsidRPr="0021662B">
        <w:rPr>
          <w:position w:val="-10"/>
        </w:rPr>
        <w:object w:dxaOrig="5140" w:dyaOrig="340">
          <v:shape id="_x0000_i1112" type="#_x0000_t75" style="width:271pt;height:17.65pt" o:ole="">
            <v:imagedata r:id="rId23" o:title=""/>
          </v:shape>
          <o:OLEObject Type="Embed" ProgID="Equation.3" ShapeID="_x0000_i1112" DrawAspect="Content" ObjectID="_1428325610" r:id="rId24"/>
        </w:object>
      </w:r>
    </w:p>
    <w:p w:rsidR="00A77FBE" w:rsidRDefault="00A77FBE" w:rsidP="00A77FBE">
      <w:pPr>
        <w:pStyle w:val="AABody"/>
        <w:ind w:left="720"/>
      </w:pPr>
      <w:r>
        <w:t>Where:</w:t>
      </w:r>
    </w:p>
    <w:p w:rsidR="00A77FBE" w:rsidRDefault="00A77FBE" w:rsidP="00A77FBE">
      <w:pPr>
        <w:pStyle w:val="AABody"/>
        <w:ind w:left="720"/>
      </w:pPr>
      <w:r>
        <w:t>VW</w:t>
      </w:r>
      <w:r>
        <w:tab/>
      </w:r>
      <w:r>
        <w:tab/>
        <w:t xml:space="preserve">is the actual volume withdrawn from the PTS excluding: </w:t>
      </w:r>
    </w:p>
    <w:p w:rsidR="00A77FBE" w:rsidRDefault="00A77FBE" w:rsidP="00A77FBE">
      <w:pPr>
        <w:pStyle w:val="i"/>
      </w:pPr>
      <w:r w:rsidDel="00D904B1">
        <w:t xml:space="preserve"> </w:t>
      </w:r>
      <w:r>
        <w:t>(</w:t>
      </w:r>
      <w:proofErr w:type="spellStart"/>
      <w:r>
        <w:t>i</w:t>
      </w:r>
      <w:proofErr w:type="spellEnd"/>
      <w:r>
        <w:t>)</w:t>
      </w:r>
      <w:r>
        <w:tab/>
      </w:r>
      <w:proofErr w:type="gramStart"/>
      <w:r>
        <w:t>any</w:t>
      </w:r>
      <w:proofErr w:type="gramEnd"/>
      <w:r>
        <w:t xml:space="preserve"> transmission refills at WUGS or the LNG Storage Facility; and</w:t>
      </w:r>
    </w:p>
    <w:p w:rsidR="00A77FBE" w:rsidRDefault="00A77FBE" w:rsidP="00A77FBE">
      <w:pPr>
        <w:pStyle w:val="i"/>
      </w:pPr>
      <w:r>
        <w:t>(ii)</w:t>
      </w:r>
      <w:r>
        <w:tab/>
      </w:r>
      <w:proofErr w:type="gramStart"/>
      <w:r>
        <w:t>forecast</w:t>
      </w:r>
      <w:proofErr w:type="gramEnd"/>
      <w:r>
        <w:t xml:space="preserve"> volumes for the incremental Murray Valley tariff;</w:t>
      </w:r>
    </w:p>
    <w:p w:rsidR="00A77FBE" w:rsidRDefault="00A77FBE" w:rsidP="00A77FBE">
      <w:pPr>
        <w:pStyle w:val="AABody"/>
        <w:ind w:left="2160" w:hanging="1440"/>
      </w:pPr>
      <w:r>
        <w:lastRenderedPageBreak/>
        <w:t>TS</w:t>
      </w:r>
      <w:r>
        <w:tab/>
        <w:t>is the target temperature sensitivity, being the increase in annual gas volumes for an increase of one in the ann</w:t>
      </w:r>
      <w:r w:rsidR="00A7038D">
        <w:t xml:space="preserve">ual EDD, as set out in </w:t>
      </w:r>
      <w:r w:rsidR="00A7038D" w:rsidRPr="00C34676">
        <w:t>Table 4.4</w:t>
      </w:r>
      <w:r w:rsidR="00A7038D">
        <w:t xml:space="preserve"> of this</w:t>
      </w:r>
      <w:r>
        <w:t xml:space="preserve"> Access Arrangement Information;</w:t>
      </w:r>
    </w:p>
    <w:p w:rsidR="003227CC" w:rsidRDefault="003227CC" w:rsidP="003227CC">
      <w:pPr>
        <w:pStyle w:val="AABody"/>
        <w:ind w:left="2160" w:hanging="1440"/>
      </w:pPr>
      <w:bookmarkStart w:id="108" w:name="_Ref316461228"/>
      <w:bookmarkStart w:id="109" w:name="_Toc321061285"/>
      <w:bookmarkStart w:id="110" w:name="_Toc321062715"/>
      <w:r w:rsidRPr="00BE4641">
        <w:t xml:space="preserve">Target EDD </w:t>
      </w:r>
      <w:r>
        <w:tab/>
      </w:r>
      <w:r w:rsidRPr="00BE4641">
        <w:t xml:space="preserve">for 2014 to 2017 is the measure of annual EDD as expected in a calendar year as set out in Table 4.4 of the access arrangement information </w:t>
      </w:r>
    </w:p>
    <w:p w:rsidR="003227CC" w:rsidRDefault="003227CC" w:rsidP="003227CC">
      <w:pPr>
        <w:pStyle w:val="AABody"/>
        <w:ind w:left="2160" w:hanging="1440"/>
      </w:pPr>
      <w:r w:rsidRPr="00BE4641">
        <w:t xml:space="preserve">Target EDD </w:t>
      </w:r>
      <w:r>
        <w:tab/>
      </w:r>
      <w:r w:rsidRPr="00BE4641">
        <w:t xml:space="preserve">for 2013 is 829 and is the measure of EDD as expected for the period from 1 July 2013 to 31 December 2013 </w:t>
      </w:r>
    </w:p>
    <w:p w:rsidR="003227CC" w:rsidRDefault="003227CC" w:rsidP="003227CC">
      <w:pPr>
        <w:pStyle w:val="AABody"/>
        <w:ind w:left="2160" w:hanging="1440"/>
      </w:pPr>
      <w:r w:rsidRPr="00BE4641">
        <w:t xml:space="preserve">Actual EDD </w:t>
      </w:r>
      <w:r>
        <w:tab/>
      </w:r>
      <w:r w:rsidRPr="00BE4641">
        <w:t xml:space="preserve">for 2014 to 2017 is the actual measured EDD for a calendar year, as reported in the AEMO APR or otherwise made available by AEMO </w:t>
      </w:r>
    </w:p>
    <w:p w:rsidR="003227CC" w:rsidRPr="00BE4641" w:rsidRDefault="003227CC" w:rsidP="003227CC">
      <w:pPr>
        <w:pStyle w:val="AABody"/>
        <w:ind w:left="2160" w:hanging="1440"/>
      </w:pPr>
      <w:r w:rsidRPr="00BE4641">
        <w:t xml:space="preserve">Actual EDD </w:t>
      </w:r>
      <w:r>
        <w:tab/>
        <w:t>f</w:t>
      </w:r>
      <w:r w:rsidRPr="00BE4641">
        <w:t>or 2013 is the actual measured EDD for the period from 1 July 2013 to 31 December 2013, as reported in the AEMO APR or otherwise made available by AEMO</w:t>
      </w:r>
    </w:p>
    <w:p w:rsidR="00A77FBE" w:rsidRDefault="00A77FBE" w:rsidP="00770A69">
      <w:pPr>
        <w:pStyle w:val="AppendixHeading2"/>
        <w:numPr>
          <w:ilvl w:val="0"/>
          <w:numId w:val="0"/>
        </w:numPr>
      </w:pPr>
      <w:r>
        <w:t>D.6</w:t>
      </w:r>
      <w:r>
        <w:tab/>
        <w:t>First Carry-Forward Amount FCA</w:t>
      </w:r>
      <w:bookmarkEnd w:id="108"/>
      <w:bookmarkEnd w:id="109"/>
      <w:bookmarkEnd w:id="110"/>
    </w:p>
    <w:p w:rsidR="00A77FBE" w:rsidRDefault="00A77FBE" w:rsidP="00A77FBE">
      <w:pPr>
        <w:pStyle w:val="AABody"/>
      </w:pPr>
      <w:r>
        <w:t xml:space="preserve">The first carry forward amount (FCA) will be calculated in the last year of the Fourth Access Arrangement Period.  It will be included as a building block component in the first year of the Fifth Access Arrangement Period.  </w:t>
      </w:r>
    </w:p>
    <w:p w:rsidR="00A77FBE" w:rsidRDefault="00A77FBE" w:rsidP="00A77FBE">
      <w:pPr>
        <w:pStyle w:val="AABody"/>
      </w:pPr>
      <w:r>
        <w:t>FCA will be determined according to the following formula:</w:t>
      </w:r>
    </w:p>
    <w:p w:rsidR="00A77FBE" w:rsidRDefault="00A77FBE" w:rsidP="00A77FBE">
      <w:pPr>
        <w:pStyle w:val="AABody"/>
      </w:pPr>
      <w:r>
        <w:t xml:space="preserve"> </w:t>
      </w:r>
      <w:r w:rsidRPr="004523F2">
        <w:rPr>
          <w:position w:val="-14"/>
        </w:rPr>
        <w:object w:dxaOrig="1900" w:dyaOrig="380">
          <v:shape id="_x0000_i1113" type="#_x0000_t75" style="width:94.4pt;height:17.65pt" o:ole="">
            <v:imagedata r:id="rId25" o:title=""/>
          </v:shape>
          <o:OLEObject Type="Embed" ProgID="Equation.3" ShapeID="_x0000_i1113" DrawAspect="Content" ObjectID="_1428325611" r:id="rId26"/>
        </w:object>
      </w:r>
    </w:p>
    <w:p w:rsidR="00A77FBE" w:rsidRDefault="00A77FBE" w:rsidP="00A77FBE">
      <w:pPr>
        <w:pStyle w:val="AABody"/>
        <w:ind w:left="720"/>
      </w:pPr>
      <w:proofErr w:type="gramStart"/>
      <w:r>
        <w:t>Where AR and ATR are to be calculated using the best estimates and available data at the time of the determination of FCA.</w:t>
      </w:r>
      <w:proofErr w:type="gramEnd"/>
      <w:r>
        <w:t xml:space="preserve"> </w:t>
      </w:r>
    </w:p>
    <w:p w:rsidR="00A77FBE" w:rsidRDefault="00A77FBE" w:rsidP="00A77FBE">
      <w:pPr>
        <w:pStyle w:val="AABody"/>
        <w:ind w:left="720"/>
      </w:pPr>
      <w:r>
        <w:t>For inclusion in the building block calculation for 2018, the FCA will be escalated for inflation from December 2012 to December 2018.</w:t>
      </w:r>
    </w:p>
    <w:p w:rsidR="00A77FBE" w:rsidRDefault="00A77FBE" w:rsidP="00770A69">
      <w:pPr>
        <w:pStyle w:val="AppendixHeading2"/>
        <w:numPr>
          <w:ilvl w:val="0"/>
          <w:numId w:val="0"/>
        </w:numPr>
      </w:pPr>
      <w:bookmarkStart w:id="111" w:name="_Ref316461469"/>
      <w:bookmarkStart w:id="112" w:name="_Toc321061286"/>
      <w:bookmarkStart w:id="113" w:name="_Toc321062716"/>
      <w:r>
        <w:t>D.7</w:t>
      </w:r>
      <w:r>
        <w:tab/>
        <w:t>Second Carry-Forward Amount SCA</w:t>
      </w:r>
      <w:bookmarkEnd w:id="111"/>
      <w:bookmarkEnd w:id="112"/>
      <w:bookmarkEnd w:id="113"/>
      <w:r>
        <w:t xml:space="preserve"> </w:t>
      </w:r>
    </w:p>
    <w:p w:rsidR="00A77FBE" w:rsidRDefault="00A77FBE" w:rsidP="00A77FBE">
      <w:pPr>
        <w:pStyle w:val="AABody"/>
      </w:pPr>
      <w:r>
        <w:t xml:space="preserve">The second carry forward amount (SCA) will be calculated in the first year of the Fifth Access Arrangement Period as a correction to the determination of the FCA, using the correct actual values of all factors required in the determination of FCA.  It will be included as a CFA in the determination of tariffs for 2019.  </w:t>
      </w:r>
    </w:p>
    <w:p w:rsidR="00A77FBE" w:rsidRDefault="00A77FBE" w:rsidP="00A77FBE">
      <w:pPr>
        <w:pStyle w:val="AABody"/>
      </w:pPr>
      <w:r>
        <w:t>SCA will be determined according to the following formula:</w:t>
      </w:r>
    </w:p>
    <w:p w:rsidR="00A77FBE" w:rsidRDefault="00A77FBE" w:rsidP="00A77FBE">
      <w:pPr>
        <w:pStyle w:val="AABody"/>
      </w:pPr>
      <w:r>
        <w:t xml:space="preserve"> </w:t>
      </w:r>
      <w:r w:rsidRPr="004523F2">
        <w:rPr>
          <w:position w:val="-14"/>
        </w:rPr>
        <w:object w:dxaOrig="3260" w:dyaOrig="380">
          <v:shape id="_x0000_i1114" type="#_x0000_t75" style="width:156.25pt;height:17.65pt" o:ole="">
            <v:imagedata r:id="rId27" o:title=""/>
          </v:shape>
          <o:OLEObject Type="Embed" ProgID="Equation.3" ShapeID="_x0000_i1114" DrawAspect="Content" ObjectID="_1428325612" r:id="rId28"/>
        </w:object>
      </w:r>
    </w:p>
    <w:p w:rsidR="00A77FBE" w:rsidRDefault="00A77FBE" w:rsidP="00A77FBE">
      <w:pPr>
        <w:pStyle w:val="AABody"/>
        <w:ind w:left="720"/>
      </w:pPr>
      <w:proofErr w:type="gramStart"/>
      <w:r>
        <w:lastRenderedPageBreak/>
        <w:t>Where Recalculated FCA is the same calculation as for FCA, except that it is to use the actual values for AR, ATR, AV, EDD, CPI and PTA.</w:t>
      </w:r>
      <w:proofErr w:type="gramEnd"/>
    </w:p>
    <w:p w:rsidR="00A77FBE" w:rsidRDefault="00A77FBE" w:rsidP="00A77FBE">
      <w:pPr>
        <w:pStyle w:val="AABody"/>
        <w:ind w:left="720"/>
      </w:pPr>
      <w:r>
        <w:t>For inclusion in the building block calculation for 2019, the SCA will be escalated for inflation from December 2012 to December 2019.</w:t>
      </w:r>
    </w:p>
    <w:p w:rsidR="00000000" w:rsidRDefault="00075231">
      <w:pPr>
        <w:pStyle w:val="AppendixHeading2"/>
        <w:numPr>
          <w:ilvl w:val="0"/>
          <w:numId w:val="0"/>
        </w:numPr>
      </w:pPr>
      <w:r>
        <w:t>D.8</w:t>
      </w:r>
      <w:r>
        <w:tab/>
        <w:t>First interval of delay adjustment for injection tariff</w:t>
      </w:r>
    </w:p>
    <w:p w:rsidR="00075231" w:rsidRDefault="00075231" w:rsidP="00075231">
      <w:pPr>
        <w:pStyle w:val="AABody"/>
      </w:pPr>
      <w:r>
        <w:t xml:space="preserve">The First interval of delay adjustment for injection tariff (IFIDA) </w:t>
      </w:r>
      <w:r w:rsidR="00086AC5">
        <w:t xml:space="preserve">is </w:t>
      </w:r>
      <w:r>
        <w:t xml:space="preserve">the estimated adjustment </w:t>
      </w:r>
      <w:r w:rsidR="00086AC5">
        <w:t xml:space="preserve">amount </w:t>
      </w:r>
      <w:r>
        <w:t xml:space="preserve">required for injection tariff to account for the 6 month delay. It is calculated in nominal 2013 dollar terms based on the following formula: </w:t>
      </w:r>
    </w:p>
    <w:p w:rsidR="00075231" w:rsidRDefault="00075231" w:rsidP="00075231">
      <w:pPr>
        <w:pStyle w:val="AABody"/>
      </w:pPr>
      <w:r>
        <w:t xml:space="preserve">IFIDA = (AIT2012 – AIT2013) * AFPV * 4.5 = $1.295 million </w:t>
      </w:r>
    </w:p>
    <w:p w:rsidR="00075231" w:rsidRDefault="00075231" w:rsidP="00075231">
      <w:pPr>
        <w:pStyle w:val="AABody"/>
      </w:pPr>
      <w:r>
        <w:t>Where,</w:t>
      </w:r>
    </w:p>
    <w:p w:rsidR="00075231" w:rsidRDefault="00075231" w:rsidP="00075231">
      <w:pPr>
        <w:pStyle w:val="AABody"/>
      </w:pPr>
      <w:r>
        <w:t xml:space="preserve">AFPV = Average Forecast Peak Day Volume for each injection zone including matched zones </w:t>
      </w:r>
    </w:p>
    <w:p w:rsidR="00075231" w:rsidRDefault="00075231" w:rsidP="00075231">
      <w:pPr>
        <w:pStyle w:val="AABody"/>
      </w:pPr>
      <w:proofErr w:type="gramStart"/>
      <w:r>
        <w:t>AIT are</w:t>
      </w:r>
      <w:proofErr w:type="gramEnd"/>
      <w:r>
        <w:t xml:space="preserve"> the approved injection tariffs for each withdrawal zone for the respective years,</w:t>
      </w:r>
    </w:p>
    <w:p w:rsidR="00075231" w:rsidRDefault="00075231" w:rsidP="00075231">
      <w:pPr>
        <w:pStyle w:val="AABody"/>
      </w:pPr>
      <w:r>
        <w:t xml:space="preserve">4.5 </w:t>
      </w:r>
      <w:proofErr w:type="gramStart"/>
      <w:r>
        <w:t>is</w:t>
      </w:r>
      <w:proofErr w:type="gramEnd"/>
      <w:r>
        <w:t xml:space="preserve"> the expected numbers of peak injection days in the first 6 months of 2013 from January to June.</w:t>
      </w:r>
    </w:p>
    <w:p w:rsidR="00000000" w:rsidRDefault="00075231">
      <w:pPr>
        <w:pStyle w:val="AppendixHeading2"/>
        <w:numPr>
          <w:ilvl w:val="0"/>
          <w:numId w:val="0"/>
        </w:numPr>
      </w:pPr>
      <w:r>
        <w:t>D.9</w:t>
      </w:r>
      <w:r>
        <w:tab/>
        <w:t>Second interval of delay adjustment for injection tariff</w:t>
      </w:r>
    </w:p>
    <w:p w:rsidR="00075231" w:rsidRDefault="00075231" w:rsidP="00075231">
      <w:pPr>
        <w:pStyle w:val="AABody"/>
      </w:pPr>
      <w:r>
        <w:t xml:space="preserve">A further adjustment, the Second Interval of Delay Adjustment for injection tariff (ISIDA) will be calculated </w:t>
      </w:r>
      <w:r w:rsidR="0094585F">
        <w:t>as a correction to ISIDA.</w:t>
      </w:r>
    </w:p>
    <w:p w:rsidR="00075231" w:rsidRDefault="0094585F" w:rsidP="00075231">
      <w:pPr>
        <w:pStyle w:val="AABody"/>
      </w:pPr>
      <w:r>
        <w:t xml:space="preserve">The correction </w:t>
      </w:r>
      <w:r w:rsidR="00075231">
        <w:t>reflect</w:t>
      </w:r>
      <w:r>
        <w:t>s</w:t>
      </w:r>
      <w:r w:rsidR="00075231">
        <w:t xml:space="preserve"> the difference between the forecast volumes for the first 6 months of 2013 and the actual volumes with an allowance for any variance from standard weather.</w:t>
      </w:r>
    </w:p>
    <w:p w:rsidR="00075231" w:rsidRDefault="00075231" w:rsidP="00075231">
      <w:pPr>
        <w:pStyle w:val="AABody"/>
      </w:pPr>
      <w:r>
        <w:t>ISIDA = IAIDA – IFIDA</w:t>
      </w:r>
    </w:p>
    <w:p w:rsidR="00075231" w:rsidRDefault="00075231" w:rsidP="00075231">
      <w:pPr>
        <w:pStyle w:val="AABody"/>
      </w:pPr>
      <w:r>
        <w:t>Where,</w:t>
      </w:r>
    </w:p>
    <w:p w:rsidR="00075231" w:rsidRDefault="00075231" w:rsidP="00075231">
      <w:pPr>
        <w:pStyle w:val="AABody"/>
      </w:pPr>
      <w:r>
        <w:t>IAIDA is the Injection Actual Interval of Delay Adjustment and is calculated by</w:t>
      </w:r>
    </w:p>
    <w:p w:rsidR="00075231" w:rsidRDefault="00075231" w:rsidP="00075231">
      <w:pPr>
        <w:pStyle w:val="AABody"/>
      </w:pPr>
      <w:r>
        <w:t>IAIDA = (AIT2012 – AIT2013) * AFPV * APD</w:t>
      </w:r>
    </w:p>
    <w:p w:rsidR="00075231" w:rsidRDefault="00075231" w:rsidP="00075231">
      <w:pPr>
        <w:pStyle w:val="AABody"/>
      </w:pPr>
      <w:r>
        <w:t>Where,</w:t>
      </w:r>
    </w:p>
    <w:p w:rsidR="00075231" w:rsidRDefault="00075231" w:rsidP="00075231">
      <w:pPr>
        <w:pStyle w:val="AABody"/>
      </w:pPr>
      <w:r>
        <w:t xml:space="preserve">AFPV = Average Forecast Peak Day Volume for each injection zone including matched zones </w:t>
      </w:r>
    </w:p>
    <w:p w:rsidR="00075231" w:rsidRDefault="00075231" w:rsidP="00075231">
      <w:pPr>
        <w:pStyle w:val="AABody"/>
      </w:pPr>
      <w:proofErr w:type="gramStart"/>
      <w:r>
        <w:lastRenderedPageBreak/>
        <w:t>AIT are</w:t>
      </w:r>
      <w:proofErr w:type="gramEnd"/>
      <w:r>
        <w:t xml:space="preserve"> the approved injection tariffs for each withdrawal zone for the respective years,</w:t>
      </w:r>
    </w:p>
    <w:p w:rsidR="00075231" w:rsidRDefault="00075231" w:rsidP="00075231">
      <w:pPr>
        <w:pStyle w:val="AABody"/>
      </w:pPr>
      <w:r>
        <w:t xml:space="preserve">APD = Actual </w:t>
      </w:r>
      <w:r w:rsidR="00791C56">
        <w:t xml:space="preserve">numbers of </w:t>
      </w:r>
      <w:r>
        <w:t xml:space="preserve">Peak Injection Days </w:t>
      </w:r>
      <w:r w:rsidR="00791C56">
        <w:t>over the first 6 months of 2013</w:t>
      </w:r>
      <w:r w:rsidR="00690E11">
        <w:t>.</w:t>
      </w:r>
      <w:r w:rsidR="00791C56">
        <w:t xml:space="preserve"> </w:t>
      </w:r>
    </w:p>
    <w:p w:rsidR="00000000" w:rsidRDefault="00075231">
      <w:pPr>
        <w:pStyle w:val="AppendixHeading2"/>
        <w:numPr>
          <w:ilvl w:val="0"/>
          <w:numId w:val="0"/>
        </w:numPr>
      </w:pPr>
      <w:r>
        <w:t>D.10</w:t>
      </w:r>
      <w:r>
        <w:tab/>
        <w:t>First interval of delay adjustment for withdrawal tariff</w:t>
      </w:r>
    </w:p>
    <w:p w:rsidR="00075231" w:rsidRDefault="00075231" w:rsidP="00075231">
      <w:pPr>
        <w:pStyle w:val="AABody"/>
      </w:pPr>
      <w:r>
        <w:t xml:space="preserve">The First interval of delay adjustment (FIDA) for withdrawal tariff will be calculated as part of 2014 annual tariff variation submission and represents the estimated amount of the adjustment for the withdrawal tariff required to account for the 6 month delay. It will be included as a component in the price control formula for the determination of tariffs for 2014. It is calculated in nominal 2013 dollar terms based on the following formula: </w:t>
      </w:r>
    </w:p>
    <w:p w:rsidR="00075231" w:rsidRDefault="00075231" w:rsidP="00075231">
      <w:pPr>
        <w:pStyle w:val="AABody"/>
      </w:pPr>
      <w:r>
        <w:t>FIDA = (AWT2012 – AWT2013) * 0.45 = $5.182 million</w:t>
      </w:r>
    </w:p>
    <w:p w:rsidR="00075231" w:rsidRDefault="00075231" w:rsidP="00075231">
      <w:pPr>
        <w:pStyle w:val="AABody"/>
      </w:pPr>
      <w:r>
        <w:t>Where,</w:t>
      </w:r>
    </w:p>
    <w:p w:rsidR="00075231" w:rsidRDefault="00075231" w:rsidP="00075231">
      <w:pPr>
        <w:pStyle w:val="AABody"/>
      </w:pPr>
      <w:r>
        <w:t>AWT2012 is revenue generated from {FVWZ2013 * AT2012} summed over all withdrawal tariff zones except LNG and UGS refill zones,</w:t>
      </w:r>
    </w:p>
    <w:p w:rsidR="00075231" w:rsidRDefault="00075231" w:rsidP="00075231">
      <w:pPr>
        <w:pStyle w:val="AABody"/>
      </w:pPr>
      <w:r>
        <w:t>AWT2013 is revenue generated from {FVWZ2013 * AT2013} summed over all withdrawal tariff zones except LNG and UGS refill zones,</w:t>
      </w:r>
    </w:p>
    <w:p w:rsidR="00075231" w:rsidRDefault="00075231" w:rsidP="00075231">
      <w:pPr>
        <w:pStyle w:val="AABody"/>
      </w:pPr>
      <w:r>
        <w:t>Where,</w:t>
      </w:r>
    </w:p>
    <w:p w:rsidR="00075231" w:rsidRDefault="00075231" w:rsidP="00075231">
      <w:pPr>
        <w:pStyle w:val="AABody"/>
      </w:pPr>
      <w:r>
        <w:t xml:space="preserve">AT </w:t>
      </w:r>
      <w:proofErr w:type="gramStart"/>
      <w:r>
        <w:t>are</w:t>
      </w:r>
      <w:proofErr w:type="gramEnd"/>
      <w:r>
        <w:t xml:space="preserve"> the approved withdrawal tariffs for each withdrawal zone for the respective years,</w:t>
      </w:r>
    </w:p>
    <w:p w:rsidR="00075231" w:rsidRDefault="00075231" w:rsidP="00075231">
      <w:pPr>
        <w:pStyle w:val="AABody"/>
      </w:pPr>
      <w:r>
        <w:t xml:space="preserve">FVWZ 2013 </w:t>
      </w:r>
      <w:proofErr w:type="gramStart"/>
      <w:r>
        <w:t>are</w:t>
      </w:r>
      <w:proofErr w:type="gramEnd"/>
      <w:r>
        <w:t xml:space="preserve"> the forecast withdrawal volumes for 2013 for each withdrawal zone,</w:t>
      </w:r>
    </w:p>
    <w:p w:rsidR="00075231" w:rsidRDefault="00075231" w:rsidP="00075231">
      <w:pPr>
        <w:pStyle w:val="AABody"/>
      </w:pPr>
      <w:r>
        <w:t>0.45 is the forecast proportion of annual withdrawals occurring in the first 6 months of 2013.</w:t>
      </w:r>
    </w:p>
    <w:p w:rsidR="00000000" w:rsidRDefault="00075231">
      <w:pPr>
        <w:pStyle w:val="AppendixHeading2"/>
        <w:numPr>
          <w:ilvl w:val="0"/>
          <w:numId w:val="0"/>
        </w:numPr>
      </w:pPr>
      <w:r>
        <w:t>D.11</w:t>
      </w:r>
      <w:r>
        <w:tab/>
        <w:t xml:space="preserve">Second interval of delay adjustment for withdrawal tariff </w:t>
      </w:r>
    </w:p>
    <w:p w:rsidR="00075231" w:rsidRDefault="00075231" w:rsidP="00075231">
      <w:pPr>
        <w:pStyle w:val="AABody"/>
      </w:pPr>
      <w:r>
        <w:t>A further adjustment, the Second Interval of Delay Adjustment (SIDA) for withdrawal tariff, will be calculated for incorporation in the revenue control calculation for setting the 2015 tariffs.</w:t>
      </w:r>
    </w:p>
    <w:p w:rsidR="00075231" w:rsidRDefault="00075231" w:rsidP="00075231">
      <w:pPr>
        <w:pStyle w:val="AABody"/>
      </w:pPr>
      <w:r>
        <w:t>SIDA will further adjust FIDA to reflect the difference between the forecast volumes for the first 6 months of 2013 and the actual volumes with an allowance for any variance from standard weather.</w:t>
      </w:r>
    </w:p>
    <w:p w:rsidR="00075231" w:rsidRDefault="00075231" w:rsidP="00075231">
      <w:pPr>
        <w:pStyle w:val="AABody"/>
      </w:pPr>
      <w:r>
        <w:t>SIDA = AIDA – FIDA</w:t>
      </w:r>
    </w:p>
    <w:p w:rsidR="00075231" w:rsidRDefault="00075231" w:rsidP="00075231">
      <w:pPr>
        <w:pStyle w:val="AABody"/>
      </w:pPr>
      <w:proofErr w:type="gramStart"/>
      <w:r>
        <w:lastRenderedPageBreak/>
        <w:t>where</w:t>
      </w:r>
      <w:proofErr w:type="gramEnd"/>
    </w:p>
    <w:p w:rsidR="00075231" w:rsidRDefault="00075231" w:rsidP="00075231">
      <w:pPr>
        <w:pStyle w:val="AABody"/>
      </w:pPr>
      <w:r>
        <w:t>AIDA is the Actual Interval of Delay Adjustment</w:t>
      </w:r>
    </w:p>
    <w:p w:rsidR="00075231" w:rsidRDefault="00075231" w:rsidP="00075231">
      <w:pPr>
        <w:pStyle w:val="AABody"/>
      </w:pPr>
      <w:r>
        <w:t>AIDA = (AWT2012 – AWT2013) * AAV 2013 where</w:t>
      </w:r>
    </w:p>
    <w:p w:rsidR="00075231" w:rsidRDefault="00075231" w:rsidP="00075231">
      <w:pPr>
        <w:pStyle w:val="AABody"/>
      </w:pPr>
      <w:r>
        <w:t>AWT2012 is revenue generated from {FVWZ2013 * AT2012} summed over all withdrawal tariff zones except LNG and UGS refill zones,</w:t>
      </w:r>
    </w:p>
    <w:p w:rsidR="00075231" w:rsidRDefault="00075231" w:rsidP="00075231">
      <w:pPr>
        <w:pStyle w:val="AABody"/>
      </w:pPr>
      <w:r>
        <w:t>AWT2013 is revenue generated from {FVWZ2013 * AT2013} summed over all withdrawal tariff zones except LNG and UGS refill zones,</w:t>
      </w:r>
    </w:p>
    <w:p w:rsidR="00075231" w:rsidRDefault="00075231" w:rsidP="00075231">
      <w:pPr>
        <w:pStyle w:val="AABody"/>
      </w:pPr>
      <w:r>
        <w:t xml:space="preserve">AT </w:t>
      </w:r>
      <w:proofErr w:type="gramStart"/>
      <w:r>
        <w:t>are</w:t>
      </w:r>
      <w:proofErr w:type="gramEnd"/>
      <w:r>
        <w:t xml:space="preserve"> the approved withdrawal tariffs for each withdrawal zone for the respective years,</w:t>
      </w:r>
    </w:p>
    <w:p w:rsidR="00075231" w:rsidRDefault="00075231" w:rsidP="00075231">
      <w:pPr>
        <w:pStyle w:val="AABody"/>
      </w:pPr>
      <w:r>
        <w:t xml:space="preserve">FVWZ 2013 </w:t>
      </w:r>
      <w:proofErr w:type="gramStart"/>
      <w:r>
        <w:t>are</w:t>
      </w:r>
      <w:proofErr w:type="gramEnd"/>
      <w:r>
        <w:t xml:space="preserve"> the forecast withdrawal volumes for 2013 for each withdrawal zone</w:t>
      </w:r>
    </w:p>
    <w:p w:rsidR="00075231" w:rsidRDefault="00075231" w:rsidP="00075231">
      <w:pPr>
        <w:pStyle w:val="AABody"/>
      </w:pPr>
      <w:r>
        <w:t>AAV2013 is total actual volume from January to June 2013 adjusted for EDD divided by total actual volume for 2013 adjusted for EDD. The EDD for the January to June period is 483 EDD and the EDD sensitivity is 44.7 TJ/EDD.</w:t>
      </w:r>
    </w:p>
    <w:p w:rsidR="00000000" w:rsidRDefault="00075231">
      <w:pPr>
        <w:pStyle w:val="AABody"/>
      </w:pPr>
      <w:r w:rsidRPr="0070741E">
        <w:t>AAV2013 is total actual volume from January to June 2013 adjusted for EDD / total actual volume for 2013 adjusted for EDD. The EDD for the January to June period is 483 EDD and the EDD sensitivity is 44.7 TJ/EDD.</w:t>
      </w:r>
    </w:p>
    <w:p w:rsidR="00000000" w:rsidRDefault="008F5F17">
      <w:pPr>
        <w:pStyle w:val="Heading3"/>
        <w:tabs>
          <w:tab w:val="clear" w:pos="964"/>
        </w:tabs>
        <w:ind w:left="0"/>
      </w:pPr>
      <w:bookmarkStart w:id="114" w:name="_Toc340216072"/>
      <w:r w:rsidRPr="008F5F17">
        <w:t xml:space="preserve">Cost pass-through </w:t>
      </w:r>
      <w:r w:rsidR="00BE0886">
        <w:t>R</w:t>
      </w:r>
      <w:r w:rsidRPr="008F5F17">
        <w:t xml:space="preserve">eference </w:t>
      </w:r>
      <w:r w:rsidR="00BE0886">
        <w:t>T</w:t>
      </w:r>
      <w:r w:rsidRPr="008F5F17">
        <w:t>ariff adjustment mechanism</w:t>
      </w:r>
      <w:bookmarkEnd w:id="114"/>
    </w:p>
    <w:p w:rsidR="008F5F17" w:rsidRPr="008F5F17" w:rsidRDefault="008F5F17" w:rsidP="008F5F17">
      <w:pPr>
        <w:pStyle w:val="BodyText"/>
      </w:pPr>
      <w:r w:rsidRPr="008F5F17">
        <w:t xml:space="preserve">A symmetrical cost pass through reference tariff variation mechanism is included in the access arrangement to allow the reference tariff to be adjusted to recover (or return) material incremental costs resulting from defined cost pass through events. </w:t>
      </w:r>
    </w:p>
    <w:p w:rsidR="00770A69" w:rsidRPr="008F5F17" w:rsidRDefault="00770A69" w:rsidP="00770A69">
      <w:pPr>
        <w:pStyle w:val="BodyText"/>
      </w:pPr>
      <w:r w:rsidRPr="008F5F17">
        <w:t xml:space="preserve">Part </w:t>
      </w:r>
      <w:r>
        <w:t>4.7</w:t>
      </w:r>
      <w:r w:rsidRPr="008F5F17">
        <w:t xml:space="preserve"> of the access arrangement sets out the tariff variation process the materiality threshold for cost pass-through events.</w:t>
      </w:r>
    </w:p>
    <w:p w:rsidR="008F5F17" w:rsidRPr="008F5F17" w:rsidRDefault="008F5F17" w:rsidP="008F5F17">
      <w:pPr>
        <w:pStyle w:val="BodyText"/>
      </w:pPr>
      <w:r w:rsidRPr="008F5F17">
        <w:t xml:space="preserve">The cost pass through events defined in </w:t>
      </w:r>
      <w:r w:rsidR="001F50FB">
        <w:t xml:space="preserve">section 4.7.2 of </w:t>
      </w:r>
      <w:r w:rsidRPr="008F5F17">
        <w:t>the access arrangement are:</w:t>
      </w:r>
    </w:p>
    <w:p w:rsidR="001F50FB" w:rsidRDefault="001F50FB" w:rsidP="001F50FB">
      <w:pPr>
        <w:pStyle w:val="ListBullet"/>
      </w:pPr>
      <w:r>
        <w:t>a carbon cost event;</w:t>
      </w:r>
    </w:p>
    <w:p w:rsidR="001F50FB" w:rsidRDefault="001F50FB" w:rsidP="001F50FB">
      <w:pPr>
        <w:pStyle w:val="ListBullet"/>
      </w:pPr>
      <w:r>
        <w:t>an insurance cap event;</w:t>
      </w:r>
    </w:p>
    <w:p w:rsidR="001F50FB" w:rsidRDefault="001F50FB" w:rsidP="001F50FB">
      <w:pPr>
        <w:pStyle w:val="ListBullet"/>
      </w:pPr>
      <w:r>
        <w:t>an insurer credit risk event;</w:t>
      </w:r>
    </w:p>
    <w:p w:rsidR="001F50FB" w:rsidRDefault="001F50FB" w:rsidP="001F50FB">
      <w:pPr>
        <w:pStyle w:val="ListBullet"/>
      </w:pPr>
      <w:r>
        <w:t>a natural disaster event;</w:t>
      </w:r>
    </w:p>
    <w:p w:rsidR="001F50FB" w:rsidRDefault="001F50FB" w:rsidP="001F50FB">
      <w:pPr>
        <w:pStyle w:val="ListBullet"/>
      </w:pPr>
      <w:r>
        <w:t>a regulatory change event;</w:t>
      </w:r>
    </w:p>
    <w:p w:rsidR="001F50FB" w:rsidRDefault="001F50FB" w:rsidP="001F50FB">
      <w:pPr>
        <w:pStyle w:val="ListBullet"/>
      </w:pPr>
      <w:r>
        <w:t>a service standard event;</w:t>
      </w:r>
    </w:p>
    <w:p w:rsidR="001F50FB" w:rsidRDefault="001F50FB" w:rsidP="001F50FB">
      <w:pPr>
        <w:pStyle w:val="ListBullet"/>
      </w:pPr>
      <w:r>
        <w:t>a tax change event; and</w:t>
      </w:r>
    </w:p>
    <w:p w:rsidR="001F50FB" w:rsidRDefault="001F50FB" w:rsidP="001F50FB">
      <w:pPr>
        <w:pStyle w:val="ListBullet"/>
      </w:pPr>
      <w:proofErr w:type="gramStart"/>
      <w:r>
        <w:t>a</w:t>
      </w:r>
      <w:proofErr w:type="gramEnd"/>
      <w:r>
        <w:t xml:space="preserve"> terrorism event.</w:t>
      </w:r>
    </w:p>
    <w:p w:rsidR="008F5F17" w:rsidRDefault="00870495" w:rsidP="009D0268">
      <w:pPr>
        <w:pStyle w:val="BodyText"/>
      </w:pPr>
      <w:r>
        <w:lastRenderedPageBreak/>
        <w:t xml:space="preserve">Forecast carbon costs, for the purpose of </w:t>
      </w:r>
      <w:r w:rsidR="001F50FB">
        <w:t xml:space="preserve">the carbon cost event included in </w:t>
      </w:r>
      <w:r w:rsidR="00BC1107">
        <w:t>clause 4.7.2 of the access a</w:t>
      </w:r>
      <w:r>
        <w:t>rrangement, are as shown below:</w:t>
      </w:r>
    </w:p>
    <w:p w:rsidR="001F50FB" w:rsidRPr="00015B74" w:rsidRDefault="001F50FB" w:rsidP="001F50FB">
      <w:pPr>
        <w:pStyle w:val="StyleCaption11ptBlueBefore6ptAfter6ptLinespac"/>
        <w:keepNext/>
      </w:pPr>
      <w:proofErr w:type="gramStart"/>
      <w:r w:rsidRPr="001C456F">
        <w:t xml:space="preserve">Table </w:t>
      </w:r>
      <w:proofErr w:type="gramEnd"/>
      <w:r w:rsidR="00751B94" w:rsidRPr="005864F3">
        <w:fldChar w:fldCharType="begin"/>
      </w:r>
      <w:r w:rsidR="002A3C6C" w:rsidRPr="001C456F">
        <w:instrText xml:space="preserve"> STYLEREF 1 \s </w:instrText>
      </w:r>
      <w:r w:rsidR="00751B94" w:rsidRPr="005864F3">
        <w:fldChar w:fldCharType="separate"/>
      </w:r>
      <w:r w:rsidR="000226EA">
        <w:rPr>
          <w:noProof/>
        </w:rPr>
        <w:t>10</w:t>
      </w:r>
      <w:r w:rsidR="00751B94" w:rsidRPr="005864F3">
        <w:rPr>
          <w:noProof/>
        </w:rPr>
        <w:fldChar w:fldCharType="end"/>
      </w:r>
      <w:proofErr w:type="gramStart"/>
      <w:r w:rsidRPr="001C456F">
        <w:t>.</w:t>
      </w:r>
      <w:proofErr w:type="gramEnd"/>
      <w:r w:rsidR="00751B94" w:rsidRPr="005864F3">
        <w:fldChar w:fldCharType="begin"/>
      </w:r>
      <w:r w:rsidR="002A3C6C" w:rsidRPr="001C456F">
        <w:instrText xml:space="preserve"> SEQ Table \* ARABIC \s 1 </w:instrText>
      </w:r>
      <w:r w:rsidR="00751B94" w:rsidRPr="005864F3">
        <w:fldChar w:fldCharType="separate"/>
      </w:r>
      <w:r w:rsidR="000226EA">
        <w:rPr>
          <w:noProof/>
        </w:rPr>
        <w:t>3</w:t>
      </w:r>
      <w:r w:rsidR="00751B94" w:rsidRPr="005864F3">
        <w:rPr>
          <w:noProof/>
        </w:rPr>
        <w:fldChar w:fldCharType="end"/>
      </w:r>
      <w:r w:rsidRPr="001C456F">
        <w:t xml:space="preserve"> – Forecast carbon costs</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35"/>
        <w:gridCol w:w="1247"/>
        <w:gridCol w:w="1247"/>
        <w:gridCol w:w="1248"/>
        <w:gridCol w:w="1247"/>
        <w:gridCol w:w="1248"/>
      </w:tblGrid>
      <w:tr w:rsidR="001F50FB" w:rsidRPr="009272CB" w:rsidTr="000C7811">
        <w:tc>
          <w:tcPr>
            <w:tcW w:w="2235" w:type="dxa"/>
            <w:tcBorders>
              <w:top w:val="nil"/>
              <w:left w:val="nil"/>
              <w:bottom w:val="nil"/>
              <w:right w:val="nil"/>
            </w:tcBorders>
            <w:shd w:val="clear" w:color="auto" w:fill="333333"/>
          </w:tcPr>
          <w:p w:rsidR="001F50FB" w:rsidRPr="001F6F2E" w:rsidRDefault="00A87A5D" w:rsidP="000C7811">
            <w:pPr>
              <w:pStyle w:val="BodyText"/>
              <w:keepNext/>
              <w:rPr>
                <w:rFonts w:ascii="Arial Narrow" w:hAnsi="Arial Narrow"/>
                <w:b/>
                <w:bCs/>
                <w:color w:val="FFFFFF"/>
                <w:sz w:val="20"/>
              </w:rPr>
            </w:pPr>
            <w:r>
              <w:rPr>
                <w:rFonts w:ascii="Arial Narrow" w:hAnsi="Arial Narrow"/>
                <w:b/>
                <w:bCs/>
                <w:color w:val="FFFFFF"/>
                <w:sz w:val="20"/>
              </w:rPr>
              <w:t>$’000</w:t>
            </w:r>
            <w:r w:rsidR="001F50FB" w:rsidRPr="001F6F2E">
              <w:rPr>
                <w:rFonts w:ascii="Arial Narrow" w:hAnsi="Arial Narrow"/>
                <w:b/>
                <w:bCs/>
                <w:color w:val="FFFFFF"/>
                <w:sz w:val="20"/>
              </w:rPr>
              <w:t xml:space="preserve"> (2012 real)</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2013</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87A5D" w:rsidRPr="009272CB" w:rsidTr="00A87A5D">
        <w:tc>
          <w:tcPr>
            <w:tcW w:w="2235" w:type="dxa"/>
            <w:vAlign w:val="center"/>
          </w:tcPr>
          <w:p w:rsidR="00A87A5D" w:rsidRPr="001F6F2E" w:rsidRDefault="00A87A5D" w:rsidP="00A87A5D">
            <w:pPr>
              <w:pStyle w:val="TableBodyTextBold"/>
              <w:jc w:val="left"/>
              <w:rPr>
                <w:sz w:val="20"/>
              </w:rPr>
            </w:pPr>
            <w:r w:rsidRPr="001F6F2E">
              <w:rPr>
                <w:sz w:val="20"/>
              </w:rPr>
              <w:t xml:space="preserve">Forecast </w:t>
            </w:r>
            <w:r>
              <w:rPr>
                <w:sz w:val="20"/>
              </w:rPr>
              <w:t>carbon costs</w:t>
            </w:r>
            <w:r w:rsidRPr="001F6F2E">
              <w:rPr>
                <w:sz w:val="20"/>
              </w:rPr>
              <w:t xml:space="preserve"> </w:t>
            </w:r>
          </w:p>
        </w:tc>
        <w:tc>
          <w:tcPr>
            <w:tcW w:w="1247" w:type="dxa"/>
            <w:vAlign w:val="center"/>
          </w:tcPr>
          <w:p w:rsidR="00A87A5D" w:rsidRPr="00914385" w:rsidRDefault="00E12954" w:rsidP="00A87A5D">
            <w:pPr>
              <w:pStyle w:val="AAtablecolumn1"/>
              <w:jc w:val="center"/>
            </w:pPr>
            <w:r>
              <w:t>0</w:t>
            </w:r>
          </w:p>
        </w:tc>
        <w:tc>
          <w:tcPr>
            <w:tcW w:w="1247" w:type="dxa"/>
            <w:vAlign w:val="center"/>
          </w:tcPr>
          <w:p w:rsidR="00A87A5D" w:rsidRPr="00914385" w:rsidRDefault="00E12954" w:rsidP="00A87A5D">
            <w:pPr>
              <w:pStyle w:val="AAtablecolumn1"/>
              <w:jc w:val="center"/>
            </w:pPr>
            <w:r>
              <w:t>0</w:t>
            </w:r>
          </w:p>
        </w:tc>
        <w:tc>
          <w:tcPr>
            <w:tcW w:w="1248" w:type="dxa"/>
            <w:vAlign w:val="center"/>
          </w:tcPr>
          <w:p w:rsidR="00A87A5D" w:rsidRPr="00914385" w:rsidRDefault="00E12954" w:rsidP="00A87A5D">
            <w:pPr>
              <w:pStyle w:val="AAtablecolumn1"/>
              <w:jc w:val="center"/>
            </w:pPr>
            <w:r>
              <w:t>0</w:t>
            </w:r>
          </w:p>
        </w:tc>
        <w:tc>
          <w:tcPr>
            <w:tcW w:w="1247" w:type="dxa"/>
            <w:vAlign w:val="center"/>
          </w:tcPr>
          <w:p w:rsidR="00A87A5D" w:rsidRPr="00914385" w:rsidRDefault="00E12954" w:rsidP="00A87A5D">
            <w:pPr>
              <w:pStyle w:val="AAtablecolumn1"/>
              <w:jc w:val="center"/>
            </w:pPr>
            <w:r>
              <w:t>0</w:t>
            </w:r>
          </w:p>
        </w:tc>
        <w:tc>
          <w:tcPr>
            <w:tcW w:w="1248" w:type="dxa"/>
            <w:vAlign w:val="center"/>
          </w:tcPr>
          <w:p w:rsidR="00A87A5D" w:rsidRDefault="00E12954" w:rsidP="00A87A5D">
            <w:pPr>
              <w:pStyle w:val="AAtablecolumn1"/>
              <w:jc w:val="center"/>
            </w:pPr>
            <w:r>
              <w:t>0</w:t>
            </w:r>
          </w:p>
        </w:tc>
      </w:tr>
    </w:tbl>
    <w:p w:rsidR="00870495" w:rsidRDefault="00870495" w:rsidP="009D0268">
      <w:pPr>
        <w:pStyle w:val="BodyText"/>
      </w:pPr>
    </w:p>
    <w:p w:rsidR="0047306B" w:rsidRDefault="00964D5B" w:rsidP="00770A69">
      <w:pPr>
        <w:pStyle w:val="Heading1"/>
      </w:pPr>
      <w:bookmarkStart w:id="115" w:name="_Ref263943951"/>
      <w:bookmarkStart w:id="116" w:name="_Toc340216073"/>
      <w:r>
        <w:lastRenderedPageBreak/>
        <w:t>Proposed</w:t>
      </w:r>
      <w:r w:rsidR="000E0FD0">
        <w:t xml:space="preserve"> i</w:t>
      </w:r>
      <w:r w:rsidR="0047306B">
        <w:t>ncentive mechanism</w:t>
      </w:r>
      <w:bookmarkEnd w:id="115"/>
      <w:bookmarkEnd w:id="116"/>
    </w:p>
    <w:p w:rsidR="00D52402" w:rsidRDefault="00D52402" w:rsidP="00D52402">
      <w:pPr>
        <w:pStyle w:val="BodyText"/>
      </w:pPr>
      <w:r>
        <w:t xml:space="preserve">APA </w:t>
      </w:r>
      <w:proofErr w:type="spellStart"/>
      <w:r>
        <w:t>GasNet’s</w:t>
      </w:r>
      <w:proofErr w:type="spellEnd"/>
      <w:r>
        <w:t xml:space="preserve"> earlier access arrangement included </w:t>
      </w:r>
      <w:r w:rsidR="00064DC6">
        <w:t>an incentive mechanism</w:t>
      </w:r>
      <w:r>
        <w:t xml:space="preserve"> with a methodology for calculating the efficiency benefit sharing allowance to apply in the forecast period.</w:t>
      </w:r>
      <w:r>
        <w:rPr>
          <w:rStyle w:val="FootnoteReference"/>
        </w:rPr>
        <w:footnoteReference w:id="18"/>
      </w:r>
      <w:r>
        <w:t xml:space="preserve"> </w:t>
      </w:r>
    </w:p>
    <w:p w:rsidR="00D52402" w:rsidRDefault="00D52402" w:rsidP="00D52402">
      <w:pPr>
        <w:pStyle w:val="BodyText"/>
      </w:pPr>
      <w:r>
        <w:t xml:space="preserve">APA </w:t>
      </w:r>
      <w:proofErr w:type="spellStart"/>
      <w:r>
        <w:t>GasNet</w:t>
      </w:r>
      <w:proofErr w:type="spellEnd"/>
      <w:r>
        <w:t xml:space="preserve"> has retained this mechanism in the forecast period</w:t>
      </w:r>
      <w:r w:rsidR="00064DC6">
        <w:t xml:space="preserve">, subject to minor </w:t>
      </w:r>
      <w:proofErr w:type="spellStart"/>
      <w:r w:rsidR="00064DC6">
        <w:t>ammendment</w:t>
      </w:r>
      <w:proofErr w:type="spellEnd"/>
      <w:r>
        <w:t>.</w:t>
      </w:r>
    </w:p>
    <w:p w:rsidR="00064DC6" w:rsidRDefault="00D52402" w:rsidP="00D52402">
      <w:pPr>
        <w:pStyle w:val="BodyText"/>
      </w:pPr>
      <w:r>
        <w:t xml:space="preserve">Under the </w:t>
      </w:r>
      <w:r w:rsidR="00064DC6">
        <w:t>incentive mechanism</w:t>
      </w:r>
      <w:r>
        <w:t xml:space="preserve">, APA </w:t>
      </w:r>
      <w:proofErr w:type="spellStart"/>
      <w:r>
        <w:t>GasNet</w:t>
      </w:r>
      <w:proofErr w:type="spellEnd"/>
      <w:r>
        <w:t xml:space="preserve"> retains any benefits (or penalties) for a period of five years after the year in which it was realised. This means that the benefits carry over into the next access arrangement period. </w:t>
      </w:r>
    </w:p>
    <w:p w:rsidR="00D52402" w:rsidRDefault="00D52402" w:rsidP="00D52402">
      <w:pPr>
        <w:pStyle w:val="BodyText"/>
      </w:pPr>
      <w:r>
        <w:t xml:space="preserve">The calculation of the efficiency benefit for each year is </w:t>
      </w:r>
      <w:r w:rsidR="00064DC6">
        <w:t>incremental</w:t>
      </w:r>
      <w:r>
        <w:t xml:space="preserve">, </w:t>
      </w:r>
      <w:proofErr w:type="spellStart"/>
      <w:r>
        <w:t>ie</w:t>
      </w:r>
      <w:proofErr w:type="spellEnd"/>
      <w:r>
        <w:t>,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870495" w:rsidRDefault="00870495" w:rsidP="00870495">
      <w:pPr>
        <w:pStyle w:val="BodyText"/>
      </w:pPr>
      <w:r>
        <w:t>Operating and maintenance costs for the purposes of the EBSS</w:t>
      </w:r>
      <w:r w:rsidR="00BF3EE2">
        <w:t xml:space="preserve"> in Section 8.2(f) of the access a</w:t>
      </w:r>
      <w:r w:rsidR="00F405B6">
        <w:t>rrangement are as shown below:</w:t>
      </w:r>
    </w:p>
    <w:p w:rsidR="00870495" w:rsidRPr="00ED73A3" w:rsidRDefault="00870495" w:rsidP="00870495">
      <w:pPr>
        <w:pStyle w:val="Caption"/>
        <w:rPr>
          <w:bCs w:val="0"/>
          <w:iCs/>
          <w:sz w:val="22"/>
        </w:rPr>
      </w:pPr>
      <w:proofErr w:type="gramStart"/>
      <w:r w:rsidRPr="00ED73A3">
        <w:rPr>
          <w:bCs w:val="0"/>
          <w:iCs/>
          <w:sz w:val="22"/>
        </w:rPr>
        <w:t xml:space="preserve">Table </w:t>
      </w:r>
      <w:proofErr w:type="gramEnd"/>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0226EA">
        <w:rPr>
          <w:bCs w:val="0"/>
          <w:iCs/>
          <w:noProof/>
          <w:sz w:val="22"/>
        </w:rPr>
        <w:t>11</w:t>
      </w:r>
      <w:r w:rsidR="00751B94">
        <w:rPr>
          <w:bCs w:val="0"/>
          <w:iCs/>
          <w:sz w:val="22"/>
        </w:rPr>
        <w:fldChar w:fldCharType="end"/>
      </w:r>
      <w:proofErr w:type="gramStart"/>
      <w:r>
        <w:rPr>
          <w:bCs w:val="0"/>
          <w:iCs/>
          <w:sz w:val="22"/>
        </w:rPr>
        <w:t>.</w:t>
      </w:r>
      <w:proofErr w:type="gramEnd"/>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0226EA">
        <w:rPr>
          <w:bCs w:val="0"/>
          <w:iCs/>
          <w:noProof/>
          <w:sz w:val="22"/>
        </w:rPr>
        <w:t>1</w:t>
      </w:r>
      <w:r w:rsidR="00751B94">
        <w:rPr>
          <w:bCs w:val="0"/>
          <w:iCs/>
          <w:sz w:val="22"/>
        </w:rPr>
        <w:fldChar w:fldCharType="end"/>
      </w:r>
      <w:r>
        <w:rPr>
          <w:bCs w:val="0"/>
          <w:iCs/>
          <w:sz w:val="22"/>
        </w:rPr>
        <w:t xml:space="preserve"> – Forecast operating expenditure </w:t>
      </w:r>
      <w:r w:rsidR="00F405B6">
        <w:rPr>
          <w:bCs w:val="0"/>
          <w:iCs/>
          <w:sz w:val="22"/>
        </w:rPr>
        <w:t xml:space="preserve">for EBSS purposes </w:t>
      </w:r>
      <w:r>
        <w:rPr>
          <w:bCs w:val="0"/>
          <w:iCs/>
          <w:sz w:val="22"/>
        </w:rPr>
        <w:t xml:space="preserve">over the access arrangement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081"/>
        <w:gridCol w:w="1081"/>
        <w:gridCol w:w="1081"/>
        <w:gridCol w:w="1081"/>
        <w:gridCol w:w="1081"/>
        <w:gridCol w:w="1081"/>
      </w:tblGrid>
      <w:tr w:rsidR="00064DC6" w:rsidRPr="00B0628E" w:rsidTr="00064DC6">
        <w:tc>
          <w:tcPr>
            <w:tcW w:w="1951" w:type="dxa"/>
            <w:shd w:val="clear" w:color="auto" w:fill="000000"/>
            <w:vAlign w:val="center"/>
          </w:tcPr>
          <w:p w:rsidR="00064DC6" w:rsidRPr="00B46EDB" w:rsidRDefault="00064DC6" w:rsidP="00064DC6">
            <w:pPr>
              <w:keepNext/>
              <w:rPr>
                <w:rFonts w:ascii="Arial Narrow" w:hAnsi="Arial Narrow"/>
                <w:b/>
                <w:sz w:val="20"/>
              </w:rPr>
            </w:pPr>
            <w:r>
              <w:rPr>
                <w:rFonts w:ascii="Arial Narrow" w:hAnsi="Arial Narrow" w:cs="Tahoma"/>
                <w:b/>
                <w:bCs/>
                <w:color w:val="FFFFFF"/>
                <w:sz w:val="20"/>
              </w:rPr>
              <w:t>$000 (2012 real)</w:t>
            </w:r>
          </w:p>
        </w:tc>
        <w:tc>
          <w:tcPr>
            <w:tcW w:w="1081" w:type="dxa"/>
            <w:shd w:val="clear" w:color="auto" w:fill="000000"/>
          </w:tcPr>
          <w:p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2011</w:t>
            </w:r>
          </w:p>
        </w:tc>
        <w:tc>
          <w:tcPr>
            <w:tcW w:w="1081" w:type="dxa"/>
            <w:shd w:val="clear" w:color="auto" w:fill="000000"/>
          </w:tcPr>
          <w:p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2012</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2013</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2014</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2015</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2016</w:t>
            </w:r>
          </w:p>
        </w:tc>
      </w:tr>
      <w:tr w:rsidR="00064DC6" w:rsidRPr="00B0628E" w:rsidTr="00064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vAlign w:val="center"/>
          </w:tcPr>
          <w:p w:rsidR="00064DC6" w:rsidRPr="00B46EDB" w:rsidRDefault="00064DC6" w:rsidP="00064DC6">
            <w:pPr>
              <w:keepNext/>
              <w:rPr>
                <w:rFonts w:ascii="Arial Narrow" w:hAnsi="Arial Narrow"/>
                <w:b/>
                <w:sz w:val="20"/>
              </w:rPr>
            </w:pPr>
            <w:r>
              <w:rPr>
                <w:rFonts w:ascii="Arial Narrow" w:hAnsi="Arial Narrow" w:cs="Tahoma"/>
                <w:b/>
                <w:bCs/>
                <w:color w:val="000000"/>
                <w:sz w:val="20"/>
              </w:rPr>
              <w:t xml:space="preserve">Controllable </w:t>
            </w:r>
            <w:proofErr w:type="spellStart"/>
            <w:r>
              <w:rPr>
                <w:rFonts w:ascii="Arial Narrow" w:hAnsi="Arial Narrow" w:cs="Tahoma"/>
                <w:b/>
                <w:bCs/>
                <w:color w:val="000000"/>
                <w:sz w:val="20"/>
              </w:rPr>
              <w:t>Op</w:t>
            </w:r>
            <w:r w:rsidRPr="00064DC6">
              <w:rPr>
                <w:rFonts w:ascii="Arial Narrow" w:hAnsi="Arial Narrow" w:cs="Tahoma"/>
                <w:b/>
                <w:bCs/>
                <w:color w:val="000000"/>
                <w:sz w:val="20"/>
              </w:rPr>
              <w:t>ex</w:t>
            </w:r>
            <w:proofErr w:type="spellEnd"/>
          </w:p>
        </w:tc>
        <w:tc>
          <w:tcPr>
            <w:tcW w:w="1081" w:type="dxa"/>
            <w:tcBorders>
              <w:top w:val="single" w:sz="4" w:space="0" w:color="auto"/>
              <w:left w:val="single" w:sz="4" w:space="0" w:color="auto"/>
              <w:bottom w:val="single" w:sz="4" w:space="0" w:color="auto"/>
              <w:right w:val="single" w:sz="4" w:space="0" w:color="auto"/>
            </w:tcBorders>
          </w:tcPr>
          <w:p w:rsidR="00064DC6" w:rsidRDefault="00064DC6" w:rsidP="00870495">
            <w:pPr>
              <w:jc w:val="center"/>
              <w:rPr>
                <w:rFonts w:ascii="Arial Narrow" w:hAnsi="Arial Narrow" w:cs="Tahoma"/>
                <w:b/>
                <w:bCs/>
                <w:color w:val="000000"/>
                <w:sz w:val="20"/>
              </w:rPr>
            </w:pPr>
            <w:r w:rsidRPr="00064DC6">
              <w:rPr>
                <w:rFonts w:ascii="Arial Narrow" w:hAnsi="Arial Narrow" w:cs="Tahoma"/>
                <w:b/>
                <w:bCs/>
                <w:color w:val="000000"/>
                <w:sz w:val="20"/>
              </w:rPr>
              <w:t>27,500.8</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27,935.2</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28,190.0</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28,683.9</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29,533.6</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30,488.8</w:t>
            </w:r>
          </w:p>
        </w:tc>
      </w:tr>
    </w:tbl>
    <w:p w:rsidR="00870495" w:rsidRDefault="00870495" w:rsidP="0047306B">
      <w:pPr>
        <w:pStyle w:val="BodyText"/>
      </w:pPr>
    </w:p>
    <w:p w:rsidR="0047306B" w:rsidRDefault="0047306B" w:rsidP="00770A69">
      <w:pPr>
        <w:pStyle w:val="Heading1"/>
      </w:pPr>
      <w:bookmarkStart w:id="117" w:name="_Ref263943958"/>
      <w:bookmarkStart w:id="118" w:name="_Toc340216074"/>
      <w:r>
        <w:lastRenderedPageBreak/>
        <w:t>Total revenue</w:t>
      </w:r>
      <w:bookmarkEnd w:id="117"/>
      <w:bookmarkEnd w:id="118"/>
    </w:p>
    <w:p w:rsidR="00EB5C96" w:rsidRDefault="00EB5C96" w:rsidP="00EB5C96">
      <w:pPr>
        <w:pStyle w:val="BodyText"/>
      </w:pPr>
      <w:r>
        <w:t>The total revenue requirement to be derived from pipeline services over the access arrangement period is shown in</w:t>
      </w:r>
      <w:r w:rsidR="00A772D1">
        <w:t xml:space="preserve"> </w:t>
      </w:r>
      <w:r w:rsidR="00751B94">
        <w:fldChar w:fldCharType="begin"/>
      </w:r>
      <w:r w:rsidR="00A772D1">
        <w:instrText xml:space="preserve"> REF _Ref272831995 \h </w:instrText>
      </w:r>
      <w:r w:rsidR="00751B94">
        <w:fldChar w:fldCharType="separate"/>
      </w:r>
      <w:r w:rsidR="000226EA">
        <w:t xml:space="preserve">Table </w:t>
      </w:r>
      <w:r w:rsidR="000226EA">
        <w:rPr>
          <w:noProof/>
        </w:rPr>
        <w:t>12</w:t>
      </w:r>
      <w:r w:rsidR="000226EA">
        <w:t>.</w:t>
      </w:r>
      <w:r w:rsidR="000226EA">
        <w:rPr>
          <w:noProof/>
        </w:rPr>
        <w:t>1</w:t>
      </w:r>
      <w:r w:rsidR="00751B94">
        <w:fldChar w:fldCharType="end"/>
      </w:r>
      <w:r>
        <w:t xml:space="preserve"> below.</w:t>
      </w:r>
    </w:p>
    <w:p w:rsidR="00EB5C96" w:rsidRDefault="00EB5C96" w:rsidP="00EB5C96">
      <w:pPr>
        <w:pStyle w:val="StyleCaption11ptBlueBefore6ptAfter6ptLinespac"/>
        <w:keepNext/>
      </w:pPr>
      <w:bookmarkStart w:id="119" w:name="_Ref272831995"/>
      <w:proofErr w:type="gramStart"/>
      <w:r>
        <w:t xml:space="preserve">Table </w:t>
      </w:r>
      <w:proofErr w:type="gramEnd"/>
      <w:r w:rsidR="00751B94">
        <w:fldChar w:fldCharType="begin"/>
      </w:r>
      <w:r w:rsidR="003E0D64">
        <w:instrText xml:space="preserve"> STYLEREF 1 \s </w:instrText>
      </w:r>
      <w:r w:rsidR="00751B94">
        <w:fldChar w:fldCharType="separate"/>
      </w:r>
      <w:r w:rsidR="000226EA">
        <w:rPr>
          <w:noProof/>
        </w:rPr>
        <w:t>12</w:t>
      </w:r>
      <w:r w:rsidR="00751B94">
        <w:rPr>
          <w:noProof/>
        </w:rPr>
        <w:fldChar w:fldCharType="end"/>
      </w:r>
      <w:proofErr w:type="gramStart"/>
      <w:r w:rsidR="00BA6B4B">
        <w:t>.</w:t>
      </w:r>
      <w:proofErr w:type="gramEnd"/>
      <w:r w:rsidR="00751B94">
        <w:fldChar w:fldCharType="begin"/>
      </w:r>
      <w:r w:rsidR="003E0D64">
        <w:instrText xml:space="preserve"> SEQ Table \* ARABIC \s 1 </w:instrText>
      </w:r>
      <w:r w:rsidR="00751B94">
        <w:fldChar w:fldCharType="separate"/>
      </w:r>
      <w:r w:rsidR="000226EA">
        <w:rPr>
          <w:noProof/>
        </w:rPr>
        <w:t>1</w:t>
      </w:r>
      <w:r w:rsidR="00751B94">
        <w:rPr>
          <w:noProof/>
        </w:rPr>
        <w:fldChar w:fldCharType="end"/>
      </w:r>
      <w:bookmarkEnd w:id="119"/>
      <w:r w:rsidR="0098336A">
        <w:t xml:space="preserve"> – </w:t>
      </w:r>
      <w:r w:rsidR="00386CB0">
        <w:t>Total revenue to be derived from pipeline services over the access arrangement period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71"/>
        <w:gridCol w:w="1129"/>
        <w:gridCol w:w="1129"/>
        <w:gridCol w:w="1248"/>
        <w:gridCol w:w="1247"/>
        <w:gridCol w:w="1248"/>
      </w:tblGrid>
      <w:tr w:rsidR="003E3D51" w:rsidRPr="009272CB" w:rsidTr="00B55211">
        <w:tc>
          <w:tcPr>
            <w:tcW w:w="2471" w:type="dxa"/>
            <w:tcBorders>
              <w:top w:val="nil"/>
              <w:left w:val="nil"/>
              <w:bottom w:val="single" w:sz="4" w:space="0" w:color="auto"/>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tcBorders>
              <w:top w:val="nil"/>
              <w:left w:val="nil"/>
              <w:bottom w:val="single" w:sz="4" w:space="0" w:color="auto"/>
              <w:right w:val="nil"/>
            </w:tcBorders>
            <w:shd w:val="clear" w:color="auto" w:fill="333333"/>
          </w:tcPr>
          <w:p w:rsidR="003E3D51" w:rsidRPr="001F6F2E" w:rsidRDefault="003E3D51" w:rsidP="00AC4204">
            <w:pPr>
              <w:pStyle w:val="BodyText"/>
              <w:jc w:val="center"/>
              <w:rPr>
                <w:rFonts w:ascii="Arial Narrow" w:hAnsi="Arial Narrow"/>
                <w:b/>
                <w:bCs/>
                <w:color w:val="FFFFFF"/>
                <w:sz w:val="20"/>
              </w:rPr>
            </w:pPr>
            <w:r w:rsidRPr="001F6F2E">
              <w:rPr>
                <w:rFonts w:ascii="Arial Narrow" w:hAnsi="Arial Narrow"/>
                <w:b/>
                <w:bCs/>
                <w:color w:val="FFFFFF"/>
                <w:sz w:val="20"/>
              </w:rPr>
              <w:t>2013</w:t>
            </w:r>
          </w:p>
        </w:tc>
        <w:tc>
          <w:tcPr>
            <w:tcW w:w="1129" w:type="dxa"/>
            <w:tcBorders>
              <w:top w:val="nil"/>
              <w:left w:val="nil"/>
              <w:bottom w:val="single" w:sz="4" w:space="0" w:color="auto"/>
              <w:right w:val="nil"/>
            </w:tcBorders>
            <w:shd w:val="clear" w:color="auto" w:fill="333333"/>
          </w:tcPr>
          <w:p w:rsidR="003E3D51" w:rsidRPr="001F6F2E" w:rsidRDefault="003E3D51" w:rsidP="00AC4204">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single" w:sz="4" w:space="0" w:color="auto"/>
              <w:right w:val="nil"/>
            </w:tcBorders>
            <w:shd w:val="clear" w:color="auto" w:fill="333333"/>
          </w:tcPr>
          <w:p w:rsidR="003E3D51" w:rsidRPr="001F6F2E" w:rsidRDefault="003E3D51" w:rsidP="00AC4204">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single" w:sz="4" w:space="0" w:color="auto"/>
              <w:right w:val="nil"/>
            </w:tcBorders>
            <w:shd w:val="clear" w:color="auto" w:fill="333333"/>
          </w:tcPr>
          <w:p w:rsidR="003E3D51" w:rsidRPr="001F6F2E" w:rsidRDefault="003E3D51" w:rsidP="00AC4204">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single" w:sz="4" w:space="0" w:color="auto"/>
              <w:right w:val="nil"/>
            </w:tcBorders>
            <w:shd w:val="clear" w:color="auto" w:fill="333333"/>
          </w:tcPr>
          <w:p w:rsidR="003E3D51" w:rsidRPr="001F6F2E" w:rsidRDefault="003E3D51" w:rsidP="00AC4204">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A740CD" w:rsidRPr="001F6F2E" w:rsidRDefault="00A740CD" w:rsidP="00281545">
            <w:pPr>
              <w:pStyle w:val="BodyText"/>
              <w:keepNext/>
              <w:jc w:val="left"/>
              <w:rPr>
                <w:rFonts w:ascii="Arial Narrow" w:hAnsi="Arial Narrow"/>
                <w:sz w:val="20"/>
              </w:rPr>
            </w:pPr>
            <w:r>
              <w:rPr>
                <w:rFonts w:ascii="Arial Narrow" w:hAnsi="Arial Narrow" w:cs="Tahoma"/>
                <w:color w:val="000000"/>
                <w:sz w:val="20"/>
              </w:rPr>
              <w:t>Return on capital</w:t>
            </w:r>
          </w:p>
        </w:tc>
        <w:tc>
          <w:tcPr>
            <w:tcW w:w="1129" w:type="dxa"/>
            <w:tcBorders>
              <w:top w:val="single" w:sz="4" w:space="0" w:color="auto"/>
              <w:left w:val="single" w:sz="4" w:space="0" w:color="auto"/>
              <w:bottom w:val="single" w:sz="4" w:space="0" w:color="auto"/>
              <w:right w:val="single" w:sz="4" w:space="0" w:color="auto"/>
            </w:tcBorders>
          </w:tcPr>
          <w:p w:rsidR="00A740CD" w:rsidRPr="003537FF" w:rsidRDefault="00751B94">
            <w:pPr>
              <w:jc w:val="center"/>
              <w:rPr>
                <w:rFonts w:ascii="Arial Narrow" w:hAnsi="Arial Narrow" w:cs="Tahoma"/>
                <w:color w:val="000000"/>
                <w:sz w:val="20"/>
              </w:rPr>
            </w:pPr>
            <w:r w:rsidRPr="00751B94">
              <w:rPr>
                <w:rFonts w:ascii="Arial Narrow" w:hAnsi="Arial Narrow"/>
                <w:sz w:val="20"/>
              </w:rPr>
              <w:t xml:space="preserve"> 44.6 </w:t>
            </w:r>
          </w:p>
        </w:tc>
        <w:tc>
          <w:tcPr>
            <w:tcW w:w="1129" w:type="dxa"/>
            <w:tcBorders>
              <w:top w:val="single" w:sz="4" w:space="0" w:color="auto"/>
              <w:left w:val="single" w:sz="4" w:space="0" w:color="auto"/>
              <w:bottom w:val="single" w:sz="4" w:space="0" w:color="auto"/>
              <w:right w:val="single" w:sz="4" w:space="0" w:color="auto"/>
            </w:tcBorders>
          </w:tcPr>
          <w:p w:rsidR="00A740CD" w:rsidRPr="003537FF" w:rsidRDefault="00751B94">
            <w:pPr>
              <w:jc w:val="center"/>
              <w:rPr>
                <w:rFonts w:ascii="Arial Narrow" w:hAnsi="Arial Narrow" w:cs="Tahoma"/>
                <w:color w:val="000000"/>
                <w:sz w:val="20"/>
              </w:rPr>
            </w:pPr>
            <w:r w:rsidRPr="00751B94">
              <w:rPr>
                <w:rFonts w:ascii="Arial Narrow" w:hAnsi="Arial Narrow"/>
                <w:sz w:val="20"/>
              </w:rPr>
              <w:t xml:space="preserve"> 46.2 </w:t>
            </w:r>
          </w:p>
        </w:tc>
        <w:tc>
          <w:tcPr>
            <w:tcW w:w="1248" w:type="dxa"/>
            <w:tcBorders>
              <w:top w:val="single" w:sz="4" w:space="0" w:color="auto"/>
              <w:left w:val="single" w:sz="4" w:space="0" w:color="auto"/>
              <w:bottom w:val="single" w:sz="4" w:space="0" w:color="auto"/>
              <w:right w:val="single" w:sz="4" w:space="0" w:color="auto"/>
            </w:tcBorders>
          </w:tcPr>
          <w:p w:rsidR="00A740CD" w:rsidRPr="003537FF" w:rsidRDefault="00751B94">
            <w:pPr>
              <w:jc w:val="center"/>
              <w:rPr>
                <w:rFonts w:ascii="Arial Narrow" w:hAnsi="Arial Narrow" w:cs="Tahoma"/>
                <w:color w:val="000000"/>
                <w:sz w:val="20"/>
              </w:rPr>
            </w:pPr>
            <w:r w:rsidRPr="00751B94">
              <w:rPr>
                <w:rFonts w:ascii="Arial Narrow" w:hAnsi="Arial Narrow"/>
                <w:sz w:val="20"/>
              </w:rPr>
              <w:t xml:space="preserve"> 52.9 </w:t>
            </w:r>
          </w:p>
        </w:tc>
        <w:tc>
          <w:tcPr>
            <w:tcW w:w="1247" w:type="dxa"/>
            <w:tcBorders>
              <w:top w:val="single" w:sz="4" w:space="0" w:color="auto"/>
              <w:left w:val="single" w:sz="4" w:space="0" w:color="auto"/>
              <w:bottom w:val="single" w:sz="4" w:space="0" w:color="auto"/>
              <w:right w:val="single" w:sz="4" w:space="0" w:color="auto"/>
            </w:tcBorders>
          </w:tcPr>
          <w:p w:rsidR="00A740CD" w:rsidRPr="003537FF" w:rsidRDefault="00751B94">
            <w:pPr>
              <w:jc w:val="center"/>
              <w:rPr>
                <w:rFonts w:ascii="Arial Narrow" w:hAnsi="Arial Narrow" w:cs="Tahoma"/>
                <w:color w:val="000000"/>
                <w:sz w:val="20"/>
              </w:rPr>
            </w:pPr>
            <w:r w:rsidRPr="00751B94">
              <w:rPr>
                <w:rFonts w:ascii="Arial Narrow" w:hAnsi="Arial Narrow"/>
                <w:sz w:val="20"/>
              </w:rPr>
              <w:t xml:space="preserve"> 53.9 </w:t>
            </w:r>
          </w:p>
        </w:tc>
        <w:tc>
          <w:tcPr>
            <w:tcW w:w="1248" w:type="dxa"/>
            <w:tcBorders>
              <w:top w:val="single" w:sz="4" w:space="0" w:color="auto"/>
              <w:left w:val="single" w:sz="4" w:space="0" w:color="auto"/>
              <w:bottom w:val="single" w:sz="4" w:space="0" w:color="auto"/>
              <w:right w:val="single" w:sz="4" w:space="0" w:color="auto"/>
            </w:tcBorders>
          </w:tcPr>
          <w:p w:rsidR="00A740CD" w:rsidRPr="003537FF" w:rsidRDefault="00751B94">
            <w:pPr>
              <w:jc w:val="center"/>
              <w:rPr>
                <w:rFonts w:ascii="Arial Narrow" w:hAnsi="Arial Narrow" w:cs="Tahoma"/>
                <w:color w:val="000000"/>
                <w:sz w:val="20"/>
              </w:rPr>
            </w:pPr>
            <w:r w:rsidRPr="00751B94">
              <w:rPr>
                <w:rFonts w:ascii="Arial Narrow" w:hAnsi="Arial Narrow"/>
                <w:sz w:val="20"/>
              </w:rPr>
              <w:t xml:space="preserve"> 54.0 </w:t>
            </w:r>
          </w:p>
        </w:tc>
      </w:tr>
      <w:tr w:rsidR="003537FF"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281545">
            <w:pPr>
              <w:pStyle w:val="BodyText"/>
              <w:keepNext/>
              <w:jc w:val="left"/>
              <w:rPr>
                <w:rFonts w:ascii="Arial Narrow" w:hAnsi="Arial Narrow"/>
                <w:sz w:val="20"/>
              </w:rPr>
            </w:pPr>
            <w:r>
              <w:rPr>
                <w:rFonts w:ascii="Arial Narrow" w:hAnsi="Arial Narrow" w:cs="Tahoma"/>
                <w:color w:val="000000"/>
                <w:sz w:val="20"/>
              </w:rPr>
              <w:t>Depreciation</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9.3 </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10.2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11.9 </w:t>
            </w:r>
          </w:p>
        </w:tc>
        <w:tc>
          <w:tcPr>
            <w:tcW w:w="1247"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13.2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11.8 </w:t>
            </w:r>
          </w:p>
        </w:tc>
      </w:tr>
      <w:tr w:rsidR="003537FF"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281545">
            <w:pPr>
              <w:pStyle w:val="BodyText"/>
              <w:keepNext/>
              <w:jc w:val="left"/>
              <w:rPr>
                <w:rFonts w:ascii="Arial Narrow" w:hAnsi="Arial Narrow"/>
                <w:sz w:val="20"/>
              </w:rPr>
            </w:pPr>
            <w:r>
              <w:rPr>
                <w:rFonts w:ascii="Arial Narrow" w:hAnsi="Arial Narrow" w:cs="Tahoma"/>
                <w:color w:val="000000"/>
                <w:sz w:val="20"/>
              </w:rPr>
              <w:t>Tax allowance</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3.3 </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3.6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3.3 </w:t>
            </w:r>
          </w:p>
        </w:tc>
        <w:tc>
          <w:tcPr>
            <w:tcW w:w="1247"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3.4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2.8 </w:t>
            </w:r>
          </w:p>
        </w:tc>
      </w:tr>
      <w:tr w:rsidR="00E12954"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E12954" w:rsidRPr="001F6F2E" w:rsidRDefault="00E12954" w:rsidP="00281545">
            <w:pPr>
              <w:pStyle w:val="BodyText"/>
              <w:keepNext/>
              <w:jc w:val="left"/>
              <w:rPr>
                <w:rFonts w:ascii="Arial Narrow" w:hAnsi="Arial Narrow"/>
                <w:sz w:val="20"/>
              </w:rPr>
            </w:pPr>
            <w:r>
              <w:rPr>
                <w:rFonts w:ascii="Arial Narrow" w:hAnsi="Arial Narrow" w:cs="Tahoma"/>
                <w:color w:val="000000"/>
                <w:sz w:val="20"/>
              </w:rPr>
              <w:t>Incentive mechanisms</w:t>
            </w:r>
          </w:p>
        </w:tc>
        <w:tc>
          <w:tcPr>
            <w:tcW w:w="1129"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pPr>
              <w:jc w:val="center"/>
              <w:rPr>
                <w:rFonts w:ascii="Arial Narrow" w:hAnsi="Arial Narrow" w:cs="Tahoma"/>
                <w:color w:val="000000"/>
                <w:sz w:val="20"/>
              </w:rPr>
            </w:pPr>
            <w:r>
              <w:rPr>
                <w:rFonts w:ascii="Arial Narrow" w:hAnsi="Arial Narrow" w:cs="Tahoma"/>
                <w:sz w:val="20"/>
              </w:rPr>
              <w:t>0.0</w:t>
            </w:r>
          </w:p>
        </w:tc>
        <w:tc>
          <w:tcPr>
            <w:tcW w:w="1129"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pPr>
              <w:jc w:val="center"/>
              <w:rPr>
                <w:rFonts w:ascii="Arial Narrow" w:hAnsi="Arial Narrow" w:cs="Tahoma"/>
                <w:color w:val="000000"/>
                <w:sz w:val="20"/>
              </w:rPr>
            </w:pPr>
            <w:r>
              <w:rPr>
                <w:rFonts w:ascii="Arial Narrow" w:hAnsi="Arial Narrow" w:cs="Tahoma"/>
                <w:sz w:val="20"/>
              </w:rPr>
              <w:t>0.0</w:t>
            </w:r>
          </w:p>
        </w:tc>
        <w:tc>
          <w:tcPr>
            <w:tcW w:w="1247"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pPr>
              <w:jc w:val="center"/>
              <w:rPr>
                <w:rFonts w:ascii="Arial Narrow" w:hAnsi="Arial Narrow" w:cs="Tahoma"/>
                <w:color w:val="000000"/>
                <w:sz w:val="20"/>
              </w:rPr>
            </w:pPr>
            <w:r>
              <w:rPr>
                <w:rFonts w:ascii="Arial Narrow" w:hAnsi="Arial Narrow" w:cs="Tahoma"/>
                <w:sz w:val="20"/>
              </w:rPr>
              <w:t>0.0</w:t>
            </w:r>
          </w:p>
        </w:tc>
      </w:tr>
      <w:tr w:rsidR="003537FF"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281545">
            <w:pPr>
              <w:pStyle w:val="BodyText"/>
              <w:keepNext/>
              <w:jc w:val="left"/>
              <w:rPr>
                <w:rFonts w:ascii="Arial Narrow" w:hAnsi="Arial Narrow"/>
                <w:sz w:val="20"/>
              </w:rPr>
            </w:pPr>
            <w:r>
              <w:rPr>
                <w:rFonts w:ascii="Arial Narrow" w:hAnsi="Arial Narrow" w:cs="Tahoma"/>
                <w:color w:val="000000"/>
                <w:sz w:val="20"/>
              </w:rPr>
              <w:t>Operating expenditure</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30.6 </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30.7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32.4 </w:t>
            </w:r>
          </w:p>
        </w:tc>
        <w:tc>
          <w:tcPr>
            <w:tcW w:w="1247"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34.3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pPr>
              <w:jc w:val="center"/>
              <w:rPr>
                <w:rFonts w:ascii="Arial Narrow" w:hAnsi="Arial Narrow" w:cs="Tahoma"/>
                <w:color w:val="000000"/>
                <w:sz w:val="20"/>
              </w:rPr>
            </w:pPr>
            <w:r w:rsidRPr="00751B94">
              <w:rPr>
                <w:rFonts w:ascii="Arial Narrow" w:hAnsi="Arial Narrow"/>
                <w:sz w:val="20"/>
              </w:rPr>
              <w:t xml:space="preserve"> 35.1 </w:t>
            </w:r>
          </w:p>
        </w:tc>
      </w:tr>
      <w:tr w:rsidR="003537FF"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3537FF" w:rsidRPr="00B55211" w:rsidRDefault="00751B94" w:rsidP="00281545">
            <w:pPr>
              <w:pStyle w:val="TableBodyTextBold"/>
              <w:jc w:val="left"/>
              <w:rPr>
                <w:sz w:val="20"/>
              </w:rPr>
            </w:pPr>
            <w:r w:rsidRPr="00751B94">
              <w:rPr>
                <w:rFonts w:cs="Tahoma"/>
                <w:bCs w:val="0"/>
                <w:sz w:val="20"/>
              </w:rPr>
              <w:t>Total revenue requirement</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rsidP="006E0632">
            <w:pPr>
              <w:spacing w:before="240"/>
              <w:jc w:val="center"/>
              <w:rPr>
                <w:rFonts w:ascii="Arial Narrow" w:hAnsi="Arial Narrow" w:cs="Tahoma"/>
                <w:b/>
                <w:bCs/>
                <w:color w:val="333333"/>
                <w:sz w:val="20"/>
              </w:rPr>
            </w:pPr>
            <w:r w:rsidRPr="00751B94">
              <w:rPr>
                <w:rFonts w:ascii="Arial Narrow" w:hAnsi="Arial Narrow"/>
                <w:b/>
                <w:sz w:val="20"/>
              </w:rPr>
              <w:t xml:space="preserve"> 87.7 </w:t>
            </w:r>
          </w:p>
        </w:tc>
        <w:tc>
          <w:tcPr>
            <w:tcW w:w="1129" w:type="dxa"/>
            <w:tcBorders>
              <w:top w:val="single" w:sz="4" w:space="0" w:color="auto"/>
              <w:left w:val="single" w:sz="4" w:space="0" w:color="auto"/>
              <w:bottom w:val="single" w:sz="4" w:space="0" w:color="auto"/>
              <w:right w:val="single" w:sz="4" w:space="0" w:color="auto"/>
            </w:tcBorders>
          </w:tcPr>
          <w:p w:rsidR="003537FF" w:rsidRPr="003537FF" w:rsidRDefault="00751B94" w:rsidP="006E0632">
            <w:pPr>
              <w:spacing w:before="240"/>
              <w:jc w:val="center"/>
              <w:rPr>
                <w:rFonts w:ascii="Arial Narrow" w:hAnsi="Arial Narrow" w:cs="Tahoma"/>
                <w:b/>
                <w:bCs/>
                <w:color w:val="333333"/>
                <w:sz w:val="20"/>
              </w:rPr>
            </w:pPr>
            <w:r w:rsidRPr="00751B94">
              <w:rPr>
                <w:rFonts w:ascii="Arial Narrow" w:hAnsi="Arial Narrow"/>
                <w:b/>
                <w:sz w:val="20"/>
              </w:rPr>
              <w:t xml:space="preserve"> 90.6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rsidP="006E0632">
            <w:pPr>
              <w:spacing w:before="240"/>
              <w:jc w:val="center"/>
              <w:rPr>
                <w:rFonts w:ascii="Arial Narrow" w:hAnsi="Arial Narrow" w:cs="Tahoma"/>
                <w:b/>
                <w:bCs/>
                <w:color w:val="333333"/>
                <w:sz w:val="20"/>
              </w:rPr>
            </w:pPr>
            <w:r w:rsidRPr="00751B94">
              <w:rPr>
                <w:rFonts w:ascii="Arial Narrow" w:hAnsi="Arial Narrow"/>
                <w:b/>
                <w:sz w:val="20"/>
              </w:rPr>
              <w:t xml:space="preserve"> 100.5 </w:t>
            </w:r>
          </w:p>
        </w:tc>
        <w:tc>
          <w:tcPr>
            <w:tcW w:w="1247" w:type="dxa"/>
            <w:tcBorders>
              <w:top w:val="single" w:sz="4" w:space="0" w:color="auto"/>
              <w:left w:val="single" w:sz="4" w:space="0" w:color="auto"/>
              <w:bottom w:val="single" w:sz="4" w:space="0" w:color="auto"/>
              <w:right w:val="single" w:sz="4" w:space="0" w:color="auto"/>
            </w:tcBorders>
          </w:tcPr>
          <w:p w:rsidR="003537FF" w:rsidRPr="003537FF" w:rsidRDefault="00751B94" w:rsidP="006E0632">
            <w:pPr>
              <w:spacing w:before="240"/>
              <w:jc w:val="center"/>
              <w:rPr>
                <w:rFonts w:ascii="Arial Narrow" w:hAnsi="Arial Narrow" w:cs="Tahoma"/>
                <w:b/>
                <w:bCs/>
                <w:color w:val="333333"/>
                <w:sz w:val="20"/>
              </w:rPr>
            </w:pPr>
            <w:r w:rsidRPr="00751B94">
              <w:rPr>
                <w:rFonts w:ascii="Arial Narrow" w:hAnsi="Arial Narrow"/>
                <w:b/>
                <w:sz w:val="20"/>
              </w:rPr>
              <w:t xml:space="preserve"> 104.8 </w:t>
            </w:r>
          </w:p>
        </w:tc>
        <w:tc>
          <w:tcPr>
            <w:tcW w:w="1248" w:type="dxa"/>
            <w:tcBorders>
              <w:top w:val="single" w:sz="4" w:space="0" w:color="auto"/>
              <w:left w:val="single" w:sz="4" w:space="0" w:color="auto"/>
              <w:bottom w:val="single" w:sz="4" w:space="0" w:color="auto"/>
              <w:right w:val="single" w:sz="4" w:space="0" w:color="auto"/>
            </w:tcBorders>
          </w:tcPr>
          <w:p w:rsidR="003537FF" w:rsidRPr="003537FF" w:rsidRDefault="00751B94" w:rsidP="006E0632">
            <w:pPr>
              <w:spacing w:before="240"/>
              <w:jc w:val="center"/>
              <w:rPr>
                <w:rFonts w:ascii="Arial Narrow" w:hAnsi="Arial Narrow" w:cs="Tahoma"/>
                <w:b/>
                <w:bCs/>
                <w:color w:val="333333"/>
                <w:sz w:val="20"/>
              </w:rPr>
            </w:pPr>
            <w:r w:rsidRPr="00751B94">
              <w:rPr>
                <w:rFonts w:ascii="Arial Narrow" w:hAnsi="Arial Narrow"/>
                <w:b/>
                <w:sz w:val="20"/>
              </w:rPr>
              <w:t xml:space="preserve"> 103.7 </w:t>
            </w:r>
          </w:p>
        </w:tc>
      </w:tr>
      <w:tr w:rsidR="0054781D"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54781D">
            <w:pPr>
              <w:pStyle w:val="TableBodyTextBold"/>
              <w:jc w:val="left"/>
              <w:rPr>
                <w:rFonts w:cs="Tahoma"/>
                <w:bCs w:val="0"/>
                <w:sz w:val="20"/>
              </w:rPr>
            </w:pPr>
            <w:r w:rsidRPr="00751B94">
              <w:rPr>
                <w:rFonts w:cs="Tahoma"/>
                <w:bCs w:val="0"/>
                <w:sz w:val="20"/>
              </w:rPr>
              <w:t xml:space="preserve">Smoothed forecast revenue </w:t>
            </w:r>
          </w:p>
        </w:tc>
        <w:tc>
          <w:tcPr>
            <w:tcW w:w="1129" w:type="dxa"/>
            <w:tcBorders>
              <w:top w:val="single" w:sz="4" w:space="0" w:color="auto"/>
              <w:left w:val="single" w:sz="4" w:space="0" w:color="auto"/>
              <w:bottom w:val="single" w:sz="4" w:space="0" w:color="auto"/>
              <w:right w:val="single" w:sz="4" w:space="0" w:color="auto"/>
            </w:tcBorders>
          </w:tcPr>
          <w:p w:rsidR="0054781D" w:rsidRPr="0054781D" w:rsidRDefault="0054781D" w:rsidP="00FA1180">
            <w:pPr>
              <w:spacing w:before="240"/>
              <w:jc w:val="center"/>
              <w:rPr>
                <w:rFonts w:ascii="Arial Narrow" w:hAnsi="Arial Narrow"/>
                <w:b/>
                <w:sz w:val="20"/>
              </w:rPr>
            </w:pPr>
            <w:r w:rsidRPr="00406EF8">
              <w:rPr>
                <w:rFonts w:ascii="Arial Narrow" w:hAnsi="Arial Narrow"/>
                <w:b/>
                <w:sz w:val="20"/>
              </w:rPr>
              <w:t xml:space="preserve"> </w:t>
            </w:r>
            <w:r w:rsidR="00FA1180">
              <w:rPr>
                <w:rFonts w:ascii="Arial Narrow" w:hAnsi="Arial Narrow"/>
                <w:b/>
                <w:sz w:val="20"/>
              </w:rPr>
              <w:t>102.1</w:t>
            </w:r>
            <w:r w:rsidRPr="00406EF8">
              <w:rPr>
                <w:rFonts w:ascii="Arial Narrow" w:hAnsi="Arial Narrow"/>
                <w:b/>
                <w:sz w:val="20"/>
              </w:rPr>
              <w:t xml:space="preserve"> </w:t>
            </w:r>
          </w:p>
        </w:tc>
        <w:tc>
          <w:tcPr>
            <w:tcW w:w="1129" w:type="dxa"/>
            <w:tcBorders>
              <w:top w:val="single" w:sz="4" w:space="0" w:color="auto"/>
              <w:left w:val="single" w:sz="4" w:space="0" w:color="auto"/>
              <w:bottom w:val="single" w:sz="4" w:space="0" w:color="auto"/>
              <w:right w:val="single" w:sz="4" w:space="0" w:color="auto"/>
            </w:tcBorders>
          </w:tcPr>
          <w:p w:rsidR="0054781D" w:rsidRPr="0054781D" w:rsidRDefault="0054781D" w:rsidP="00FA1180">
            <w:pPr>
              <w:spacing w:before="240"/>
              <w:jc w:val="center"/>
              <w:rPr>
                <w:rFonts w:ascii="Arial Narrow" w:hAnsi="Arial Narrow"/>
                <w:b/>
                <w:sz w:val="20"/>
              </w:rPr>
            </w:pPr>
            <w:r w:rsidRPr="00406EF8">
              <w:rPr>
                <w:rFonts w:ascii="Arial Narrow" w:hAnsi="Arial Narrow"/>
                <w:b/>
                <w:sz w:val="20"/>
              </w:rPr>
              <w:t>90.</w:t>
            </w:r>
            <w:r w:rsidR="00FA1180">
              <w:rPr>
                <w:rFonts w:ascii="Arial Narrow" w:hAnsi="Arial Narrow"/>
                <w:b/>
                <w:sz w:val="20"/>
              </w:rPr>
              <w:t>1</w:t>
            </w:r>
            <w:r w:rsidRPr="00406EF8">
              <w:rPr>
                <w:rFonts w:ascii="Arial Narrow" w:hAnsi="Arial Narrow"/>
                <w:b/>
                <w:sz w:val="20"/>
              </w:rPr>
              <w:t xml:space="preserve"> </w:t>
            </w:r>
          </w:p>
        </w:tc>
        <w:tc>
          <w:tcPr>
            <w:tcW w:w="1248" w:type="dxa"/>
            <w:tcBorders>
              <w:top w:val="single" w:sz="4" w:space="0" w:color="auto"/>
              <w:left w:val="single" w:sz="4" w:space="0" w:color="auto"/>
              <w:bottom w:val="single" w:sz="4" w:space="0" w:color="auto"/>
              <w:right w:val="single" w:sz="4" w:space="0" w:color="auto"/>
            </w:tcBorders>
          </w:tcPr>
          <w:p w:rsidR="0054781D" w:rsidRPr="0054781D" w:rsidRDefault="0054781D" w:rsidP="00FA1180">
            <w:pPr>
              <w:spacing w:before="240"/>
              <w:jc w:val="center"/>
              <w:rPr>
                <w:rFonts w:ascii="Arial Narrow" w:hAnsi="Arial Narrow"/>
                <w:b/>
                <w:sz w:val="20"/>
              </w:rPr>
            </w:pPr>
            <w:r w:rsidRPr="00406EF8">
              <w:rPr>
                <w:rFonts w:ascii="Arial Narrow" w:hAnsi="Arial Narrow"/>
                <w:b/>
                <w:sz w:val="20"/>
              </w:rPr>
              <w:t xml:space="preserve"> </w:t>
            </w:r>
            <w:r w:rsidR="00FA1180">
              <w:rPr>
                <w:rFonts w:ascii="Arial Narrow" w:hAnsi="Arial Narrow"/>
                <w:b/>
                <w:sz w:val="20"/>
              </w:rPr>
              <w:t>95</w:t>
            </w:r>
            <w:r w:rsidRPr="00406EF8">
              <w:rPr>
                <w:rFonts w:ascii="Arial Narrow" w:hAnsi="Arial Narrow"/>
                <w:b/>
                <w:sz w:val="20"/>
              </w:rPr>
              <w:t>.</w:t>
            </w:r>
            <w:r w:rsidR="00FA1180">
              <w:rPr>
                <w:rFonts w:ascii="Arial Narrow" w:hAnsi="Arial Narrow"/>
                <w:b/>
                <w:sz w:val="20"/>
              </w:rPr>
              <w:t>1</w:t>
            </w:r>
            <w:r w:rsidRPr="00406EF8">
              <w:rPr>
                <w:rFonts w:ascii="Arial Narrow" w:hAnsi="Arial Narrow"/>
                <w:b/>
                <w:sz w:val="20"/>
              </w:rPr>
              <w:t xml:space="preserve"> </w:t>
            </w:r>
          </w:p>
        </w:tc>
        <w:tc>
          <w:tcPr>
            <w:tcW w:w="1247" w:type="dxa"/>
            <w:tcBorders>
              <w:top w:val="single" w:sz="4" w:space="0" w:color="auto"/>
              <w:left w:val="single" w:sz="4" w:space="0" w:color="auto"/>
              <w:bottom w:val="single" w:sz="4" w:space="0" w:color="auto"/>
              <w:right w:val="single" w:sz="4" w:space="0" w:color="auto"/>
            </w:tcBorders>
          </w:tcPr>
          <w:p w:rsidR="0054781D" w:rsidRPr="0054781D" w:rsidRDefault="0054781D" w:rsidP="00FA1180">
            <w:pPr>
              <w:spacing w:before="240"/>
              <w:jc w:val="center"/>
              <w:rPr>
                <w:rFonts w:ascii="Arial Narrow" w:hAnsi="Arial Narrow"/>
                <w:b/>
                <w:sz w:val="20"/>
              </w:rPr>
            </w:pPr>
            <w:r w:rsidRPr="00406EF8">
              <w:rPr>
                <w:rFonts w:ascii="Arial Narrow" w:hAnsi="Arial Narrow"/>
                <w:b/>
                <w:sz w:val="20"/>
              </w:rPr>
              <w:t xml:space="preserve"> </w:t>
            </w:r>
            <w:r w:rsidR="00FA1180">
              <w:rPr>
                <w:rFonts w:ascii="Arial Narrow" w:hAnsi="Arial Narrow"/>
                <w:b/>
                <w:sz w:val="20"/>
              </w:rPr>
              <w:t>97.2</w:t>
            </w:r>
            <w:r w:rsidRPr="00406EF8">
              <w:rPr>
                <w:rFonts w:ascii="Arial Narrow" w:hAnsi="Arial Narrow"/>
                <w:b/>
                <w:sz w:val="20"/>
              </w:rPr>
              <w:t xml:space="preserve"> </w:t>
            </w:r>
          </w:p>
        </w:tc>
        <w:tc>
          <w:tcPr>
            <w:tcW w:w="1248" w:type="dxa"/>
            <w:tcBorders>
              <w:top w:val="single" w:sz="4" w:space="0" w:color="auto"/>
              <w:left w:val="single" w:sz="4" w:space="0" w:color="auto"/>
              <w:bottom w:val="single" w:sz="4" w:space="0" w:color="auto"/>
              <w:right w:val="single" w:sz="4" w:space="0" w:color="auto"/>
            </w:tcBorders>
          </w:tcPr>
          <w:p w:rsidR="0054781D" w:rsidRPr="0054781D" w:rsidRDefault="0054781D" w:rsidP="00FA1180">
            <w:pPr>
              <w:spacing w:before="240"/>
              <w:jc w:val="center"/>
              <w:rPr>
                <w:rFonts w:ascii="Arial Narrow" w:hAnsi="Arial Narrow"/>
                <w:b/>
                <w:sz w:val="20"/>
              </w:rPr>
            </w:pPr>
            <w:r w:rsidRPr="00406EF8">
              <w:rPr>
                <w:rFonts w:ascii="Arial Narrow" w:hAnsi="Arial Narrow"/>
                <w:b/>
                <w:sz w:val="20"/>
              </w:rPr>
              <w:t xml:space="preserve"> </w:t>
            </w:r>
            <w:r w:rsidR="00FA1180">
              <w:rPr>
                <w:rFonts w:ascii="Arial Narrow" w:hAnsi="Arial Narrow"/>
                <w:b/>
                <w:sz w:val="20"/>
              </w:rPr>
              <w:t>99.7</w:t>
            </w:r>
            <w:r w:rsidRPr="00406EF8">
              <w:rPr>
                <w:rFonts w:ascii="Arial Narrow" w:hAnsi="Arial Narrow"/>
                <w:b/>
                <w:sz w:val="20"/>
              </w:rPr>
              <w:t xml:space="preserve"> </w:t>
            </w:r>
          </w:p>
        </w:tc>
      </w:tr>
      <w:tr w:rsidR="0054781D" w:rsidRPr="009272CB" w:rsidTr="00B55211">
        <w:tc>
          <w:tcPr>
            <w:tcW w:w="2471" w:type="dxa"/>
            <w:tcBorders>
              <w:top w:val="single" w:sz="4" w:space="0" w:color="auto"/>
              <w:left w:val="single" w:sz="4" w:space="0" w:color="auto"/>
              <w:bottom w:val="single" w:sz="4" w:space="0" w:color="auto"/>
              <w:right w:val="single" w:sz="4" w:space="0" w:color="auto"/>
            </w:tcBorders>
            <w:vAlign w:val="center"/>
          </w:tcPr>
          <w:p w:rsidR="0054781D" w:rsidRPr="0054781D" w:rsidRDefault="00FA1180" w:rsidP="0054781D">
            <w:pPr>
              <w:pStyle w:val="TableBodyTextBold"/>
              <w:jc w:val="left"/>
              <w:rPr>
                <w:rFonts w:cs="Tahoma"/>
                <w:b w:val="0"/>
                <w:bCs w:val="0"/>
                <w:sz w:val="20"/>
              </w:rPr>
            </w:pPr>
            <w:r>
              <w:rPr>
                <w:rFonts w:cs="Tahoma"/>
                <w:b w:val="0"/>
                <w:bCs w:val="0"/>
                <w:sz w:val="20"/>
              </w:rPr>
              <w:t>X factor</w:t>
            </w:r>
          </w:p>
        </w:tc>
        <w:tc>
          <w:tcPr>
            <w:tcW w:w="1129" w:type="dxa"/>
            <w:tcBorders>
              <w:top w:val="single" w:sz="4" w:space="0" w:color="auto"/>
              <w:left w:val="single" w:sz="4" w:space="0" w:color="auto"/>
              <w:bottom w:val="single" w:sz="4" w:space="0" w:color="auto"/>
              <w:right w:val="single" w:sz="4" w:space="0" w:color="auto"/>
            </w:tcBorders>
          </w:tcPr>
          <w:p w:rsidR="0054781D" w:rsidRPr="00B55211" w:rsidRDefault="00751B94" w:rsidP="00FA1180">
            <w:pPr>
              <w:spacing w:before="240"/>
              <w:jc w:val="center"/>
              <w:rPr>
                <w:rFonts w:ascii="Arial Narrow" w:hAnsi="Arial Narrow"/>
                <w:sz w:val="20"/>
              </w:rPr>
            </w:pPr>
            <w:r w:rsidRPr="00751B94">
              <w:rPr>
                <w:rFonts w:ascii="Arial Narrow" w:hAnsi="Arial Narrow"/>
                <w:sz w:val="20"/>
              </w:rPr>
              <w:t xml:space="preserve"> – </w:t>
            </w:r>
          </w:p>
        </w:tc>
        <w:tc>
          <w:tcPr>
            <w:tcW w:w="1129" w:type="dxa"/>
            <w:tcBorders>
              <w:top w:val="single" w:sz="4" w:space="0" w:color="auto"/>
              <w:left w:val="single" w:sz="4" w:space="0" w:color="auto"/>
              <w:bottom w:val="single" w:sz="4" w:space="0" w:color="auto"/>
              <w:right w:val="single" w:sz="4" w:space="0" w:color="auto"/>
            </w:tcBorders>
          </w:tcPr>
          <w:p w:rsidR="0054781D" w:rsidRPr="00B55211" w:rsidRDefault="00751B94" w:rsidP="00FA1180">
            <w:pPr>
              <w:spacing w:before="240"/>
              <w:jc w:val="center"/>
              <w:rPr>
                <w:rFonts w:ascii="Arial Narrow" w:hAnsi="Arial Narrow"/>
                <w:sz w:val="20"/>
              </w:rPr>
            </w:pPr>
            <w:r w:rsidRPr="00751B94">
              <w:rPr>
                <w:rFonts w:ascii="Arial Narrow" w:hAnsi="Arial Narrow"/>
                <w:sz w:val="20"/>
              </w:rPr>
              <w:t xml:space="preserve"> 14.0% </w:t>
            </w:r>
          </w:p>
        </w:tc>
        <w:tc>
          <w:tcPr>
            <w:tcW w:w="1248" w:type="dxa"/>
            <w:tcBorders>
              <w:top w:val="single" w:sz="4" w:space="0" w:color="auto"/>
              <w:left w:val="single" w:sz="4" w:space="0" w:color="auto"/>
              <w:bottom w:val="single" w:sz="4" w:space="0" w:color="auto"/>
              <w:right w:val="single" w:sz="4" w:space="0" w:color="auto"/>
            </w:tcBorders>
          </w:tcPr>
          <w:p w:rsidR="0054781D" w:rsidRPr="00B55211" w:rsidRDefault="00751B94" w:rsidP="00FA1180">
            <w:pPr>
              <w:spacing w:before="240"/>
              <w:jc w:val="center"/>
              <w:rPr>
                <w:rFonts w:ascii="Arial Narrow" w:hAnsi="Arial Narrow"/>
                <w:sz w:val="20"/>
              </w:rPr>
            </w:pPr>
            <w:r w:rsidRPr="00751B94">
              <w:rPr>
                <w:rFonts w:ascii="Arial Narrow" w:hAnsi="Arial Narrow"/>
                <w:sz w:val="20"/>
              </w:rPr>
              <w:t xml:space="preserve"> 3.0% </w:t>
            </w:r>
          </w:p>
        </w:tc>
        <w:tc>
          <w:tcPr>
            <w:tcW w:w="1247" w:type="dxa"/>
            <w:tcBorders>
              <w:top w:val="single" w:sz="4" w:space="0" w:color="auto"/>
              <w:left w:val="single" w:sz="4" w:space="0" w:color="auto"/>
              <w:bottom w:val="single" w:sz="4" w:space="0" w:color="auto"/>
              <w:right w:val="single" w:sz="4" w:space="0" w:color="auto"/>
            </w:tcBorders>
          </w:tcPr>
          <w:p w:rsidR="0054781D" w:rsidRPr="00B55211" w:rsidRDefault="00751B94" w:rsidP="00FA1180">
            <w:pPr>
              <w:spacing w:before="240"/>
              <w:jc w:val="center"/>
              <w:rPr>
                <w:rFonts w:ascii="Arial Narrow" w:hAnsi="Arial Narrow"/>
                <w:sz w:val="20"/>
              </w:rPr>
            </w:pPr>
            <w:r w:rsidRPr="00751B94">
              <w:rPr>
                <w:rFonts w:ascii="Arial Narrow" w:hAnsi="Arial Narrow"/>
                <w:sz w:val="20"/>
              </w:rPr>
              <w:t xml:space="preserve"> 0.0% </w:t>
            </w:r>
          </w:p>
        </w:tc>
        <w:tc>
          <w:tcPr>
            <w:tcW w:w="1248" w:type="dxa"/>
            <w:tcBorders>
              <w:top w:val="single" w:sz="4" w:space="0" w:color="auto"/>
              <w:left w:val="single" w:sz="4" w:space="0" w:color="auto"/>
              <w:bottom w:val="single" w:sz="4" w:space="0" w:color="auto"/>
              <w:right w:val="single" w:sz="4" w:space="0" w:color="auto"/>
            </w:tcBorders>
          </w:tcPr>
          <w:p w:rsidR="0054781D" w:rsidRPr="00B55211" w:rsidRDefault="00751B94" w:rsidP="00FA1180">
            <w:pPr>
              <w:spacing w:before="240"/>
              <w:jc w:val="center"/>
              <w:rPr>
                <w:rFonts w:ascii="Arial Narrow" w:hAnsi="Arial Narrow"/>
                <w:sz w:val="20"/>
              </w:rPr>
            </w:pPr>
            <w:r w:rsidRPr="00751B94">
              <w:rPr>
                <w:rFonts w:ascii="Arial Narrow" w:hAnsi="Arial Narrow"/>
                <w:sz w:val="20"/>
              </w:rPr>
              <w:t xml:space="preserve"> 0.0% </w:t>
            </w:r>
          </w:p>
        </w:tc>
      </w:tr>
    </w:tbl>
    <w:p w:rsidR="00A105C2" w:rsidRPr="00D741FF" w:rsidRDefault="00A105C2" w:rsidP="00D741FF">
      <w:pPr>
        <w:pStyle w:val="BodyText"/>
      </w:pPr>
    </w:p>
    <w:sectPr w:rsidR="00A105C2" w:rsidRPr="00D741FF" w:rsidSect="00B12C6B">
      <w:footerReference w:type="default" r:id="rId29"/>
      <w:pgSz w:w="11907" w:h="16840" w:code="9"/>
      <w:pgMar w:top="2835" w:right="1616" w:bottom="1985" w:left="1616" w:header="737" w:footer="737" w:gutter="454"/>
      <w:pgNumType w:start="1"/>
      <w:cols w:space="7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529" w:rsidRDefault="00F40529">
      <w:r>
        <w:separator/>
      </w:r>
    </w:p>
  </w:endnote>
  <w:endnote w:type="continuationSeparator" w:id="0">
    <w:p w:rsidR="00F40529" w:rsidRDefault="00F405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29" w:rsidRDefault="00F40529">
    <w:pPr>
      <w:pStyle w:val="Footer"/>
    </w:pPr>
    <w:r>
      <w:br/>
    </w:r>
    <w:r w:rsidRPr="004A649B">
      <w:t>Access Ar</w:t>
    </w:r>
    <w:bookmarkStart w:id="4" w:name="_GoBack"/>
    <w:bookmarkEnd w:id="4"/>
    <w:r w:rsidRPr="004A649B">
      <w:t>rangement Information</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29" w:rsidRDefault="00F40529">
    <w:pPr>
      <w:pStyle w:val="Footer"/>
      <w:framePr w:hSpace="181" w:wrap="around" w:vAnchor="text" w:hAnchor="text" w:xAlign="right" w:y="1"/>
    </w:pPr>
    <w:r>
      <w:rPr>
        <w:rStyle w:val="PageNumber"/>
      </w:rPr>
      <w:pgNum/>
    </w:r>
  </w:p>
  <w:p w:rsidR="00F40529" w:rsidRDefault="00F40529">
    <w:pPr>
      <w:pStyle w:val="Footer"/>
    </w:pPr>
    <w:r>
      <w:t xml:space="preserve">APA </w:t>
    </w:r>
    <w:proofErr w:type="spellStart"/>
    <w:r>
      <w:t>GasNet</w:t>
    </w:r>
    <w:proofErr w:type="spellEnd"/>
    <w:r>
      <w:t xml:space="preserve"> Australia (Operations) Pty Ltd</w:t>
    </w:r>
    <w:r>
      <w:br/>
      <w:t>Access Arrangement Information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529" w:rsidRDefault="00F40529">
      <w:r>
        <w:separator/>
      </w:r>
    </w:p>
  </w:footnote>
  <w:footnote w:type="continuationSeparator" w:id="0">
    <w:p w:rsidR="00F40529" w:rsidRDefault="00F40529">
      <w:r>
        <w:continuationSeparator/>
      </w:r>
    </w:p>
  </w:footnote>
  <w:footnote w:id="1">
    <w:p w:rsidR="00F40529" w:rsidRPr="00E95616" w:rsidRDefault="00F40529">
      <w:pPr>
        <w:pStyle w:val="FootnoteText"/>
        <w:rPr>
          <w:lang w:val="en-US"/>
        </w:rPr>
      </w:pPr>
      <w:r>
        <w:rPr>
          <w:rStyle w:val="FootnoteReference"/>
        </w:rPr>
        <w:footnoteRef/>
      </w:r>
      <w:r>
        <w:t xml:space="preserve"> All references to Rules or a particular Rule in this document refer to the National Gas Rules 2008, or part thereof, unless an alternative meaning is expressly stated.</w:t>
      </w:r>
    </w:p>
  </w:footnote>
  <w:footnote w:id="2">
    <w:p w:rsidR="00F40529" w:rsidRPr="00CA095D" w:rsidRDefault="00F40529">
      <w:pPr>
        <w:pStyle w:val="FootnoteText"/>
        <w:rPr>
          <w:lang w:val="en-US"/>
        </w:rPr>
      </w:pPr>
      <w:r>
        <w:rPr>
          <w:rStyle w:val="FootnoteReference"/>
        </w:rPr>
        <w:footnoteRef/>
      </w:r>
      <w:r>
        <w:t xml:space="preserve"> </w:t>
      </w:r>
      <w:r>
        <w:rPr>
          <w:lang w:val="en-US"/>
        </w:rPr>
        <w:t>As required by Rule 72(1)(a)(</w:t>
      </w:r>
      <w:proofErr w:type="spellStart"/>
      <w:r>
        <w:rPr>
          <w:lang w:val="en-US"/>
        </w:rPr>
        <w:t>i</w:t>
      </w:r>
      <w:proofErr w:type="spellEnd"/>
      <w:r>
        <w:rPr>
          <w:lang w:val="en-US"/>
        </w:rPr>
        <w:t>)</w:t>
      </w:r>
    </w:p>
  </w:footnote>
  <w:footnote w:id="3">
    <w:p w:rsidR="00F40529" w:rsidRPr="00CA095D" w:rsidRDefault="00F40529">
      <w:pPr>
        <w:pStyle w:val="FootnoteText"/>
        <w:rPr>
          <w:lang w:val="en-US"/>
        </w:rPr>
      </w:pPr>
      <w:r>
        <w:rPr>
          <w:rStyle w:val="FootnoteReference"/>
        </w:rPr>
        <w:footnoteRef/>
      </w:r>
      <w:r>
        <w:t xml:space="preserve"> </w:t>
      </w:r>
      <w:r>
        <w:rPr>
          <w:lang w:val="en-US"/>
        </w:rPr>
        <w:t>As required by Rule 72(1)(a)(ii)</w:t>
      </w:r>
    </w:p>
  </w:footnote>
  <w:footnote w:id="4">
    <w:p w:rsidR="00F40529" w:rsidRPr="001312AF" w:rsidRDefault="00F40529">
      <w:pPr>
        <w:pStyle w:val="FootnoteText"/>
        <w:rPr>
          <w:lang w:val="en-US"/>
        </w:rPr>
      </w:pPr>
      <w:r>
        <w:rPr>
          <w:rStyle w:val="FootnoteReference"/>
        </w:rPr>
        <w:footnoteRef/>
      </w:r>
      <w:r>
        <w:t xml:space="preserve"> </w:t>
      </w:r>
      <w:r>
        <w:rPr>
          <w:lang w:val="en-US"/>
        </w:rPr>
        <w:t>As required by Rule 72(1)(a)(iii)(A)</w:t>
      </w:r>
    </w:p>
  </w:footnote>
  <w:footnote w:id="5">
    <w:p w:rsidR="00F40529" w:rsidRPr="00A00EDB" w:rsidRDefault="00F40529">
      <w:pPr>
        <w:pStyle w:val="FootnoteText"/>
        <w:rPr>
          <w:lang w:val="en-US"/>
        </w:rPr>
      </w:pPr>
      <w:r>
        <w:rPr>
          <w:rStyle w:val="FootnoteReference"/>
        </w:rPr>
        <w:footnoteRef/>
      </w:r>
      <w:r>
        <w:t xml:space="preserve"> </w:t>
      </w:r>
      <w:r>
        <w:rPr>
          <w:lang w:val="en-US"/>
        </w:rPr>
        <w:t>As required by Rule 72(1)(a)(iii)(B)</w:t>
      </w:r>
    </w:p>
  </w:footnote>
  <w:footnote w:id="6">
    <w:p w:rsidR="00F40529" w:rsidRPr="003530FF" w:rsidRDefault="00F40529">
      <w:pPr>
        <w:pStyle w:val="FootnoteText"/>
        <w:rPr>
          <w:lang w:val="en-US"/>
        </w:rPr>
      </w:pPr>
      <w:r>
        <w:rPr>
          <w:rStyle w:val="FootnoteReference"/>
        </w:rPr>
        <w:footnoteRef/>
      </w:r>
      <w:r>
        <w:t xml:space="preserve"> </w:t>
      </w:r>
      <w:r>
        <w:rPr>
          <w:lang w:val="en-US"/>
        </w:rPr>
        <w:t>As required by Rule 72(1)(b)</w:t>
      </w:r>
    </w:p>
  </w:footnote>
  <w:footnote w:id="7">
    <w:p w:rsidR="00F40529" w:rsidRPr="00302471" w:rsidRDefault="00F40529">
      <w:pPr>
        <w:pStyle w:val="FootnoteText"/>
        <w:rPr>
          <w:lang w:val="en-US"/>
        </w:rPr>
      </w:pPr>
      <w:r>
        <w:rPr>
          <w:rStyle w:val="FootnoteReference"/>
        </w:rPr>
        <w:footnoteRef/>
      </w:r>
      <w:r>
        <w:t xml:space="preserve"> </w:t>
      </w:r>
      <w:r>
        <w:rPr>
          <w:lang w:val="en-US"/>
        </w:rPr>
        <w:t>As required by Rule 72(1)(c)(</w:t>
      </w:r>
      <w:proofErr w:type="spellStart"/>
      <w:r>
        <w:rPr>
          <w:lang w:val="en-US"/>
        </w:rPr>
        <w:t>i</w:t>
      </w:r>
      <w:proofErr w:type="spellEnd"/>
      <w:r>
        <w:rPr>
          <w:lang w:val="en-US"/>
        </w:rPr>
        <w:t>)</w:t>
      </w:r>
    </w:p>
  </w:footnote>
  <w:footnote w:id="8">
    <w:p w:rsidR="00F40529" w:rsidRPr="008B09F6" w:rsidRDefault="00F40529">
      <w:pPr>
        <w:pStyle w:val="FootnoteText"/>
        <w:rPr>
          <w:lang w:val="en-US"/>
        </w:rPr>
      </w:pPr>
      <w:r>
        <w:rPr>
          <w:rStyle w:val="FootnoteReference"/>
        </w:rPr>
        <w:footnoteRef/>
      </w:r>
      <w:r>
        <w:t xml:space="preserve"> </w:t>
      </w:r>
      <w:r>
        <w:rPr>
          <w:lang w:val="en-US"/>
        </w:rPr>
        <w:t>As required by Rule 72(1)(c)(ii)</w:t>
      </w:r>
    </w:p>
  </w:footnote>
  <w:footnote w:id="9">
    <w:p w:rsidR="00F40529" w:rsidRPr="00A13EEA" w:rsidRDefault="00F40529">
      <w:pPr>
        <w:pStyle w:val="FootnoteText"/>
        <w:rPr>
          <w:lang w:val="en-US"/>
        </w:rPr>
      </w:pPr>
      <w:r>
        <w:rPr>
          <w:rStyle w:val="FootnoteReference"/>
        </w:rPr>
        <w:footnoteRef/>
      </w:r>
      <w:r>
        <w:t xml:space="preserve"> </w:t>
      </w:r>
      <w:r>
        <w:rPr>
          <w:lang w:val="en-US"/>
        </w:rPr>
        <w:t>As required by Rule 72(1)(c)</w:t>
      </w:r>
    </w:p>
  </w:footnote>
  <w:footnote w:id="10">
    <w:p w:rsidR="00F40529" w:rsidRPr="002C6B89" w:rsidRDefault="00F40529">
      <w:pPr>
        <w:pStyle w:val="FootnoteText"/>
        <w:rPr>
          <w:lang w:val="en-US"/>
        </w:rPr>
      </w:pPr>
      <w:r>
        <w:rPr>
          <w:rStyle w:val="FootnoteReference"/>
        </w:rPr>
        <w:footnoteRef/>
      </w:r>
      <w:r>
        <w:t xml:space="preserve"> </w:t>
      </w:r>
      <w:r>
        <w:rPr>
          <w:lang w:val="en-US"/>
        </w:rPr>
        <w:t>As required by Rule 72(1)(d)</w:t>
      </w:r>
    </w:p>
  </w:footnote>
  <w:footnote w:id="11">
    <w:p w:rsidR="00F40529" w:rsidRPr="00032E6F" w:rsidDel="00D335CD" w:rsidRDefault="00F40529">
      <w:pPr>
        <w:pStyle w:val="FootnoteText"/>
        <w:rPr>
          <w:del w:id="75" w:author="Author"/>
          <w:lang w:val="en-US"/>
        </w:rPr>
      </w:pPr>
    </w:p>
  </w:footnote>
  <w:footnote w:id="12">
    <w:p w:rsidR="00F40529" w:rsidRPr="00C52A86" w:rsidRDefault="00F40529">
      <w:pPr>
        <w:pStyle w:val="FootnoteText"/>
        <w:rPr>
          <w:lang w:val="en-US"/>
        </w:rPr>
      </w:pPr>
      <w:r>
        <w:rPr>
          <w:rStyle w:val="FootnoteReference"/>
        </w:rPr>
        <w:footnoteRef/>
      </w:r>
      <w:r>
        <w:t xml:space="preserve"> </w:t>
      </w:r>
      <w:r>
        <w:rPr>
          <w:lang w:val="en-US"/>
        </w:rPr>
        <w:t>As required by Rule 72(1)(g)</w:t>
      </w:r>
    </w:p>
  </w:footnote>
  <w:footnote w:id="13">
    <w:p w:rsidR="00F40529" w:rsidRPr="005310EE" w:rsidRDefault="00F40529">
      <w:pPr>
        <w:pStyle w:val="FootnoteText"/>
        <w:rPr>
          <w:lang w:val="en-US"/>
        </w:rPr>
      </w:pPr>
      <w:r>
        <w:rPr>
          <w:rStyle w:val="FootnoteReference"/>
        </w:rPr>
        <w:footnoteRef/>
      </w:r>
      <w:r>
        <w:t xml:space="preserve"> </w:t>
      </w:r>
      <w:r>
        <w:rPr>
          <w:lang w:val="en-US"/>
        </w:rPr>
        <w:t>As required by Rule 72(1)(h)</w:t>
      </w:r>
    </w:p>
  </w:footnote>
  <w:footnote w:id="14">
    <w:p w:rsidR="00F40529" w:rsidRPr="002C4A3A" w:rsidRDefault="00F40529">
      <w:pPr>
        <w:pStyle w:val="FootnoteText"/>
        <w:rPr>
          <w:lang w:val="en-US"/>
        </w:rPr>
      </w:pPr>
      <w:r>
        <w:rPr>
          <w:rStyle w:val="FootnoteReference"/>
        </w:rPr>
        <w:footnoteRef/>
      </w:r>
      <w:r>
        <w:t xml:space="preserve"> </w:t>
      </w:r>
      <w:r>
        <w:rPr>
          <w:lang w:val="en-US"/>
        </w:rPr>
        <w:t>As commissioned</w:t>
      </w:r>
    </w:p>
  </w:footnote>
  <w:footnote w:id="15">
    <w:p w:rsidR="00F40529" w:rsidRPr="00D825FF" w:rsidRDefault="00F40529" w:rsidP="00C62A1B">
      <w:pPr>
        <w:pStyle w:val="FootnoteText"/>
        <w:rPr>
          <w:lang w:val="en-US"/>
        </w:rPr>
      </w:pPr>
      <w:r>
        <w:rPr>
          <w:rStyle w:val="FootnoteReference"/>
        </w:rPr>
        <w:footnoteRef/>
      </w:r>
      <w:r>
        <w:t xml:space="preserve"> </w:t>
      </w:r>
      <w:r>
        <w:rPr>
          <w:lang w:val="en-US"/>
        </w:rPr>
        <w:t>As commissioned</w:t>
      </w:r>
    </w:p>
  </w:footnote>
  <w:footnote w:id="16">
    <w:p w:rsidR="00F40529" w:rsidRDefault="00F40529" w:rsidP="00D52402">
      <w:pPr>
        <w:pStyle w:val="FootnoteText"/>
      </w:pPr>
      <w:r>
        <w:rPr>
          <w:rStyle w:val="FootnoteReference"/>
        </w:rPr>
        <w:footnoteRef/>
      </w:r>
      <w:r>
        <w:t xml:space="preserve"> APA </w:t>
      </w:r>
      <w:proofErr w:type="spellStart"/>
      <w:r>
        <w:t>GasNet</w:t>
      </w:r>
      <w:proofErr w:type="spellEnd"/>
      <w:r>
        <w:t xml:space="preserve"> 2008-12 Access Arrangement clause 7.2</w:t>
      </w:r>
    </w:p>
  </w:footnote>
  <w:footnote w:id="17">
    <w:p w:rsidR="00F40529" w:rsidRPr="00034E43" w:rsidRDefault="00F40529" w:rsidP="00D52402">
      <w:pPr>
        <w:pStyle w:val="FootnoteText"/>
        <w:rPr>
          <w:lang w:val="en-US"/>
        </w:rPr>
      </w:pPr>
      <w:r>
        <w:rPr>
          <w:rStyle w:val="FootnoteReference"/>
        </w:rPr>
        <w:footnoteRef/>
      </w:r>
      <w:r>
        <w:t xml:space="preserve"> </w:t>
      </w:r>
      <w:r>
        <w:rPr>
          <w:lang w:val="en-US"/>
        </w:rPr>
        <w:t>As required by Rule 72(1)(</w:t>
      </w:r>
      <w:proofErr w:type="spellStart"/>
      <w:r>
        <w:rPr>
          <w:lang w:val="en-US"/>
        </w:rPr>
        <w:t>i</w:t>
      </w:r>
      <w:proofErr w:type="spellEnd"/>
      <w:r>
        <w:rPr>
          <w:lang w:val="en-US"/>
        </w:rPr>
        <w:t>)</w:t>
      </w:r>
    </w:p>
  </w:footnote>
  <w:footnote w:id="18">
    <w:p w:rsidR="00F40529" w:rsidRDefault="00F40529" w:rsidP="00D52402">
      <w:pPr>
        <w:pStyle w:val="FootnoteText"/>
      </w:pPr>
      <w:r>
        <w:rPr>
          <w:rStyle w:val="FootnoteReference"/>
        </w:rPr>
        <w:footnoteRef/>
      </w:r>
      <w:r>
        <w:t xml:space="preserve"> APA </w:t>
      </w:r>
      <w:proofErr w:type="spellStart"/>
      <w:r>
        <w:t>GasNet</w:t>
      </w:r>
      <w:proofErr w:type="spellEnd"/>
      <w:r>
        <w:t xml:space="preserve"> 2008-12 Access Arrangement clause 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2B01F80"/>
    <w:lvl w:ilvl="0">
      <w:start w:val="1"/>
      <w:numFmt w:val="bullet"/>
      <w:lvlText w:val=""/>
      <w:lvlJc w:val="left"/>
      <w:pPr>
        <w:tabs>
          <w:tab w:val="num" w:pos="360"/>
        </w:tabs>
        <w:ind w:left="360" w:hanging="360"/>
      </w:pPr>
      <w:rPr>
        <w:rFonts w:ascii="Symbol" w:hAnsi="Symbol" w:hint="default"/>
      </w:rPr>
    </w:lvl>
  </w:abstractNum>
  <w:abstractNum w:abstractNumId="1">
    <w:nsid w:val="14A07144"/>
    <w:multiLevelType w:val="hybridMultilevel"/>
    <w:tmpl w:val="285A79B2"/>
    <w:lvl w:ilvl="0" w:tplc="0C090001">
      <w:start w:val="1"/>
      <w:numFmt w:val="bullet"/>
      <w:lvlText w:val=""/>
      <w:lvlJc w:val="left"/>
      <w:pPr>
        <w:tabs>
          <w:tab w:val="num" w:pos="340"/>
        </w:tabs>
        <w:ind w:left="340" w:hanging="340"/>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9B390E"/>
    <w:multiLevelType w:val="hybridMultilevel"/>
    <w:tmpl w:val="2896791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nsid w:val="200403BE"/>
    <w:multiLevelType w:val="singleLevel"/>
    <w:tmpl w:val="67583356"/>
    <w:lvl w:ilvl="0">
      <w:start w:val="1"/>
      <w:numFmt w:val="bullet"/>
      <w:pStyle w:val="WKL1Bullet"/>
      <w:lvlText w:val=""/>
      <w:lvlJc w:val="left"/>
      <w:pPr>
        <w:tabs>
          <w:tab w:val="num" w:pos="360"/>
        </w:tabs>
        <w:ind w:left="357" w:hanging="357"/>
      </w:pPr>
      <w:rPr>
        <w:rFonts w:ascii="Wingdings" w:hAnsi="Wingdings" w:hint="default"/>
        <w:sz w:val="16"/>
      </w:rPr>
    </w:lvl>
  </w:abstractNum>
  <w:abstractNum w:abstractNumId="4">
    <w:nsid w:val="3C3B60EA"/>
    <w:multiLevelType w:val="multilevel"/>
    <w:tmpl w:val="FC445CDC"/>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964"/>
        </w:tabs>
        <w:ind w:left="964" w:hanging="964"/>
      </w:pPr>
    </w:lvl>
    <w:lvl w:ilvl="2">
      <w:start w:val="1"/>
      <w:numFmt w:val="decimal"/>
      <w:pStyle w:val="Heading3"/>
      <w:lvlText w:val="%1.%2.%3"/>
      <w:lvlJc w:val="left"/>
      <w:pPr>
        <w:tabs>
          <w:tab w:val="num" w:pos="964"/>
        </w:tabs>
        <w:ind w:left="964"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6">
    <w:nsid w:val="5DB81BC0"/>
    <w:multiLevelType w:val="hybridMultilevel"/>
    <w:tmpl w:val="05725A88"/>
    <w:lvl w:ilvl="0" w:tplc="4AE6D862">
      <w:start w:val="1"/>
      <w:numFmt w:val="bullet"/>
      <w:pStyle w:val="AAdotpoint1"/>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720"/>
        </w:tabs>
        <w:ind w:left="720" w:hanging="360"/>
      </w:pPr>
      <w:rPr>
        <w:rFonts w:ascii="Courier New" w:hAnsi="Courier New" w:cs="Courier New"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cs="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cs="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7">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7E5F97"/>
    <w:multiLevelType w:val="multilevel"/>
    <w:tmpl w:val="CE12316E"/>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1106"/>
        </w:tabs>
        <w:ind w:left="1106"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num w:numId="1">
    <w:abstractNumId w:val="4"/>
  </w:num>
  <w:num w:numId="2">
    <w:abstractNumId w:val="8"/>
  </w:num>
  <w:num w:numId="3">
    <w:abstractNumId w:val="1"/>
  </w:num>
  <w:num w:numId="4">
    <w:abstractNumId w:val="7"/>
  </w:num>
  <w:num w:numId="5">
    <w:abstractNumId w:val="6"/>
  </w:num>
  <w:num w:numId="6">
    <w:abstractNumId w:val="5"/>
  </w:num>
  <w:num w:numId="7">
    <w:abstractNumId w:val="3"/>
  </w:num>
  <w:num w:numId="8">
    <w:abstractNumId w:val="1"/>
  </w:num>
  <w:num w:numId="9">
    <w:abstractNumId w:val="1"/>
  </w:num>
  <w:num w:numId="10">
    <w:abstractNumId w:val="0"/>
  </w:num>
  <w:num w:numId="11">
    <w:abstractNumId w:val="8"/>
  </w:num>
  <w:num w:numId="12">
    <w:abstractNumId w:val="8"/>
  </w:num>
  <w:num w:numId="13">
    <w:abstractNumId w:val="2"/>
  </w:num>
  <w:num w:numId="14">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1F08"/>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endnote w:id="-1"/>
    <w:endnote w:id="0"/>
  </w:endnotePr>
  <w:compat/>
  <w:docVars>
    <w:docVar w:name="currentname" w:val="H:\TRIMDATA\TRIM\TEMP\CONTEXT.3436\AER13 1648  VIC gas access arrangement review 2012 - multiple issues addressed  - AER access arrangement information -  - APA GasNet - AER access arrangement info.DOCX"/>
    <w:docVar w:name="Num3Paras" w:val="No"/>
    <w:docVar w:name="Orientation" w:val="Portrait"/>
    <w:docVar w:name="ReptStyle" w:val=" 0"/>
  </w:docVars>
  <w:rsids>
    <w:rsidRoot w:val="0047306B"/>
    <w:rsid w:val="00006589"/>
    <w:rsid w:val="000069F5"/>
    <w:rsid w:val="00006A19"/>
    <w:rsid w:val="00014C10"/>
    <w:rsid w:val="000226EA"/>
    <w:rsid w:val="00023543"/>
    <w:rsid w:val="00032E6F"/>
    <w:rsid w:val="00033EE6"/>
    <w:rsid w:val="00034E43"/>
    <w:rsid w:val="00037374"/>
    <w:rsid w:val="00054A97"/>
    <w:rsid w:val="00056AFE"/>
    <w:rsid w:val="00064DC6"/>
    <w:rsid w:val="000656AD"/>
    <w:rsid w:val="00066F18"/>
    <w:rsid w:val="0007320D"/>
    <w:rsid w:val="00075231"/>
    <w:rsid w:val="00076087"/>
    <w:rsid w:val="00076D6F"/>
    <w:rsid w:val="000816FF"/>
    <w:rsid w:val="00083D6B"/>
    <w:rsid w:val="000853DB"/>
    <w:rsid w:val="00086AC5"/>
    <w:rsid w:val="000A17C5"/>
    <w:rsid w:val="000A2BD9"/>
    <w:rsid w:val="000A2D21"/>
    <w:rsid w:val="000A6A51"/>
    <w:rsid w:val="000B15C5"/>
    <w:rsid w:val="000B5145"/>
    <w:rsid w:val="000B6A76"/>
    <w:rsid w:val="000B746E"/>
    <w:rsid w:val="000B7EF2"/>
    <w:rsid w:val="000C65E5"/>
    <w:rsid w:val="000C7811"/>
    <w:rsid w:val="000C7E7E"/>
    <w:rsid w:val="000E0FD0"/>
    <w:rsid w:val="000F37AA"/>
    <w:rsid w:val="000F5CD5"/>
    <w:rsid w:val="000F67D9"/>
    <w:rsid w:val="001079C1"/>
    <w:rsid w:val="0011565B"/>
    <w:rsid w:val="0012477B"/>
    <w:rsid w:val="001312AF"/>
    <w:rsid w:val="00140044"/>
    <w:rsid w:val="001462F3"/>
    <w:rsid w:val="0015072B"/>
    <w:rsid w:val="00150CCE"/>
    <w:rsid w:val="001535A9"/>
    <w:rsid w:val="00154112"/>
    <w:rsid w:val="001631B1"/>
    <w:rsid w:val="00166A0B"/>
    <w:rsid w:val="00170EEF"/>
    <w:rsid w:val="0017429C"/>
    <w:rsid w:val="00176027"/>
    <w:rsid w:val="001766EE"/>
    <w:rsid w:val="0018256D"/>
    <w:rsid w:val="0018342E"/>
    <w:rsid w:val="00187C25"/>
    <w:rsid w:val="0019184D"/>
    <w:rsid w:val="001938E6"/>
    <w:rsid w:val="00196F86"/>
    <w:rsid w:val="001A7673"/>
    <w:rsid w:val="001B7EC1"/>
    <w:rsid w:val="001C2D20"/>
    <w:rsid w:val="001C456F"/>
    <w:rsid w:val="001C57A5"/>
    <w:rsid w:val="001D1240"/>
    <w:rsid w:val="001D222F"/>
    <w:rsid w:val="001D4650"/>
    <w:rsid w:val="001F50FB"/>
    <w:rsid w:val="00200541"/>
    <w:rsid w:val="00216B42"/>
    <w:rsid w:val="00225CD0"/>
    <w:rsid w:val="0023074A"/>
    <w:rsid w:val="00241C9C"/>
    <w:rsid w:val="00246FC6"/>
    <w:rsid w:val="00252EB6"/>
    <w:rsid w:val="00252EC7"/>
    <w:rsid w:val="00263C10"/>
    <w:rsid w:val="00263C59"/>
    <w:rsid w:val="00271959"/>
    <w:rsid w:val="00271BE8"/>
    <w:rsid w:val="00272491"/>
    <w:rsid w:val="00281545"/>
    <w:rsid w:val="0028260E"/>
    <w:rsid w:val="00284340"/>
    <w:rsid w:val="002854C3"/>
    <w:rsid w:val="00294432"/>
    <w:rsid w:val="002A3C6C"/>
    <w:rsid w:val="002A415B"/>
    <w:rsid w:val="002A5916"/>
    <w:rsid w:val="002B3315"/>
    <w:rsid w:val="002B397B"/>
    <w:rsid w:val="002B7FB7"/>
    <w:rsid w:val="002C4A3A"/>
    <w:rsid w:val="002C6B89"/>
    <w:rsid w:val="002D1767"/>
    <w:rsid w:val="002D67E9"/>
    <w:rsid w:val="002E093C"/>
    <w:rsid w:val="002E40B2"/>
    <w:rsid w:val="002E4748"/>
    <w:rsid w:val="002E7E33"/>
    <w:rsid w:val="002F090C"/>
    <w:rsid w:val="003011E4"/>
    <w:rsid w:val="00302471"/>
    <w:rsid w:val="00306317"/>
    <w:rsid w:val="00313CE3"/>
    <w:rsid w:val="00313D7F"/>
    <w:rsid w:val="00321D55"/>
    <w:rsid w:val="003227CC"/>
    <w:rsid w:val="00323DF6"/>
    <w:rsid w:val="00325026"/>
    <w:rsid w:val="00326B03"/>
    <w:rsid w:val="00332E93"/>
    <w:rsid w:val="00335104"/>
    <w:rsid w:val="00335635"/>
    <w:rsid w:val="003530FF"/>
    <w:rsid w:val="003537FF"/>
    <w:rsid w:val="00366016"/>
    <w:rsid w:val="00376158"/>
    <w:rsid w:val="00384F9F"/>
    <w:rsid w:val="00386CB0"/>
    <w:rsid w:val="003A0D37"/>
    <w:rsid w:val="003A108A"/>
    <w:rsid w:val="003A1D1B"/>
    <w:rsid w:val="003A35C3"/>
    <w:rsid w:val="003B121C"/>
    <w:rsid w:val="003B1AC7"/>
    <w:rsid w:val="003B4C29"/>
    <w:rsid w:val="003C2C4A"/>
    <w:rsid w:val="003C66CC"/>
    <w:rsid w:val="003E0D64"/>
    <w:rsid w:val="003E1051"/>
    <w:rsid w:val="003E3D51"/>
    <w:rsid w:val="003E41A2"/>
    <w:rsid w:val="003F7F02"/>
    <w:rsid w:val="00406C0B"/>
    <w:rsid w:val="00406EF8"/>
    <w:rsid w:val="00410CFE"/>
    <w:rsid w:val="00413D42"/>
    <w:rsid w:val="0042183B"/>
    <w:rsid w:val="004262ED"/>
    <w:rsid w:val="00433639"/>
    <w:rsid w:val="00435679"/>
    <w:rsid w:val="00444DD2"/>
    <w:rsid w:val="00446071"/>
    <w:rsid w:val="004570E5"/>
    <w:rsid w:val="004621A2"/>
    <w:rsid w:val="0046501D"/>
    <w:rsid w:val="0047306B"/>
    <w:rsid w:val="00475170"/>
    <w:rsid w:val="00475793"/>
    <w:rsid w:val="00491BCF"/>
    <w:rsid w:val="004A649B"/>
    <w:rsid w:val="004A68B8"/>
    <w:rsid w:val="004A68E2"/>
    <w:rsid w:val="004A7041"/>
    <w:rsid w:val="004A72C5"/>
    <w:rsid w:val="004A79E7"/>
    <w:rsid w:val="004A7C4F"/>
    <w:rsid w:val="004B0623"/>
    <w:rsid w:val="004B4FBA"/>
    <w:rsid w:val="004D7C4E"/>
    <w:rsid w:val="004E2CE4"/>
    <w:rsid w:val="004E5384"/>
    <w:rsid w:val="004E6967"/>
    <w:rsid w:val="004F1A85"/>
    <w:rsid w:val="004F460E"/>
    <w:rsid w:val="00522B71"/>
    <w:rsid w:val="005310EE"/>
    <w:rsid w:val="00532176"/>
    <w:rsid w:val="00544036"/>
    <w:rsid w:val="00545A9A"/>
    <w:rsid w:val="0054781D"/>
    <w:rsid w:val="0055245D"/>
    <w:rsid w:val="00552AD5"/>
    <w:rsid w:val="00565FB6"/>
    <w:rsid w:val="005660AF"/>
    <w:rsid w:val="00566DCE"/>
    <w:rsid w:val="005701FE"/>
    <w:rsid w:val="00573E3B"/>
    <w:rsid w:val="00577E06"/>
    <w:rsid w:val="00580042"/>
    <w:rsid w:val="005813A9"/>
    <w:rsid w:val="00582810"/>
    <w:rsid w:val="005864F3"/>
    <w:rsid w:val="00586ECA"/>
    <w:rsid w:val="005925C9"/>
    <w:rsid w:val="005A1209"/>
    <w:rsid w:val="005A64A1"/>
    <w:rsid w:val="005A69A3"/>
    <w:rsid w:val="005B0B6A"/>
    <w:rsid w:val="005B53B8"/>
    <w:rsid w:val="005B5EF0"/>
    <w:rsid w:val="005B6047"/>
    <w:rsid w:val="005C2BE7"/>
    <w:rsid w:val="005D06ED"/>
    <w:rsid w:val="005D0DA0"/>
    <w:rsid w:val="005D42C8"/>
    <w:rsid w:val="005D5E56"/>
    <w:rsid w:val="005D6B26"/>
    <w:rsid w:val="005E1C62"/>
    <w:rsid w:val="005E6E8A"/>
    <w:rsid w:val="005F590D"/>
    <w:rsid w:val="005F77A8"/>
    <w:rsid w:val="00605164"/>
    <w:rsid w:val="006164B4"/>
    <w:rsid w:val="00626515"/>
    <w:rsid w:val="00626AF2"/>
    <w:rsid w:val="006271F4"/>
    <w:rsid w:val="00627BC2"/>
    <w:rsid w:val="006346CD"/>
    <w:rsid w:val="00643618"/>
    <w:rsid w:val="0064405E"/>
    <w:rsid w:val="00646FF4"/>
    <w:rsid w:val="00654A3E"/>
    <w:rsid w:val="00657CE2"/>
    <w:rsid w:val="0066791A"/>
    <w:rsid w:val="006725DA"/>
    <w:rsid w:val="00676E57"/>
    <w:rsid w:val="00680B17"/>
    <w:rsid w:val="00681BA2"/>
    <w:rsid w:val="006833FA"/>
    <w:rsid w:val="006861A7"/>
    <w:rsid w:val="00690E11"/>
    <w:rsid w:val="0069116E"/>
    <w:rsid w:val="00692106"/>
    <w:rsid w:val="006A6D9A"/>
    <w:rsid w:val="006B33F2"/>
    <w:rsid w:val="006C1944"/>
    <w:rsid w:val="006C41B1"/>
    <w:rsid w:val="006E0632"/>
    <w:rsid w:val="006E6CB8"/>
    <w:rsid w:val="006F2E1A"/>
    <w:rsid w:val="00701B49"/>
    <w:rsid w:val="0072133C"/>
    <w:rsid w:val="00722873"/>
    <w:rsid w:val="007266EE"/>
    <w:rsid w:val="00727693"/>
    <w:rsid w:val="00731D5D"/>
    <w:rsid w:val="00736576"/>
    <w:rsid w:val="00737D9A"/>
    <w:rsid w:val="0074341F"/>
    <w:rsid w:val="00751B94"/>
    <w:rsid w:val="007528ED"/>
    <w:rsid w:val="00756455"/>
    <w:rsid w:val="00770811"/>
    <w:rsid w:val="0077084B"/>
    <w:rsid w:val="00770A69"/>
    <w:rsid w:val="0077455F"/>
    <w:rsid w:val="007846A9"/>
    <w:rsid w:val="0078657D"/>
    <w:rsid w:val="0078687D"/>
    <w:rsid w:val="00786E67"/>
    <w:rsid w:val="00791C56"/>
    <w:rsid w:val="00792B5B"/>
    <w:rsid w:val="00792E6F"/>
    <w:rsid w:val="007968E9"/>
    <w:rsid w:val="007A27F5"/>
    <w:rsid w:val="007A311E"/>
    <w:rsid w:val="007B2642"/>
    <w:rsid w:val="007D0698"/>
    <w:rsid w:val="007D5B71"/>
    <w:rsid w:val="007E045F"/>
    <w:rsid w:val="007E0BCC"/>
    <w:rsid w:val="007E0CE7"/>
    <w:rsid w:val="007E3098"/>
    <w:rsid w:val="007E61B7"/>
    <w:rsid w:val="007F1A91"/>
    <w:rsid w:val="007F5AEC"/>
    <w:rsid w:val="007F5CF4"/>
    <w:rsid w:val="007F5EE7"/>
    <w:rsid w:val="008072B5"/>
    <w:rsid w:val="00807D52"/>
    <w:rsid w:val="00812E0B"/>
    <w:rsid w:val="0081338B"/>
    <w:rsid w:val="00813B4B"/>
    <w:rsid w:val="00816F35"/>
    <w:rsid w:val="0082663E"/>
    <w:rsid w:val="00836E2A"/>
    <w:rsid w:val="00842BA2"/>
    <w:rsid w:val="00855AE7"/>
    <w:rsid w:val="00862170"/>
    <w:rsid w:val="00870495"/>
    <w:rsid w:val="008713F6"/>
    <w:rsid w:val="00871BD3"/>
    <w:rsid w:val="00873218"/>
    <w:rsid w:val="00892242"/>
    <w:rsid w:val="008A21B6"/>
    <w:rsid w:val="008A22F0"/>
    <w:rsid w:val="008A5C1D"/>
    <w:rsid w:val="008B09F6"/>
    <w:rsid w:val="008B0BE3"/>
    <w:rsid w:val="008C2C18"/>
    <w:rsid w:val="008C6C05"/>
    <w:rsid w:val="008D2C17"/>
    <w:rsid w:val="008D30BC"/>
    <w:rsid w:val="008D31A1"/>
    <w:rsid w:val="008D435C"/>
    <w:rsid w:val="008D7A74"/>
    <w:rsid w:val="008E38F8"/>
    <w:rsid w:val="008E62F8"/>
    <w:rsid w:val="008F27F5"/>
    <w:rsid w:val="008F2A82"/>
    <w:rsid w:val="008F3C7B"/>
    <w:rsid w:val="008F473E"/>
    <w:rsid w:val="008F5F17"/>
    <w:rsid w:val="008F7C27"/>
    <w:rsid w:val="008F7C65"/>
    <w:rsid w:val="00903DB6"/>
    <w:rsid w:val="00903F7A"/>
    <w:rsid w:val="009246E5"/>
    <w:rsid w:val="009252CA"/>
    <w:rsid w:val="00932562"/>
    <w:rsid w:val="00933854"/>
    <w:rsid w:val="009351AF"/>
    <w:rsid w:val="009413DC"/>
    <w:rsid w:val="0094585F"/>
    <w:rsid w:val="00954FFC"/>
    <w:rsid w:val="00961512"/>
    <w:rsid w:val="00964D5B"/>
    <w:rsid w:val="009662CF"/>
    <w:rsid w:val="0096788F"/>
    <w:rsid w:val="00975A8A"/>
    <w:rsid w:val="00981477"/>
    <w:rsid w:val="00981938"/>
    <w:rsid w:val="0098336A"/>
    <w:rsid w:val="00983F0C"/>
    <w:rsid w:val="00987744"/>
    <w:rsid w:val="00995E02"/>
    <w:rsid w:val="009A3F67"/>
    <w:rsid w:val="009A4FD7"/>
    <w:rsid w:val="009B507F"/>
    <w:rsid w:val="009B5BEA"/>
    <w:rsid w:val="009C75E1"/>
    <w:rsid w:val="009D0268"/>
    <w:rsid w:val="009D3990"/>
    <w:rsid w:val="009D500F"/>
    <w:rsid w:val="009D7545"/>
    <w:rsid w:val="009E4E7D"/>
    <w:rsid w:val="009F0595"/>
    <w:rsid w:val="009F5AF6"/>
    <w:rsid w:val="00A00EDB"/>
    <w:rsid w:val="00A105C2"/>
    <w:rsid w:val="00A12440"/>
    <w:rsid w:val="00A13EEA"/>
    <w:rsid w:val="00A204FD"/>
    <w:rsid w:val="00A246B6"/>
    <w:rsid w:val="00A26B8D"/>
    <w:rsid w:val="00A34E9B"/>
    <w:rsid w:val="00A36E71"/>
    <w:rsid w:val="00A405A2"/>
    <w:rsid w:val="00A4308B"/>
    <w:rsid w:val="00A51D81"/>
    <w:rsid w:val="00A6149C"/>
    <w:rsid w:val="00A65D59"/>
    <w:rsid w:val="00A661BC"/>
    <w:rsid w:val="00A7038D"/>
    <w:rsid w:val="00A71659"/>
    <w:rsid w:val="00A740CD"/>
    <w:rsid w:val="00A75B71"/>
    <w:rsid w:val="00A76F3A"/>
    <w:rsid w:val="00A772D1"/>
    <w:rsid w:val="00A77FBE"/>
    <w:rsid w:val="00A8337E"/>
    <w:rsid w:val="00A8652C"/>
    <w:rsid w:val="00A87A5D"/>
    <w:rsid w:val="00A932E9"/>
    <w:rsid w:val="00A943F0"/>
    <w:rsid w:val="00A96CB3"/>
    <w:rsid w:val="00AA0F11"/>
    <w:rsid w:val="00AB4EB3"/>
    <w:rsid w:val="00AC3822"/>
    <w:rsid w:val="00AC4204"/>
    <w:rsid w:val="00AD750C"/>
    <w:rsid w:val="00AE0BA4"/>
    <w:rsid w:val="00AE17EA"/>
    <w:rsid w:val="00AE1C09"/>
    <w:rsid w:val="00AE3BE3"/>
    <w:rsid w:val="00AF420C"/>
    <w:rsid w:val="00AF428E"/>
    <w:rsid w:val="00AF4C97"/>
    <w:rsid w:val="00AF4F54"/>
    <w:rsid w:val="00AF6B5B"/>
    <w:rsid w:val="00B000C7"/>
    <w:rsid w:val="00B011A0"/>
    <w:rsid w:val="00B0534D"/>
    <w:rsid w:val="00B111C8"/>
    <w:rsid w:val="00B12C6B"/>
    <w:rsid w:val="00B152DB"/>
    <w:rsid w:val="00B1545F"/>
    <w:rsid w:val="00B15D3F"/>
    <w:rsid w:val="00B23A4D"/>
    <w:rsid w:val="00B30301"/>
    <w:rsid w:val="00B3182D"/>
    <w:rsid w:val="00B40800"/>
    <w:rsid w:val="00B42F80"/>
    <w:rsid w:val="00B4542F"/>
    <w:rsid w:val="00B46960"/>
    <w:rsid w:val="00B46CB3"/>
    <w:rsid w:val="00B47FA9"/>
    <w:rsid w:val="00B55211"/>
    <w:rsid w:val="00B5581D"/>
    <w:rsid w:val="00B60C69"/>
    <w:rsid w:val="00B6168F"/>
    <w:rsid w:val="00B64C21"/>
    <w:rsid w:val="00B7479D"/>
    <w:rsid w:val="00B764E3"/>
    <w:rsid w:val="00B77FEF"/>
    <w:rsid w:val="00B82FCF"/>
    <w:rsid w:val="00B93E69"/>
    <w:rsid w:val="00BA4EA5"/>
    <w:rsid w:val="00BA6B4B"/>
    <w:rsid w:val="00BB17A0"/>
    <w:rsid w:val="00BB1EF6"/>
    <w:rsid w:val="00BB44BF"/>
    <w:rsid w:val="00BC1107"/>
    <w:rsid w:val="00BC3AC9"/>
    <w:rsid w:val="00BC3FEC"/>
    <w:rsid w:val="00BE059D"/>
    <w:rsid w:val="00BE0886"/>
    <w:rsid w:val="00BE4522"/>
    <w:rsid w:val="00BE6B19"/>
    <w:rsid w:val="00BF3EE2"/>
    <w:rsid w:val="00BF661C"/>
    <w:rsid w:val="00C022D7"/>
    <w:rsid w:val="00C04A8D"/>
    <w:rsid w:val="00C063F0"/>
    <w:rsid w:val="00C0734E"/>
    <w:rsid w:val="00C1675A"/>
    <w:rsid w:val="00C17801"/>
    <w:rsid w:val="00C221C7"/>
    <w:rsid w:val="00C2492A"/>
    <w:rsid w:val="00C25117"/>
    <w:rsid w:val="00C3275F"/>
    <w:rsid w:val="00C34676"/>
    <w:rsid w:val="00C34CDC"/>
    <w:rsid w:val="00C3625B"/>
    <w:rsid w:val="00C425F5"/>
    <w:rsid w:val="00C43C8B"/>
    <w:rsid w:val="00C4659B"/>
    <w:rsid w:val="00C507B7"/>
    <w:rsid w:val="00C52A86"/>
    <w:rsid w:val="00C55B9D"/>
    <w:rsid w:val="00C62A1B"/>
    <w:rsid w:val="00C91E5F"/>
    <w:rsid w:val="00C940AC"/>
    <w:rsid w:val="00CA095D"/>
    <w:rsid w:val="00CA2801"/>
    <w:rsid w:val="00CB7D1F"/>
    <w:rsid w:val="00CC1BD7"/>
    <w:rsid w:val="00CD5558"/>
    <w:rsid w:val="00CD5F6A"/>
    <w:rsid w:val="00CE1F33"/>
    <w:rsid w:val="00CE389B"/>
    <w:rsid w:val="00CF15EC"/>
    <w:rsid w:val="00CF40AF"/>
    <w:rsid w:val="00CF679A"/>
    <w:rsid w:val="00D02029"/>
    <w:rsid w:val="00D13307"/>
    <w:rsid w:val="00D16DAF"/>
    <w:rsid w:val="00D23C94"/>
    <w:rsid w:val="00D26FC2"/>
    <w:rsid w:val="00D335CD"/>
    <w:rsid w:val="00D41121"/>
    <w:rsid w:val="00D41977"/>
    <w:rsid w:val="00D52402"/>
    <w:rsid w:val="00D60BA6"/>
    <w:rsid w:val="00D6257B"/>
    <w:rsid w:val="00D6461E"/>
    <w:rsid w:val="00D65BD0"/>
    <w:rsid w:val="00D70330"/>
    <w:rsid w:val="00D74152"/>
    <w:rsid w:val="00D741FF"/>
    <w:rsid w:val="00D74652"/>
    <w:rsid w:val="00D77933"/>
    <w:rsid w:val="00D77E27"/>
    <w:rsid w:val="00D82239"/>
    <w:rsid w:val="00D825FF"/>
    <w:rsid w:val="00D82FAD"/>
    <w:rsid w:val="00D842E9"/>
    <w:rsid w:val="00D844D6"/>
    <w:rsid w:val="00D849EA"/>
    <w:rsid w:val="00D85801"/>
    <w:rsid w:val="00D86A3C"/>
    <w:rsid w:val="00D872B1"/>
    <w:rsid w:val="00D87E69"/>
    <w:rsid w:val="00D9035B"/>
    <w:rsid w:val="00DA054D"/>
    <w:rsid w:val="00DA4DD9"/>
    <w:rsid w:val="00DB053A"/>
    <w:rsid w:val="00DB250E"/>
    <w:rsid w:val="00DC1337"/>
    <w:rsid w:val="00DC4266"/>
    <w:rsid w:val="00DC4E7B"/>
    <w:rsid w:val="00DC7134"/>
    <w:rsid w:val="00DC78BD"/>
    <w:rsid w:val="00DD2707"/>
    <w:rsid w:val="00DD6711"/>
    <w:rsid w:val="00DD6DD1"/>
    <w:rsid w:val="00DE08D9"/>
    <w:rsid w:val="00DE2A1C"/>
    <w:rsid w:val="00DE61D3"/>
    <w:rsid w:val="00DE7D08"/>
    <w:rsid w:val="00DF121F"/>
    <w:rsid w:val="00DF1475"/>
    <w:rsid w:val="00DF2CC6"/>
    <w:rsid w:val="00DF5C8E"/>
    <w:rsid w:val="00E01194"/>
    <w:rsid w:val="00E013F5"/>
    <w:rsid w:val="00E05380"/>
    <w:rsid w:val="00E10DCB"/>
    <w:rsid w:val="00E12954"/>
    <w:rsid w:val="00E133AC"/>
    <w:rsid w:val="00E13A33"/>
    <w:rsid w:val="00E14958"/>
    <w:rsid w:val="00E2258C"/>
    <w:rsid w:val="00E33064"/>
    <w:rsid w:val="00E36EA0"/>
    <w:rsid w:val="00E464B8"/>
    <w:rsid w:val="00E47FE1"/>
    <w:rsid w:val="00E50008"/>
    <w:rsid w:val="00E54FF5"/>
    <w:rsid w:val="00E61367"/>
    <w:rsid w:val="00E62493"/>
    <w:rsid w:val="00E71EB7"/>
    <w:rsid w:val="00E745EB"/>
    <w:rsid w:val="00E81B3D"/>
    <w:rsid w:val="00E831EF"/>
    <w:rsid w:val="00E83DA5"/>
    <w:rsid w:val="00E85B1A"/>
    <w:rsid w:val="00E95616"/>
    <w:rsid w:val="00E9562F"/>
    <w:rsid w:val="00EA79C8"/>
    <w:rsid w:val="00EB2EEE"/>
    <w:rsid w:val="00EB5C96"/>
    <w:rsid w:val="00EC360E"/>
    <w:rsid w:val="00EC42B4"/>
    <w:rsid w:val="00EC636D"/>
    <w:rsid w:val="00EC718D"/>
    <w:rsid w:val="00ED1657"/>
    <w:rsid w:val="00ED73A3"/>
    <w:rsid w:val="00EE6CD4"/>
    <w:rsid w:val="00EE741C"/>
    <w:rsid w:val="00F01635"/>
    <w:rsid w:val="00F06BD8"/>
    <w:rsid w:val="00F0786E"/>
    <w:rsid w:val="00F10D9D"/>
    <w:rsid w:val="00F12C71"/>
    <w:rsid w:val="00F133D8"/>
    <w:rsid w:val="00F32962"/>
    <w:rsid w:val="00F33713"/>
    <w:rsid w:val="00F35450"/>
    <w:rsid w:val="00F40529"/>
    <w:rsid w:val="00F405B6"/>
    <w:rsid w:val="00F43472"/>
    <w:rsid w:val="00F44083"/>
    <w:rsid w:val="00F46ECF"/>
    <w:rsid w:val="00F55674"/>
    <w:rsid w:val="00F63603"/>
    <w:rsid w:val="00F75AD0"/>
    <w:rsid w:val="00F77179"/>
    <w:rsid w:val="00F826FC"/>
    <w:rsid w:val="00F85371"/>
    <w:rsid w:val="00F8646C"/>
    <w:rsid w:val="00F91DF8"/>
    <w:rsid w:val="00FA1180"/>
    <w:rsid w:val="00FA1D72"/>
    <w:rsid w:val="00FA39B9"/>
    <w:rsid w:val="00FA4825"/>
    <w:rsid w:val="00FB5FBF"/>
    <w:rsid w:val="00FC4515"/>
    <w:rsid w:val="00FC4E96"/>
    <w:rsid w:val="00FD5FB2"/>
    <w:rsid w:val="00FD6A6F"/>
    <w:rsid w:val="00FE7A7C"/>
    <w:rsid w:val="00FF4D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rsid w:val="008F27F5"/>
    <w:pPr>
      <w:outlineLvl w:val="5"/>
    </w:pPr>
  </w:style>
  <w:style w:type="paragraph" w:styleId="Heading7">
    <w:name w:val="heading 7"/>
    <w:basedOn w:val="Normal"/>
    <w:next w:val="Normal"/>
    <w:qFormat/>
    <w:rsid w:val="008F27F5"/>
    <w:pPr>
      <w:outlineLvl w:val="6"/>
    </w:pPr>
  </w:style>
  <w:style w:type="paragraph" w:styleId="Heading8">
    <w:name w:val="heading 8"/>
    <w:basedOn w:val="Normal"/>
    <w:next w:val="Normal"/>
    <w:qFormat/>
    <w:rsid w:val="008F27F5"/>
    <w:pPr>
      <w:outlineLvl w:val="7"/>
    </w:pPr>
  </w:style>
  <w:style w:type="paragraph" w:styleId="Heading9">
    <w:name w:val="heading 9"/>
    <w:basedOn w:val="Normal"/>
    <w:next w:val="Normal"/>
    <w:qFormat/>
    <w:rsid w:val="008F27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rsid w:val="008F27F5"/>
  </w:style>
  <w:style w:type="paragraph" w:styleId="TOC3">
    <w:name w:val="toc 3"/>
    <w:basedOn w:val="TOC2"/>
    <w:uiPriority w:val="39"/>
    <w:rsid w:val="008F27F5"/>
    <w:pPr>
      <w:tabs>
        <w:tab w:val="left" w:pos="1418"/>
      </w:tabs>
      <w:ind w:left="1418" w:hanging="1418"/>
    </w:pPr>
  </w:style>
  <w:style w:type="paragraph" w:styleId="TOC2">
    <w:name w:val="toc 2"/>
    <w:basedOn w:val="TOC1"/>
    <w:uiPriority w:val="39"/>
    <w:rsid w:val="008F27F5"/>
    <w:pPr>
      <w:spacing w:before="0"/>
    </w:pPr>
    <w:rPr>
      <w:sz w:val="24"/>
    </w:rPr>
  </w:style>
  <w:style w:type="paragraph" w:styleId="TOC1">
    <w:name w:val="toc 1"/>
    <w:basedOn w:val="Normal"/>
    <w:uiPriority w:val="39"/>
    <w:rsid w:val="008F27F5"/>
    <w:pPr>
      <w:tabs>
        <w:tab w:val="right" w:pos="8221"/>
      </w:tabs>
      <w:spacing w:before="260"/>
      <w:ind w:left="851" w:right="567" w:hanging="851"/>
    </w:pPr>
    <w:rPr>
      <w:sz w:val="28"/>
    </w:rPr>
  </w:style>
  <w:style w:type="paragraph" w:styleId="Footer">
    <w:name w:val="footer"/>
    <w:basedOn w:val="Normal"/>
    <w:rsid w:val="008F27F5"/>
    <w:pPr>
      <w:tabs>
        <w:tab w:val="right" w:pos="8222"/>
      </w:tabs>
    </w:pPr>
    <w:rPr>
      <w:sz w:val="18"/>
    </w:rPr>
  </w:style>
  <w:style w:type="paragraph" w:styleId="Header">
    <w:name w:val="header"/>
    <w:basedOn w:val="Normal"/>
    <w:rsid w:val="008F27F5"/>
    <w:pPr>
      <w:spacing w:line="220" w:lineRule="atLeast"/>
      <w:jc w:val="right"/>
    </w:pPr>
    <w:rPr>
      <w:i/>
      <w:sz w:val="18"/>
    </w:rPr>
  </w:style>
  <w:style w:type="paragraph" w:styleId="ListBullet">
    <w:name w:val="List Bullet"/>
    <w:basedOn w:val="BodyText"/>
    <w:uiPriority w:val="99"/>
    <w:rsid w:val="007846A9"/>
  </w:style>
  <w:style w:type="paragraph" w:styleId="ListBullet2">
    <w:name w:val="List Bullet 2"/>
    <w:basedOn w:val="ListBullet"/>
    <w:rsid w:val="007846A9"/>
    <w:pPr>
      <w:numPr>
        <w:numId w:val="4"/>
      </w:numPr>
    </w:pPr>
  </w:style>
  <w:style w:type="paragraph" w:customStyle="1" w:styleId="zreportname">
    <w:name w:val="zreport name"/>
    <w:basedOn w:val="Normal"/>
    <w:rsid w:val="008F27F5"/>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8F27F5"/>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sid w:val="008F27F5"/>
    <w:rPr>
      <w:sz w:val="18"/>
    </w:rPr>
  </w:style>
  <w:style w:type="paragraph" w:customStyle="1" w:styleId="zreportsubtitle">
    <w:name w:val="zreport subtitle"/>
    <w:basedOn w:val="zreportname"/>
    <w:rsid w:val="008F27F5"/>
    <w:pPr>
      <w:framePr w:wrap="around"/>
      <w:spacing w:line="360" w:lineRule="exact"/>
    </w:pPr>
    <w:rPr>
      <w:sz w:val="32"/>
    </w:rPr>
  </w:style>
  <w:style w:type="paragraph" w:styleId="BodyTextIndent">
    <w:name w:val="Body Text Indent"/>
    <w:basedOn w:val="BodyText"/>
    <w:rsid w:val="008F27F5"/>
    <w:pPr>
      <w:ind w:left="340"/>
    </w:pPr>
  </w:style>
  <w:style w:type="paragraph" w:styleId="Index1">
    <w:name w:val="index 1"/>
    <w:basedOn w:val="Normal"/>
    <w:next w:val="Normal"/>
    <w:semiHidden/>
    <w:rsid w:val="008F27F5"/>
    <w:pPr>
      <w:keepNext/>
      <w:tabs>
        <w:tab w:val="right" w:pos="3750"/>
      </w:tabs>
      <w:spacing w:before="360" w:line="320" w:lineRule="exact"/>
      <w:ind w:right="851"/>
    </w:pPr>
    <w:rPr>
      <w:b/>
      <w:sz w:val="28"/>
    </w:rPr>
  </w:style>
  <w:style w:type="paragraph" w:customStyle="1" w:styleId="Graphic">
    <w:name w:val="Graphic"/>
    <w:basedOn w:val="Signature"/>
    <w:rsid w:val="008F27F5"/>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F27F5"/>
  </w:style>
  <w:style w:type="character" w:styleId="PageNumber">
    <w:name w:val="page number"/>
    <w:rsid w:val="00A105C2"/>
    <w:rPr>
      <w:rFonts w:ascii="Arial" w:hAnsi="Arial"/>
      <w:sz w:val="22"/>
    </w:rPr>
  </w:style>
  <w:style w:type="paragraph" w:styleId="Index2">
    <w:name w:val="index 2"/>
    <w:basedOn w:val="Normal"/>
    <w:next w:val="Normal"/>
    <w:semiHidden/>
    <w:rsid w:val="008F27F5"/>
    <w:pPr>
      <w:tabs>
        <w:tab w:val="right" w:pos="3750"/>
      </w:tabs>
      <w:ind w:left="340" w:right="851"/>
    </w:pPr>
  </w:style>
  <w:style w:type="paragraph" w:customStyle="1" w:styleId="zreportaddinfo">
    <w:name w:val="zreport addinfo"/>
    <w:basedOn w:val="Normal"/>
    <w:rsid w:val="008F27F5"/>
    <w:pPr>
      <w:framePr w:wrap="around" w:hAnchor="page" w:xAlign="center" w:yAlign="bottom"/>
      <w:jc w:val="center"/>
    </w:pPr>
    <w:rPr>
      <w:noProof/>
      <w:sz w:val="20"/>
    </w:rPr>
  </w:style>
  <w:style w:type="paragraph" w:customStyle="1" w:styleId="zreportaddinfoit">
    <w:name w:val="zreport addinfoit"/>
    <w:basedOn w:val="Normal"/>
    <w:rsid w:val="008F27F5"/>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rsid w:val="008F27F5"/>
    <w:pPr>
      <w:ind w:left="142" w:hanging="142"/>
    </w:pPr>
    <w:rPr>
      <w:sz w:val="18"/>
      <w:szCs w:val="16"/>
    </w:rPr>
  </w:style>
  <w:style w:type="paragraph" w:styleId="Caption">
    <w:name w:val="caption"/>
    <w:basedOn w:val="Normal"/>
    <w:next w:val="Normal"/>
    <w:link w:val="CaptionChar"/>
    <w:uiPriority w:val="35"/>
    <w:qFormat/>
    <w:rsid w:val="008F27F5"/>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link w:val="CommentTextChar"/>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 w:type="paragraph" w:styleId="CommentSubject">
    <w:name w:val="annotation subject"/>
    <w:basedOn w:val="CommentText"/>
    <w:next w:val="CommentText"/>
    <w:link w:val="CommentSubjectChar"/>
    <w:rsid w:val="00D335CD"/>
    <w:rPr>
      <w:b/>
      <w:bCs/>
    </w:rPr>
  </w:style>
  <w:style w:type="character" w:customStyle="1" w:styleId="CommentTextChar">
    <w:name w:val="Comment Text Char"/>
    <w:basedOn w:val="DefaultParagraphFont"/>
    <w:link w:val="CommentText"/>
    <w:semiHidden/>
    <w:rsid w:val="00D335CD"/>
    <w:rPr>
      <w:rFonts w:ascii="Arial" w:hAnsi="Arial"/>
      <w:lang w:eastAsia="en-US"/>
    </w:rPr>
  </w:style>
  <w:style w:type="character" w:customStyle="1" w:styleId="CommentSubjectChar">
    <w:name w:val="Comment Subject Char"/>
    <w:basedOn w:val="CommentTextChar"/>
    <w:link w:val="CommentSubject"/>
    <w:rsid w:val="00D335CD"/>
  </w:style>
  <w:style w:type="paragraph" w:styleId="Revision">
    <w:name w:val="Revision"/>
    <w:hidden/>
    <w:uiPriority w:val="99"/>
    <w:semiHidden/>
    <w:rsid w:val="00D335C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style>
  <w:style w:type="paragraph" w:styleId="TOC3">
    <w:name w:val="toc 3"/>
    <w:basedOn w:val="TOC2"/>
    <w:uiPriority w:val="39"/>
    <w:pPr>
      <w:tabs>
        <w:tab w:val="left" w:pos="1418"/>
      </w:tabs>
      <w:ind w:left="1418" w:hanging="1418"/>
    </w:pPr>
  </w:style>
  <w:style w:type="paragraph" w:styleId="TOC2">
    <w:name w:val="toc 2"/>
    <w:basedOn w:val="TOC1"/>
    <w:uiPriority w:val="39"/>
    <w:pPr>
      <w:spacing w:before="0"/>
    </w:pPr>
    <w:rPr>
      <w:sz w:val="24"/>
    </w:rPr>
  </w:style>
  <w:style w:type="paragraph" w:styleId="TOC1">
    <w:name w:val="toc 1"/>
    <w:basedOn w:val="Normal"/>
    <w:uiPriority w:val="39"/>
    <w:pPr>
      <w:tabs>
        <w:tab w:val="right" w:pos="8221"/>
      </w:tabs>
      <w:spacing w:before="260"/>
      <w:ind w:left="851" w:right="567" w:hanging="851"/>
    </w:pPr>
    <w:rPr>
      <w:sz w:val="28"/>
    </w:rPr>
  </w:style>
  <w:style w:type="paragraph" w:styleId="Footer">
    <w:name w:val="footer"/>
    <w:basedOn w:val="Normal"/>
    <w:pPr>
      <w:tabs>
        <w:tab w:val="right" w:pos="8222"/>
      </w:tabs>
    </w:pPr>
    <w:rPr>
      <w:sz w:val="18"/>
    </w:rPr>
  </w:style>
  <w:style w:type="paragraph" w:styleId="Header">
    <w:name w:val="header"/>
    <w:basedOn w:val="Normal"/>
    <w:pPr>
      <w:spacing w:line="220" w:lineRule="atLeast"/>
      <w:jc w:val="right"/>
    </w:pPr>
    <w:rPr>
      <w:i/>
      <w:sz w:val="18"/>
    </w:rPr>
  </w:style>
  <w:style w:type="paragraph" w:styleId="ListBullet">
    <w:name w:val="List Bullet"/>
    <w:basedOn w:val="BodyText"/>
    <w:uiPriority w:val="99"/>
    <w:rsid w:val="007846A9"/>
    <w:pPr>
      <w:numPr>
        <w:numId w:val="3"/>
      </w:numPr>
    </w:pPr>
  </w:style>
  <w:style w:type="paragraph" w:styleId="ListBullet2">
    <w:name w:val="List Bullet 2"/>
    <w:basedOn w:val="ListBullet"/>
    <w:rsid w:val="007846A9"/>
    <w:pPr>
      <w:numPr>
        <w:numId w:val="4"/>
      </w:numPr>
    </w:pPr>
  </w:style>
  <w:style w:type="paragraph" w:customStyle="1" w:styleId="zreportname">
    <w:name w:val="zreport name"/>
    <w:basedOn w:val="Normal"/>
    <w:pPr>
      <w:keepLines/>
      <w:framePr w:w="4536" w:wrap="around" w:vAnchor="page" w:hAnchor="page" w:xAlign="center" w:y="3993"/>
      <w:spacing w:line="440" w:lineRule="exact"/>
      <w:jc w:val="center"/>
    </w:pPr>
    <w:rPr>
      <w:noProof/>
      <w:sz w:val="36"/>
    </w:rPr>
  </w:style>
  <w:style w:type="paragraph" w:customStyle="1" w:styleId="zcontents">
    <w:name w:val="zcontents"/>
    <w:basedOn w:val="Normal"/>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Pr>
      <w:sz w:val="18"/>
    </w:rPr>
  </w:style>
  <w:style w:type="paragraph" w:customStyle="1" w:styleId="zreportsubtitle">
    <w:name w:val="zreport subtitle"/>
    <w:basedOn w:val="zreportname"/>
    <w:pPr>
      <w:framePr w:wrap="around"/>
      <w:spacing w:line="360" w:lineRule="exact"/>
    </w:pPr>
    <w:rPr>
      <w:sz w:val="32"/>
    </w:rPr>
  </w:style>
  <w:style w:type="paragraph" w:styleId="BodyTextIndent">
    <w:name w:val="Body Text Indent"/>
    <w:basedOn w:val="BodyText"/>
    <w:pPr>
      <w:ind w:left="340"/>
    </w:pPr>
  </w:style>
  <w:style w:type="paragraph" w:styleId="Index1">
    <w:name w:val="index 1"/>
    <w:basedOn w:val="Normal"/>
    <w:next w:val="Normal"/>
    <w:semiHidden/>
    <w:pPr>
      <w:keepNext/>
      <w:tabs>
        <w:tab w:val="right" w:pos="3750"/>
      </w:tabs>
      <w:spacing w:before="360" w:line="320" w:lineRule="exact"/>
      <w:ind w:right="851"/>
    </w:pPr>
    <w:rPr>
      <w:b/>
      <w:sz w:val="2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style>
  <w:style w:type="character" w:styleId="PageNumber">
    <w:name w:val="page number"/>
    <w:rsid w:val="00A105C2"/>
    <w:rPr>
      <w:rFonts w:ascii="Arial" w:hAnsi="Arial"/>
      <w:sz w:val="22"/>
    </w:rPr>
  </w:style>
  <w:style w:type="paragraph" w:styleId="Index2">
    <w:name w:val="index 2"/>
    <w:basedOn w:val="Normal"/>
    <w:next w:val="Normal"/>
    <w:semiHidden/>
    <w:pPr>
      <w:tabs>
        <w:tab w:val="right" w:pos="3750"/>
      </w:tabs>
      <w:ind w:left="340" w:right="851"/>
    </w:pPr>
  </w:style>
  <w:style w:type="paragraph" w:customStyle="1" w:styleId="zreportaddinfo">
    <w:name w:val="zreport addinfo"/>
    <w:basedOn w:val="Normal"/>
    <w:pPr>
      <w:framePr w:wrap="around" w:hAnchor="page" w:xAlign="center" w:yAlign="bottom"/>
      <w:jc w:val="center"/>
    </w:pPr>
    <w:rPr>
      <w:noProof/>
      <w:sz w:val="20"/>
    </w:rPr>
  </w:style>
  <w:style w:type="paragraph" w:customStyle="1" w:styleId="zreportaddinfoit">
    <w:name w:val="zreport addinfoit"/>
    <w:basedOn w:val="Normal"/>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ind w:left="0"/>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pPr>
      <w:ind w:left="142" w:hanging="142"/>
    </w:pPr>
    <w:rPr>
      <w:sz w:val="18"/>
      <w:szCs w:val="16"/>
    </w:rPr>
  </w:style>
  <w:style w:type="paragraph" w:styleId="Caption">
    <w:name w:val="caption"/>
    <w:basedOn w:val="Normal"/>
    <w:next w:val="Normal"/>
    <w:link w:val="CaptionChar"/>
    <w:uiPriority w:val="35"/>
    <w:qFormat/>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s>
</file>

<file path=word/webSettings.xml><?xml version="1.0" encoding="utf-8"?>
<w:webSettings xmlns:r="http://schemas.openxmlformats.org/officeDocument/2006/relationships" xmlns:w="http://schemas.openxmlformats.org/wordprocessingml/2006/main">
  <w:divs>
    <w:div w:id="242574096">
      <w:bodyDiv w:val="1"/>
      <w:marLeft w:val="0"/>
      <w:marRight w:val="0"/>
      <w:marTop w:val="0"/>
      <w:marBottom w:val="0"/>
      <w:divBdr>
        <w:top w:val="none" w:sz="0" w:space="0" w:color="auto"/>
        <w:left w:val="none" w:sz="0" w:space="0" w:color="auto"/>
        <w:bottom w:val="none" w:sz="0" w:space="0" w:color="auto"/>
        <w:right w:val="none" w:sz="0" w:space="0" w:color="auto"/>
      </w:divBdr>
    </w:div>
    <w:div w:id="636226399">
      <w:bodyDiv w:val="1"/>
      <w:marLeft w:val="0"/>
      <w:marRight w:val="0"/>
      <w:marTop w:val="0"/>
      <w:marBottom w:val="0"/>
      <w:divBdr>
        <w:top w:val="none" w:sz="0" w:space="0" w:color="auto"/>
        <w:left w:val="none" w:sz="0" w:space="0" w:color="auto"/>
        <w:bottom w:val="none" w:sz="0" w:space="0" w:color="auto"/>
        <w:right w:val="none" w:sz="0" w:space="0" w:color="auto"/>
      </w:divBdr>
    </w:div>
    <w:div w:id="715199130">
      <w:bodyDiv w:val="1"/>
      <w:marLeft w:val="0"/>
      <w:marRight w:val="0"/>
      <w:marTop w:val="0"/>
      <w:marBottom w:val="0"/>
      <w:divBdr>
        <w:top w:val="none" w:sz="0" w:space="0" w:color="auto"/>
        <w:left w:val="none" w:sz="0" w:space="0" w:color="auto"/>
        <w:bottom w:val="none" w:sz="0" w:space="0" w:color="auto"/>
        <w:right w:val="none" w:sz="0" w:space="0" w:color="auto"/>
      </w:divBdr>
    </w:div>
    <w:div w:id="1329554696">
      <w:bodyDiv w:val="1"/>
      <w:marLeft w:val="0"/>
      <w:marRight w:val="0"/>
      <w:marTop w:val="0"/>
      <w:marBottom w:val="0"/>
      <w:divBdr>
        <w:top w:val="none" w:sz="0" w:space="0" w:color="auto"/>
        <w:left w:val="none" w:sz="0" w:space="0" w:color="auto"/>
        <w:bottom w:val="none" w:sz="0" w:space="0" w:color="auto"/>
        <w:right w:val="none" w:sz="0" w:space="0" w:color="auto"/>
      </w:divBdr>
    </w:div>
    <w:div w:id="1383208399">
      <w:bodyDiv w:val="1"/>
      <w:marLeft w:val="0"/>
      <w:marRight w:val="0"/>
      <w:marTop w:val="0"/>
      <w:marBottom w:val="0"/>
      <w:divBdr>
        <w:top w:val="none" w:sz="0" w:space="0" w:color="auto"/>
        <w:left w:val="none" w:sz="0" w:space="0" w:color="auto"/>
        <w:bottom w:val="none" w:sz="0" w:space="0" w:color="auto"/>
        <w:right w:val="none" w:sz="0" w:space="0" w:color="auto"/>
      </w:divBdr>
    </w:div>
    <w:div w:id="1467774021">
      <w:bodyDiv w:val="1"/>
      <w:marLeft w:val="0"/>
      <w:marRight w:val="0"/>
      <w:marTop w:val="0"/>
      <w:marBottom w:val="0"/>
      <w:divBdr>
        <w:top w:val="none" w:sz="0" w:space="0" w:color="auto"/>
        <w:left w:val="none" w:sz="0" w:space="0" w:color="auto"/>
        <w:bottom w:val="none" w:sz="0" w:space="0" w:color="auto"/>
        <w:right w:val="none" w:sz="0" w:space="0" w:color="auto"/>
      </w:divBdr>
    </w:div>
    <w:div w:id="1690140355">
      <w:bodyDiv w:val="1"/>
      <w:marLeft w:val="0"/>
      <w:marRight w:val="0"/>
      <w:marTop w:val="0"/>
      <w:marBottom w:val="0"/>
      <w:divBdr>
        <w:top w:val="none" w:sz="0" w:space="0" w:color="auto"/>
        <w:left w:val="none" w:sz="0" w:space="0" w:color="auto"/>
        <w:bottom w:val="none" w:sz="0" w:space="0" w:color="auto"/>
        <w:right w:val="none" w:sz="0" w:space="0" w:color="auto"/>
      </w:divBdr>
    </w:div>
    <w:div w:id="1792092544">
      <w:bodyDiv w:val="1"/>
      <w:marLeft w:val="0"/>
      <w:marRight w:val="0"/>
      <w:marTop w:val="0"/>
      <w:marBottom w:val="0"/>
      <w:divBdr>
        <w:top w:val="none" w:sz="0" w:space="0" w:color="auto"/>
        <w:left w:val="none" w:sz="0" w:space="0" w:color="auto"/>
        <w:bottom w:val="none" w:sz="0" w:space="0" w:color="auto"/>
        <w:right w:val="none" w:sz="0" w:space="0" w:color="auto"/>
      </w:divBdr>
    </w:div>
    <w:div w:id="2096707660">
      <w:bodyDiv w:val="1"/>
      <w:marLeft w:val="0"/>
      <w:marRight w:val="0"/>
      <w:marTop w:val="0"/>
      <w:marBottom w:val="0"/>
      <w:divBdr>
        <w:top w:val="none" w:sz="0" w:space="0" w:color="auto"/>
        <w:left w:val="none" w:sz="0" w:space="0" w:color="auto"/>
        <w:bottom w:val="none" w:sz="0" w:space="0" w:color="auto"/>
        <w:right w:val="none" w:sz="0" w:space="0" w:color="auto"/>
      </w:divBdr>
    </w:div>
    <w:div w:id="2115174499">
      <w:bodyDiv w:val="1"/>
      <w:marLeft w:val="0"/>
      <w:marRight w:val="0"/>
      <w:marTop w:val="0"/>
      <w:marBottom w:val="0"/>
      <w:divBdr>
        <w:top w:val="none" w:sz="0" w:space="0" w:color="auto"/>
        <w:left w:val="none" w:sz="0" w:space="0" w:color="auto"/>
        <w:bottom w:val="none" w:sz="0" w:space="0" w:color="auto"/>
        <w:right w:val="none" w:sz="0" w:space="0" w:color="auto"/>
      </w:divBdr>
    </w:div>
    <w:div w:id="21219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footer" Target="footer2.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com.au" TargetMode="External"/><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10.bin"/><Relationship Id="rId10" Type="http://schemas.openxmlformats.org/officeDocument/2006/relationships/image" Target="media/image1.jpeg"/><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D44B-CA71-414A-B06A-390AEA470E75}">
  <ds:schemaRefs>
    <ds:schemaRef ds:uri="http://schemas.microsoft.com/office/2006/metadata/longProperties"/>
  </ds:schemaRefs>
</ds:datastoreItem>
</file>

<file path=customXml/itemProps2.xml><?xml version="1.0" encoding="utf-8"?>
<ds:datastoreItem xmlns:ds="http://schemas.openxmlformats.org/officeDocument/2006/customXml" ds:itemID="{D2327CB8-C275-4B62-A320-C5B1BF74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6288</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42125</CharactersWithSpaces>
  <SharedDoc>false</SharedDoc>
  <HLinks>
    <vt:vector size="6" baseType="variant">
      <vt:variant>
        <vt:i4>7012410</vt:i4>
      </vt:variant>
      <vt:variant>
        <vt:i4>105</vt:i4>
      </vt:variant>
      <vt:variant>
        <vt:i4>0</vt:i4>
      </vt:variant>
      <vt:variant>
        <vt:i4>5</vt:i4>
      </vt:variant>
      <vt:variant>
        <vt:lpwstr>http://www.apa.com.au/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2013-04-24T06:17:00Z</dcterms:created>
  <dcterms:modified xsi:type="dcterms:W3CDTF">2013-04-24T06:17:00Z</dcterms:modified>
</cp:coreProperties>
</file>